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生产营运部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{{清单模板-1_组织结构及管理架构}}</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全面负责工厂车间、仓库、物流、质量控制等运营库</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采购部</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{{清单模板-1_组织结构及管理架构}}</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负责公司各类原材料的采购，以及各供应商的管理</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生产部</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{{清单模板-1_组织结构及管理架构}}</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全面负责工厂生产车间的日常生产、运作工作</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物流仓储部</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{{清单模板-1_组织结构及管理架构}}</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负责工厂的仓库存储，以及进出口物流操作，保税仓库管理</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质量控制部</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{{清单模板-1_组织结构及管理架构}}</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负责各类产成品、半成品的质量管控</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财务部</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{{清单模板-1_组织结构及管理架构}}</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负责财务记账、纳税申报、收付款等财务工作以及公司各类财务风险的控制，包括项目的财务风险，资金的财务风险，供应商的信用风险等</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后勤部</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{{清单模板-1_组织结构及管理架构}}</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全面负责员工餐厅，工厂行政、厂区管理等</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项目执行部</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{{清单模板-1_组织结构及管理架构}}</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负责各类销售项目的执行，包括产品的生产，客户的管理，收款的进度等</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项目控制部</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{{清单模板-1_组织结构及管理架构}}</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负责各类项目的风险控制，包括生产风险，收款风险、质量风险、违约风险等</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研发部</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{{清单模板-1_组织结构及管理架构}}</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负责公司各类产品的研发，本地化研发等</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售后服务部</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{{清单模板-1_组织结构及管理架构}}</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负责与客户沟通各类售后问题，包括质保、赔偿、维修等</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提案部</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{{清单模板-1_组织结构及管理架构}}</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向各类客户提交方案、报价、竞标书等。对内提交客户要求、产品条件等</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工程部</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{{清单模板-1_组织结构及管理架构}}</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负责各类新产品的生产落实等</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销售部</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{{清单模板-1_组织结构及管理架构}}</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负责各类半成品、产成品、成套系列产品的销售，以及客户的维护管理</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法务部</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{{清单模板-1_组织结构及管理架构}}</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负责公司各类法务合规性的审核，以及与各供应商、客户之间的法律纠纷</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人事部</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{{清单模板-1_组织结构及管理架构}}</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负责公司内部员工的培训发展、招聘、薪酬计划、职业规划等</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财务控制部</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{{清单模板-1_组织结构及管理架构}}</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负责公司各类财务风险的控制</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总计</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{{清单模板-1_组织结构及管理架构}}</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金额（人民币元）</w:t>
            </w:r>
          </w:p>
        </w:tc>
      </w:tr>
      <w:tr w14:paraId="49DCD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67FA3995">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p>
        </w:tc>
        <w:tc>
          <w:tcPr>
            <w:tcW w:w="1537" w:type="pct"/>
            <w:shd w:val="clear" w:color="auto" w:fill="auto"/>
            <w:tcMar>
              <w:top w:w="15" w:type="dxa"/>
              <w:left w:w="15" w:type="dxa"/>
              <w:bottom w:w="0" w:type="dxa"/>
              <w:right w:w="15" w:type="dxa"/>
            </w:tcMar>
            <w:vAlign w:val="center"/>
          </w:tcPr>
          <w:p w14:paraId="058003F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a</w:t>
            </w:r>
          </w:p>
        </w:tc>
        <w:tc>
          <w:tcPr>
            <w:tcW w:w="1842" w:type="pct"/>
            <w:shd w:val="clear" w:color="auto" w:fill="auto"/>
            <w:tcMar>
              <w:top w:w="15" w:type="dxa"/>
              <w:left w:w="15" w:type="dxa"/>
              <w:bottom w:w="0" w:type="dxa"/>
              <w:right w:w="15" w:type="dxa"/>
            </w:tcMar>
            <w:vAlign w:val="center"/>
          </w:tcPr>
          <w:p w14:paraId="1B23DCDD">
            <w:pPr>
              <w:snapToGrid w:val="0"/>
              <w:spacing w:before="0" w:after="0"/>
              <w:ind w:left="0" w:righ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t xml:space="preserve"/>
            </w:r>
          </w:p>
        </w:tc>
      </w:tr>
      <w:tr w14:paraId="343B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389043A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主营业务成本</w:t>
            </w:r>
          </w:p>
        </w:tc>
        <w:tc>
          <w:tcPr>
            <w:tcW w:w="1537" w:type="pct"/>
            <w:shd w:val="clear" w:color="auto" w:fill="auto"/>
            <w:tcMar>
              <w:top w:w="15" w:type="dxa"/>
              <w:left w:w="15" w:type="dxa"/>
              <w:bottom w:w="0" w:type="dxa"/>
              <w:right w:w="15" w:type="dxa"/>
            </w:tcMar>
            <w:vAlign w:val="center"/>
          </w:tcPr>
          <w:p w14:paraId="11808D8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b</w:t>
            </w:r>
          </w:p>
        </w:tc>
        <w:tc>
          <w:tcPr>
            <w:tcW w:w="1842" w:type="pct"/>
            <w:shd w:val="clear" w:color="auto" w:fill="auto"/>
            <w:tcMar>
              <w:top w:w="15" w:type="dxa"/>
              <w:left w:w="15" w:type="dxa"/>
              <w:bottom w:w="0" w:type="dxa"/>
              <w:right w:w="15" w:type="dxa"/>
            </w:tcMar>
            <w:vAlign w:val="center"/>
          </w:tcPr>
          <w:p w14:paraId="0BC23370">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{{清单模板-PL含特殊因素调整}}</w:t>
            </w:r>
          </w:p>
        </w:tc>
      </w:tr>
      <w:tr w14:paraId="6E0CA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B6989E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1537" w:type="pct"/>
            <w:shd w:val="clear" w:color="auto" w:fill="auto"/>
            <w:tcMar>
              <w:top w:w="15" w:type="dxa"/>
              <w:left w:w="15" w:type="dxa"/>
              <w:bottom w:w="0" w:type="dxa"/>
              <w:right w:w="15" w:type="dxa"/>
            </w:tcMar>
            <w:vAlign w:val="center"/>
          </w:tcPr>
          <w:p w14:paraId="1ADCB97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c</w:t>
            </w:r>
          </w:p>
        </w:tc>
        <w:tc>
          <w:tcPr>
            <w:tcW w:w="1842" w:type="pct"/>
            <w:shd w:val="clear" w:color="auto" w:fill="auto"/>
            <w:tcMar>
              <w:top w:w="15" w:type="dxa"/>
              <w:left w:w="15" w:type="dxa"/>
              <w:bottom w:w="0" w:type="dxa"/>
              <w:right w:w="15" w:type="dxa"/>
            </w:tcMar>
            <w:vAlign w:val="center"/>
          </w:tcPr>
          <w:p w14:paraId="20C2D907">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{{清单模板-PL含特殊因素调整}}</w:t>
            </w:r>
          </w:p>
        </w:tc>
      </w:tr>
      <w:tr w14:paraId="230D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627B6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1537" w:type="pct"/>
            <w:shd w:val="clear" w:color="auto" w:fill="auto"/>
            <w:tcMar>
              <w:top w:w="15" w:type="dxa"/>
              <w:left w:w="15" w:type="dxa"/>
              <w:bottom w:w="0" w:type="dxa"/>
              <w:right w:w="15" w:type="dxa"/>
            </w:tcMar>
            <w:vAlign w:val="center"/>
          </w:tcPr>
          <w:p w14:paraId="6C982D5D">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d</w:t>
            </w:r>
          </w:p>
        </w:tc>
        <w:tc>
          <w:tcPr>
            <w:tcW w:w="1842" w:type="pct"/>
            <w:shd w:val="clear" w:color="auto" w:fill="auto"/>
            <w:tcMar>
              <w:top w:w="15" w:type="dxa"/>
              <w:left w:w="15" w:type="dxa"/>
              <w:bottom w:w="0" w:type="dxa"/>
              <w:right w:w="15" w:type="dxa"/>
            </w:tcMar>
            <w:vAlign w:val="center"/>
          </w:tcPr>
          <w:p w14:paraId="2511483D">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{{清单模板-PL含特殊因素调整}}</w:t>
            </w:r>
          </w:p>
        </w:tc>
      </w:tr>
      <w:tr w14:paraId="6B8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4A4F617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p>
        </w:tc>
        <w:tc>
          <w:tcPr>
            <w:tcW w:w="1537" w:type="pct"/>
            <w:shd w:val="clear" w:color="auto" w:fill="auto"/>
            <w:tcMar>
              <w:top w:w="15" w:type="dxa"/>
              <w:left w:w="15" w:type="dxa"/>
              <w:bottom w:w="0" w:type="dxa"/>
              <w:right w:w="15" w:type="dxa"/>
            </w:tcMar>
            <w:vAlign w:val="center"/>
          </w:tcPr>
          <w:p w14:paraId="625B986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e</w:t>
            </w:r>
          </w:p>
        </w:tc>
        <w:tc>
          <w:tcPr>
            <w:tcW w:w="1842" w:type="pct"/>
            <w:shd w:val="clear" w:color="auto" w:fill="auto"/>
            <w:tcMar>
              <w:top w:w="15" w:type="dxa"/>
              <w:left w:w="15" w:type="dxa"/>
              <w:bottom w:w="0" w:type="dxa"/>
              <w:right w:w="15" w:type="dxa"/>
            </w:tcMar>
            <w:vAlign w:val="center"/>
          </w:tcPr>
          <w:p w14:paraId="6EF296C2">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{{清单模板-PL含特殊因素调整}}</w:t>
            </w:r>
          </w:p>
        </w:tc>
      </w:tr>
      <w:tr w14:paraId="63DD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6D87A63">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总成本</w:t>
            </w:r>
          </w:p>
        </w:tc>
        <w:tc>
          <w:tcPr>
            <w:tcW w:w="1537" w:type="pct"/>
            <w:shd w:val="clear" w:color="auto" w:fill="auto"/>
            <w:tcMar>
              <w:top w:w="15" w:type="dxa"/>
              <w:left w:w="15" w:type="dxa"/>
              <w:bottom w:w="0" w:type="dxa"/>
              <w:right w:w="15" w:type="dxa"/>
            </w:tcMar>
            <w:vAlign w:val="center"/>
          </w:tcPr>
          <w:p w14:paraId="49DC1C0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f = b+c+d+e</w:t>
            </w:r>
          </w:p>
        </w:tc>
        <w:tc>
          <w:tcPr>
            <w:tcW w:w="1842" w:type="pct"/>
            <w:shd w:val="clear" w:color="auto" w:fill="auto"/>
            <w:tcMar>
              <w:top w:w="15" w:type="dxa"/>
              <w:left w:w="15" w:type="dxa"/>
              <w:bottom w:w="0" w:type="dxa"/>
              <w:right w:w="15" w:type="dxa"/>
            </w:tcMar>
            <w:vAlign w:val="center"/>
          </w:tcPr>
          <w:p w14:paraId="1C2C203F">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p>
        </w:tc>
      </w:tr>
      <w:tr w14:paraId="022B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001DB97">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息税前利润</w:t>
            </w:r>
          </w:p>
        </w:tc>
        <w:tc>
          <w:tcPr>
            <w:tcW w:w="1537" w:type="pct"/>
            <w:shd w:val="clear" w:color="auto" w:fill="auto"/>
            <w:tcMar>
              <w:top w:w="15" w:type="dxa"/>
              <w:left w:w="15" w:type="dxa"/>
              <w:bottom w:w="0" w:type="dxa"/>
              <w:right w:w="15" w:type="dxa"/>
            </w:tcMar>
            <w:vAlign w:val="center"/>
          </w:tcPr>
          <w:p w14:paraId="72521D06">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g = a-f</w:t>
            </w:r>
          </w:p>
        </w:tc>
        <w:tc>
          <w:tcPr>
            <w:tcW w:w="1842" w:type="pct"/>
            <w:shd w:val="clear" w:color="auto" w:fill="auto"/>
            <w:tcMar>
              <w:top w:w="15" w:type="dxa"/>
              <w:left w:w="15" w:type="dxa"/>
              <w:bottom w:w="0" w:type="dxa"/>
              <w:right w:w="15" w:type="dxa"/>
            </w:tcMar>
            <w:vAlign w:val="center"/>
          </w:tcPr>
          <w:p w14:paraId="533061F8">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p>
        </w:tc>
      </w:tr>
      <w:tr w14:paraId="6D8CB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1F95064">
            <w:pPr>
              <w:snapToGrid w:val="0"/>
              <w:spacing w:before="0" w:after="0"/>
              <w:ind w:left="0" w:right="0"/>
              <w:jc w:val="left"/>
              <w:rPr>
                <w:rFonts w:ascii="Arial" w:hAnsi="Arial" w:eastAsia="微软雅黑" w:cs="Arial"/>
                <w:bCs/>
                <w:color w:val="000000"/>
                <w:sz w:val="18"/>
                <w:szCs w:val="18"/>
              </w:rPr>
            </w:pPr>
            <w:r>
              <w:rPr>
                <w:rFonts w:ascii="Arial" w:hAnsi="Arial" w:eastAsia="微软雅黑" w:cs="Arial"/>
                <w:bCs/>
                <w:color w:val="000000"/>
                <w:sz w:val="18"/>
                <w:szCs w:val="18"/>
              </w:rPr>
              <w:t>完全成本加成率</w:t>
            </w:r>
          </w:p>
        </w:tc>
        <w:tc>
          <w:tcPr>
            <w:tcW w:w="1537" w:type="pct"/>
            <w:shd w:val="clear" w:color="auto" w:fill="auto"/>
            <w:tcMar>
              <w:top w:w="15" w:type="dxa"/>
              <w:left w:w="15" w:type="dxa"/>
              <w:bottom w:w="0" w:type="dxa"/>
              <w:right w:w="15" w:type="dxa"/>
            </w:tcMar>
            <w:vAlign w:val="center"/>
          </w:tcPr>
          <w:p w14:paraId="648DE438">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h = g/f</w:t>
            </w:r>
          </w:p>
        </w:tc>
        <w:tc>
          <w:tcPr>
            <w:tcW w:w="1842" w:type="pct"/>
            <w:shd w:val="clear" w:color="auto" w:fill="auto"/>
            <w:tcMar>
              <w:top w:w="15" w:type="dxa"/>
              <w:left w:w="15" w:type="dxa"/>
              <w:bottom w:w="0" w:type="dxa"/>
              <w:right w:w="15" w:type="dxa"/>
            </w:tcMar>
            <w:vAlign w:val="center"/>
          </w:tcPr>
          <w:p w14:paraId="32792BA9">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{{清单模板-PL含特殊因素调整}}</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关联交易类型</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境外交易金额</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A</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境内交易金额</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B</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交易总额</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C=A+B</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关联采购</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35E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5CE58C77">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关联销售</w:t>
            </w:r>
          </w:p>
        </w:tc>
        <w:tc>
          <w:tcPr>
            <w:tcW w:w="1255" w:type="pct"/>
            <w:shd w:val="clear" w:color="auto" w:fill="auto"/>
            <w:vAlign w:val="center"/>
          </w:tcPr>
          <w:p w14:paraId="6D4A8D64">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01F1F3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24FCDAB2">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04D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2F2494B9">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接受关联劳务</w:t>
            </w:r>
          </w:p>
        </w:tc>
        <w:tc>
          <w:tcPr>
            <w:tcW w:w="1255" w:type="pct"/>
            <w:shd w:val="clear" w:color="auto" w:fill="auto"/>
            <w:vAlign w:val="center"/>
          </w:tcPr>
          <w:p w14:paraId="296A56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F97592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1C44576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522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3A0A5C20">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val="0"/>
                <w:bCs w:val="0"/>
                <w:sz w:val="18"/>
                <w:szCs w:val="18"/>
              </w:rPr>
              <w:t>提供关联劳务</w:t>
            </w:r>
          </w:p>
        </w:tc>
        <w:tc>
          <w:tcPr>
            <w:tcW w:w="1255" w:type="pct"/>
            <w:shd w:val="clear" w:color="auto" w:fill="auto"/>
            <w:vAlign w:val="center"/>
          </w:tcPr>
          <w:p w14:paraId="3A7D183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C16884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3776587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1DD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196508E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 xml:space="preserve">资金融通利息收入</w:t>
            </w:r>
            <w:r>
              <w:rPr>
                <w:rFonts w:hint="eastAsia" w:ascii="Arial" w:hAnsi="Arial" w:eastAsia="微软雅黑" w:cs="Arial"/>
                <w:b w:val="0"/>
                <w:bCs/>
                <w:sz w:val="18"/>
                <w:szCs w:val="18"/>
              </w:rPr>
              <w:t/>
            </w:r>
            <w:r>
              <w:rPr>
                <w:rFonts w:ascii="Arial" w:hAnsi="Arial" w:eastAsia="微软雅黑" w:cs="Arial"/>
                <w:b w:val="0"/>
                <w:bCs/>
                <w:sz w:val="18"/>
                <w:szCs w:val="18"/>
              </w:rPr>
              <w:t/>
            </w:r>
          </w:p>
        </w:tc>
        <w:tc>
          <w:tcPr>
            <w:tcW w:w="1255" w:type="pct"/>
            <w:shd w:val="clear" w:color="auto" w:fill="auto"/>
            <w:vAlign w:val="center"/>
          </w:tcPr>
          <w:p w14:paraId="541473A4">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1171" w:type="pct"/>
            <w:shd w:val="clear" w:color="auto" w:fill="auto"/>
            <w:vAlign w:val="center"/>
          </w:tcPr>
          <w:p w14:paraId="2FA54A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7339F79D">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总计</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境外采购</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4.17%</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2.63%</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Santorso s.r.l.</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2.38%</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1.25%</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0.87%</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0.95%</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境外采购合计</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12.25%</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关联采购总计</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{{清单模板-关联方个人信息}}</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{{清单模板-关联方个人信息}}</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境外销售</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3.95%</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3.67%</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3.54%</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Japan,Inc.</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{{清单模板-关联关系变化情况}}</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3.49%</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1.82%</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8.12%</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境外销售合计</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24.59%</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关联销售总计</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{{清单模板-关联关系变化情况}}</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{{清单模板-关联交易汇总表}}</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{{清单模板-5_客户清单}}</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{{清单模板-5_客户清单}}</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{{清单模板-5_客户清单}}</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{{清单模板-5_客户清单}}</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{{清单模板-4_供应商清单}}</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{{清单模板-4_供应商清单}}</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{{清单模板-4_供应商清单}}</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LPR</w:t>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3.10%-3.45%</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{{清单模板-2_关联公司信息}}</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{{清单模板-2_关联公司信息}}</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