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{{清单模板-数据表-B2}}（截至{{清单模板-数据表-B2}}12月31日）</w:t>
      </w:r>
      <w:r>
        <w:rPr>
          <w:rFonts w:ascii="Arial" w:hAnsi="Arial" w:eastAsia="微软雅黑" w:cs="Arial"/>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398"/>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312"/>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322"/>
            </w:rPr>
            <w:fldChar w:fldCharType="begin"/>
          </w:r>
          <w:r>
            <w:rPr>
              <w:rStyle w:val="1322"/>
            </w:rPr>
            <w:instrText xml:space="preserve"> </w:instrText>
          </w:r>
          <w:r>
            <w:instrText xml:space="preserve">HYPERLINK \l "_Toc202797540"</w:instrText>
          </w:r>
          <w:r>
            <w:rPr>
              <w:rStyle w:val="1322"/>
            </w:rPr>
            <w:instrText xml:space="preserve"> </w:instrText>
          </w:r>
          <w:r>
            <w:rPr>
              <w:rStyle w:val="1322"/>
            </w:rPr>
            <w:fldChar w:fldCharType="separate"/>
          </w:r>
          <w:r>
            <w:rPr>
              <w:rStyle w:val="1322"/>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left="238"/>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"_Toc202797541"</w:instrText>
          </w:r>
          <w:r>
            <w:rPr>
              <w:rStyle w:val="1322"/>
            </w:rPr>
            <w:instrText xml:space="preserve"> </w:instrText>
          </w:r>
          <w:r>
            <w:rPr>
              <w:rStyle w:val="1322"/>
            </w:rPr>
            <w:fldChar w:fldCharType="separate"/>
          </w:r>
          <w:r>
            <w:rPr>
              <w:rStyle w:val="1322"/>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"_Toc202797542"</w:instrText>
          </w:r>
          <w:r>
            <w:rPr>
              <w:rStyle w:val="1322"/>
            </w:rPr>
            <w:instrText xml:space="preserve"> </w:instrText>
          </w:r>
          <w:r>
            <w:rPr>
              <w:rStyle w:val="1322"/>
            </w:rPr>
            <w:fldChar w:fldCharType="separate"/>
          </w:r>
          <w:r>
            <w:rPr>
              <w:rStyle w:val="1322"/>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"_Toc202797543"</w:instrText>
          </w:r>
          <w:r>
            <w:rPr>
              <w:rStyle w:val="1322"/>
            </w:rPr>
            <w:instrText xml:space="preserve"> </w:instrText>
          </w:r>
          <w:r>
            <w:rPr>
              <w:rStyle w:val="1322"/>
            </w:rPr>
            <w:fldChar w:fldCharType="separate"/>
          </w:r>
          <w:r>
            <w:rPr>
              <w:rStyle w:val="1322"/>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"_Toc202797544"</w:instrText>
          </w:r>
          <w:r>
            <w:rPr>
              <w:rStyle w:val="1322"/>
            </w:rPr>
            <w:instrText xml:space="preserve"> </w:instrText>
          </w:r>
          <w:r>
            <w:rPr>
              <w:rStyle w:val="1322"/>
            </w:rPr>
            <w:fldChar w:fldCharType="separate"/>
          </w:r>
          <w:r>
            <w:rPr>
              <w:rStyle w:val="1322"/>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"_Toc202797545"</w:instrText>
          </w:r>
          <w:r>
            <w:rPr>
              <w:rStyle w:val="1322"/>
            </w:rPr>
            <w:instrText xml:space="preserve"> </w:instrText>
          </w:r>
          <w:r>
            <w:rPr>
              <w:rStyle w:val="1322"/>
            </w:rPr>
            <w:fldChar w:fldCharType="separate"/>
          </w:r>
          <w:r>
            <w:rPr>
              <w:rStyle w:val="1322"/>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"_Toc202797546"</w:instrText>
          </w:r>
          <w:r>
            <w:rPr>
              <w:rStyle w:val="1322"/>
            </w:rPr>
            <w:instrText xml:space="preserve"> </w:instrText>
          </w:r>
          <w:r>
            <w:rPr>
              <w:rStyle w:val="1322"/>
            </w:rPr>
            <w:fldChar w:fldCharType="separate"/>
          </w:r>
          <w:r>
            <w:rPr>
              <w:rStyle w:val="1322"/>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"_Toc202797547"</w:instrText>
          </w:r>
          <w:r>
            <w:rPr>
              <w:rStyle w:val="1322"/>
            </w:rPr>
            <w:instrText xml:space="preserve"> </w:instrText>
          </w:r>
          <w:r>
            <w:rPr>
              <w:rStyle w:val="1322"/>
            </w:rPr>
            <w:fldChar w:fldCharType="separate"/>
          </w:r>
          <w:r>
            <w:rPr>
              <w:rStyle w:val="1322"/>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"_Toc202797548"</w:instrText>
          </w:r>
          <w:r>
            <w:rPr>
              <w:rStyle w:val="1322"/>
            </w:rPr>
            <w:instrText xml:space="preserve"> </w:instrText>
          </w:r>
          <w:r>
            <w:rPr>
              <w:rStyle w:val="1322"/>
            </w:rPr>
            <w:fldChar w:fldCharType="separate"/>
          </w:r>
          <w:r>
            <w:rPr>
              <w:rStyle w:val="1322"/>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"_Toc202797549"</w:instrText>
          </w:r>
          <w:r>
            <w:rPr>
              <w:rStyle w:val="1322"/>
            </w:rPr>
            <w:instrText xml:space="preserve"> </w:instrText>
          </w:r>
          <w:r>
            <w:rPr>
              <w:rStyle w:val="1322"/>
            </w:rPr>
            <w:fldChar w:fldCharType="separate"/>
          </w:r>
          <w:r>
            <w:rPr>
              <w:rStyle w:val="1322"/>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"_Toc202797550"</w:instrText>
          </w:r>
          <w:r>
            <w:rPr>
              <w:rStyle w:val="1322"/>
            </w:rPr>
            <w:instrText xml:space="preserve"> </w:instrText>
          </w:r>
          <w:r>
            <w:rPr>
              <w:rStyle w:val="1322"/>
            </w:rPr>
            <w:fldChar w:fldCharType="separate"/>
          </w:r>
          <w:r>
            <w:rPr>
              <w:rStyle w:val="1322"/>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"_Toc202797551"</w:instrText>
          </w:r>
          <w:r>
            <w:rPr>
              <w:rStyle w:val="1322"/>
            </w:rPr>
            <w:instrText xml:space="preserve"> </w:instrText>
          </w:r>
          <w:r>
            <w:rPr>
              <w:rStyle w:val="1322"/>
            </w:rPr>
            <w:fldChar w:fldCharType="separate"/>
          </w:r>
          <w:r>
            <w:rPr>
              <w:rStyle w:val="1322"/>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"_Toc202797552"</w:instrText>
          </w:r>
          <w:r>
            <w:rPr>
              <w:rStyle w:val="1322"/>
            </w:rPr>
            <w:instrText xml:space="preserve"> </w:instrText>
          </w:r>
          <w:r>
            <w:rPr>
              <w:rStyle w:val="1322"/>
            </w:rPr>
            <w:fldChar w:fldCharType="separate"/>
          </w:r>
          <w:r>
            <w:rPr>
              <w:rStyle w:val="1322"/>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"_Toc202797553"</w:instrText>
          </w:r>
          <w:r>
            <w:rPr>
              <w:rStyle w:val="1322"/>
            </w:rPr>
            <w:instrText xml:space="preserve"> </w:instrText>
          </w:r>
          <w:r>
            <w:rPr>
              <w:rStyle w:val="1322"/>
            </w:rPr>
            <w:fldChar w:fldCharType="separate"/>
          </w:r>
          <w:r>
            <w:rPr>
              <w:rStyle w:val="1322"/>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"_Toc202797554"</w:instrText>
          </w:r>
          <w:r>
            <w:rPr>
              <w:rStyle w:val="1322"/>
            </w:rPr>
            <w:instrText xml:space="preserve"> </w:instrText>
          </w:r>
          <w:r>
            <w:rPr>
              <w:rStyle w:val="1322"/>
            </w:rPr>
            <w:fldChar w:fldCharType="separate"/>
          </w:r>
          <w:r>
            <w:rPr>
              <w:rStyle w:val="1322"/>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"_Toc202797555"</w:instrText>
          </w:r>
          <w:r>
            <w:rPr>
              <w:rStyle w:val="1322"/>
            </w:rPr>
            <w:instrText xml:space="preserve"> </w:instrText>
          </w:r>
          <w:r>
            <w:rPr>
              <w:rStyle w:val="1322"/>
            </w:rPr>
            <w:fldChar w:fldCharType="separate"/>
          </w:r>
          <w:r>
            <w:rPr>
              <w:rStyle w:val="1322"/>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"_Toc202797556"</w:instrText>
          </w:r>
          <w:r>
            <w:rPr>
              <w:rStyle w:val="1322"/>
            </w:rPr>
            <w:instrText xml:space="preserve"> </w:instrText>
          </w:r>
          <w:r>
            <w:rPr>
              <w:rStyle w:val="1322"/>
            </w:rPr>
            <w:fldChar w:fldCharType="separate"/>
          </w:r>
          <w:r>
            <w:rPr>
              <w:rStyle w:val="1322"/>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"_Toc202797557"</w:instrText>
          </w:r>
          <w:r>
            <w:rPr>
              <w:rStyle w:val="1322"/>
            </w:rPr>
            <w:instrText xml:space="preserve"> </w:instrText>
          </w:r>
          <w:r>
            <w:rPr>
              <w:rStyle w:val="1322"/>
            </w:rPr>
            <w:fldChar w:fldCharType="separate"/>
          </w:r>
          <w:r>
            <w:rPr>
              <w:rStyle w:val="1322"/>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"_Toc202797558"</w:instrText>
          </w:r>
          <w:r>
            <w:rPr>
              <w:rStyle w:val="1322"/>
            </w:rPr>
            <w:instrText xml:space="preserve"> </w:instrText>
          </w:r>
          <w:r>
            <w:rPr>
              <w:rStyle w:val="1322"/>
            </w:rPr>
            <w:fldChar w:fldCharType="separate"/>
          </w:r>
          <w:r>
            <w:rPr>
              <w:rStyle w:val="1322"/>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"_Toc202797559"</w:instrText>
          </w:r>
          <w:r>
            <w:rPr>
              <w:rStyle w:val="1322"/>
            </w:rPr>
            <w:instrText xml:space="preserve"> </w:instrText>
          </w:r>
          <w:r>
            <w:rPr>
              <w:rStyle w:val="1322"/>
            </w:rPr>
            <w:fldChar w:fldCharType="separate"/>
          </w:r>
          <w:r>
            <w:rPr>
              <w:rStyle w:val="1322"/>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"_Toc202797560"</w:instrText>
          </w:r>
          <w:r>
            <w:rPr>
              <w:rStyle w:val="1322"/>
            </w:rPr>
            <w:instrText xml:space="preserve"> </w:instrText>
          </w:r>
          <w:r>
            <w:rPr>
              <w:rStyle w:val="1322"/>
            </w:rPr>
            <w:fldChar w:fldCharType="separate"/>
          </w:r>
          <w:r>
            <w:rPr>
              <w:rStyle w:val="1322"/>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"_Toc202797561"</w:instrText>
          </w:r>
          <w:r>
            <w:rPr>
              <w:rStyle w:val="1322"/>
            </w:rPr>
            <w:instrText xml:space="preserve"> </w:instrText>
          </w:r>
          <w:r>
            <w:rPr>
              <w:rStyle w:val="1322"/>
            </w:rPr>
            <w:fldChar w:fldCharType="separate"/>
          </w:r>
          <w:r>
            <w:rPr>
              <w:rStyle w:val="1322"/>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"_Toc202797562"</w:instrText>
          </w:r>
          <w:r>
            <w:rPr>
              <w:rStyle w:val="1322"/>
            </w:rPr>
            <w:instrText xml:space="preserve"> </w:instrText>
          </w:r>
          <w:r>
            <w:rPr>
              <w:rStyle w:val="1322"/>
            </w:rPr>
            <w:fldChar w:fldCharType="separate"/>
          </w:r>
          <w:r>
            <w:rPr>
              <w:rStyle w:val="1322"/>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"_Toc202797563"</w:instrText>
          </w:r>
          <w:r>
            <w:rPr>
              <w:rStyle w:val="1322"/>
            </w:rPr>
            <w:instrText xml:space="preserve"> </w:instrText>
          </w:r>
          <w:r>
            <w:rPr>
              <w:rStyle w:val="1322"/>
            </w:rPr>
            <w:fldChar w:fldCharType="separate"/>
          </w:r>
          <w:r>
            <w:rPr>
              <w:rStyle w:val="1322"/>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"_Toc202797564"</w:instrText>
          </w:r>
          <w:r>
            <w:rPr>
              <w:rStyle w:val="1322"/>
            </w:rPr>
            <w:instrText xml:space="preserve"> </w:instrText>
          </w:r>
          <w:r>
            <w:rPr>
              <w:rStyle w:val="1322"/>
            </w:rPr>
            <w:fldChar w:fldCharType="separate"/>
          </w:r>
          <w:r>
            <w:rPr>
              <w:rStyle w:val="1322"/>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"_Toc202797565"</w:instrText>
          </w:r>
          <w:r>
            <w:rPr>
              <w:rStyle w:val="1322"/>
            </w:rPr>
            <w:instrText xml:space="preserve"> </w:instrText>
          </w:r>
          <w:r>
            <w:rPr>
              <w:rStyle w:val="1322"/>
            </w:rPr>
            <w:fldChar w:fldCharType="separate"/>
          </w:r>
          <w:r>
            <w:rPr>
              <w:rStyle w:val="1322"/>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"_Toc202797566"</w:instrText>
          </w:r>
          <w:r>
            <w:rPr>
              <w:rStyle w:val="1322"/>
            </w:rPr>
            <w:instrText xml:space="preserve"> </w:instrText>
          </w:r>
          <w:r>
            <w:rPr>
              <w:rStyle w:val="1322"/>
            </w:rPr>
            <w:fldChar w:fldCharType="separate"/>
          </w:r>
          <w:r>
            <w:rPr>
              <w:rStyle w:val="1322"/>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"_Toc202797567"</w:instrText>
          </w:r>
          <w:r>
            <w:rPr>
              <w:rStyle w:val="1322"/>
            </w:rPr>
            <w:instrText xml:space="preserve"> </w:instrText>
          </w:r>
          <w:r>
            <w:rPr>
              <w:rStyle w:val="1322"/>
            </w:rPr>
            <w:fldChar w:fldCharType="separate"/>
          </w:r>
          <w:r>
            <w:rPr>
              <w:rStyle w:val="1322"/>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"_Toc202797568"</w:instrText>
          </w:r>
          <w:r>
            <w:rPr>
              <w:rStyle w:val="1322"/>
            </w:rPr>
            <w:instrText xml:space="preserve"> </w:instrText>
          </w:r>
          <w:r>
            <w:rPr>
              <w:rStyle w:val="1322"/>
            </w:rPr>
            <w:fldChar w:fldCharType="separate"/>
          </w:r>
          <w:r>
            <w:rPr>
              <w:rStyle w:val="1322"/>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"_Toc202797569"</w:instrText>
          </w:r>
          <w:r>
            <w:rPr>
              <w:rStyle w:val="1322"/>
            </w:rPr>
            <w:instrText xml:space="preserve"> </w:instrText>
          </w:r>
          <w:r>
            <w:rPr>
              <w:rStyle w:val="1322"/>
            </w:rPr>
            <w:fldChar w:fldCharType="separate"/>
          </w:r>
          <w:r>
            <w:rPr>
              <w:rStyle w:val="1322"/>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"_Toc202797570"</w:instrText>
          </w:r>
          <w:r>
            <w:rPr>
              <w:rStyle w:val="1322"/>
            </w:rPr>
            <w:instrText xml:space="preserve"> </w:instrText>
          </w:r>
          <w:r>
            <w:rPr>
              <w:rStyle w:val="1322"/>
            </w:rPr>
            <w:fldChar w:fldCharType="separate"/>
          </w:r>
          <w:r>
            <w:rPr>
              <w:rStyle w:val="1322"/>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"_Toc202797571"</w:instrText>
          </w:r>
          <w:r>
            <w:rPr>
              <w:rStyle w:val="1322"/>
            </w:rPr>
            <w:instrText xml:space="preserve"> </w:instrText>
          </w:r>
          <w:r>
            <w:rPr>
              <w:rStyle w:val="1322"/>
            </w:rPr>
            <w:fldChar w:fldCharType="separate"/>
          </w:r>
          <w:r>
            <w:rPr>
              <w:rStyle w:val="1322"/>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"_Toc202797572"</w:instrText>
          </w:r>
          <w:r>
            <w:rPr>
              <w:rStyle w:val="1322"/>
            </w:rPr>
            <w:instrText xml:space="preserve"> </w:instrText>
          </w:r>
          <w:r>
            <w:rPr>
              <w:rStyle w:val="1322"/>
            </w:rPr>
            <w:fldChar w:fldCharType="separate"/>
          </w:r>
          <w:r>
            <w:rPr>
              <w:rStyle w:val="1322"/>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"_Toc202797573"</w:instrText>
          </w:r>
          <w:r>
            <w:rPr>
              <w:rStyle w:val="1322"/>
            </w:rPr>
            <w:instrText xml:space="preserve"> </w:instrText>
          </w:r>
          <w:r>
            <w:rPr>
              <w:rStyle w:val="1322"/>
            </w:rPr>
            <w:fldChar w:fldCharType="separate"/>
          </w:r>
          <w:r>
            <w:rPr>
              <w:rStyle w:val="1322"/>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"_Toc202797574"</w:instrText>
          </w:r>
          <w:r>
            <w:rPr>
              <w:rStyle w:val="1322"/>
            </w:rPr>
            <w:instrText xml:space="preserve"> </w:instrText>
          </w:r>
          <w:r>
            <w:rPr>
              <w:rStyle w:val="1322"/>
            </w:rPr>
            <w:fldChar w:fldCharType="separate"/>
          </w:r>
          <w:r>
            <w:rPr>
              <w:rStyle w:val="1322"/>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"_Toc202797575"</w:instrText>
          </w:r>
          <w:r>
            <w:rPr>
              <w:rStyle w:val="1322"/>
            </w:rPr>
            <w:instrText xml:space="preserve"> </w:instrText>
          </w:r>
          <w:r>
            <w:rPr>
              <w:rStyle w:val="1322"/>
            </w:rPr>
            <w:fldChar w:fldCharType="separate"/>
          </w:r>
          <w:r>
            <w:rPr>
              <w:rStyle w:val="1322"/>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"_Toc202797576"</w:instrText>
          </w:r>
          <w:r>
            <w:rPr>
              <w:rStyle w:val="1322"/>
            </w:rPr>
            <w:instrText xml:space="preserve"> </w:instrText>
          </w:r>
          <w:r>
            <w:rPr>
              <w:rStyle w:val="1322"/>
            </w:rPr>
            <w:fldChar w:fldCharType="separate"/>
          </w:r>
          <w:r>
            <w:rPr>
              <w:rStyle w:val="1322"/>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"_Toc202797577"</w:instrText>
          </w:r>
          <w:r>
            <w:rPr>
              <w:rStyle w:val="1322"/>
            </w:rPr>
            <w:instrText xml:space="preserve"> </w:instrText>
          </w:r>
          <w:r>
            <w:rPr>
              <w:rStyle w:val="1322"/>
            </w:rPr>
            <w:fldChar w:fldCharType="separate"/>
          </w:r>
          <w:r>
            <w:rPr>
              <w:rStyle w:val="1322"/>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"_Toc202797578"</w:instrText>
          </w:r>
          <w:r>
            <w:rPr>
              <w:rStyle w:val="1322"/>
            </w:rPr>
            <w:instrText xml:space="preserve"> </w:instrText>
          </w:r>
          <w:r>
            <w:rPr>
              <w:rStyle w:val="1322"/>
            </w:rPr>
            <w:fldChar w:fldCharType="separate"/>
          </w:r>
          <w:r>
            <w:rPr>
              <w:rStyle w:val="1322"/>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"_Toc202797579"</w:instrText>
          </w:r>
          <w:r>
            <w:rPr>
              <w:rStyle w:val="1322"/>
            </w:rPr>
            <w:instrText xml:space="preserve"> </w:instrText>
          </w:r>
          <w:r>
            <w:rPr>
              <w:rStyle w:val="1322"/>
            </w:rPr>
            <w:fldChar w:fldCharType="separate"/>
          </w:r>
          <w:r>
            <w:rPr>
              <w:rStyle w:val="1322"/>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"_Toc202797580"</w:instrText>
          </w:r>
          <w:r>
            <w:rPr>
              <w:rStyle w:val="1322"/>
            </w:rPr>
            <w:instrText xml:space="preserve"> </w:instrText>
          </w:r>
          <w:r>
            <w:rPr>
              <w:rStyle w:val="1322"/>
            </w:rPr>
            <w:fldChar w:fldCharType="separate"/>
          </w:r>
          <w:r>
            <w:rPr>
              <w:rStyle w:val="1322"/>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"_Toc202797581"</w:instrText>
          </w:r>
          <w:r>
            <w:rPr>
              <w:rStyle w:val="1322"/>
            </w:rPr>
            <w:instrText xml:space="preserve"> </w:instrText>
          </w:r>
          <w:r>
            <w:rPr>
              <w:rStyle w:val="1322"/>
            </w:rPr>
            <w:fldChar w:fldCharType="separate"/>
          </w:r>
          <w:r>
            <w:rPr>
              <w:rStyle w:val="1322"/>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"_Toc202797582"</w:instrText>
          </w:r>
          <w:r>
            <w:rPr>
              <w:rStyle w:val="1322"/>
            </w:rPr>
            <w:instrText xml:space="preserve"> </w:instrText>
          </w:r>
          <w:r>
            <w:rPr>
              <w:rStyle w:val="1322"/>
            </w:rPr>
            <w:fldChar w:fldCharType="separate"/>
          </w:r>
          <w:r>
            <w:rPr>
              <w:rStyle w:val="1322"/>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"_Toc202797583"</w:instrText>
          </w:r>
          <w:r>
            <w:rPr>
              <w:rStyle w:val="1322"/>
            </w:rPr>
            <w:instrText xml:space="preserve"> </w:instrText>
          </w:r>
          <w:r>
            <w:rPr>
              <w:rStyle w:val="1322"/>
            </w:rPr>
            <w:fldChar w:fldCharType="separate"/>
          </w:r>
          <w:r>
            <w:rPr>
              <w:rStyle w:val="1322"/>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"_Toc202797584"</w:instrText>
          </w:r>
          <w:r>
            <w:rPr>
              <w:rStyle w:val="1322"/>
            </w:rPr>
            <w:instrText xml:space="preserve"> </w:instrText>
          </w:r>
          <w:r>
            <w:rPr>
              <w:rStyle w:val="1322"/>
            </w:rPr>
            <w:fldChar w:fldCharType="separate"/>
          </w:r>
          <w:r>
            <w:rPr>
              <w:rStyle w:val="1322"/>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"_Toc202797585"</w:instrText>
          </w:r>
          <w:r>
            <w:rPr>
              <w:rStyle w:val="1322"/>
            </w:rPr>
            <w:instrText xml:space="preserve"> </w:instrText>
          </w:r>
          <w:r>
            <w:rPr>
              <w:rStyle w:val="1322"/>
            </w:rPr>
            <w:fldChar w:fldCharType="separate"/>
          </w:r>
          <w:r>
            <w:rPr>
              <w:rStyle w:val="1322"/>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"_Toc202797586"</w:instrText>
          </w:r>
          <w:r>
            <w:rPr>
              <w:rStyle w:val="1322"/>
            </w:rPr>
            <w:instrText xml:space="preserve"> </w:instrText>
          </w:r>
          <w:r>
            <w:rPr>
              <w:rStyle w:val="1322"/>
            </w:rPr>
            <w:fldChar w:fldCharType="separate"/>
          </w:r>
          <w:r>
            <w:rPr>
              <w:rStyle w:val="1322"/>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"_Toc202797587"</w:instrText>
          </w:r>
          <w:r>
            <w:rPr>
              <w:rStyle w:val="1322"/>
            </w:rPr>
            <w:instrText xml:space="preserve"> </w:instrText>
          </w:r>
          <w:r>
            <w:rPr>
              <w:rStyle w:val="1322"/>
            </w:rPr>
            <w:fldChar w:fldCharType="separate"/>
          </w:r>
          <w:r>
            <w:rPr>
              <w:rStyle w:val="1322"/>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"_Toc202797588"</w:instrText>
          </w:r>
          <w:r>
            <w:rPr>
              <w:rStyle w:val="1322"/>
            </w:rPr>
            <w:instrText xml:space="preserve"> </w:instrText>
          </w:r>
          <w:r>
            <w:rPr>
              <w:rStyle w:val="1322"/>
            </w:rPr>
            <w:fldChar w:fldCharType="separate"/>
          </w:r>
          <w:r>
            <w:rPr>
              <w:rStyle w:val="1322"/>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"_Toc202797589"</w:instrText>
          </w:r>
          <w:r>
            <w:rPr>
              <w:rStyle w:val="1322"/>
            </w:rPr>
            <w:instrText xml:space="preserve"> </w:instrText>
          </w:r>
          <w:r>
            <w:rPr>
              <w:rStyle w:val="1322"/>
            </w:rPr>
            <w:fldChar w:fldCharType="separate"/>
          </w:r>
          <w:r>
            <w:rPr>
              <w:rStyle w:val="1322"/>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"_Toc202797590"</w:instrText>
          </w:r>
          <w:r>
            <w:rPr>
              <w:rStyle w:val="1322"/>
            </w:rPr>
            <w:instrText xml:space="preserve"> </w:instrText>
          </w:r>
          <w:r>
            <w:rPr>
              <w:rStyle w:val="1322"/>
            </w:rPr>
            <w:fldChar w:fldCharType="separate"/>
          </w:r>
          <w:r>
            <w:rPr>
              <w:rStyle w:val="1322"/>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"_Toc202797591"</w:instrText>
          </w:r>
          <w:r>
            <w:rPr>
              <w:rStyle w:val="1322"/>
            </w:rPr>
            <w:instrText xml:space="preserve"> </w:instrText>
          </w:r>
          <w:r>
            <w:rPr>
              <w:rStyle w:val="1322"/>
            </w:rPr>
            <w:fldChar w:fldCharType="separate"/>
          </w:r>
          <w:r>
            <w:rPr>
              <w:rStyle w:val="1322"/>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"_Toc202797592"</w:instrText>
          </w:r>
          <w:r>
            <w:rPr>
              <w:rStyle w:val="1322"/>
            </w:rPr>
            <w:instrText xml:space="preserve"> </w:instrText>
          </w:r>
          <w:r>
            <w:rPr>
              <w:rStyle w:val="1322"/>
            </w:rPr>
            <w:fldChar w:fldCharType="separate"/>
          </w:r>
          <w:r>
            <w:rPr>
              <w:rStyle w:val="1322"/>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"_Toc202797593"</w:instrText>
          </w:r>
          <w:r>
            <w:rPr>
              <w:rStyle w:val="1322"/>
            </w:rPr>
            <w:instrText xml:space="preserve"> </w:instrText>
          </w:r>
          <w:r>
            <w:rPr>
              <w:rStyle w:val="1322"/>
            </w:rPr>
            <w:fldChar w:fldCharType="separate"/>
          </w:r>
          <w:r>
            <w:rPr>
              <w:rStyle w:val="1322"/>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"_Toc202797594"</w:instrText>
          </w:r>
          <w:r>
            <w:rPr>
              <w:rStyle w:val="1322"/>
            </w:rPr>
            <w:instrText xml:space="preserve"> </w:instrText>
          </w:r>
          <w:r>
            <w:rPr>
              <w:rStyle w:val="1322"/>
            </w:rPr>
            <w:fldChar w:fldCharType="separate"/>
          </w:r>
          <w:r>
            <w:rPr>
              <w:rStyle w:val="1322"/>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"_Toc202797595"</w:instrText>
          </w:r>
          <w:r>
            <w:rPr>
              <w:rStyle w:val="1322"/>
            </w:rPr>
            <w:instrText xml:space="preserve"> </w:instrText>
          </w:r>
          <w:r>
            <w:rPr>
              <w:rStyle w:val="1322"/>
            </w:rPr>
            <w:fldChar w:fldCharType="separate"/>
          </w:r>
          <w:r>
            <w:rPr>
              <w:rStyle w:val="1322"/>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"_Toc202797596"</w:instrText>
          </w:r>
          <w:r>
            <w:rPr>
              <w:rStyle w:val="1322"/>
            </w:rPr>
            <w:instrText xml:space="preserve"> </w:instrText>
          </w:r>
          <w:r>
            <w:rPr>
              <w:rStyle w:val="1322"/>
            </w:rPr>
            <w:fldChar w:fldCharType="separate"/>
          </w:r>
          <w:r>
            <w:rPr>
              <w:rStyle w:val="1322"/>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"_Toc202797597"</w:instrText>
          </w:r>
          <w:r>
            <w:rPr>
              <w:rStyle w:val="1322"/>
            </w:rPr>
            <w:instrText xml:space="preserve"> </w:instrText>
          </w:r>
          <w:r>
            <w:rPr>
              <w:rStyle w:val="1322"/>
            </w:rPr>
            <w:fldChar w:fldCharType="separate"/>
          </w:r>
          <w:r>
            <w:rPr>
              <w:rStyle w:val="1322"/>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"_Toc202797598"</w:instrText>
          </w:r>
          <w:r>
            <w:rPr>
              <w:rStyle w:val="1322"/>
            </w:rPr>
            <w:instrText xml:space="preserve"> </w:instrText>
          </w:r>
          <w:r>
            <w:rPr>
              <w:rStyle w:val="1322"/>
            </w:rPr>
            <w:fldChar w:fldCharType="separate"/>
          </w:r>
          <w:r>
            <w:rPr>
              <w:rStyle w:val="1322"/>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"_Toc202797599"</w:instrText>
          </w:r>
          <w:r>
            <w:rPr>
              <w:rStyle w:val="1322"/>
            </w:rPr>
            <w:instrText xml:space="preserve"> </w:instrText>
          </w:r>
          <w:r>
            <w:rPr>
              <w:rStyle w:val="1322"/>
            </w:rPr>
            <w:fldChar w:fldCharType="separate"/>
          </w:r>
          <w:r>
            <w:rPr>
              <w:rStyle w:val="1322"/>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"_Toc202797600"</w:instrText>
          </w:r>
          <w:r>
            <w:rPr>
              <w:rStyle w:val="1322"/>
            </w:rPr>
            <w:instrText xml:space="preserve"> </w:instrText>
          </w:r>
          <w:r>
            <w:rPr>
              <w:rStyle w:val="1322"/>
            </w:rPr>
            <w:fldChar w:fldCharType="separate"/>
          </w:r>
          <w:r>
            <w:rPr>
              <w:rStyle w:val="1322"/>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"_Toc202797601"</w:instrText>
          </w:r>
          <w:r>
            <w:rPr>
              <w:rStyle w:val="1322"/>
            </w:rPr>
            <w:instrText xml:space="preserve"> </w:instrText>
          </w:r>
          <w:r>
            <w:rPr>
              <w:rStyle w:val="1322"/>
            </w:rPr>
            <w:fldChar w:fldCharType="separate"/>
          </w:r>
          <w:r>
            <w:rPr>
              <w:rStyle w:val="1322"/>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"_Toc202797602"</w:instrText>
          </w:r>
          <w:r>
            <w:rPr>
              <w:rStyle w:val="1322"/>
            </w:rPr>
            <w:instrText xml:space="preserve"> </w:instrText>
          </w:r>
          <w:r>
            <w:rPr>
              <w:rStyle w:val="1322"/>
            </w:rPr>
            <w:fldChar w:fldCharType="separate"/>
          </w:r>
          <w:r>
            <w:rPr>
              <w:rStyle w:val="1322"/>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"_Toc202797603"</w:instrText>
          </w:r>
          <w:r>
            <w:rPr>
              <w:rStyle w:val="1322"/>
            </w:rPr>
            <w:instrText xml:space="preserve"> </w:instrText>
          </w:r>
          <w:r>
            <w:rPr>
              <w:rStyle w:val="1322"/>
            </w:rPr>
            <w:fldChar w:fldCharType="separate"/>
          </w:r>
          <w:r>
            <w:rPr>
              <w:rStyle w:val="1322"/>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"_Toc202797604"</w:instrText>
          </w:r>
          <w:r>
            <w:rPr>
              <w:rStyle w:val="1322"/>
            </w:rPr>
            <w:instrText xml:space="preserve"> </w:instrText>
          </w:r>
          <w:r>
            <w:rPr>
              <w:rStyle w:val="1322"/>
            </w:rPr>
            <w:fldChar w:fldCharType="separate"/>
          </w:r>
          <w:r>
            <w:rPr>
              <w:rStyle w:val="1322"/>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"_Toc202797605"</w:instrText>
          </w:r>
          <w:r>
            <w:rPr>
              <w:rStyle w:val="1322"/>
            </w:rPr>
            <w:instrText xml:space="preserve"> </w:instrText>
          </w:r>
          <w:r>
            <w:rPr>
              <w:rStyle w:val="1322"/>
            </w:rPr>
            <w:fldChar w:fldCharType="separate"/>
          </w:r>
          <w:r>
            <w:rPr>
              <w:rStyle w:val="1322"/>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"_Toc202797606"</w:instrText>
          </w:r>
          <w:r>
            <w:rPr>
              <w:rStyle w:val="1322"/>
            </w:rPr>
            <w:instrText xml:space="preserve"> </w:instrText>
          </w:r>
          <w:r>
            <w:rPr>
              <w:rStyle w:val="1322"/>
            </w:rPr>
            <w:fldChar w:fldCharType="separate"/>
          </w:r>
          <w:r>
            <w:rPr>
              <w:rStyle w:val="1322"/>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"_Toc202797607"</w:instrText>
          </w:r>
          <w:r>
            <w:rPr>
              <w:rStyle w:val="1322"/>
            </w:rPr>
            <w:instrText xml:space="preserve"> </w:instrText>
          </w:r>
          <w:r>
            <w:rPr>
              <w:rStyle w:val="1322"/>
            </w:rPr>
            <w:fldChar w:fldCharType="separate"/>
          </w:r>
          <w:r>
            <w:rPr>
              <w:rStyle w:val="1322"/>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"_Toc202797608"</w:instrText>
          </w:r>
          <w:r>
            <w:rPr>
              <w:rStyle w:val="1322"/>
            </w:rPr>
            <w:instrText xml:space="preserve"> </w:instrText>
          </w:r>
          <w:r>
            <w:rPr>
              <w:rStyle w:val="1322"/>
            </w:rPr>
            <w:fldChar w:fldCharType="separate"/>
          </w:r>
          <w:r>
            <w:rPr>
              <w:rStyle w:val="1322"/>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"_Toc202797609"</w:instrText>
          </w:r>
          <w:r>
            <w:rPr>
              <w:rStyle w:val="1322"/>
            </w:rPr>
            <w:instrText xml:space="preserve"> </w:instrText>
          </w:r>
          <w:r>
            <w:rPr>
              <w:rStyle w:val="1322"/>
            </w:rPr>
            <w:fldChar w:fldCharType="separate"/>
          </w:r>
          <w:r>
            <w:rPr>
              <w:rStyle w:val="1322"/>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"_Toc202797610"</w:instrText>
          </w:r>
          <w:r>
            <w:rPr>
              <w:rStyle w:val="1322"/>
            </w:rPr>
            <w:instrText xml:space="preserve"> </w:instrText>
          </w:r>
          <w:r>
            <w:rPr>
              <w:rStyle w:val="1322"/>
            </w:rPr>
            <w:fldChar w:fldCharType="separate"/>
          </w:r>
          <w:r>
            <w:rPr>
              <w:rStyle w:val="1322"/>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"_Toc202797611"</w:instrText>
          </w:r>
          <w:r>
            <w:rPr>
              <w:rStyle w:val="1322"/>
            </w:rPr>
            <w:instrText xml:space="preserve"> </w:instrText>
          </w:r>
          <w:r>
            <w:rPr>
              <w:rStyle w:val="1322"/>
            </w:rPr>
            <w:fldChar w:fldCharType="separate"/>
          </w:r>
          <w:r>
            <w:rPr>
              <w:rStyle w:val="1322"/>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"_Toc202797612"</w:instrText>
          </w:r>
          <w:r>
            <w:rPr>
              <w:rStyle w:val="1322"/>
            </w:rPr>
            <w:instrText xml:space="preserve"> </w:instrText>
          </w:r>
          <w:r>
            <w:rPr>
              <w:rStyle w:val="1322"/>
            </w:rPr>
            <w:fldChar w:fldCharType="separate"/>
          </w:r>
          <w:r>
            <w:rPr>
              <w:rStyle w:val="1322"/>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"_Toc202797613"</w:instrText>
          </w:r>
          <w:r>
            <w:rPr>
              <w:rStyle w:val="1322"/>
            </w:rPr>
            <w:instrText xml:space="preserve"> </w:instrText>
          </w:r>
          <w:r>
            <w:rPr>
              <w:rStyle w:val="1322"/>
            </w:rPr>
            <w:fldChar w:fldCharType="separate"/>
          </w:r>
          <w:r>
            <w:rPr>
              <w:rStyle w:val="1322"/>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322"/>
            </w:rPr>
            <w:fldChar w:fldCharType="end"/>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p>
    <w:p>
      <w:pPr>
        <w:pStyle w:val="1289"/>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ascii="Arial" w:hAnsi="Arial" w:eastAsia="微软雅黑" w:cs="Arial"/>
          <w:sz w:val="22"/>
          <w:szCs w:val="22"/>
        </w:rPr>
      </w:r>
      <w:r>
        <w:rPr>
          <w:rFonts w:ascii="Arial" w:hAnsi="Arial" w:eastAsia="微软雅黑" w:cs="Arial"/>
          <w:b/>
          <w:color w:val="0000ff"/>
          <w:sz w:val="22"/>
          <w:szCs w:val="22"/>
        </w:rPr>
      </w:r>
    </w:p>
    <w:tbl>
      <w:tblPr>
        <w:tblStyle w:val="1444"/>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3</w:t>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4.7</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w:t>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7.4.2</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8</w:t>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p>
    <w:p>
      <w:pPr>
        <w:pStyle w:val="1289"/>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
        <w:rPr>
          <w:rFonts w:ascii="Arial" w:hAnsi="Arial" w:eastAsia="微软雅黑" w:cs="Arial"/>
          <w:szCs w:val="22"/>
        </w:rPr>
      </w:r>
    </w:p>
    <w:tbl>
      <w:tblPr>
        <w:tblStyle w:val="1400"/>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{{清单模板-数据表-B5}}或本公司</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
        <w:rPr>
          <w:rFonts w:ascii="Arial" w:hAnsi="Arial" w:eastAsia="微软雅黑" w:cs="Arial"/>
          <w:color w:val="4f81bd"/>
          <w:sz w:val="28"/>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评估期间，{{清单模板-数据表-B5}}的主要关联交易为：</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{{清单模板-数据表-B5}}从关联方采购以及向关联方销售货物；</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{{清单模板-数据表-B5}}参与集团现金池。</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上述关联交易，以下简称“受测关联交易”。其他任何涉及{{清单模板-数据表-B5}}和其他关联公司或分支机构的关联交易不在本报告的分析范围内。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在整个集团经营活动中，{{清单模板-数据表-B5}}作为履行上述功能并且承担上述风险的生产制造商，利润水平和其承担的功能风险相匹配。</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p>
    <w:tbl>
      <w:tblPr>
        <w:tblStyle w:val="1293"/>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本报告是由立信根据截止于报告提交日由{{清单模板-数据表-B5}</w:t>
      </w:r>
      <w:r>
        <w:rPr>
          <w:rFonts w:ascii="Arial" w:hAnsi="Arial" w:eastAsia="微软雅黑" w:cs="Arial"/>
          <w:sz w:val="22"/>
          <w:szCs w:val="22"/>
        </w:rPr>
        <w:t xml:space="preserve">}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本报告是依照[2016]42号公告第14条对同期资料的相关规定而准备，{{清单模板-数据表-B5}}公司可以在中国税务机关要求的情况下将本报告提交给中国税务机关。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324"/>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bookmarkEnd w:id="65"/>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
        <w:rPr>
          <w:rFonts w:ascii="Arial" w:hAnsi="Arial" w:eastAsia="微软雅黑" w:cs="Arial"/>
          <w:b w:val="0"/>
          <w:bCs w:val="0"/>
          <w:i w:val="0"/>
          <w:color w:val="4f81bd"/>
          <w:sz w:val="22"/>
          <w:szCs w:val="22"/>
        </w:rPr>
      </w:r>
    </w:p>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324"/>
          <w:rFonts w:ascii="Arial" w:hAnsi="Arial" w:eastAsia="微软雅黑" w:cs="Arial"/>
          <w:bCs w:val="0"/>
          <w:color w:val="4f81bd"/>
          <w:sz w:val="18"/>
          <w:szCs w:val="15"/>
        </w:rPr>
        <w:footnoteReference w:id="3"/>
      </w:r>
      <w:bookmarkEnd w:id="75"/>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{{清单模板-数据表-B5}}的基本信息详见下表。</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图表2：{{清单模板-数据表-B5}}基本信息</w:t>
      </w:r>
      <w:r>
        <w:rPr>
          <w:rFonts w:ascii="Arial" w:hAnsi="Arial" w:eastAsia="微软雅黑" w:cs="Arial"/>
          <w:bCs w:val="0"/>
          <w:sz w:val="18"/>
          <w:szCs w:val="18"/>
        </w:rPr>
      </w:r>
    </w:p>
    <w:tbl>
      <w:tblPr>
        <w:tblStyle w:val="1293"/>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{{清单模板-数据表-B2}}适用的企业所得税率</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截至{{清单模板-数据表-B2}}12月31日，{{清单模板-数据表-B5}}的管理组织结构显示如下：</w:t>
      </w:r>
      <w:r>
        <w:rPr>
          <w:rFonts w:ascii="Arial" w:hAnsi="Arial" w:eastAsia="微软雅黑" w:cs="Arial"/>
          <w:sz w:val="22"/>
          <w:szCs w:val="22"/>
        </w:rPr>
      </w:r>
    </w:p>
    <w:p>
      <w:pPr>
        <w:pStyle w:val="1295"/>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图表3：{{清单模板-数据表-B5}}的组织结构图</w:t>
      </w:r>
      <w:bookmarkEnd w:id="81"/>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图表4：{{清单模板-数据表-B5}}部门结构</w:t>
      </w:r>
      <w:bookmarkEnd w:id="82"/>
      <w:r/>
      <w:r>
        <w:rPr>
          <w:rFonts w:ascii="Arial" w:hAnsi="Arial" w:eastAsia="微软雅黑" w:cs="Arial"/>
          <w:bCs w:val="0"/>
          <w:sz w:val="18"/>
          <w:szCs w:val="18"/>
        </w:rPr>
      </w:r>
    </w:p>
    <w:tbl>
      <w:tblPr>
        <w:tblStyle w:val="14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bCs/>
                <w:sz w:val="18"/>
                <w:szCs w:val="18"/>
              </w:rPr>
            </w:pPr>
            <w:r>
              <w:rPr>
                <w:rFonts w:hint="eastAsia" w:ascii="Arial" w:hAnsi="Arial" w:eastAsia="微软雅黑"/>
                <w:sz w:val="18"/>
                <w:szCs w:val="18"/>
              </w:rPr>
            </w:r>
            <w:r>
              <w:rPr>
                <w:rFonts w:ascii="Arial" w:hAnsi="Arial" w:eastAsia="微软雅黑" w:cs="Arial"/>
                <w:bCs/>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jc w:val="left"/>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bCs/>
                <w:sz w:val="18"/>
                <w:szCs w:val="18"/>
              </w:rPr>
            </w:pPr>
            <w:r>
              <w:rPr>
                <w:rFonts w:hint="eastAsia" w:ascii="Arial" w:hAnsi="Arial" w:eastAsia="微软雅黑"/>
                <w:sz w:val="18"/>
                <w:szCs w:val="18"/>
              </w:rPr>
            </w:r>
            <w:r>
              <w:rPr>
                <w:rFonts w:ascii="Arial" w:hAnsi="Arial" w:eastAsia="微软雅黑" w:cs="Arial"/>
                <w:bCs/>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bCs/>
                <w:sz w:val="18"/>
                <w:szCs w:val="18"/>
              </w:rPr>
            </w:pPr>
            <w:r>
              <w:rPr>
                <w:rFonts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5975" w:type="dxa"/>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sz w:val="18"/>
                <w:szCs w:val="18"/>
              </w:rPr>
            </w:r>
            <w:r>
              <w:rPr>
                <w:rFonts w:ascii="Arial" w:hAnsi="Arial" w:eastAsia="微软雅黑" w:cs="Arial"/>
                <w:sz w:val="18"/>
                <w:szCs w:val="18"/>
              </w:rPr>
            </w:r>
          </w:p>
        </w:tc>
      </w:tr>
      <w:tr>
        <w:trPr>
          <w:trHeight w:val="397"/>
        </w:trPr>
        <w:tc>
          <w:tcPr>
            <w:shd w:val="clear" w:color="auto" w:fill="auto"/>
            <w:tcBorders/>
            <w:tcW w:w="1402" w:type="dxa"/>
            <w:vAlign w:val="center"/>
            <w:textDirection w:val="lrTb"/>
            <w:noWrap w:val="false"/>
          </w:tcPr>
          <w:p>
            <w:pPr>
              <w:pBdr/>
              <w:spacing w:after="0" w:before="0"/>
              <w:ind w:right="0" w:left="0"/>
              <w:jc w:val="center"/>
              <w:rPr>
                <w:rFonts w:ascii="Arial" w:hAnsi="Arial" w:eastAsia="微软雅黑" w:cs="Arial"/>
                <w:b w:val="0"/>
                <w:bCs/>
                <w:sz w:val="18"/>
                <w:szCs w:val="18"/>
              </w:rPr>
            </w:pPr>
            <w:r>
              <w:rPr>
                <w:rFonts w:ascii="Arial" w:hAnsi="Arial" w:eastAsia="微软雅黑" w:cs="Arial"/>
                <w:b/>
                <w:bCs w:val="0"/>
                <w:sz w:val="18"/>
                <w:szCs w:val="18"/>
              </w:rPr>
            </w:r>
            <w:r>
              <w:rPr>
                <w:rFonts w:ascii="Arial" w:hAnsi="Arial" w:eastAsia="微软雅黑" w:cs="Arial"/>
                <w:b w:val="0"/>
                <w:bCs/>
                <w:sz w:val="18"/>
                <w:szCs w:val="18"/>
              </w:rPr>
            </w:r>
          </w:p>
        </w:tc>
        <w:tc>
          <w:tcPr>
            <w:shd w:val="clear" w:color="auto" w:fill="auto"/>
            <w:tcBorders/>
            <w:tcW w:w="919" w:type="dxa"/>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bCs/>
                <w:sz w:val="18"/>
                <w:szCs w:val="18"/>
              </w:rPr>
            </w:r>
            <w:r>
              <w:rPr>
                <w:rFonts w:ascii="Arial" w:hAnsi="Arial" w:eastAsia="微软雅黑" w:cs="Arial"/>
                <w:b/>
                <w:bCs/>
                <w:sz w:val="18"/>
                <w:szCs w:val="18"/>
              </w:rPr>
            </w:r>
          </w:p>
        </w:tc>
        <w:tc>
          <w:tcPr>
            <w:shd w:val="clear" w:color="auto" w:fill="auto"/>
            <w:tcBorders/>
            <w:tcW w:w="5975"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从事生产业务。下表列示了{{清单模板-数据表-B2}}{{清单模板-数据表-B5}}的具体财务状况。由于{{清单模板-数据表-B5}}主要从事生产业务，因此并不存在财务数据需要在不同类型的业务中拆分的情况：</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Style w:val="1324"/>
          <w:rFonts w:ascii="Arial" w:hAnsi="Arial" w:eastAsia="微软雅黑" w:cs="Arial"/>
          <w:bCs w:val="0"/>
          <w:sz w:val="18"/>
          <w:szCs w:val="18"/>
        </w:rPr>
        <w:footnoteReference w:id="5"/>
      </w:r>
      <w:r>
        <w:rPr>
          <w:rFonts w:ascii="Arial" w:hAnsi="Arial" w:eastAsia="微软雅黑" w:cs="Arial"/>
          <w:bCs w:val="0"/>
          <w:sz w:val="18"/>
          <w:szCs w:val="18"/>
        </w:rPr>
      </w:r>
    </w:p>
    <w:tbl>
      <w:tblPr>
        <w:tblStyle w:val="129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金额（人民币元）</w:t>
            </w:r>
            <w:r>
              <w:rPr>
                <w:rFonts w:ascii="Arial" w:hAnsi="Arial" w:eastAsia="微软雅黑" w:cs="Arial"/>
                <w:b/>
                <w:bCs/>
                <w:color w:val="ffffff" w:themeColor="background1"/>
                <w:sz w:val="18"/>
                <w:szCs w:val="18"/>
                <w14:textFill>
                  <w14:solidFill>
                    <w14:schemeClr w14:val="bg1"/>
                  </w14:solidFill>
                </w14:textFill>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主营业务收入 </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a</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hint="eastAsia"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主营业务成本</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b</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c</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d</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管理费用 </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e</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总成本</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f = b+c+d+e</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息税前利润</w:t>
            </w:r>
            <w:r>
              <w:rPr>
                <w:rFonts w:ascii="Arial" w:hAnsi="Arial" w:eastAsia="微软雅黑" w:cs="Arial"/>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g = a-f</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r>
        <w:trPr>
          <w:trHeight w:val="363"/>
        </w:trPr>
        <w:tc>
          <w:tcPr>
            <w:shd w:val="clear" w:color="auto" w:fill="auto"/>
            <w:tcBorders/>
            <w:tcMar>
              <w:left w:w="15" w:type="dxa"/>
              <w:top w:w="15" w:type="dxa"/>
              <w:right w:w="15" w:type="dxa"/>
              <w:bottom w:w="0" w:type="dxa"/>
            </w:tcMar>
            <w:tcW w:w="1621" w:type="pct"/>
            <w:vAlign w:val="center"/>
            <w:textDirection w:val="lrTb"/>
            <w:noWrap w:val="false"/>
          </w:tcPr>
          <w:p>
            <w:pPr>
              <w:pBdr/>
              <w:spacing w:after="0" w:before="0"/>
              <w:ind w:right="0" w:left="0"/>
              <w:jc w:val="left"/>
              <w:rPr>
                <w:rFonts w:ascii="Arial" w:hAnsi="Arial" w:eastAsia="微软雅黑" w:cs="Arial"/>
                <w:bCs/>
                <w:color w:val="000000"/>
                <w:sz w:val="18"/>
                <w:szCs w:val="18"/>
              </w:rPr>
            </w:pPr>
            <w:r>
              <w:rPr>
                <w:rFonts w:ascii="Arial" w:hAnsi="Arial" w:eastAsia="微软雅黑" w:cs="Arial"/>
                <w:bCs/>
                <w:color w:val="000000"/>
                <w:sz w:val="18"/>
                <w:szCs w:val="18"/>
              </w:rPr>
              <w:t xml:space="preserve">完全成本加成率</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Cs/>
                <w:color w:val="000000"/>
                <w:sz w:val="18"/>
                <w:szCs w:val="18"/>
              </w:rPr>
            </w:pPr>
            <w:r>
              <w:rPr>
                <w:rFonts w:ascii="Arial" w:hAnsi="Arial" w:eastAsia="微软雅黑" w:cs="Arial"/>
                <w:bCs/>
                <w:color w:val="000000"/>
                <w:sz w:val="18"/>
                <w:szCs w:val="18"/>
              </w:rPr>
              <w:t xml:space="preserve">h = g/f</w:t>
            </w:r>
            <w:r>
              <w:rPr>
                <w:rFonts w:ascii="Arial" w:hAnsi="Arial" w:eastAsia="微软雅黑" w:cs="Arial"/>
                <w:bCs/>
                <w:color w:val="000000"/>
                <w:sz w:val="18"/>
                <w:szCs w:val="18"/>
              </w:rPr>
            </w:r>
          </w:p>
        </w:tc>
        <w:tc>
          <w:tcPr>
            <w:shd w:val="clear" w:color="auto" w:fill="auto"/>
            <w:tcBorders/>
            <w:tcMar>
              <w:left w:w="15" w:type="dxa"/>
              <w:top w:w="15" w:type="dxa"/>
              <w:right w:w="15" w:type="dxa"/>
              <w:bottom w:w="0" w:type="dxa"/>
            </w:tcMar>
            <w:tcW w:w="1842" w:type="pct"/>
            <w:vAlign w:val="center"/>
            <w:textDirection w:val="lrTb"/>
            <w:noWrap w:val="false"/>
          </w:tcPr>
          <w:p>
            <w:pPr>
              <w:pBdr/>
              <w:spacing w:after="0" w:before="0"/>
              <w:ind w:right="0" w:left="0"/>
              <w:jc w:val="right"/>
              <w:rPr>
                <w:rFonts w:ascii="Arial" w:hAnsi="Arial" w:eastAsia="微软雅黑" w:cs="Arial"/>
                <w:bCs/>
                <w:color w:val="000000"/>
                <w:sz w:val="18"/>
                <w:szCs w:val="18"/>
              </w:rPr>
            </w:pPr>
            <w:r>
              <w:rPr>
                <w:rFonts w:ascii="Arial" w:hAnsi="Arial" w:eastAsia="微软雅黑" w:cs="Arial"/>
                <w:bCs/>
                <w:color w:val="000000"/>
                <w:sz w:val="18"/>
                <w:szCs w:val="18"/>
              </w:rPr>
              <w:t xml:space="preserve">{{清单模板-PL含特殊因素调整}}</w:t>
            </w:r>
            <w:r>
              <w:rPr>
                <w:rFonts w:ascii="Arial" w:hAnsi="Arial" w:eastAsia="微软雅黑" w:cs="Arial"/>
                <w:bCs/>
                <w:color w:val="000000"/>
                <w:sz w:val="18"/>
                <w:szCs w:val="18"/>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评估期间，{{清单模板-数据表-B5}}未发生重组和无形资产转让的情况，无重大对外投资，也无关联股权转让。企业的经营状况未受到重大影响。</w:t>
      </w:r>
      <w:bookmarkEnd w:id="93"/>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24"/>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因此，我们将对{{清单模板-数据表-B5}}相关的行业领域，即工业自动化设备制造业，进行分析。分析的具体方面如下：</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{{清单模板-数据表-B5}}生产公司总部位于美国北卡罗来纳州的夏洛特市，该公司的产品主要集中于在食品、饮料和工业市场的旋转、制动和液压技术以及自动化处理系统。{{清单模板-数据</w:t>
      </w:r>
      <w:r>
        <w:rPr>
          <w:rFonts w:ascii="Arial" w:hAnsi="Arial" w:eastAsia="微软雅黑" w:cs="Arial"/>
          <w:sz w:val="22"/>
          <w:szCs w:val="22"/>
        </w:rPr>
        <w:t xml:space="preserve">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324"/>
          <w:rFonts w:ascii="Arial" w:hAnsi="Arial" w:eastAsia="微软雅黑" w:cs="Arial"/>
          <w:b w:val="0"/>
          <w:i w:val="0"/>
          <w:color w:val="4f81bd"/>
          <w:sz w:val="22"/>
          <w:szCs w:val="22"/>
        </w:rPr>
        <w:footnoteReference w:id="7"/>
      </w:r>
      <w:bookmarkEnd w:id="104"/>
      <w:r/>
      <w:bookmarkEnd w:id="105"/>
      <w:r/>
      <w:bookmarkEnd w:id="10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p>
    <w:p>
      <w:pPr>
        <w:pStyle w:val="1396"/>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324"/>
          <w:rFonts w:ascii="Arial" w:hAnsi="Arial" w:eastAsia="微软雅黑" w:cs="Arial"/>
        </w:rPr>
        <w:footnoteReference w:id="8"/>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Style w:val="1324"/>
          <w:rFonts w:ascii="Arial" w:hAnsi="Arial" w:eastAsia="微软雅黑" w:cs="Arial"/>
          <w:sz w:val="22"/>
          <w:szCs w:val="22"/>
        </w:rPr>
        <w:footnoteReference w:id="9"/>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w:t>
      </w: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Style w:val="1324"/>
          <w:rFonts w:ascii="Arial" w:hAnsi="Arial" w:eastAsia="微软雅黑" w:cs="Arial"/>
          <w:sz w:val="22"/>
          <w:szCs w:val="22"/>
        </w:rPr>
        <w:footnoteReference w:id="10"/>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Style w:val="1324"/>
          <w:rFonts w:ascii="Arial" w:hAnsi="Arial" w:eastAsia="微软雅黑" w:cs="Arial"/>
          <w:sz w:val="22"/>
          <w:szCs w:val="22"/>
        </w:rPr>
        <w:footnoteReference w:id="11"/>
      </w:r>
      <w:r>
        <w:rPr>
          <w:rStyle w:val="1324"/>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{{清单模板-数据表-B5}}主要下游产业为乳制品行业和工业行业，因此{{清单模板-数据表-B5}}受到乳制品行业和工业行业的影响较大。</w:t>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
        <w:rPr>
          <w:rFonts w:ascii="Arial" w:hAnsi="Arial" w:eastAsia="微软雅黑" w:cs="Arial"/>
          <w:b w:val="0"/>
          <w:i w:val="0"/>
          <w:color w:val="4f81bd" w:themeColor="accent1"/>
          <w:sz w:val="22"/>
          <w:szCs w:val="22"/>
          <w14:textFill>
            <w14:solidFill>
              <w14:schemeClr w14:val="accent1"/>
            </w14:solidFill>
          </w14:textFill>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Style w:val="1324"/>
          <w:rFonts w:ascii="Arial" w:hAnsi="Arial" w:eastAsia="微软雅黑" w:cs="Arial"/>
          <w:sz w:val="22"/>
          <w:szCs w:val="22"/>
        </w:rPr>
        <w:footnoteReference w:id="13"/>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p>
    <w:p>
      <w:pPr>
        <w:pStyle w:val="1309"/>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324"/>
          <w:rFonts w:ascii="Arial" w:hAnsi="Arial" w:eastAsia="微软雅黑" w:cs="Arial"/>
          <w:sz w:val="22"/>
          <w:szCs w:val="22"/>
          <w:lang w:bidi="ar"/>
        </w:rPr>
        <w:footnoteReference w:id="14"/>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5}}所处的工业自动化制造行业在结束下探走势，开始稳步回升。{{清单模板-数据表-B5}}主要下游行业——乳制品行业处于稳定成长的状态，随着国家对于乳业的支持以及消费渠道的打开，下游市场也预期良好。</w:t>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
        <w:rPr>
          <w:rFonts w:ascii="Arial" w:hAnsi="Arial" w:eastAsia="微软雅黑" w:cs="Arial"/>
          <w:color w:val="4f81bd"/>
          <w:sz w:val="28"/>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{{清单模板-数据表-B5}}{{清单模板-数据表-B2}}主要关联方的基本信息如下所示：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Style w:val="1324"/>
          <w:rFonts w:ascii="Arial" w:hAnsi="Arial" w:eastAsia="微软雅黑" w:cs="Arial"/>
          <w:sz w:val="22"/>
          <w:szCs w:val="22"/>
        </w:rPr>
        <w:footnoteReference w:id="15"/>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1324"/>
          <w:rFonts w:ascii="Arial" w:hAnsi="Arial" w:eastAsia="微软雅黑" w:cs="Arial"/>
          <w:sz w:val="22"/>
          <w:szCs w:val="22"/>
        </w:rPr>
        <w:footnoteReference w:id="16"/>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ascii="Arial" w:hAnsi="Arial" w:eastAsia="微软雅黑" w:cs="Arial"/>
          <w:sz w:val="22"/>
          <w:szCs w:val="22"/>
        </w:rPr>
      </w:r>
      <w:r>
        <w:rPr>
          <w:rFonts w:ascii="Arial" w:hAnsi="Arial" w:eastAsia="微软雅黑" w:cs="Aria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Style w:val="1324"/>
          <w:rFonts w:ascii="Arial" w:hAnsi="Arial" w:eastAsia="微软雅黑" w:cs="Arial"/>
          <w:sz w:val="22"/>
          <w:szCs w:val="22"/>
        </w:rPr>
        <w:footnoteReference w:id="17"/>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p>
    <w:tbl>
      <w:tblPr>
        <w:tblStyle w:val="1444"/>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{{清单模板-主要产品-A列中所列所有产品}}</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hint="eastAsia" w:ascii="Arial" w:hAnsi="Arial" w:eastAsia="微软雅黑" w:cs="Arial"/>
                <w:b w:val="0"/>
                <w:bCs/>
                <w:sz w:val="18"/>
                <w:szCs w:val="18"/>
              </w:rPr>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bCs/>
                <w:sz w:val="18"/>
                <w:szCs w:val="18"/>
              </w:rPr>
            </w:pPr>
            <w:r>
              <w:rPr>
                <w:rFonts w:hint="eastAsia" w:ascii="Arial" w:hAnsi="Arial" w:eastAsia="微软雅黑" w:cs="Arial"/>
                <w:b w:val="0"/>
                <w:bCs w:val="0"/>
                <w:sz w:val="18"/>
                <w:szCs w:val="18"/>
              </w:rPr>
            </w:r>
            <w:r>
              <w:rPr>
                <w:rFonts w:ascii="Arial" w:hAnsi="Arial" w:eastAsia="微软雅黑" w:cs="Arial"/>
                <w:b/>
                <w:bCs/>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2095" w:type="dxa"/>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val="0"/>
                <w:bCs/>
                <w:sz w:val="18"/>
                <w:szCs w:val="18"/>
              </w:rPr>
            </w:r>
            <w:r>
              <w:rPr>
                <w:rFonts w:ascii="Arial" w:hAnsi="Arial" w:eastAsia="微软雅黑" w:cs="Arial"/>
                <w:b w:val="0"/>
                <w:bCs/>
                <w:sz w:val="18"/>
                <w:szCs w:val="18"/>
              </w:rPr>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sz w:val="18"/>
                <w:szCs w:val="18"/>
              </w:rPr>
            </w:pPr>
            <w:r>
              <w:rPr>
                <w:rFonts w:hint="eastAsia" w:ascii="Arial" w:hAnsi="Arial" w:eastAsia="微软雅黑" w:cs="Arial"/>
                <w:sz w:val="18"/>
                <w:szCs w:val="18"/>
              </w:rPr>
            </w: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r>
        <w:trPr>
          <w:trHeight w:val="433"/>
        </w:trPr>
        <w:tc>
          <w:tcPr>
            <w:shd w:val="clear" w:color="auto" w:fill="auto"/>
            <w:tcBorders/>
            <w:tcW w:w="1338" w:type="pct"/>
            <w:vAlign w:val="center"/>
            <w:textDirection w:val="lrTb"/>
            <w:noWrap w:val="false"/>
          </w:tcPr>
          <w:p>
            <w:pPr>
              <w:pBdr/>
              <w:spacing w:after="0" w:before="0"/>
              <w:ind w:right="0" w:left="0"/>
              <w:jc w:val="center"/>
              <w:rPr>
                <w:rFonts w:ascii="Arial" w:hAnsi="Arial" w:eastAsia="微软雅黑" w:cs="Arial"/>
                <w:b w:val="0"/>
                <w:bCs w:val="0"/>
                <w:sz w:val="18"/>
                <w:szCs w:val="18"/>
              </w:rPr>
            </w:pPr>
            <w:r>
              <w:rPr>
                <w:rFonts w:ascii="Arial" w:hAnsi="Arial" w:eastAsia="微软雅黑" w:cs="Arial"/>
                <w:b/>
                <w:bCs/>
                <w:sz w:val="18"/>
                <w:szCs w:val="18"/>
              </w:rPr>
            </w:r>
            <w:r>
              <w:rPr>
                <w:rFonts w:ascii="Arial" w:hAnsi="Arial" w:eastAsia="微软雅黑" w:cs="Arial"/>
                <w:b w:val="0"/>
                <w:bCs w:val="0"/>
                <w:sz w:val="18"/>
                <w:szCs w:val="18"/>
              </w:rPr>
            </w:r>
          </w:p>
        </w:tc>
        <w:tc>
          <w:tcPr>
            <w:shd w:val="clear" w:color="auto" w:fill="auto"/>
            <w:tcBorders/>
            <w:tcW w:w="1255"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r>
            <w:r>
              <w:rPr>
                <w:rFonts w:ascii="Arial" w:hAnsi="Arial" w:eastAsia="微软雅黑" w:cs="Arial"/>
                <w:b/>
                <w:bCs/>
                <w:sz w:val="18"/>
                <w:szCs w:val="18"/>
              </w:rPr>
            </w:r>
          </w:p>
        </w:tc>
        <w:tc>
          <w:tcPr>
            <w:shd w:val="clear" w:color="auto" w:fill="auto"/>
            <w:tcBorders/>
            <w:tcW w:w="1171"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r>
            <w:r>
              <w:rPr>
                <w:rFonts w:ascii="Arial" w:hAnsi="Arial" w:eastAsia="微软雅黑" w:cs="Arial"/>
                <w:b/>
                <w:bCs/>
                <w:sz w:val="18"/>
                <w:szCs w:val="18"/>
              </w:rPr>
            </w:r>
          </w:p>
        </w:tc>
        <w:tc>
          <w:tcPr>
            <w:shd w:val="clear" w:color="auto" w:fill="auto"/>
            <w:tcBorders/>
            <w:tcW w:w="1236" w:type="pct"/>
            <w:vAlign w:val="center"/>
            <w:textDirection w:val="lrTb"/>
            <w:noWrap w:val="false"/>
          </w:tcPr>
          <w:p>
            <w:pPr>
              <w:pBdr/>
              <w:spacing w:after="0" w:before="0"/>
              <w:ind w:right="0" w:left="0"/>
              <w:jc w:val="right"/>
              <w:rPr>
                <w:rFonts w:ascii="Arial" w:hAnsi="Arial" w:eastAsia="微软雅黑" w:cs="Arial"/>
                <w:b/>
                <w:bCs/>
                <w:sz w:val="18"/>
                <w:szCs w:val="18"/>
              </w:rPr>
            </w:pPr>
            <w:r>
              <w:rPr>
                <w:rFonts w:ascii="Arial" w:hAnsi="Arial" w:eastAsia="微软雅黑" w:cs="Arial"/>
                <w:b/>
                <w:bCs/>
                <w:sz w:val="18"/>
                <w:szCs w:val="18"/>
              </w:rPr>
            </w:r>
            <w:r>
              <w:rPr>
                <w:rFonts w:ascii="Arial" w:hAnsi="Arial" w:eastAsia="微软雅黑" w:cs="Arial"/>
                <w:b/>
                <w:bCs/>
                <w:sz w:val="18"/>
                <w:szCs w:val="18"/>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{{清单模板-数据表-B5}}的关联购销流程如下图所示：</w:t>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18"/>
          <w:szCs w:val="20"/>
        </w:rPr>
      </w:r>
      <w:r>
        <w:rPr>
          <w:rFonts w:ascii="Arial" w:hAnsi="Arial" w:eastAsia="微软雅黑" w:cs="Arial"/>
          <w:b/>
          <w:sz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324"/>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bookmarkEnd w:id="148"/>
      <w:bookmarkEnd w:id="159"/>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评估期间，{{清单模板-数据表-B5}}关联采购的关联方和交易金额如下表所示：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图表10：{{清单模板-数据表-B2}}关联采购交易明细表</w:t>
      </w:r>
      <w:r>
        <w:rPr>
          <w:rFonts w:ascii="Arial" w:hAnsi="Arial" w:eastAsia="微软雅黑" w:cs="Arial"/>
          <w:bCs w:val="0"/>
          <w:sz w:val="18"/>
          <w:szCs w:val="18"/>
        </w:rPr>
      </w:r>
    </w:p>
    <w:tbl>
      <w:tblPr>
        <w:tblStyle w:val="129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{{清单模板-关联方个人信息}}</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评估期间，{{清单模板-数据表-B5}}关联销售的关联方和交易金额如下表所示：</w:t>
      </w:r>
      <w:r>
        <w:rPr>
          <w:rFonts w:ascii="Arial" w:hAnsi="Arial" w:eastAsia="微软雅黑" w:cs="Arial"/>
          <w:color w:val="000000" w:themeColor="text1"/>
          <w:sz w:val="22"/>
          <w:szCs w:val="22"/>
          <w14:textFill>
            <w14:solidFill>
              <w14:schemeClr w14:val="tx1"/>
            </w14:solidFill>
          </w14:textFil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图表11：{{清单模板-数据表-B2}} 年度关联销售交易明细表</w:t>
      </w:r>
      <w:r>
        <w:rPr>
          <w:rFonts w:ascii="Arial" w:hAnsi="Arial" w:eastAsia="微软雅黑" w:cs="Arial"/>
          <w:bCs w:val="0"/>
          <w:sz w:val="18"/>
          <w:szCs w:val="18"/>
        </w:rPr>
      </w:r>
    </w:p>
    <w:tbl>
      <w:tblPr>
        <w:tblStyle w:val="1293"/>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{{清单模板-关联关系变化情况}}</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宋体" w:cs="Arial"/>
                <w:color w:val="000000"/>
                <w:sz w:val="18"/>
                <w:szCs w:val="18"/>
              </w:rPr>
            </w:pPr>
            <w:r>
              <w:rPr>
                <w:rFonts w:hint="eastAsia" w:ascii="Arial" w:hAnsi="Arial" w:eastAsia="宋体" w:cs="Arial"/>
                <w:color w:val="000000"/>
                <w:sz w:val="18"/>
                <w:szCs w:val="18"/>
              </w:rPr>
            </w:r>
            <w:r>
              <w:rPr>
                <w:rFonts w:ascii="Arial" w:hAnsi="Arial" w:eastAsia="宋体"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hint="eastAsia"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{{清单模板-数据表-B5}}与关联方劳务交易流程如下图所示：</w:t>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324"/>
          <w:rFonts w:ascii="Arial" w:hAnsi="Arial" w:eastAsia="微软雅黑" w:cs="Arial"/>
          <w:b w:val="0"/>
          <w:i w:val="0"/>
          <w:color w:val="4f81bd" w:themeColor="accent1"/>
          <w:sz w:val="22"/>
          <w:szCs w:val="22"/>
          <w14:textFill>
            <w14:solidFill>
              <w14:schemeClr w14:val="accent1"/>
            </w14:solidFill>
          </w14:textFill>
        </w:rPr>
        <w:footnoteReference w:id="19"/>
      </w:r>
      <w:bookmarkEnd w:id="30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评估期间，{{清单模板-数据表-B5}}关联劳务支出的关联方和交易金额如下表所示：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{{清单模板-关联交易汇总表}}</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r>
            <w:r>
              <w:rPr>
                <w:rFonts w:ascii="Arial" w:hAnsi="Arial" w:eastAsia="微软雅黑" w:cs="Arial"/>
                <w:b/>
                <w:bCs/>
                <w:color w:val="000000"/>
                <w:sz w:val="18"/>
                <w:szCs w:val="18"/>
              </w:rPr>
            </w:r>
          </w:p>
        </w:tc>
      </w:tr>
      <w:tr>
        <w:trPr>
          <w:jc w:val="center"/>
          <w:trHeight w:val="240"/>
        </w:trPr>
        <w:tc>
          <w:tcPr>
            <w:shd w:val="clear" w:color="auto" w:fill="auto"/>
            <w:tcBorders/>
            <w:tcW w:w="1413" w:type="dxa"/>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{{清单模板-5_客户清单}}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hint="eastAsia" w:ascii="Arial" w:hAnsi="Arial" w:eastAsia="宋体" w:cs="Arial"/>
                <w:color w:val="000000"/>
                <w:sz w:val="18"/>
                <w:szCs w:val="18"/>
              </w:rPr>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r>
            <w:r>
              <w:rPr>
                <w:rFonts w:ascii="Arial" w:hAnsi="Arial" w:eastAsia="微软雅黑" w:cs="Arial"/>
                <w:b/>
                <w:bCs/>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以下将对{{清单模板-数据表-B5}}从斯必克中国投资和SPX Flow, Inc.接受的劳务，从相关服务内容和受益性两个方面进行分析。</w:t>
      </w:r>
      <w:r>
        <w:rPr>
          <w:rFonts w:ascii="Arial" w:hAnsi="Arial" w:eastAsia="微软雅黑" w:cs="Arial"/>
          <w:sz w:val="22"/>
          <w:szCs w:val="22"/>
        </w:rPr>
      </w:r>
    </w:p>
    <w:p>
      <w:pPr>
        <w:pStyle w:val="1461"/>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396"/>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p>
    <w:p>
      <w:pPr>
        <w:pStyle w:val="1461"/>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Inc.以其现有的成熟团队的技能和经验向{{清单模板-数据表-B5}}提供上述人力资源管理服务、财务经济管理服务、内部数据分析服务、信息系统服务、支持性服务以及终端市场服务。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人力资源管理服务可以更好地降低{{清单模板-数据表-B5}}的用人成本，集中员工的专业度，为企业做好人员管理和薪酬规划，提高企业的核心竞争力以及为企业未来的发展做好准备。</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清单模板-数据表-B5}}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支持性服务对{{清单模板-数据表-B5}}的日常运营起到了辅助作用，维持与保障企业的稳定。</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终端市场服务为{{清单模板-数据表-B5}}在越发重要的终端市场提供了保障，从而对企业的销售和运营起到了积极的推动作用。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309"/>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根据{{清单模板-数据表-B5}}与SPX Flow, Inc.签署的《执行支持服务合同》，SPX Flow,Inc.按年度归集实际发生的成本，并考虑相关因素向服务受益方收取服务费。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为充分利用各公司闲置资金，提高资金的使用效率，{{清单模板-数据表-B5}}与斯必克集团在中国境内的关联公司通过商业银行进行现金池业务。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评估期间，{{清单模板-数据表-B5}}与关联方均依据协议中的条款和约定履行各自的责任和义务。</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评估期间，{{清单模板-数据表-B5}}无与企业关联交易直接相关的预约定价安排和作出的其他税收裁定。</w:t>
      </w:r>
      <w:bookmarkEnd w:id="352"/>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{{清单模板-数据表-B5}}原则上根据实际情况在不同的交易类型中归集、划分成本和费用，对于不能按照实际情况划分的成本和费用，{{清单模板-数据表-B5}}按照合理比例进行划分。</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324"/>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24"/>
          <w:rFonts w:ascii="Arial" w:hAnsi="Arial" w:eastAsia="微软雅黑" w:cs="Arial"/>
          <w:sz w:val="22"/>
          <w:szCs w:val="22"/>
        </w:rPr>
        <w:footnoteReference w:id="20"/>
      </w:r>
      <w:r>
        <w:rPr>
          <w:rStyle w:val="1324"/>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w:t>
      </w:r>
      <w:r>
        <w:rPr>
          <w:rFonts w:ascii="Arial" w:hAnsi="Arial" w:eastAsia="微软雅黑" w:cs="Arial"/>
          <w:sz w:val="22"/>
          <w:szCs w:val="22"/>
        </w:rPr>
        <w:t xml:space="preserve">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在本报告的功能和风险分析部分，我们将对{{清单模板-数据表-B5}}在受测关联交易中与其关联方之间形成的经济关系进行分析和评估。</w:t>
      </w:r>
      <w:r>
        <w:rPr>
          <w:rFonts w:ascii="Arial" w:hAnsi="Arial" w:eastAsia="微软雅黑" w:cs="Aria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此处我们将主要分析{{清单模板-数据表-B5}}及其关联企业各个业务部门在关联交易中所从事的业务活动，以及关联交易的各个参与方所执行的功能。</w:t>
      </w:r>
      <w:r>
        <w:rPr>
          <w:rFonts w:ascii="Arial" w:hAnsi="Arial" w:eastAsia="微软雅黑" w:cs="Arial"/>
          <w:sz w:val="22"/>
          <w:szCs w:val="22"/>
        </w:rPr>
      </w:r>
    </w:p>
    <w:p>
      <w:pPr>
        <w:pStyle w:val="1461"/>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清单模板-数据表-B5}}承担产品的工程设计功能；而在境外关联销售交易中，{{清单模板-数据表-B5}}仅负责所生产设备的部分工程设计，而境外关联方负责完整设备生产线的工程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因此，评估期间，{{清单模板-数据表-B5}}与其关联方共同执行研发功能：在第三方销售中，执行正常的研发功能；在关联销售中，执行有限的研发功能。</w:t>
      </w:r>
      <w:r>
        <w:rPr>
          <w:rFonts w:ascii="Arial" w:hAnsi="Arial" w:eastAsia="微软雅黑" w:cs="Arial"/>
          <w:sz w:val="22"/>
          <w:szCs w:val="22"/>
        </w:rPr>
      </w:r>
    </w:p>
    <w:p>
      <w:pPr>
        <w:pStyle w:val="1461"/>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因此，{{清单模板-数据表-B5}}执行采购功能。</w:t>
      </w:r>
      <w:r>
        <w:rPr>
          <w:rFonts w:ascii="Arial" w:hAnsi="Arial" w:eastAsia="微软雅黑" w:cs="Arial"/>
          <w:sz w:val="22"/>
          <w:szCs w:val="22"/>
        </w:rPr>
      </w:r>
    </w:p>
    <w:p>
      <w:pPr>
        <w:pStyle w:val="1461"/>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因此，{{清单模板-数据表-B5}}执行生产功能。</w:t>
      </w:r>
      <w:r>
        <w:rPr>
          <w:rFonts w:ascii="Arial" w:hAnsi="Arial" w:eastAsia="微软雅黑" w:cs="Arial"/>
          <w:sz w:val="22"/>
          <w:szCs w:val="22"/>
        </w:rPr>
      </w:r>
    </w:p>
    <w:p>
      <w:pPr>
        <w:pStyle w:val="1461"/>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因此，{{清单模板-数据表-B5}}执行质量控制功能。</w:t>
      </w:r>
      <w:r>
        <w:rPr>
          <w:rFonts w:ascii="Arial" w:hAnsi="Arial" w:eastAsia="微软雅黑" w:cs="Arial"/>
          <w:sz w:val="22"/>
          <w:szCs w:val="22"/>
        </w:rPr>
      </w:r>
    </w:p>
    <w:p>
      <w:pPr>
        <w:pStyle w:val="1461"/>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因此，{{清单模板-数据表-B5}}执行库存管理功能。</w:t>
      </w:r>
      <w:r>
        <w:rPr>
          <w:rFonts w:ascii="Arial" w:hAnsi="Arial" w:eastAsia="微软雅黑" w:cs="Arial"/>
          <w:sz w:val="22"/>
          <w:szCs w:val="22"/>
        </w:rPr>
      </w:r>
    </w:p>
    <w:p>
      <w:pPr>
        <w:pStyle w:val="1461"/>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成品给境内外关联企业的交易中，由关联企业负责与最终第三方客户的联系和相关市场开拓及广告营销工作。{{清单模板-数据表-B5}}仅负责从关联企业接到订单后组织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在{{清单模板-数据表-B5}}销售产品给境内第三方客户的交易中，{{清单模板-数据表-B5}}负责开展市场开拓及广告营销，包括参加同行业内的相关展会，在专业杂志上刊登广告等。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评估期间，在{{清单模板-数据表-B5}}销售产品给境内外关联企业的交易中，由关联企业的销售团队负责对第三方客户的销售活动。{{清单模板-数据表-B5}}的销售团队仅负责与关联企业间的订单联络。</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因此，{{清单模板-数据表-B5}}执行有限的销售功能。</w:t>
      </w:r>
      <w:r>
        <w:rPr>
          <w:rFonts w:ascii="Arial" w:hAnsi="Arial" w:eastAsia="微软雅黑" w:cs="Arial"/>
          <w:sz w:val="22"/>
          <w:szCs w:val="22"/>
        </w:rPr>
      </w:r>
    </w:p>
    <w:p>
      <w:pPr>
        <w:pStyle w:val="1461"/>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对于向境外关联方销售的产品，{{清单模板-数据表-B5}}不承担相关的售后维修等服务，相关功能由境外关联公司负责。</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因此，{{清单模板-数据表-B5}}执行有限的售后服务功能。</w:t>
      </w:r>
      <w:r>
        <w:rPr>
          <w:rFonts w:ascii="Arial" w:hAnsi="Arial" w:eastAsia="微软雅黑" w:cs="Arial"/>
          <w:sz w:val="22"/>
          <w:szCs w:val="22"/>
        </w:rPr>
      </w:r>
    </w:p>
    <w:p>
      <w:pPr>
        <w:pStyle w:val="1461"/>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清单模板-数据表-B5}}直接销售给境内第三方客户的交易，{{清单模板-数据表-B5}}承担付款请求和回收功能。</w:t>
      </w:r>
      <w:r>
        <w:rPr>
          <w:rFonts w:ascii="Arial" w:hAnsi="Arial" w:eastAsia="微软雅黑" w:cs="Arial"/>
          <w:sz w:val="22"/>
          <w:szCs w:val="22"/>
        </w:rPr>
      </w:r>
    </w:p>
    <w:p>
      <w:pPr>
        <w:pStyle w:val="1461"/>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r>
        <w:rPr>
          <w:rFonts w:ascii="Arial" w:hAnsi="Arial" w:eastAsia="微软雅黑" w:cs="Arial"/>
          <w:sz w:val="22"/>
          <w:szCs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r>
        <w:rPr>
          <w:rFonts w:ascii="Arial" w:hAnsi="Arial" w:eastAsia="微软雅黑" w:cs="Arial"/>
          <w:sz w:val="22"/>
          <w:szCs w:val="22"/>
        </w:rPr>
      </w:r>
    </w:p>
    <w:p>
      <w:pPr>
        <w:pStyle w:val="1461"/>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评估期间，{{清单模板-数据表-B5}}执行斯必克产品的本地化技术改良及产品设计功能，并承担相应设计投入。{{清单模板-数据表-B5}}承担有限的研发风险。</w:t>
      </w:r>
      <w:r>
        <w:rPr>
          <w:rFonts w:ascii="Arial" w:hAnsi="Arial" w:eastAsia="微软雅黑" w:cs="Arial"/>
          <w:sz w:val="22"/>
          <w:szCs w:val="22"/>
        </w:rPr>
      </w:r>
    </w:p>
    <w:p>
      <w:pPr>
        <w:pStyle w:val="1461"/>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对于{{清单模板-数据表-B5}}的第三方销售交易，{{清单模板-数据表-B5}}承担因市场需求不足、产品销量变化而导致的市场风险；{{清单模板-数据表-B5}}亦承担因市场价格波动导致的市场风险。</w:t>
      </w:r>
      <w:bookmarkEnd w:id="450"/>
      <w:r>
        <w:rPr>
          <w:rFonts w:ascii="Arial" w:hAnsi="Arial" w:eastAsia="微软雅黑" w:cs="Arial"/>
          <w:sz w:val="22"/>
          <w:szCs w:val="22"/>
        </w:rPr>
      </w:r>
    </w:p>
    <w:p>
      <w:pPr>
        <w:pStyle w:val="1461"/>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对于向境内第三方客户销售产品的交易，销售价格根据市场价格制定，{{清单模板-数据表-B5}}承担生产成本变动风险。</w:t>
      </w:r>
      <w:r>
        <w:rPr>
          <w:rFonts w:ascii="Arial" w:hAnsi="Arial" w:eastAsia="微软雅黑" w:cs="Arial"/>
          <w:sz w:val="22"/>
          <w:szCs w:val="22"/>
        </w:rPr>
      </w:r>
    </w:p>
    <w:p>
      <w:pPr>
        <w:pStyle w:val="1461"/>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在客户推迟订单而{{清单模板-数据表-B5}}已备货的</w:t>
      </w:r>
      <w:r>
        <w:rPr>
          <w:rFonts w:ascii="Arial" w:hAnsi="Arial" w:eastAsia="微软雅黑" w:cs="Arial"/>
          <w:sz w:val="22"/>
          <w:szCs w:val="22"/>
        </w:rPr>
        <w:t xml:space="preserve">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r>
        <w:rPr>
          <w:rFonts w:ascii="Arial" w:hAnsi="Arial" w:eastAsia="微软雅黑" w:cs="Arial"/>
          <w:sz w:val="22"/>
          <w:szCs w:val="22"/>
        </w:rPr>
      </w:r>
    </w:p>
    <w:p>
      <w:pPr>
        <w:pStyle w:val="1461"/>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和境外关联公司的采购和销售交易通常以美元结算，其中关联销售价格为标准成本加成一定比例，且每季度会对标准成本进行调整，因此{{清单模板-数据表-B5}}承担部分汇率风险。</w:t>
      </w:r>
      <w:bookmarkEnd w:id="467"/>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本节描述了评估期间，{{清单模板-数据表-B5}}及其关联企业在受测关联交易中所使用的资产。</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{{清单模板-数据表-B5}}拥有生产所需的厂房和设备等有形资产所有权。与同行业的其他公司相比，{{清单模板-数据表-B5}}拥有的有形资产水平没有显着差异。</w:t>
      </w:r>
      <w:r>
        <w:rPr>
          <w:rFonts w:ascii="Arial" w:hAnsi="Arial" w:eastAsia="微软雅黑" w:cs="Arial"/>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p>
    <w:p>
      <w:pPr>
        <w:pStyle w:val="1461"/>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bookmarkEnd w:id="509"/>
      <w:bookmarkEnd w:id="510"/>
      <w:bookmarkEnd w:id="511"/>
      <w:bookmarkEnd w:id="512"/>
      <w:bookmarkEnd w:id="513"/>
      <w:bookmarkEnd w:id="514"/>
      <w:bookmarkEnd w:id="515"/>
      <w:bookmarkEnd w:id="516"/>
      <w:bookmarkEnd w:id="517"/>
      <w:bookmarkEnd w:id="518"/>
      <w:bookmarkEnd w:id="519"/>
      <w:r>
        <w:rPr>
          <w:rFonts w:ascii="Arial" w:hAnsi="Arial" w:eastAsia="微软雅黑" w:cs="Arial"/>
          <w:sz w:val="22"/>
          <w:szCs w:val="22"/>
        </w:rPr>
      </w:r>
    </w:p>
    <w:p>
      <w:pPr>
        <w:pStyle w:val="1461"/>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评估期间，{{清单模板-数据表-B5}}并不拥有非常规营销类无形资产。评估期间，{{清单模板-数据表-B5}}在第三方销售中会发生广告营销费用但金额非常小，在关联方销售中未发生广告营销费用。</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评估期间，{{清单模板-数据表-B5}}承担的主要功能和风险，以及拥有的资产总结如下：</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p>
    <w:p>
      <w:pPr>
        <w:pStyle w:val="1396"/>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1324"/>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bCs w:val="0"/>
          <w:sz w:val="18"/>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hint="eastAsia"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hint="eastAsia"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324"/>
          <w:rFonts w:ascii="Arial" w:hAnsi="Arial" w:eastAsia="微软雅黑" w:cs="Arial"/>
          <w:b/>
          <w:bCs/>
          <w:iCs/>
          <w:sz w:val="18"/>
          <w:szCs w:val="18"/>
        </w:rPr>
        <w:footnoteReference w:id="23"/>
      </w:r>
      <w:bookmarkEnd w:id="558"/>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Style w:val="1324"/>
          <w:rFonts w:ascii="Arial" w:hAnsi="Arial" w:eastAsia="微软雅黑" w:cs="Arial"/>
          <w:sz w:val="22"/>
          <w:szCs w:val="22"/>
        </w:rPr>
        <w:footnoteReference w:id="24"/>
      </w:r>
      <w:r>
        <w:rPr>
          <w:rFonts w:hint="eastAsia" w:ascii="Arial" w:hAnsi="Arial" w:eastAsia="微软雅黑" w:cs="Arial"/>
          <w:iCs/>
          <w:sz w:val="22"/>
          <w:szCs w:val="22"/>
        </w:rPr>
      </w:r>
      <w:bookmarkEnd w:id="559"/>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Style w:val="1295"/>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图表17：2015年到{{清单模板-数据表-B2}}城镇私营单位就业人员平均工资及增速</w:t>
      </w:r>
      <w:r>
        <w:rPr>
          <w:rStyle w:val="1324"/>
          <w:rFonts w:ascii="Arial" w:hAnsi="Arial" w:eastAsia="微软雅黑" w:cs="Arial"/>
          <w:sz w:val="18"/>
          <w:szCs w:val="18"/>
        </w:rPr>
        <w:footnoteReference w:id="25"/>
      </w:r>
      <w:bookmarkEnd w:id="560"/>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Style w:val="1324"/>
          <w:rFonts w:ascii="Arial" w:hAnsi="Arial" w:eastAsia="微软雅黑" w:cs="Arial"/>
          <w:b/>
          <w:bCs/>
          <w:sz w:val="18"/>
          <w:szCs w:val="18"/>
          <w:lang w:val="en-GB"/>
        </w:rPr>
        <w:footnoteReference w:id="26"/>
      </w:r>
      <w:bookmarkEnd w:id="561"/>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因此，随着劳动力成本逐年上升，{{清单模板-数据表-B5}}并没有从劳动力成本中受益。</w:t>
      </w:r>
      <w:r>
        <w:rPr>
          <w:rFonts w:ascii="Arial" w:hAnsi="Arial" w:eastAsia="微软雅黑" w:cs="Arial"/>
          <w:iCs/>
          <w:sz w:val="22"/>
          <w:szCs w:val="22"/>
        </w:rPr>
      </w:r>
      <w:bookmarkEnd w:id="562"/>
      <w:r/>
      <w:r>
        <w:rPr>
          <w:rFonts w:ascii="Arial" w:hAnsi="Arial" w:eastAsia="微软雅黑" w:cs="Arial"/>
          <w:iCs/>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hint="eastAsia" w:ascii="Arial" w:hAnsi="Arial" w:eastAsia="微软雅黑" w:cs="Arial"/>
          <w:iCs/>
          <w:sz w:val="22"/>
          <w:szCs w:val="22"/>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r>
        <w:rPr>
          <w:rFonts w:ascii="Arial" w:hAnsi="Arial" w:eastAsia="微软雅黑" w:cs="Arial"/>
          <w:iCs/>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
        <w:rPr>
          <w:rFonts w:ascii="Arial" w:hAnsi="Arial" w:eastAsia="微软雅黑" w:cs="Arial"/>
          <w:color w:val="4f81bd" w:themeColor="accent1"/>
          <w:sz w:val="28"/>
          <w:szCs w:val="22"/>
          <w14:textFill>
            <w14:solidFill>
              <w14:schemeClr w14:val="accent1"/>
            </w14:solidFill>
          </w14:textFil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r>
      <w:r>
        <w:rPr>
          <w:rFonts w:ascii="Arial" w:hAnsi="Arial" w:eastAsia="微软雅黑" w:cs="Arial"/>
          <w:sz w:val="22"/>
          <w:szCs w:val="22"/>
        </w:rPr>
      </w:r>
    </w:p>
    <w:p>
      <w:pPr>
        <w:pStyle w:val="1295"/>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p>
    <w:tbl>
      <w:tblPr>
        <w:tblStyle w:val="1293"/>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利润分割法为根据企业与其关联方对关联交易合并利润的贡献计算各自应该分配的利润额，适用于关联交易双方高度整合的情形。由于{{清单模板-数据表-B5}}的与关联方间并非高度整合，因此该方法不适用。</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在受测关联交易中，{{清单模板-数据表-B5}}主要承担有限的研发功能、</w:t>
      </w:r>
      <w:r>
        <w:rPr>
          <w:rFonts w:ascii="Arial" w:hAnsi="Arial" w:eastAsia="微软雅黑" w:cs="Arial"/>
          <w:sz w:val="22"/>
          <w:szCs w:val="22"/>
        </w:rPr>
        <w:t xml:space="preserve">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综上所述，我们选择{{清单模板-数据表-B5}}作为受测关联交易的验证对象。</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
        <w:rPr>
          <w:rFonts w:ascii="Arial" w:hAnsi="Arial" w:eastAsia="微软雅黑" w:cs="Arial"/>
          <w:b w:val="0"/>
          <w:i w:val="0"/>
          <w:color w:val="4f81bd" w:themeColor="accent1"/>
          <w:sz w:val="22"/>
          <w:szCs w:val="22"/>
          <w14:textFill>
            <w14:solidFill>
              <w14:schemeClr w14:val="accent1"/>
            </w14:solidFill>
          </w14:textFill>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p>
    <w:p>
      <w:pPr>
        <w:pStyle w:val="1315"/>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1324"/>
          <w:rFonts w:ascii="Arial" w:hAnsi="Arial" w:eastAsia="微软雅黑" w:cs="Arial"/>
          <w:bCs w:val="0"/>
          <w:sz w:val="18"/>
          <w:szCs w:val="18"/>
        </w:rPr>
        <w:footnoteReference w:id="30"/>
      </w:r>
      <w:r>
        <w:rPr>
          <w:rFonts w:ascii="Arial" w:hAnsi="Arial" w:eastAsia="微软雅黑" w:cs="Arial"/>
          <w:bCs w:val="0"/>
          <w:sz w:val="18"/>
          <w:szCs w:val="18"/>
        </w:rPr>
      </w:r>
    </w:p>
    <w:tbl>
      <w:tblPr>
        <w:tblStyle w:val="1444"/>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{{清单模板-4_供应商清单}}</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基于{{清单模板-数据表-B2}}的财务数据，{{清单模板-数据表-B5}}在关联销售中的完全成本加成率为22.93%，在非关联销售中的完全成本加成率为21.63%。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p>
    <w:p>
      <w:pPr>
        <w:pStyle w:val="1461"/>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我们对美国SIC编码列表进行了全面查阅，并选择了最合适的SIC编码（见下图表）来搜寻与{{清单模板-数据表-B5}}在制造活动中承担的职能宽泛可比的潜在可比公司。</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p>
    <w:tbl>
      <w:tblPr>
        <w:tblStyle w:val="1293"/>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323"/>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Style w:val="1323"/>
                <w:rFonts w:ascii="Arial" w:hAnsi="Arial" w:eastAsia="微软雅黑" w:cs="Arial"/>
                <w:b/>
                <w:color w:val="ffffff" w:themeColor="background1"/>
                <w:sz w:val="18"/>
                <w:szCs w:val="18"/>
                <w14:textFill>
                  <w14:solidFill>
                    <w14:schemeClr w14:val="bg1"/>
                  </w14:solidFill>
                </w14:textFill>
              </w:rPr>
              <w:t xml:space="preserve">描述</w:t>
            </w:r>
            <w:r>
              <w:rPr>
                <w:rStyle w:val="1323"/>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通过对{{清单模板-数据表-B5}}地理位置及商业描述的分析，我们将搜索范围确定在亚太地区，包括：</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tbl>
      <w:tblPr>
        <w:tblStyle w:val="1401"/>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p>
        </w:tc>
      </w:tr>
      <w:tr>
        <w:trPr>
          <w:trHeight w:val="864"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p>
          <w:p>
            <w:pPr>
              <w:pStyle w:val="1382"/>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hint="eastAsia"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p>
    <w:p>
      <w:pPr>
        <w:pStyle w:val="1396"/>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p>
    <w:p>
      <w:pPr>
        <w:pStyle w:val="1461"/>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Catalyst数据库中的业务描述，以此来排除执行的功能（例如，研发，生产，服务等）与{{清单模板-数据表-B5}}的在受测关联交易中执行的职能不具有宽泛可比性的公司。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通过定性筛选，我们排除了总计180家公司，它们因满足以下一项或多项条件使得它们与{{清单模板-数据表-B5}}的关联企业的受测关联交易不具备充足的可比性：</w:t>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sz w:val="22"/>
          <w:szCs w:val="22"/>
        </w:rPr>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我们最终选定17家营业地位于亚太地区的公司作为{{清单模板-数据表-B5}}的可比公司。</w:t>
      </w:r>
      <w:r>
        <w:rPr>
          <w:rFonts w:ascii="Arial" w:hAnsi="Arial" w:eastAsia="微软雅黑" w:cs="Arial"/>
          <w:sz w:val="22"/>
          <w:szCs w:val="22"/>
        </w:rPr>
      </w:r>
    </w:p>
    <w:p>
      <w:pPr>
        <w:pStyle w:val="1461"/>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p>
    <w:tbl>
      <w:tblPr>
        <w:tblStyle w:val="1293"/>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hint="eastAsia"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综上所述，我们选择了完全成本加成率作为评估{{清单模板-数据表-B5}}受测关联交易是否符合独立交易原则最合理的利润水平指标。</w:t>
      </w:r>
      <w:r>
        <w:rPr>
          <w:rFonts w:ascii="Arial" w:hAnsi="Arial" w:eastAsia="微软雅黑" w:cs="Arial"/>
          <w:sz w:val="22"/>
          <w:szCs w:val="22"/>
        </w:rPr>
      </w:r>
    </w:p>
    <w:p>
      <w:pPr>
        <w:pStyle w:val="1461"/>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p>
    <w:tbl>
      <w:tblPr>
        <w:tblStyle w:val="1293"/>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25.95%</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12.74%</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8.41%</w:t>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3.00%</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0.18%</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p>
    <w:tbl>
      <w:tblPr>
        <w:tblStyle w:val="13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1093"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tcBorders/>
            <w:tcW w:w="1211"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367"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c>
          <w:tcPr>
            <w:shd w:val="clear" w:color="auto" w:fill="auto"/>
            <w:tcBorders/>
            <w:tcW w:w="1329" w:type="pct"/>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p>
    <w:tbl>
      <w:tblPr>
        <w:tblStyle w:val="1317"/>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sz w:val="22"/>
          <w:szCs w:val="22"/>
        </w:rPr>
      </w:r>
      <w:bookmarkEnd w:id="706"/>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下表中的财务数据均由{{清单模板-数据表-B5}}提供，所有金额均以人民币元为单位。</w:t>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立信未对提供的财务数据进行核实，也未进行任何的财务分析以验证{{清单模板-数据表-B5}}在下述财务数据中所选用分摊标准的合理性。</w:t>
      </w:r>
      <w:r>
        <w:rPr>
          <w:rFonts w:ascii="Arial" w:hAnsi="Arial" w:eastAsia="微软雅黑" w:cs="Arial"/>
          <w:sz w:val="22"/>
          <w:szCs w:val="22"/>
        </w:rPr>
      </w:r>
    </w:p>
    <w:tbl>
      <w:tblPr>
        <w:tblStyle w:val="1293"/>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{{清单模板-6_劳务交易表}}</w:t>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
        <w:rPr>
          <w:rFonts w:ascii="Arial" w:hAnsi="Arial" w:eastAsia="微软雅黑" w:cs="Arial"/>
          <w:color w:val="4f81bd" w:themeColor="accent1"/>
          <w:sz w:val="28"/>
          <w:szCs w:val="22"/>
          <w14:textFill>
            <w14:solidFill>
              <w14:schemeClr w14:val="accent1"/>
            </w14:solidFill>
          </w14:textFill>
        </w:rPr>
      </w:r>
    </w:p>
    <w:tbl>
      <w:tblPr>
        <w:tblStyle w:val="13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{{清单模板-3_分部财务数据}}</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r>
            <w:r>
              <w:rPr>
                <w:rFonts w:hint="eastAsia" w:ascii="微软雅黑" w:hAnsi="微软雅黑" w:eastAsia="微软雅黑" w:cs="Arial"/>
                <w:b/>
                <w:bCs/>
                <w:i/>
                <w:iCs/>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r>
            <w:bookmarkEnd w:id="721"/>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
        <w:rPr>
          <w:rFonts w:ascii="Arial" w:hAnsi="Arial" w:eastAsia="微软雅黑" w:cs="Arial"/>
          <w:color w:val="4f81bd" w:themeColor="accent1"/>
          <w:sz w:val="28"/>
          <w:szCs w:val="22"/>
          <w14:textFill>
            <w14:solidFill>
              <w14:schemeClr w14:val="accent1"/>
            </w14:solidFill>
          </w14:textFill>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hint="eastAsia"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p>
        </w:tc>
      </w:tr>
    </w:tbl>
    <w:tbl>
      <w:tblPr>
        <w:tblStyle w:val="1293"/>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b/>
                <w:bCs/>
                <w:color w:val="ffffff"/>
                <w:sz w:val="18"/>
                <w:szCs w:val="18"/>
                <w:highlight w:val="none"/>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framePr w:hAnchor="margin" w:vAnchor="text" w:wrap="around" w:xAlign="center" w:y="1"/>
      <w:pBdr/>
      <w:spacing/>
      <w:ind/>
      <w:rPr>
        <w:rStyle w:val="1320"/>
      </w:rPr>
    </w:pPr>
    <w:r>
      <w:rPr>
        <w:rStyle w:val="1320"/>
      </w:rPr>
      <w:fldChar w:fldCharType="begin"/>
    </w:r>
    <w:r>
      <w:rPr>
        <w:rStyle w:val="1320"/>
      </w:rPr>
      <w:instrText xml:space="preserve">PAGE  </w:instrText>
    </w:r>
    <w:r>
      <w:rPr>
        <w:rStyle w:val="1320"/>
      </w:rPr>
      <w:fldChar w:fldCharType="end"/>
    </w:r>
    <w:r>
      <w:rPr>
        <w:rStyle w:val="1320"/>
      </w:rPr>
    </w:r>
  </w:p>
  <w:p>
    <w:pPr>
      <w:pStyle w:val="13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305"/>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p>
    </w:sdtContent>
  </w:sdt>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305"/>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305"/>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305"/>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310"/>
        <w:pBdr/>
        <w:spacing w:after="0" w:before="0"/>
        <w:ind/>
        <w:rPr>
          <w:rFonts w:ascii="Arial" w:hAnsi="Arial" w:eastAsia="微软雅黑" w:cs="Arial"/>
          <w:color w:val="000000" w:themeColor="text1"/>
          <w:sz w:val="16"/>
          <w:szCs w:val="16"/>
          <w14:textFill>
            <w14:solidFill>
              <w14:schemeClr w14:val="tx1"/>
            </w14:solidFill>
          </w14:textFill>
        </w:rPr>
      </w:pPr>
      <w:r>
        <w:rPr>
          <w:rStyle w:val="1324"/>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p>
  </w:footnote>
  <w:footnote w:id="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p>
  </w:footnote>
  <w:footnote w:id="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p>
  </w:footnote>
  <w:footnote w:id="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p>
  </w:footnote>
  <w:footnote w:id="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p>
  </w:footnote>
  <w:footnote w:id="1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p>
  </w:footnote>
  <w:footnote w:id="11">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p>
  </w:footnote>
  <w:footnote w:id="1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p>
  </w:footnote>
  <w:footnote w:id="13">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p>
  </w:footnote>
  <w:footnote w:id="14">
    <w:p>
      <w:pPr>
        <w:pStyle w:val="1310"/>
        <w:pBdr/>
        <w:spacing/>
        <w:ind/>
        <w:rPr/>
      </w:pPr>
      <w:r>
        <w:rPr>
          <w:rStyle w:val="1324"/>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1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p>
  </w:footnote>
  <w:footnote w:id="1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p>
  </w:footnote>
  <w:footnote w:id="2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p>
  </w:footnote>
  <w:footnote w:id="2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2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p>
  </w:footnote>
  <w:footnote w:id="2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p>
  </w:footnote>
  <w:footnote w:id="24">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
        <w:rPr>
          <w:rFonts w:ascii="Arial" w:hAnsi="Arial" w:eastAsia="微软雅黑" w:cs="Arial"/>
          <w:sz w:val="16"/>
          <w:szCs w:val="16"/>
        </w:rPr>
      </w:r>
    </w:p>
  </w:footnote>
  <w:footnote w:id="25">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
        <w:rPr>
          <w:rFonts w:ascii="Arial" w:hAnsi="Arial" w:eastAsia="微软雅黑" w:cs="Arial"/>
          <w:sz w:val="16"/>
          <w:szCs w:val="16"/>
        </w:rPr>
      </w:r>
    </w:p>
  </w:footnote>
  <w:footnote w:id="26">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p>
  </w:footnote>
  <w:footnote w:id="2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p>
  </w:footnote>
  <w:footnote w:id="2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p>
  </w:footnote>
  <w:footnote w:id="2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p>
  </w:footnote>
  <w:footnote w:id="30">
    <w:p>
      <w:pPr>
        <w:pStyle w:val="1310"/>
        <w:pBdr/>
        <w:spacing w:after="0" w:before="0"/>
        <w:ind/>
        <w:rPr/>
      </w:pPr>
      <w:r>
        <w:rPr>
          <w:rStyle w:val="1324"/>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p>
  </w:footnote>
  <w:footnote w:id="32">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p>
  </w:footnote>
  <w:footnote w:id="3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p>
  </w:footnote>
  <w:footnote w:id="3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p>
  </w:footnote>
  <w:footnote w:id="3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p>
  </w:footnote>
  <w:footnote w:id="3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p>
  </w:footnote>
  <w:footnote w:id="3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{{清单模板-数据表-B1}}</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443"/>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92"/>
    <w:link w:val="1288"/>
    <w:uiPriority w:val="9"/>
    <w:pPr>
      <w:pBdr/>
      <w:spacing/>
      <w:ind/>
    </w:pPr>
    <w:rPr>
      <w:rFonts w:ascii="Arial" w:hAnsi="Arial" w:eastAsia="Arial" w:cs="Arial"/>
      <w:sz w:val="40"/>
      <w:szCs w:val="40"/>
    </w:rPr>
  </w:style>
  <w:style w:type="character" w:styleId="20">
    <w:name w:val="Heading 4 Char"/>
    <w:basedOn w:val="1292"/>
    <w:link w:val="1291"/>
    <w:uiPriority w:val="9"/>
    <w:pPr>
      <w:pBdr/>
      <w:spacing/>
      <w:ind/>
    </w:pPr>
    <w:rPr>
      <w:rFonts w:ascii="Arial" w:hAnsi="Arial" w:eastAsia="Arial" w:cs="Arial"/>
      <w:b/>
      <w:bCs/>
      <w:sz w:val="26"/>
      <w:szCs w:val="26"/>
    </w:rPr>
  </w:style>
  <w:style w:type="paragraph" w:styleId="21">
    <w:name w:val="Heading 5"/>
    <w:basedOn w:val="1287"/>
    <w:next w:val="128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292"/>
    <w:link w:val="21"/>
    <w:uiPriority w:val="9"/>
    <w:pPr>
      <w:pBdr/>
      <w:spacing/>
      <w:ind/>
    </w:pPr>
    <w:rPr>
      <w:rFonts w:ascii="Arial" w:hAnsi="Arial" w:eastAsia="Arial" w:cs="Arial"/>
      <w:b/>
      <w:bCs/>
      <w:sz w:val="24"/>
      <w:szCs w:val="24"/>
    </w:rPr>
  </w:style>
  <w:style w:type="paragraph" w:styleId="23">
    <w:name w:val="Heading 6"/>
    <w:basedOn w:val="1287"/>
    <w:next w:val="128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292"/>
    <w:link w:val="23"/>
    <w:uiPriority w:val="9"/>
    <w:pPr>
      <w:pBdr/>
      <w:spacing/>
      <w:ind/>
    </w:pPr>
    <w:rPr>
      <w:rFonts w:ascii="Arial" w:hAnsi="Arial" w:eastAsia="Arial" w:cs="Arial"/>
      <w:b/>
      <w:bCs/>
      <w:sz w:val="22"/>
      <w:szCs w:val="22"/>
    </w:rPr>
  </w:style>
  <w:style w:type="paragraph" w:styleId="25">
    <w:name w:val="Heading 7"/>
    <w:basedOn w:val="1287"/>
    <w:next w:val="128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292"/>
    <w:link w:val="25"/>
    <w:uiPriority w:val="9"/>
    <w:pPr>
      <w:pBdr/>
      <w:spacing/>
      <w:ind/>
    </w:pPr>
    <w:rPr>
      <w:rFonts w:ascii="Arial" w:hAnsi="Arial" w:eastAsia="Arial" w:cs="Arial"/>
      <w:b/>
      <w:bCs/>
      <w:i/>
      <w:iCs/>
      <w:sz w:val="22"/>
      <w:szCs w:val="22"/>
    </w:rPr>
  </w:style>
  <w:style w:type="paragraph" w:styleId="27">
    <w:name w:val="Heading 8"/>
    <w:basedOn w:val="1287"/>
    <w:next w:val="128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292"/>
    <w:link w:val="27"/>
    <w:uiPriority w:val="9"/>
    <w:pPr>
      <w:pBdr/>
      <w:spacing/>
      <w:ind/>
    </w:pPr>
    <w:rPr>
      <w:rFonts w:ascii="Arial" w:hAnsi="Arial" w:eastAsia="Arial" w:cs="Arial"/>
      <w:i/>
      <w:iCs/>
      <w:sz w:val="22"/>
      <w:szCs w:val="22"/>
    </w:rPr>
  </w:style>
  <w:style w:type="paragraph" w:styleId="29">
    <w:name w:val="Heading 9"/>
    <w:basedOn w:val="1287"/>
    <w:next w:val="128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29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1292"/>
    <w:link w:val="1315"/>
    <w:uiPriority w:val="10"/>
    <w:pPr>
      <w:pBdr/>
      <w:spacing/>
      <w:ind/>
    </w:pPr>
    <w:rPr>
      <w:sz w:val="48"/>
      <w:szCs w:val="48"/>
    </w:rPr>
  </w:style>
  <w:style w:type="character" w:styleId="37">
    <w:name w:val="Subtitle Char"/>
    <w:basedOn w:val="1292"/>
    <w:link w:val="1309"/>
    <w:uiPriority w:val="11"/>
    <w:pPr>
      <w:pBdr/>
      <w:spacing/>
      <w:ind/>
    </w:pPr>
    <w:rPr>
      <w:sz w:val="24"/>
      <w:szCs w:val="24"/>
    </w:rPr>
  </w:style>
  <w:style w:type="paragraph" w:styleId="38">
    <w:name w:val="Quote"/>
    <w:basedOn w:val="1287"/>
    <w:next w:val="128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287"/>
    <w:next w:val="128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1292"/>
    <w:link w:val="1306"/>
    <w:uiPriority w:val="99"/>
    <w:pPr>
      <w:pBdr/>
      <w:spacing/>
      <w:ind/>
    </w:pPr>
  </w:style>
  <w:style w:type="character" w:styleId="45">
    <w:name w:val="Footer Char"/>
    <w:basedOn w:val="1292"/>
    <w:link w:val="1305"/>
    <w:uiPriority w:val="99"/>
    <w:pPr>
      <w:pBdr/>
      <w:spacing/>
      <w:ind/>
    </w:pPr>
  </w:style>
  <w:style w:type="character" w:styleId="47">
    <w:name w:val="Caption Char"/>
    <w:basedOn w:val="1295"/>
    <w:link w:val="1305"/>
    <w:uiPriority w:val="99"/>
    <w:pPr>
      <w:pBdr/>
      <w:spacing/>
      <w:ind/>
    </w:pPr>
  </w:style>
  <w:style w:type="table" w:styleId="49">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1310"/>
    <w:uiPriority w:val="99"/>
    <w:pPr>
      <w:pBdr/>
      <w:spacing/>
      <w:ind/>
    </w:pPr>
    <w:rPr>
      <w:sz w:val="18"/>
    </w:rPr>
  </w:style>
  <w:style w:type="character" w:styleId="179">
    <w:name w:val="Endnote Text Char"/>
    <w:link w:val="1303"/>
    <w:uiPriority w:val="99"/>
    <w:pPr>
      <w:pBdr/>
      <w:spacing/>
      <w:ind/>
    </w:pPr>
    <w:rPr>
      <w:sz w:val="20"/>
    </w:rPr>
  </w:style>
  <w:style w:type="paragraph" w:styleId="190">
    <w:name w:val="TOC Heading"/>
    <w:uiPriority w:val="39"/>
    <w:unhideWhenUsed/>
    <w:pPr>
      <w:pBdr/>
      <w:spacing/>
      <w:ind/>
    </w:pPr>
  </w:style>
  <w:style w:type="paragraph" w:styleId="191">
    <w:name w:val="table of figures"/>
    <w:basedOn w:val="1287"/>
    <w:next w:val="1287"/>
    <w:uiPriority w:val="99"/>
    <w:unhideWhenUsed/>
    <w:pPr>
      <w:pBdr/>
      <w:spacing w:after="0" w:afterAutospacing="0"/>
      <w:ind/>
    </w:pPr>
  </w:style>
  <w:style w:type="paragraph" w:styleId="1287"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288">
    <w:name w:val="Heading 1"/>
    <w:basedOn w:val="1287"/>
    <w:next w:val="1287"/>
    <w:link w:val="1327"/>
    <w:uiPriority w:val="9"/>
    <w:qFormat/>
    <w:pPr>
      <w:keepNext w:val="true"/>
      <w:keepLines w:val="true"/>
      <w:pBdr/>
      <w:spacing w:after="330" w:before="340" w:line="578" w:lineRule="auto"/>
      <w:ind/>
      <w:outlineLvl w:val="0"/>
    </w:pPr>
    <w:rPr>
      <w:b/>
      <w:bCs/>
      <w:sz w:val="44"/>
      <w:szCs w:val="44"/>
    </w:rPr>
  </w:style>
  <w:style w:type="paragraph" w:styleId="1289">
    <w:name w:val="Heading 2"/>
    <w:basedOn w:val="1287"/>
    <w:next w:val="1287"/>
    <w:uiPriority w:val="0"/>
    <w:qFormat/>
    <w:pPr>
      <w:keepNext w:val="true"/>
      <w:keepLines w:val="true"/>
      <w:pBdr/>
      <w:spacing/>
      <w:ind/>
      <w:outlineLvl w:val="1"/>
    </w:pPr>
    <w:rPr>
      <w:rFonts w:eastAsia="Times New Roman"/>
      <w:bCs/>
      <w:sz w:val="22"/>
      <w:szCs w:val="32"/>
    </w:rPr>
  </w:style>
  <w:style w:type="paragraph" w:styleId="1290">
    <w:name w:val="Heading 3"/>
    <w:basedOn w:val="1287"/>
    <w:next w:val="1287"/>
    <w:link w:val="1387"/>
    <w:uiPriority w:val="0"/>
    <w:unhideWhenUsed/>
    <w:qFormat/>
    <w:pPr>
      <w:keepNext w:val="true"/>
      <w:keepLines w:val="true"/>
      <w:pBdr/>
      <w:spacing w:after="260" w:before="260" w:line="416" w:lineRule="auto"/>
      <w:ind/>
      <w:outlineLvl w:val="2"/>
    </w:pPr>
    <w:rPr>
      <w:b/>
      <w:bCs/>
      <w:sz w:val="32"/>
      <w:szCs w:val="32"/>
    </w:rPr>
  </w:style>
  <w:style w:type="paragraph" w:styleId="1291">
    <w:name w:val="Heading 4"/>
    <w:basedOn w:val="1287"/>
    <w:next w:val="1287"/>
    <w:link w:val="1445"/>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toc 7"/>
    <w:basedOn w:val="1287"/>
    <w:next w:val="1287"/>
    <w:uiPriority w:val="39"/>
    <w:unhideWhenUsed/>
    <w:qFormat/>
    <w:pPr>
      <w:pBdr/>
      <w:spacing w:after="0" w:before="0"/>
      <w:ind w:left="1440"/>
      <w:jc w:val="left"/>
    </w:pPr>
    <w:rPr>
      <w:rFonts w:asciiTheme="minorHAnsi" w:hAnsiTheme="minorHAnsi" w:cstheme="minorHAnsi"/>
      <w:sz w:val="20"/>
      <w:szCs w:val="20"/>
    </w:rPr>
  </w:style>
  <w:style w:type="paragraph" w:styleId="1295">
    <w:name w:val="Caption"/>
    <w:basedOn w:val="1287"/>
    <w:next w:val="1287"/>
    <w:uiPriority w:val="35"/>
    <w:unhideWhenUsed/>
    <w:qFormat/>
    <w:pPr>
      <w:pBdr/>
      <w:spacing w:after="0" w:before="0"/>
      <w:ind w:right="0" w:left="0"/>
      <w:jc w:val="left"/>
    </w:pPr>
    <w:rPr>
      <w:rFonts w:eastAsia="宋体"/>
      <w:b/>
      <w:bCs/>
      <w:sz w:val="20"/>
      <w:szCs w:val="20"/>
    </w:rPr>
  </w:style>
  <w:style w:type="paragraph" w:styleId="1296">
    <w:name w:val="Document Map"/>
    <w:basedOn w:val="1287"/>
    <w:link w:val="1380"/>
    <w:uiPriority w:val="99"/>
    <w:qFormat/>
    <w:pPr>
      <w:pBdr/>
      <w:spacing/>
      <w:ind/>
    </w:pPr>
    <w:rPr>
      <w:rFonts w:ascii="宋体" w:eastAsia="宋体"/>
      <w:sz w:val="18"/>
      <w:szCs w:val="18"/>
    </w:rPr>
  </w:style>
  <w:style w:type="paragraph" w:styleId="1297">
    <w:name w:val="annotation text"/>
    <w:basedOn w:val="1287"/>
    <w:link w:val="1412"/>
    <w:uiPriority w:val="0"/>
    <w:qFormat/>
    <w:pPr>
      <w:pBdr/>
      <w:spacing/>
      <w:ind/>
    </w:pPr>
    <w:rPr>
      <w:sz w:val="20"/>
      <w:szCs w:val="20"/>
    </w:rPr>
  </w:style>
  <w:style w:type="paragraph" w:styleId="1298">
    <w:name w:val="Body Text"/>
    <w:basedOn w:val="1287"/>
    <w:link w:val="1386"/>
    <w:uiPriority w:val="1"/>
    <w:qFormat/>
    <w:pPr>
      <w:widowControl w:val="false"/>
      <w:pBdr/>
      <w:spacing/>
      <w:ind/>
    </w:pPr>
    <w:rPr>
      <w:rFonts w:ascii="宋体" w:hAnsi="宋体" w:eastAsia="宋体" w:cs="宋体"/>
      <w:sz w:val="22"/>
      <w:szCs w:val="22"/>
      <w:lang w:eastAsia="en-US"/>
    </w:rPr>
  </w:style>
  <w:style w:type="paragraph" w:styleId="1299">
    <w:name w:val="toc 5"/>
    <w:basedOn w:val="1287"/>
    <w:next w:val="1287"/>
    <w:uiPriority w:val="39"/>
    <w:unhideWhenUsed/>
    <w:qFormat/>
    <w:pPr>
      <w:pBdr/>
      <w:spacing w:after="0" w:before="0"/>
      <w:ind w:left="960"/>
      <w:jc w:val="left"/>
    </w:pPr>
    <w:rPr>
      <w:rFonts w:asciiTheme="minorHAnsi" w:hAnsiTheme="minorHAnsi" w:cstheme="minorHAnsi"/>
      <w:sz w:val="20"/>
      <w:szCs w:val="20"/>
    </w:rPr>
  </w:style>
  <w:style w:type="paragraph" w:styleId="1300">
    <w:name w:val="toc 3"/>
    <w:basedOn w:val="1287"/>
    <w:next w:val="1287"/>
    <w:link w:val="1426"/>
    <w:uiPriority w:val="39"/>
    <w:unhideWhenUsed/>
    <w:qFormat/>
    <w:pPr>
      <w:pBdr/>
      <w:spacing w:after="0" w:before="0"/>
      <w:ind w:left="480"/>
      <w:jc w:val="left"/>
    </w:pPr>
    <w:rPr>
      <w:rFonts w:asciiTheme="minorHAnsi" w:hAnsiTheme="minorHAnsi" w:cstheme="minorHAnsi"/>
      <w:sz w:val="20"/>
      <w:szCs w:val="20"/>
    </w:rPr>
  </w:style>
  <w:style w:type="paragraph" w:styleId="1301">
    <w:name w:val="toc 8"/>
    <w:basedOn w:val="1287"/>
    <w:next w:val="1287"/>
    <w:uiPriority w:val="39"/>
    <w:unhideWhenUsed/>
    <w:qFormat/>
    <w:pPr>
      <w:pBdr/>
      <w:spacing w:after="0" w:before="0"/>
      <w:ind w:left="1680"/>
      <w:jc w:val="left"/>
    </w:pPr>
    <w:rPr>
      <w:rFonts w:asciiTheme="minorHAnsi" w:hAnsiTheme="minorHAnsi" w:cstheme="minorHAnsi"/>
      <w:sz w:val="20"/>
      <w:szCs w:val="20"/>
    </w:rPr>
  </w:style>
  <w:style w:type="paragraph" w:styleId="1302">
    <w:name w:val="Date"/>
    <w:basedOn w:val="1287"/>
    <w:next w:val="1287"/>
    <w:link w:val="1379"/>
    <w:uiPriority w:val="0"/>
    <w:qFormat/>
    <w:pPr>
      <w:pBdr/>
      <w:spacing/>
      <w:ind w:left="100"/>
    </w:pPr>
  </w:style>
  <w:style w:type="paragraph" w:styleId="1303">
    <w:name w:val="endnote text"/>
    <w:basedOn w:val="1287"/>
    <w:link w:val="1442"/>
    <w:uiPriority w:val="0"/>
    <w:qFormat/>
    <w:pPr>
      <w:pBdr/>
      <w:spacing/>
      <w:ind/>
      <w:jc w:val="left"/>
    </w:pPr>
  </w:style>
  <w:style w:type="paragraph" w:styleId="1304">
    <w:name w:val="Balloon Text"/>
    <w:basedOn w:val="1287"/>
    <w:link w:val="1413"/>
    <w:uiPriority w:val="99"/>
    <w:qFormat/>
    <w:pPr>
      <w:pBdr/>
      <w:spacing/>
      <w:ind/>
    </w:pPr>
    <w:rPr>
      <w:rFonts w:ascii="宋体" w:eastAsia="宋体"/>
      <w:sz w:val="18"/>
      <w:szCs w:val="18"/>
    </w:rPr>
  </w:style>
  <w:style w:type="paragraph" w:styleId="1305">
    <w:name w:val="Footer"/>
    <w:basedOn w:val="1287"/>
    <w:link w:val="1399"/>
    <w:uiPriority w:val="99"/>
    <w:qFormat/>
    <w:pPr>
      <w:pBdr/>
      <w:tabs>
        <w:tab w:val="center" w:leader="none" w:pos="4153"/>
        <w:tab w:val="right" w:leader="none" w:pos="8306"/>
      </w:tabs>
      <w:spacing/>
      <w:ind/>
    </w:pPr>
    <w:rPr>
      <w:sz w:val="18"/>
      <w:szCs w:val="18"/>
    </w:rPr>
  </w:style>
  <w:style w:type="paragraph" w:styleId="1306">
    <w:name w:val="Header"/>
    <w:basedOn w:val="1287"/>
    <w:link w:val="1450"/>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307">
    <w:name w:val="toc 1"/>
    <w:basedOn w:val="1287"/>
    <w:next w:val="1287"/>
    <w:uiPriority w:val="39"/>
    <w:qFormat/>
    <w:pPr>
      <w:pBdr/>
      <w:spacing w:before="240"/>
      <w:ind w:left="0"/>
      <w:jc w:val="left"/>
    </w:pPr>
    <w:rPr>
      <w:rFonts w:asciiTheme="minorHAnsi" w:hAnsiTheme="minorHAnsi" w:cstheme="minorHAnsi"/>
      <w:b/>
      <w:bCs/>
      <w:sz w:val="20"/>
      <w:szCs w:val="20"/>
    </w:rPr>
  </w:style>
  <w:style w:type="paragraph" w:styleId="1308">
    <w:name w:val="toc 4"/>
    <w:basedOn w:val="1287"/>
    <w:next w:val="1287"/>
    <w:uiPriority w:val="39"/>
    <w:unhideWhenUsed/>
    <w:qFormat/>
    <w:pPr>
      <w:pBdr/>
      <w:spacing w:after="0" w:before="0"/>
      <w:ind w:left="720"/>
      <w:jc w:val="left"/>
    </w:pPr>
    <w:rPr>
      <w:rFonts w:asciiTheme="minorHAnsi" w:hAnsiTheme="minorHAnsi" w:cstheme="minorHAnsi"/>
      <w:sz w:val="20"/>
      <w:szCs w:val="20"/>
    </w:rPr>
  </w:style>
  <w:style w:type="paragraph" w:styleId="1309">
    <w:name w:val="Subtitle"/>
    <w:basedOn w:val="1287"/>
    <w:next w:val="1287"/>
    <w:link w:val="1402"/>
    <w:uiPriority w:val="11"/>
    <w:qFormat/>
    <w:pPr>
      <w:pBdr/>
      <w:spacing w:after="0" w:before="0"/>
      <w:ind w:right="0" w:left="0"/>
      <w:jc w:val="left"/>
      <w:outlineLvl w:val="2"/>
    </w:pPr>
    <w:rPr>
      <w:rFonts w:ascii="楷体" w:hAnsi="楷体" w:eastAsia="楷体"/>
      <w:b/>
      <w:bCs/>
      <w:i/>
      <w:iCs/>
      <w:color w:val="17365d"/>
    </w:rPr>
  </w:style>
  <w:style w:type="paragraph" w:styleId="1310">
    <w:name w:val="footnote text"/>
    <w:basedOn w:val="1287"/>
    <w:link w:val="1351"/>
    <w:uiPriority w:val="0"/>
    <w:qFormat/>
    <w:pPr>
      <w:widowControl w:val="false"/>
      <w:pBdr/>
      <w:spacing/>
      <w:ind/>
    </w:pPr>
    <w:rPr>
      <w:rFonts w:eastAsia="宋体"/>
      <w:sz w:val="18"/>
      <w:szCs w:val="18"/>
    </w:rPr>
  </w:style>
  <w:style w:type="paragraph" w:styleId="1311">
    <w:name w:val="toc 6"/>
    <w:basedOn w:val="1287"/>
    <w:next w:val="1287"/>
    <w:uiPriority w:val="39"/>
    <w:unhideWhenUsed/>
    <w:qFormat/>
    <w:pPr>
      <w:pBdr/>
      <w:spacing w:after="0" w:before="0"/>
      <w:ind w:left="1200"/>
      <w:jc w:val="left"/>
    </w:pPr>
    <w:rPr>
      <w:rFonts w:asciiTheme="minorHAnsi" w:hAnsiTheme="minorHAnsi" w:cstheme="minorHAnsi"/>
      <w:sz w:val="20"/>
      <w:szCs w:val="20"/>
    </w:rPr>
  </w:style>
  <w:style w:type="paragraph" w:styleId="1312">
    <w:name w:val="toc 2"/>
    <w:basedOn w:val="1287"/>
    <w:next w:val="1287"/>
    <w:link w:val="1429"/>
    <w:uiPriority w:val="39"/>
    <w:unhideWhenUsed/>
    <w:qFormat/>
    <w:pPr>
      <w:pBdr/>
      <w:spacing w:after="0"/>
      <w:ind w:left="240"/>
      <w:jc w:val="left"/>
    </w:pPr>
    <w:rPr>
      <w:rFonts w:asciiTheme="minorHAnsi" w:hAnsiTheme="minorHAnsi" w:cstheme="minorHAnsi"/>
      <w:i/>
      <w:iCs/>
      <w:sz w:val="20"/>
      <w:szCs w:val="20"/>
    </w:rPr>
  </w:style>
  <w:style w:type="paragraph" w:styleId="1313">
    <w:name w:val="toc 9"/>
    <w:basedOn w:val="1287"/>
    <w:next w:val="1287"/>
    <w:uiPriority w:val="39"/>
    <w:unhideWhenUsed/>
    <w:qFormat/>
    <w:pPr>
      <w:pBdr/>
      <w:spacing w:after="0" w:before="0"/>
      <w:ind w:left="1920"/>
      <w:jc w:val="left"/>
    </w:pPr>
    <w:rPr>
      <w:rFonts w:asciiTheme="minorHAnsi" w:hAnsiTheme="minorHAnsi" w:cstheme="minorHAnsi"/>
      <w:sz w:val="20"/>
      <w:szCs w:val="20"/>
    </w:rPr>
  </w:style>
  <w:style w:type="paragraph" w:styleId="1314">
    <w:name w:val="Normal (Web)"/>
    <w:basedOn w:val="1287"/>
    <w:uiPriority w:val="99"/>
    <w:qFormat/>
    <w:pPr>
      <w:pBdr/>
      <w:spacing w:after="100" w:afterAutospacing="1" w:before="100" w:beforeAutospacing="1"/>
      <w:ind/>
    </w:pPr>
    <w:rPr>
      <w:rFonts w:ascii="宋体" w:hAnsi="宋体" w:eastAsia="宋体" w:cs="宋体"/>
      <w:color w:val="000000"/>
    </w:rPr>
  </w:style>
  <w:style w:type="paragraph" w:styleId="1315">
    <w:name w:val="Title"/>
    <w:basedOn w:val="1287"/>
    <w:next w:val="1287"/>
    <w:link w:val="1403"/>
    <w:uiPriority w:val="10"/>
    <w:qFormat/>
    <w:pPr>
      <w:pBdr/>
      <w:spacing w:after="0" w:before="0"/>
      <w:ind w:right="0" w:left="0"/>
      <w:jc w:val="left"/>
      <w:outlineLvl w:val="1"/>
    </w:pPr>
    <w:rPr>
      <w:rFonts w:ascii="楷体" w:hAnsi="楷体" w:eastAsia="楷体"/>
      <w:b/>
      <w:bCs/>
      <w:i/>
      <w:color w:val="17365d"/>
      <w:sz w:val="28"/>
      <w:szCs w:val="28"/>
    </w:rPr>
  </w:style>
  <w:style w:type="paragraph" w:styleId="1316">
    <w:name w:val="annotation subject"/>
    <w:basedOn w:val="1297"/>
    <w:next w:val="1297"/>
    <w:link w:val="1404"/>
    <w:uiPriority w:val="99"/>
    <w:qFormat/>
    <w:pPr>
      <w:pBdr/>
      <w:spacing/>
      <w:ind/>
    </w:pPr>
    <w:rPr>
      <w:b/>
      <w:bCs/>
    </w:rPr>
  </w:style>
  <w:style w:type="table" w:styleId="1317">
    <w:name w:val="Table Grid"/>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8">
    <w:name w:val="Strong"/>
    <w:uiPriority w:val="22"/>
    <w:qFormat/>
    <w:pPr>
      <w:pBdr/>
      <w:spacing/>
      <w:ind/>
    </w:pPr>
    <w:rPr>
      <w:b/>
      <w:bCs/>
    </w:rPr>
  </w:style>
  <w:style w:type="character" w:styleId="1319">
    <w:name w:val="endnote reference"/>
    <w:basedOn w:val="1292"/>
    <w:uiPriority w:val="0"/>
    <w:qFormat/>
    <w:pPr>
      <w:pBdr/>
      <w:spacing/>
      <w:ind/>
    </w:pPr>
    <w:rPr>
      <w:vertAlign w:val="superscript"/>
    </w:rPr>
  </w:style>
  <w:style w:type="character" w:styleId="1320">
    <w:name w:val="page number"/>
    <w:basedOn w:val="1292"/>
    <w:uiPriority w:val="99"/>
    <w:qFormat/>
    <w:pPr>
      <w:pBdr/>
      <w:spacing/>
      <w:ind/>
    </w:pPr>
  </w:style>
  <w:style w:type="character" w:styleId="1321">
    <w:name w:val="FollowedHyperlink"/>
    <w:uiPriority w:val="99"/>
    <w:qFormat/>
    <w:pPr>
      <w:pBdr/>
      <w:spacing/>
      <w:ind/>
    </w:pPr>
    <w:rPr>
      <w:color w:val="800080"/>
      <w:u w:val="single"/>
    </w:rPr>
  </w:style>
  <w:style w:type="character" w:styleId="1322">
    <w:name w:val="Hyperlink"/>
    <w:uiPriority w:val="99"/>
    <w:qFormat/>
    <w:pPr>
      <w:pBdr/>
      <w:spacing/>
      <w:ind/>
    </w:pPr>
    <w:rPr>
      <w:color w:val="0000ff"/>
      <w:u w:val="single"/>
    </w:rPr>
  </w:style>
  <w:style w:type="character" w:styleId="1323">
    <w:name w:val="annotation reference"/>
    <w:uiPriority w:val="0"/>
    <w:qFormat/>
    <w:pPr>
      <w:pBdr/>
      <w:spacing/>
      <w:ind/>
    </w:pPr>
    <w:rPr>
      <w:sz w:val="16"/>
      <w:szCs w:val="16"/>
    </w:rPr>
  </w:style>
  <w:style w:type="character" w:styleId="1324">
    <w:name w:val="footnote reference"/>
    <w:uiPriority w:val="0"/>
    <w:qFormat/>
    <w:pPr>
      <w:pBdr/>
      <w:spacing/>
      <w:ind/>
    </w:pPr>
    <w:rPr>
      <w:vertAlign w:val="superscript"/>
    </w:rPr>
  </w:style>
  <w:style w:type="paragraph" w:styleId="1325" w:customStyle="1">
    <w:name w:val="EY Body Text"/>
    <w:basedOn w:val="1287"/>
    <w:link w:val="1326"/>
    <w:uiPriority w:val="0"/>
    <w:qFormat/>
    <w:pPr>
      <w:pBdr/>
      <w:spacing w:line="280" w:lineRule="exact"/>
      <w:ind/>
    </w:pPr>
    <w:rPr>
      <w:rFonts w:eastAsia="MS Mincho" w:cs="Arial"/>
      <w:bCs/>
      <w:sz w:val="22"/>
      <w:szCs w:val="20"/>
      <w:lang w:eastAsia="en-US"/>
    </w:rPr>
  </w:style>
  <w:style w:type="character" w:styleId="1326" w:customStyle="1">
    <w:name w:val="EY Body Text Char"/>
    <w:link w:val="1325"/>
    <w:uiPriority w:val="0"/>
    <w:qFormat/>
    <w:pPr>
      <w:pBdr/>
      <w:spacing/>
      <w:ind/>
    </w:pPr>
    <w:rPr>
      <w:rFonts w:eastAsia="MS Mincho" w:cs="Arial"/>
      <w:bCs/>
      <w:sz w:val="22"/>
      <w:lang w:val="en-US" w:eastAsia="en-US" w:bidi="ar-SA"/>
    </w:rPr>
  </w:style>
  <w:style w:type="character" w:styleId="1327" w:customStyle="1">
    <w:name w:val="标题 1 字符"/>
    <w:link w:val="1288"/>
    <w:uiPriority w:val="9"/>
    <w:qFormat/>
    <w:pPr>
      <w:pBdr/>
      <w:spacing/>
      <w:ind/>
    </w:pPr>
    <w:rPr>
      <w:rFonts w:eastAsia="Arial Unicode MS"/>
      <w:b/>
      <w:bCs/>
      <w:sz w:val="44"/>
      <w:szCs w:val="44"/>
      <w:lang w:val="en-US" w:eastAsia="zh-CN" w:bidi="ar-SA"/>
    </w:rPr>
  </w:style>
  <w:style w:type="character" w:styleId="1328" w:customStyle="1">
    <w:name w:val="blueten1"/>
    <w:uiPriority w:val="0"/>
    <w:qFormat/>
    <w:pPr>
      <w:pBdr/>
      <w:spacing/>
      <w:ind/>
    </w:pPr>
    <w:rPr>
      <w:rFonts w:hint="default" w:ascii="Verdana" w:hAnsi="Verdana"/>
      <w:color w:val="000000"/>
      <w:sz w:val="19"/>
      <w:szCs w:val="19"/>
    </w:rPr>
  </w:style>
  <w:style w:type="character" w:styleId="1329" w:customStyle="1">
    <w:name w:val="a21"/>
    <w:uiPriority w:val="0"/>
    <w:qFormat/>
    <w:pPr>
      <w:pBdr/>
      <w:spacing/>
      <w:ind/>
    </w:pPr>
    <w:rPr>
      <w:sz w:val="18"/>
      <w:szCs w:val="18"/>
    </w:rPr>
  </w:style>
  <w:style w:type="character" w:styleId="1330"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331" w:customStyle="1">
    <w:name w:val="font1"/>
    <w:basedOn w:val="1287"/>
    <w:uiPriority w:val="0"/>
    <w:qFormat/>
    <w:pPr>
      <w:pBdr/>
      <w:spacing w:after="100" w:afterAutospacing="1" w:before="100" w:beforeAutospacing="1"/>
      <w:ind/>
    </w:pPr>
    <w:rPr>
      <w:rFonts w:ascii="Arial" w:hAnsi="Arial" w:eastAsia="宋体" w:cs="Arial"/>
      <w:sz w:val="20"/>
      <w:szCs w:val="20"/>
    </w:rPr>
  </w:style>
  <w:style w:type="paragraph" w:styleId="1332" w:customStyle="1">
    <w:name w:val="font5"/>
    <w:basedOn w:val="1287"/>
    <w:uiPriority w:val="0"/>
    <w:qFormat/>
    <w:pPr>
      <w:pBdr/>
      <w:spacing w:after="100" w:afterAutospacing="1" w:before="100" w:beforeAutospacing="1"/>
      <w:ind/>
    </w:pPr>
    <w:rPr>
      <w:rFonts w:ascii="Arial" w:hAnsi="Arial" w:eastAsia="宋体" w:cs="Arial"/>
      <w:sz w:val="16"/>
      <w:szCs w:val="16"/>
    </w:rPr>
  </w:style>
  <w:style w:type="paragraph" w:styleId="1333" w:customStyle="1">
    <w:name w:val="font6"/>
    <w:basedOn w:val="1287"/>
    <w:uiPriority w:val="0"/>
    <w:qFormat/>
    <w:pPr>
      <w:pBdr/>
      <w:spacing w:after="100" w:afterAutospacing="1" w:before="100" w:beforeAutospacing="1"/>
      <w:ind/>
    </w:pPr>
    <w:rPr>
      <w:rFonts w:ascii="宋体" w:hAnsi="宋体" w:eastAsia="宋体" w:cs="宋体"/>
      <w:sz w:val="20"/>
      <w:szCs w:val="20"/>
    </w:rPr>
  </w:style>
  <w:style w:type="paragraph" w:styleId="1334" w:customStyle="1">
    <w:name w:val="xl24"/>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5" w:customStyle="1">
    <w:name w:val="xl25"/>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36" w:customStyle="1">
    <w:name w:val="xl26"/>
    <w:basedOn w:val="1287"/>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337" w:customStyle="1">
    <w:name w:val="xl2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38" w:customStyle="1">
    <w:name w:val="xl2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9" w:customStyle="1">
    <w:name w:val="xl2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40" w:customStyle="1">
    <w:name w:val="xl30"/>
    <w:basedOn w:val="1287"/>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1" w:customStyle="1">
    <w:name w:val="xl31"/>
    <w:basedOn w:val="1287"/>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2" w:customStyle="1">
    <w:name w:val="xl32"/>
    <w:basedOn w:val="1287"/>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3" w:customStyle="1">
    <w:name w:val="xl33"/>
    <w:basedOn w:val="1287"/>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4" w:customStyle="1">
    <w:name w:val="xl34"/>
    <w:basedOn w:val="1287"/>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5" w:customStyle="1">
    <w:name w:val="xl35"/>
    <w:basedOn w:val="1287"/>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6" w:customStyle="1">
    <w:name w:val="xl36"/>
    <w:basedOn w:val="1287"/>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7" w:customStyle="1">
    <w:name w:val="xl37"/>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8" w:customStyle="1">
    <w:name w:val="xl38"/>
    <w:basedOn w:val="1287"/>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9" w:customStyle="1">
    <w:name w:val="xl3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0" w:customStyle="1">
    <w:name w:val="xl40"/>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351" w:customStyle="1">
    <w:name w:val="脚注文本 字符"/>
    <w:link w:val="1310"/>
    <w:uiPriority w:val="0"/>
    <w:qFormat/>
    <w:pPr>
      <w:pBdr/>
      <w:spacing/>
      <w:ind/>
    </w:pPr>
    <w:rPr>
      <w:rFonts w:eastAsia="宋体"/>
      <w:sz w:val="18"/>
      <w:szCs w:val="18"/>
      <w:lang w:val="en-US" w:eastAsia="zh-CN" w:bidi="ar-SA"/>
    </w:rPr>
  </w:style>
  <w:style w:type="paragraph" w:styleId="1352" w:customStyle="1">
    <w:name w:val="xl41"/>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53" w:customStyle="1">
    <w:name w:val="Disclaimer"/>
    <w:basedOn w:val="1287"/>
    <w:next w:val="1287"/>
    <w:uiPriority w:val="0"/>
    <w:qFormat/>
    <w:pPr>
      <w:pBdr/>
      <w:spacing/>
      <w:ind/>
    </w:pPr>
    <w:rPr>
      <w:rFonts w:ascii="Arial" w:hAnsi="Arial" w:eastAsia="PMingLiU"/>
      <w:lang w:val="en-GB"/>
    </w:rPr>
  </w:style>
  <w:style w:type="character" w:styleId="1354" w:customStyle="1">
    <w:name w:val="px141"/>
    <w:uiPriority w:val="0"/>
    <w:qFormat/>
    <w:pPr>
      <w:pBdr/>
      <w:spacing/>
      <w:ind/>
    </w:pPr>
    <w:rPr>
      <w:spacing w:val="300"/>
      <w:sz w:val="21"/>
      <w:szCs w:val="21"/>
    </w:rPr>
  </w:style>
  <w:style w:type="paragraph" w:styleId="1355" w:customStyle="1">
    <w:name w:val="xl66"/>
    <w:basedOn w:val="1287"/>
    <w:uiPriority w:val="0"/>
    <w:qFormat/>
    <w:pPr>
      <w:pBdr/>
      <w:spacing w:after="100" w:afterAutospacing="1" w:before="100" w:beforeAutospacing="1"/>
      <w:ind/>
    </w:pPr>
    <w:rPr>
      <w:rFonts w:ascii="宋体" w:hAnsi="宋体" w:eastAsia="宋体" w:cs="宋体"/>
    </w:rPr>
  </w:style>
  <w:style w:type="paragraph" w:styleId="1356" w:customStyle="1">
    <w:name w:val="xl6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7" w:customStyle="1">
    <w:name w:val="xl6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58" w:customStyle="1">
    <w:name w:val="xl6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59" w:customStyle="1">
    <w:name w:val="xl70"/>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0" w:customStyle="1">
    <w:name w:val="xl71"/>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1" w:customStyle="1">
    <w:name w:val="xl72"/>
    <w:basedOn w:val="1287"/>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362" w:customStyle="1">
    <w:name w:val="xl73"/>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3" w:customStyle="1">
    <w:name w:val="xl74"/>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4" w:customStyle="1">
    <w:name w:val="xl75"/>
    <w:basedOn w:val="1287"/>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5" w:customStyle="1">
    <w:name w:val="xl76"/>
    <w:basedOn w:val="1287"/>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6" w:customStyle="1">
    <w:name w:val="xl77"/>
    <w:basedOn w:val="1287"/>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7" w:customStyle="1">
    <w:name w:val="xl78"/>
    <w:basedOn w:val="1287"/>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8" w:customStyle="1">
    <w:name w:val="xl79"/>
    <w:basedOn w:val="1287"/>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69" w:customStyle="1">
    <w:name w:val="xl80"/>
    <w:basedOn w:val="1287"/>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0" w:customStyle="1">
    <w:name w:val="xl81"/>
    <w:basedOn w:val="1287"/>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1" w:customStyle="1">
    <w:name w:val="xl82"/>
    <w:basedOn w:val="1287"/>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2" w:customStyle="1">
    <w:name w:val="xl83"/>
    <w:basedOn w:val="1287"/>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3" w:customStyle="1">
    <w:name w:val="列出段落1"/>
    <w:basedOn w:val="1287"/>
    <w:uiPriority w:val="34"/>
    <w:qFormat/>
    <w:pPr>
      <w:pBdr/>
      <w:spacing/>
      <w:ind w:firstLine="420"/>
    </w:pPr>
  </w:style>
  <w:style w:type="character" w:styleId="1374" w:customStyle="1">
    <w:name w:val="wiki1"/>
    <w:uiPriority w:val="0"/>
    <w:qFormat/>
    <w:pPr>
      <w:pBdr/>
      <w:spacing/>
      <w:ind/>
    </w:pPr>
    <w:rPr>
      <w:sz w:val="21"/>
      <w:szCs w:val="21"/>
      <w:u w:val="single"/>
    </w:rPr>
  </w:style>
  <w:style w:type="paragraph" w:styleId="1375"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76" w:customStyle="1">
    <w:name w:val="goog_qs-tidbit-0"/>
    <w:basedOn w:val="1292"/>
    <w:uiPriority w:val="0"/>
    <w:qFormat/>
    <w:pPr>
      <w:pBdr/>
      <w:spacing/>
      <w:ind/>
    </w:pPr>
  </w:style>
  <w:style w:type="character" w:styleId="1377" w:customStyle="1">
    <w:name w:val="goog_qs-tidbit1"/>
    <w:uiPriority w:val="0"/>
    <w:qFormat/>
    <w:pPr>
      <w:pBdr/>
      <w:spacing/>
      <w:ind/>
    </w:pPr>
  </w:style>
  <w:style w:type="character" w:styleId="1378" w:customStyle="1">
    <w:name w:val="short_text"/>
    <w:basedOn w:val="1292"/>
    <w:uiPriority w:val="0"/>
    <w:qFormat/>
    <w:pPr>
      <w:pBdr/>
      <w:spacing/>
      <w:ind/>
    </w:pPr>
  </w:style>
  <w:style w:type="character" w:styleId="1379" w:customStyle="1">
    <w:name w:val="日期 字符"/>
    <w:link w:val="1302"/>
    <w:uiPriority w:val="0"/>
    <w:qFormat/>
    <w:pPr>
      <w:pBdr/>
      <w:spacing/>
      <w:ind/>
    </w:pPr>
    <w:rPr>
      <w:rFonts w:eastAsia="Arial Unicode MS"/>
      <w:sz w:val="24"/>
      <w:szCs w:val="24"/>
    </w:rPr>
  </w:style>
  <w:style w:type="character" w:styleId="1380" w:customStyle="1">
    <w:name w:val="文档结构图 字符"/>
    <w:link w:val="1296"/>
    <w:uiPriority w:val="99"/>
    <w:qFormat/>
    <w:pPr>
      <w:pBdr/>
      <w:spacing/>
      <w:ind/>
    </w:pPr>
    <w:rPr>
      <w:rFonts w:ascii="宋体"/>
      <w:sz w:val="18"/>
      <w:szCs w:val="18"/>
    </w:rPr>
  </w:style>
  <w:style w:type="paragraph" w:styleId="1381"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382" w:customStyle="1">
    <w:name w:val="Table Paragraph"/>
    <w:basedOn w:val="1287"/>
    <w:uiPriority w:val="1"/>
    <w:qFormat/>
    <w:pPr>
      <w:widowControl w:val="false"/>
      <w:pBdr/>
      <w:spacing w:before="21"/>
      <w:ind/>
      <w:jc w:val="center"/>
    </w:pPr>
    <w:rPr>
      <w:rFonts w:ascii="Arial" w:hAnsi="Arial" w:eastAsia="Arial" w:cs="Arial"/>
      <w:sz w:val="22"/>
      <w:szCs w:val="22"/>
      <w:lang w:eastAsia="en-US"/>
    </w:rPr>
  </w:style>
  <w:style w:type="table" w:styleId="1383" w:customStyle="1">
    <w:name w:val="Table Normal1"/>
    <w:basedOn w:val="1293"/>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4" w:customStyle="1">
    <w:name w:val="List Paragraph1"/>
    <w:basedOn w:val="1287"/>
    <w:uiPriority w:val="34"/>
    <w:qFormat/>
    <w:pPr>
      <w:pBdr/>
      <w:spacing/>
      <w:ind w:firstLine="420"/>
    </w:pPr>
  </w:style>
  <w:style w:type="paragraph" w:styleId="1385"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86" w:customStyle="1">
    <w:name w:val="正文文本 字符"/>
    <w:basedOn w:val="1292"/>
    <w:link w:val="1298"/>
    <w:uiPriority w:val="1"/>
    <w:qFormat/>
    <w:pPr>
      <w:pBdr/>
      <w:spacing/>
      <w:ind/>
    </w:pPr>
    <w:rPr>
      <w:rFonts w:ascii="宋体" w:hAnsi="宋体" w:cs="宋体"/>
      <w:sz w:val="22"/>
      <w:szCs w:val="22"/>
      <w:lang w:eastAsia="en-US"/>
    </w:rPr>
  </w:style>
  <w:style w:type="character" w:styleId="1387" w:customStyle="1">
    <w:name w:val="标题 3 字符"/>
    <w:basedOn w:val="1292"/>
    <w:link w:val="1290"/>
    <w:uiPriority w:val="0"/>
    <w:semiHidden/>
    <w:qFormat/>
    <w:pPr>
      <w:pBdr/>
      <w:spacing/>
      <w:ind/>
    </w:pPr>
    <w:rPr>
      <w:rFonts w:eastAsia="Arial Unicode MS"/>
      <w:b/>
      <w:bCs/>
      <w:sz w:val="32"/>
      <w:szCs w:val="32"/>
    </w:rPr>
  </w:style>
  <w:style w:type="paragraph" w:styleId="1388" w:customStyle="1">
    <w:name w:val="TOC Heading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89" w:customStyle="1">
    <w:name w:val="Body Text Char"/>
    <w:basedOn w:val="1292"/>
    <w:uiPriority w:val="1"/>
    <w:qFormat/>
    <w:pPr>
      <w:pBdr/>
      <w:spacing/>
      <w:ind/>
    </w:pPr>
    <w:rPr>
      <w:rFonts w:hint="eastAsia" w:ascii="华文楷体" w:hAnsi="华文楷体" w:eastAsia="华文楷体" w:cs="华文楷体"/>
      <w:sz w:val="24"/>
      <w:szCs w:val="24"/>
    </w:rPr>
  </w:style>
  <w:style w:type="character" w:styleId="1390" w:customStyle="1">
    <w:name w:val="Heading 2 Char"/>
    <w:basedOn w:val="1292"/>
    <w:uiPriority w:val="0"/>
    <w:qFormat/>
    <w:pPr>
      <w:pBdr/>
      <w:spacing/>
      <w:ind/>
    </w:pPr>
    <w:rPr>
      <w:rFonts w:hint="eastAsia" w:ascii="华文楷体" w:hAnsi="华文楷体" w:eastAsia="华文楷体" w:cs="华文楷体"/>
      <w:sz w:val="32"/>
      <w:szCs w:val="32"/>
    </w:rPr>
  </w:style>
  <w:style w:type="character" w:styleId="1391" w:customStyle="1">
    <w:name w:val="Heading 3 Char"/>
    <w:basedOn w:val="1292"/>
    <w:uiPriority w:val="0"/>
    <w:qFormat/>
    <w:pPr>
      <w:pBdr/>
      <w:spacing/>
      <w:ind/>
    </w:pPr>
    <w:rPr>
      <w:rFonts w:hint="eastAsia" w:ascii="华文楷体" w:hAnsi="华文楷体" w:eastAsia="华文楷体" w:cs="华文楷体"/>
      <w:sz w:val="28"/>
      <w:szCs w:val="28"/>
    </w:rPr>
  </w:style>
  <w:style w:type="paragraph" w:styleId="1392" w:customStyle="1">
    <w:name w:val="msolistparagraph"/>
    <w:basedOn w:val="1287"/>
    <w:uiPriority w:val="0"/>
    <w:qFormat/>
    <w:pPr>
      <w:widowControl w:val="false"/>
      <w:pBdr/>
      <w:spacing w:before="267"/>
      <w:ind w:hanging="720" w:left="820"/>
    </w:pPr>
    <w:rPr>
      <w:rFonts w:hint="eastAsia" w:ascii="华文楷体" w:hAnsi="华文楷体" w:eastAsia="华文楷体"/>
      <w:sz w:val="22"/>
      <w:szCs w:val="22"/>
    </w:rPr>
  </w:style>
  <w:style w:type="paragraph" w:styleId="1393" w:customStyle="1">
    <w:name w:val="List Paragraph2"/>
    <w:basedOn w:val="1287"/>
    <w:uiPriority w:val="99"/>
    <w:qFormat/>
    <w:pPr>
      <w:pBdr/>
      <w:spacing/>
      <w:ind w:firstLine="420"/>
    </w:pPr>
  </w:style>
  <w:style w:type="table" w:styleId="1394" w:customStyle="1">
    <w:name w:val="Table Normal2"/>
    <w:basedOn w:val="1293"/>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5"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6">
    <w:name w:val="List Paragraph"/>
    <w:basedOn w:val="1287"/>
    <w:link w:val="1446"/>
    <w:uiPriority w:val="99"/>
    <w:qFormat/>
    <w:pPr>
      <w:pBdr/>
      <w:spacing/>
      <w:ind w:firstLine="420"/>
    </w:pPr>
  </w:style>
  <w:style w:type="paragraph" w:styleId="1397"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8" w:customStyle="1">
    <w:name w:val="TOC 标题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99" w:customStyle="1">
    <w:name w:val="页脚 字符"/>
    <w:basedOn w:val="1292"/>
    <w:link w:val="1305"/>
    <w:uiPriority w:val="99"/>
    <w:qFormat/>
    <w:pPr>
      <w:pBdr/>
      <w:spacing/>
      <w:ind/>
    </w:pPr>
    <w:rPr>
      <w:rFonts w:ascii="Times New Roman" w:hAnsi="Times New Roman" w:eastAsia="Arial Unicode MS"/>
      <w:sz w:val="18"/>
      <w:szCs w:val="18"/>
    </w:rPr>
  </w:style>
  <w:style w:type="table" w:styleId="1400" w:customStyle="1">
    <w:name w:val="网格型1"/>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2" w:customStyle="1">
    <w:name w:val="副标题 字符"/>
    <w:basedOn w:val="1292"/>
    <w:link w:val="1309"/>
    <w:uiPriority w:val="11"/>
    <w:qFormat/>
    <w:pPr>
      <w:pBdr/>
      <w:spacing/>
      <w:ind/>
    </w:pPr>
    <w:rPr>
      <w:rFonts w:ascii="楷体" w:hAnsi="楷体" w:eastAsia="楷体"/>
      <w:b/>
      <w:bCs/>
      <w:i/>
      <w:iCs/>
      <w:color w:val="17365d"/>
      <w:sz w:val="24"/>
      <w:szCs w:val="24"/>
    </w:rPr>
  </w:style>
  <w:style w:type="character" w:styleId="1403" w:customStyle="1">
    <w:name w:val="标题 字符"/>
    <w:basedOn w:val="1292"/>
    <w:link w:val="1315"/>
    <w:uiPriority w:val="10"/>
    <w:qFormat/>
    <w:pPr>
      <w:pBdr/>
      <w:spacing/>
      <w:ind/>
    </w:pPr>
    <w:rPr>
      <w:rFonts w:ascii="楷体" w:hAnsi="楷体" w:eastAsia="楷体"/>
      <w:b/>
      <w:bCs/>
      <w:i/>
      <w:color w:val="17365d"/>
      <w:sz w:val="28"/>
      <w:szCs w:val="28"/>
    </w:rPr>
  </w:style>
  <w:style w:type="character" w:styleId="1404" w:customStyle="1">
    <w:name w:val="批注主题 字符"/>
    <w:link w:val="1316"/>
    <w:uiPriority w:val="99"/>
    <w:qFormat/>
    <w:pPr>
      <w:pBdr/>
      <w:spacing/>
      <w:ind/>
    </w:pPr>
    <w:rPr>
      <w:rFonts w:ascii="Times New Roman" w:hAnsi="Times New Roman" w:eastAsia="Arial Unicode MS"/>
      <w:b/>
      <w:bCs/>
    </w:rPr>
  </w:style>
  <w:style w:type="character" w:styleId="1405" w:customStyle="1">
    <w:name w:val="font61"/>
    <w:uiPriority w:val="0"/>
    <w:qFormat/>
    <w:pPr>
      <w:pBdr/>
      <w:spacing/>
      <w:ind/>
    </w:pPr>
    <w:rPr>
      <w:rFonts w:hint="default" w:ascii="Tahoma" w:hAnsi="Tahoma" w:eastAsia="Tahoma" w:cs="Tahoma"/>
      <w:b/>
      <w:color w:val="003366"/>
      <w:sz w:val="22"/>
      <w:szCs w:val="22"/>
      <w:u w:val="none"/>
    </w:rPr>
  </w:style>
  <w:style w:type="character" w:styleId="1406" w:customStyle="1">
    <w:name w:val="font41"/>
    <w:uiPriority w:val="0"/>
    <w:qFormat/>
    <w:pPr>
      <w:pBdr/>
      <w:spacing/>
      <w:ind/>
    </w:pPr>
    <w:rPr>
      <w:rFonts w:hint="eastAsia" w:ascii="宋体" w:hAnsi="宋体" w:eastAsia="宋体" w:cs="宋体"/>
      <w:b/>
      <w:color w:val="003366"/>
      <w:sz w:val="22"/>
      <w:szCs w:val="22"/>
      <w:u w:val="none"/>
    </w:rPr>
  </w:style>
  <w:style w:type="character" w:styleId="1407" w:customStyle="1">
    <w:name w:val="标题1"/>
    <w:uiPriority w:val="0"/>
    <w:qFormat/>
    <w:pPr>
      <w:pBdr/>
      <w:spacing/>
      <w:ind/>
    </w:pPr>
  </w:style>
  <w:style w:type="character" w:styleId="1408" w:customStyle="1">
    <w:name w:val="font31"/>
    <w:uiPriority w:val="0"/>
    <w:qFormat/>
    <w:pPr>
      <w:pBdr/>
      <w:spacing/>
      <w:ind/>
    </w:pPr>
    <w:rPr>
      <w:rFonts w:ascii="Arial" w:hAnsi="Arial" w:cs="Arial"/>
      <w:color w:val="000000"/>
      <w:sz w:val="20"/>
      <w:szCs w:val="20"/>
      <w:u w:val="none"/>
    </w:rPr>
  </w:style>
  <w:style w:type="character" w:styleId="1409" w:customStyle="1">
    <w:name w:val="hrefstyle"/>
    <w:uiPriority w:val="0"/>
    <w:qFormat/>
    <w:pPr>
      <w:pBdr/>
      <w:spacing/>
      <w:ind/>
    </w:pPr>
  </w:style>
  <w:style w:type="character" w:styleId="1410" w:customStyle="1">
    <w:name w:val="font51"/>
    <w:uiPriority w:val="0"/>
    <w:qFormat/>
    <w:pPr>
      <w:pBdr/>
      <w:spacing/>
      <w:ind/>
    </w:pPr>
    <w:rPr>
      <w:rFonts w:hint="default" w:ascii="Tahoma" w:hAnsi="Tahoma" w:eastAsia="Tahoma" w:cs="Tahoma"/>
      <w:b/>
      <w:color w:val="003366"/>
      <w:sz w:val="22"/>
      <w:szCs w:val="22"/>
      <w:u w:val="none"/>
    </w:rPr>
  </w:style>
  <w:style w:type="character" w:styleId="1411" w:customStyle="1">
    <w:name w:val="_Style 1"/>
    <w:uiPriority w:val="19"/>
    <w:qFormat/>
    <w:pPr>
      <w:pBdr/>
      <w:spacing/>
      <w:ind/>
    </w:pPr>
    <w:rPr>
      <w:rFonts w:ascii="楷体" w:hAnsi="楷体" w:eastAsia="楷体" w:cs="楷体"/>
      <w:bCs/>
      <w:i/>
      <w:color w:val="365f91"/>
    </w:rPr>
  </w:style>
  <w:style w:type="character" w:styleId="1412" w:customStyle="1">
    <w:name w:val="批注文字 字符"/>
    <w:link w:val="1297"/>
    <w:uiPriority w:val="0"/>
    <w:qFormat/>
    <w:pPr>
      <w:pBdr/>
      <w:spacing/>
      <w:ind/>
    </w:pPr>
    <w:rPr>
      <w:rFonts w:ascii="Times New Roman" w:hAnsi="Times New Roman" w:eastAsia="Arial Unicode MS"/>
    </w:rPr>
  </w:style>
  <w:style w:type="character" w:styleId="1413" w:customStyle="1">
    <w:name w:val="批注框文本 字符"/>
    <w:link w:val="1304"/>
    <w:uiPriority w:val="99"/>
    <w:qFormat/>
    <w:pPr>
      <w:pBdr/>
      <w:spacing/>
      <w:ind/>
    </w:pPr>
    <w:rPr>
      <w:rFonts w:ascii="宋体" w:hAnsi="Times New Roman"/>
      <w:sz w:val="18"/>
      <w:szCs w:val="18"/>
    </w:rPr>
  </w:style>
  <w:style w:type="character" w:styleId="1414" w:customStyle="1">
    <w:name w:val="无格式表格 31"/>
    <w:uiPriority w:val="19"/>
    <w:qFormat/>
    <w:pPr>
      <w:pBdr/>
      <w:spacing/>
      <w:ind/>
    </w:pPr>
    <w:rPr>
      <w:rFonts w:ascii="楷体" w:hAnsi="楷体" w:eastAsia="楷体" w:cs="楷体"/>
      <w:bCs/>
      <w:i/>
      <w:color w:val="365f91"/>
    </w:rPr>
  </w:style>
  <w:style w:type="character" w:styleId="1415" w:customStyle="1">
    <w:name w:val="font21"/>
    <w:uiPriority w:val="0"/>
    <w:qFormat/>
    <w:pPr>
      <w:pBdr/>
      <w:spacing/>
      <w:ind/>
    </w:pPr>
    <w:rPr>
      <w:rFonts w:hint="default" w:ascii="Arial" w:hAnsi="Arial" w:cs="Arial"/>
      <w:color w:val="000000"/>
      <w:sz w:val="20"/>
      <w:szCs w:val="20"/>
      <w:u w:val="none"/>
    </w:rPr>
  </w:style>
  <w:style w:type="paragraph" w:styleId="1416" w:customStyle="1">
    <w:name w:val="LogoPage2"/>
    <w:basedOn w:val="1287"/>
    <w:uiPriority w:val="0"/>
    <w:qFormat/>
    <w:pPr>
      <w:pBdr/>
      <w:spacing w:after="0" w:before="20"/>
      <w:ind w:right="0" w:left="0"/>
      <w:jc w:val="left"/>
    </w:pPr>
    <w:rPr>
      <w:rFonts w:ascii="Calibri" w:hAnsi="Calibri" w:eastAsia="宋体"/>
    </w:rPr>
  </w:style>
  <w:style w:type="paragraph" w:styleId="1417" w:customStyle="1">
    <w:name w:val="title1"/>
    <w:basedOn w:val="1287"/>
    <w:uiPriority w:val="0"/>
    <w:qFormat/>
    <w:pPr>
      <w:pBdr/>
      <w:spacing w:after="100" w:afterAutospacing="1" w:before="100" w:beforeAutospacing="1"/>
      <w:ind w:right="0" w:left="0"/>
      <w:jc w:val="left"/>
    </w:pPr>
    <w:rPr>
      <w:rFonts w:ascii="宋体" w:hAnsi="宋体" w:eastAsia="宋体" w:cs="宋体"/>
    </w:rPr>
  </w:style>
  <w:style w:type="paragraph" w:styleId="1418" w:customStyle="1">
    <w:name w:val="SenderBullet"/>
    <w:basedOn w:val="1287"/>
    <w:uiPriority w:val="0"/>
    <w:qFormat/>
    <w:pPr>
      <w:pBdr/>
      <w:spacing w:after="0" w:before="0" w:line="180" w:lineRule="exact"/>
      <w:ind w:right="0" w:left="0"/>
      <w:jc w:val="left"/>
    </w:pPr>
    <w:rPr>
      <w:rFonts w:ascii="Wingdings" w:hAnsi="Wingdings" w:eastAsia="宋体"/>
      <w:i/>
      <w:sz w:val="12"/>
    </w:rPr>
  </w:style>
  <w:style w:type="paragraph" w:styleId="1419" w:customStyle="1">
    <w:name w:val="PageNumber"/>
    <w:basedOn w:val="1287"/>
    <w:uiPriority w:val="0"/>
    <w:qFormat/>
    <w:pPr>
      <w:pBdr/>
      <w:spacing w:after="0" w:before="80"/>
      <w:ind w:right="0" w:left="0"/>
      <w:jc w:val="right"/>
    </w:pPr>
    <w:rPr>
      <w:rFonts w:ascii="Calibri" w:hAnsi="Calibri" w:eastAsia="宋体"/>
      <w:i/>
    </w:rPr>
  </w:style>
  <w:style w:type="paragraph" w:styleId="1420" w:customStyle="1">
    <w:name w:val="CompFooter"/>
    <w:basedOn w:val="1421"/>
    <w:uiPriority w:val="0"/>
    <w:qFormat/>
    <w:pPr>
      <w:pBdr/>
      <w:spacing/>
      <w:ind/>
    </w:pPr>
  </w:style>
  <w:style w:type="paragraph" w:styleId="1421" w:customStyle="1">
    <w:name w:val="Sender"/>
    <w:basedOn w:val="1287"/>
    <w:uiPriority w:val="0"/>
    <w:qFormat/>
    <w:pPr>
      <w:pBdr/>
      <w:spacing w:after="0" w:before="0" w:line="180" w:lineRule="exact"/>
      <w:ind w:right="0" w:left="0"/>
      <w:jc w:val="left"/>
    </w:pPr>
    <w:rPr>
      <w:rFonts w:ascii="Optima" w:hAnsi="Optima" w:eastAsia="宋体"/>
      <w:sz w:val="16"/>
    </w:rPr>
  </w:style>
  <w:style w:type="paragraph" w:styleId="1422" w:customStyle="1">
    <w:name w:val="网格表 31"/>
    <w:basedOn w:val="1288"/>
    <w:next w:val="1287"/>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423"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424" w:customStyle="1">
    <w:name w:val="样式1"/>
    <w:basedOn w:val="1300"/>
    <w:link w:val="1427"/>
    <w:uiPriority w:val="0"/>
    <w:qFormat/>
    <w:pPr>
      <w:pBdr/>
      <w:tabs>
        <w:tab w:val="right" w:leader="dot" w:pos="8296"/>
      </w:tabs>
      <w:spacing/>
      <w:ind/>
    </w:pPr>
    <w:rPr>
      <w:rFonts w:ascii="仿宋_GB2312" w:eastAsia="仿宋_GB2312" w:cs="楷体"/>
    </w:rPr>
  </w:style>
  <w:style w:type="paragraph" w:styleId="1425" w:customStyle="1">
    <w:name w:val="样式2"/>
    <w:basedOn w:val="1312"/>
    <w:link w:val="1430"/>
    <w:uiPriority w:val="0"/>
    <w:qFormat/>
    <w:pPr>
      <w:pBdr/>
      <w:tabs>
        <w:tab w:val="right" w:leader="dot" w:pos="8296"/>
      </w:tabs>
      <w:spacing/>
      <w:ind/>
    </w:pPr>
    <w:rPr>
      <w:rFonts w:ascii="仿宋_GB2312" w:eastAsia="仿宋_GB2312" w:cs="楷体"/>
      <w:i w:val="0"/>
    </w:rPr>
  </w:style>
  <w:style w:type="character" w:styleId="1426" w:customStyle="1">
    <w:name w:val="TOC 3 字符"/>
    <w:basedOn w:val="1292"/>
    <w:link w:val="1300"/>
    <w:uiPriority w:val="39"/>
    <w:qFormat/>
    <w:pPr>
      <w:pBdr/>
      <w:spacing/>
      <w:ind/>
    </w:pPr>
    <w:rPr>
      <w:rFonts w:eastAsia="Arial Unicode MS" w:asciiTheme="minorHAnsi" w:hAnsiTheme="minorHAnsi" w:cstheme="minorHAnsi"/>
    </w:rPr>
  </w:style>
  <w:style w:type="character" w:styleId="1427" w:customStyle="1">
    <w:name w:val="样式1 字符"/>
    <w:basedOn w:val="1426"/>
    <w:link w:val="1424"/>
    <w:uiPriority w:val="0"/>
    <w:qFormat/>
    <w:pPr>
      <w:pBdr/>
      <w:spacing/>
      <w:ind/>
    </w:pPr>
    <w:rPr>
      <w:rFonts w:ascii="仿宋_GB2312" w:eastAsia="仿宋_GB2312" w:cs="楷体" w:hAnsiTheme="minorHAnsi"/>
    </w:rPr>
  </w:style>
  <w:style w:type="paragraph" w:styleId="1428" w:customStyle="1">
    <w:name w:val="样式3"/>
    <w:basedOn w:val="1312"/>
    <w:link w:val="1432"/>
    <w:uiPriority w:val="0"/>
    <w:qFormat/>
    <w:pPr>
      <w:pBdr/>
      <w:tabs>
        <w:tab w:val="right" w:leader="dot" w:pos="8296"/>
      </w:tabs>
      <w:spacing/>
      <w:ind/>
    </w:pPr>
    <w:rPr>
      <w:i w:val="0"/>
    </w:rPr>
  </w:style>
  <w:style w:type="character" w:styleId="1429" w:customStyle="1">
    <w:name w:val="TOC 2 字符"/>
    <w:basedOn w:val="1292"/>
    <w:link w:val="1312"/>
    <w:uiPriority w:val="39"/>
    <w:qFormat/>
    <w:pPr>
      <w:pBdr/>
      <w:spacing/>
      <w:ind/>
    </w:pPr>
    <w:rPr>
      <w:rFonts w:eastAsia="Arial Unicode MS" w:asciiTheme="minorHAnsi" w:hAnsiTheme="minorHAnsi" w:cstheme="minorHAnsi"/>
      <w:i/>
      <w:iCs/>
    </w:rPr>
  </w:style>
  <w:style w:type="character" w:styleId="1430" w:customStyle="1">
    <w:name w:val="样式2 字符"/>
    <w:basedOn w:val="1429"/>
    <w:link w:val="1425"/>
    <w:uiPriority w:val="0"/>
    <w:qFormat/>
    <w:pPr>
      <w:pBdr/>
      <w:spacing/>
      <w:ind/>
    </w:pPr>
    <w:rPr>
      <w:rFonts w:ascii="仿宋_GB2312" w:eastAsia="仿宋_GB2312" w:cs="楷体" w:hAnsiTheme="minorHAnsi"/>
      <w:i w:val="0"/>
    </w:rPr>
  </w:style>
  <w:style w:type="paragraph" w:styleId="1431" w:customStyle="1">
    <w:name w:val="样式4"/>
    <w:basedOn w:val="1312"/>
    <w:link w:val="1434"/>
    <w:uiPriority w:val="0"/>
    <w:qFormat/>
    <w:pPr>
      <w:pBdr/>
      <w:tabs>
        <w:tab w:val="right" w:leader="dot" w:pos="8296"/>
      </w:tabs>
      <w:spacing/>
      <w:ind/>
    </w:pPr>
    <w:rPr>
      <w:i w:val="0"/>
    </w:rPr>
  </w:style>
  <w:style w:type="character" w:styleId="1432" w:customStyle="1">
    <w:name w:val="样式3 字符"/>
    <w:basedOn w:val="1429"/>
    <w:link w:val="1428"/>
    <w:uiPriority w:val="0"/>
    <w:qFormat/>
    <w:pPr>
      <w:pBdr/>
      <w:spacing/>
      <w:ind/>
    </w:pPr>
    <w:rPr>
      <w:rFonts w:eastAsia="Arial Unicode MS" w:asciiTheme="minorHAnsi" w:hAnsiTheme="minorHAnsi" w:cstheme="minorHAnsi"/>
      <w:i w:val="0"/>
    </w:rPr>
  </w:style>
  <w:style w:type="paragraph" w:styleId="1433" w:customStyle="1">
    <w:name w:val="样式5"/>
    <w:basedOn w:val="1312"/>
    <w:link w:val="1436"/>
    <w:uiPriority w:val="0"/>
    <w:qFormat/>
    <w:pPr>
      <w:pBdr/>
      <w:tabs>
        <w:tab w:val="right" w:leader="dot" w:pos="8296"/>
      </w:tabs>
      <w:spacing/>
      <w:ind/>
    </w:pPr>
    <w:rPr>
      <w:rFonts w:ascii="仿宋_GB2312" w:hAnsi="Arial Narrow" w:eastAsia="仿宋_GB2312" w:cs="Arial"/>
      <w:b/>
      <w:i w:val="0"/>
      <w:caps/>
    </w:rPr>
  </w:style>
  <w:style w:type="character" w:styleId="1434" w:customStyle="1">
    <w:name w:val="样式4 字符"/>
    <w:basedOn w:val="1429"/>
    <w:link w:val="1431"/>
    <w:uiPriority w:val="0"/>
    <w:qFormat/>
    <w:pPr>
      <w:pBdr/>
      <w:spacing/>
      <w:ind/>
    </w:pPr>
    <w:rPr>
      <w:rFonts w:eastAsia="Arial Unicode MS" w:asciiTheme="minorHAnsi" w:hAnsiTheme="minorHAnsi" w:cstheme="minorHAnsi"/>
      <w:i w:val="0"/>
    </w:rPr>
  </w:style>
  <w:style w:type="paragraph" w:styleId="1435" w:customStyle="1">
    <w:name w:val="样式6"/>
    <w:basedOn w:val="1433"/>
    <w:link w:val="1438"/>
    <w:uiPriority w:val="0"/>
    <w:qFormat/>
    <w:pPr>
      <w:pBdr/>
      <w:spacing/>
      <w:ind/>
    </w:pPr>
    <w:rPr>
      <w:caps w:val="0"/>
    </w:rPr>
  </w:style>
  <w:style w:type="character" w:styleId="1436" w:customStyle="1">
    <w:name w:val="样式5 字符"/>
    <w:basedOn w:val="1429"/>
    <w:link w:val="1433"/>
    <w:uiPriority w:val="0"/>
    <w:qFormat/>
    <w:pPr>
      <w:pBdr/>
      <w:spacing/>
      <w:ind/>
    </w:pPr>
    <w:rPr>
      <w:rFonts w:ascii="仿宋_GB2312" w:hAnsi="Arial Narrow" w:eastAsia="仿宋_GB2312" w:cs="Arial"/>
      <w:b/>
      <w:i w:val="0"/>
      <w:caps/>
    </w:rPr>
  </w:style>
  <w:style w:type="paragraph" w:styleId="1437" w:customStyle="1">
    <w:name w:val="样式7"/>
    <w:basedOn w:val="1312"/>
    <w:link w:val="1440"/>
    <w:uiPriority w:val="0"/>
    <w:qFormat/>
    <w:pPr>
      <w:pBdr/>
      <w:tabs>
        <w:tab w:val="right" w:leader="dot" w:pos="8296"/>
      </w:tabs>
      <w:spacing/>
      <w:ind/>
    </w:pPr>
    <w:rPr>
      <w:rFonts w:ascii="仿宋_GB2312" w:eastAsia="仿宋_GB2312" w:cs="楷体"/>
      <w:i w:val="0"/>
    </w:rPr>
  </w:style>
  <w:style w:type="character" w:styleId="1438" w:customStyle="1">
    <w:name w:val="样式6 字符"/>
    <w:basedOn w:val="1436"/>
    <w:link w:val="1435"/>
    <w:uiPriority w:val="0"/>
    <w:qFormat/>
    <w:pPr>
      <w:pBdr/>
      <w:spacing/>
      <w:ind/>
    </w:pPr>
    <w:rPr>
      <w:rFonts w:ascii="仿宋_GB2312" w:hAnsi="Arial Narrow" w:eastAsia="仿宋_GB2312" w:cs="Arial"/>
      <w:caps w:val="0"/>
    </w:rPr>
  </w:style>
  <w:style w:type="paragraph" w:styleId="1439" w:customStyle="1">
    <w:name w:val="样式8"/>
    <w:basedOn w:val="1312"/>
    <w:link w:val="1441"/>
    <w:uiPriority w:val="0"/>
    <w:qFormat/>
    <w:pPr>
      <w:pBdr/>
      <w:tabs>
        <w:tab w:val="right" w:leader="dot" w:pos="8296"/>
      </w:tabs>
      <w:spacing/>
      <w:ind/>
    </w:pPr>
    <w:rPr>
      <w:i w:val="0"/>
    </w:rPr>
  </w:style>
  <w:style w:type="character" w:styleId="1440" w:customStyle="1">
    <w:name w:val="样式7 字符"/>
    <w:basedOn w:val="1429"/>
    <w:link w:val="1437"/>
    <w:uiPriority w:val="0"/>
    <w:qFormat/>
    <w:pPr>
      <w:pBdr/>
      <w:spacing/>
      <w:ind/>
    </w:pPr>
    <w:rPr>
      <w:rFonts w:ascii="仿宋_GB2312" w:eastAsia="仿宋_GB2312" w:cs="楷体" w:hAnsiTheme="minorHAnsi"/>
      <w:i w:val="0"/>
    </w:rPr>
  </w:style>
  <w:style w:type="character" w:styleId="1441" w:customStyle="1">
    <w:name w:val="样式8 字符"/>
    <w:basedOn w:val="1429"/>
    <w:link w:val="1439"/>
    <w:uiPriority w:val="0"/>
    <w:qFormat/>
    <w:pPr>
      <w:pBdr/>
      <w:spacing/>
      <w:ind/>
    </w:pPr>
    <w:rPr>
      <w:rFonts w:eastAsia="Arial Unicode MS" w:asciiTheme="minorHAnsi" w:hAnsiTheme="minorHAnsi" w:cstheme="minorHAnsi"/>
      <w:i w:val="0"/>
    </w:rPr>
  </w:style>
  <w:style w:type="character" w:styleId="1442" w:customStyle="1">
    <w:name w:val="尾注文本 字符"/>
    <w:basedOn w:val="1292"/>
    <w:link w:val="1303"/>
    <w:uiPriority w:val="0"/>
    <w:qFormat/>
    <w:pPr>
      <w:pBdr/>
      <w:spacing/>
      <w:ind/>
    </w:pPr>
    <w:rPr>
      <w:rFonts w:ascii="Times New Roman" w:hAnsi="Times New Roman" w:eastAsia="Arial Unicode MS"/>
      <w:sz w:val="24"/>
      <w:szCs w:val="24"/>
    </w:rPr>
  </w:style>
  <w:style w:type="paragraph" w:styleId="1443" w:customStyle="1">
    <w:name w:val="Bullet EY"/>
    <w:basedOn w:val="1287"/>
    <w:next w:val="1287"/>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444" w:customStyle="1">
    <w:name w:val="网格表 4 - 着色 41"/>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5" w:customStyle="1">
    <w:name w:val="标题 4 字符"/>
    <w:basedOn w:val="1292"/>
    <w:link w:val="1291"/>
    <w:uiPriority w:val="0"/>
    <w:semiHidden/>
    <w:qFormat/>
    <w:pPr>
      <w:pBdr/>
      <w:spacing/>
      <w:ind/>
    </w:pPr>
    <w:rPr>
      <w:rFonts w:asciiTheme="majorHAnsi" w:hAnsiTheme="majorHAnsi" w:eastAsiaTheme="majorEastAsia" w:cstheme="majorBidi"/>
      <w:b/>
      <w:bCs/>
      <w:sz w:val="28"/>
      <w:szCs w:val="28"/>
    </w:rPr>
  </w:style>
  <w:style w:type="character" w:styleId="1446" w:customStyle="1">
    <w:name w:val="列表段落 字符1"/>
    <w:basedOn w:val="1292"/>
    <w:link w:val="1396"/>
    <w:uiPriority w:val="99"/>
    <w:qFormat/>
    <w:pPr>
      <w:pBdr/>
      <w:spacing/>
      <w:ind/>
    </w:pPr>
    <w:rPr>
      <w:rFonts w:ascii="Times New Roman" w:hAnsi="Times New Roman" w:eastAsia="Arial Unicode MS"/>
      <w:sz w:val="24"/>
      <w:szCs w:val="24"/>
    </w:rPr>
  </w:style>
  <w:style w:type="table" w:styleId="1447" w:customStyle="1">
    <w:name w:val="网格表 4 - 着色 42"/>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8" w:customStyle="1">
    <w:name w:val="Table Text"/>
    <w:basedOn w:val="1287"/>
    <w:link w:val="1449"/>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449" w:customStyle="1">
    <w:name w:val="Table Text Char"/>
    <w:link w:val="1448"/>
    <w:uiPriority w:val="0"/>
    <w:qFormat/>
    <w:pPr>
      <w:pBdr/>
      <w:spacing/>
      <w:ind/>
    </w:pPr>
    <w:rPr>
      <w:rFonts w:ascii="Arial" w:hAnsi="Arial" w:eastAsia="华文楷体"/>
      <w:sz w:val="22"/>
      <w:szCs w:val="18"/>
      <w:lang w:val="en-GB" w:eastAsia="en-US"/>
    </w:rPr>
  </w:style>
  <w:style w:type="character" w:styleId="1450" w:customStyle="1">
    <w:name w:val="页眉 字符"/>
    <w:basedOn w:val="1292"/>
    <w:link w:val="1306"/>
    <w:uiPriority w:val="0"/>
    <w:qFormat/>
    <w:pPr>
      <w:pBdr/>
      <w:spacing/>
      <w:ind/>
    </w:pPr>
    <w:rPr>
      <w:rFonts w:ascii="Times New Roman" w:hAnsi="Times New Roman" w:eastAsia="Arial Unicode MS"/>
      <w:sz w:val="18"/>
      <w:szCs w:val="18"/>
    </w:rPr>
  </w:style>
  <w:style w:type="paragraph" w:styleId="1451" w:customStyle="1">
    <w:name w:val="F中文正文"/>
    <w:basedOn w:val="1287"/>
    <w:link w:val="1452"/>
    <w:uiPriority w:val="0"/>
    <w:qFormat/>
    <w:pPr>
      <w:pBdr/>
      <w:spacing w:line="360" w:lineRule="auto"/>
      <w:ind w:right="0" w:firstLine="432" w:left="0"/>
    </w:pPr>
    <w:rPr>
      <w:rFonts w:eastAsia="宋体"/>
      <w:sz w:val="22"/>
      <w:szCs w:val="22"/>
      <w:lang w:eastAsia="en-US"/>
    </w:rPr>
  </w:style>
  <w:style w:type="character" w:styleId="1452" w:customStyle="1">
    <w:name w:val="F中文正文 Char"/>
    <w:link w:val="1451"/>
    <w:uiPriority w:val="0"/>
    <w:qFormat/>
    <w:pPr>
      <w:pBdr/>
      <w:spacing/>
      <w:ind/>
    </w:pPr>
    <w:rPr>
      <w:rFonts w:ascii="Times New Roman" w:hAnsi="Times New Roman"/>
      <w:sz w:val="22"/>
      <w:szCs w:val="22"/>
      <w:lang w:eastAsia="en-US"/>
    </w:rPr>
  </w:style>
  <w:style w:type="paragraph" w:styleId="1453" w:customStyle="1">
    <w:name w:val="列出段落2"/>
    <w:basedOn w:val="1287"/>
    <w:link w:val="1454"/>
    <w:uiPriority w:val="99"/>
    <w:qFormat/>
    <w:pPr>
      <w:pBdr/>
      <w:spacing/>
      <w:ind w:firstLine="420"/>
    </w:pPr>
  </w:style>
  <w:style w:type="character" w:styleId="1454" w:customStyle="1">
    <w:name w:val="列表段落 字符"/>
    <w:basedOn w:val="1292"/>
    <w:link w:val="1453"/>
    <w:uiPriority w:val="99"/>
    <w:qFormat/>
    <w:pPr>
      <w:pBdr/>
      <w:spacing/>
      <w:ind/>
    </w:pPr>
    <w:rPr>
      <w:rFonts w:ascii="Times New Roman" w:hAnsi="Times New Roman" w:eastAsia="Arial Unicode MS"/>
      <w:sz w:val="24"/>
      <w:szCs w:val="24"/>
    </w:rPr>
  </w:style>
  <w:style w:type="character" w:styleId="1455" w:customStyle="1">
    <w:name w:val="Unresolved Mention1"/>
    <w:basedOn w:val="1292"/>
    <w:uiPriority w:val="99"/>
    <w:semiHidden/>
    <w:unhideWhenUsed/>
    <w:qFormat/>
    <w:pPr>
      <w:pBdr/>
      <w:spacing/>
      <w:ind/>
    </w:pPr>
    <w:rPr>
      <w:color w:val="605e5c"/>
      <w:shd w:val="clear" w:color="auto" w:fill="e1dfdd"/>
    </w:rPr>
  </w:style>
  <w:style w:type="paragraph" w:styleId="1456"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457"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458" w:customStyle="1">
    <w:name w:val="未处理的提及1"/>
    <w:basedOn w:val="1292"/>
    <w:uiPriority w:val="99"/>
    <w:semiHidden/>
    <w:unhideWhenUsed/>
    <w:qFormat/>
    <w:pPr>
      <w:pBdr/>
      <w:spacing/>
      <w:ind/>
    </w:pPr>
    <w:rPr>
      <w:color w:val="605e5c"/>
      <w:shd w:val="clear" w:color="auto" w:fill="e1dfdd"/>
    </w:rPr>
  </w:style>
  <w:style w:type="character" w:styleId="1459" w:customStyle="1">
    <w:name w:val="未处理的提及2"/>
    <w:basedOn w:val="1292"/>
    <w:uiPriority w:val="99"/>
    <w:semiHidden/>
    <w:unhideWhenUsed/>
    <w:qFormat/>
    <w:pPr>
      <w:pBdr/>
      <w:spacing/>
      <w:ind/>
    </w:pPr>
    <w:rPr>
      <w:color w:val="605e5c"/>
      <w:shd w:val="clear" w:color="auto" w:fill="e1dfdd"/>
    </w:rPr>
  </w:style>
  <w:style w:type="character" w:styleId="1460" w:customStyle="1">
    <w:name w:val="未处理的提及3"/>
    <w:basedOn w:val="1292"/>
    <w:uiPriority w:val="99"/>
    <w:semiHidden/>
    <w:unhideWhenUsed/>
    <w:qFormat/>
    <w:pPr>
      <w:pBdr/>
      <w:spacing/>
      <w:ind/>
    </w:pPr>
    <w:rPr>
      <w:color w:val="605e5c"/>
      <w:shd w:val="clear" w:color="auto" w:fill="e1dfdd"/>
    </w:rPr>
  </w:style>
  <w:style w:type="paragraph" w:styleId="1461" w:customStyle="1">
    <w:name w:val="样式9"/>
    <w:basedOn w:val="1309"/>
    <w:link w:val="1462"/>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462" w:customStyle="1">
    <w:name w:val="样式9 字符"/>
    <w:basedOn w:val="1402"/>
    <w:link w:val="1461"/>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463"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464" w:customStyle="1">
    <w:name w:val="TOC 标题2"/>
    <w:basedOn w:val="1288"/>
    <w:next w:val="1287"/>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27097"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68</cp:revision>
  <dcterms:created xsi:type="dcterms:W3CDTF">2024-06-10T20:11:00Z</dcterms:created>
  <dcterms:modified xsi:type="dcterms:W3CDTF">2026-03-21T10:48:44Z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