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obfuscatedFont" PartName="/word/fonts/font1.odttf"/>
  <Override ContentType="application/vnd.openxmlformats-officedocument.obfuscatedFont" PartName="/word/fonts/font2.odttf"/>
  <Override ContentType="application/vnd.openxmlformats-officedocument.obfuscatedFont" PartName="/word/fonts/font3.odttf"/>
  <Override ContentType="application/vnd.openxmlformats-officedocument.obfuscatedFont" PartName="/word/fonts/font4.odttf"/>
  <Override ContentType="application/vnd.openxmlformats-officedocument.obfuscatedFont" PartName="/word/fonts/font5.odttf"/>
  <Override ContentType="application/vnd.openxmlformats-officedocument.obfuscatedFont" PartName="/word/fonts/font6.odttf"/>
  <Override ContentType="application/vnd.openxmlformats-officedocument.obfuscatedFont" PartName="/word/fonts/font7.odttf"/>
  <Override ContentType="application/vnd.openxmlformats-officedocument.obfuscatedFont" PartName="/word/fonts/font8.odttf"/>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Relationships xmlns="http://schemas.openxmlformats.org/package/2006/relationships"><Relationship Id="rId1" Target="docProps/app.xml" Type="http://schemas.openxmlformats.org/officeDocument/2006/relationships/extended-properties"/><Relationship Id="rId2" Target="docProps/core.xml" Type="http://schemas.openxmlformats.org/package/2006/relationships/metadata/core-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DBDDCC">
      <w:pPr>
        <w:widowControl w:val="0"/>
        <w:ind w:left="134" w:leftChars="56" w:right="-1044" w:rightChars="-435"/>
        <w:rPr>
          <w:rFonts w:ascii="仿宋" w:hAnsi="仿宋" w:eastAsia="仿宋" w:cs="仿宋"/>
          <w:b/>
          <w:kern w:val="2"/>
          <w:sz w:val="48"/>
          <w:szCs w:val="22"/>
        </w:rPr>
      </w:pPr>
      <w:r>
        <w:rPr>
          <w:rFonts w:ascii="仿宋" w:hAnsi="仿宋" w:eastAsia="仿宋" w:cs="仿宋"/>
          <w:b/>
          <w:kern w:val="2"/>
          <w:sz w:val="48"/>
          <w:szCs w:val="22"/>
        </w:rPr>
        <w:drawing>
          <wp:anchor distT="0" distB="0" distL="114300" distR="114300" simplePos="0" relativeHeight="251662336" behindDoc="1" locked="0" layoutInCell="1" allowOverlap="1">
            <wp:simplePos x="0" y="0"/>
            <wp:positionH relativeFrom="column">
              <wp:posOffset>4148455</wp:posOffset>
            </wp:positionH>
            <wp:positionV relativeFrom="paragraph">
              <wp:posOffset>69850</wp:posOffset>
            </wp:positionV>
            <wp:extent cx="1061085" cy="494030"/>
            <wp:effectExtent l="0" t="0" r="5715" b="1270"/>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1061085" cy="494030"/>
                    </a:xfrm>
                    <a:prstGeom prst="rect">
                      <a:avLst/>
                    </a:prstGeom>
                    <a:noFill/>
                  </pic:spPr>
                </pic:pic>
              </a:graphicData>
            </a:graphic>
          </wp:anchor>
        </w:drawing>
      </w:r>
    </w:p>
    <w:p w14:paraId="0DD89854">
      <w:pPr>
        <w:widowControl w:val="0"/>
        <w:ind w:left="134" w:leftChars="56" w:right="-1044" w:rightChars="-435"/>
        <w:rPr>
          <w:rFonts w:ascii="仿宋" w:hAnsi="仿宋" w:eastAsia="仿宋" w:cs="仿宋"/>
          <w:b/>
          <w:kern w:val="2"/>
          <w:sz w:val="48"/>
          <w:szCs w:val="22"/>
        </w:rPr>
      </w:pPr>
    </w:p>
    <w:p w14:paraId="4958915A">
      <w:pPr>
        <w:widowControl w:val="0"/>
        <w:ind w:left="134" w:leftChars="56" w:right="-1044" w:rightChars="-435"/>
        <w:rPr>
          <w:rFonts w:ascii="仿宋" w:hAnsi="仿宋" w:eastAsia="仿宋" w:cs="仿宋"/>
          <w:b/>
          <w:kern w:val="2"/>
          <w:sz w:val="48"/>
          <w:szCs w:val="22"/>
        </w:rPr>
      </w:pPr>
    </w:p>
    <w:p w14:paraId="65CD0FEF">
      <w:pPr>
        <w:widowControl w:val="0"/>
        <w:ind w:left="134" w:leftChars="56" w:right="-1044" w:rightChars="-435"/>
        <w:rPr>
          <w:rFonts w:ascii="仿宋" w:hAnsi="仿宋" w:eastAsia="仿宋" w:cs="仿宋"/>
          <w:b/>
          <w:kern w:val="2"/>
          <w:sz w:val="48"/>
          <w:szCs w:val="22"/>
        </w:rPr>
      </w:pPr>
    </w:p>
    <w:p w14:paraId="06E92B14">
      <w:pPr>
        <w:widowControl w:val="0"/>
        <w:ind w:left="854" w:leftChars="356" w:right="-1044" w:rightChars="-435"/>
        <w:rPr>
          <w:rFonts w:ascii="Arial" w:hAnsi="Arial" w:eastAsia="微软雅黑" w:cs="Arial"/>
          <w:b/>
          <w:color w:val="C75B12"/>
          <w:kern w:val="2"/>
          <w:sz w:val="52"/>
          <w:szCs w:val="22"/>
        </w:rPr>
      </w:pPr>
      <w:r>
        <w:rPr>
          <w:rFonts w:ascii="Arial" w:hAnsi="Arial" w:eastAsia="微软雅黑" w:cs="Arial"/>
          <w:b/>
          <w:kern w:val="2"/>
          <w:sz w:val="48"/>
          <w:szCs w:val="22"/>
        </w:rPr>
        <w:t>{{清单模板-数据表-B1}}</w:t>
      </w:r>
    </w:p>
    <w:p w14:paraId="3A265D48">
      <w:pPr>
        <w:widowControl w:val="0"/>
        <w:ind w:left="720" w:leftChars="300"/>
        <w:rPr>
          <w:rFonts w:ascii="Arial" w:hAnsi="Arial" w:eastAsia="微软雅黑" w:cs="Arial"/>
          <w:color w:val="000000"/>
          <w:kern w:val="2"/>
          <w:sz w:val="32"/>
          <w:szCs w:val="32"/>
        </w:rPr>
      </w:pPr>
    </w:p>
    <w:p w14:paraId="6CD563C7">
      <w:pPr>
        <w:widowControl w:val="0"/>
        <w:ind w:left="854" w:leftChars="356"/>
        <w:rPr>
          <w:rFonts w:ascii="Arial" w:hAnsi="Arial" w:eastAsia="微软雅黑" w:cs="Arial"/>
          <w:b/>
          <w:bCs/>
          <w:color w:val="000000"/>
          <w:kern w:val="2"/>
          <w:sz w:val="32"/>
          <w:szCs w:val="32"/>
        </w:rPr>
      </w:pPr>
      <w:r>
        <w:rPr>
          <w:rFonts w:ascii="Arial" w:hAnsi="Arial" w:eastAsia="微软雅黑" w:cs="Arial"/>
          <w:b/>
          <w:bCs/>
          <w:color w:val="000000"/>
          <w:kern w:val="2"/>
          <w:sz w:val="32"/>
          <w:szCs w:val="32"/>
        </w:rPr>
        <w:t>转让定价同期资料本地文档</w:t>
      </w:r>
    </w:p>
    <w:p w14:paraId="5161B437">
      <w:pPr>
        <w:widowControl w:val="0"/>
        <w:ind w:left="854" w:leftChars="356"/>
        <w:rPr>
          <w:rFonts w:ascii="Arial Narrow" w:hAnsi="Arial Narrow" w:eastAsia="仿宋" w:cs="Arial Narrow"/>
          <w:b/>
          <w:bCs/>
          <w:color w:val="000000"/>
          <w:kern w:val="2"/>
          <w:sz w:val="32"/>
          <w:szCs w:val="32"/>
        </w:rPr>
      </w:pPr>
      <w:r>
        <w:rPr>
          <w:rFonts w:hint="eastAsia" w:ascii="Arial" w:hAnsi="Arial" w:eastAsia="微软雅黑" w:cs="Arial"/>
          <w:b/>
          <w:bCs/>
          <w:color w:val="000000"/>
          <w:kern w:val="2"/>
          <w:sz w:val="32"/>
          <w:szCs w:val="32"/>
        </w:rPr>
        <w:t xml:space="preserve">{{清单模板-数据表-B2}}（截至{{清单模板-数据表-B2}}12月31日）</w:t>
      </w:r>
      <w:r>
        <w:rPr>
          <w:rFonts w:ascii="Arial" w:hAnsi="Arial" w:eastAsia="微软雅黑" w:cs="Arial"/>
          <w:b/>
          <w:bCs/>
          <w:color w:val="000000"/>
          <w:kern w:val="2"/>
          <w:sz w:val="32"/>
          <w:szCs w:val="32"/>
        </w:rPr>
        <w:t/>
      </w:r>
      <w:r>
        <w:rPr>
          <w:rFonts w:hint="eastAsia" w:ascii="Arial" w:hAnsi="Arial" w:eastAsia="微软雅黑" w:cs="Arial"/>
          <w:b/>
          <w:bCs/>
          <w:color w:val="000000"/>
          <w:kern w:val="2"/>
          <w:sz w:val="32"/>
          <w:szCs w:val="32"/>
        </w:rPr>
        <w:t/>
      </w:r>
      <w:r>
        <w:rPr>
          <w:rFonts w:ascii="Arial" w:hAnsi="Arial" w:eastAsia="微软雅黑" w:cs="Arial"/>
          <w:b/>
          <w:bCs/>
          <w:color w:val="000000"/>
          <w:kern w:val="2"/>
          <w:sz w:val="32"/>
          <w:szCs w:val="32"/>
        </w:rPr>
        <w:t/>
      </w:r>
    </w:p>
    <w:p w14:paraId="2C4B839D">
      <w:pPr>
        <w:widowControl w:val="0"/>
        <w:rPr>
          <w:rFonts w:ascii="仿宋" w:hAnsi="仿宋" w:eastAsia="仿宋" w:cs="仿宋"/>
          <w:color w:val="000000"/>
          <w:kern w:val="2"/>
          <w:sz w:val="28"/>
          <w:szCs w:val="22"/>
        </w:rPr>
      </w:pPr>
    </w:p>
    <w:p w14:paraId="6804EB82"/>
    <w:p w14:paraId="1FCBD363">
      <w:pPr>
        <w:widowControl w:val="0"/>
        <w:snapToGrid w:val="0"/>
        <w:rPr>
          <w:rFonts w:ascii="Arial" w:hAnsi="Arial" w:eastAsia="微软雅黑" w:cs="Arial"/>
          <w:kern w:val="2"/>
          <w:sz w:val="21"/>
          <w:szCs w:val="22"/>
        </w:rPr>
      </w:pPr>
    </w:p>
    <w:p w14:paraId="081D4A5E">
      <w:pPr>
        <w:snapToGrid w:val="0"/>
        <w:rPr>
          <w:rFonts w:ascii="Arial" w:hAnsi="Arial" w:eastAsia="微软雅黑" w:cs="Arial"/>
          <w:sz w:val="22"/>
          <w:szCs w:val="22"/>
        </w:rPr>
        <w:sectPr>
          <w:headerReference r:id="rId4" w:type="default"/>
          <w:footerReference r:id="rId5" w:type="default"/>
          <w:footerReference r:id="rId6" w:type="even"/>
          <w:pgSz w:w="11906" w:h="16838"/>
          <w:pgMar w:top="1440" w:right="1797" w:bottom="1440" w:left="1797" w:header="567" w:footer="567" w:gutter="0"/>
          <w:pgNumType w:chapStyle="1"/>
          <w:cols w:space="425" w:num="1"/>
          <w:docGrid w:type="linesAndChars" w:linePitch="326" w:charSpace="0"/>
        </w:sectPr>
      </w:pPr>
      <w:r>
        <w:rPr>
          <w:rFonts w:ascii="Arial" w:hAnsi="Arial" w:eastAsia="微软雅黑" w:cs="Arial"/>
          <w:kern w:val="2"/>
          <w:sz w:val="21"/>
          <w:szCs w:val="22"/>
        </w:rPr>
        <mc:AlternateContent>
          <mc:Choice Requires="wps">
            <w:drawing>
              <wp:anchor distT="0" distB="0" distL="114300" distR="114300" simplePos="0" relativeHeight="251659264" behindDoc="0" locked="0" layoutInCell="1" allowOverlap="1">
                <wp:simplePos x="0" y="0"/>
                <wp:positionH relativeFrom="column">
                  <wp:posOffset>-704215</wp:posOffset>
                </wp:positionH>
                <wp:positionV relativeFrom="paragraph">
                  <wp:posOffset>7322185</wp:posOffset>
                </wp:positionV>
                <wp:extent cx="3291840" cy="1952625"/>
                <wp:effectExtent l="0" t="0" r="0" b="4445"/>
                <wp:wrapNone/>
                <wp:docPr id="5" name="Rectangle 3"/>
                <wp:cNvGraphicFramePr/>
                <a:graphic xmlns:a="http://schemas.openxmlformats.org/drawingml/2006/main">
                  <a:graphicData uri="http://schemas.microsoft.com/office/word/2010/wordprocessingShape">
                    <wps:wsp>
                      <wps:cNvSpPr>
                        <a:spLocks noChangeArrowheads="1"/>
                      </wps:cNvSpPr>
                      <wps:spPr bwMode="auto">
                        <a:xfrm>
                          <a:off x="0" y="0"/>
                          <a:ext cx="3291840" cy="195262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3" o:spid="_x0000_s1026" o:spt="1" style="position:absolute;left:0pt;margin-left:-55.45pt;margin-top:576.55pt;height:153.75pt;width:259.2pt;z-index:251659264;mso-width-relative:page;mso-height-relative:page;" fillcolor="#FFFFFF" filled="t" stroked="f" coordsize="21600,21600" o:gfxdata="UEsDBAoAAAAAAIdO4kAAAAAAAAAAAAAAAAAEAAAAZHJzL1BLAwQUAAAACACHTuJAo72CqNoAAAAO AQAADwAAAGRycy9kb3ducmV2LnhtbE2PsU7DMBCGdyTewTokttY2TUybxumA1AkYaJFYr7GbRMR2 iJ02vD3HBOPd/+m/78rd7Hp2sWPsgtcglwKY9XUwnW80vB/3izWwmNAb7IO3Gr5thF11e1NiYcLV v9nLITWMSnwsUEOb0lBwHuvWOozLMFhP2TmMDhONY8PNiFcqdz1/EEJxh52nCy0O9qm19edhchpQ Zebr9bx6OT5PCjfNLPb5h9D6/k6KLbBk5/QHw68+qUNFTqcweRNZr2EhpdgQS4nMVxIYMZl4zIGd aJUpoYBXJf//RvUDUEsDBBQAAAAIAIdO4kAKXUkfEgIAACoEAAAOAAAAZHJzL2Uyb0RvYy54bWyt U8Fu2zAMvQ/YPwi6L47dpGuMOEWRIMOAbivW7QMUWbaFyaJGKXG6rx8lp1nWXXqYD4Yokk/vPVHL 22Nv2EGh12Arnk+mnCkroda2rfj3b9t3N5z5IGwtDFhV8Sfl+e3q7Zvl4EpVQAemVsgIxPpycBXv QnBllnnZqV74CThlKdkA9iJQiG1WoxgIvTdZMZ1eZwNg7RCk8p52N2OSnxDxNYDQNFqqDch9r2wY UVEZEUiS77TzfJXYNo2S4UvTeBWYqTgpDelPh9B6F//ZainKFoXrtDxREK+h8EJTL7SlQ89QGxEE 26P+B6rXEsFDEyYS+mwUkhwhFfn0hTePnXAqaSGrvTub7v8frPx8eECm64rPObOipwv/SqYJ2xrF rqI9g/MlVT26B4wCvbsH+cMzC+uOqtQdIgydEjWRymN99ldDDDy1st3wCWpCF/sAyaljg30EJA/Y MV3I0/lC1DEwSZtXxSK/mdFdScrli3lxXczTGaJ8bnfowwcFPYuLiiORT/DicO9DpCPK55JEH4yu t9qYFGC7WxtkB0HTsU3fCd1flhkbiy3EthEx7iSdUdpo0Q7qJ5KJMI4YPTBadIC/OBtovCruf+4F Ks7MR0tWLfJZ1BVSMJu/LyjAy8zuMiOsJKiKB87G5TqMM7x3qNuOTsqTaAt3ZG+jk/Bo/cjqRJZG KPlxGvc4o5dxqvrzxFe/AVBLAwQKAAAAAACHTuJAAAAAAAAAAAAAAAAABgAAAF9yZWxzL1BLAwQU AAAACACHTuJAihRmPNEAAACUAQAACwAAAF9yZWxzLy5yZWxzpZDBasMwDIbvg72D0X1xmsMYo04v o9Br6R7A2IpjGltGMtn69vMOg2X0tqN+oe8T//7wmRa1IkukbGDX9aAwO/IxBwPvl+PTCyipNnu7 UEYDNxQ4jI8P+zMutrYjmWMR1ShZDMy1lletxc2YrHRUMLfNRJxsbSMHXay72oB66Ptnzb8ZMG6Y 6uQN8MkPoC630sx/2Ck6JqGpdo6SpmmK7h5VB7Zlju7INuEbuUazHLAa8CwaB2pZ134EfV+/+6fe 00c+47rVfoeM649Xb7ocvwBQSwMEFAAAAAgAh07iQH7m5SD3AAAA4QEAABMAAABbQ29udGVudF9U eXBlc10ueG1slZFBTsMwEEX3SNzB8hYlTrtACCXpgrRLQKgcYGRPEotkbHlMaG+Pk7YbRJFY2jP/ vye73BzGQUwY2Dqq5CovpEDSzljqKvm+32UPUnAEMjA4wkoekeWmvr0p90ePLFKauJJ9jP5RKdY9 jsC580hp0rowQkzH0CkP+gM6VOuiuFfaUUSKWZw7ZF022MLnEMX2kK5PJgEHluLptDizKgneD1ZD TKZqIvODkp0JeUouO9xbz3dJQ6pfCfPkOuCce0lPE6xB8QohPsOYNJQJrIz7ooBT/nfJbDly5trW asybwE2KveF0sbrWjmvXOP3f8u2SunSr5YPqb1BLAQIUABQAAAAIAIdO4kB+5uUg9wAAAOEBAAAT AAAAAAAAAAEAIAAAAIUEAABbQ29udGVudF9UeXBlc10ueG1sUEsBAhQACgAAAAAAh07iQAAAAAAA AAAAAAAAAAYAAAAAAAAAAAAQAAAAZwMAAF9yZWxzL1BLAQIUABQAAAAIAIdO4kCKFGY80QAAAJQB AAALAAAAAAAAAAEAIAAAAIsDAABfcmVscy8ucmVsc1BLAQIUAAoAAAAAAIdO4kAAAAAAAAAAAAAA AAAEAAAAAAAAAAAAEAAAAAAAAABkcnMvUEsBAhQAFAAAAAgAh07iQKO9gqjaAAAADgEAAA8AAAAA AAAAAQAgAAAAIgAAAGRycy9kb3ducmV2LnhtbFBLAQIUABQAAAAIAIdO4kAKXUkfEgIAACoEAAAO AAAAAAAAAAEAIAAAACkBAABkcnMvZTJvRG9jLnhtbFBLBQYAAAAABgAGAFkBAACtBQAAAAA= ">
                <v:fill on="t" focussize="0,0"/>
                <v:stroke on="f"/>
                <v:imagedata o:title=""/>
                <o:lock v:ext="edit" aspectratio="f"/>
              </v:rect>
            </w:pict>
          </mc:Fallback>
        </mc:AlternateContent>
      </w:r>
    </w:p>
    <w:p w14:paraId="66BAB6B6">
      <w:pPr>
        <w:adjustRightInd w:val="0"/>
        <w:snapToGrid w:val="0"/>
        <w:spacing w:before="240"/>
        <w:jc w:val="center"/>
        <w:rPr>
          <w:rFonts w:ascii="Arial" w:hAnsi="Arial" w:eastAsia="微软雅黑" w:cs="Arial"/>
          <w:sz w:val="22"/>
          <w:szCs w:val="22"/>
        </w:rPr>
      </w:pPr>
      <w:r>
        <w:rPr>
          <w:rFonts w:ascii="Arial" w:hAnsi="Arial" w:eastAsia="微软雅黑" w:cs="Arial"/>
          <w:b/>
          <w:sz w:val="28"/>
          <w:szCs w:val="22"/>
        </w:rPr>
        <w:t>{{清单模板-数据表-B1}}声明</w:t>
      </w:r>
    </w:p>
    <w:p w14:paraId="240057A9">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 xml:space="preserve">本公司根据以下规定准备{{清单模板-数据表-B2}}同期资料的本地文档（以下简称“本报告”）：</w:t>
      </w:r>
      <w:r>
        <w:rPr>
          <w:rFonts w:hint="eastAsia" w:ascii="Arial" w:hAnsi="Arial" w:eastAsia="微软雅黑" w:cs="Arial"/>
          <w:sz w:val="22"/>
          <w:szCs w:val="22"/>
        </w:rPr>
        <w:t/>
      </w:r>
      <w:r>
        <w:rPr>
          <w:rFonts w:ascii="Arial" w:hAnsi="Arial" w:eastAsia="微软雅黑" w:cs="Arial"/>
          <w:sz w:val="22"/>
          <w:szCs w:val="22"/>
        </w:rPr>
        <w:t/>
      </w:r>
    </w:p>
    <w:p w14:paraId="3C2FA551">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根据《中华人民共和国企业所得税法》及其实施条例以及《关于完善关联申报和同期资料管理有关事项的公告》的规定，符合一定条件的企业应按纳税年度准备、保存、并按税务机关要求提供其关联交易的同期资料。</w:t>
      </w:r>
    </w:p>
    <w:p w14:paraId="0AE5F3BD">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 xml:space="preserve">本报告的目的在于从中国特别纳税调整税制的角度，分析本公司{{清单模板-数据表-B2}}与关联方之间关联交易定价的合理性。为此，本公司按以下规定以及程序准备本报告：</w:t>
      </w:r>
      <w:r>
        <w:rPr>
          <w:rFonts w:hint="eastAsia" w:ascii="Arial" w:hAnsi="Arial" w:eastAsia="微软雅黑" w:cs="Arial"/>
          <w:sz w:val="22"/>
          <w:szCs w:val="22"/>
        </w:rPr>
        <w:t/>
      </w:r>
      <w:r>
        <w:rPr>
          <w:rFonts w:ascii="Arial" w:hAnsi="Arial" w:eastAsia="微软雅黑" w:cs="Arial"/>
          <w:sz w:val="22"/>
          <w:szCs w:val="22"/>
        </w:rPr>
        <w:t/>
      </w:r>
    </w:p>
    <w:p w14:paraId="32C44EEF">
      <w:pPr>
        <w:snapToGrid w:val="0"/>
        <w:ind w:left="0" w:right="0"/>
        <w:jc w:val="left"/>
        <w:rPr>
          <w:rFonts w:ascii="Arial" w:hAnsi="Arial" w:eastAsia="微软雅黑" w:cs="Arial"/>
          <w:sz w:val="22"/>
          <w:szCs w:val="22"/>
        </w:rPr>
      </w:pPr>
      <w:r>
        <w:rPr>
          <w:rFonts w:ascii="Arial" w:hAnsi="Arial" w:eastAsia="微软雅黑" w:cs="Arial"/>
          <w:sz w:val="22"/>
          <w:szCs w:val="22"/>
        </w:rPr>
        <w:t>一、本公司保证根据下列政策法规及实施办法制作本报告</w:t>
      </w:r>
    </w:p>
    <w:p w14:paraId="30150649">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1、《中华人民共和国企业所得税法》及其实施条例；</w:t>
      </w:r>
    </w:p>
    <w:p w14:paraId="319EE1BB">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2、《中华人民共和国税收征收管理法》及其实施细则；</w:t>
      </w:r>
    </w:p>
    <w:p w14:paraId="37469A27">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3、《国家税务总局关于完善关联申报和同期资料管理有关事项的公告》（国家税务总局2016年第42号公告，以下简称“[2016] 42号公告”）；</w:t>
      </w:r>
    </w:p>
    <w:p w14:paraId="2A948E21">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4、《国家税务总局关于发布&lt;特别纳税调查调整及相互协商程序管理办法&gt;的公告》（国家税务总局2017年第6号公告，以下简称“[2017]6号公告”）；</w:t>
      </w:r>
    </w:p>
    <w:p w14:paraId="201D582A">
      <w:pPr>
        <w:snapToGrid w:val="0"/>
        <w:ind w:left="0" w:right="0"/>
        <w:rPr>
          <w:rFonts w:ascii="Arial" w:hAnsi="Arial" w:eastAsia="微软雅黑" w:cs="Arial"/>
          <w:sz w:val="22"/>
          <w:szCs w:val="22"/>
        </w:rPr>
      </w:pPr>
      <w:r>
        <w:rPr>
          <w:rFonts w:ascii="Arial" w:hAnsi="Arial" w:eastAsia="微软雅黑" w:cs="Arial"/>
          <w:sz w:val="22"/>
          <w:szCs w:val="22"/>
        </w:rPr>
        <w:t>二、本公司保证实施以下程序，并保证提供任何与同期资料有关的数据及资料</w:t>
      </w:r>
    </w:p>
    <w:p w14:paraId="20CC045F">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1、整理本公司基本资料信息，包括公司及所属集团的组织结构、企业生产经营情况、以及企业所处的行业分析等；</w:t>
      </w:r>
    </w:p>
    <w:p w14:paraId="4DD0846E">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2、整理本公司关联交易的资料，包括关联交易情况、关联交易业务流程、与关联公司签订的合同、关联交易的定价情况及其他相关信息；</w:t>
      </w:r>
    </w:p>
    <w:p w14:paraId="53755A95">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3、分析本公司和关联公司在关联业务往来中各自承担的功能和风险；</w:t>
      </w:r>
    </w:p>
    <w:p w14:paraId="5820F22D">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4、比较分析并选择适当的关联交易转让定价方法，用以分析和验证本公司与关联公司交易定价的合理性；</w:t>
      </w:r>
    </w:p>
    <w:p w14:paraId="02F77F58">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5、选取可比企业，说明可比信息来源、可比企业选择过程，实施经济分析；</w:t>
      </w:r>
    </w:p>
    <w:p w14:paraId="6BDD0205">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6、运用合理的转让定价方法和可比性分析结果，确定可比非关联交易利润，确定正常情况下本公司与关联公司关联交易定价的合理范围；</w:t>
      </w:r>
    </w:p>
    <w:p w14:paraId="18A37CB9">
      <w:pPr>
        <w:snapToGrid w:val="0"/>
        <w:ind w:left="0" w:right="0" w:firstLine="440" w:firstLineChars="200"/>
        <w:rPr>
          <w:rFonts w:ascii="Arial" w:hAnsi="Arial" w:eastAsia="微软雅黑" w:cs="Arial"/>
          <w:sz w:val="18"/>
        </w:rPr>
      </w:pPr>
      <w:r>
        <w:rPr>
          <w:rFonts w:ascii="Arial" w:hAnsi="Arial" w:eastAsia="微软雅黑" w:cs="Arial"/>
          <w:sz w:val="22"/>
          <w:szCs w:val="22"/>
        </w:rPr>
        <w:t>7、根据以上实施程序，制作本报告。</w:t>
      </w:r>
    </w:p>
    <w:p w14:paraId="52F475D6">
      <w:pPr>
        <w:snapToGrid w:val="0"/>
        <w:ind w:left="359" w:firstLine="420"/>
        <w:rPr>
          <w:rFonts w:ascii="Arial" w:hAnsi="Arial" w:eastAsia="微软雅黑" w:cs="Arial"/>
          <w:sz w:val="22"/>
          <w:szCs w:val="22"/>
        </w:rPr>
      </w:pPr>
    </w:p>
    <w:p w14:paraId="0759682A">
      <w:pPr>
        <w:snapToGrid w:val="0"/>
        <w:rPr>
          <w:rFonts w:ascii="Arial" w:hAnsi="Arial" w:eastAsia="微软雅黑" w:cs="Arial"/>
          <w:sz w:val="22"/>
          <w:szCs w:val="22"/>
        </w:rPr>
      </w:pPr>
    </w:p>
    <w:p w14:paraId="0BFDC96F">
      <w:pPr>
        <w:snapToGrid w:val="0"/>
        <w:rPr>
          <w:rFonts w:ascii="Arial" w:hAnsi="Arial" w:eastAsia="微软雅黑" w:cs="Arial"/>
          <w:sz w:val="22"/>
          <w:szCs w:val="22"/>
        </w:rPr>
      </w:pPr>
    </w:p>
    <w:p w14:paraId="22256751">
      <w:pPr>
        <w:snapToGrid w:val="0"/>
        <w:rPr>
          <w:rFonts w:ascii="Arial" w:hAnsi="Arial" w:eastAsia="微软雅黑" w:cs="Arial"/>
          <w:sz w:val="22"/>
          <w:szCs w:val="22"/>
        </w:rPr>
      </w:pPr>
    </w:p>
    <w:p w14:paraId="5A5D2FF1">
      <w:pPr>
        <w:snapToGrid w:val="0"/>
        <w:rPr>
          <w:rFonts w:ascii="Arial" w:hAnsi="Arial" w:eastAsia="微软雅黑" w:cs="Arial"/>
          <w:sz w:val="22"/>
          <w:szCs w:val="22"/>
        </w:rPr>
        <w:sectPr>
          <w:headerReference r:id="rId9" w:type="first"/>
          <w:headerReference r:id="rId7" w:type="default"/>
          <w:footerReference r:id="rId10" w:type="default"/>
          <w:headerReference r:id="rId8" w:type="even"/>
          <w:pgSz w:w="11906" w:h="16838"/>
          <w:pgMar w:top="1440" w:right="1800" w:bottom="1440" w:left="1800" w:header="567" w:footer="567" w:gutter="0"/>
          <w:pgNumType w:fmt="upperRoman" w:start="1"/>
          <w:cols w:space="720" w:num="1"/>
          <w:docGrid w:type="lines" w:linePitch="326" w:charSpace="0"/>
        </w:sectPr>
      </w:pPr>
    </w:p>
    <w:p w14:paraId="440525F7">
      <w:pPr>
        <w:snapToGrid w:val="0"/>
        <w:ind w:left="359" w:firstLine="420"/>
        <w:rPr>
          <w:rFonts w:ascii="Arial" w:hAnsi="Arial" w:eastAsia="微软雅黑" w:cs="Arial"/>
          <w:sz w:val="22"/>
          <w:szCs w:val="22"/>
        </w:rPr>
      </w:pPr>
      <w:r>
        <w:rPr>
          <w:rFonts w:ascii="Arial" w:hAnsi="Arial" w:eastAsia="微软雅黑" w:cs="Arial"/>
          <w:sz w:val="22"/>
          <w:szCs w:val="22"/>
        </w:rPr>
        <w:t xml:space="preserve">地址：                                 邮编：</w:t>
      </w:r>
      <w:r>
        <w:rPr>
          <w:rFonts w:ascii="Arial" w:hAnsi="Arial" w:eastAsia="微软雅黑" w:cs="Arial"/>
          <w:sz w:val="22"/>
          <w:szCs w:val="22"/>
        </w:rPr>
        <w:tab/>
      </w:r>
      <w:r>
        <w:rPr>
          <w:rFonts w:ascii="Arial" w:hAnsi="Arial" w:eastAsia="微软雅黑" w:cs="Arial"/>
          <w:sz w:val="22"/>
          <w:szCs w:val="22"/>
        </w:rPr>
        <w:t xml:space="preserve"/>
      </w:r>
    </w:p>
    <w:p w14:paraId="148E4069">
      <w:pPr>
        <w:widowControl w:val="0"/>
        <w:tabs>
          <w:tab w:val="left" w:pos="5320"/>
        </w:tabs>
        <w:autoSpaceDE w:val="0"/>
        <w:autoSpaceDN w:val="0"/>
        <w:snapToGrid w:val="0"/>
        <w:ind w:firstLine="660" w:firstLineChars="300"/>
        <w:rPr>
          <w:rFonts w:ascii="Arial" w:hAnsi="Arial" w:eastAsia="微软雅黑" w:cs="Arial"/>
          <w:sz w:val="22"/>
          <w:szCs w:val="22"/>
        </w:rPr>
      </w:pPr>
      <w:r>
        <w:rPr>
          <w:rFonts w:ascii="Arial" w:hAnsi="Arial" w:eastAsia="微软雅黑" w:cs="Arial"/>
          <w:sz w:val="22"/>
          <w:szCs w:val="22"/>
        </w:rPr>
        <w:t xml:space="preserve">电话：传真：</w:t>
      </w:r>
      <w:r>
        <w:rPr>
          <w:rFonts w:ascii="Arial" w:hAnsi="Arial" w:eastAsia="微软雅黑" w:cs="Arial"/>
          <w:sz w:val="22"/>
          <w:szCs w:val="22"/>
        </w:rPr>
        <w:tab/>
      </w:r>
      <w:r>
        <w:rPr>
          <w:rFonts w:ascii="Arial" w:hAnsi="Arial" w:eastAsia="微软雅黑" w:cs="Arial"/>
          <w:sz w:val="22"/>
          <w:szCs w:val="22"/>
        </w:rPr>
        <w:t/>
      </w:r>
    </w:p>
    <w:p w14:paraId="3049C128">
      <w:pPr>
        <w:widowControl w:val="0"/>
        <w:autoSpaceDE w:val="0"/>
        <w:autoSpaceDN w:val="0"/>
        <w:snapToGrid w:val="0"/>
        <w:ind w:left="113" w:firstLine="660" w:firstLineChars="300"/>
        <w:rPr>
          <w:rFonts w:ascii="Arial" w:hAnsi="Arial" w:eastAsia="微软雅黑" w:cs="Arial"/>
          <w:sz w:val="22"/>
          <w:szCs w:val="22"/>
        </w:rPr>
      </w:pPr>
      <w:r>
        <w:rPr>
          <w:rFonts w:ascii="Arial" w:hAnsi="Arial" w:eastAsia="微软雅黑" w:cs="Arial"/>
          <w:sz w:val="22"/>
          <w:szCs w:val="22"/>
        </w:rPr>
        <w:t>电子邮箱：</w:t>
      </w:r>
    </w:p>
    <w:p w14:paraId="1883DA2D">
      <w:pPr>
        <w:widowControl w:val="0"/>
        <w:autoSpaceDE w:val="0"/>
        <w:autoSpaceDN w:val="0"/>
        <w:snapToGrid w:val="0"/>
        <w:spacing w:before="8"/>
        <w:rPr>
          <w:rFonts w:ascii="Arial" w:hAnsi="Arial" w:eastAsia="微软雅黑" w:cs="Arial"/>
          <w:sz w:val="22"/>
          <w:szCs w:val="22"/>
        </w:rPr>
      </w:pPr>
    </w:p>
    <w:p w14:paraId="15559E22">
      <w:pPr>
        <w:widowControl w:val="0"/>
        <w:tabs>
          <w:tab w:val="left" w:pos="5320"/>
          <w:tab w:val="left" w:pos="5381"/>
          <w:tab w:val="left" w:pos="5861"/>
          <w:tab w:val="left" w:pos="6341"/>
        </w:tabs>
        <w:autoSpaceDE w:val="0"/>
        <w:autoSpaceDN w:val="0"/>
        <w:adjustRightInd w:val="0"/>
        <w:snapToGrid w:val="0"/>
        <w:ind w:left="118" w:leftChars="49" w:firstLine="660" w:firstLineChars="300"/>
        <w:rPr>
          <w:rFonts w:ascii="Arial" w:hAnsi="Arial" w:eastAsia="微软雅黑" w:cs="Arial"/>
          <w:sz w:val="22"/>
          <w:szCs w:val="22"/>
        </w:rPr>
      </w:pPr>
      <w:r>
        <w:rPr>
          <w:rFonts w:ascii="Arial" w:hAnsi="Arial" w:eastAsia="微软雅黑" w:cs="Arial"/>
          <w:sz w:val="22"/>
          <w:szCs w:val="22"/>
        </w:rPr>
        <w:t xml:space="preserve">声明单位（盖章）：法定代表人（签字）：</w:t>
      </w:r>
      <w:r>
        <w:rPr>
          <w:rFonts w:ascii="Arial" w:hAnsi="Arial" w:eastAsia="微软雅黑" w:cs="Arial"/>
          <w:sz w:val="22"/>
          <w:szCs w:val="22"/>
        </w:rPr>
        <w:tab/>
      </w:r>
      <w:r>
        <w:rPr>
          <w:rFonts w:ascii="Arial" w:hAnsi="Arial" w:eastAsia="微软雅黑" w:cs="Arial"/>
          <w:sz w:val="22"/>
          <w:szCs w:val="22"/>
        </w:rPr>
        <w:t/>
      </w:r>
    </w:p>
    <w:p w14:paraId="10A03128">
      <w:pPr>
        <w:widowControl w:val="0"/>
        <w:tabs>
          <w:tab w:val="left" w:pos="4205"/>
          <w:tab w:val="left" w:pos="5381"/>
          <w:tab w:val="left" w:pos="5861"/>
          <w:tab w:val="left" w:pos="6341"/>
        </w:tabs>
        <w:autoSpaceDE w:val="0"/>
        <w:autoSpaceDN w:val="0"/>
        <w:adjustRightInd w:val="0"/>
        <w:snapToGrid w:val="0"/>
        <w:ind w:left="102"/>
        <w:rPr>
          <w:rFonts w:ascii="Arial" w:hAnsi="Arial" w:eastAsia="微软雅黑" w:cs="Arial"/>
          <w:sz w:val="22"/>
          <w:szCs w:val="22"/>
        </w:rPr>
      </w:pPr>
      <w:r>
        <w:rPr>
          <w:rFonts w:ascii="Arial" w:hAnsi="Arial" w:eastAsia="微软雅黑" w:cs="Arial"/>
          <w:sz w:val="22"/>
          <w:szCs w:val="22"/>
        </w:rPr>
        <w:tab/>
        <w:t xml:space="preserve">          日期：    年   月   日</w:t>
      </w:r>
      <w:r>
        <w:rPr>
          <w:rFonts w:ascii="Arial" w:hAnsi="Arial" w:eastAsia="微软雅黑" w:cs="Arial"/>
          <w:sz w:val="22"/>
          <w:szCs w:val="22"/>
        </w:rPr>
        <w:t xml:space="preserve"/>
      </w:r>
      <w:r>
        <w:rPr>
          <w:rFonts w:ascii="Arial" w:hAnsi="Arial" w:eastAsia="微软雅黑" w:cs="Arial"/>
          <w:sz w:val="22"/>
          <w:szCs w:val="22"/>
        </w:rPr>
        <w:tab/>
      </w:r>
      <w:r>
        <w:rPr>
          <w:rFonts w:ascii="Arial" w:hAnsi="Arial" w:eastAsia="微软雅黑" w:cs="Arial"/>
          <w:sz w:val="22"/>
          <w:szCs w:val="22"/>
        </w:rPr>
        <w:t xml:space="preserve"/>
      </w:r>
    </w:p>
    <w:p w14:paraId="6C8A84D9">
      <w:pPr>
        <w:snapToGrid w:val="0"/>
        <w:rPr>
          <w:rFonts w:ascii="Arial" w:hAnsi="Arial" w:eastAsia="微软雅黑" w:cs="Arial"/>
          <w:sz w:val="22"/>
          <w:szCs w:val="22"/>
        </w:rPr>
        <w:sectPr>
          <w:pgSz w:w="11906" w:h="16838"/>
          <w:pgMar w:top="1440" w:right="1800" w:bottom="1440" w:left="1800" w:header="567" w:footer="567" w:gutter="0"/>
          <w:pgNumType w:fmt="upperRoman"/>
          <w:cols w:space="720" w:num="1"/>
          <w:docGrid w:type="lines" w:linePitch="326" w:charSpace="0"/>
        </w:sectPr>
      </w:pPr>
      <w:r>
        <w:rPr>
          <w:rFonts w:ascii="Arial" w:hAnsi="Arial" w:eastAsia="微软雅黑" w:cs="Arial"/>
          <w:sz w:val="22"/>
          <w:szCs w:val="22"/>
        </w:rPr>
        <w:br w:type="page"/>
      </w:r>
    </w:p>
    <w:sdt>
      <w:sdtPr>
        <w:rPr>
          <w:rFonts w:ascii="Arial" w:hAnsi="Arial" w:eastAsia="微软雅黑" w:cs="Arial"/>
          <w:b/>
          <w:color w:val="auto"/>
          <w:sz w:val="24"/>
          <w:szCs w:val="24"/>
          <w:lang w:val="zh-CN"/>
        </w:rPr>
        <w:id w:val="-1"/>
        <w:docPartObj>
          <w:docPartGallery w:val="Table of Contents"/>
          <w:docPartUnique/>
        </w:docPartObj>
      </w:sdtPr>
      <w:sdtEndPr>
        <w:rPr>
          <w:rFonts w:ascii="Arial" w:hAnsi="Arial" w:eastAsia="微软雅黑" w:cs="Arial"/>
          <w:b/>
          <w:bCs/>
          <w:color w:val="auto"/>
          <w:sz w:val="24"/>
          <w:szCs w:val="24"/>
          <w:lang w:val="zh-CN"/>
        </w:rPr>
      </w:sdtEndPr>
      <w:sdtContent>
        <w:p w14:paraId="19177750">
          <w:pPr>
            <w:pStyle w:val="112"/>
            <w:snapToGrid w:val="0"/>
            <w:spacing w:before="0" w:line="240" w:lineRule="auto"/>
            <w:ind w:left="0"/>
            <w:jc w:val="center"/>
            <w:rPr>
              <w:rFonts w:ascii="Arial" w:hAnsi="Arial" w:eastAsia="微软雅黑" w:cs="Arial"/>
              <w:color w:val="0D0D0D" w:themeColor="text1" w:themeTint="F2"/>
              <w14:textFill>
                <w14:solidFill>
                  <w14:schemeClr w14:val="tx1">
                    <w14:lumMod w14:val="95000"/>
                    <w14:lumOff w14:val="5000"/>
                  </w14:schemeClr>
                </w14:solidFill>
              </w14:textFill>
            </w:rPr>
          </w:pPr>
          <w:r>
            <w:rPr>
              <w:rFonts w:ascii="Arial" w:hAnsi="Arial" w:eastAsia="微软雅黑" w:cs="Arial"/>
              <w:b/>
              <w:color w:val="0D0D0D" w:themeColor="text1" w:themeTint="F2"/>
              <w:lang w:val="zh-CN"/>
              <w14:textFill>
                <w14:solidFill>
                  <w14:schemeClr w14:val="tx1">
                    <w14:lumMod w14:val="95000"/>
                    <w14:lumOff w14:val="5000"/>
                  </w14:schemeClr>
                </w14:solidFill>
              </w14:textFill>
            </w:rPr>
            <w:t>目录</w:t>
          </w:r>
        </w:p>
        <w:p w14:paraId="344902EB">
          <w:pPr>
            <w:pStyle w:val="24"/>
            <w:tabs>
              <w:tab w:val="right" w:leader="dot" w:pos="8296"/>
            </w:tabs>
            <w:adjustRightInd w:val="0"/>
            <w:snapToGrid w:val="0"/>
            <w:spacing w:before="0"/>
            <w:rPr>
              <w:rFonts w:eastAsiaTheme="minorEastAsia" w:cstheme="minorBidi"/>
              <w:i w:val="0"/>
              <w:iCs w:val="0"/>
              <w:kern w:val="2"/>
              <w:sz w:val="21"/>
              <w:szCs w:val="22"/>
            </w:rPr>
          </w:pPr>
          <w:r>
            <w:rPr>
              <w:rFonts w:ascii="Arial" w:hAnsi="Arial" w:eastAsia="微软雅黑" w:cs="Arial"/>
              <w:b/>
              <w:bCs/>
              <w:sz w:val="21"/>
              <w:szCs w:val="21"/>
              <w:lang w:val="zh-CN"/>
            </w:rPr>
            <w:fldChar w:fldCharType="begin"/>
          </w:r>
          <w:r>
            <w:rPr>
              <w:rFonts w:ascii="Arial" w:hAnsi="Arial" w:eastAsia="微软雅黑" w:cs="Arial"/>
              <w:b/>
              <w:bCs/>
              <w:sz w:val="21"/>
              <w:szCs w:val="21"/>
              <w:lang w:val="zh-CN"/>
            </w:rPr>
            <w:instrText xml:space="preserve"> TOC \o "1-3" \h \z \u </w:instrText>
          </w:r>
          <w:r>
            <w:rPr>
              <w:rFonts w:ascii="Arial" w:hAnsi="Arial" w:eastAsia="微软雅黑" w:cs="Arial"/>
              <w:b/>
              <w:bCs/>
              <w:sz w:val="21"/>
              <w:szCs w:val="21"/>
              <w:lang w:val="zh-CN"/>
            </w:rPr>
            <w:fldChar w:fldCharType="separate"/>
          </w:r>
          <w:r>
            <w:rPr>
              <w:rStyle w:val="36"/>
            </w:rPr>
            <w:fldChar w:fldCharType="begin"/>
          </w:r>
          <w:r>
            <w:rPr>
              <w:rStyle w:val="36"/>
            </w:rPr>
            <w:instrText xml:space="preserve"> </w:instrText>
          </w:r>
          <w:r>
            <w:instrText xml:space="preserve">HYPERLINK \l "_Toc202797540"</w:instrText>
          </w:r>
          <w:r>
            <w:rPr>
              <w:rStyle w:val="36"/>
            </w:rPr>
            <w:instrText xml:space="preserve"> </w:instrText>
          </w:r>
          <w:r>
            <w:rPr>
              <w:rStyle w:val="36"/>
            </w:rPr>
            <w:fldChar w:fldCharType="separate"/>
          </w:r>
          <w:r>
            <w:rPr>
              <w:rStyle w:val="36"/>
              <w:rFonts w:ascii="Arial" w:hAnsi="Arial" w:eastAsia="微软雅黑" w:cs="Arial"/>
              <w:b/>
              <w:caps/>
            </w:rPr>
            <w:t>同期资料本地文档对照表</w:t>
          </w:r>
          <w:r>
            <w:tab/>
          </w:r>
          <w:r>
            <w:fldChar w:fldCharType="begin"/>
          </w:r>
          <w:r>
            <w:instrText xml:space="preserve"> PAGEREF _Toc202797540 \h </w:instrText>
          </w:r>
          <w:r>
            <w:fldChar w:fldCharType="separate"/>
          </w:r>
          <w:r>
            <w:t>3</w:t>
          </w:r>
          <w:r>
            <w:fldChar w:fldCharType="end"/>
          </w:r>
          <w:r>
            <w:rPr>
              <w:rStyle w:val="36"/>
            </w:rPr>
            <w:fldChar w:fldCharType="end"/>
          </w:r>
        </w:p>
        <w:p w14:paraId="7001B674">
          <w:pPr>
            <w:pStyle w:val="24"/>
            <w:tabs>
              <w:tab w:val="right" w:leader="dot" w:pos="8296"/>
            </w:tabs>
            <w:adjustRightInd w:val="0"/>
            <w:snapToGrid w:val="0"/>
            <w:spacing w:before="0"/>
            <w:ind w:left="238"/>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"_Toc202797541"</w:instrText>
          </w:r>
          <w:r>
            <w:rPr>
              <w:rStyle w:val="36"/>
            </w:rPr>
            <w:instrText xml:space="preserve"> </w:instrText>
          </w:r>
          <w:r>
            <w:rPr>
              <w:rStyle w:val="36"/>
            </w:rPr>
            <w:fldChar w:fldCharType="separate"/>
          </w:r>
          <w:r>
            <w:rPr>
              <w:rStyle w:val="36"/>
              <w:rFonts w:ascii="Arial" w:hAnsi="Arial" w:eastAsia="微软雅黑" w:cs="Arial"/>
              <w:b/>
              <w:caps/>
            </w:rPr>
            <w:t>缩略语索引表</w:t>
          </w:r>
          <w:r>
            <w:tab/>
          </w:r>
          <w:r>
            <w:fldChar w:fldCharType="begin"/>
          </w:r>
          <w:r>
            <w:instrText xml:space="preserve"> PAGEREF _Toc202797541 \h </w:instrText>
          </w:r>
          <w:r>
            <w:fldChar w:fldCharType="separate"/>
          </w:r>
          <w:r>
            <w:t>6</w:t>
          </w:r>
          <w:r>
            <w:fldChar w:fldCharType="end"/>
          </w:r>
          <w:r>
            <w:rPr>
              <w:rStyle w:val="36"/>
            </w:rPr>
            <w:fldChar w:fldCharType="end"/>
          </w:r>
        </w:p>
        <w:p w14:paraId="0CC16C1E">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"_Toc202797542"</w:instrText>
          </w:r>
          <w:r>
            <w:rPr>
              <w:rStyle w:val="36"/>
            </w:rPr>
            <w:instrText xml:space="preserve"> </w:instrText>
          </w:r>
          <w:r>
            <w:rPr>
              <w:rStyle w:val="36"/>
            </w:rPr>
            <w:fldChar w:fldCharType="separate"/>
          </w:r>
          <w:r>
            <w:rPr>
              <w:rStyle w:val="36"/>
              <w:rFonts w:ascii="Arial" w:hAnsi="Arial" w:eastAsia="微软雅黑" w:cs="Arial"/>
            </w:rPr>
            <w:t>1.报告摘要</w:t>
          </w:r>
          <w:r>
            <w:tab/>
          </w:r>
          <w:r>
            <w:fldChar w:fldCharType="begin"/>
          </w:r>
          <w:r>
            <w:instrText xml:space="preserve"> PAGEREF _Toc202797542 \h </w:instrText>
          </w:r>
          <w:r>
            <w:fldChar w:fldCharType="separate"/>
          </w:r>
          <w:r>
            <w:t>7</w:t>
          </w:r>
          <w:r>
            <w:fldChar w:fldCharType="end"/>
          </w:r>
          <w:r>
            <w:rPr>
              <w:rStyle w:val="36"/>
            </w:rPr>
            <w:fldChar w:fldCharType="end"/>
          </w:r>
        </w:p>
        <w:p w14:paraId="735D64A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"_Toc202797543"</w:instrText>
          </w:r>
          <w:r>
            <w:rPr>
              <w:rStyle w:val="36"/>
            </w:rPr>
            <w:instrText xml:space="preserve"> </w:instrText>
          </w:r>
          <w:r>
            <w:rPr>
              <w:rStyle w:val="36"/>
            </w:rPr>
            <w:fldChar w:fldCharType="separate"/>
          </w:r>
          <w:r>
            <w:rPr>
              <w:rStyle w:val="36"/>
              <w:rFonts w:ascii="Arial" w:hAnsi="Arial" w:eastAsia="微软雅黑" w:cs="Arial"/>
            </w:rPr>
            <w:t>1.1.范围和目的</w:t>
          </w:r>
          <w:r>
            <w:tab/>
          </w:r>
          <w:r>
            <w:fldChar w:fldCharType="begin"/>
          </w:r>
          <w:r>
            <w:instrText xml:space="preserve"> PAGEREF _Toc202797543 \h </w:instrText>
          </w:r>
          <w:r>
            <w:fldChar w:fldCharType="separate"/>
          </w:r>
          <w:r>
            <w:t>7</w:t>
          </w:r>
          <w:r>
            <w:fldChar w:fldCharType="end"/>
          </w:r>
          <w:r>
            <w:rPr>
              <w:rStyle w:val="36"/>
            </w:rPr>
            <w:fldChar w:fldCharType="end"/>
          </w:r>
        </w:p>
        <w:p w14:paraId="60EA7B5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"_Toc202797544"</w:instrText>
          </w:r>
          <w:r>
            <w:rPr>
              <w:rStyle w:val="36"/>
            </w:rPr>
            <w:instrText xml:space="preserve"> </w:instrText>
          </w:r>
          <w:r>
            <w:rPr>
              <w:rStyle w:val="36"/>
            </w:rPr>
            <w:fldChar w:fldCharType="separate"/>
          </w:r>
          <w:r>
            <w:rPr>
              <w:rStyle w:val="36"/>
              <w:rFonts w:ascii="Arial" w:hAnsi="Arial" w:eastAsia="微软雅黑" w:cs="Arial"/>
            </w:rPr>
            <w:t>1.2.受测关联交易</w:t>
          </w:r>
          <w:r>
            <w:tab/>
          </w:r>
          <w:r>
            <w:fldChar w:fldCharType="begin"/>
          </w:r>
          <w:r>
            <w:instrText xml:space="preserve"> PAGEREF _Toc202797544 \h </w:instrText>
          </w:r>
          <w:r>
            <w:fldChar w:fldCharType="separate"/>
          </w:r>
          <w:r>
            <w:t>7</w:t>
          </w:r>
          <w:r>
            <w:fldChar w:fldCharType="end"/>
          </w:r>
          <w:r>
            <w:rPr>
              <w:rStyle w:val="36"/>
            </w:rPr>
            <w:fldChar w:fldCharType="end"/>
          </w:r>
        </w:p>
        <w:p w14:paraId="1E8B5077">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"_Toc202797545"</w:instrText>
          </w:r>
          <w:r>
            <w:rPr>
              <w:rStyle w:val="36"/>
            </w:rPr>
            <w:instrText xml:space="preserve"> </w:instrText>
          </w:r>
          <w:r>
            <w:rPr>
              <w:rStyle w:val="36"/>
            </w:rPr>
            <w:fldChar w:fldCharType="separate"/>
          </w:r>
          <w:r>
            <w:rPr>
              <w:rStyle w:val="36"/>
              <w:rFonts w:ascii="Arial" w:hAnsi="Arial" w:eastAsia="微软雅黑" w:cs="Arial"/>
            </w:rPr>
            <w:t>1.3.功能和风险分析及价值链分析总结</w:t>
          </w:r>
          <w:r>
            <w:tab/>
          </w:r>
          <w:r>
            <w:fldChar w:fldCharType="begin"/>
          </w:r>
          <w:r>
            <w:instrText xml:space="preserve"> PAGEREF _Toc202797545 \h </w:instrText>
          </w:r>
          <w:r>
            <w:fldChar w:fldCharType="separate"/>
          </w:r>
          <w:r>
            <w:t>8</w:t>
          </w:r>
          <w:r>
            <w:fldChar w:fldCharType="end"/>
          </w:r>
          <w:r>
            <w:rPr>
              <w:rStyle w:val="36"/>
            </w:rPr>
            <w:fldChar w:fldCharType="end"/>
          </w:r>
        </w:p>
        <w:p w14:paraId="619AA91D">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"_Toc202797546"</w:instrText>
          </w:r>
          <w:r>
            <w:rPr>
              <w:rStyle w:val="36"/>
            </w:rPr>
            <w:instrText xml:space="preserve"> </w:instrText>
          </w:r>
          <w:r>
            <w:rPr>
              <w:rStyle w:val="36"/>
            </w:rPr>
            <w:fldChar w:fldCharType="separate"/>
          </w:r>
          <w:r>
            <w:rPr>
              <w:rStyle w:val="36"/>
              <w:rFonts w:ascii="Arial" w:hAnsi="Arial" w:eastAsia="微软雅黑" w:cs="Arial"/>
            </w:rPr>
            <w:t>1.4.经济分析总结 —— 对受测关联交易的分析</w:t>
          </w:r>
          <w:r>
            <w:tab/>
          </w:r>
          <w:r>
            <w:fldChar w:fldCharType="begin"/>
          </w:r>
          <w:r>
            <w:instrText xml:space="preserve"> PAGEREF _Toc202797546 \h </w:instrText>
          </w:r>
          <w:r>
            <w:fldChar w:fldCharType="separate"/>
          </w:r>
          <w:r>
            <w:t>8</w:t>
          </w:r>
          <w:r>
            <w:fldChar w:fldCharType="end"/>
          </w:r>
          <w:r>
            <w:rPr>
              <w:rStyle w:val="36"/>
            </w:rPr>
            <w:fldChar w:fldCharType="end"/>
          </w:r>
        </w:p>
        <w:p w14:paraId="0556AD1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"_Toc202797547"</w:instrText>
          </w:r>
          <w:r>
            <w:rPr>
              <w:rStyle w:val="36"/>
            </w:rPr>
            <w:instrText xml:space="preserve"> </w:instrText>
          </w:r>
          <w:r>
            <w:rPr>
              <w:rStyle w:val="36"/>
            </w:rPr>
            <w:fldChar w:fldCharType="separate"/>
          </w:r>
          <w:r>
            <w:rPr>
              <w:rStyle w:val="36"/>
              <w:rFonts w:ascii="Arial" w:hAnsi="Arial" w:eastAsia="微软雅黑" w:cs="Arial"/>
            </w:rPr>
            <w:t>1.5.局限性</w:t>
          </w:r>
          <w:r>
            <w:tab/>
          </w:r>
          <w:r>
            <w:fldChar w:fldCharType="begin"/>
          </w:r>
          <w:r>
            <w:instrText xml:space="preserve"> PAGEREF _Toc202797547 \h </w:instrText>
          </w:r>
          <w:r>
            <w:fldChar w:fldCharType="separate"/>
          </w:r>
          <w:r>
            <w:t>9</w:t>
          </w:r>
          <w:r>
            <w:fldChar w:fldCharType="end"/>
          </w:r>
          <w:r>
            <w:rPr>
              <w:rStyle w:val="36"/>
            </w:rPr>
            <w:fldChar w:fldCharType="end"/>
          </w:r>
        </w:p>
        <w:p w14:paraId="693BAA0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"_Toc202797548"</w:instrText>
          </w:r>
          <w:r>
            <w:rPr>
              <w:rStyle w:val="36"/>
            </w:rPr>
            <w:instrText xml:space="preserve"> </w:instrText>
          </w:r>
          <w:r>
            <w:rPr>
              <w:rStyle w:val="36"/>
            </w:rPr>
            <w:fldChar w:fldCharType="separate"/>
          </w:r>
          <w:r>
            <w:rPr>
              <w:rStyle w:val="36"/>
              <w:rFonts w:ascii="Arial" w:hAnsi="Arial" w:eastAsia="微软雅黑" w:cs="Arial"/>
            </w:rPr>
            <w:t>2.企业概况</w:t>
          </w:r>
          <w:r>
            <w:tab/>
          </w:r>
          <w:r>
            <w:fldChar w:fldCharType="begin"/>
          </w:r>
          <w:r>
            <w:instrText xml:space="preserve"> PAGEREF _Toc202797548 \h </w:instrText>
          </w:r>
          <w:r>
            <w:fldChar w:fldCharType="separate"/>
          </w:r>
          <w:r>
            <w:t>10</w:t>
          </w:r>
          <w:r>
            <w:fldChar w:fldCharType="end"/>
          </w:r>
          <w:r>
            <w:rPr>
              <w:rStyle w:val="36"/>
            </w:rPr>
            <w:fldChar w:fldCharType="end"/>
          </w:r>
        </w:p>
        <w:p w14:paraId="30F73B8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"_Toc202797549"</w:instrText>
          </w:r>
          <w:r>
            <w:rPr>
              <w:rStyle w:val="36"/>
            </w:rPr>
            <w:instrText xml:space="preserve"> </w:instrText>
          </w:r>
          <w:r>
            <w:rPr>
              <w:rStyle w:val="36"/>
            </w:rPr>
            <w:fldChar w:fldCharType="separate"/>
          </w:r>
          <w:r>
            <w:rPr>
              <w:rStyle w:val="36"/>
              <w:rFonts w:ascii="Arial" w:hAnsi="Arial" w:eastAsia="微软雅黑" w:cs="Arial"/>
            </w:rPr>
            <w:t>2.1.集团概况</w:t>
          </w:r>
          <w:r>
            <w:tab/>
          </w:r>
          <w:r>
            <w:fldChar w:fldCharType="begin"/>
          </w:r>
          <w:r>
            <w:instrText xml:space="preserve"> PAGEREF _Toc202797549 \h </w:instrText>
          </w:r>
          <w:r>
            <w:fldChar w:fldCharType="separate"/>
          </w:r>
          <w:r>
            <w:t>10</w:t>
          </w:r>
          <w:r>
            <w:fldChar w:fldCharType="end"/>
          </w:r>
          <w:r>
            <w:rPr>
              <w:rStyle w:val="36"/>
            </w:rPr>
            <w:fldChar w:fldCharType="end"/>
          </w:r>
        </w:p>
        <w:p w14:paraId="17B40B48">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"_Toc202797550"</w:instrText>
          </w:r>
          <w:r>
            <w:rPr>
              <w:rStyle w:val="36"/>
            </w:rPr>
            <w:instrText xml:space="preserve"> </w:instrText>
          </w:r>
          <w:r>
            <w:rPr>
              <w:rStyle w:val="36"/>
            </w:rPr>
            <w:fldChar w:fldCharType="separate"/>
          </w:r>
          <w:r>
            <w:rPr>
              <w:rStyle w:val="36"/>
              <w:rFonts w:ascii="Arial" w:hAnsi="Arial" w:eastAsia="微软雅黑" w:cs="Arial"/>
            </w:rPr>
            <w:t>2.2.公司概况</w:t>
          </w:r>
          <w:r>
            <w:tab/>
          </w:r>
          <w:r>
            <w:fldChar w:fldCharType="begin"/>
          </w:r>
          <w:r>
            <w:instrText xml:space="preserve"> PAGEREF _Toc202797550 \h </w:instrText>
          </w:r>
          <w:r>
            <w:fldChar w:fldCharType="separate"/>
          </w:r>
          <w:r>
            <w:t>10</w:t>
          </w:r>
          <w:r>
            <w:fldChar w:fldCharType="end"/>
          </w:r>
          <w:r>
            <w:rPr>
              <w:rStyle w:val="36"/>
            </w:rPr>
            <w:fldChar w:fldCharType="end"/>
          </w:r>
        </w:p>
        <w:p w14:paraId="71217D14">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"_Toc202797551"</w:instrText>
          </w:r>
          <w:r>
            <w:rPr>
              <w:rStyle w:val="36"/>
            </w:rPr>
            <w:instrText xml:space="preserve"> </w:instrText>
          </w:r>
          <w:r>
            <w:rPr>
              <w:rStyle w:val="36"/>
            </w:rPr>
            <w:fldChar w:fldCharType="separate"/>
          </w:r>
          <w:r>
            <w:rPr>
              <w:rStyle w:val="36"/>
              <w:rFonts w:ascii="Arial" w:hAnsi="Arial" w:eastAsia="微软雅黑" w:cs="Arial"/>
            </w:rPr>
            <w:t>2.2.1.公司基本信息</w:t>
          </w:r>
          <w:r>
            <w:tab/>
          </w:r>
          <w:r>
            <w:fldChar w:fldCharType="begin"/>
          </w:r>
          <w:r>
            <w:instrText xml:space="preserve"> PAGEREF _Toc202797551 \h </w:instrText>
          </w:r>
          <w:r>
            <w:fldChar w:fldCharType="separate"/>
          </w:r>
          <w:r>
            <w:t>10</w:t>
          </w:r>
          <w:r>
            <w:fldChar w:fldCharType="end"/>
          </w:r>
          <w:r>
            <w:rPr>
              <w:rStyle w:val="36"/>
            </w:rPr>
            <w:fldChar w:fldCharType="end"/>
          </w:r>
        </w:p>
        <w:p w14:paraId="2CC863C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"_Toc202797552"</w:instrText>
          </w:r>
          <w:r>
            <w:rPr>
              <w:rStyle w:val="36"/>
            </w:rPr>
            <w:instrText xml:space="preserve"> </w:instrText>
          </w:r>
          <w:r>
            <w:rPr>
              <w:rStyle w:val="36"/>
            </w:rPr>
            <w:fldChar w:fldCharType="separate"/>
          </w:r>
          <w:r>
            <w:rPr>
              <w:rStyle w:val="36"/>
              <w:rFonts w:ascii="Arial" w:hAnsi="Arial" w:eastAsia="微软雅黑" w:cs="Arial"/>
            </w:rPr>
            <w:t>2.2.2.公司组织结构图和主要部门</w:t>
          </w:r>
          <w:r>
            <w:tab/>
          </w:r>
          <w:r>
            <w:fldChar w:fldCharType="begin"/>
          </w:r>
          <w:r>
            <w:instrText xml:space="preserve"> PAGEREF _Toc202797552 \h </w:instrText>
          </w:r>
          <w:r>
            <w:fldChar w:fldCharType="separate"/>
          </w:r>
          <w:r>
            <w:t>11</w:t>
          </w:r>
          <w:r>
            <w:fldChar w:fldCharType="end"/>
          </w:r>
          <w:r>
            <w:rPr>
              <w:rStyle w:val="36"/>
            </w:rPr>
            <w:fldChar w:fldCharType="end"/>
          </w:r>
        </w:p>
        <w:p w14:paraId="1EA77D6A">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"_Toc202797553"</w:instrText>
          </w:r>
          <w:r>
            <w:rPr>
              <w:rStyle w:val="36"/>
            </w:rPr>
            <w:instrText xml:space="preserve"> </w:instrText>
          </w:r>
          <w:r>
            <w:rPr>
              <w:rStyle w:val="36"/>
            </w:rPr>
            <w:fldChar w:fldCharType="separate"/>
          </w:r>
          <w:r>
            <w:rPr>
              <w:rStyle w:val="36"/>
              <w:rFonts w:ascii="Arial" w:hAnsi="Arial" w:eastAsia="微软雅黑" w:cs="Arial"/>
            </w:rPr>
            <w:t>2.3.主营业务及财务状况</w:t>
          </w:r>
          <w:r>
            <w:tab/>
          </w:r>
          <w:r>
            <w:fldChar w:fldCharType="begin"/>
          </w:r>
          <w:r>
            <w:instrText xml:space="preserve"> PAGEREF _Toc202797553 \h </w:instrText>
          </w:r>
          <w:r>
            <w:fldChar w:fldCharType="separate"/>
          </w:r>
          <w:r>
            <w:t>12</w:t>
          </w:r>
          <w:r>
            <w:fldChar w:fldCharType="end"/>
          </w:r>
          <w:r>
            <w:rPr>
              <w:rStyle w:val="36"/>
            </w:rPr>
            <w:fldChar w:fldCharType="end"/>
          </w:r>
        </w:p>
        <w:p w14:paraId="1A831BF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"_Toc202797554"</w:instrText>
          </w:r>
          <w:r>
            <w:rPr>
              <w:rStyle w:val="36"/>
            </w:rPr>
            <w:instrText xml:space="preserve"> </w:instrText>
          </w:r>
          <w:r>
            <w:rPr>
              <w:rStyle w:val="36"/>
            </w:rPr>
            <w:fldChar w:fldCharType="separate"/>
          </w:r>
          <w:r>
            <w:rPr>
              <w:rStyle w:val="36"/>
              <w:rFonts w:ascii="Arial" w:hAnsi="Arial" w:eastAsia="微软雅黑" w:cs="Arial"/>
            </w:rPr>
            <w:t>2.4.本年度重大变化事项</w:t>
          </w:r>
          <w:r>
            <w:tab/>
          </w:r>
          <w:r>
            <w:fldChar w:fldCharType="begin"/>
          </w:r>
          <w:r>
            <w:instrText xml:space="preserve"> PAGEREF _Toc202797554 \h </w:instrText>
          </w:r>
          <w:r>
            <w:fldChar w:fldCharType="separate"/>
          </w:r>
          <w:r>
            <w:t>12</w:t>
          </w:r>
          <w:r>
            <w:fldChar w:fldCharType="end"/>
          </w:r>
          <w:r>
            <w:rPr>
              <w:rStyle w:val="36"/>
            </w:rPr>
            <w:fldChar w:fldCharType="end"/>
          </w:r>
        </w:p>
        <w:p w14:paraId="32D5492C">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"_Toc202797555"</w:instrText>
          </w:r>
          <w:r>
            <w:rPr>
              <w:rStyle w:val="36"/>
            </w:rPr>
            <w:instrText xml:space="preserve"> </w:instrText>
          </w:r>
          <w:r>
            <w:rPr>
              <w:rStyle w:val="36"/>
            </w:rPr>
            <w:fldChar w:fldCharType="separate"/>
          </w:r>
          <w:r>
            <w:rPr>
              <w:rStyle w:val="36"/>
              <w:rFonts w:ascii="Arial" w:hAnsi="Arial" w:eastAsia="微软雅黑" w:cs="Arial"/>
            </w:rPr>
            <w:t>3.行业分析</w:t>
          </w:r>
          <w:r>
            <w:tab/>
          </w:r>
          <w:r>
            <w:fldChar w:fldCharType="begin"/>
          </w:r>
          <w:r>
            <w:instrText xml:space="preserve"> PAGEREF _Toc202797555 \h </w:instrText>
          </w:r>
          <w:r>
            <w:fldChar w:fldCharType="separate"/>
          </w:r>
          <w:r>
            <w:t>14</w:t>
          </w:r>
          <w:r>
            <w:fldChar w:fldCharType="end"/>
          </w:r>
          <w:r>
            <w:rPr>
              <w:rStyle w:val="36"/>
            </w:rPr>
            <w:fldChar w:fldCharType="end"/>
          </w:r>
        </w:p>
        <w:p w14:paraId="3B64E06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"_Toc202797556"</w:instrText>
          </w:r>
          <w:r>
            <w:rPr>
              <w:rStyle w:val="36"/>
            </w:rPr>
            <w:instrText xml:space="preserve"> </w:instrText>
          </w:r>
          <w:r>
            <w:rPr>
              <w:rStyle w:val="36"/>
            </w:rPr>
            <w:fldChar w:fldCharType="separate"/>
          </w:r>
          <w:r>
            <w:rPr>
              <w:rStyle w:val="36"/>
              <w:rFonts w:ascii="Arial" w:hAnsi="Arial" w:eastAsia="微软雅黑" w:cs="Arial"/>
            </w:rPr>
            <w:t>3.1.行业概述</w:t>
          </w:r>
          <w:r>
            <w:tab/>
          </w:r>
          <w:r>
            <w:fldChar w:fldCharType="begin"/>
          </w:r>
          <w:r>
            <w:instrText xml:space="preserve"> PAGEREF _Toc202797556 \h </w:instrText>
          </w:r>
          <w:r>
            <w:fldChar w:fldCharType="separate"/>
          </w:r>
          <w:r>
            <w:t>14</w:t>
          </w:r>
          <w:r>
            <w:fldChar w:fldCharType="end"/>
          </w:r>
          <w:r>
            <w:rPr>
              <w:rStyle w:val="36"/>
            </w:rPr>
            <w:fldChar w:fldCharType="end"/>
          </w:r>
        </w:p>
        <w:p w14:paraId="280254FF">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"_Toc202797557"</w:instrText>
          </w:r>
          <w:r>
            <w:rPr>
              <w:rStyle w:val="36"/>
            </w:rPr>
            <w:instrText xml:space="preserve"> </w:instrText>
          </w:r>
          <w:r>
            <w:rPr>
              <w:rStyle w:val="36"/>
            </w:rPr>
            <w:fldChar w:fldCharType="separate"/>
          </w:r>
          <w:r>
            <w:rPr>
              <w:rStyle w:val="36"/>
              <w:rFonts w:ascii="Arial" w:hAnsi="Arial" w:eastAsia="微软雅黑" w:cs="Arial"/>
            </w:rPr>
            <w:t>3.2. 行业政策描述</w:t>
          </w:r>
          <w:r>
            <w:tab/>
          </w:r>
          <w:r>
            <w:fldChar w:fldCharType="begin"/>
          </w:r>
          <w:r>
            <w:instrText xml:space="preserve"> PAGEREF _Toc202797557 \h </w:instrText>
          </w:r>
          <w:r>
            <w:fldChar w:fldCharType="separate"/>
          </w:r>
          <w:r>
            <w:t>14</w:t>
          </w:r>
          <w:r>
            <w:fldChar w:fldCharType="end"/>
          </w:r>
          <w:r>
            <w:rPr>
              <w:rStyle w:val="36"/>
            </w:rPr>
            <w:fldChar w:fldCharType="end"/>
          </w:r>
        </w:p>
        <w:p w14:paraId="7C83723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"_Toc202797558"</w:instrText>
          </w:r>
          <w:r>
            <w:rPr>
              <w:rStyle w:val="36"/>
            </w:rPr>
            <w:instrText xml:space="preserve"> </w:instrText>
          </w:r>
          <w:r>
            <w:rPr>
              <w:rStyle w:val="36"/>
            </w:rPr>
            <w:fldChar w:fldCharType="separate"/>
          </w:r>
          <w:r>
            <w:rPr>
              <w:rStyle w:val="36"/>
              <w:rFonts w:ascii="Arial" w:hAnsi="Arial" w:eastAsia="微软雅黑" w:cs="Arial"/>
            </w:rPr>
            <w:t>3.3.全球及中国市场情况描述</w:t>
          </w:r>
          <w:r>
            <w:tab/>
          </w:r>
          <w:r>
            <w:fldChar w:fldCharType="begin"/>
          </w:r>
          <w:r>
            <w:instrText xml:space="preserve"> PAGEREF _Toc202797558 \h </w:instrText>
          </w:r>
          <w:r>
            <w:fldChar w:fldCharType="separate"/>
          </w:r>
          <w:r>
            <w:t>15</w:t>
          </w:r>
          <w:r>
            <w:fldChar w:fldCharType="end"/>
          </w:r>
          <w:r>
            <w:rPr>
              <w:rStyle w:val="36"/>
            </w:rPr>
            <w:fldChar w:fldCharType="end"/>
          </w:r>
        </w:p>
        <w:p w14:paraId="59C2391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"_Toc202797559"</w:instrText>
          </w:r>
          <w:r>
            <w:rPr>
              <w:rStyle w:val="36"/>
            </w:rPr>
            <w:instrText xml:space="preserve"> </w:instrText>
          </w:r>
          <w:r>
            <w:rPr>
              <w:rStyle w:val="36"/>
            </w:rPr>
            <w:fldChar w:fldCharType="separate"/>
          </w:r>
          <w:r>
            <w:rPr>
              <w:rStyle w:val="36"/>
              <w:rFonts w:ascii="Arial" w:hAnsi="Arial" w:eastAsia="微软雅黑" w:cs="Arial"/>
            </w:rPr>
            <w:t>3.3.1.全球市场</w:t>
          </w:r>
          <w:r>
            <w:tab/>
          </w:r>
          <w:r>
            <w:fldChar w:fldCharType="begin"/>
          </w:r>
          <w:r>
            <w:instrText xml:space="preserve"> PAGEREF _Toc202797559 \h </w:instrText>
          </w:r>
          <w:r>
            <w:fldChar w:fldCharType="separate"/>
          </w:r>
          <w:r>
            <w:t>15</w:t>
          </w:r>
          <w:r>
            <w:fldChar w:fldCharType="end"/>
          </w:r>
          <w:r>
            <w:rPr>
              <w:rStyle w:val="36"/>
            </w:rPr>
            <w:fldChar w:fldCharType="end"/>
          </w:r>
        </w:p>
        <w:p w14:paraId="0B152AB5">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"_Toc202797560"</w:instrText>
          </w:r>
          <w:r>
            <w:rPr>
              <w:rStyle w:val="36"/>
            </w:rPr>
            <w:instrText xml:space="preserve"> </w:instrText>
          </w:r>
          <w:r>
            <w:rPr>
              <w:rStyle w:val="36"/>
            </w:rPr>
            <w:fldChar w:fldCharType="separate"/>
          </w:r>
          <w:r>
            <w:rPr>
              <w:rStyle w:val="36"/>
              <w:rFonts w:ascii="Arial" w:hAnsi="Arial" w:eastAsia="微软雅黑" w:cs="Arial"/>
            </w:rPr>
            <w:t>3.3.2.中国市场</w:t>
          </w:r>
          <w:r>
            <w:tab/>
          </w:r>
          <w:r>
            <w:fldChar w:fldCharType="begin"/>
          </w:r>
          <w:r>
            <w:instrText xml:space="preserve"> PAGEREF _Toc202797560 \h </w:instrText>
          </w:r>
          <w:r>
            <w:fldChar w:fldCharType="separate"/>
          </w:r>
          <w:r>
            <w:t>16</w:t>
          </w:r>
          <w:r>
            <w:fldChar w:fldCharType="end"/>
          </w:r>
          <w:r>
            <w:rPr>
              <w:rStyle w:val="36"/>
            </w:rPr>
            <w:fldChar w:fldCharType="end"/>
          </w:r>
        </w:p>
        <w:p w14:paraId="46142530">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"_Toc202797561"</w:instrText>
          </w:r>
          <w:r>
            <w:rPr>
              <w:rStyle w:val="36"/>
            </w:rPr>
            <w:instrText xml:space="preserve"> </w:instrText>
          </w:r>
          <w:r>
            <w:rPr>
              <w:rStyle w:val="36"/>
            </w:rPr>
            <w:fldChar w:fldCharType="separate"/>
          </w:r>
          <w:r>
            <w:rPr>
              <w:rStyle w:val="36"/>
              <w:rFonts w:ascii="Arial" w:hAnsi="Arial" w:eastAsia="微软雅黑" w:cs="Arial"/>
            </w:rPr>
            <w:t>3.4.行业发展趋势</w:t>
          </w:r>
          <w:r>
            <w:tab/>
          </w:r>
          <w:r>
            <w:fldChar w:fldCharType="begin"/>
          </w:r>
          <w:r>
            <w:instrText xml:space="preserve"> PAGEREF _Toc202797561 \h </w:instrText>
          </w:r>
          <w:r>
            <w:fldChar w:fldCharType="separate"/>
          </w:r>
          <w:r>
            <w:t>16</w:t>
          </w:r>
          <w:r>
            <w:fldChar w:fldCharType="end"/>
          </w:r>
          <w:r>
            <w:rPr>
              <w:rStyle w:val="36"/>
            </w:rPr>
            <w:fldChar w:fldCharType="end"/>
          </w:r>
        </w:p>
        <w:p w14:paraId="0DE38E9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"_Toc202797562"</w:instrText>
          </w:r>
          <w:r>
            <w:rPr>
              <w:rStyle w:val="36"/>
            </w:rPr>
            <w:instrText xml:space="preserve"> </w:instrText>
          </w:r>
          <w:r>
            <w:rPr>
              <w:rStyle w:val="36"/>
            </w:rPr>
            <w:fldChar w:fldCharType="separate"/>
          </w:r>
          <w:r>
            <w:rPr>
              <w:rStyle w:val="36"/>
              <w:rFonts w:ascii="Arial" w:hAnsi="Arial" w:eastAsia="微软雅黑" w:cs="Arial"/>
            </w:rPr>
            <w:t>3.4.1.乳制品行业发展趋势</w:t>
          </w:r>
          <w:r>
            <w:tab/>
          </w:r>
          <w:r>
            <w:fldChar w:fldCharType="begin"/>
          </w:r>
          <w:r>
            <w:instrText xml:space="preserve"> PAGEREF _Toc202797562 \h </w:instrText>
          </w:r>
          <w:r>
            <w:fldChar w:fldCharType="separate"/>
          </w:r>
          <w:r>
            <w:t>16</w:t>
          </w:r>
          <w:r>
            <w:fldChar w:fldCharType="end"/>
          </w:r>
          <w:r>
            <w:rPr>
              <w:rStyle w:val="36"/>
            </w:rPr>
            <w:fldChar w:fldCharType="end"/>
          </w:r>
        </w:p>
        <w:p w14:paraId="6DE0E1E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"_Toc202797563"</w:instrText>
          </w:r>
          <w:r>
            <w:rPr>
              <w:rStyle w:val="36"/>
            </w:rPr>
            <w:instrText xml:space="preserve"> </w:instrText>
          </w:r>
          <w:r>
            <w:rPr>
              <w:rStyle w:val="36"/>
            </w:rPr>
            <w:fldChar w:fldCharType="separate"/>
          </w:r>
          <w:r>
            <w:rPr>
              <w:rStyle w:val="36"/>
              <w:rFonts w:ascii="Arial" w:hAnsi="Arial" w:eastAsia="微软雅黑" w:cs="Arial"/>
            </w:rPr>
            <w:t>3.4.2.工业行业发展趋势</w:t>
          </w:r>
          <w:r>
            <w:tab/>
          </w:r>
          <w:r>
            <w:fldChar w:fldCharType="begin"/>
          </w:r>
          <w:r>
            <w:instrText xml:space="preserve"> PAGEREF _Toc202797563 \h </w:instrText>
          </w:r>
          <w:r>
            <w:fldChar w:fldCharType="separate"/>
          </w:r>
          <w:r>
            <w:t>17</w:t>
          </w:r>
          <w:r>
            <w:fldChar w:fldCharType="end"/>
          </w:r>
          <w:r>
            <w:rPr>
              <w:rStyle w:val="36"/>
            </w:rPr>
            <w:fldChar w:fldCharType="end"/>
          </w:r>
        </w:p>
        <w:p w14:paraId="674778F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"_Toc202797564"</w:instrText>
          </w:r>
          <w:r>
            <w:rPr>
              <w:rStyle w:val="36"/>
            </w:rPr>
            <w:instrText xml:space="preserve"> </w:instrText>
          </w:r>
          <w:r>
            <w:rPr>
              <w:rStyle w:val="36"/>
            </w:rPr>
            <w:fldChar w:fldCharType="separate"/>
          </w:r>
          <w:r>
            <w:rPr>
              <w:rStyle w:val="36"/>
              <w:rFonts w:ascii="Arial" w:hAnsi="Arial" w:eastAsia="微软雅黑" w:cs="Arial"/>
            </w:rPr>
            <w:t>3.5.结论</w:t>
          </w:r>
          <w:r>
            <w:tab/>
          </w:r>
          <w:r>
            <w:fldChar w:fldCharType="begin"/>
          </w:r>
          <w:r>
            <w:instrText xml:space="preserve"> PAGEREF _Toc202797564 \h </w:instrText>
          </w:r>
          <w:r>
            <w:fldChar w:fldCharType="separate"/>
          </w:r>
          <w:r>
            <w:t>18</w:t>
          </w:r>
          <w:r>
            <w:fldChar w:fldCharType="end"/>
          </w:r>
          <w:r>
            <w:rPr>
              <w:rStyle w:val="36"/>
            </w:rPr>
            <w:fldChar w:fldCharType="end"/>
          </w:r>
        </w:p>
        <w:p w14:paraId="3BF7928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"_Toc202797565"</w:instrText>
          </w:r>
          <w:r>
            <w:rPr>
              <w:rStyle w:val="36"/>
            </w:rPr>
            <w:instrText xml:space="preserve"> </w:instrText>
          </w:r>
          <w:r>
            <w:rPr>
              <w:rStyle w:val="36"/>
            </w:rPr>
            <w:fldChar w:fldCharType="separate"/>
          </w:r>
          <w:r>
            <w:rPr>
              <w:rStyle w:val="36"/>
              <w:rFonts w:ascii="Arial" w:hAnsi="Arial" w:eastAsia="微软雅黑" w:cs="Arial"/>
            </w:rPr>
            <w:t>4.关联交易</w:t>
          </w:r>
          <w:r>
            <w:tab/>
          </w:r>
          <w:r>
            <w:fldChar w:fldCharType="begin"/>
          </w:r>
          <w:r>
            <w:instrText xml:space="preserve"> PAGEREF _Toc202797565 \h </w:instrText>
          </w:r>
          <w:r>
            <w:fldChar w:fldCharType="separate"/>
          </w:r>
          <w:r>
            <w:t>19</w:t>
          </w:r>
          <w:r>
            <w:fldChar w:fldCharType="end"/>
          </w:r>
          <w:r>
            <w:rPr>
              <w:rStyle w:val="36"/>
            </w:rPr>
            <w:fldChar w:fldCharType="end"/>
          </w:r>
        </w:p>
        <w:p w14:paraId="23BD7B9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"_Toc202797566"</w:instrText>
          </w:r>
          <w:r>
            <w:rPr>
              <w:rStyle w:val="36"/>
            </w:rPr>
            <w:instrText xml:space="preserve"> </w:instrText>
          </w:r>
          <w:r>
            <w:rPr>
              <w:rStyle w:val="36"/>
            </w:rPr>
            <w:fldChar w:fldCharType="separate"/>
          </w:r>
          <w:r>
            <w:rPr>
              <w:rStyle w:val="36"/>
              <w:rFonts w:ascii="Arial" w:hAnsi="Arial" w:eastAsia="微软雅黑" w:cs="Arial"/>
            </w:rPr>
            <w:t>4.1.关联方信息</w:t>
          </w:r>
          <w:r>
            <w:tab/>
          </w:r>
          <w:r>
            <w:fldChar w:fldCharType="begin"/>
          </w:r>
          <w:r>
            <w:instrText xml:space="preserve"> PAGEREF _Toc202797566 \h </w:instrText>
          </w:r>
          <w:r>
            <w:fldChar w:fldCharType="separate"/>
          </w:r>
          <w:r>
            <w:t>19</w:t>
          </w:r>
          <w:r>
            <w:fldChar w:fldCharType="end"/>
          </w:r>
          <w:r>
            <w:rPr>
              <w:rStyle w:val="36"/>
            </w:rPr>
            <w:fldChar w:fldCharType="end"/>
          </w:r>
        </w:p>
        <w:p w14:paraId="373A55C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"_Toc202797567"</w:instrText>
          </w:r>
          <w:r>
            <w:rPr>
              <w:rStyle w:val="36"/>
            </w:rPr>
            <w:instrText xml:space="preserve"> </w:instrText>
          </w:r>
          <w:r>
            <w:rPr>
              <w:rStyle w:val="36"/>
            </w:rPr>
            <w:fldChar w:fldCharType="separate"/>
          </w:r>
          <w:r>
            <w:rPr>
              <w:rStyle w:val="36"/>
              <w:rFonts w:ascii="Arial" w:hAnsi="Arial" w:eastAsia="微软雅黑" w:cs="Arial"/>
            </w:rPr>
            <w:t>4.2.主要关联交易</w:t>
          </w:r>
          <w:r>
            <w:tab/>
          </w:r>
          <w:r>
            <w:fldChar w:fldCharType="begin"/>
          </w:r>
          <w:r>
            <w:instrText xml:space="preserve"> PAGEREF _Toc202797567 \h </w:instrText>
          </w:r>
          <w:r>
            <w:fldChar w:fldCharType="separate"/>
          </w:r>
          <w:r>
            <w:t>20</w:t>
          </w:r>
          <w:r>
            <w:fldChar w:fldCharType="end"/>
          </w:r>
          <w:r>
            <w:rPr>
              <w:rStyle w:val="36"/>
            </w:rPr>
            <w:fldChar w:fldCharType="end"/>
          </w:r>
        </w:p>
        <w:p w14:paraId="53FA511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"_Toc202797568"</w:instrText>
          </w:r>
          <w:r>
            <w:rPr>
              <w:rStyle w:val="36"/>
            </w:rPr>
            <w:instrText xml:space="preserve"> </w:instrText>
          </w:r>
          <w:r>
            <w:rPr>
              <w:rStyle w:val="36"/>
            </w:rPr>
            <w:fldChar w:fldCharType="separate"/>
          </w:r>
          <w:r>
            <w:rPr>
              <w:rStyle w:val="36"/>
              <w:rFonts w:ascii="Arial" w:hAnsi="Arial" w:eastAsia="微软雅黑" w:cs="Arial"/>
            </w:rPr>
            <w:t>4.3.关联购销</w:t>
          </w:r>
          <w:r>
            <w:tab/>
          </w:r>
          <w:r>
            <w:fldChar w:fldCharType="begin"/>
          </w:r>
          <w:r>
            <w:instrText xml:space="preserve"> PAGEREF _Toc202797568 \h </w:instrText>
          </w:r>
          <w:r>
            <w:fldChar w:fldCharType="separate"/>
          </w:r>
          <w:r>
            <w:t>20</w:t>
          </w:r>
          <w:r>
            <w:fldChar w:fldCharType="end"/>
          </w:r>
          <w:r>
            <w:rPr>
              <w:rStyle w:val="36"/>
            </w:rPr>
            <w:fldChar w:fldCharType="end"/>
          </w:r>
        </w:p>
        <w:p w14:paraId="4504F0D6">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"_Toc202797569"</w:instrText>
          </w:r>
          <w:r>
            <w:rPr>
              <w:rStyle w:val="36"/>
            </w:rPr>
            <w:instrText xml:space="preserve"> </w:instrText>
          </w:r>
          <w:r>
            <w:rPr>
              <w:rStyle w:val="36"/>
            </w:rPr>
            <w:fldChar w:fldCharType="separate"/>
          </w:r>
          <w:r>
            <w:rPr>
              <w:rStyle w:val="36"/>
              <w:rFonts w:ascii="Arial" w:hAnsi="Arial" w:eastAsia="微软雅黑" w:cs="Arial"/>
            </w:rPr>
            <w:t>4.3.1.交易流程</w:t>
          </w:r>
          <w:r>
            <w:tab/>
          </w:r>
          <w:r>
            <w:fldChar w:fldCharType="begin"/>
          </w:r>
          <w:r>
            <w:instrText xml:space="preserve"> PAGEREF _Toc202797569 \h </w:instrText>
          </w:r>
          <w:r>
            <w:fldChar w:fldCharType="separate"/>
          </w:r>
          <w:r>
            <w:t>21</w:t>
          </w:r>
          <w:r>
            <w:fldChar w:fldCharType="end"/>
          </w:r>
          <w:r>
            <w:rPr>
              <w:rStyle w:val="36"/>
            </w:rPr>
            <w:fldChar w:fldCharType="end"/>
          </w:r>
        </w:p>
        <w:p w14:paraId="69981EA7">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"_Toc202797570"</w:instrText>
          </w:r>
          <w:r>
            <w:rPr>
              <w:rStyle w:val="36"/>
            </w:rPr>
            <w:instrText xml:space="preserve"> </w:instrText>
          </w:r>
          <w:r>
            <w:rPr>
              <w:rStyle w:val="36"/>
            </w:rPr>
            <w:fldChar w:fldCharType="separate"/>
          </w:r>
          <w:r>
            <w:rPr>
              <w:rStyle w:val="36"/>
              <w:rFonts w:ascii="Arial" w:hAnsi="Arial" w:eastAsia="微软雅黑" w:cs="Arial"/>
            </w:rPr>
            <w:t>4.3.2.交易明细</w:t>
          </w:r>
          <w:r>
            <w:tab/>
          </w:r>
          <w:r>
            <w:fldChar w:fldCharType="begin"/>
          </w:r>
          <w:r>
            <w:instrText xml:space="preserve"> PAGEREF _Toc202797570 \h </w:instrText>
          </w:r>
          <w:r>
            <w:fldChar w:fldCharType="separate"/>
          </w:r>
          <w:r>
            <w:t>21</w:t>
          </w:r>
          <w:r>
            <w:fldChar w:fldCharType="end"/>
          </w:r>
          <w:r>
            <w:rPr>
              <w:rStyle w:val="36"/>
            </w:rPr>
            <w:fldChar w:fldCharType="end"/>
          </w:r>
        </w:p>
        <w:p w14:paraId="0BDCCF8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"_Toc202797571"</w:instrText>
          </w:r>
          <w:r>
            <w:rPr>
              <w:rStyle w:val="36"/>
            </w:rPr>
            <w:instrText xml:space="preserve"> </w:instrText>
          </w:r>
          <w:r>
            <w:rPr>
              <w:rStyle w:val="36"/>
            </w:rPr>
            <w:fldChar w:fldCharType="separate"/>
          </w:r>
          <w:r>
            <w:rPr>
              <w:rStyle w:val="36"/>
              <w:rFonts w:ascii="Arial" w:hAnsi="Arial" w:eastAsia="微软雅黑" w:cs="Arial"/>
            </w:rPr>
            <w:t>4.3.3.交易定价政策</w:t>
          </w:r>
          <w:r>
            <w:tab/>
          </w:r>
          <w:r>
            <w:fldChar w:fldCharType="begin"/>
          </w:r>
          <w:r>
            <w:instrText xml:space="preserve"> PAGEREF _Toc202797571 \h </w:instrText>
          </w:r>
          <w:r>
            <w:fldChar w:fldCharType="separate"/>
          </w:r>
          <w:r>
            <w:t>22</w:t>
          </w:r>
          <w:r>
            <w:fldChar w:fldCharType="end"/>
          </w:r>
          <w:r>
            <w:rPr>
              <w:rStyle w:val="36"/>
            </w:rPr>
            <w:fldChar w:fldCharType="end"/>
          </w:r>
        </w:p>
        <w:p w14:paraId="31112B6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"_Toc202797572"</w:instrText>
          </w:r>
          <w:r>
            <w:rPr>
              <w:rStyle w:val="36"/>
            </w:rPr>
            <w:instrText xml:space="preserve"> </w:instrText>
          </w:r>
          <w:r>
            <w:rPr>
              <w:rStyle w:val="36"/>
            </w:rPr>
            <w:fldChar w:fldCharType="separate"/>
          </w:r>
          <w:r>
            <w:rPr>
              <w:rStyle w:val="36"/>
              <w:rFonts w:ascii="Arial" w:hAnsi="Arial" w:eastAsia="微软雅黑" w:cs="Arial"/>
            </w:rPr>
            <w:t>4.4.关联劳务</w:t>
          </w:r>
          <w:r>
            <w:tab/>
          </w:r>
          <w:r>
            <w:fldChar w:fldCharType="begin"/>
          </w:r>
          <w:r>
            <w:instrText xml:space="preserve"> PAGEREF _Toc202797572 \h </w:instrText>
          </w:r>
          <w:r>
            <w:fldChar w:fldCharType="separate"/>
          </w:r>
          <w:r>
            <w:t>22</w:t>
          </w:r>
          <w:r>
            <w:fldChar w:fldCharType="end"/>
          </w:r>
          <w:r>
            <w:rPr>
              <w:rStyle w:val="36"/>
            </w:rPr>
            <w:fldChar w:fldCharType="end"/>
          </w:r>
        </w:p>
        <w:p w14:paraId="7ABA05D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"_Toc202797573"</w:instrText>
          </w:r>
          <w:r>
            <w:rPr>
              <w:rStyle w:val="36"/>
            </w:rPr>
            <w:instrText xml:space="preserve"> </w:instrText>
          </w:r>
          <w:r>
            <w:rPr>
              <w:rStyle w:val="36"/>
            </w:rPr>
            <w:fldChar w:fldCharType="separate"/>
          </w:r>
          <w:r>
            <w:rPr>
              <w:rStyle w:val="36"/>
              <w:rFonts w:ascii="Arial" w:hAnsi="Arial" w:eastAsia="微软雅黑" w:cs="Arial"/>
            </w:rPr>
            <w:t>4.4.1.交易流程</w:t>
          </w:r>
          <w:r>
            <w:tab/>
          </w:r>
          <w:r>
            <w:fldChar w:fldCharType="begin"/>
          </w:r>
          <w:r>
            <w:instrText xml:space="preserve"> PAGEREF _Toc202797573 \h </w:instrText>
          </w:r>
          <w:r>
            <w:fldChar w:fldCharType="separate"/>
          </w:r>
          <w:r>
            <w:t>22</w:t>
          </w:r>
          <w:r>
            <w:fldChar w:fldCharType="end"/>
          </w:r>
          <w:r>
            <w:rPr>
              <w:rStyle w:val="36"/>
            </w:rPr>
            <w:fldChar w:fldCharType="end"/>
          </w:r>
        </w:p>
        <w:p w14:paraId="4D7E447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"_Toc202797574"</w:instrText>
          </w:r>
          <w:r>
            <w:rPr>
              <w:rStyle w:val="36"/>
            </w:rPr>
            <w:instrText xml:space="preserve"> </w:instrText>
          </w:r>
          <w:r>
            <w:rPr>
              <w:rStyle w:val="36"/>
            </w:rPr>
            <w:fldChar w:fldCharType="separate"/>
          </w:r>
          <w:r>
            <w:rPr>
              <w:rStyle w:val="36"/>
              <w:rFonts w:ascii="Arial" w:hAnsi="Arial" w:eastAsia="微软雅黑" w:cs="Arial"/>
            </w:rPr>
            <w:t>4.4.2.交易明细</w:t>
          </w:r>
          <w:r>
            <w:tab/>
          </w:r>
          <w:r>
            <w:fldChar w:fldCharType="begin"/>
          </w:r>
          <w:r>
            <w:instrText xml:space="preserve"> PAGEREF _Toc202797574 \h </w:instrText>
          </w:r>
          <w:r>
            <w:fldChar w:fldCharType="separate"/>
          </w:r>
          <w:r>
            <w:t>23</w:t>
          </w:r>
          <w:r>
            <w:fldChar w:fldCharType="end"/>
          </w:r>
          <w:r>
            <w:rPr>
              <w:rStyle w:val="36"/>
            </w:rPr>
            <w:fldChar w:fldCharType="end"/>
          </w:r>
        </w:p>
        <w:p w14:paraId="0015A11D">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"_Toc202797575"</w:instrText>
          </w:r>
          <w:r>
            <w:rPr>
              <w:rStyle w:val="36"/>
            </w:rPr>
            <w:instrText xml:space="preserve"> </w:instrText>
          </w:r>
          <w:r>
            <w:rPr>
              <w:rStyle w:val="36"/>
            </w:rPr>
            <w:fldChar w:fldCharType="separate"/>
          </w:r>
          <w:r>
            <w:rPr>
              <w:rStyle w:val="36"/>
              <w:rFonts w:ascii="Arial" w:hAnsi="Arial" w:eastAsia="微软雅黑" w:cs="Arial"/>
            </w:rPr>
            <w:t>4.4.3.服务接受的受益性分析</w:t>
          </w:r>
          <w:r>
            <w:tab/>
          </w:r>
          <w:r>
            <w:fldChar w:fldCharType="begin"/>
          </w:r>
          <w:r>
            <w:instrText xml:space="preserve"> PAGEREF _Toc202797575 \h </w:instrText>
          </w:r>
          <w:r>
            <w:fldChar w:fldCharType="separate"/>
          </w:r>
          <w:r>
            <w:t>23</w:t>
          </w:r>
          <w:r>
            <w:fldChar w:fldCharType="end"/>
          </w:r>
          <w:r>
            <w:rPr>
              <w:rStyle w:val="36"/>
            </w:rPr>
            <w:fldChar w:fldCharType="end"/>
          </w:r>
        </w:p>
        <w:p w14:paraId="58D29021">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"_Toc202797576"</w:instrText>
          </w:r>
          <w:r>
            <w:rPr>
              <w:rStyle w:val="36"/>
            </w:rPr>
            <w:instrText xml:space="preserve"> </w:instrText>
          </w:r>
          <w:r>
            <w:rPr>
              <w:rStyle w:val="36"/>
            </w:rPr>
            <w:fldChar w:fldCharType="separate"/>
          </w:r>
          <w:r>
            <w:rPr>
              <w:rStyle w:val="36"/>
              <w:rFonts w:ascii="Arial" w:hAnsi="Arial" w:eastAsia="微软雅黑" w:cs="Arial"/>
            </w:rPr>
            <w:t>4.4.4.交易定价政策</w:t>
          </w:r>
          <w:r>
            <w:tab/>
          </w:r>
          <w:r>
            <w:fldChar w:fldCharType="begin"/>
          </w:r>
          <w:r>
            <w:instrText xml:space="preserve"> PAGEREF _Toc202797576 \h </w:instrText>
          </w:r>
          <w:r>
            <w:fldChar w:fldCharType="separate"/>
          </w:r>
          <w:r>
            <w:t>25</w:t>
          </w:r>
          <w:r>
            <w:fldChar w:fldCharType="end"/>
          </w:r>
          <w:r>
            <w:rPr>
              <w:rStyle w:val="36"/>
            </w:rPr>
            <w:fldChar w:fldCharType="end"/>
          </w:r>
        </w:p>
        <w:p w14:paraId="20F01D7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"_Toc202797577"</w:instrText>
          </w:r>
          <w:r>
            <w:rPr>
              <w:rStyle w:val="36"/>
            </w:rPr>
            <w:instrText xml:space="preserve"> </w:instrText>
          </w:r>
          <w:r>
            <w:rPr>
              <w:rStyle w:val="36"/>
            </w:rPr>
            <w:fldChar w:fldCharType="separate"/>
          </w:r>
          <w:r>
            <w:rPr>
              <w:rStyle w:val="36"/>
              <w:rFonts w:ascii="Arial" w:hAnsi="Arial" w:eastAsia="微软雅黑" w:cs="Arial"/>
            </w:rPr>
            <w:t>4.5.关联借贷</w:t>
          </w:r>
          <w:r>
            <w:tab/>
          </w:r>
          <w:r>
            <w:fldChar w:fldCharType="begin"/>
          </w:r>
          <w:r>
            <w:instrText xml:space="preserve"> PAGEREF _Toc202797577 \h </w:instrText>
          </w:r>
          <w:r>
            <w:fldChar w:fldCharType="separate"/>
          </w:r>
          <w:r>
            <w:t>26</w:t>
          </w:r>
          <w:r>
            <w:fldChar w:fldCharType="end"/>
          </w:r>
          <w:r>
            <w:rPr>
              <w:rStyle w:val="36"/>
            </w:rPr>
            <w:fldChar w:fldCharType="end"/>
          </w:r>
        </w:p>
        <w:p w14:paraId="36A7B07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"_Toc202797578"</w:instrText>
          </w:r>
          <w:r>
            <w:rPr>
              <w:rStyle w:val="36"/>
            </w:rPr>
            <w:instrText xml:space="preserve"> </w:instrText>
          </w:r>
          <w:r>
            <w:rPr>
              <w:rStyle w:val="36"/>
            </w:rPr>
            <w:fldChar w:fldCharType="separate"/>
          </w:r>
          <w:r>
            <w:rPr>
              <w:rStyle w:val="36"/>
              <w:rFonts w:ascii="Arial" w:hAnsi="Arial" w:eastAsia="微软雅黑" w:cs="Arial"/>
            </w:rPr>
            <w:t>4.6.关联交易合同及执行汇总</w:t>
          </w:r>
          <w:r>
            <w:tab/>
          </w:r>
          <w:r>
            <w:fldChar w:fldCharType="begin"/>
          </w:r>
          <w:r>
            <w:instrText xml:space="preserve"> PAGEREF _Toc202797578 \h </w:instrText>
          </w:r>
          <w:r>
            <w:fldChar w:fldCharType="separate"/>
          </w:r>
          <w:r>
            <w:t>26</w:t>
          </w:r>
          <w:r>
            <w:fldChar w:fldCharType="end"/>
          </w:r>
          <w:r>
            <w:rPr>
              <w:rStyle w:val="36"/>
            </w:rPr>
            <w:fldChar w:fldCharType="end"/>
          </w:r>
        </w:p>
        <w:p w14:paraId="5A2A2C6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"_Toc202797579"</w:instrText>
          </w:r>
          <w:r>
            <w:rPr>
              <w:rStyle w:val="36"/>
            </w:rPr>
            <w:instrText xml:space="preserve"> </w:instrText>
          </w:r>
          <w:r>
            <w:rPr>
              <w:rStyle w:val="36"/>
            </w:rPr>
            <w:fldChar w:fldCharType="separate"/>
          </w:r>
          <w:r>
            <w:rPr>
              <w:rStyle w:val="36"/>
              <w:rFonts w:ascii="Arial" w:hAnsi="Arial" w:eastAsia="微软雅黑" w:cs="Arial"/>
            </w:rPr>
            <w:t>4.7.与企业关联交易直接相关的预约定价安排和其他税收裁定</w:t>
          </w:r>
          <w:r>
            <w:tab/>
          </w:r>
          <w:r>
            <w:fldChar w:fldCharType="begin"/>
          </w:r>
          <w:r>
            <w:instrText xml:space="preserve"> PAGEREF _Toc202797579 \h </w:instrText>
          </w:r>
          <w:r>
            <w:fldChar w:fldCharType="separate"/>
          </w:r>
          <w:r>
            <w:t>26</w:t>
          </w:r>
          <w:r>
            <w:fldChar w:fldCharType="end"/>
          </w:r>
          <w:r>
            <w:rPr>
              <w:rStyle w:val="36"/>
            </w:rPr>
            <w:fldChar w:fldCharType="end"/>
          </w:r>
        </w:p>
        <w:p w14:paraId="1EF5934E">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"_Toc202797580"</w:instrText>
          </w:r>
          <w:r>
            <w:rPr>
              <w:rStyle w:val="36"/>
            </w:rPr>
            <w:instrText xml:space="preserve"> </w:instrText>
          </w:r>
          <w:r>
            <w:rPr>
              <w:rStyle w:val="36"/>
            </w:rPr>
            <w:fldChar w:fldCharType="separate"/>
          </w:r>
          <w:r>
            <w:rPr>
              <w:rStyle w:val="36"/>
              <w:rFonts w:ascii="Arial" w:hAnsi="Arial" w:eastAsia="微软雅黑" w:cs="Arial"/>
            </w:rPr>
            <w:t>4.8.关联交易财务状况</w:t>
          </w:r>
          <w:r>
            <w:tab/>
          </w:r>
          <w:r>
            <w:fldChar w:fldCharType="begin"/>
          </w:r>
          <w:r>
            <w:instrText xml:space="preserve"> PAGEREF _Toc202797580 \h </w:instrText>
          </w:r>
          <w:r>
            <w:fldChar w:fldCharType="separate"/>
          </w:r>
          <w:r>
            <w:t>26</w:t>
          </w:r>
          <w:r>
            <w:fldChar w:fldCharType="end"/>
          </w:r>
          <w:r>
            <w:rPr>
              <w:rStyle w:val="36"/>
            </w:rPr>
            <w:fldChar w:fldCharType="end"/>
          </w:r>
        </w:p>
        <w:p w14:paraId="4E20D9C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"_Toc202797581"</w:instrText>
          </w:r>
          <w:r>
            <w:rPr>
              <w:rStyle w:val="36"/>
            </w:rPr>
            <w:instrText xml:space="preserve"> </w:instrText>
          </w:r>
          <w:r>
            <w:rPr>
              <w:rStyle w:val="36"/>
            </w:rPr>
            <w:fldChar w:fldCharType="separate"/>
          </w:r>
          <w:r>
            <w:rPr>
              <w:rStyle w:val="36"/>
              <w:rFonts w:ascii="Arial" w:hAnsi="Arial" w:eastAsia="微软雅黑" w:cs="Arial"/>
            </w:rPr>
            <w:t>4.9.小结</w:t>
          </w:r>
          <w:r>
            <w:tab/>
          </w:r>
          <w:r>
            <w:fldChar w:fldCharType="begin"/>
          </w:r>
          <w:r>
            <w:instrText xml:space="preserve"> PAGEREF _Toc202797581 \h </w:instrText>
          </w:r>
          <w:r>
            <w:fldChar w:fldCharType="separate"/>
          </w:r>
          <w:r>
            <w:t>26</w:t>
          </w:r>
          <w:r>
            <w:fldChar w:fldCharType="end"/>
          </w:r>
          <w:r>
            <w:rPr>
              <w:rStyle w:val="36"/>
            </w:rPr>
            <w:fldChar w:fldCharType="end"/>
          </w:r>
        </w:p>
        <w:p w14:paraId="5D50455E">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"_Toc202797582"</w:instrText>
          </w:r>
          <w:r>
            <w:rPr>
              <w:rStyle w:val="36"/>
            </w:rPr>
            <w:instrText xml:space="preserve"> </w:instrText>
          </w:r>
          <w:r>
            <w:rPr>
              <w:rStyle w:val="36"/>
            </w:rPr>
            <w:fldChar w:fldCharType="separate"/>
          </w:r>
          <w:r>
            <w:rPr>
              <w:rStyle w:val="36"/>
              <w:rFonts w:ascii="Arial" w:hAnsi="Arial" w:eastAsia="微软雅黑" w:cs="Arial"/>
            </w:rPr>
            <w:t>5.功能和风险分析</w:t>
          </w:r>
          <w:r>
            <w:tab/>
          </w:r>
          <w:r>
            <w:fldChar w:fldCharType="begin"/>
          </w:r>
          <w:r>
            <w:instrText xml:space="preserve"> PAGEREF _Toc202797582 \h </w:instrText>
          </w:r>
          <w:r>
            <w:fldChar w:fldCharType="separate"/>
          </w:r>
          <w:r>
            <w:t>28</w:t>
          </w:r>
          <w:r>
            <w:fldChar w:fldCharType="end"/>
          </w:r>
          <w:r>
            <w:rPr>
              <w:rStyle w:val="36"/>
            </w:rPr>
            <w:fldChar w:fldCharType="end"/>
          </w:r>
        </w:p>
        <w:p w14:paraId="6B82145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"_Toc202797583"</w:instrText>
          </w:r>
          <w:r>
            <w:rPr>
              <w:rStyle w:val="36"/>
            </w:rPr>
            <w:instrText xml:space="preserve"> </w:instrText>
          </w:r>
          <w:r>
            <w:rPr>
              <w:rStyle w:val="36"/>
            </w:rPr>
            <w:fldChar w:fldCharType="separate"/>
          </w:r>
          <w:r>
            <w:rPr>
              <w:rStyle w:val="36"/>
              <w:rFonts w:ascii="Arial" w:hAnsi="Arial" w:eastAsia="微软雅黑" w:cs="Arial"/>
            </w:rPr>
            <w:t>5.1.简介</w:t>
          </w:r>
          <w:r>
            <w:tab/>
          </w:r>
          <w:r>
            <w:fldChar w:fldCharType="begin"/>
          </w:r>
          <w:r>
            <w:instrText xml:space="preserve"> PAGEREF _Toc202797583 \h </w:instrText>
          </w:r>
          <w:r>
            <w:fldChar w:fldCharType="separate"/>
          </w:r>
          <w:r>
            <w:t>28</w:t>
          </w:r>
          <w:r>
            <w:fldChar w:fldCharType="end"/>
          </w:r>
          <w:r>
            <w:rPr>
              <w:rStyle w:val="36"/>
            </w:rPr>
            <w:fldChar w:fldCharType="end"/>
          </w:r>
        </w:p>
        <w:p w14:paraId="78525A36">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"_Toc202797584"</w:instrText>
          </w:r>
          <w:r>
            <w:rPr>
              <w:rStyle w:val="36"/>
            </w:rPr>
            <w:instrText xml:space="preserve"> </w:instrText>
          </w:r>
          <w:r>
            <w:rPr>
              <w:rStyle w:val="36"/>
            </w:rPr>
            <w:fldChar w:fldCharType="separate"/>
          </w:r>
          <w:r>
            <w:rPr>
              <w:rStyle w:val="36"/>
              <w:rFonts w:ascii="Arial" w:hAnsi="Arial" w:eastAsia="微软雅黑" w:cs="Arial"/>
            </w:rPr>
            <w:t>5.2.功能及风险分析</w:t>
          </w:r>
          <w:r>
            <w:tab/>
          </w:r>
          <w:r>
            <w:fldChar w:fldCharType="begin"/>
          </w:r>
          <w:r>
            <w:instrText xml:space="preserve"> PAGEREF _Toc202797584 \h </w:instrText>
          </w:r>
          <w:r>
            <w:fldChar w:fldCharType="separate"/>
          </w:r>
          <w:r>
            <w:t>28</w:t>
          </w:r>
          <w:r>
            <w:fldChar w:fldCharType="end"/>
          </w:r>
          <w:r>
            <w:rPr>
              <w:rStyle w:val="36"/>
            </w:rPr>
            <w:fldChar w:fldCharType="end"/>
          </w:r>
        </w:p>
        <w:p w14:paraId="0A5BD45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"_Toc202797585"</w:instrText>
          </w:r>
          <w:r>
            <w:rPr>
              <w:rStyle w:val="36"/>
            </w:rPr>
            <w:instrText xml:space="preserve"> </w:instrText>
          </w:r>
          <w:r>
            <w:rPr>
              <w:rStyle w:val="36"/>
            </w:rPr>
            <w:fldChar w:fldCharType="separate"/>
          </w:r>
          <w:r>
            <w:rPr>
              <w:rStyle w:val="36"/>
              <w:rFonts w:ascii="Arial" w:hAnsi="Arial" w:eastAsia="微软雅黑" w:cs="Arial"/>
            </w:rPr>
            <w:t>5.2.1.功能分析</w:t>
          </w:r>
          <w:r>
            <w:tab/>
          </w:r>
          <w:r>
            <w:fldChar w:fldCharType="begin"/>
          </w:r>
          <w:r>
            <w:instrText xml:space="preserve"> PAGEREF _Toc202797585 \h </w:instrText>
          </w:r>
          <w:r>
            <w:fldChar w:fldCharType="separate"/>
          </w:r>
          <w:r>
            <w:t>28</w:t>
          </w:r>
          <w:r>
            <w:fldChar w:fldCharType="end"/>
          </w:r>
          <w:r>
            <w:rPr>
              <w:rStyle w:val="36"/>
            </w:rPr>
            <w:fldChar w:fldCharType="end"/>
          </w:r>
        </w:p>
        <w:p w14:paraId="7FECBCED">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"_Toc202797586"</w:instrText>
          </w:r>
          <w:r>
            <w:rPr>
              <w:rStyle w:val="36"/>
            </w:rPr>
            <w:instrText xml:space="preserve"> </w:instrText>
          </w:r>
          <w:r>
            <w:rPr>
              <w:rStyle w:val="36"/>
            </w:rPr>
            <w:fldChar w:fldCharType="separate"/>
          </w:r>
          <w:r>
            <w:rPr>
              <w:rStyle w:val="36"/>
              <w:rFonts w:ascii="Arial" w:hAnsi="Arial" w:eastAsia="微软雅黑" w:cs="Arial"/>
            </w:rPr>
            <w:t>5.2.2.风险分析</w:t>
          </w:r>
          <w:r>
            <w:tab/>
          </w:r>
          <w:r>
            <w:fldChar w:fldCharType="begin"/>
          </w:r>
          <w:r>
            <w:instrText xml:space="preserve"> PAGEREF _Toc202797586 \h </w:instrText>
          </w:r>
          <w:r>
            <w:fldChar w:fldCharType="separate"/>
          </w:r>
          <w:r>
            <w:t>31</w:t>
          </w:r>
          <w:r>
            <w:fldChar w:fldCharType="end"/>
          </w:r>
          <w:r>
            <w:rPr>
              <w:rStyle w:val="36"/>
            </w:rPr>
            <w:fldChar w:fldCharType="end"/>
          </w:r>
        </w:p>
        <w:p w14:paraId="3818D55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"_Toc202797587"</w:instrText>
          </w:r>
          <w:r>
            <w:rPr>
              <w:rStyle w:val="36"/>
            </w:rPr>
            <w:instrText xml:space="preserve"> </w:instrText>
          </w:r>
          <w:r>
            <w:rPr>
              <w:rStyle w:val="36"/>
            </w:rPr>
            <w:fldChar w:fldCharType="separate"/>
          </w:r>
          <w:r>
            <w:rPr>
              <w:rStyle w:val="36"/>
              <w:rFonts w:ascii="Arial" w:hAnsi="Arial" w:eastAsia="微软雅黑" w:cs="Arial"/>
            </w:rPr>
            <w:t>5.3.资产分析</w:t>
          </w:r>
          <w:r>
            <w:tab/>
          </w:r>
          <w:r>
            <w:fldChar w:fldCharType="begin"/>
          </w:r>
          <w:r>
            <w:instrText xml:space="preserve"> PAGEREF _Toc202797587 \h </w:instrText>
          </w:r>
          <w:r>
            <w:fldChar w:fldCharType="separate"/>
          </w:r>
          <w:r>
            <w:t>33</w:t>
          </w:r>
          <w:r>
            <w:fldChar w:fldCharType="end"/>
          </w:r>
          <w:r>
            <w:rPr>
              <w:rStyle w:val="36"/>
            </w:rPr>
            <w:fldChar w:fldCharType="end"/>
          </w:r>
        </w:p>
        <w:p w14:paraId="2BBC832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"_Toc202797588"</w:instrText>
          </w:r>
          <w:r>
            <w:rPr>
              <w:rStyle w:val="36"/>
            </w:rPr>
            <w:instrText xml:space="preserve"> </w:instrText>
          </w:r>
          <w:r>
            <w:rPr>
              <w:rStyle w:val="36"/>
            </w:rPr>
            <w:fldChar w:fldCharType="separate"/>
          </w:r>
          <w:r>
            <w:rPr>
              <w:rStyle w:val="36"/>
              <w:rFonts w:ascii="Arial" w:hAnsi="Arial" w:eastAsia="微软雅黑" w:cs="Arial"/>
            </w:rPr>
            <w:t>5.3.1.有形资产</w:t>
          </w:r>
          <w:r>
            <w:tab/>
          </w:r>
          <w:r>
            <w:fldChar w:fldCharType="begin"/>
          </w:r>
          <w:r>
            <w:instrText xml:space="preserve"> PAGEREF _Toc202797588 \h </w:instrText>
          </w:r>
          <w:r>
            <w:fldChar w:fldCharType="separate"/>
          </w:r>
          <w:r>
            <w:t>33</w:t>
          </w:r>
          <w:r>
            <w:fldChar w:fldCharType="end"/>
          </w:r>
          <w:r>
            <w:rPr>
              <w:rStyle w:val="36"/>
            </w:rPr>
            <w:fldChar w:fldCharType="end"/>
          </w:r>
        </w:p>
        <w:p w14:paraId="79FF68BE">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"_Toc202797589"</w:instrText>
          </w:r>
          <w:r>
            <w:rPr>
              <w:rStyle w:val="36"/>
            </w:rPr>
            <w:instrText xml:space="preserve"> </w:instrText>
          </w:r>
          <w:r>
            <w:rPr>
              <w:rStyle w:val="36"/>
            </w:rPr>
            <w:fldChar w:fldCharType="separate"/>
          </w:r>
          <w:r>
            <w:rPr>
              <w:rStyle w:val="36"/>
              <w:rFonts w:ascii="Arial" w:hAnsi="Arial" w:eastAsia="微软雅黑" w:cs="Arial"/>
            </w:rPr>
            <w:t>5.3.2.无形资产</w:t>
          </w:r>
          <w:r>
            <w:tab/>
          </w:r>
          <w:r>
            <w:fldChar w:fldCharType="begin"/>
          </w:r>
          <w:r>
            <w:instrText xml:space="preserve"> PAGEREF _Toc202797589 \h </w:instrText>
          </w:r>
          <w:r>
            <w:fldChar w:fldCharType="separate"/>
          </w:r>
          <w:r>
            <w:t>34</w:t>
          </w:r>
          <w:r>
            <w:fldChar w:fldCharType="end"/>
          </w:r>
          <w:r>
            <w:rPr>
              <w:rStyle w:val="36"/>
            </w:rPr>
            <w:fldChar w:fldCharType="end"/>
          </w:r>
        </w:p>
        <w:p w14:paraId="56624678">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"_Toc202797590"</w:instrText>
          </w:r>
          <w:r>
            <w:rPr>
              <w:rStyle w:val="36"/>
            </w:rPr>
            <w:instrText xml:space="preserve"> </w:instrText>
          </w:r>
          <w:r>
            <w:rPr>
              <w:rStyle w:val="36"/>
            </w:rPr>
            <w:fldChar w:fldCharType="separate"/>
          </w:r>
          <w:r>
            <w:rPr>
              <w:rStyle w:val="36"/>
              <w:rFonts w:ascii="Arial" w:hAnsi="Arial" w:eastAsia="微软雅黑" w:cs="Arial"/>
            </w:rPr>
            <w:t>5.4.小结</w:t>
          </w:r>
          <w:r>
            <w:tab/>
          </w:r>
          <w:r>
            <w:fldChar w:fldCharType="begin"/>
          </w:r>
          <w:r>
            <w:instrText xml:space="preserve"> PAGEREF _Toc202797590 \h </w:instrText>
          </w:r>
          <w:r>
            <w:fldChar w:fldCharType="separate"/>
          </w:r>
          <w:r>
            <w:t>34</w:t>
          </w:r>
          <w:r>
            <w:fldChar w:fldCharType="end"/>
          </w:r>
          <w:r>
            <w:rPr>
              <w:rStyle w:val="36"/>
            </w:rPr>
            <w:fldChar w:fldCharType="end"/>
          </w:r>
        </w:p>
        <w:p w14:paraId="133656C4">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"_Toc202797591"</w:instrText>
          </w:r>
          <w:r>
            <w:rPr>
              <w:rStyle w:val="36"/>
            </w:rPr>
            <w:instrText xml:space="preserve"> </w:instrText>
          </w:r>
          <w:r>
            <w:rPr>
              <w:rStyle w:val="36"/>
            </w:rPr>
            <w:fldChar w:fldCharType="separate"/>
          </w:r>
          <w:r>
            <w:rPr>
              <w:rStyle w:val="36"/>
              <w:rFonts w:ascii="Arial" w:hAnsi="Arial" w:eastAsia="微软雅黑" w:cs="Arial"/>
            </w:rPr>
            <w:t>6.价值链分析</w:t>
          </w:r>
          <w:r>
            <w:tab/>
          </w:r>
          <w:r>
            <w:fldChar w:fldCharType="begin"/>
          </w:r>
          <w:r>
            <w:instrText xml:space="preserve"> PAGEREF _Toc202797591 \h </w:instrText>
          </w:r>
          <w:r>
            <w:fldChar w:fldCharType="separate"/>
          </w:r>
          <w:r>
            <w:t>36</w:t>
          </w:r>
          <w:r>
            <w:fldChar w:fldCharType="end"/>
          </w:r>
          <w:r>
            <w:rPr>
              <w:rStyle w:val="36"/>
            </w:rPr>
            <w:fldChar w:fldCharType="end"/>
          </w:r>
        </w:p>
        <w:p w14:paraId="26AB69A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"_Toc202797592"</w:instrText>
          </w:r>
          <w:r>
            <w:rPr>
              <w:rStyle w:val="36"/>
            </w:rPr>
            <w:instrText xml:space="preserve"> </w:instrText>
          </w:r>
          <w:r>
            <w:rPr>
              <w:rStyle w:val="36"/>
            </w:rPr>
            <w:fldChar w:fldCharType="separate"/>
          </w:r>
          <w:r>
            <w:rPr>
              <w:rStyle w:val="36"/>
              <w:rFonts w:ascii="Arial" w:hAnsi="Arial" w:eastAsia="微软雅黑" w:cs="Arial"/>
            </w:rPr>
            <w:t>6.1.确定关键价值驱动因素</w:t>
          </w:r>
          <w:r>
            <w:tab/>
          </w:r>
          <w:r>
            <w:fldChar w:fldCharType="begin"/>
          </w:r>
          <w:r>
            <w:instrText xml:space="preserve"> PAGEREF _Toc202797592 \h </w:instrText>
          </w:r>
          <w:r>
            <w:fldChar w:fldCharType="separate"/>
          </w:r>
          <w:r>
            <w:t>36</w:t>
          </w:r>
          <w:r>
            <w:fldChar w:fldCharType="end"/>
          </w:r>
          <w:r>
            <w:rPr>
              <w:rStyle w:val="36"/>
            </w:rPr>
            <w:fldChar w:fldCharType="end"/>
          </w:r>
        </w:p>
        <w:p w14:paraId="190029D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"_Toc202797593"</w:instrText>
          </w:r>
          <w:r>
            <w:rPr>
              <w:rStyle w:val="36"/>
            </w:rPr>
            <w:instrText xml:space="preserve"> </w:instrText>
          </w:r>
          <w:r>
            <w:rPr>
              <w:rStyle w:val="36"/>
            </w:rPr>
            <w:fldChar w:fldCharType="separate"/>
          </w:r>
          <w:r>
            <w:rPr>
              <w:rStyle w:val="36"/>
              <w:rFonts w:ascii="Arial" w:hAnsi="Arial" w:eastAsia="微软雅黑" w:cs="Arial"/>
            </w:rPr>
            <w:t>6.2.集团价值链</w:t>
          </w:r>
          <w:r>
            <w:tab/>
          </w:r>
          <w:r>
            <w:fldChar w:fldCharType="begin"/>
          </w:r>
          <w:r>
            <w:instrText xml:space="preserve"> PAGEREF _Toc202797593 \h </w:instrText>
          </w:r>
          <w:r>
            <w:fldChar w:fldCharType="separate"/>
          </w:r>
          <w:r>
            <w:t>37</w:t>
          </w:r>
          <w:r>
            <w:fldChar w:fldCharType="end"/>
          </w:r>
          <w:r>
            <w:rPr>
              <w:rStyle w:val="36"/>
            </w:rPr>
            <w:fldChar w:fldCharType="end"/>
          </w:r>
        </w:p>
        <w:p w14:paraId="36511915">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"_Toc202797594"</w:instrText>
          </w:r>
          <w:r>
            <w:rPr>
              <w:rStyle w:val="36"/>
            </w:rPr>
            <w:instrText xml:space="preserve"> </w:instrText>
          </w:r>
          <w:r>
            <w:rPr>
              <w:rStyle w:val="36"/>
            </w:rPr>
            <w:fldChar w:fldCharType="separate"/>
          </w:r>
          <w:r>
            <w:rPr>
              <w:rStyle w:val="36"/>
              <w:rFonts w:ascii="Arial" w:hAnsi="Arial" w:eastAsia="微软雅黑" w:cs="Arial"/>
            </w:rPr>
            <w:t>6.3.交易定价影响要素</w:t>
          </w:r>
          <w:r>
            <w:tab/>
          </w:r>
          <w:r>
            <w:fldChar w:fldCharType="begin"/>
          </w:r>
          <w:r>
            <w:instrText xml:space="preserve"> PAGEREF _Toc202797594 \h </w:instrText>
          </w:r>
          <w:r>
            <w:fldChar w:fldCharType="separate"/>
          </w:r>
          <w:r>
            <w:t>38</w:t>
          </w:r>
          <w:r>
            <w:fldChar w:fldCharType="end"/>
          </w:r>
          <w:r>
            <w:rPr>
              <w:rStyle w:val="36"/>
            </w:rPr>
            <w:fldChar w:fldCharType="end"/>
          </w:r>
        </w:p>
        <w:p w14:paraId="603C1285">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"_Toc202797595"</w:instrText>
          </w:r>
          <w:r>
            <w:rPr>
              <w:rStyle w:val="36"/>
            </w:rPr>
            <w:instrText xml:space="preserve"> </w:instrText>
          </w:r>
          <w:r>
            <w:rPr>
              <w:rStyle w:val="36"/>
            </w:rPr>
            <w:fldChar w:fldCharType="separate"/>
          </w:r>
          <w:r>
            <w:rPr>
              <w:rStyle w:val="36"/>
              <w:rFonts w:ascii="Arial" w:hAnsi="Arial" w:eastAsia="微软雅黑" w:cs="Arial"/>
            </w:rPr>
            <w:t>6.3.1.地域成本节约</w:t>
          </w:r>
          <w:r>
            <w:tab/>
          </w:r>
          <w:r>
            <w:fldChar w:fldCharType="begin"/>
          </w:r>
          <w:r>
            <w:instrText xml:space="preserve"> PAGEREF _Toc202797595 \h </w:instrText>
          </w:r>
          <w:r>
            <w:fldChar w:fldCharType="separate"/>
          </w:r>
          <w:r>
            <w:t>38</w:t>
          </w:r>
          <w:r>
            <w:fldChar w:fldCharType="end"/>
          </w:r>
          <w:r>
            <w:rPr>
              <w:rStyle w:val="36"/>
            </w:rPr>
            <w:fldChar w:fldCharType="end"/>
          </w:r>
        </w:p>
        <w:p w14:paraId="7B9F54A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"_Toc202797596"</w:instrText>
          </w:r>
          <w:r>
            <w:rPr>
              <w:rStyle w:val="36"/>
            </w:rPr>
            <w:instrText xml:space="preserve"> </w:instrText>
          </w:r>
          <w:r>
            <w:rPr>
              <w:rStyle w:val="36"/>
            </w:rPr>
            <w:fldChar w:fldCharType="separate"/>
          </w:r>
          <w:r>
            <w:rPr>
              <w:rStyle w:val="36"/>
              <w:rFonts w:ascii="Arial" w:hAnsi="Arial" w:eastAsia="微软雅黑" w:cs="Arial"/>
            </w:rPr>
            <w:t>6.3.2.市场溢价</w:t>
          </w:r>
          <w:r>
            <w:tab/>
          </w:r>
          <w:r>
            <w:fldChar w:fldCharType="begin"/>
          </w:r>
          <w:r>
            <w:instrText xml:space="preserve"> PAGEREF _Toc202797596 \h </w:instrText>
          </w:r>
          <w:r>
            <w:fldChar w:fldCharType="separate"/>
          </w:r>
          <w:r>
            <w:t>41</w:t>
          </w:r>
          <w:r>
            <w:fldChar w:fldCharType="end"/>
          </w:r>
          <w:r>
            <w:rPr>
              <w:rStyle w:val="36"/>
            </w:rPr>
            <w:fldChar w:fldCharType="end"/>
          </w:r>
        </w:p>
        <w:p w14:paraId="2A7E75F0">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"_Toc202797597"</w:instrText>
          </w:r>
          <w:r>
            <w:rPr>
              <w:rStyle w:val="36"/>
            </w:rPr>
            <w:instrText xml:space="preserve"> </w:instrText>
          </w:r>
          <w:r>
            <w:rPr>
              <w:rStyle w:val="36"/>
            </w:rPr>
            <w:fldChar w:fldCharType="separate"/>
          </w:r>
          <w:r>
            <w:rPr>
              <w:rStyle w:val="36"/>
              <w:rFonts w:ascii="Arial" w:hAnsi="Arial" w:eastAsia="微软雅黑" w:cs="Arial"/>
            </w:rPr>
            <w:t>6.4.价值链各参与方财务报表</w:t>
          </w:r>
          <w:r>
            <w:tab/>
          </w:r>
          <w:r>
            <w:fldChar w:fldCharType="begin"/>
          </w:r>
          <w:r>
            <w:instrText xml:space="preserve"> PAGEREF _Toc202797597 \h </w:instrText>
          </w:r>
          <w:r>
            <w:fldChar w:fldCharType="separate"/>
          </w:r>
          <w:r>
            <w:t>41</w:t>
          </w:r>
          <w:r>
            <w:fldChar w:fldCharType="end"/>
          </w:r>
          <w:r>
            <w:rPr>
              <w:rStyle w:val="36"/>
            </w:rPr>
            <w:fldChar w:fldCharType="end"/>
          </w:r>
        </w:p>
        <w:p w14:paraId="507F3CBF">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"_Toc202797598"</w:instrText>
          </w:r>
          <w:r>
            <w:rPr>
              <w:rStyle w:val="36"/>
            </w:rPr>
            <w:instrText xml:space="preserve"> </w:instrText>
          </w:r>
          <w:r>
            <w:rPr>
              <w:rStyle w:val="36"/>
            </w:rPr>
            <w:fldChar w:fldCharType="separate"/>
          </w:r>
          <w:r>
            <w:rPr>
              <w:rStyle w:val="36"/>
              <w:rFonts w:ascii="Arial" w:hAnsi="Arial" w:eastAsia="微软雅黑" w:cs="Arial"/>
            </w:rPr>
            <w:t>7.可比性分析</w:t>
          </w:r>
          <w:r>
            <w:tab/>
          </w:r>
          <w:r>
            <w:fldChar w:fldCharType="begin"/>
          </w:r>
          <w:r>
            <w:instrText xml:space="preserve"> PAGEREF _Toc202797598 \h </w:instrText>
          </w:r>
          <w:r>
            <w:fldChar w:fldCharType="separate"/>
          </w:r>
          <w:r>
            <w:t>42</w:t>
          </w:r>
          <w:r>
            <w:fldChar w:fldCharType="end"/>
          </w:r>
          <w:r>
            <w:rPr>
              <w:rStyle w:val="36"/>
            </w:rPr>
            <w:fldChar w:fldCharType="end"/>
          </w:r>
        </w:p>
        <w:p w14:paraId="3C4A4CF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"_Toc202797599"</w:instrText>
          </w:r>
          <w:r>
            <w:rPr>
              <w:rStyle w:val="36"/>
            </w:rPr>
            <w:instrText xml:space="preserve"> </w:instrText>
          </w:r>
          <w:r>
            <w:rPr>
              <w:rStyle w:val="36"/>
            </w:rPr>
            <w:fldChar w:fldCharType="separate"/>
          </w:r>
          <w:r>
            <w:rPr>
              <w:rStyle w:val="36"/>
              <w:rFonts w:ascii="Arial" w:hAnsi="Arial" w:eastAsia="微软雅黑" w:cs="Arial"/>
            </w:rPr>
            <w:t>7.1.简介</w:t>
          </w:r>
          <w:r>
            <w:tab/>
          </w:r>
          <w:r>
            <w:fldChar w:fldCharType="begin"/>
          </w:r>
          <w:r>
            <w:instrText xml:space="preserve"> PAGEREF _Toc202797599 \h </w:instrText>
          </w:r>
          <w:r>
            <w:fldChar w:fldCharType="separate"/>
          </w:r>
          <w:r>
            <w:t>42</w:t>
          </w:r>
          <w:r>
            <w:fldChar w:fldCharType="end"/>
          </w:r>
          <w:r>
            <w:rPr>
              <w:rStyle w:val="36"/>
            </w:rPr>
            <w:fldChar w:fldCharType="end"/>
          </w:r>
        </w:p>
        <w:p w14:paraId="0976A66D">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"_Toc202797600"</w:instrText>
          </w:r>
          <w:r>
            <w:rPr>
              <w:rStyle w:val="36"/>
            </w:rPr>
            <w:instrText xml:space="preserve"> </w:instrText>
          </w:r>
          <w:r>
            <w:rPr>
              <w:rStyle w:val="36"/>
            </w:rPr>
            <w:fldChar w:fldCharType="separate"/>
          </w:r>
          <w:r>
            <w:rPr>
              <w:rStyle w:val="36"/>
              <w:rFonts w:ascii="Arial" w:hAnsi="Arial" w:eastAsia="微软雅黑" w:cs="Arial"/>
            </w:rPr>
            <w:t>7.2.转让定价方法的选择</w:t>
          </w:r>
          <w:r>
            <w:tab/>
          </w:r>
          <w:r>
            <w:fldChar w:fldCharType="begin"/>
          </w:r>
          <w:r>
            <w:instrText xml:space="preserve"> PAGEREF _Toc202797600 \h </w:instrText>
          </w:r>
          <w:r>
            <w:fldChar w:fldCharType="separate"/>
          </w:r>
          <w:r>
            <w:t>42</w:t>
          </w:r>
          <w:r>
            <w:fldChar w:fldCharType="end"/>
          </w:r>
          <w:r>
            <w:rPr>
              <w:rStyle w:val="36"/>
            </w:rPr>
            <w:fldChar w:fldCharType="end"/>
          </w:r>
        </w:p>
        <w:p w14:paraId="27DB5427">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"_Toc202797601"</w:instrText>
          </w:r>
          <w:r>
            <w:rPr>
              <w:rStyle w:val="36"/>
            </w:rPr>
            <w:instrText xml:space="preserve"> </w:instrText>
          </w:r>
          <w:r>
            <w:rPr>
              <w:rStyle w:val="36"/>
            </w:rPr>
            <w:fldChar w:fldCharType="separate"/>
          </w:r>
          <w:r>
            <w:rPr>
              <w:rStyle w:val="36"/>
              <w:rFonts w:ascii="Arial" w:hAnsi="Arial" w:eastAsia="微软雅黑" w:cs="Arial"/>
            </w:rPr>
            <w:t>7.3.验证对象的选择</w:t>
          </w:r>
          <w:r>
            <w:tab/>
          </w:r>
          <w:r>
            <w:fldChar w:fldCharType="begin"/>
          </w:r>
          <w:r>
            <w:instrText xml:space="preserve"> PAGEREF _Toc202797601 \h </w:instrText>
          </w:r>
          <w:r>
            <w:fldChar w:fldCharType="separate"/>
          </w:r>
          <w:r>
            <w:t>43</w:t>
          </w:r>
          <w:r>
            <w:fldChar w:fldCharType="end"/>
          </w:r>
          <w:r>
            <w:rPr>
              <w:rStyle w:val="36"/>
            </w:rPr>
            <w:fldChar w:fldCharType="end"/>
          </w:r>
        </w:p>
        <w:p w14:paraId="24382A9F">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"_Toc202797602"</w:instrText>
          </w:r>
          <w:r>
            <w:rPr>
              <w:rStyle w:val="36"/>
            </w:rPr>
            <w:instrText xml:space="preserve"> </w:instrText>
          </w:r>
          <w:r>
            <w:rPr>
              <w:rStyle w:val="36"/>
            </w:rPr>
            <w:fldChar w:fldCharType="separate"/>
          </w:r>
          <w:r>
            <w:rPr>
              <w:rStyle w:val="36"/>
              <w:rFonts w:ascii="Arial" w:hAnsi="Arial" w:eastAsia="微软雅黑" w:cs="Arial"/>
            </w:rPr>
            <w:t>7.4.转让定价方法的应用</w:t>
          </w:r>
          <w:r>
            <w:tab/>
          </w:r>
          <w:r>
            <w:fldChar w:fldCharType="begin"/>
          </w:r>
          <w:r>
            <w:instrText xml:space="preserve"> PAGEREF _Toc202797602 \h </w:instrText>
          </w:r>
          <w:r>
            <w:fldChar w:fldCharType="separate"/>
          </w:r>
          <w:r>
            <w:t>44</w:t>
          </w:r>
          <w:r>
            <w:fldChar w:fldCharType="end"/>
          </w:r>
          <w:r>
            <w:rPr>
              <w:rStyle w:val="36"/>
            </w:rPr>
            <w:fldChar w:fldCharType="end"/>
          </w:r>
        </w:p>
        <w:p w14:paraId="19C7D00F">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"_Toc202797603"</w:instrText>
          </w:r>
          <w:r>
            <w:rPr>
              <w:rStyle w:val="36"/>
            </w:rPr>
            <w:instrText xml:space="preserve"> </w:instrText>
          </w:r>
          <w:r>
            <w:rPr>
              <w:rStyle w:val="36"/>
            </w:rPr>
            <w:fldChar w:fldCharType="separate"/>
          </w:r>
          <w:r>
            <w:rPr>
              <w:rStyle w:val="36"/>
              <w:rFonts w:ascii="Arial" w:hAnsi="Arial" w:eastAsia="微软雅黑" w:cs="Arial"/>
            </w:rPr>
            <w:t>7.4.1.概述</w:t>
          </w:r>
          <w:r>
            <w:tab/>
          </w:r>
          <w:r>
            <w:fldChar w:fldCharType="begin"/>
          </w:r>
          <w:r>
            <w:instrText xml:space="preserve"> PAGEREF _Toc202797603 \h </w:instrText>
          </w:r>
          <w:r>
            <w:fldChar w:fldCharType="separate"/>
          </w:r>
          <w:r>
            <w:t>44</w:t>
          </w:r>
          <w:r>
            <w:fldChar w:fldCharType="end"/>
          </w:r>
          <w:r>
            <w:rPr>
              <w:rStyle w:val="36"/>
            </w:rPr>
            <w:fldChar w:fldCharType="end"/>
          </w:r>
        </w:p>
        <w:p w14:paraId="21858F11">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"_Toc202797604"</w:instrText>
          </w:r>
          <w:r>
            <w:rPr>
              <w:rStyle w:val="36"/>
            </w:rPr>
            <w:instrText xml:space="preserve"> </w:instrText>
          </w:r>
          <w:r>
            <w:rPr>
              <w:rStyle w:val="36"/>
            </w:rPr>
            <w:fldChar w:fldCharType="separate"/>
          </w:r>
          <w:r>
            <w:rPr>
              <w:rStyle w:val="36"/>
              <w:rFonts w:ascii="Arial" w:hAnsi="Arial" w:eastAsia="微软雅黑" w:cs="Arial"/>
            </w:rPr>
            <w:t>7.4.2.确定与受测关联交易相关的财务数据</w:t>
          </w:r>
          <w:r>
            <w:tab/>
          </w:r>
          <w:r>
            <w:fldChar w:fldCharType="begin"/>
          </w:r>
          <w:r>
            <w:instrText xml:space="preserve"> PAGEREF _Toc202797604 \h </w:instrText>
          </w:r>
          <w:r>
            <w:fldChar w:fldCharType="separate"/>
          </w:r>
          <w:r>
            <w:t>44</w:t>
          </w:r>
          <w:r>
            <w:fldChar w:fldCharType="end"/>
          </w:r>
          <w:r>
            <w:rPr>
              <w:rStyle w:val="36"/>
            </w:rPr>
            <w:fldChar w:fldCharType="end"/>
          </w:r>
        </w:p>
        <w:p w14:paraId="1BCE3AD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"_Toc202797605"</w:instrText>
          </w:r>
          <w:r>
            <w:rPr>
              <w:rStyle w:val="36"/>
            </w:rPr>
            <w:instrText xml:space="preserve"> </w:instrText>
          </w:r>
          <w:r>
            <w:rPr>
              <w:rStyle w:val="36"/>
            </w:rPr>
            <w:fldChar w:fldCharType="separate"/>
          </w:r>
          <w:r>
            <w:rPr>
              <w:rStyle w:val="36"/>
              <w:rFonts w:ascii="Arial" w:hAnsi="Arial" w:eastAsia="微软雅黑" w:cs="Arial"/>
            </w:rPr>
            <w:t>7.4.3.搜寻外部可比公司</w:t>
          </w:r>
          <w:r>
            <w:tab/>
          </w:r>
          <w:r>
            <w:fldChar w:fldCharType="begin"/>
          </w:r>
          <w:r>
            <w:instrText xml:space="preserve"> PAGEREF _Toc202797605 \h </w:instrText>
          </w:r>
          <w:r>
            <w:fldChar w:fldCharType="separate"/>
          </w:r>
          <w:r>
            <w:t>45</w:t>
          </w:r>
          <w:r>
            <w:fldChar w:fldCharType="end"/>
          </w:r>
          <w:r>
            <w:rPr>
              <w:rStyle w:val="36"/>
            </w:rPr>
            <w:fldChar w:fldCharType="end"/>
          </w:r>
        </w:p>
        <w:p w14:paraId="51B3543E">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"_Toc202797606"</w:instrText>
          </w:r>
          <w:r>
            <w:rPr>
              <w:rStyle w:val="36"/>
            </w:rPr>
            <w:instrText xml:space="preserve"> </w:instrText>
          </w:r>
          <w:r>
            <w:rPr>
              <w:rStyle w:val="36"/>
            </w:rPr>
            <w:fldChar w:fldCharType="separate"/>
          </w:r>
          <w:r>
            <w:rPr>
              <w:rStyle w:val="36"/>
              <w:rFonts w:ascii="Arial" w:hAnsi="Arial" w:eastAsia="微软雅黑" w:cs="Arial"/>
            </w:rPr>
            <w:t>7.4.4.可比公司利润水平</w:t>
          </w:r>
          <w:r>
            <w:tab/>
          </w:r>
          <w:r>
            <w:fldChar w:fldCharType="begin"/>
          </w:r>
          <w:r>
            <w:instrText xml:space="preserve"> PAGEREF _Toc202797606 \h </w:instrText>
          </w:r>
          <w:r>
            <w:fldChar w:fldCharType="separate"/>
          </w:r>
          <w:r>
            <w:t>48</w:t>
          </w:r>
          <w:r>
            <w:fldChar w:fldCharType="end"/>
          </w:r>
          <w:r>
            <w:rPr>
              <w:rStyle w:val="36"/>
            </w:rPr>
            <w:fldChar w:fldCharType="end"/>
          </w:r>
        </w:p>
        <w:p w14:paraId="67B3B313">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"_Toc202797607"</w:instrText>
          </w:r>
          <w:r>
            <w:rPr>
              <w:rStyle w:val="36"/>
            </w:rPr>
            <w:instrText xml:space="preserve"> </w:instrText>
          </w:r>
          <w:r>
            <w:rPr>
              <w:rStyle w:val="36"/>
            </w:rPr>
            <w:fldChar w:fldCharType="separate"/>
          </w:r>
          <w:r>
            <w:rPr>
              <w:rStyle w:val="36"/>
              <w:rFonts w:ascii="Arial" w:hAnsi="Arial" w:eastAsia="微软雅黑" w:cs="Arial"/>
            </w:rPr>
            <w:t>7.5.集团资金融通</w:t>
          </w:r>
          <w:r>
            <w:tab/>
          </w:r>
          <w:r>
            <w:fldChar w:fldCharType="begin"/>
          </w:r>
          <w:r>
            <w:instrText xml:space="preserve"> PAGEREF _Toc202797607 \h </w:instrText>
          </w:r>
          <w:r>
            <w:fldChar w:fldCharType="separate"/>
          </w:r>
          <w:r>
            <w:t>51</w:t>
          </w:r>
          <w:r>
            <w:fldChar w:fldCharType="end"/>
          </w:r>
          <w:r>
            <w:rPr>
              <w:rStyle w:val="36"/>
            </w:rPr>
            <w:fldChar w:fldCharType="end"/>
          </w:r>
        </w:p>
        <w:p w14:paraId="73E9D6F6">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"_Toc202797608"</w:instrText>
          </w:r>
          <w:r>
            <w:rPr>
              <w:rStyle w:val="36"/>
            </w:rPr>
            <w:instrText xml:space="preserve"> </w:instrText>
          </w:r>
          <w:r>
            <w:rPr>
              <w:rStyle w:val="36"/>
            </w:rPr>
            <w:fldChar w:fldCharType="separate"/>
          </w:r>
          <w:r>
            <w:rPr>
              <w:rStyle w:val="36"/>
              <w:rFonts w:ascii="Arial" w:hAnsi="Arial" w:eastAsia="微软雅黑" w:cs="Arial"/>
            </w:rPr>
            <w:t>8.结论</w:t>
          </w:r>
          <w:r>
            <w:tab/>
          </w:r>
          <w:r>
            <w:fldChar w:fldCharType="begin"/>
          </w:r>
          <w:r>
            <w:instrText xml:space="preserve"> PAGEREF _Toc202797608 \h </w:instrText>
          </w:r>
          <w:r>
            <w:fldChar w:fldCharType="separate"/>
          </w:r>
          <w:r>
            <w:t>53</w:t>
          </w:r>
          <w:r>
            <w:fldChar w:fldCharType="end"/>
          </w:r>
          <w:r>
            <w:rPr>
              <w:rStyle w:val="36"/>
            </w:rPr>
            <w:fldChar w:fldCharType="end"/>
          </w:r>
        </w:p>
        <w:p w14:paraId="6CE88D41">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"_Toc202797609"</w:instrText>
          </w:r>
          <w:r>
            <w:rPr>
              <w:rStyle w:val="36"/>
            </w:rPr>
            <w:instrText xml:space="preserve"> </w:instrText>
          </w:r>
          <w:r>
            <w:rPr>
              <w:rStyle w:val="36"/>
            </w:rPr>
            <w:fldChar w:fldCharType="separate"/>
          </w:r>
          <w:r>
            <w:rPr>
              <w:rStyle w:val="36"/>
              <w:rFonts w:ascii="Arial" w:hAnsi="Arial" w:eastAsia="微软雅黑" w:cs="Arial"/>
            </w:rPr>
            <w:t>附件列表</w:t>
          </w:r>
          <w:r>
            <w:tab/>
          </w:r>
          <w:r>
            <w:fldChar w:fldCharType="begin"/>
          </w:r>
          <w:r>
            <w:instrText xml:space="preserve"> PAGEREF _Toc202797609 \h </w:instrText>
          </w:r>
          <w:r>
            <w:fldChar w:fldCharType="separate"/>
          </w:r>
          <w:r>
            <w:t>54</w:t>
          </w:r>
          <w:r>
            <w:fldChar w:fldCharType="end"/>
          </w:r>
          <w:r>
            <w:rPr>
              <w:rStyle w:val="36"/>
            </w:rPr>
            <w:fldChar w:fldCharType="end"/>
          </w:r>
        </w:p>
        <w:p w14:paraId="307FFA6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"_Toc202797610"</w:instrText>
          </w:r>
          <w:r>
            <w:rPr>
              <w:rStyle w:val="36"/>
            </w:rPr>
            <w:instrText xml:space="preserve"> </w:instrText>
          </w:r>
          <w:r>
            <w:rPr>
              <w:rStyle w:val="36"/>
            </w:rPr>
            <w:fldChar w:fldCharType="separate"/>
          </w:r>
          <w:r>
            <w:rPr>
              <w:rStyle w:val="36"/>
              <w:rFonts w:ascii="Arial" w:hAnsi="Arial" w:eastAsia="微软雅黑" w:cs="Arial"/>
            </w:rPr>
            <w:t>附件1转让定价方法简介</w:t>
          </w:r>
          <w:r>
            <w:tab/>
          </w:r>
          <w:r>
            <w:fldChar w:fldCharType="begin"/>
          </w:r>
          <w:r>
            <w:instrText xml:space="preserve"> PAGEREF _Toc202797610 \h </w:instrText>
          </w:r>
          <w:r>
            <w:fldChar w:fldCharType="separate"/>
          </w:r>
          <w:r>
            <w:t>55</w:t>
          </w:r>
          <w:r>
            <w:fldChar w:fldCharType="end"/>
          </w:r>
          <w:r>
            <w:rPr>
              <w:rStyle w:val="36"/>
            </w:rPr>
            <w:fldChar w:fldCharType="end"/>
          </w:r>
        </w:p>
        <w:p w14:paraId="38B67B77">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"_Toc202797611"</w:instrText>
          </w:r>
          <w:r>
            <w:rPr>
              <w:rStyle w:val="36"/>
            </w:rPr>
            <w:instrText xml:space="preserve"> </w:instrText>
          </w:r>
          <w:r>
            <w:rPr>
              <w:rStyle w:val="36"/>
            </w:rPr>
            <w:fldChar w:fldCharType="separate"/>
          </w:r>
          <w:r>
            <w:rPr>
              <w:rStyle w:val="36"/>
              <w:rFonts w:ascii="Arial" w:hAnsi="Arial" w:eastAsia="微软雅黑" w:cs="Arial"/>
            </w:rPr>
            <w:t>附件2企业年度关联交易财务状况分析表</w:t>
          </w:r>
          <w:r>
            <w:tab/>
          </w:r>
          <w:r>
            <w:fldChar w:fldCharType="begin"/>
          </w:r>
          <w:r>
            <w:instrText xml:space="preserve"> PAGEREF _Toc202797611 \h </w:instrText>
          </w:r>
          <w:r>
            <w:fldChar w:fldCharType="separate"/>
          </w:r>
          <w:r>
            <w:t>58</w:t>
          </w:r>
          <w:r>
            <w:fldChar w:fldCharType="end"/>
          </w:r>
          <w:r>
            <w:rPr>
              <w:rStyle w:val="36"/>
            </w:rPr>
            <w:fldChar w:fldCharType="end"/>
          </w:r>
        </w:p>
        <w:p w14:paraId="4BAB5E98">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"_Toc202797612"</w:instrText>
          </w:r>
          <w:r>
            <w:rPr>
              <w:rStyle w:val="36"/>
            </w:rPr>
            <w:instrText xml:space="preserve"> </w:instrText>
          </w:r>
          <w:r>
            <w:rPr>
              <w:rStyle w:val="36"/>
            </w:rPr>
            <w:fldChar w:fldCharType="separate"/>
          </w:r>
          <w:r>
            <w:rPr>
              <w:rStyle w:val="36"/>
              <w:rFonts w:ascii="Arial" w:hAnsi="Arial" w:eastAsia="微软雅黑" w:cs="Arial"/>
            </w:rPr>
            <w:t>附件3可比公司业务描述</w:t>
          </w:r>
          <w:r>
            <w:tab/>
          </w:r>
          <w:r>
            <w:fldChar w:fldCharType="begin"/>
          </w:r>
          <w:r>
            <w:instrText xml:space="preserve"> PAGEREF _Toc202797612 \h </w:instrText>
          </w:r>
          <w:r>
            <w:fldChar w:fldCharType="separate"/>
          </w:r>
          <w:r>
            <w:t>60</w:t>
          </w:r>
          <w:r>
            <w:fldChar w:fldCharType="end"/>
          </w:r>
          <w:r>
            <w:rPr>
              <w:rStyle w:val="36"/>
            </w:rPr>
            <w:fldChar w:fldCharType="end"/>
          </w:r>
        </w:p>
        <w:p w14:paraId="0858C94F">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"_Toc202797613"</w:instrText>
          </w:r>
          <w:r>
            <w:rPr>
              <w:rStyle w:val="36"/>
            </w:rPr>
            <w:instrText xml:space="preserve"> </w:instrText>
          </w:r>
          <w:r>
            <w:rPr>
              <w:rStyle w:val="36"/>
            </w:rPr>
            <w:fldChar w:fldCharType="separate"/>
          </w:r>
          <w:r>
            <w:rPr>
              <w:rStyle w:val="36"/>
              <w:rFonts w:ascii="Arial" w:hAnsi="Arial" w:eastAsia="微软雅黑" w:cs="Arial"/>
            </w:rPr>
            <w:t>附件4可比公司财务信息</w:t>
          </w:r>
          <w:r>
            <w:tab/>
          </w:r>
          <w:r>
            <w:fldChar w:fldCharType="begin"/>
          </w:r>
          <w:r>
            <w:instrText xml:space="preserve"> PAGEREF _Toc202797613 \h </w:instrText>
          </w:r>
          <w:r>
            <w:fldChar w:fldCharType="separate"/>
          </w:r>
          <w:r>
            <w:t>62</w:t>
          </w:r>
          <w:r>
            <w:fldChar w:fldCharType="end"/>
          </w:r>
          <w:r>
            <w:rPr>
              <w:rStyle w:val="36"/>
            </w:rPr>
            <w:fldChar w:fldCharType="end"/>
          </w:r>
        </w:p>
        <w:p w14:paraId="48F233C1">
          <w:pPr>
            <w:adjustRightInd w:val="0"/>
            <w:snapToGrid w:val="0"/>
            <w:spacing w:before="0" w:after="0"/>
            <w:ind w:left="0" w:right="0"/>
            <w:rPr>
              <w:rFonts w:ascii="Arial" w:hAnsi="Arial" w:eastAsia="微软雅黑" w:cs="Arial"/>
              <w:b/>
              <w:bCs/>
              <w:lang w:val="zh-CN"/>
            </w:rPr>
          </w:pPr>
          <w:r>
            <w:rPr>
              <w:rFonts w:ascii="Arial" w:hAnsi="Arial" w:eastAsia="微软雅黑" w:cs="Arial"/>
              <w:b/>
              <w:bCs/>
              <w:sz w:val="21"/>
              <w:szCs w:val="21"/>
              <w:lang w:val="zh-CN"/>
            </w:rPr>
            <w:fldChar w:fldCharType="end"/>
          </w:r>
        </w:p>
      </w:sdtContent>
    </w:sdt>
    <w:p w14:paraId="0EB85FB0">
      <w:pPr>
        <w:snapToGrid w:val="0"/>
        <w:spacing w:before="0" w:after="0"/>
        <w:ind w:left="0" w:right="0"/>
        <w:jc w:val="left"/>
        <w:rPr>
          <w:rFonts w:ascii="Arial" w:hAnsi="Arial" w:eastAsia="微软雅黑" w:cs="Arial"/>
          <w:b/>
          <w:bCs/>
          <w:caps/>
          <w:sz w:val="28"/>
          <w:szCs w:val="28"/>
        </w:rPr>
      </w:pPr>
      <w:bookmarkStart w:id="0" w:name="_Toc47699996"/>
      <w:bookmarkStart w:id="1" w:name="OLE_LINK2"/>
      <w:r>
        <w:rPr>
          <w:rFonts w:ascii="Arial" w:hAnsi="Arial" w:eastAsia="微软雅黑" w:cs="Arial"/>
          <w:b/>
          <w:bCs/>
          <w:caps/>
          <w:sz w:val="28"/>
          <w:szCs w:val="28"/>
        </w:rPr>
        <w:br w:type="page"/>
      </w:r>
    </w:p>
    <w:p w14:paraId="523B9DFB">
      <w:pPr>
        <w:pStyle w:val="3"/>
        <w:snapToGrid w:val="0"/>
        <w:spacing w:before="0" w:after="326" w:afterLines="100"/>
        <w:ind w:left="0" w:right="0"/>
        <w:jc w:val="left"/>
        <w:rPr>
          <w:rFonts w:ascii="Arial" w:hAnsi="Arial" w:eastAsia="微软雅黑" w:cs="Arial"/>
          <w:b/>
          <w:bCs w:val="0"/>
          <w:caps/>
          <w:sz w:val="28"/>
          <w:szCs w:val="28"/>
        </w:rPr>
      </w:pPr>
      <w:bookmarkStart w:id="2" w:name="_Toc202797540"/>
      <w:r>
        <w:rPr>
          <w:rFonts w:ascii="Arial" w:hAnsi="Arial" w:eastAsia="微软雅黑" w:cs="Arial"/>
          <w:b/>
          <w:bCs w:val="0"/>
          <w:caps/>
          <w:sz w:val="28"/>
          <w:szCs w:val="28"/>
        </w:rPr>
        <w:t>同期资料本地文档对照表</w:t>
      </w:r>
      <w:bookmarkEnd w:id="0"/>
      <w:bookmarkEnd w:id="2"/>
    </w:p>
    <w:p w14:paraId="5428851E">
      <w:pPr>
        <w:adjustRightInd w:val="0"/>
        <w:snapToGrid w:val="0"/>
        <w:spacing w:before="163" w:beforeLines="50" w:after="163" w:afterLines="50"/>
        <w:ind w:firstLine="476"/>
        <w:jc w:val="left"/>
        <w:rPr>
          <w:rFonts w:ascii="Arial" w:hAnsi="Arial" w:eastAsia="微软雅黑" w:cs="Arial"/>
          <w:b/>
          <w:color w:val="0000FF"/>
          <w:kern w:val="24"/>
          <w:sz w:val="22"/>
          <w:szCs w:val="22"/>
        </w:rPr>
      </w:pPr>
      <w:r>
        <w:rPr>
          <w:rFonts w:ascii="Arial" w:hAnsi="Arial" w:eastAsia="微软雅黑" w:cs="Arial"/>
          <w:sz w:val="22"/>
          <w:szCs w:val="22"/>
        </w:rPr>
        <w:t xml:space="preserve">以下是{{清单模板-数据表-B1}}{{清单模板-数据表-B2}}关联交易同期资料本地文档报告内容与[2016]42号公告第十四条规定的本地文档内容对照表。</w:t>
      </w:r>
      <w:r>
        <w:rPr>
          <w:rFonts w:hint="eastAsia" w:ascii="Arial" w:hAnsi="Arial" w:eastAsia="微软雅黑" w:cs="Arial"/>
          <w:sz w:val="22"/>
          <w:szCs w:val="22"/>
        </w:rPr>
        <w:t/>
      </w:r>
      <w:r>
        <w:rPr>
          <w:rFonts w:ascii="Arial" w:hAnsi="Arial" w:eastAsia="微软雅黑" w:cs="Arial"/>
          <w:sz w:val="22"/>
          <w:szCs w:val="22"/>
        </w:rPr>
        <w:t/>
      </w:r>
    </w:p>
    <w:tbl>
      <w:tblPr>
        <w:tblStyle w:val="158"/>
        <w:tblW w:w="8217" w:type="dxa"/>
        <w:tblInd w:w="0" w:type="dxa"/>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Layout w:type="autofit"/>
        <w:tblCellMar>
          <w:top w:w="0" w:type="dxa"/>
          <w:left w:w="108" w:type="dxa"/>
          <w:bottom w:w="0" w:type="dxa"/>
          <w:right w:w="108" w:type="dxa"/>
        </w:tblCellMar>
      </w:tblPr>
      <w:tblGrid>
        <w:gridCol w:w="1134"/>
        <w:gridCol w:w="6096"/>
        <w:gridCol w:w="987"/>
      </w:tblGrid>
      <w:tr w14:paraId="776072AF">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427" w:hRule="atLeast"/>
          <w:tblHeader/>
        </w:trPr>
        <w:tc>
          <w:tcPr>
            <w:tcW w:w="1134" w:type="dxa"/>
            <w:tcBorders>
              <w:top w:val="nil"/>
              <w:left w:val="nil"/>
              <w:bottom w:val="nil"/>
              <w:right w:val="nil"/>
              <w:insideV w:val="nil"/>
            </w:tcBorders>
            <w:shd w:val="clear" w:color="auto" w:fill="4F81BD"/>
            <w:vAlign w:val="center"/>
          </w:tcPr>
          <w:p w14:paraId="3187AF0F">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条文</w:t>
            </w:r>
          </w:p>
        </w:tc>
        <w:tc>
          <w:tcPr>
            <w:tcW w:w="6096" w:type="dxa"/>
            <w:tcBorders>
              <w:top w:val="nil"/>
              <w:bottom w:val="nil"/>
              <w:right w:val="nil"/>
              <w:insideV w:val="nil"/>
            </w:tcBorders>
            <w:shd w:val="clear" w:color="auto" w:fill="4F81BD"/>
            <w:vAlign w:val="center"/>
          </w:tcPr>
          <w:p w14:paraId="3D53A026">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法规要求</w:t>
            </w:r>
          </w:p>
        </w:tc>
        <w:tc>
          <w:tcPr>
            <w:tcW w:w="987" w:type="dxa"/>
            <w:tcBorders>
              <w:top w:val="nil"/>
              <w:bottom w:val="nil"/>
              <w:right w:val="nil"/>
              <w:insideV w:val="nil"/>
            </w:tcBorders>
            <w:shd w:val="clear" w:color="auto" w:fill="4F81BD"/>
            <w:vAlign w:val="center"/>
          </w:tcPr>
          <w:p w14:paraId="4C33B981">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报告索引</w:t>
            </w:r>
          </w:p>
        </w:tc>
      </w:tr>
      <w:tr w14:paraId="18D8363C">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4A1CA832">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（一）企业概况</w:t>
            </w:r>
          </w:p>
        </w:tc>
        <w:tc>
          <w:tcPr>
            <w:tcW w:w="6096" w:type="dxa"/>
            <w:shd w:val="clear" w:color="auto" w:fill="auto"/>
            <w:vAlign w:val="center"/>
          </w:tcPr>
          <w:p w14:paraId="486D737C">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组织结构，包括企业各职能部门的设置、职责范围和雇员数量等；</w:t>
            </w:r>
          </w:p>
        </w:tc>
        <w:tc>
          <w:tcPr>
            <w:tcW w:w="987" w:type="dxa"/>
            <w:shd w:val="clear" w:color="auto" w:fill="auto"/>
            <w:vAlign w:val="center"/>
          </w:tcPr>
          <w:p w14:paraId="29F4366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2.2.2</w:t>
            </w:r>
          </w:p>
        </w:tc>
      </w:tr>
      <w:tr w14:paraId="4A1A608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9A55857">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173AD275">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管理架构，包括企业各级管理层的汇报对象以及汇报对象主要办公所在地等；</w:t>
            </w:r>
          </w:p>
        </w:tc>
        <w:tc>
          <w:tcPr>
            <w:tcW w:w="987" w:type="dxa"/>
            <w:shd w:val="clear" w:color="auto" w:fill="DDEBF7"/>
            <w:vAlign w:val="center"/>
          </w:tcPr>
          <w:p w14:paraId="46A8859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2.2.2</w:t>
            </w:r>
          </w:p>
        </w:tc>
      </w:tr>
      <w:tr w14:paraId="2569C25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0F4FC7E">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0187607E">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业务描述，包括企业所属行业的发展概况、产业政策、行业限制等影响企业和行业的主要经济和法律问题，主要竞争者等；</w:t>
            </w:r>
          </w:p>
        </w:tc>
        <w:tc>
          <w:tcPr>
            <w:tcW w:w="987" w:type="dxa"/>
            <w:shd w:val="clear" w:color="auto" w:fill="auto"/>
            <w:vAlign w:val="center"/>
          </w:tcPr>
          <w:p w14:paraId="418D78D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2.2.1</w:t>
            </w:r>
          </w:p>
          <w:p w14:paraId="6B61E3B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3</w:t>
            </w:r>
          </w:p>
        </w:tc>
      </w:tr>
      <w:tr w14:paraId="270C834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854" w:hRule="atLeast"/>
        </w:trPr>
        <w:tc>
          <w:tcPr>
            <w:tcW w:w="1134" w:type="dxa"/>
            <w:vMerge w:val="continue"/>
            <w:shd w:val="clear" w:color="auto" w:fill="auto"/>
            <w:vAlign w:val="center"/>
          </w:tcPr>
          <w:p w14:paraId="65515BF2">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7D4132AB">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经营策略，包括企业各部门、各环节的业务流程，运营模式，价值贡献因素等；</w:t>
            </w:r>
          </w:p>
        </w:tc>
        <w:tc>
          <w:tcPr>
            <w:tcW w:w="987" w:type="dxa"/>
            <w:shd w:val="clear" w:color="auto" w:fill="DDEBF7"/>
            <w:vAlign w:val="center"/>
          </w:tcPr>
          <w:p w14:paraId="4941CF9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2.2.1</w:t>
            </w:r>
          </w:p>
          <w:p w14:paraId="7CC4DAD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78D50824">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6145F4F">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699157D">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财务数据，包括企业不同类型业务及产品的收入、成本、费用及利润；</w:t>
            </w:r>
          </w:p>
        </w:tc>
        <w:tc>
          <w:tcPr>
            <w:tcW w:w="987" w:type="dxa"/>
            <w:shd w:val="clear" w:color="auto" w:fill="auto"/>
            <w:vAlign w:val="center"/>
          </w:tcPr>
          <w:p w14:paraId="69DA5AA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2.3</w:t>
            </w:r>
          </w:p>
        </w:tc>
      </w:tr>
      <w:tr w14:paraId="347B0A28">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1FA64BDC">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49B8F749">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涉及本企业或者对本企业产生影响的重组或者无形资产转让情况，以及对本企业的影响分析；</w:t>
            </w:r>
          </w:p>
        </w:tc>
        <w:tc>
          <w:tcPr>
            <w:tcW w:w="987" w:type="dxa"/>
            <w:shd w:val="clear" w:color="auto" w:fill="DDEBF7"/>
            <w:vAlign w:val="center"/>
          </w:tcPr>
          <w:p w14:paraId="57F3867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2.4</w:t>
            </w:r>
          </w:p>
        </w:tc>
      </w:tr>
      <w:tr w14:paraId="5E46C6A4">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6F41627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（二）关联关系</w:t>
            </w:r>
          </w:p>
        </w:tc>
        <w:tc>
          <w:tcPr>
            <w:tcW w:w="6096" w:type="dxa"/>
            <w:shd w:val="clear" w:color="auto" w:fill="auto"/>
            <w:vAlign w:val="center"/>
          </w:tcPr>
          <w:p w14:paraId="3A6B6970">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方信息，包括直接或者间接拥有企业股权的关联方，以及与企业发生交易的关联方，内容涵盖关联方名称、法定代表人、高级管理人员的构成情况、注册地址、实际经营地址，以及关联个人的姓名、国籍、居住地等情况。</w:t>
            </w:r>
          </w:p>
        </w:tc>
        <w:tc>
          <w:tcPr>
            <w:tcW w:w="987" w:type="dxa"/>
            <w:shd w:val="clear" w:color="auto" w:fill="auto"/>
            <w:vAlign w:val="center"/>
          </w:tcPr>
          <w:p w14:paraId="45B8D16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4.1</w:t>
            </w:r>
          </w:p>
        </w:tc>
      </w:tr>
      <w:tr w14:paraId="557050A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C3F7A70">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0A48F401">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上述关联方适用的具有所得税性质的税种、税率及相应可享受的税收优惠。</w:t>
            </w:r>
          </w:p>
        </w:tc>
        <w:tc>
          <w:tcPr>
            <w:tcW w:w="987" w:type="dxa"/>
            <w:shd w:val="clear" w:color="auto" w:fill="DDEBF7"/>
            <w:vAlign w:val="center"/>
          </w:tcPr>
          <w:p w14:paraId="2BC5919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4.1</w:t>
            </w:r>
          </w:p>
        </w:tc>
      </w:tr>
      <w:tr w14:paraId="34325859">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0D248D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2E405E55">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本会计年度内企业关联关系的变化情况。</w:t>
            </w:r>
          </w:p>
        </w:tc>
        <w:tc>
          <w:tcPr>
            <w:tcW w:w="987" w:type="dxa"/>
            <w:shd w:val="clear" w:color="auto" w:fill="auto"/>
            <w:vAlign w:val="center"/>
          </w:tcPr>
          <w:p w14:paraId="766FA5A3">
            <w:pPr>
              <w:pStyle w:val="165"/>
              <w:keepNext/>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4.1</w:t>
            </w:r>
          </w:p>
        </w:tc>
      </w:tr>
      <w:tr w14:paraId="2019603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0A742B2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25A8EC7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1.关联交易概况</w:t>
            </w:r>
          </w:p>
        </w:tc>
        <w:tc>
          <w:tcPr>
            <w:tcW w:w="6096" w:type="dxa"/>
            <w:shd w:val="clear" w:color="auto" w:fill="DDEBF7"/>
            <w:vAlign w:val="center"/>
          </w:tcPr>
          <w:p w14:paraId="5C851F0C">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描述和明细，包括关联交易相关合同或者协议副本及其执行情况的说明，交易标的的特性，关联交易的类型、参与方、时间、金额、结算货币、交易条件、贸易形式，以及关联交易与非关联交易业务的异同等。</w:t>
            </w:r>
          </w:p>
        </w:tc>
        <w:tc>
          <w:tcPr>
            <w:tcW w:w="987" w:type="dxa"/>
            <w:shd w:val="clear" w:color="auto" w:fill="DDEBF7"/>
            <w:vAlign w:val="center"/>
          </w:tcPr>
          <w:p w14:paraId="7A04EC9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4.2</w:t>
            </w:r>
          </w:p>
          <w:p w14:paraId="29F47562">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w:t>
            </w:r>
          </w:p>
          <w:p w14:paraId="2247EA1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w:t>
            </w:r>
          </w:p>
          <w:p w14:paraId="3BEB9A9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4.5</w:t>
            </w:r>
          </w:p>
          <w:p w14:paraId="58967BD4">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4.6</w:t>
            </w:r>
          </w:p>
        </w:tc>
      </w:tr>
      <w:tr w14:paraId="1F30787A">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8CDC8D">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1EF5B40A">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关联交易流程，包括关联交易的信息流、物流和资金流，与非关联交易业务流程的异同；</w:t>
            </w:r>
          </w:p>
        </w:tc>
        <w:tc>
          <w:tcPr>
            <w:tcW w:w="987" w:type="dxa"/>
            <w:shd w:val="clear" w:color="auto" w:fill="auto"/>
            <w:vAlign w:val="center"/>
          </w:tcPr>
          <w:p w14:paraId="53089A8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4.3.1</w:t>
            </w:r>
          </w:p>
          <w:p w14:paraId="0C1E18E6">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4.4.1</w:t>
            </w:r>
          </w:p>
          <w:p w14:paraId="79ADE4D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4.5</w:t>
            </w:r>
          </w:p>
        </w:tc>
      </w:tr>
      <w:tr w14:paraId="5DAFE99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18AA3AF">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5EB62F5D">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功能风险描述，包括企业及其关联方在各类关联交易中执行的功能、承担的风险和使用的资产；</w:t>
            </w:r>
          </w:p>
        </w:tc>
        <w:tc>
          <w:tcPr>
            <w:tcW w:w="987" w:type="dxa"/>
            <w:shd w:val="clear" w:color="auto" w:fill="DDEBF7"/>
            <w:vAlign w:val="center"/>
          </w:tcPr>
          <w:p w14:paraId="0E43E4D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5</w:t>
            </w:r>
          </w:p>
        </w:tc>
      </w:tr>
      <w:tr w14:paraId="2752F41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40A06679">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64880107">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交易定价影响要素，包括关联交易涉及的无形资产及其影响，成本节约、市场溢价等地域特殊因素。地域特殊因素应从劳动力成本、环境成本、市场规模、市场竞争程度、消费者购买力、商品或者劳务的可替代性、政府管制等方面进行分析；</w:t>
            </w:r>
          </w:p>
        </w:tc>
        <w:tc>
          <w:tcPr>
            <w:tcW w:w="987" w:type="dxa"/>
            <w:shd w:val="clear" w:color="auto" w:fill="auto"/>
            <w:vAlign w:val="center"/>
          </w:tcPr>
          <w:p w14:paraId="509C57E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4.3.3</w:t>
            </w:r>
          </w:p>
          <w:p w14:paraId="18E574D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4.4.4</w:t>
            </w:r>
          </w:p>
          <w:p w14:paraId="35C024D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4.5</w:t>
            </w:r>
          </w:p>
        </w:tc>
      </w:tr>
      <w:tr w14:paraId="492287E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46A42D0">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6B91EB18">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关联交易数据，包括各关联方、各类关联交易涉及的交易金额。分别披露关联交易和非关联交易的收入、成本、费用和利润，不能直接归集的，按照合理比例划分，并说明该划分比例的依据。</w:t>
            </w:r>
          </w:p>
        </w:tc>
        <w:tc>
          <w:tcPr>
            <w:tcW w:w="987" w:type="dxa"/>
            <w:shd w:val="clear" w:color="auto" w:fill="DDEBF7"/>
            <w:vAlign w:val="center"/>
          </w:tcPr>
          <w:p w14:paraId="57F4E72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4.3.2</w:t>
            </w:r>
          </w:p>
          <w:p w14:paraId="6954077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4.4.2</w:t>
            </w:r>
          </w:p>
          <w:p w14:paraId="57AEA98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4.8</w:t>
            </w:r>
          </w:p>
          <w:p w14:paraId="62AAAFA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附件2</w:t>
            </w:r>
          </w:p>
        </w:tc>
      </w:tr>
      <w:tr w14:paraId="701D7E3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4CC516D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40091E9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2.价值链分析</w:t>
            </w:r>
          </w:p>
        </w:tc>
        <w:tc>
          <w:tcPr>
            <w:tcW w:w="6096" w:type="dxa"/>
            <w:shd w:val="clear" w:color="auto" w:fill="auto"/>
            <w:vAlign w:val="center"/>
          </w:tcPr>
          <w:p w14:paraId="38E7C925">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企业集团内业务流、物流和资金流，包括商品、劳务或者其他交易标的从设计、开发、生产制造、营销、销售、交货、结算、消费、售后服务、循环利用等各环节及其参与方；</w:t>
            </w:r>
          </w:p>
        </w:tc>
        <w:tc>
          <w:tcPr>
            <w:tcW w:w="987" w:type="dxa"/>
            <w:shd w:val="clear" w:color="auto" w:fill="auto"/>
            <w:vAlign w:val="center"/>
          </w:tcPr>
          <w:p w14:paraId="2F1C6A0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610144B9">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67FE9B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64369E8C">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上述各环节参与方最近会计年度的财务报表；</w:t>
            </w:r>
          </w:p>
        </w:tc>
        <w:tc>
          <w:tcPr>
            <w:tcW w:w="987" w:type="dxa"/>
            <w:shd w:val="clear" w:color="auto" w:fill="DDEBF7"/>
            <w:vAlign w:val="center"/>
          </w:tcPr>
          <w:p w14:paraId="1E6D451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待税局要求后配合提供</w:t>
            </w:r>
          </w:p>
        </w:tc>
      </w:tr>
      <w:tr w14:paraId="67C714B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B64939">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5423C548">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地域特殊因素对企业创造价值贡献的计量及其归属；</w:t>
            </w:r>
          </w:p>
        </w:tc>
        <w:tc>
          <w:tcPr>
            <w:tcW w:w="987" w:type="dxa"/>
            <w:shd w:val="clear" w:color="auto" w:fill="auto"/>
            <w:vAlign w:val="center"/>
          </w:tcPr>
          <w:p w14:paraId="7B54301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46E39C5D">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B728945">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5408FF45">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企业集团利润在全球价值链条中的分配原则和分配结果；</w:t>
            </w:r>
          </w:p>
        </w:tc>
        <w:tc>
          <w:tcPr>
            <w:tcW w:w="987" w:type="dxa"/>
            <w:shd w:val="clear" w:color="auto" w:fill="DDEBF7"/>
            <w:vAlign w:val="center"/>
          </w:tcPr>
          <w:p w14:paraId="7835E6C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52780F9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24F272A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042451F9">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3.对外投资</w:t>
            </w:r>
          </w:p>
        </w:tc>
        <w:tc>
          <w:tcPr>
            <w:tcW w:w="6096" w:type="dxa"/>
            <w:shd w:val="clear" w:color="auto" w:fill="auto"/>
            <w:vAlign w:val="center"/>
          </w:tcPr>
          <w:p w14:paraId="00697BE0">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对外投资基本信息，包括对外投资项目的投资地区、金额、主营业务及战略规划。</w:t>
            </w:r>
          </w:p>
        </w:tc>
        <w:tc>
          <w:tcPr>
            <w:tcW w:w="987" w:type="dxa"/>
            <w:vMerge w:val="restart"/>
            <w:shd w:val="clear" w:color="auto" w:fill="auto"/>
            <w:vAlign w:val="center"/>
          </w:tcPr>
          <w:p w14:paraId="69C1FF9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2.4</w:t>
            </w:r>
          </w:p>
        </w:tc>
      </w:tr>
      <w:tr w14:paraId="2D1DFD1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2F9F442">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2A1C65DD">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对外投资项目概况，包括对外投资项目的股权架构、组织结构，高级管理人员的雇佣方式，项目决策权限的归属。</w:t>
            </w:r>
          </w:p>
        </w:tc>
        <w:tc>
          <w:tcPr>
            <w:tcW w:w="987" w:type="dxa"/>
            <w:vMerge w:val="continue"/>
            <w:shd w:val="clear" w:color="auto" w:fill="auto"/>
            <w:vAlign w:val="center"/>
          </w:tcPr>
          <w:p w14:paraId="1E7C999E">
            <w:pPr>
              <w:pStyle w:val="165"/>
              <w:adjustRightInd w:val="0"/>
              <w:snapToGrid w:val="0"/>
              <w:spacing w:before="60" w:after="60" w:line="240" w:lineRule="auto"/>
              <w:jc w:val="center"/>
              <w:rPr>
                <w:rFonts w:ascii="Arial" w:hAnsi="Arial" w:eastAsia="微软雅黑" w:cs="Arial"/>
                <w:sz w:val="18"/>
                <w:szCs w:val="18"/>
                <w:lang w:eastAsia="zh-CN"/>
              </w:rPr>
            </w:pPr>
          </w:p>
        </w:tc>
      </w:tr>
      <w:tr w14:paraId="2C0ACDDE">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28257A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0D68AF42">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对外投资项目数据，包括对外投资项目的营运数据。</w:t>
            </w:r>
          </w:p>
        </w:tc>
        <w:tc>
          <w:tcPr>
            <w:tcW w:w="987" w:type="dxa"/>
            <w:vMerge w:val="continue"/>
            <w:shd w:val="clear" w:color="auto" w:fill="auto"/>
            <w:vAlign w:val="center"/>
          </w:tcPr>
          <w:p w14:paraId="04181C85">
            <w:pPr>
              <w:pStyle w:val="165"/>
              <w:adjustRightInd w:val="0"/>
              <w:snapToGrid w:val="0"/>
              <w:spacing w:before="60" w:after="60" w:line="240" w:lineRule="auto"/>
              <w:ind w:firstLine="0"/>
              <w:jc w:val="center"/>
              <w:rPr>
                <w:rFonts w:ascii="Arial" w:hAnsi="Arial" w:eastAsia="微软雅黑" w:cs="Arial"/>
                <w:sz w:val="18"/>
                <w:szCs w:val="18"/>
                <w:lang w:eastAsia="zh-CN"/>
              </w:rPr>
            </w:pPr>
          </w:p>
        </w:tc>
      </w:tr>
      <w:tr w14:paraId="45DDD0D8">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3588964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53FA6A2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4.关联股权转让</w:t>
            </w:r>
          </w:p>
        </w:tc>
        <w:tc>
          <w:tcPr>
            <w:tcW w:w="6096" w:type="dxa"/>
            <w:shd w:val="clear" w:color="auto" w:fill="DDEBF7"/>
            <w:vAlign w:val="center"/>
          </w:tcPr>
          <w:p w14:paraId="48C728C4">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股权转让概况，包括转让背景、参与方、时间、价格、支付方式，以及影响股权转让的其他因素。</w:t>
            </w:r>
          </w:p>
        </w:tc>
        <w:tc>
          <w:tcPr>
            <w:tcW w:w="987" w:type="dxa"/>
            <w:vMerge w:val="restart"/>
            <w:shd w:val="clear" w:color="auto" w:fill="DDEBF7"/>
            <w:vAlign w:val="center"/>
          </w:tcPr>
          <w:p w14:paraId="1B73D5C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2.4</w:t>
            </w:r>
          </w:p>
        </w:tc>
      </w:tr>
      <w:tr w14:paraId="206A254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9A1D139">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FE460FA">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股权转让标的的相关信息，包括股权转让标的所在地，出让方获取该股权的时间、方式和成本，股权转让收益等信息。</w:t>
            </w:r>
          </w:p>
        </w:tc>
        <w:tc>
          <w:tcPr>
            <w:tcW w:w="987" w:type="dxa"/>
            <w:vMerge w:val="continue"/>
            <w:shd w:val="clear" w:color="auto" w:fill="auto"/>
            <w:vAlign w:val="center"/>
          </w:tcPr>
          <w:p w14:paraId="77695EE3">
            <w:pPr>
              <w:pStyle w:val="165"/>
              <w:adjustRightInd w:val="0"/>
              <w:snapToGrid w:val="0"/>
              <w:spacing w:before="60" w:after="60" w:line="240" w:lineRule="auto"/>
              <w:jc w:val="center"/>
              <w:rPr>
                <w:rFonts w:ascii="Arial" w:hAnsi="Arial" w:eastAsia="微软雅黑" w:cs="Arial"/>
                <w:sz w:val="18"/>
                <w:szCs w:val="18"/>
                <w:lang w:eastAsia="zh-CN"/>
              </w:rPr>
            </w:pPr>
          </w:p>
        </w:tc>
      </w:tr>
      <w:tr w14:paraId="271BAEF1">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324BD2E">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537A63E1">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尽职调查报告或者资产评估报告等与股权转让相关的其他信息。</w:t>
            </w:r>
          </w:p>
        </w:tc>
        <w:tc>
          <w:tcPr>
            <w:tcW w:w="987" w:type="dxa"/>
            <w:vMerge w:val="continue"/>
            <w:shd w:val="clear" w:color="auto" w:fill="DDEBF7"/>
            <w:vAlign w:val="center"/>
          </w:tcPr>
          <w:p w14:paraId="1956843C">
            <w:pPr>
              <w:pStyle w:val="165"/>
              <w:adjustRightInd w:val="0"/>
              <w:snapToGrid w:val="0"/>
              <w:spacing w:before="60" w:after="60" w:line="240" w:lineRule="auto"/>
              <w:ind w:firstLine="0"/>
              <w:jc w:val="center"/>
              <w:rPr>
                <w:rFonts w:ascii="Arial" w:hAnsi="Arial" w:eastAsia="微软雅黑" w:cs="Arial"/>
                <w:sz w:val="18"/>
                <w:szCs w:val="18"/>
                <w:lang w:eastAsia="zh-CN"/>
              </w:rPr>
            </w:pPr>
          </w:p>
        </w:tc>
      </w:tr>
      <w:tr w14:paraId="52FBE98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6C130F6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32435AB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5.关联劳务</w:t>
            </w:r>
          </w:p>
        </w:tc>
        <w:tc>
          <w:tcPr>
            <w:tcW w:w="6096" w:type="dxa"/>
            <w:shd w:val="clear" w:color="auto" w:fill="auto"/>
            <w:vAlign w:val="center"/>
          </w:tcPr>
          <w:p w14:paraId="5CFC9046">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关联劳务概况，包括劳务提供方和接受方，劳务的具体内容、特性、开展方式、定价原则、支付形式，以及劳务发生后各方受益情况等。</w:t>
            </w:r>
          </w:p>
        </w:tc>
        <w:tc>
          <w:tcPr>
            <w:tcW w:w="987" w:type="dxa"/>
            <w:shd w:val="clear" w:color="auto" w:fill="auto"/>
            <w:vAlign w:val="center"/>
          </w:tcPr>
          <w:p w14:paraId="6037AD30">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4.4.1</w:t>
            </w:r>
          </w:p>
        </w:tc>
      </w:tr>
      <w:tr w14:paraId="276ABA3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53A806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505D27F7">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劳务成本费用的归集方法、项目、金额、分配标准、计算过程及结果等。</w:t>
            </w:r>
          </w:p>
        </w:tc>
        <w:tc>
          <w:tcPr>
            <w:tcW w:w="987" w:type="dxa"/>
            <w:shd w:val="clear" w:color="auto" w:fill="DDEBF7"/>
            <w:vAlign w:val="center"/>
          </w:tcPr>
          <w:p w14:paraId="20D3172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4.4.2</w:t>
            </w:r>
          </w:p>
          <w:p w14:paraId="5D2D217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4.4.3</w:t>
            </w:r>
          </w:p>
        </w:tc>
      </w:tr>
      <w:tr w14:paraId="640DDCB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44758DFE">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6CD518D8">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企业及其所属企业集团与非关联方存在相同或者类似劳务交易的，还应当详细说明关联劳务与非关联劳务在定价原则和交易结果上的异同。</w:t>
            </w:r>
          </w:p>
        </w:tc>
        <w:tc>
          <w:tcPr>
            <w:tcW w:w="987" w:type="dxa"/>
            <w:shd w:val="clear" w:color="auto" w:fill="auto"/>
            <w:vAlign w:val="center"/>
          </w:tcPr>
          <w:p w14:paraId="462712E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4.4.3</w:t>
            </w:r>
          </w:p>
        </w:tc>
      </w:tr>
      <w:tr w14:paraId="6137328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1263" w:hRule="atLeast"/>
        </w:trPr>
        <w:tc>
          <w:tcPr>
            <w:tcW w:w="1134" w:type="dxa"/>
            <w:shd w:val="clear" w:color="auto" w:fill="DDEBF7"/>
            <w:vAlign w:val="center"/>
          </w:tcPr>
          <w:p w14:paraId="02D88743">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47C9CCB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6.预约定价安排和作出的其他税收裁定</w:t>
            </w:r>
          </w:p>
        </w:tc>
        <w:tc>
          <w:tcPr>
            <w:tcW w:w="6096" w:type="dxa"/>
            <w:shd w:val="clear" w:color="auto" w:fill="DDEBF7"/>
            <w:vAlign w:val="center"/>
          </w:tcPr>
          <w:p w14:paraId="23BF44E1">
            <w:pPr>
              <w:pStyle w:val="165"/>
              <w:adjustRightInd w:val="0"/>
              <w:snapToGrid w:val="0"/>
              <w:spacing w:before="0" w:after="0" w:line="240" w:lineRule="auto"/>
              <w:ind w:firstLine="0"/>
              <w:jc w:val="left"/>
              <w:rPr>
                <w:rFonts w:ascii="Arial" w:hAnsi="Arial" w:eastAsia="微软雅黑" w:cs="Arial"/>
                <w:sz w:val="18"/>
                <w:szCs w:val="18"/>
                <w:lang w:eastAsia="zh-CN"/>
              </w:rPr>
            </w:pPr>
            <w:r>
              <w:rPr>
                <w:rFonts w:ascii="Arial" w:hAnsi="Arial" w:eastAsia="微软雅黑" w:cs="Arial"/>
                <w:sz w:val="18"/>
                <w:szCs w:val="18"/>
                <w:lang w:eastAsia="zh-CN"/>
              </w:rPr>
              <w:t>与企业关联交易直接相关的，中国以外其他国家税务主管当局签订的预约定价安排和作出的其他税收裁定</w:t>
            </w:r>
          </w:p>
        </w:tc>
        <w:tc>
          <w:tcPr>
            <w:tcW w:w="987" w:type="dxa"/>
            <w:shd w:val="clear" w:color="auto" w:fill="DDEBF7"/>
            <w:vAlign w:val="center"/>
          </w:tcPr>
          <w:p w14:paraId="7BC21F4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4.7</w:t>
            </w:r>
          </w:p>
        </w:tc>
      </w:tr>
      <w:tr w14:paraId="7913D20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1D9A140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（四）可比性分析</w:t>
            </w:r>
          </w:p>
        </w:tc>
        <w:tc>
          <w:tcPr>
            <w:tcW w:w="6096" w:type="dxa"/>
            <w:shd w:val="clear" w:color="auto" w:fill="auto"/>
            <w:vAlign w:val="center"/>
          </w:tcPr>
          <w:p w14:paraId="3AFEFFC0">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可比性分析考虑的因素，包括交易资产或者劳务特性，交易各方功能、风险和资产，合同条款，经济环境，经营策略等。</w:t>
            </w:r>
          </w:p>
        </w:tc>
        <w:tc>
          <w:tcPr>
            <w:tcW w:w="987" w:type="dxa"/>
            <w:shd w:val="clear" w:color="auto" w:fill="auto"/>
            <w:vAlign w:val="center"/>
          </w:tcPr>
          <w:p w14:paraId="63A62CDC">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w:t>
            </w:r>
          </w:p>
        </w:tc>
      </w:tr>
      <w:tr w14:paraId="3B3F1DD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6D5C25">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6674A5D2">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可比企业执行的功能、承担的风险以及使用的资产等相关信息。</w:t>
            </w:r>
          </w:p>
        </w:tc>
        <w:tc>
          <w:tcPr>
            <w:tcW w:w="987" w:type="dxa"/>
            <w:shd w:val="clear" w:color="auto" w:fill="DDEBF7"/>
            <w:vAlign w:val="center"/>
          </w:tcPr>
          <w:p w14:paraId="240A53D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5</w:t>
            </w:r>
          </w:p>
        </w:tc>
      </w:tr>
      <w:tr w14:paraId="56AD7E9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F67DC6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4E7F3076">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可比对象搜索方法、信息来源、选择条件及理由。</w:t>
            </w:r>
          </w:p>
        </w:tc>
        <w:tc>
          <w:tcPr>
            <w:tcW w:w="987" w:type="dxa"/>
            <w:shd w:val="clear" w:color="auto" w:fill="auto"/>
            <w:vAlign w:val="center"/>
          </w:tcPr>
          <w:p w14:paraId="0072FF0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7.4</w:t>
            </w:r>
          </w:p>
        </w:tc>
      </w:tr>
      <w:tr w14:paraId="601A5DF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381" w:hRule="atLeast"/>
        </w:trPr>
        <w:tc>
          <w:tcPr>
            <w:tcW w:w="1134" w:type="dxa"/>
            <w:vMerge w:val="continue"/>
            <w:shd w:val="clear" w:color="auto" w:fill="auto"/>
            <w:vAlign w:val="center"/>
          </w:tcPr>
          <w:p w14:paraId="58DD32CE">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38F2DBA2">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所选取的内部或者外部可比非受控交易信息和可比企业的财务信息。</w:t>
            </w:r>
          </w:p>
        </w:tc>
        <w:tc>
          <w:tcPr>
            <w:tcW w:w="987" w:type="dxa"/>
            <w:shd w:val="clear" w:color="auto" w:fill="DDEBF7"/>
            <w:vAlign w:val="center"/>
          </w:tcPr>
          <w:p w14:paraId="57E0A4A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附件4</w:t>
            </w:r>
          </w:p>
        </w:tc>
      </w:tr>
      <w:tr w14:paraId="01FD0C7F">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E945DE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4CE3E440">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可比数据的差异调整及理由。</w:t>
            </w:r>
          </w:p>
        </w:tc>
        <w:tc>
          <w:tcPr>
            <w:tcW w:w="987" w:type="dxa"/>
            <w:shd w:val="clear" w:color="auto" w:fill="auto"/>
            <w:vAlign w:val="center"/>
          </w:tcPr>
          <w:p w14:paraId="5DB84A0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7.4.2</w:t>
            </w:r>
          </w:p>
        </w:tc>
      </w:tr>
      <w:tr w14:paraId="6E22876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63D513B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（五）转让定价方法的选择和适用</w:t>
            </w:r>
          </w:p>
        </w:tc>
        <w:tc>
          <w:tcPr>
            <w:tcW w:w="6096" w:type="dxa"/>
            <w:shd w:val="clear" w:color="auto" w:fill="DDEBF7"/>
            <w:vAlign w:val="center"/>
          </w:tcPr>
          <w:p w14:paraId="00623A70">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被测试方的选择及理由。</w:t>
            </w:r>
          </w:p>
        </w:tc>
        <w:tc>
          <w:tcPr>
            <w:tcW w:w="987" w:type="dxa"/>
            <w:shd w:val="clear" w:color="auto" w:fill="DDEBF7"/>
            <w:vAlign w:val="center"/>
          </w:tcPr>
          <w:p w14:paraId="536894D5">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7.3</w:t>
            </w:r>
            <w:r>
              <w:rPr>
                <w:rFonts w:hint="eastAsia" w:ascii="Arial" w:hAnsi="Arial" w:eastAsia="微软雅黑" w:cs="Arial"/>
                <w:sz w:val="18"/>
                <w:szCs w:val="18"/>
                <w:lang w:eastAsia="zh-CN"/>
              </w:rPr>
              <w:t/>
            </w:r>
          </w:p>
        </w:tc>
      </w:tr>
      <w:tr w14:paraId="61D3BF1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DB20C82">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2969BC8">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转让定价方法的选用及理由，无论选择何种转让定价方法，均须说明企业对集团整体利润或者剩余利润所做的贡献。</w:t>
            </w:r>
          </w:p>
        </w:tc>
        <w:tc>
          <w:tcPr>
            <w:tcW w:w="987" w:type="dxa"/>
            <w:shd w:val="clear" w:color="auto" w:fill="auto"/>
            <w:vAlign w:val="center"/>
          </w:tcPr>
          <w:p w14:paraId="16E34F94">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7.2</w:t>
            </w:r>
          </w:p>
          <w:p w14:paraId="2970A76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附件1</w:t>
            </w:r>
          </w:p>
        </w:tc>
      </w:tr>
      <w:tr w14:paraId="4DD9A28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13569B91">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7C9AC4B7">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确定可比非关联交易价格或者利润的过程中所做的假设和判断。</w:t>
            </w:r>
          </w:p>
        </w:tc>
        <w:tc>
          <w:tcPr>
            <w:tcW w:w="987" w:type="dxa"/>
            <w:shd w:val="clear" w:color="auto" w:fill="DDEBF7"/>
            <w:vAlign w:val="center"/>
          </w:tcPr>
          <w:p w14:paraId="5879A5C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w:t>
            </w:r>
          </w:p>
        </w:tc>
      </w:tr>
      <w:tr w14:paraId="7FB2D80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13CE9B7">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08DECEB3">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运用合理的转让定价方法和可比性分析结果，确定可比非关联交易价格或者利润。</w:t>
            </w:r>
          </w:p>
        </w:tc>
        <w:tc>
          <w:tcPr>
            <w:tcW w:w="987" w:type="dxa"/>
            <w:shd w:val="clear" w:color="auto" w:fill="auto"/>
            <w:vAlign w:val="center"/>
          </w:tcPr>
          <w:p w14:paraId="66AC6BD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7.4.4</w:t>
            </w:r>
          </w:p>
        </w:tc>
      </w:tr>
      <w:tr w14:paraId="75FABC2E">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B1636C0">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6E3F0BD6">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其他支持所选用转让定价方法的资料。</w:t>
            </w:r>
          </w:p>
        </w:tc>
        <w:tc>
          <w:tcPr>
            <w:tcW w:w="987" w:type="dxa"/>
            <w:shd w:val="clear" w:color="auto" w:fill="DDEBF7"/>
            <w:vAlign w:val="center"/>
          </w:tcPr>
          <w:p w14:paraId="03B5F16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不适用</w:t>
            </w:r>
          </w:p>
        </w:tc>
      </w:tr>
      <w:tr w14:paraId="5179D7F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F1220A8">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657B8EE4">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关联交易定价是否符合独立交易原则的分析及结论。</w:t>
            </w:r>
          </w:p>
        </w:tc>
        <w:tc>
          <w:tcPr>
            <w:tcW w:w="987" w:type="dxa"/>
            <w:shd w:val="clear" w:color="auto" w:fill="auto"/>
            <w:vAlign w:val="center"/>
          </w:tcPr>
          <w:p w14:paraId="5025B41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8</w:t>
            </w:r>
          </w:p>
        </w:tc>
      </w:tr>
    </w:tbl>
    <w:p w14:paraId="4A5E7512">
      <w:pPr>
        <w:snapToGrid w:val="0"/>
        <w:rPr>
          <w:rFonts w:ascii="Arial" w:hAnsi="Arial" w:eastAsia="微软雅黑" w:cs="Arial"/>
          <w:b/>
          <w:caps/>
          <w:sz w:val="28"/>
          <w:szCs w:val="28"/>
        </w:rPr>
      </w:pPr>
      <w:r>
        <w:rPr>
          <w:rFonts w:ascii="Arial" w:hAnsi="Arial" w:eastAsia="微软雅黑" w:cs="Arial"/>
          <w:b/>
          <w:bCs/>
          <w:caps/>
          <w:sz w:val="28"/>
          <w:szCs w:val="28"/>
        </w:rPr>
        <w:br w:type="page"/>
      </w:r>
    </w:p>
    <w:p w14:paraId="24BE0DAE">
      <w:pPr>
        <w:pStyle w:val="3"/>
        <w:snapToGrid w:val="0"/>
        <w:spacing w:before="0" w:after="326" w:afterLines="100"/>
        <w:ind w:left="0" w:right="0"/>
        <w:jc w:val="left"/>
        <w:rPr>
          <w:rFonts w:ascii="Arial" w:hAnsi="Arial" w:eastAsia="微软雅黑" w:cs="Arial"/>
          <w:szCs w:val="22"/>
        </w:rPr>
      </w:pPr>
      <w:bookmarkStart w:id="3" w:name="_Toc202797541"/>
      <w:bookmarkStart w:id="4" w:name="_Toc28389"/>
      <w:bookmarkStart w:id="5" w:name="_Toc47699997"/>
      <w:bookmarkStart w:id="6" w:name="_Toc5357"/>
      <w:bookmarkStart w:id="7" w:name="_Toc76668366"/>
      <w:r>
        <w:rPr>
          <w:rFonts w:ascii="Arial" w:hAnsi="Arial" w:eastAsia="微软雅黑" w:cs="Arial"/>
          <w:b/>
          <w:bCs w:val="0"/>
          <w:caps/>
          <w:sz w:val="28"/>
          <w:szCs w:val="28"/>
        </w:rPr>
        <w:t>缩略语索引表</w:t>
      </w:r>
      <w:bookmarkEnd w:id="3"/>
      <w:bookmarkEnd w:id="4"/>
      <w:bookmarkEnd w:id="5"/>
      <w:bookmarkEnd w:id="6"/>
      <w:bookmarkEnd w:id="7"/>
    </w:p>
    <w:tbl>
      <w:tblPr>
        <w:tblStyle w:val="114"/>
        <w:tblW w:w="836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3"/>
        <w:gridCol w:w="5380"/>
      </w:tblGrid>
      <w:tr w14:paraId="287B8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shd w:val="clear" w:color="auto" w:fill="auto"/>
            <w:vAlign w:val="center"/>
          </w:tcPr>
          <w:p w14:paraId="2A1F9365">
            <w:pPr>
              <w:widowControl w:val="0"/>
              <w:snapToGrid w:val="0"/>
              <w:spacing w:before="0" w:after="0"/>
              <w:jc w:val="center"/>
              <w:rPr>
                <w:rFonts w:ascii="Arial" w:hAnsi="Arial" w:eastAsia="微软雅黑" w:cs="Arial"/>
                <w:b/>
                <w:sz w:val="18"/>
                <w:szCs w:val="18"/>
              </w:rPr>
            </w:pPr>
            <w:r>
              <w:rPr>
                <w:rFonts w:ascii="Arial" w:hAnsi="Arial" w:eastAsia="微软雅黑" w:cs="Arial"/>
                <w:b/>
                <w:sz w:val="18"/>
                <w:szCs w:val="18"/>
              </w:rPr>
              <w:t>缩略语</w:t>
            </w:r>
          </w:p>
        </w:tc>
        <w:tc>
          <w:tcPr>
            <w:tcW w:w="5380" w:type="dxa"/>
            <w:shd w:val="clear" w:color="auto" w:fill="auto"/>
            <w:vAlign w:val="center"/>
          </w:tcPr>
          <w:p w14:paraId="18665299">
            <w:pPr>
              <w:widowControl w:val="0"/>
              <w:snapToGrid w:val="0"/>
              <w:spacing w:before="0" w:after="0"/>
              <w:jc w:val="center"/>
              <w:rPr>
                <w:rFonts w:ascii="Arial" w:hAnsi="Arial" w:eastAsia="微软雅黑" w:cs="Arial"/>
                <w:b/>
                <w:sz w:val="18"/>
                <w:szCs w:val="18"/>
              </w:rPr>
            </w:pPr>
            <w:r>
              <w:rPr>
                <w:rFonts w:ascii="Arial" w:hAnsi="Arial" w:eastAsia="微软雅黑" w:cs="Arial"/>
                <w:b/>
                <w:sz w:val="18"/>
                <w:szCs w:val="18"/>
              </w:rPr>
              <w:t>全称</w:t>
            </w:r>
          </w:p>
        </w:tc>
      </w:tr>
      <w:tr w14:paraId="58F92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6029F5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立信或我们</w:t>
            </w:r>
          </w:p>
        </w:tc>
        <w:tc>
          <w:tcPr>
            <w:tcW w:w="5380" w:type="dxa"/>
            <w:vAlign w:val="center"/>
          </w:tcPr>
          <w:p w14:paraId="4DA89F6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{{清单模板-数据表-B3}}</w:t>
            </w:r>
          </w:p>
        </w:tc>
      </w:tr>
      <w:tr w14:paraId="3B36A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6966E90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{{清单模板-数据表-B5}}或本公司</w:t>
            </w:r>
          </w:p>
        </w:tc>
        <w:tc>
          <w:tcPr>
            <w:tcW w:w="5380" w:type="dxa"/>
            <w:vAlign w:val="center"/>
          </w:tcPr>
          <w:p w14:paraId="2C079D9F">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{{清单模板-数据表-B1}}</w:t>
            </w:r>
          </w:p>
        </w:tc>
      </w:tr>
      <w:tr w14:paraId="4487A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3AAF3EA6">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斯必克中国投资</w:t>
            </w:r>
          </w:p>
        </w:tc>
        <w:tc>
          <w:tcPr>
            <w:tcW w:w="5380" w:type="dxa"/>
            <w:vAlign w:val="center"/>
          </w:tcPr>
          <w:p w14:paraId="70032AA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斯必克（中国）投资有限公司</w:t>
            </w:r>
          </w:p>
        </w:tc>
      </w:tr>
      <w:tr w14:paraId="70DF8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2678462">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 xml:space="preserve">评估期间或{{清单模板-数据表-B2}}</w:t>
            </w:r>
            <w:r>
              <w:rPr>
                <w:rFonts w:hint="eastAsia" w:ascii="Arial" w:hAnsi="Arial" w:eastAsia="微软雅黑" w:cs="Arial"/>
                <w:sz w:val="18"/>
                <w:szCs w:val="18"/>
              </w:rPr>
              <w:t/>
            </w:r>
            <w:r>
              <w:rPr>
                <w:rFonts w:ascii="Arial" w:hAnsi="Arial" w:eastAsia="微软雅黑" w:cs="Arial"/>
                <w:sz w:val="18"/>
                <w:szCs w:val="18"/>
              </w:rPr>
              <w:t/>
            </w:r>
          </w:p>
        </w:tc>
        <w:tc>
          <w:tcPr>
            <w:tcW w:w="5380" w:type="dxa"/>
            <w:vAlign w:val="center"/>
          </w:tcPr>
          <w:p w14:paraId="784E59FF">
            <w:pPr>
              <w:widowControl w:val="0"/>
              <w:snapToGrid w:val="0"/>
              <w:spacing w:before="0" w:after="0"/>
              <w:ind w:left="0" w:right="0"/>
              <w:rPr>
                <w:rFonts w:ascii="Arial" w:hAnsi="Arial" w:eastAsia="微软雅黑" w:cs="Arial"/>
                <w:sz w:val="18"/>
                <w:szCs w:val="18"/>
              </w:rPr>
            </w:pPr>
            <w:r>
              <w:rPr>
                <w:rFonts w:hint="eastAsia" w:ascii="Arial" w:hAnsi="Arial" w:eastAsia="微软雅黑" w:cs="Arial"/>
                <w:sz w:val="18"/>
                <w:szCs w:val="18"/>
              </w:rPr>
              <w:t xml:space="preserve">{{清单模板-数据表-B2}}1月1日至{{清单模板-数据表-B2}}12月31日</w:t>
            </w:r>
            <w:r>
              <w:rPr>
                <w:rFonts w:ascii="Arial" w:hAnsi="Arial" w:eastAsia="微软雅黑" w:cs="Arial"/>
                <w:sz w:val="18"/>
                <w:szCs w:val="18"/>
              </w:rPr>
              <w:t/>
            </w:r>
            <w:r>
              <w:rPr>
                <w:rFonts w:hint="eastAsia" w:ascii="Arial" w:hAnsi="Arial" w:eastAsia="微软雅黑" w:cs="Arial"/>
                <w:sz w:val="18"/>
                <w:szCs w:val="18"/>
              </w:rPr>
              <w:t/>
            </w:r>
            <w:r>
              <w:rPr>
                <w:rFonts w:ascii="Arial" w:hAnsi="Arial" w:eastAsia="微软雅黑" w:cs="Arial"/>
                <w:sz w:val="18"/>
                <w:szCs w:val="18"/>
              </w:rPr>
              <w:t/>
            </w:r>
          </w:p>
        </w:tc>
      </w:tr>
      <w:tr w14:paraId="1A9C8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4A46D16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国税总局</w:t>
            </w:r>
          </w:p>
        </w:tc>
        <w:tc>
          <w:tcPr>
            <w:tcW w:w="5380" w:type="dxa"/>
            <w:vAlign w:val="center"/>
          </w:tcPr>
          <w:p w14:paraId="19DBA6D9">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中华人民共和国国家税务总局</w:t>
            </w:r>
          </w:p>
        </w:tc>
      </w:tr>
      <w:tr w14:paraId="61A6F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02942DF8">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企业所得税法</w:t>
            </w:r>
          </w:p>
        </w:tc>
        <w:tc>
          <w:tcPr>
            <w:tcW w:w="5380" w:type="dxa"/>
            <w:vAlign w:val="center"/>
          </w:tcPr>
          <w:p w14:paraId="09B436C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《中华人民共和国企业所得税法》及其实施条例</w:t>
            </w:r>
          </w:p>
        </w:tc>
      </w:tr>
      <w:tr w14:paraId="1E333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C5E842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税收征管法</w:t>
            </w:r>
          </w:p>
        </w:tc>
        <w:tc>
          <w:tcPr>
            <w:tcW w:w="5380" w:type="dxa"/>
            <w:vAlign w:val="center"/>
          </w:tcPr>
          <w:p w14:paraId="31016959">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《中华人民共和国税收征收管理法》及其实施细则</w:t>
            </w:r>
          </w:p>
        </w:tc>
      </w:tr>
      <w:tr w14:paraId="55D7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E74B768">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[2016]42号公告</w:t>
            </w:r>
          </w:p>
        </w:tc>
        <w:tc>
          <w:tcPr>
            <w:tcW w:w="5380" w:type="dxa"/>
            <w:vAlign w:val="center"/>
          </w:tcPr>
          <w:p w14:paraId="4EACCA40">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国家税务总局公告2016年第42号《关于完善关联申报和同期资料管理有关事项的公告》</w:t>
            </w:r>
          </w:p>
        </w:tc>
      </w:tr>
      <w:tr w14:paraId="49DA6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59E75F2">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[2017]6号公告</w:t>
            </w:r>
          </w:p>
        </w:tc>
        <w:tc>
          <w:tcPr>
            <w:tcW w:w="5380" w:type="dxa"/>
            <w:vAlign w:val="center"/>
          </w:tcPr>
          <w:p w14:paraId="3B1FB11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国家税务总局公告2017年第6号关于发布《特别纳税调查调整及相互协商程序管理办法》的公告</w:t>
            </w:r>
          </w:p>
        </w:tc>
      </w:tr>
      <w:tr w14:paraId="4692A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A3F069F">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 xml:space="preserve">OECD </w:t>
            </w:r>
          </w:p>
        </w:tc>
        <w:tc>
          <w:tcPr>
            <w:tcW w:w="5380" w:type="dxa"/>
            <w:vAlign w:val="center"/>
          </w:tcPr>
          <w:p w14:paraId="3EEDDF0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经济合作与发展组织</w:t>
            </w:r>
          </w:p>
        </w:tc>
      </w:tr>
      <w:tr w14:paraId="15064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0443B1C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OECD转让定价指南</w:t>
            </w:r>
          </w:p>
        </w:tc>
        <w:tc>
          <w:tcPr>
            <w:tcW w:w="5380" w:type="dxa"/>
            <w:vAlign w:val="center"/>
          </w:tcPr>
          <w:p w14:paraId="34073EF0">
            <w:pPr>
              <w:widowControl w:val="0"/>
              <w:snapToGrid w:val="0"/>
              <w:spacing w:before="0" w:after="0"/>
              <w:ind w:left="0" w:right="0"/>
              <w:rPr>
                <w:rFonts w:ascii="Arial" w:hAnsi="Arial" w:eastAsia="微软雅黑" w:cs="Arial"/>
                <w:sz w:val="18"/>
                <w:szCs w:val="18"/>
              </w:rPr>
            </w:pPr>
            <w:r>
              <w:rPr>
                <w:rFonts w:hint="eastAsia" w:ascii="Arial" w:hAnsi="Arial" w:eastAsia="微软雅黑" w:cs="Arial"/>
                <w:sz w:val="18"/>
                <w:szCs w:val="18"/>
              </w:rPr>
              <w:t xml:space="preserve">2022年版《OECD跨国企业与税务机关转让定价指南》</w:t>
            </w:r>
            <w:r>
              <w:rPr>
                <w:rFonts w:ascii="Arial" w:hAnsi="Arial" w:eastAsia="微软雅黑" w:cs="Arial"/>
                <w:sz w:val="18"/>
                <w:szCs w:val="18"/>
              </w:rPr>
              <w:t/>
            </w:r>
            <w:r>
              <w:rPr>
                <w:rFonts w:hint="eastAsia" w:ascii="Arial" w:hAnsi="Arial" w:eastAsia="微软雅黑" w:cs="Arial"/>
                <w:sz w:val="18"/>
                <w:szCs w:val="18"/>
              </w:rPr>
              <w:t/>
            </w:r>
            <w:r>
              <w:rPr>
                <w:rFonts w:ascii="Arial" w:hAnsi="Arial" w:eastAsia="微软雅黑" w:cs="Arial"/>
                <w:sz w:val="18"/>
                <w:szCs w:val="18"/>
              </w:rPr>
              <w:t/>
            </w:r>
          </w:p>
        </w:tc>
      </w:tr>
      <w:tr w14:paraId="5E08C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BE16046">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中国转让定价法律、法规</w:t>
            </w:r>
          </w:p>
        </w:tc>
        <w:tc>
          <w:tcPr>
            <w:tcW w:w="5380" w:type="dxa"/>
            <w:vAlign w:val="center"/>
          </w:tcPr>
          <w:p w14:paraId="00372165">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《中华人民共和国企业所得税法》及其实施条例第六章“特别纳税调整”，《中华人民共和国税收征收管理法》第三十六条，国税总局颁布[2016]42号公告、[2017]6号公告及其他有关转让定价管理的规章和规范性文件</w:t>
            </w:r>
          </w:p>
        </w:tc>
      </w:tr>
      <w:tr w14:paraId="7A777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12271AFB">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SIC代码</w:t>
            </w:r>
          </w:p>
        </w:tc>
        <w:tc>
          <w:tcPr>
            <w:tcW w:w="5380" w:type="dxa"/>
            <w:vAlign w:val="center"/>
          </w:tcPr>
          <w:p w14:paraId="0142CB21">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美国标准行业分类代码</w:t>
            </w:r>
          </w:p>
        </w:tc>
      </w:tr>
      <w:bookmarkEnd w:id="1"/>
    </w:tbl>
    <w:p w14:paraId="51FD2576">
      <w:pPr>
        <w:snapToGrid w:val="0"/>
        <w:ind w:left="0"/>
        <w:rPr>
          <w:rFonts w:ascii="Arial" w:hAnsi="Arial" w:eastAsia="微软雅黑" w:cs="Arial"/>
          <w:sz w:val="22"/>
          <w:szCs w:val="22"/>
        </w:rPr>
        <w:sectPr>
          <w:headerReference r:id="rId13" w:type="first"/>
          <w:headerReference r:id="rId11" w:type="default"/>
          <w:footerReference r:id="rId14" w:type="default"/>
          <w:headerReference r:id="rId12" w:type="even"/>
          <w:pgSz w:w="11906" w:h="16838"/>
          <w:pgMar w:top="1440" w:right="1800" w:bottom="1440" w:left="1800" w:header="567" w:footer="567" w:gutter="0"/>
          <w:pgNumType w:start="1"/>
          <w:cols w:space="720" w:num="1"/>
          <w:docGrid w:type="lines" w:linePitch="326" w:charSpace="0"/>
        </w:sectPr>
      </w:pPr>
    </w:p>
    <w:p w14:paraId="77930278">
      <w:pPr>
        <w:pStyle w:val="98"/>
        <w:numPr>
          <w:ilvl w:val="0"/>
          <w:numId w:val="11"/>
        </w:numPr>
        <w:snapToGrid w:val="0"/>
        <w:spacing w:before="100" w:beforeAutospacing="1" w:after="100" w:afterAutospacing="1"/>
        <w:ind w:left="0" w:right="0" w:firstLine="0" w:firstLineChars="0"/>
        <w:outlineLvl w:val="0"/>
        <w:rPr>
          <w:rFonts w:ascii="Arial" w:hAnsi="Arial" w:eastAsia="微软雅黑" w:cs="Arial"/>
          <w:color w:val="4F81BD"/>
          <w:sz w:val="28"/>
          <w:szCs w:val="22"/>
        </w:rPr>
      </w:pPr>
      <w:bookmarkStart w:id="8" w:name="_Toc47699998"/>
      <w:bookmarkStart w:id="9" w:name="_Toc6913"/>
      <w:bookmarkStart w:id="10" w:name="_Toc522015180"/>
      <w:bookmarkStart w:id="11" w:name="_Toc76668367"/>
      <w:bookmarkStart w:id="12" w:name="_Toc22397"/>
      <w:bookmarkStart w:id="13" w:name="_Toc202797542"/>
      <w:r>
        <w:rPr>
          <w:rFonts w:ascii="Arial" w:hAnsi="Arial" w:eastAsia="微软雅黑" w:cs="Arial"/>
          <w:color w:val="4F81BD"/>
          <w:sz w:val="28"/>
          <w:szCs w:val="22"/>
        </w:rPr>
        <w:t>报告摘要</w:t>
      </w:r>
      <w:bookmarkEnd w:id="8"/>
      <w:bookmarkEnd w:id="9"/>
      <w:bookmarkEnd w:id="10"/>
      <w:bookmarkEnd w:id="11"/>
      <w:bookmarkEnd w:id="12"/>
      <w:bookmarkEnd w:id="13"/>
    </w:p>
    <w:p w14:paraId="5DD2B74B">
      <w:pPr>
        <w:pStyle w:val="27"/>
        <w:numPr>
          <w:ilvl w:val="1"/>
          <w:numId w:val="11"/>
        </w:numPr>
        <w:snapToGrid w:val="0"/>
        <w:spacing w:before="163" w:after="163"/>
        <w:rPr>
          <w:rFonts w:ascii="Arial" w:hAnsi="Arial" w:eastAsia="微软雅黑" w:cs="Arial"/>
          <w:b w:val="0"/>
          <w:bCs w:val="0"/>
          <w:i w:val="0"/>
          <w:color w:val="4F81BD"/>
          <w:sz w:val="22"/>
          <w:szCs w:val="22"/>
        </w:rPr>
      </w:pPr>
      <w:bookmarkStart w:id="14" w:name="_Toc47699999"/>
      <w:bookmarkStart w:id="15" w:name="_Toc533"/>
      <w:bookmarkStart w:id="16" w:name="_Toc522015181"/>
      <w:bookmarkStart w:id="17" w:name="_Toc5446"/>
      <w:bookmarkStart w:id="18" w:name="_Toc202797543"/>
      <w:bookmarkStart w:id="19" w:name="_Toc76668368"/>
      <w:bookmarkStart w:id="20" w:name="_Toc19385"/>
      <w:r>
        <w:rPr>
          <w:rFonts w:ascii="Arial" w:hAnsi="Arial" w:eastAsia="微软雅黑" w:cs="Arial"/>
          <w:b w:val="0"/>
          <w:bCs w:val="0"/>
          <w:i w:val="0"/>
          <w:color w:val="4F81BD"/>
          <w:sz w:val="22"/>
          <w:szCs w:val="22"/>
        </w:rPr>
        <w:t>范围和目的</w:t>
      </w:r>
      <w:bookmarkEnd w:id="14"/>
      <w:bookmarkEnd w:id="15"/>
      <w:bookmarkEnd w:id="16"/>
      <w:bookmarkEnd w:id="17"/>
      <w:bookmarkEnd w:id="18"/>
      <w:bookmarkEnd w:id="19"/>
      <w:bookmarkEnd w:id="20"/>
    </w:p>
    <w:p w14:paraId="77CEA244">
      <w:pPr>
        <w:snapToGrid w:val="0"/>
        <w:spacing w:before="163" w:beforeLines="50" w:after="163" w:afterLines="50"/>
        <w:ind w:firstLine="440" w:firstLineChars="200"/>
        <w:rPr>
          <w:rFonts w:ascii="Arial" w:hAnsi="Arial" w:eastAsia="微软雅黑" w:cs="Arial"/>
          <w:sz w:val="22"/>
          <w:szCs w:val="22"/>
        </w:rPr>
      </w:pPr>
      <w:bookmarkStart w:id="21" w:name="_Toc9378"/>
      <w:r>
        <w:rPr>
          <w:rFonts w:ascii="Arial" w:hAnsi="Arial" w:eastAsia="微软雅黑" w:cs="Arial"/>
          <w:sz w:val="22"/>
          <w:szCs w:val="22"/>
        </w:rPr>
        <w:t xml:space="preserve">{{清单模板-数据表-B3}}（以下简称“立信”或“我们”）接受{{清单模板-数据表-B1}}（以下简称“{{清单模板-数据表-B5}}”或“本公司”）的委托，协助准备{{清单模板-数据表-B2}}（以下简称“评估期间”或“{{清单模板-数据表-B2}}”）的关联交易同期资料的本地文档报告（以下简称“本报告”）。</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D340BBB">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清单模板-数据表-B2}}，{{清单模板-数据表-B5}}和其境内外关联方（以下合称“关联企业”）进行了一系列关联交易，交易内容包括关联购销、关联劳务以及关联资金融通。由于{{清单模板-数据表-B5}}与关联方之间的购销交易合计金额为461,460,873.88元，关联劳务交易合计金额为57,061,901.88元，因此{{清单模板-数据表-B5}}除应按规定遵守中国转让定价相关的所得税法规，包括须遵循国务院令[2007]512号文（即《企业所得税法实施条例》）第110条所规定的独立交易原则，还须按[2016]42号公告第14条及第19条所列明的详细要求以及有关规定准备同期资料及其他相关材料。</w:t>
      </w:r>
      <w:r>
        <w:rPr>
          <w:rFonts w:ascii="Arial" w:hAnsi="Arial" w:eastAsia="微软雅黑" w:cs="Arial"/>
          <w:sz w:val="22"/>
          <w:szCs w:val="22"/>
        </w:rPr>
        <w:t/>
      </w:r>
    </w:p>
    <w:p w14:paraId="60B2D6A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依照[2016]42号公告第14条的相关规定，本报告将作为{{清单模板-数据表-B5}}{{清单模板-数据表-B2}}的同期资料，旨在对其与其关联方在截至{{清单模板-数据表-B2}}12月31日前发生的受测关联交易进行分析和说明。</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7E2B19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仅旨在说明{{清单模板-数据表-B5}}受测关联交易的转让定价安排是否符合独立交易原则且/或没有造成其应纳税收入或应纳税所得额的不合理的减少等相关税务问题。其他任何税务事宜（例如消费税、增值税，或是由受测关联交易所引起的其他单个或多重纳税义务）不在本报告的分析范围内。</w:t>
      </w:r>
    </w:p>
    <w:p w14:paraId="5EC2F824">
      <w:pPr>
        <w:pStyle w:val="27"/>
        <w:numPr>
          <w:ilvl w:val="1"/>
          <w:numId w:val="11"/>
        </w:numPr>
        <w:snapToGrid w:val="0"/>
        <w:spacing w:before="163" w:after="163"/>
        <w:rPr>
          <w:rFonts w:ascii="Arial" w:hAnsi="Arial" w:eastAsia="微软雅黑" w:cs="Arial"/>
          <w:b w:val="0"/>
          <w:bCs w:val="0"/>
          <w:i w:val="0"/>
          <w:color w:val="4F81BD"/>
          <w:sz w:val="22"/>
          <w:szCs w:val="22"/>
        </w:rPr>
      </w:pPr>
      <w:bookmarkStart w:id="22" w:name="_Toc23456"/>
      <w:bookmarkStart w:id="23" w:name="_Toc202797544"/>
      <w:bookmarkStart w:id="24" w:name="_Toc9314"/>
      <w:bookmarkStart w:id="25" w:name="_Toc76668369"/>
      <w:bookmarkStart w:id="26" w:name="_Toc522015182"/>
      <w:bookmarkStart w:id="27" w:name="_Toc47700000"/>
      <w:r>
        <w:rPr>
          <w:rFonts w:ascii="Arial" w:hAnsi="Arial" w:eastAsia="微软雅黑" w:cs="Arial"/>
          <w:b w:val="0"/>
          <w:bCs w:val="0"/>
          <w:i w:val="0"/>
          <w:color w:val="4F81BD"/>
          <w:sz w:val="22"/>
          <w:szCs w:val="22"/>
        </w:rPr>
        <w:t>受测关联交易</w:t>
      </w:r>
      <w:bookmarkEnd w:id="21"/>
      <w:bookmarkEnd w:id="22"/>
      <w:bookmarkEnd w:id="23"/>
      <w:bookmarkEnd w:id="24"/>
      <w:bookmarkEnd w:id="25"/>
      <w:bookmarkEnd w:id="26"/>
      <w:bookmarkEnd w:id="27"/>
    </w:p>
    <w:p w14:paraId="78B66F9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评估期间，{{清单模板-数据表-B5}}的主要关联交易为：</w:t>
      </w:r>
    </w:p>
    <w:p w14:paraId="09E2FC80">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{{清单模板-数据表-B5}}从关联方采购以及向关联方销售货物；</w:t>
      </w:r>
    </w:p>
    <w:p w14:paraId="63FD607D">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 xml:space="preserve">{{清单模板-数据表-B5}}从关联方接受服务以及向关联方提供服务； </w:t>
      </w:r>
    </w:p>
    <w:p w14:paraId="0A6B78C6">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{{清单模板-数据表-B5}}参与集团现金池。</w:t>
      </w:r>
    </w:p>
    <w:p w14:paraId="580503D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上述关联交易，以下简称“受测关联交易”。其他任何涉及{{清单模板-数据表-B5}}和其他关联公司或分支机构的关联交易不在本报告的分析范围内。</w:t>
      </w:r>
    </w:p>
    <w:p w14:paraId="53714CFC">
      <w:pPr>
        <w:pStyle w:val="27"/>
        <w:numPr>
          <w:ilvl w:val="1"/>
          <w:numId w:val="11"/>
        </w:numPr>
        <w:snapToGrid w:val="0"/>
        <w:spacing w:before="163" w:after="163"/>
        <w:rPr>
          <w:rFonts w:ascii="Arial" w:hAnsi="Arial" w:eastAsia="微软雅黑" w:cs="Arial"/>
          <w:b w:val="0"/>
          <w:bCs w:val="0"/>
          <w:i w:val="0"/>
          <w:color w:val="4F81BD"/>
          <w:sz w:val="22"/>
          <w:szCs w:val="22"/>
        </w:rPr>
      </w:pPr>
      <w:bookmarkStart w:id="28" w:name="_Toc76668370"/>
      <w:bookmarkStart w:id="29" w:name="_Toc11376"/>
      <w:bookmarkStart w:id="30" w:name="_Toc202797545"/>
      <w:bookmarkStart w:id="31" w:name="_Toc47700001"/>
      <w:bookmarkStart w:id="32" w:name="_Toc5702"/>
      <w:r>
        <w:rPr>
          <w:rFonts w:ascii="Arial" w:hAnsi="Arial" w:eastAsia="微软雅黑" w:cs="Arial"/>
          <w:b w:val="0"/>
          <w:bCs w:val="0"/>
          <w:i w:val="0"/>
          <w:color w:val="4F81BD"/>
          <w:sz w:val="22"/>
          <w:szCs w:val="22"/>
        </w:rPr>
        <w:t>功能和风险分析及价值链分析总结</w:t>
      </w:r>
      <w:bookmarkEnd w:id="28"/>
      <w:bookmarkEnd w:id="29"/>
      <w:bookmarkEnd w:id="30"/>
      <w:bookmarkEnd w:id="31"/>
      <w:bookmarkEnd w:id="32"/>
    </w:p>
    <w:p w14:paraId="3CA33F6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从功能和风险角度判断，{{清单模板-数据表-B5}}在关联销售中主要承担有限的研发功能、采购功能、生产功能、质量控制功能、存货管理功能以及一般行政管理功能；{{清单模板-数据表-B5}}主要承担有限的市场风险、有限的研发风险、有限的生产风险、有限的存货风险、产品责任风险以及汇率风险。因此，在关联销售中，{{清单模板-数据表-B5}}承担一定的风险。</w:t>
      </w:r>
    </w:p>
    <w:p w14:paraId="5DC3524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第三方销售中，{{清单模板-数据表-B5}}承担了相对更多的功能风险，履行的功能包括市场营销和销售、工程设计、售后服务以及付款请求和回收，同时承担主要的市场风险和债权回收风险。{{清单模板-数据表-B5}}并不拥有非常规营销类无形资产和由其境外关联方创造的非常规制造类无形资产的所有权。评估期间，{{清单模板-数据表-B5}}进行产品的本地化技术改良以及设计工作，并且拥有与产品本地化相关的技术。因此，在非关联销售中，{{清单模板-数据表-B5}}承担较多风险。</w:t>
      </w:r>
    </w:p>
    <w:p w14:paraId="2938C9D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在整个集团经营活动中，{{清单模板-数据表-B5}}作为履行上述功能并且承担上述风险的生产制造商，利润水平和其承担的功能风险相匹配。</w:t>
      </w:r>
    </w:p>
    <w:p w14:paraId="02A4C2C2">
      <w:pPr>
        <w:pStyle w:val="27"/>
        <w:numPr>
          <w:ilvl w:val="1"/>
          <w:numId w:val="11"/>
        </w:numPr>
        <w:snapToGrid w:val="0"/>
        <w:spacing w:before="163" w:after="163"/>
        <w:rPr>
          <w:rFonts w:ascii="Arial" w:hAnsi="Arial" w:eastAsia="微软雅黑" w:cs="Arial"/>
          <w:b w:val="0"/>
          <w:bCs w:val="0"/>
          <w:i w:val="0"/>
          <w:color w:val="4F81BD"/>
          <w:sz w:val="22"/>
          <w:szCs w:val="22"/>
        </w:rPr>
      </w:pPr>
      <w:bookmarkStart w:id="33" w:name="_Toc435807828"/>
      <w:bookmarkStart w:id="34" w:name="_Toc16820"/>
      <w:bookmarkStart w:id="35" w:name="_Toc447817170"/>
      <w:bookmarkStart w:id="36" w:name="_Toc202797546"/>
      <w:bookmarkStart w:id="37" w:name="_Toc30121"/>
      <w:bookmarkStart w:id="38" w:name="_Toc47700002"/>
      <w:bookmarkStart w:id="39" w:name="_Toc2006"/>
      <w:bookmarkStart w:id="40" w:name="_Toc76668371"/>
      <w:bookmarkStart w:id="41" w:name="_Toc522015183"/>
      <w:r>
        <w:rPr>
          <w:rFonts w:ascii="Arial" w:hAnsi="Arial" w:eastAsia="微软雅黑" w:cs="Arial"/>
          <w:b w:val="0"/>
          <w:bCs w:val="0"/>
          <w:i w:val="0"/>
          <w:color w:val="4F81BD"/>
          <w:sz w:val="22"/>
          <w:szCs w:val="22"/>
        </w:rPr>
        <w:t xml:space="preserve">经济分析总结 —— 对受测关联交易的分析</w:t>
      </w:r>
      <w:bookmarkEnd w:id="33"/>
      <w:bookmarkEnd w:id="34"/>
      <w:bookmarkEnd w:id="35"/>
      <w:r>
        <w:rPr>
          <w:rFonts w:ascii="Arial" w:hAnsi="Arial" w:eastAsia="微软雅黑" w:cs="Arial"/>
          <w:b w:val="0"/>
          <w:bCs w:val="0"/>
          <w:i w:val="0"/>
          <w:color w:val="4F81BD"/>
          <w:sz w:val="22"/>
          <w:szCs w:val="22"/>
        </w:rPr>
        <w:t xml:space="preserve"/>
      </w:r>
      <w:bookmarkStart w:id="42" w:name="_Toc447817171"/>
      <w:bookmarkStart w:id="43" w:name="_Toc15689"/>
      <w:bookmarkStart w:id="44" w:name="_Toc435807829"/>
      <w:r>
        <w:rPr>
          <w:rFonts w:ascii="Arial" w:hAnsi="Arial" w:eastAsia="微软雅黑" w:cs="Arial"/>
          <w:b w:val="0"/>
          <w:bCs w:val="0"/>
          <w:i w:val="0"/>
          <w:color w:val="4F81BD"/>
          <w:sz w:val="22"/>
          <w:szCs w:val="22"/>
        </w:rPr>
        <w:t/>
      </w:r>
      <w:bookmarkEnd w:id="36"/>
      <w:bookmarkEnd w:id="37"/>
      <w:bookmarkEnd w:id="38"/>
      <w:bookmarkEnd w:id="39"/>
      <w:bookmarkEnd w:id="40"/>
      <w:bookmarkEnd w:id="41"/>
      <w:bookmarkEnd w:id="42"/>
      <w:bookmarkEnd w:id="43"/>
      <w:bookmarkEnd w:id="44"/>
    </w:p>
    <w:p w14:paraId="05D04B0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基于{{清单模板-数据表-B5}}对集团整体利润或者剩余利润所做的贡献，以及其所承担的功能风险，对中国转让定价法规以及OECD转让定价指南中列明的常用转让定价评估方法进行了比较和研究。我们最终选择{{清单模板-数据表-B5}}作为验证对象，选用交易净利润法作为分析方法，以完全成本加成率作为利润水平指标对{{清单模板-数据表-B5}}的受测关联交易和转让定价进行了评估。</w:t>
      </w:r>
      <w:bookmarkStart w:id="45" w:name="OLE_LINK1"/>
      <w:r>
        <w:rPr>
          <w:rFonts w:ascii="Arial" w:hAnsi="Arial" w:eastAsia="微软雅黑" w:cs="Arial"/>
          <w:sz w:val="22"/>
          <w:szCs w:val="22"/>
        </w:rPr>
        <w:t/>
      </w:r>
      <w:bookmarkEnd w:id="45"/>
      <w:r>
        <w:rPr>
          <w:rFonts w:ascii="Arial" w:hAnsi="Arial" w:eastAsia="微软雅黑" w:cs="Arial"/>
          <w:sz w:val="22"/>
          <w:szCs w:val="22"/>
        </w:rPr>
        <w:t/>
      </w:r>
    </w:p>
    <w:p w14:paraId="22DBB22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我们选择{{清单模板-数据表-B5}}作为本报告的被验证对象从而分析其完全成本加成率。原因如下：1）{{清单模板-数据表-B5}}相对于关联方承担相对简单的制造相关的功能和风险；2）在关联交易中，相对于关联方，{{清单模板-数据表-B5}}的利润水平可以被更为有效地确定。因此，我们选择{{清单模板-数据表-B5}}作为本报告的被验证对象。我们通过选取与{{清单模板-数据表-B5}}在受测关联交易中从事相似业务的非受控公司，分析其财务数据，建立了一组符合独立交易原则的利润率区间。</w:t>
      </w:r>
    </w:p>
    <w:p w14:paraId="614F364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选取的可比非受控公司样本在2021到2023财务年度（“财年”）实现的加权平均完全成本加成率水平总结如下：</w:t>
      </w:r>
    </w:p>
    <w:p w14:paraId="36E195B3">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26F70993">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图表1：完全成本加成率的独立交易区间（2021财年到2023财年）</w:t>
      </w:r>
    </w:p>
    <w:tbl>
      <w:tblPr>
        <w:tblStyle w:val="29"/>
        <w:tblW w:w="63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56"/>
        <w:gridCol w:w="3123"/>
      </w:tblGrid>
      <w:tr w14:paraId="19BDE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3256" w:type="dxa"/>
            <w:shd w:val="clear" w:color="auto" w:fill="4F81BD"/>
            <w:vAlign w:val="center"/>
          </w:tcPr>
          <w:p w14:paraId="6E371E5F">
            <w:pPr>
              <w:pStyle w:val="26"/>
              <w:widowControl w:val="0"/>
              <w:autoSpaceDE w:val="0"/>
              <w:autoSpaceDN w:val="0"/>
              <w:snapToGrid w:val="0"/>
              <w:spacing w:before="0" w:beforeAutospacing="0" w:after="0" w:afterAutospacing="0"/>
              <w:ind w:left="0" w:right="0"/>
              <w:jc w:val="center"/>
              <w:rPr>
                <w:rFonts w:ascii="Arial" w:hAnsi="Arial" w:eastAsia="微软雅黑" w:cs="Arial"/>
                <w:b/>
                <w:color w:val="FFFFFF"/>
                <w:w w:val="95"/>
                <w:sz w:val="18"/>
                <w:szCs w:val="18"/>
                <w:lang w:bidi="ar"/>
              </w:rPr>
            </w:pPr>
            <w:r>
              <w:rPr>
                <w:rFonts w:ascii="Arial" w:hAnsi="Arial" w:eastAsia="微软雅黑" w:cs="Arial"/>
                <w:b/>
                <w:color w:val="FFFFFF"/>
                <w:w w:val="95"/>
                <w:sz w:val="18"/>
                <w:szCs w:val="18"/>
                <w:lang w:bidi="ar"/>
              </w:rPr>
              <w:t>四分位区间</w:t>
            </w:r>
          </w:p>
        </w:tc>
        <w:tc>
          <w:tcPr>
            <w:tcW w:w="3123" w:type="dxa"/>
            <w:shd w:val="clear" w:color="auto" w:fill="4F81BD"/>
            <w:vAlign w:val="center"/>
          </w:tcPr>
          <w:p w14:paraId="539517C6">
            <w:pPr>
              <w:pStyle w:val="26"/>
              <w:widowControl w:val="0"/>
              <w:autoSpaceDE w:val="0"/>
              <w:autoSpaceDN w:val="0"/>
              <w:snapToGrid w:val="0"/>
              <w:spacing w:before="0" w:beforeAutospacing="0" w:after="0" w:afterAutospacing="0"/>
              <w:ind w:left="0" w:right="0"/>
              <w:jc w:val="center"/>
              <w:rPr>
                <w:rFonts w:ascii="Arial" w:hAnsi="Arial" w:eastAsia="微软雅黑" w:cs="Arial"/>
                <w:b/>
                <w:color w:val="FFFFFF"/>
                <w:w w:val="95"/>
                <w:sz w:val="18"/>
                <w:szCs w:val="18"/>
                <w:lang w:bidi="ar"/>
              </w:rPr>
            </w:pPr>
            <w:r>
              <w:rPr>
                <w:rFonts w:ascii="Arial" w:hAnsi="Arial" w:eastAsia="微软雅黑" w:cs="Arial"/>
                <w:b/>
                <w:color w:val="FFFFFF"/>
                <w:w w:val="95"/>
                <w:sz w:val="18"/>
                <w:szCs w:val="18"/>
                <w:lang w:bidi="ar"/>
              </w:rPr>
              <w:t>加权平均完全成本加成率</w:t>
            </w:r>
          </w:p>
        </w:tc>
      </w:tr>
      <w:tr w14:paraId="73FEC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25F16565">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可比公司数量</w:t>
            </w:r>
          </w:p>
        </w:tc>
        <w:tc>
          <w:tcPr>
            <w:tcW w:w="3123" w:type="dxa"/>
            <w:vAlign w:val="center"/>
          </w:tcPr>
          <w:p w14:paraId="38CB8D76">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{{BVD数据模板-数据表-B1}}</w:t>
            </w:r>
          </w:p>
        </w:tc>
      </w:tr>
      <w:tr w14:paraId="11898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0F9C2B74">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上四分位数</w:t>
            </w:r>
          </w:p>
        </w:tc>
        <w:tc>
          <w:tcPr>
            <w:tcW w:w="3123" w:type="dxa"/>
            <w:vAlign w:val="center"/>
          </w:tcPr>
          <w:p w14:paraId="753BC88B">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{{BVD数据模板-数据表-B2}}</w:t>
            </w:r>
          </w:p>
        </w:tc>
      </w:tr>
      <w:tr w14:paraId="719E1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631A09D8">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中位值</w:t>
            </w:r>
          </w:p>
        </w:tc>
        <w:tc>
          <w:tcPr>
            <w:tcW w:w="3123" w:type="dxa"/>
            <w:vAlign w:val="center"/>
          </w:tcPr>
          <w:p w14:paraId="78F8889E">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{{BVD数据模板-数据表-B3}}</w:t>
            </w:r>
          </w:p>
        </w:tc>
      </w:tr>
      <w:tr w14:paraId="6E25B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59EBB877">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下四分位数</w:t>
            </w:r>
          </w:p>
        </w:tc>
        <w:tc>
          <w:tcPr>
            <w:tcW w:w="3123" w:type="dxa"/>
            <w:vAlign w:val="center"/>
          </w:tcPr>
          <w:p w14:paraId="431094B5">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{{BVD数据模板-数据表-B4}}</w:t>
            </w:r>
          </w:p>
        </w:tc>
      </w:tr>
    </w:tbl>
    <w:p w14:paraId="38042C1C">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如上图表所示，2021到2023财年加权平均完全成本加成率独立交易四分位区间为3.00%到12.74%，中位值为8.41%。{{清单模板-数据表-B5}}在{{清单模板-数据表-B2}}关联销售交易和非关联销售交易中取得的完全成本加成率分别为22.93%和21.63%，均高于可比非受控公司在2021到2023财年三年加权平均完全成本加成率的独立交易区间的中位值。因此，从中国转让定价角度，{{清单模板-数据表-B5}}在{{清单模板-数据表-B2}}受测关联交易中的转让定价安排未减少其应申报的应纳税收入或所得额。</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kern w:val="2"/>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131CF3EF">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46" w:name="_Toc6564"/>
      <w:bookmarkStart w:id="47" w:name="_Toc16429"/>
      <w:bookmarkStart w:id="48" w:name="_Toc47700003"/>
      <w:bookmarkStart w:id="49" w:name="_Toc76668372"/>
      <w:bookmarkStart w:id="50" w:name="_Toc12567"/>
      <w:bookmarkStart w:id="51" w:name="_Toc202797547"/>
      <w:bookmarkStart w:id="52" w:name="_Toc522015184"/>
      <w:r>
        <w:rPr>
          <w:rFonts w:ascii="Arial" w:hAnsi="Arial" w:eastAsia="微软雅黑" w:cs="Arial"/>
          <w:b w:val="0"/>
          <w:bCs w:val="0"/>
          <w:i w:val="0"/>
          <w:color w:val="4F81BD"/>
          <w:sz w:val="22"/>
          <w:szCs w:val="22"/>
        </w:rPr>
        <w:t>局限性</w:t>
      </w:r>
      <w:bookmarkEnd w:id="46"/>
      <w:bookmarkEnd w:id="47"/>
      <w:bookmarkEnd w:id="48"/>
      <w:bookmarkEnd w:id="49"/>
      <w:bookmarkEnd w:id="50"/>
      <w:bookmarkEnd w:id="51"/>
      <w:bookmarkEnd w:id="52"/>
    </w:p>
    <w:p w14:paraId="58C6CF6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中的转让定价分析是遵照中国转让定价法规的有关规定进行的，但其分析意见及结论仅代表我们对中国现行转让定价法规的理解与诠释，对中国税务机关不具有任何约束力。因此，本报告中的分析结论不应被视为会被中国税务机关接受，或{{清单模板-数据表-B5}}及其关联方在转让定价调查中免于税务调整的保证。但本报告应可以为{{清单模板-数据表-B5}}提供良好的文件支持以应对中国税务机关对{{清单模板-数据表-B5}}转让定价安排的初步质询，并有助{{清单模板-数据表-B5}}向税务机关展示其严肃对待纳税义务的努力。本报告所引用的{{清单模板-数据表-B5}}的数据均来源于{{清单模板-数据表-B5}}所提供的文件或信息。</w:t>
      </w:r>
    </w:p>
    <w:p w14:paraId="5E10338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在本报告中，我们并未对任何消费税、增值税或其他国家及地方税的纳税义务（无论该纳税义务是否由我们的转让定价分析意见所引起）进行审查。</w:t>
      </w:r>
    </w:p>
    <w:p w14:paraId="2E95C55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是由立信根据截止于报告提交日由{{清单模板-数据表-B5}}公司提供的相关事实而准备的。本报告以特定的事实和情况为基础，可能不适用于{{清单模板-数据表-B5}}公司之外的第三方。我们在准备本报告时仅从与{{清单模板-数据表-B5}}公司相关的问题角度出发，未计划或考虑将本报告提供给任何第三方使用。因此，立信及其合伙人、雇员和/或代理人将不会对任何第三方承担由此而引起的因违约或其它侵权行为（包括且不限于疏忽或违反法律义务的行为）而造成的任何损失、损害或费用的义务或责任。除非另有约定，立信及其任何参与本报告的人员均不会因为此报告而负有协助审计调查或举证的责任或义务。</w:t>
      </w:r>
    </w:p>
    <w:p w14:paraId="42BF974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本报告是依照[2016]42号公告第14条对同期资料的相关规定而准备，{{清单模板-数据表-B5}}公司可以在中国税务机关要求的情况下将本报告提交给中国税务机关。</w:t>
      </w:r>
    </w:p>
    <w:p w14:paraId="4B1A88D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任何包括在我们的服务合同中的限制性条款将同样适用于本报告。</w:t>
      </w:r>
      <w:r>
        <w:rPr>
          <w:rFonts w:ascii="Arial" w:hAnsi="Arial" w:eastAsia="微软雅黑" w:cs="Arial"/>
          <w:sz w:val="22"/>
          <w:szCs w:val="22"/>
        </w:rPr>
        <w:br w:type="page"/>
      </w:r>
    </w:p>
    <w:p w14:paraId="54011725">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53" w:name="_Toc522015185"/>
      <w:bookmarkStart w:id="54" w:name="_Toc8839"/>
      <w:bookmarkStart w:id="55" w:name="_Toc15402"/>
      <w:bookmarkStart w:id="56" w:name="_Toc76668373"/>
      <w:bookmarkStart w:id="57" w:name="_Toc47700004"/>
      <w:bookmarkStart w:id="58" w:name="_Toc202797548"/>
      <w:r>
        <w:rPr>
          <w:rFonts w:ascii="Arial" w:hAnsi="Arial" w:eastAsia="微软雅黑" w:cs="Arial"/>
          <w:color w:val="4F81BD"/>
          <w:sz w:val="28"/>
          <w:szCs w:val="22"/>
        </w:rPr>
        <w:t>企业概况</w:t>
      </w:r>
      <w:bookmarkEnd w:id="53"/>
      <w:bookmarkEnd w:id="54"/>
      <w:bookmarkEnd w:id="55"/>
      <w:bookmarkEnd w:id="56"/>
      <w:bookmarkEnd w:id="57"/>
      <w:bookmarkEnd w:id="58"/>
    </w:p>
    <w:p w14:paraId="48E1BB43">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59" w:name="_Toc16634"/>
      <w:bookmarkStart w:id="60" w:name="_Toc505"/>
      <w:bookmarkStart w:id="61" w:name="_Toc202797549"/>
      <w:bookmarkStart w:id="62" w:name="_Toc47700005"/>
      <w:bookmarkStart w:id="63" w:name="_Toc76668374"/>
      <w:bookmarkStart w:id="64" w:name="_Toc522015187"/>
      <w:bookmarkStart w:id="65" w:name="_Toc23219"/>
      <w:r>
        <w:rPr>
          <w:rFonts w:ascii="Arial" w:hAnsi="Arial" w:eastAsia="微软雅黑" w:cs="Arial"/>
          <w:b w:val="0"/>
          <w:bCs w:val="0"/>
          <w:i w:val="0"/>
          <w:color w:val="4F81BD"/>
          <w:sz w:val="22"/>
          <w:szCs w:val="22"/>
        </w:rPr>
        <w:t>集团概况</w:t>
      </w:r>
      <w:bookmarkEnd w:id="59"/>
      <w:bookmarkEnd w:id="60"/>
      <w:bookmarkEnd w:id="61"/>
      <w:bookmarkEnd w:id="62"/>
      <w:bookmarkEnd w:id="63"/>
    </w:p>
    <w:p w14:paraId="16D9C47F">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SPX FLOW, Inc.（以下简称“斯必克流体集团”）是一家提供高度专业化和工程化解决方案的全球供应商，总部位于美国北卡罗来纳州的夏洛特市。在超过30个国家拥有分支机构，产品行销全球140多个国家。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0"/>
      </w:r>
      <w:r>
        <w:rPr>
          <w:rFonts w:ascii="Arial" w:hAnsi="Arial" w:eastAsia="微软雅黑" w:cs="Arial"/>
          <w:sz w:val="22"/>
          <w:szCs w:val="22"/>
        </w:rPr>
        <w:t xml:space="preserve"/>
      </w:r>
    </w:p>
    <w:p w14:paraId="25E6E3C2">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斯必克流体集团服务于食品饮料、能源电力和一般工业三大终端市场，广泛的产品线涵盖：泵、阀门、搅拌机、过滤器、干燥机、液压工具、均质机、分离机、板式换热器以及相关售后市场的备件和服务，为全球的食品饮料、油气、发电（包括核电和传统电厂）、化工处理、压缩空气以及采矿等领域提供技术支持。</w:t>
      </w:r>
    </w:p>
    <w:p w14:paraId="25BC54EE">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斯必克流体集团与客户共同创新，持续为世界提供技术并致力于改善世界。 </w:t>
      </w:r>
    </w:p>
    <w:bookmarkEnd w:id="64"/>
    <w:bookmarkEnd w:id="65"/>
    <w:p w14:paraId="451304EE">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66" w:name="_Toc20692"/>
      <w:bookmarkStart w:id="67" w:name="_Toc47700006"/>
      <w:bookmarkStart w:id="68" w:name="_Toc11155"/>
      <w:bookmarkStart w:id="69" w:name="_Toc202797550"/>
      <w:bookmarkStart w:id="70" w:name="_Toc76668375"/>
      <w:r>
        <w:rPr>
          <w:rFonts w:ascii="Arial" w:hAnsi="Arial" w:eastAsia="微软雅黑" w:cs="Arial"/>
          <w:b w:val="0"/>
          <w:bCs w:val="0"/>
          <w:i w:val="0"/>
          <w:color w:val="4F81BD"/>
          <w:sz w:val="22"/>
          <w:szCs w:val="22"/>
        </w:rPr>
        <w:t>公司概况</w:t>
      </w:r>
      <w:bookmarkEnd w:id="66"/>
      <w:bookmarkEnd w:id="67"/>
      <w:bookmarkEnd w:id="68"/>
      <w:bookmarkEnd w:id="69"/>
      <w:bookmarkEnd w:id="70"/>
    </w:p>
    <w:p w14:paraId="05B0E978">
      <w:pPr>
        <w:pStyle w:val="21"/>
        <w:numPr>
          <w:ilvl w:val="2"/>
          <w:numId w:val="11"/>
        </w:numPr>
        <w:snapToGrid w:val="0"/>
        <w:spacing w:before="163" w:after="163"/>
        <w:ind w:left="0" w:leftChars="0" w:firstLine="0" w:firstLineChars="0"/>
        <w:rPr>
          <w:rFonts w:ascii="Arial" w:hAnsi="Arial" w:eastAsia="微软雅黑" w:cs="Arial"/>
          <w:b w:val="0"/>
          <w:i w:val="0"/>
          <w:color w:val="4F81BD"/>
          <w:sz w:val="22"/>
          <w:szCs w:val="22"/>
        </w:rPr>
      </w:pPr>
      <w:bookmarkStart w:id="71" w:name="_Toc1191"/>
      <w:bookmarkStart w:id="72" w:name="_Toc23576"/>
      <w:bookmarkStart w:id="73" w:name="_Toc76668376"/>
      <w:bookmarkStart w:id="74" w:name="_Toc47700007"/>
      <w:bookmarkStart w:id="75" w:name="_Toc202797551"/>
      <w:r>
        <w:rPr>
          <w:rFonts w:ascii="Arial" w:hAnsi="Arial" w:eastAsia="微软雅黑" w:cs="Arial"/>
          <w:b w:val="0"/>
          <w:i w:val="0"/>
          <w:color w:val="4F81BD"/>
          <w:sz w:val="22"/>
          <w:szCs w:val="22"/>
        </w:rPr>
        <w:t xml:space="preserve">公司基本信息</w:t>
      </w:r>
      <w:bookmarkEnd w:id="71"/>
      <w:bookmarkEnd w:id="72"/>
      <w:bookmarkEnd w:id="73"/>
      <w:bookmarkEnd w:id="74"/>
      <w:r>
        <w:rPr>
          <w:rStyle w:val="38"/>
          <w:rFonts w:ascii="Arial" w:hAnsi="Arial" w:eastAsia="微软雅黑" w:cs="Arial"/>
          <w:bCs w:val="0"/>
          <w:color w:val="4F81BD"/>
          <w:sz w:val="18"/>
          <w:szCs w:val="15"/>
        </w:rPr>
        <w:footnoteReference w:id="1"/>
      </w:r>
      <w:bookmarkEnd w:id="75"/>
    </w:p>
    <w:p w14:paraId="6D1573F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成立于2006年1月17日，经营期限为20年。公司主要从事研究、开发、生产、组装食品机械和饮料机械及其配套设备，销售公司自产产品并提供产品的售后服务。经过一系列合并、增资事项后，评估期间，公司注册资本为美元1,600万元。</w:t>
      </w:r>
    </w:p>
    <w:p w14:paraId="6B0F350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{{清单模板-数据表-B5}}的基本信息详见下表。</w:t>
      </w:r>
    </w:p>
    <w:p w14:paraId="41724D72">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图表2：{{清单模板-数据表-B5}}基本信息</w:t>
      </w:r>
    </w:p>
    <w:tbl>
      <w:tblPr>
        <w:tblStyle w:val="29"/>
        <w:tblW w:w="818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5"/>
        <w:gridCol w:w="6029"/>
      </w:tblGrid>
      <w:tr w14:paraId="53A82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5911EAA6">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公司名称</w:t>
            </w:r>
          </w:p>
        </w:tc>
        <w:tc>
          <w:tcPr>
            <w:tcW w:w="6029" w:type="dxa"/>
            <w:vAlign w:val="center"/>
          </w:tcPr>
          <w:p w14:paraId="1F63D326">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{{清单模板-数据表-B1}}</w:t>
            </w:r>
          </w:p>
        </w:tc>
      </w:tr>
      <w:tr w14:paraId="63761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7416935B">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经营地址</w:t>
            </w:r>
          </w:p>
        </w:tc>
        <w:tc>
          <w:tcPr>
            <w:tcW w:w="6029" w:type="dxa"/>
            <w:vAlign w:val="center"/>
          </w:tcPr>
          <w:p w14:paraId="211FFE93">
            <w:pPr>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上海市奉贤区南桥镇奉金路666号、668号1-4幢</w:t>
            </w:r>
          </w:p>
        </w:tc>
      </w:tr>
      <w:tr w14:paraId="3AC6B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43A76B68">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成立日期</w:t>
            </w:r>
          </w:p>
        </w:tc>
        <w:tc>
          <w:tcPr>
            <w:tcW w:w="6029" w:type="dxa"/>
            <w:vAlign w:val="center"/>
          </w:tcPr>
          <w:p w14:paraId="08D0512C">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2006年1月17日</w:t>
            </w:r>
          </w:p>
        </w:tc>
      </w:tr>
      <w:tr w14:paraId="0EC31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7468BAFE">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公司类型</w:t>
            </w:r>
          </w:p>
        </w:tc>
        <w:tc>
          <w:tcPr>
            <w:tcW w:w="6029" w:type="dxa"/>
            <w:vAlign w:val="center"/>
          </w:tcPr>
          <w:p w14:paraId="70DAA399">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有限责任公司（外国法人独资）</w:t>
            </w:r>
          </w:p>
        </w:tc>
      </w:tr>
      <w:tr w14:paraId="0EBDB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6C9E24D6">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投资方</w:t>
            </w:r>
          </w:p>
        </w:tc>
        <w:tc>
          <w:tcPr>
            <w:tcW w:w="6029" w:type="dxa"/>
            <w:vAlign w:val="center"/>
          </w:tcPr>
          <w:p w14:paraId="09F81EAE">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斯必克（中国）投资有限公司</w:t>
            </w:r>
          </w:p>
        </w:tc>
      </w:tr>
      <w:tr w14:paraId="0616A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1E93A23B">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经营期限</w:t>
            </w:r>
          </w:p>
        </w:tc>
        <w:tc>
          <w:tcPr>
            <w:tcW w:w="6029" w:type="dxa"/>
            <w:vAlign w:val="center"/>
          </w:tcPr>
          <w:p w14:paraId="20C37971">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20年</w:t>
            </w:r>
          </w:p>
        </w:tc>
      </w:tr>
      <w:tr w14:paraId="7F39F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2EF322DC">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注册资本</w:t>
            </w:r>
          </w:p>
        </w:tc>
        <w:tc>
          <w:tcPr>
            <w:tcW w:w="6029" w:type="dxa"/>
            <w:vAlign w:val="center"/>
          </w:tcPr>
          <w:p w14:paraId="408D13B6">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1600万美元</w:t>
            </w:r>
          </w:p>
        </w:tc>
      </w:tr>
      <w:tr w14:paraId="72627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5" w:hRule="exact"/>
        </w:trPr>
        <w:tc>
          <w:tcPr>
            <w:tcW w:w="2155" w:type="dxa"/>
            <w:shd w:val="clear" w:color="auto" w:fill="4F81BD"/>
            <w:vAlign w:val="center"/>
          </w:tcPr>
          <w:p w14:paraId="6D2D1913">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主要经营活动</w:t>
            </w:r>
          </w:p>
        </w:tc>
        <w:tc>
          <w:tcPr>
            <w:tcW w:w="6029" w:type="dxa"/>
            <w:vAlign w:val="center"/>
          </w:tcPr>
          <w:p w14:paraId="7627DD51">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研究、开发、生产、组装、检查和维修食品机械和饮料机械及其配套设备、流体搅拌机及配部件、浓度变送器及配部件、液压设备及配部件、举升设备及配部件、碾磨机及配部件、热交换器及配部件、过滤器、阀门及泵、仪器仪表、干燥、过滤和蒸发系统、设备及其配部件、电子测试、监控和检查设备及其配部件；销售公司自产产品；上述同类产品以及测试、测量系统级检测分析仪器、安全售检票系统及设备的批发、佣金代理（除拍卖外）、进出口业务，并提供产品的售后服务及相关技术咨询服务（不涉及国营贸易管理商品，涉及配额、许可证管理的商品，按国家有关规定办理申请）。【依法须经批准的项目，经相关部门批准后方可开展经营活动】</w:t>
            </w:r>
          </w:p>
        </w:tc>
      </w:tr>
      <w:tr w14:paraId="2573B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exact"/>
        </w:trPr>
        <w:tc>
          <w:tcPr>
            <w:tcW w:w="2155" w:type="dxa"/>
            <w:shd w:val="clear" w:color="auto" w:fill="4F81BD"/>
            <w:vAlign w:val="center"/>
          </w:tcPr>
          <w:p w14:paraId="4583A783">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{{清单模板-数据表-B2}}适用的企业所得税率</w:t>
            </w:r>
          </w:p>
        </w:tc>
        <w:tc>
          <w:tcPr>
            <w:tcW w:w="6029" w:type="dxa"/>
            <w:vAlign w:val="center"/>
          </w:tcPr>
          <w:p w14:paraId="66BE168B">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15%（高新技术企业）</w:t>
            </w:r>
          </w:p>
        </w:tc>
      </w:tr>
    </w:tbl>
    <w:p w14:paraId="63423E6B">
      <w:pPr>
        <w:pStyle w:val="21"/>
        <w:numPr>
          <w:ilvl w:val="2"/>
          <w:numId w:val="11"/>
        </w:numPr>
        <w:snapToGrid w:val="0"/>
        <w:spacing w:before="163" w:after="163"/>
        <w:ind w:left="0" w:leftChars="0" w:firstLine="0" w:firstLineChars="0"/>
        <w:rPr>
          <w:rFonts w:ascii="Arial" w:hAnsi="Arial" w:eastAsia="微软雅黑" w:cs="Arial"/>
          <w:b w:val="0"/>
          <w:i w:val="0"/>
          <w:color w:val="4F81BD"/>
          <w:sz w:val="22"/>
          <w:szCs w:val="22"/>
        </w:rPr>
      </w:pPr>
      <w:bookmarkStart w:id="76" w:name="_Toc2243"/>
      <w:bookmarkStart w:id="77" w:name="_Toc11960"/>
      <w:bookmarkStart w:id="78" w:name="_Toc47700008"/>
      <w:bookmarkStart w:id="79" w:name="_Toc76668377"/>
      <w:bookmarkStart w:id="80" w:name="_Toc202797552"/>
      <w:r>
        <w:rPr>
          <w:rFonts w:ascii="Arial" w:hAnsi="Arial" w:eastAsia="微软雅黑" w:cs="Arial"/>
          <w:b w:val="0"/>
          <w:i w:val="0"/>
          <w:color w:val="4F81BD"/>
          <w:sz w:val="22"/>
          <w:szCs w:val="22"/>
        </w:rPr>
        <w:t xml:space="preserve">公司组织结构图和主要部门</w:t>
      </w:r>
      <w:bookmarkEnd w:id="76"/>
      <w:bookmarkEnd w:id="77"/>
      <w:bookmarkEnd w:id="78"/>
      <w:bookmarkEnd w:id="79"/>
      <w:r>
        <w:rPr>
          <w:rFonts w:ascii="Arial" w:hAnsi="Arial" w:cs="Arial"/>
          <w:b w:val="0"/>
          <w:i w:val="0"/>
          <w:color w:val="4F81BD"/>
          <w:sz w:val="22"/>
          <w:szCs w:val="22"/>
          <w:vertAlign w:val="superscript"/>
        </w:rPr>
        <w:footnoteReference w:id="2"/>
      </w:r>
      <w:bookmarkEnd w:id="80"/>
    </w:p>
    <w:p w14:paraId="5A95964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截至{{清单模板-数据表-B2}}12月31日，{{清单模板-数据表-B5}}的管理组织结构显示如下：</w:t>
      </w:r>
    </w:p>
    <w:p w14:paraId="37B2E8C0">
      <w:pPr>
        <w:pStyle w:val="7"/>
        <w:snapToGrid w:val="0"/>
        <w:spacing w:after="163" w:afterLines="50"/>
        <w:jc w:val="center"/>
        <w:rPr>
          <w:rFonts w:ascii="Arial" w:hAnsi="Arial" w:eastAsia="微软雅黑" w:cs="Arial"/>
          <w:bCs w:val="0"/>
          <w:sz w:val="18"/>
          <w:szCs w:val="15"/>
        </w:rPr>
      </w:pPr>
      <w:bookmarkStart w:id="81" w:name="_Toc12286303"/>
      <w:r>
        <w:rPr>
          <w:rFonts w:ascii="Arial" w:hAnsi="Arial" w:eastAsia="微软雅黑" w:cs="Arial"/>
          <w:bCs w:val="0"/>
          <w:sz w:val="18"/>
          <w:szCs w:val="15"/>
        </w:rPr>
        <w:t>图表3：{{清单模板-数据表-B5}}的组织结构图</w:t>
      </w:r>
      <w:bookmarkEnd w:id="81"/>
    </w:p>
    <w:p w14:paraId="6597E81D">
      <w:pPr>
        <w:widowControl w:val="0"/>
        <w:snapToGrid w:val="0"/>
        <w:spacing w:before="0" w:after="0"/>
        <w:ind w:left="0" w:right="0"/>
        <w:jc w:val="center"/>
        <w:rPr>
          <w:rFonts w:ascii="Arial" w:hAnsi="Arial" w:eastAsia="微软雅黑" w:cs="Arial"/>
          <w:i/>
          <w:iCs/>
          <w:sz w:val="16"/>
          <w:szCs w:val="16"/>
        </w:rPr>
      </w:pPr>
      <w:r>
        <w:rPr>
          <w:rFonts w:ascii="Arial" w:hAnsi="Arial" w:eastAsia="微软雅黑" w:cs="Arial"/>
          <w:b/>
          <w:kern w:val="2"/>
          <w:sz w:val="22"/>
          <w:szCs w:val="20"/>
        </w:rPr>
        <w:drawing>
          <wp:inline distT="0" distB="0" distL="0" distR="0">
            <wp:extent cx="5429885" cy="239014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468931" cy="2407745"/>
                    </a:xfrm>
                    <a:prstGeom prst="rect">
                      <a:avLst/>
                    </a:prstGeom>
                    <a:noFill/>
                  </pic:spPr>
                </pic:pic>
              </a:graphicData>
            </a:graphic>
          </wp:inline>
        </w:drawing>
      </w:r>
    </w:p>
    <w:p w14:paraId="0FB07CA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截至{{清单模板-数据表-B2}}12月31日，{{清单模板-数据表-B5}}的主要业务部门和职责范围显示如下，各部门负责人汇报的对象均为位于上海的工厂厂长办公室：</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00A9C2AC">
      <w:pPr>
        <w:pStyle w:val="7"/>
        <w:snapToGrid w:val="0"/>
        <w:jc w:val="center"/>
        <w:rPr>
          <w:rFonts w:ascii="Arial" w:hAnsi="Arial" w:eastAsia="微软雅黑" w:cs="Arial"/>
          <w:bCs w:val="0"/>
          <w:sz w:val="18"/>
          <w:szCs w:val="18"/>
        </w:rPr>
      </w:pPr>
      <w:bookmarkStart w:id="82" w:name="_Toc12286290"/>
      <w:r>
        <w:rPr>
          <w:rFonts w:ascii="Arial" w:hAnsi="Arial" w:eastAsia="微软雅黑" w:cs="Arial"/>
          <w:bCs w:val="0"/>
          <w:sz w:val="18"/>
          <w:szCs w:val="18"/>
        </w:rPr>
        <w:t>图表4：{{清单模板-数据表-B5}}部门结构</w:t>
      </w:r>
      <w:bookmarkEnd w:id="82"/>
    </w:p>
    <w:tbl>
      <w:tblPr>
        <w:tblStyle w:val="1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2"/>
        <w:gridCol w:w="919"/>
        <w:gridCol w:w="5975"/>
      </w:tblGrid>
      <w:tr w14:paraId="0890D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402" w:type="dxa"/>
            <w:tcBorders>
              <w:top w:val="nil"/>
              <w:left w:val="nil"/>
              <w:bottom w:val="nil"/>
              <w:right w:val="nil"/>
              <w:insideV w:val="nil"/>
            </w:tcBorders>
            <w:shd w:val="clear" w:color="auto" w:fill="4F81BD"/>
            <w:vAlign w:val="center"/>
          </w:tcPr>
          <w:p w14:paraId="0B9DEAF9">
            <w:pPr>
              <w:snapToGrid w:val="0"/>
              <w:spacing w:before="0" w:after="0"/>
              <w:ind w:left="0" w:right="0"/>
              <w:jc w:val="center"/>
              <w:rPr>
                <w:rFonts w:ascii="Arial" w:hAnsi="Arial" w:eastAsia="微软雅黑" w:cs="Arial"/>
                <w:b/>
                <w:bCs w:val="0"/>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{{清单模板-1_组织结构及管理架构}}</w:t>
            </w:r>
          </w:p>
        </w:tc>
        <w:tc>
          <w:tcPr>
            <w:tcW w:w="919" w:type="dxa"/>
            <w:tcBorders>
              <w:top w:val="nil"/>
              <w:bottom w:val="nil"/>
              <w:right w:val="nil"/>
              <w:insideV w:val="nil"/>
            </w:tcBorders>
            <w:shd w:val="clear" w:color="auto" w:fill="4F81BD"/>
            <w:vAlign w:val="center"/>
          </w:tcPr>
          <w:p w14:paraId="444C058F">
            <w:pPr>
              <w:snapToGrid w:val="0"/>
              <w:spacing w:before="0" w:after="0"/>
              <w:ind w:left="0" w:right="0"/>
              <w:jc w:val="center"/>
              <w:rPr>
                <w:rFonts w:ascii="Arial" w:hAnsi="Arial" w:eastAsia="微软雅黑" w:cs="Arial"/>
                <w:b w:val="0"/>
                <w:bCs/>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
            </w:r>
          </w:p>
        </w:tc>
        <w:tc>
          <w:tcPr>
            <w:tcW w:w="5975" w:type="dxa"/>
            <w:tcBorders>
              <w:top w:val="nil"/>
              <w:bottom w:val="nil"/>
              <w:right w:val="nil"/>
              <w:insideV w:val="nil"/>
            </w:tcBorders>
            <w:shd w:val="clear" w:color="auto" w:fill="4F81BD"/>
            <w:vAlign w:val="center"/>
          </w:tcPr>
          <w:p w14:paraId="337E1FA5">
            <w:pPr>
              <w:snapToGrid w:val="0"/>
              <w:spacing w:before="0" w:after="0"/>
              <w:ind w:left="0" w:right="0"/>
              <w:jc w:val="center"/>
              <w:rPr>
                <w:rFonts w:ascii="Arial" w:hAnsi="Arial" w:eastAsia="微软雅黑" w:cs="Arial"/>
                <w:b w:val="0"/>
                <w:bCs/>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
            </w:r>
          </w:p>
        </w:tc>
      </w:tr>
    </w:tbl>
    <w:p w14:paraId="13DBC3DB">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83" w:name="_Toc202797553"/>
      <w:bookmarkStart w:id="84" w:name="_Toc76668378"/>
      <w:bookmarkStart w:id="85" w:name="_Toc11213"/>
      <w:bookmarkStart w:id="86" w:name="_Toc23182"/>
      <w:bookmarkStart w:id="87" w:name="_Toc47700009"/>
      <w:r>
        <w:rPr>
          <w:rFonts w:ascii="Arial" w:hAnsi="Arial" w:eastAsia="微软雅黑" w:cs="Arial"/>
          <w:b w:val="0"/>
          <w:bCs w:val="0"/>
          <w:i w:val="0"/>
          <w:color w:val="4F81BD"/>
          <w:sz w:val="22"/>
          <w:szCs w:val="22"/>
        </w:rPr>
        <w:t>主营业务及财务状况</w:t>
      </w:r>
      <w:bookmarkEnd w:id="83"/>
      <w:bookmarkEnd w:id="84"/>
      <w:bookmarkEnd w:id="85"/>
      <w:bookmarkEnd w:id="86"/>
      <w:bookmarkEnd w:id="87"/>
    </w:p>
    <w:p w14:paraId="70F551C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主要从事生产业务。下表列示了{{清单模板-数据表-B2}}{{清单模板-数据表-B5}}的具体财务状况。由于{{清单模板-数据表-B5}}主要从事生产业务，因此并不存在财务数据需要在不同类型的业务中拆分的情况：</w:t>
      </w:r>
    </w:p>
    <w:p w14:paraId="0E4EC8AA">
      <w:pPr>
        <w:pStyle w:val="7"/>
        <w:snapToGrid w:val="0"/>
        <w:jc w:val="center"/>
        <w:rPr>
          <w:rFonts w:ascii="Arial" w:hAnsi="Arial" w:eastAsia="微软雅黑" w:cs="Arial"/>
          <w:bCs w:val="0"/>
          <w:sz w:val="18"/>
          <w:szCs w:val="18"/>
        </w:rPr>
      </w:pPr>
      <w:r>
        <w:rPr>
          <w:rFonts w:ascii="Arial" w:hAnsi="Arial" w:eastAsia="微软雅黑" w:cs="Arial"/>
          <w:sz w:val="18"/>
          <w:szCs w:val="18"/>
        </w:rPr>
        <w:t xml:space="preserve">图表5：{{清单模板-数据表-B5}}财务状况</w:t>
      </w:r>
      <w:r>
        <w:rPr>
          <w:rFonts w:ascii="Arial" w:hAnsi="Arial" w:eastAsia="微软雅黑" w:cs="Arial"/>
          <w:bCs w:val="0"/>
          <w:sz w:val="18"/>
          <w:szCs w:val="18"/>
        </w:rPr>
        <w:t/>
      </w:r>
      <w:r>
        <w:rPr>
          <w:rStyle w:val="38"/>
          <w:rFonts w:ascii="Arial" w:hAnsi="Arial" w:eastAsia="微软雅黑" w:cs="Arial"/>
          <w:bCs w:val="0"/>
          <w:sz w:val="18"/>
          <w:szCs w:val="18"/>
        </w:rPr>
        <w:footnoteReference w:id="3"/>
      </w:r>
    </w:p>
    <w:tbl>
      <w:tblPr>
        <w:tblStyle w:val="29"/>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2703"/>
        <w:gridCol w:w="2562"/>
        <w:gridCol w:w="3071"/>
      </w:tblGrid>
      <w:tr w14:paraId="33C357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blHeader/>
        </w:trPr>
        <w:tc>
          <w:tcPr>
            <w:tcW w:w="1621" w:type="pct"/>
            <w:shd w:val="clear" w:color="auto" w:fill="4F81BD"/>
            <w:tcMar>
              <w:top w:w="15" w:type="dxa"/>
              <w:left w:w="15" w:type="dxa"/>
              <w:bottom w:w="0" w:type="dxa"/>
              <w:right w:w="15" w:type="dxa"/>
            </w:tcMar>
            <w:vAlign w:val="center"/>
          </w:tcPr>
          <w:p w14:paraId="3E7603DE">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{{清单模板-PL}}</w:t>
            </w:r>
          </w:p>
        </w:tc>
        <w:tc>
          <w:tcPr>
            <w:tcW w:w="1537" w:type="pct"/>
            <w:shd w:val="clear" w:color="auto" w:fill="4F81BD"/>
            <w:tcMar>
              <w:top w:w="15" w:type="dxa"/>
              <w:left w:w="15" w:type="dxa"/>
              <w:bottom w:w="0" w:type="dxa"/>
              <w:right w:w="15" w:type="dxa"/>
            </w:tcMar>
            <w:vAlign w:val="center"/>
          </w:tcPr>
          <w:p w14:paraId="507F3962">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c>
          <w:tcPr>
            <w:tcW w:w="1842" w:type="pct"/>
            <w:shd w:val="clear" w:color="auto" w:fill="4F81BD"/>
            <w:tcMar>
              <w:top w:w="15" w:type="dxa"/>
              <w:left w:w="15" w:type="dxa"/>
              <w:bottom w:w="0" w:type="dxa"/>
              <w:right w:w="15" w:type="dxa"/>
            </w:tcMar>
            <w:vAlign w:val="center"/>
          </w:tcPr>
          <w:p w14:paraId="3BC9475C">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r>
    </w:tbl>
    <w:p w14:paraId="4AE6299A">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88" w:name="_Toc202797554"/>
      <w:bookmarkStart w:id="89" w:name="_Toc76668379"/>
      <w:bookmarkStart w:id="90" w:name="_Toc47700010"/>
      <w:bookmarkStart w:id="91" w:name="_Toc21562"/>
      <w:bookmarkStart w:id="92" w:name="_Toc12578"/>
      <w:r>
        <w:rPr>
          <w:rFonts w:ascii="Arial" w:hAnsi="Arial" w:eastAsia="微软雅黑" w:cs="Arial"/>
          <w:b w:val="0"/>
          <w:bCs w:val="0"/>
          <w:i w:val="0"/>
          <w:color w:val="4F81BD"/>
          <w:sz w:val="22"/>
          <w:szCs w:val="22"/>
        </w:rPr>
        <w:t>本年度重大变化事项</w:t>
      </w:r>
      <w:bookmarkEnd w:id="88"/>
      <w:bookmarkEnd w:id="89"/>
      <w:bookmarkEnd w:id="90"/>
      <w:bookmarkEnd w:id="91"/>
      <w:bookmarkEnd w:id="92"/>
    </w:p>
    <w:p w14:paraId="7AD6D388">
      <w:pPr>
        <w:widowControl w:val="0"/>
        <w:snapToGrid w:val="0"/>
        <w:spacing w:before="163" w:beforeLines="50" w:after="163" w:afterLines="50"/>
        <w:ind w:firstLine="440" w:firstLineChars="200"/>
        <w:rPr>
          <w:rFonts w:ascii="Arial" w:hAnsi="Arial" w:eastAsia="微软雅黑" w:cs="Arial"/>
          <w:sz w:val="22"/>
          <w:szCs w:val="22"/>
        </w:rPr>
        <w:sectPr>
          <w:pgSz w:w="11906" w:h="16838"/>
          <w:pgMar w:top="1440" w:right="1800" w:bottom="1440" w:left="1800" w:header="851" w:footer="992" w:gutter="0"/>
          <w:cols w:space="720" w:num="1"/>
          <w:docGrid w:type="lines" w:linePitch="326" w:charSpace="0"/>
        </w:sectPr>
      </w:pPr>
      <w:bookmarkStart w:id="93" w:name="_Toc522015193"/>
      <w:r>
        <w:rPr>
          <w:rFonts w:ascii="Arial" w:hAnsi="Arial" w:eastAsia="微软雅黑" w:cs="Arial"/>
          <w:sz w:val="22"/>
          <w:szCs w:val="22"/>
        </w:rPr>
        <w:t>评估期间，{{清单模板-数据表-B5}}未发生重组和无形资产转让的情况，无重大对外投资，也无关联股权转让。企业的经营状况未受到重大影响。</w:t>
      </w:r>
    </w:p>
    <w:bookmarkEnd w:id="93"/>
    <w:p w14:paraId="1E7DF967">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94" w:name="_Toc453929653"/>
      <w:bookmarkStart w:id="95" w:name="_Toc202797555"/>
      <w:bookmarkStart w:id="96" w:name="_Toc47700011"/>
      <w:bookmarkStart w:id="97" w:name="_Toc76668380"/>
      <w:bookmarkStart w:id="98" w:name="_Toc8211"/>
      <w:bookmarkStart w:id="99" w:name="_Toc522015194"/>
      <w:bookmarkStart w:id="100" w:name="_Toc30392"/>
      <w:r>
        <w:rPr>
          <w:rFonts w:ascii="Arial" w:hAnsi="Arial" w:eastAsia="微软雅黑" w:cs="Arial"/>
          <w:color w:val="4F81BD"/>
          <w:sz w:val="28"/>
          <w:szCs w:val="22"/>
        </w:rPr>
        <w:t>行业分析</w:t>
      </w:r>
      <w:bookmarkEnd w:id="94"/>
      <w:bookmarkEnd w:id="95"/>
      <w:bookmarkEnd w:id="96"/>
      <w:bookmarkEnd w:id="97"/>
      <w:bookmarkEnd w:id="98"/>
      <w:bookmarkEnd w:id="99"/>
      <w:bookmarkEnd w:id="100"/>
    </w:p>
    <w:p w14:paraId="61D5949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转让定价分析的一个关键问题是需要了解公司所在的特定行业。关联交易的转让定价受到行业结构、行业竞争、市场趋势等因素的影响，因此，行业分析对于合理解释受测关联交易的转让定价是否符合独立交易原则来说非常重要。OECD指南亦建议将行业分析作为转让定价分析的重要步骤。 </w:t>
      </w:r>
      <w:r>
        <w:rPr>
          <w:rStyle w:val="38"/>
          <w:rFonts w:ascii="Arial" w:hAnsi="Arial" w:eastAsia="微软雅黑" w:cs="Arial"/>
          <w:sz w:val="22"/>
          <w:szCs w:val="22"/>
        </w:rPr>
        <w:footnoteReference w:id="4"/>
      </w:r>
      <w:r>
        <w:rPr>
          <w:rFonts w:ascii="Arial" w:hAnsi="Arial" w:eastAsia="微软雅黑" w:cs="Arial"/>
          <w:sz w:val="22"/>
          <w:szCs w:val="22"/>
        </w:rPr>
        <w:t xml:space="preserve"/>
      </w:r>
    </w:p>
    <w:p w14:paraId="306DAD7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因此，我们将对{{清单模板-数据表-B5}}相关的行业领域，即工业自动化设备制造业，进行分析。分析的具体方面如下：</w:t>
      </w:r>
    </w:p>
    <w:p w14:paraId="7AA55226">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行业概述；</w:t>
      </w:r>
    </w:p>
    <w:p w14:paraId="334D6F6C">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行业政策描述；</w:t>
      </w:r>
    </w:p>
    <w:p w14:paraId="3CB84033">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全球及中国市场情况描述；</w:t>
      </w:r>
    </w:p>
    <w:p w14:paraId="0383C6B0">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行业发展趋势及竞争环境。</w:t>
      </w:r>
    </w:p>
    <w:p w14:paraId="7169FF76">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01" w:name="_Toc14434"/>
      <w:bookmarkStart w:id="102" w:name="_Toc2730"/>
      <w:bookmarkStart w:id="103" w:name="_Toc202797556"/>
      <w:r>
        <w:rPr>
          <w:rFonts w:ascii="Arial" w:hAnsi="Arial" w:eastAsia="微软雅黑" w:cs="Arial"/>
          <w:b w:val="0"/>
          <w:i w:val="0"/>
          <w:color w:val="4F81BD"/>
          <w:sz w:val="22"/>
          <w:szCs w:val="22"/>
        </w:rPr>
        <w:t>行业概述</w:t>
      </w:r>
      <w:bookmarkEnd w:id="101"/>
      <w:bookmarkEnd w:id="102"/>
      <w:bookmarkEnd w:id="103"/>
    </w:p>
    <w:p w14:paraId="0A7A548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生产公司总部位于美国北卡罗来纳州的夏洛特市，该公司的产品主要集中于在食品、饮料和工业市场的旋转、制动和液压技术以及自动化处理系统。{{清单模板-数据表-B5}}生产的主要产品为板式换热器、均质机、泵、搅拌机和阀门以及工艺工程解决方案，因此{{清单模板-数据表-B5}}处于自动化设备制造业。自动化设备是指机器或装置在无人干预的情况下按规定的程序或指令自动进行操作或控制的过程。自动化是工业、农业、国防和科学技术现代化的重要条件和显著标志。自动化设备制造业是生产、装配自动化设备的行业。如果按照应用领域的细分，工业自动化设备制造业可以分为港口、电力、汽车、轻工、食品、饮料等领域。{{清单模板-数据表-B5}}生产的产品主要应用于饮料、乳品、船舶以及工业等行业。</w:t>
      </w:r>
    </w:p>
    <w:p w14:paraId="120A29F2">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04" w:name="_Toc23105"/>
      <w:bookmarkStart w:id="105" w:name="_Toc202797557"/>
      <w:bookmarkStart w:id="106" w:name="_Toc7874"/>
      <w:r>
        <w:rPr>
          <w:rFonts w:ascii="Arial" w:hAnsi="Arial" w:eastAsia="微软雅黑" w:cs="Arial"/>
          <w:b w:val="0"/>
          <w:i w:val="0"/>
          <w:color w:val="4F81BD"/>
          <w:sz w:val="22"/>
          <w:szCs w:val="22"/>
        </w:rPr>
        <w:t xml:space="preserve">行业政策描述</w:t>
      </w:r>
      <w:r>
        <w:rPr>
          <w:rStyle w:val="38"/>
          <w:rFonts w:ascii="Arial" w:hAnsi="Arial" w:eastAsia="微软雅黑" w:cs="Arial"/>
          <w:b w:val="0"/>
          <w:i w:val="0"/>
          <w:color w:val="4F81BD"/>
          <w:sz w:val="22"/>
          <w:szCs w:val="22"/>
        </w:rPr>
        <w:footnoteReference w:id="5"/>
      </w:r>
      <w:bookmarkEnd w:id="104"/>
      <w:bookmarkEnd w:id="105"/>
      <w:bookmarkEnd w:id="106"/>
    </w:p>
    <w:p w14:paraId="045B3CA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近年来，我国对于智能制造的发展高度重视，一系列发展规划与相关政策推动着行业的高质量发展。</w:t>
      </w:r>
    </w:p>
    <w:p w14:paraId="3B32509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2019年11月国家发改委、工信部等15个机关发布《关于推动先进制造业和现代服务业深度融合发展的实施意见》提出，到2025年，形成一批创新活跃、效益显著、质量卓越、带动效应突出的深度融合发展企业、平台和示范区，企业生产性服务投入逐步提高，产业生态不断完善，两业融合成为推动制造业高质量发展的重要支撑。</w:t>
      </w:r>
    </w:p>
    <w:p w14:paraId="1449C79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为贯彻落实《中华人民共和国国民经济和社会发展第十四个五年规划和2035年远景目标纲要》（“十四五”制造业高质量发展规划），工信部装备工业一司于2021年4月14日印发《“十四五”智能制造发展规划》（征求意见稿），并提出2025 年的具体目标是：</w:t>
      </w:r>
    </w:p>
    <w:p w14:paraId="6D7A7119">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转型升级成效显著。规模以上制造业企业智能制造能力成熟度达2级及以上的企业超过50%，重点行业、区域达3 级及以上的企业分别超过20%和15%。制造业企业生产效率、产品良率、能源资源利用率等大幅提升。</w:t>
      </w:r>
    </w:p>
    <w:p w14:paraId="0D51C159">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供给能力明显增强。智能制造装备和工业软件技术水平和市场竞争力显著提升，国内市场满足率分别超过70%和50%。主营业务收入超50亿元的系统解决方案供应商达到10家以上。</w:t>
      </w:r>
    </w:p>
    <w:p w14:paraId="14733127">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基础支撑更加坚实。建设一批智能制造领域创新载体和公共服务平台，并形成服务网络。制修订200项以上智能制造国家、行业标准。建成120个以上具有行业和区域影响力的工业互联网平台。</w:t>
      </w:r>
    </w:p>
    <w:p w14:paraId="22315307">
      <w:pPr>
        <w:pStyle w:val="110"/>
        <w:numPr>
          <w:ilvl w:val="255"/>
          <w:numId w:val="0"/>
        </w:numPr>
        <w:snapToGrid w:val="0"/>
        <w:spacing w:before="156" w:beforeLines="50" w:after="156" w:afterLines="50"/>
        <w:ind w:left="119" w:firstLine="440" w:firstLineChars="200"/>
        <w:rPr>
          <w:rFonts w:ascii="Arial" w:hAnsi="Arial" w:eastAsia="微软雅黑" w:cs="Arial"/>
          <w:sz w:val="22"/>
          <w:szCs w:val="22"/>
        </w:rPr>
      </w:pPr>
      <w:r>
        <w:rPr>
          <w:rFonts w:ascii="Arial" w:hAnsi="Arial" w:eastAsia="微软雅黑" w:cs="Arial"/>
          <w:sz w:val="22"/>
          <w:szCs w:val="22"/>
        </w:rPr>
        <w:t xml:space="preserve">2022年11月，工业和信息化部、国家发展改革委和国务院国资委联合印发《关于巩固回升向好趋势加力振作工业经济的通知》，针对当前工业经济运行中面临的突出矛盾困难，提出5个方面稳增长重点工作举措，在需求侧着力拉消费、促投资、稳出口，畅通经济循环；同时，从行业、地区、企业等方面共提出9项重点举措，在行业方面坚持分业施策，提出推动原材料行业提质增效、巩固装备制造业良好势头、促进消费品行业稳定恢复，不断提升产业链发展水平，发挥各行业对工业稳增长的拉动作用。</w:t>
      </w:r>
      <w:r>
        <w:rPr>
          <w:rStyle w:val="38"/>
          <w:rFonts w:ascii="Arial" w:hAnsi="Arial" w:eastAsia="微软雅黑" w:cs="Arial"/>
        </w:rPr>
        <w:footnoteReference w:id="6"/>
      </w:r>
    </w:p>
    <w:p w14:paraId="2A7EF1A0">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07" w:name="_Toc27676"/>
      <w:bookmarkStart w:id="108" w:name="_Toc9645"/>
      <w:bookmarkStart w:id="109" w:name="_Toc202797558"/>
      <w:r>
        <w:rPr>
          <w:rFonts w:ascii="Arial" w:hAnsi="Arial" w:eastAsia="微软雅黑" w:cs="Arial"/>
          <w:b w:val="0"/>
          <w:i w:val="0"/>
          <w:color w:val="4F81BD" w:themeColor="accent1"/>
          <w:sz w:val="22"/>
          <w:szCs w:val="22"/>
          <w14:textFill>
            <w14:solidFill>
              <w14:schemeClr w14:val="accent1"/>
            </w14:solidFill>
          </w14:textFill>
        </w:rPr>
        <w:t>全球及中国市场情况描述</w:t>
      </w:r>
      <w:bookmarkEnd w:id="107"/>
      <w:bookmarkEnd w:id="108"/>
      <w:bookmarkEnd w:id="109"/>
    </w:p>
    <w:p w14:paraId="63085F9D">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0" w:name="_Toc7171"/>
      <w:bookmarkStart w:id="111" w:name="_Toc202797559"/>
      <w:bookmarkStart w:id="112" w:name="_Toc15067"/>
      <w:r>
        <w:rPr>
          <w:rFonts w:ascii="Arial" w:hAnsi="Arial" w:eastAsia="微软雅黑" w:cs="Arial"/>
          <w:b w:val="0"/>
          <w:i w:val="0"/>
          <w:color w:val="4F81BD" w:themeColor="accent1"/>
          <w:sz w:val="22"/>
          <w:szCs w:val="22"/>
          <w14:textFill>
            <w14:solidFill>
              <w14:schemeClr w14:val="accent1"/>
            </w14:solidFill>
          </w14:textFill>
        </w:rPr>
        <w:t>全球市场</w:t>
      </w:r>
      <w:bookmarkEnd w:id="110"/>
      <w:bookmarkEnd w:id="111"/>
      <w:bookmarkEnd w:id="112"/>
    </w:p>
    <w:p w14:paraId="5348F7BB">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根据联合国{{清单模板-数据表-B2}}《世界经济形势与展望》报告，2023年，一系列相互影响的严重冲击，包括俄乌冲突、巴以色列冲突、美元持续高息以及气候紧急状况等，导致世界经济遭受重创。预计 2025 年全球经济增长率为 2.8%，2026 年为 2.9%，与 2023 年记录的 2.8% 和 {{清单模板-数据表-B2}} 年估计的增长率基本持平。不过，这在很大程度上将取决于货币持续紧缩的速度和顺序、俄乌冲突的进程和后果以及供应链进一步中断的可能性。不过，东亚地区经济增长率预计加快，原因主要为印度经济的崛起。预计 {{清单模板-数据表-B2}} 年增长率为 4.9%，预计 2025 年为 4.8%。</w:t>
      </w:r>
      <w:r>
        <w:rPr>
          <w:rFonts w:hint="eastAsia" w:ascii="Arial" w:hAnsi="Arial" w:eastAsia="微软雅黑" w:cs="Arial"/>
          <w:sz w:val="22"/>
          <w:szCs w:val="22"/>
        </w:rPr>
        <w:t/>
      </w:r>
      <w:r>
        <w:rPr>
          <w:rStyle w:val="38"/>
          <w:rFonts w:ascii="Arial" w:hAnsi="Arial" w:eastAsia="微软雅黑" w:cs="Arial"/>
          <w:sz w:val="22"/>
          <w:szCs w:val="22"/>
        </w:rPr>
        <w:footnoteReference w:id="7"/>
      </w:r>
    </w:p>
    <w:p w14:paraId="154F74C7">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清单模板-数据表-B2}}全球制造业PMI均值为49.3%，较2023年均值上升0.8个百分点。{{清单模板-数据表-B2}}制造业整体增长水平要好于2023年，全球经济保持平稳恢复态势。指数均值水平仍低于50%，意味着全球经济恢复的推动力仍显不足。从各季走势看，全球经济恢复呈现前高后低走势。{{清单模板-数据表-B2}}一季度和二季度全球制造业恢复态势相对平稳，PMI均值分别在49.6%和49.7%；三季度有所回落，PMI均值降至48.9%，四季度有所回升，但仍弱于上半年整体水平，PMI均值为49.2%。</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Style w:val="38"/>
          <w:rFonts w:ascii="Arial" w:hAnsi="Arial" w:eastAsia="微软雅黑" w:cs="Arial"/>
          <w:sz w:val="22"/>
          <w:szCs w:val="22"/>
        </w:rPr>
        <w:footnoteReference w:id="8"/>
      </w:r>
    </w:p>
    <w:p w14:paraId="3B04695B">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3" w:name="_Toc202797560"/>
      <w:bookmarkStart w:id="114" w:name="_Toc11297"/>
      <w:bookmarkStart w:id="115" w:name="_Toc28457"/>
      <w:r>
        <w:rPr>
          <w:rFonts w:ascii="Arial" w:hAnsi="Arial" w:eastAsia="微软雅黑" w:cs="Arial"/>
          <w:b w:val="0"/>
          <w:i w:val="0"/>
          <w:color w:val="4F81BD" w:themeColor="accent1"/>
          <w:sz w:val="22"/>
          <w:szCs w:val="22"/>
          <w14:textFill>
            <w14:solidFill>
              <w14:schemeClr w14:val="accent1"/>
            </w14:solidFill>
          </w14:textFill>
        </w:rPr>
        <w:t xml:space="preserve">中国市场 </w:t>
      </w:r>
      <w:bookmarkEnd w:id="113"/>
      <w:bookmarkEnd w:id="114"/>
      <w:bookmarkEnd w:id="115"/>
      <w:r>
        <w:rPr>
          <w:rFonts w:ascii="Arial" w:hAnsi="Arial" w:eastAsia="微软雅黑" w:cs="Arial"/>
          <w:b w:val="0"/>
          <w:i w:val="0"/>
          <w:color w:val="4F81BD" w:themeColor="accent1"/>
          <w:sz w:val="22"/>
          <w:szCs w:val="22"/>
          <w14:textFill>
            <w14:solidFill>
              <w14:schemeClr w14:val="accent1"/>
            </w14:solidFill>
          </w14:textFill>
        </w:rPr>
        <w:t xml:space="preserve"/>
      </w:r>
    </w:p>
    <w:p w14:paraId="334AAD96">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根据MIR DATABANK，2023年我国工业自动化市场规模近 3000 亿元，同比下降 1.7%。另一方面，{{清单模板-数据表-B2}}年末，中国制造业结束下探走势，出现稳步回升，制造业PMI维持在50%以上。指数变化显示中国经济加速回升较好带动了亚洲经济止降趋稳，印度和东南亚主要国家也保持较快增长，较好助力亚洲经济趋稳。</w:t>
      </w:r>
      <w:r>
        <w:rPr>
          <w:rFonts w:hint="eastAsia" w:ascii="Arial" w:hAnsi="Arial" w:eastAsia="微软雅黑" w:cs="Arial"/>
          <w:sz w:val="22"/>
          <w:szCs w:val="22"/>
        </w:rPr>
        <w:t/>
      </w:r>
      <w:r>
        <w:rPr>
          <w:rStyle w:val="38"/>
          <w:rFonts w:ascii="Arial" w:hAnsi="Arial" w:eastAsia="微软雅黑" w:cs="Arial"/>
          <w:sz w:val="22"/>
          <w:szCs w:val="22"/>
        </w:rPr>
        <w:footnoteReference w:id="9"/>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10"/>
      </w:r>
      <w:r>
        <w:rPr>
          <w:rFonts w:ascii="Arial" w:hAnsi="Arial" w:eastAsia="微软雅黑" w:cs="Arial"/>
          <w:sz w:val="22"/>
          <w:szCs w:val="22"/>
        </w:rPr>
        <w:t/>
      </w:r>
    </w:p>
    <w:p w14:paraId="6030F4B9">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6" w:name="_Toc27542"/>
      <w:bookmarkStart w:id="117" w:name="_Toc202797561"/>
      <w:bookmarkStart w:id="118" w:name="_Toc25038"/>
      <w:r>
        <w:rPr>
          <w:rFonts w:ascii="Arial" w:hAnsi="Arial" w:eastAsia="微软雅黑" w:cs="Arial"/>
          <w:b w:val="0"/>
          <w:i w:val="0"/>
          <w:color w:val="4F81BD" w:themeColor="accent1"/>
          <w:sz w:val="22"/>
          <w:szCs w:val="22"/>
          <w14:textFill>
            <w14:solidFill>
              <w14:schemeClr w14:val="accent1"/>
            </w14:solidFill>
          </w14:textFill>
        </w:rPr>
        <w:t>行业发展趋势</w:t>
      </w:r>
      <w:bookmarkEnd w:id="116"/>
      <w:bookmarkEnd w:id="117"/>
      <w:bookmarkEnd w:id="118"/>
    </w:p>
    <w:p w14:paraId="5129430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{{清单模板-数据表-B5}}主要下游产业为乳制品行业和工业行业，因此{{清单模板-数据表-B5}}受到乳制品行业和工业行业的影响较大。</w:t>
      </w:r>
    </w:p>
    <w:p w14:paraId="36FD8457">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9" w:name="_Toc18335"/>
      <w:bookmarkStart w:id="120" w:name="_Toc16954"/>
      <w:bookmarkStart w:id="121" w:name="_Toc202797562"/>
      <w:r>
        <w:rPr>
          <w:rFonts w:ascii="Arial" w:hAnsi="Arial" w:eastAsia="微软雅黑" w:cs="Arial"/>
          <w:b w:val="0"/>
          <w:i w:val="0"/>
          <w:color w:val="4F81BD" w:themeColor="accent1"/>
          <w:sz w:val="22"/>
          <w:szCs w:val="22"/>
          <w14:textFill>
            <w14:solidFill>
              <w14:schemeClr w14:val="accent1"/>
            </w14:solidFill>
          </w14:textFill>
        </w:rPr>
        <w:t>乳制品行业发展趋势</w:t>
      </w:r>
      <w:bookmarkEnd w:id="119"/>
      <w:bookmarkEnd w:id="120"/>
      <w:bookmarkEnd w:id="121"/>
    </w:p>
    <w:p w14:paraId="36CACFCD">
      <w:pPr>
        <w:pStyle w:val="110"/>
        <w:numPr>
          <w:ilvl w:val="0"/>
          <w:numId w:val="15"/>
        </w:numPr>
        <w:snapToGrid w:val="0"/>
        <w:spacing w:before="156" w:beforeLines="50" w:after="156" w:afterLines="50"/>
        <w:ind w:left="919" w:hanging="360" w:firstLineChars="0"/>
        <w:rPr>
          <w:rFonts w:ascii="Arial" w:hAnsi="Arial" w:eastAsia="微软雅黑" w:cs="Arial"/>
          <w:sz w:val="22"/>
          <w:szCs w:val="22"/>
        </w:rPr>
      </w:pPr>
      <w:r>
        <w:rPr>
          <w:rFonts w:ascii="Arial" w:hAnsi="Arial" w:eastAsia="微软雅黑" w:cs="Arial"/>
          <w:sz w:val="22"/>
          <w:szCs w:val="22"/>
        </w:rPr>
        <w:t>乳制品行业转型升级</w:t>
      </w:r>
    </w:p>
    <w:p w14:paraId="1D92CF48">
      <w:pPr>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乳制品行业未来将依托设备更新和技术创新，加快全产业链循环发展模式。乳制品的生产环节会进一步加大现代信息技术应用，促进数字技术与产业链深度融合，提高装备设施自动化、数字化、智能化水平，从而推动乳制品行业转型升级。</w:t>
      </w:r>
    </w:p>
    <w:p w14:paraId="2426AE89">
      <w:pPr>
        <w:pStyle w:val="110"/>
        <w:numPr>
          <w:ilvl w:val="0"/>
          <w:numId w:val="15"/>
        </w:numPr>
        <w:snapToGrid w:val="0"/>
        <w:spacing w:before="156" w:beforeLines="50" w:after="156" w:afterLines="50"/>
        <w:ind w:left="919" w:hanging="360" w:firstLineChars="0"/>
        <w:rPr>
          <w:rFonts w:ascii="Arial" w:hAnsi="Arial" w:eastAsia="微软雅黑" w:cs="Arial"/>
          <w:sz w:val="22"/>
          <w:szCs w:val="22"/>
        </w:rPr>
      </w:pPr>
      <w:r>
        <w:rPr>
          <w:rFonts w:ascii="Arial" w:hAnsi="Arial" w:eastAsia="微软雅黑" w:cs="Arial"/>
          <w:sz w:val="22"/>
          <w:szCs w:val="22"/>
        </w:rPr>
        <w:t>市场规模不断扩大</w:t>
      </w:r>
    </w:p>
    <w:p w14:paraId="7B028C24">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hint="eastAsia" w:ascii="Arial" w:hAnsi="Arial" w:eastAsia="微软雅黑" w:cs="Arial"/>
          <w:sz w:val="22"/>
          <w:szCs w:val="22"/>
        </w:rPr>
        <w:t xml:space="preserve">乳制品是牛乳或羊乳等乳液作为主要原料的制品。乳制品含有丰富且易吸收的营养物质，一直以来被认为是"健康产业"。随着乳制品加工工艺的发展，市场上出现越来越多种类的乳制饮品及各种乳制加工食品。近两年中国乳制品整体呈现下降趋势，我国乳制品行业在宏观经济弱复苏下需求增长不足，原奶供需失衡。根据国家统计局数据显示：{{清单模板-数据表-B2}}12月中国乳制品产量为267万吨，同比增长4.4%；{{清单模板-数据表-B2}}1-12月中国乳制品累计产量为2961.8万吨，累计下降1.9%。</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Style w:val="38"/>
          <w:rFonts w:ascii="Arial" w:hAnsi="Arial" w:eastAsia="微软雅黑" w:cs="Arial"/>
          <w:sz w:val="22"/>
          <w:szCs w:val="22"/>
        </w:rPr>
        <w:footnoteReference w:id="11"/>
      </w:r>
    </w:p>
    <w:p w14:paraId="161A792A">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销售渠道多元化，线上销售渠道、母婴渠道占比增加</w:t>
      </w:r>
    </w:p>
    <w:p w14:paraId="10A7027F">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随着我国网络技术发展，人们消费方式的转变，婴幼儿配方乳粉企业不再局限于某单一销售渠道，采用线上与线下相结合的模式的比例逐年增加。</w:t>
      </w:r>
    </w:p>
    <w:p w14:paraId="72178B7D">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未来销售渠道多元化趋势明显，线上销售、母婴渠道份额将继续提升，特别是母婴渠道，已经成为国内乳粉生产企业最重要的竞争领域之一，越来越多的企业针对母婴门店展开差异化的销售和营销策略，并且加强与连锁母婴店的渠道合作。</w:t>
      </w:r>
    </w:p>
    <w:p w14:paraId="0C4F33F3">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消费升级推动婴幼儿配方奶粉向高端化、多样化发展</w:t>
      </w:r>
    </w:p>
    <w:p w14:paraId="5588965E">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经济的发展，中产阶级崛起，其消费能力和消费意愿均较强，对于婴幼儿配方奶粉的营养全面性、安全性等更加重视，因此高端和超高端奶粉的销售增长迅速。国内乳粉企业也在不断加强研发投入，从奶源、配方等多方面推出多样化的产品，如羊奶粉、有机奶粉、A2粉，OPO、DHA+ARA、FOS+GOS等多种营养添加奶粉，满足不同消费人群的多样化需求。</w:t>
      </w:r>
    </w:p>
    <w:p w14:paraId="73FD6A9D">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调制乳粉成为乳粉行业新的增长点</w:t>
      </w:r>
    </w:p>
    <w:p w14:paraId="5BEFFA66">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老龄化的加剧及中国居民生活水平和健康意识的提高，人们对营养摄入的认知和需求不断提升，产品也从简单的营养补充向配方化、功能化升级，满足儿童、成人等人群的调制乳粉成为乳粉行业未来新的增长点。</w:t>
      </w:r>
    </w:p>
    <w:p w14:paraId="20661484">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“新国标”的实施</w:t>
      </w:r>
    </w:p>
    <w:p w14:paraId="072DD04B">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2023年2月22日，国家卫生健康委员会发布的婴幼儿配方奶粉新国标（以下简称“新国标”）将正式实施，相较旧国标，新国标对配方奶粉提出更高和更细化的要求。新国标的实施对奶粉行业的影响主要体现在三方面，新国标实施代表着最优品质的奶粉将陆续上市，利好消费端；新国标的申请门槛较高，有一部分品牌已放弃申请注册，这也进一步推动了市场集中度的提升；新国标叠加二次配方注册，加快了企业从过去重营销向重科技创新转变。新国标产品的推出将成为中国奶粉行业实现控货稳价的新契机。</w:t>
      </w:r>
    </w:p>
    <w:p w14:paraId="039C738A">
      <w:pPr>
        <w:pStyle w:val="21"/>
        <w:keepNext/>
        <w:numPr>
          <w:ilvl w:val="2"/>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22" w:name="_Toc22431"/>
      <w:bookmarkStart w:id="123" w:name="_Toc202797563"/>
      <w:bookmarkStart w:id="124" w:name="_Toc4592"/>
      <w:r>
        <w:rPr>
          <w:rFonts w:ascii="Arial" w:hAnsi="Arial" w:eastAsia="微软雅黑" w:cs="Arial"/>
          <w:b w:val="0"/>
          <w:i w:val="0"/>
          <w:color w:val="4F81BD"/>
          <w:sz w:val="22"/>
          <w:szCs w:val="22"/>
        </w:rPr>
        <w:t>工业行业发展趋势</w:t>
      </w:r>
      <w:bookmarkEnd w:id="122"/>
      <w:bookmarkEnd w:id="123"/>
      <w:bookmarkEnd w:id="124"/>
    </w:p>
    <w:p w14:paraId="240921A4">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 xml:space="preserve">{{清单模板-数据表-B2}}全球GDP增速为3.3%，较2023年上升0.6个百分点。预计2025年及2026年全球GDP增速为2.8%、3.0%，较以往预测值有所下调，世界各国政府调整政策重点、不确定性攀升至新高。在贸易紧张局势升级、金融市场经历调整的环境下，不断加剧的下行风险主导着经济前景。</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Style w:val="38"/>
          <w:rFonts w:ascii="Arial" w:hAnsi="Arial" w:eastAsia="微软雅黑" w:cs="Arial"/>
          <w:sz w:val="22"/>
          <w:szCs w:val="22"/>
          <w:lang w:bidi="ar"/>
        </w:rPr>
        <w:footnoteReference w:id="12"/>
      </w:r>
    </w:p>
    <w:p w14:paraId="2CD02387">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随着我国工业经济结构调整与产业升级的持续推进，庞大的制造业市场将为国内工业自动化行业提供良好的发展机遇。同时，我国人口老龄化现象加剧，劳动人口短缺促使机器替代人工成为长期趋势，进一步推动了市场对工业自动化装备的需求。未来随着全球工业4.0时代的持续推进，各应用领域对工业自动化设备的需求将进一步增加。</w:t>
      </w:r>
    </w:p>
    <w:p w14:paraId="47EFC3CA">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25" w:name="_Toc13108"/>
      <w:bookmarkStart w:id="126" w:name="_Toc202797564"/>
      <w:bookmarkStart w:id="127" w:name="_Toc12250"/>
      <w:r>
        <w:rPr>
          <w:rFonts w:ascii="Arial" w:hAnsi="Arial" w:eastAsia="微软雅黑" w:cs="Arial"/>
          <w:b w:val="0"/>
          <w:i w:val="0"/>
          <w:color w:val="4F81BD"/>
          <w:sz w:val="22"/>
          <w:szCs w:val="22"/>
        </w:rPr>
        <w:t>结论</w:t>
      </w:r>
      <w:bookmarkEnd w:id="125"/>
      <w:bookmarkEnd w:id="126"/>
      <w:bookmarkEnd w:id="127"/>
    </w:p>
    <w:p w14:paraId="5436FCBD">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清单模板-数据表-B5}}所处的工业自动化制造行业在结束下探走势，开始稳步回升。{{清单模板-数据表-B5}}主要下游行业——乳制品行业处于稳定成长的状态，随着国家对于乳业的支持以及消费渠道的打开，下游市场也预期良好。</w:t>
      </w:r>
    </w:p>
    <w:p w14:paraId="5C8ACF20">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 xml:space="preserve">综上所述，{{清单模板-数据表-B5}}容易受到下游行业发展情况影响，面临的市场竞争非常激烈。</w:t>
      </w:r>
      <w:r>
        <w:rPr>
          <w:rFonts w:hint="eastAsia" w:ascii="Arial" w:hAnsi="Arial" w:eastAsia="微软雅黑" w:cs="Arial"/>
          <w:sz w:val="22"/>
          <w:szCs w:val="22"/>
          <w:lang w:bidi="ar"/>
        </w:rPr>
        <w:t/>
      </w:r>
      <w:r>
        <w:rPr>
          <w:rFonts w:ascii="Arial" w:hAnsi="Arial" w:eastAsia="微软雅黑" w:cs="Arial"/>
          <w:sz w:val="22"/>
          <w:szCs w:val="22"/>
          <w:lang w:bidi="ar"/>
        </w:rPr>
        <w:t/>
      </w:r>
      <w:r>
        <w:rPr>
          <w:rFonts w:ascii="Arial" w:hAnsi="Arial" w:eastAsia="微软雅黑" w:cs="Arial"/>
          <w:sz w:val="22"/>
          <w:szCs w:val="22"/>
          <w:lang w:bidi="ar"/>
        </w:rPr>
        <w:br w:type="page"/>
      </w:r>
    </w:p>
    <w:p w14:paraId="5438F11D">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128" w:name="_Toc522015202"/>
      <w:bookmarkStart w:id="129" w:name="_Toc47700019"/>
      <w:bookmarkStart w:id="130" w:name="_Toc76668388"/>
      <w:bookmarkStart w:id="131" w:name="_Toc22313"/>
      <w:bookmarkStart w:id="132" w:name="_Toc27475"/>
      <w:bookmarkStart w:id="133" w:name="_Toc202797565"/>
      <w:bookmarkStart w:id="134" w:name="_Toc19939"/>
      <w:r>
        <w:rPr>
          <w:rFonts w:ascii="Arial" w:hAnsi="Arial" w:eastAsia="微软雅黑" w:cs="Arial"/>
          <w:color w:val="4F81BD"/>
          <w:sz w:val="28"/>
          <w:szCs w:val="22"/>
        </w:rPr>
        <w:t>关联交易</w:t>
      </w:r>
      <w:bookmarkEnd w:id="128"/>
      <w:bookmarkEnd w:id="129"/>
      <w:bookmarkEnd w:id="130"/>
      <w:bookmarkEnd w:id="131"/>
      <w:bookmarkEnd w:id="132"/>
      <w:bookmarkEnd w:id="133"/>
      <w:bookmarkEnd w:id="134"/>
    </w:p>
    <w:p w14:paraId="2786D45B">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35" w:name="_Toc17664"/>
      <w:bookmarkStart w:id="136" w:name="_Toc202797566"/>
      <w:bookmarkStart w:id="137" w:name="_Toc47700020"/>
      <w:bookmarkStart w:id="138" w:name="_Toc76668389"/>
      <w:bookmarkStart w:id="139" w:name="_Toc9609"/>
      <w:bookmarkStart w:id="140" w:name="_Toc522015204"/>
      <w:bookmarkStart w:id="141" w:name="_Toc25956"/>
      <w:r>
        <w:rPr>
          <w:rFonts w:ascii="Arial" w:hAnsi="Arial" w:eastAsia="微软雅黑" w:cs="Arial"/>
          <w:b w:val="0"/>
          <w:i w:val="0"/>
          <w:color w:val="4F81BD"/>
          <w:sz w:val="22"/>
          <w:szCs w:val="22"/>
        </w:rPr>
        <w:t>关联方信息</w:t>
      </w:r>
      <w:bookmarkEnd w:id="135"/>
      <w:bookmarkEnd w:id="136"/>
      <w:bookmarkEnd w:id="137"/>
      <w:bookmarkEnd w:id="138"/>
      <w:bookmarkEnd w:id="139"/>
    </w:p>
    <w:p w14:paraId="7A8D735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{{清单模板-数据表-B5}}{{清单模板-数据表-B2}}主要关联方的基本信息如下所示：</w:t>
      </w:r>
    </w:p>
    <w:p w14:paraId="1F8E80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1）{{清单模板-数据表-B5}}的母公司情况：</w:t>
      </w:r>
      <w:r>
        <w:rPr>
          <w:rFonts w:hint="eastAsia" w:ascii="Arial" w:hAnsi="Arial" w:eastAsia="微软雅黑" w:cs="Arial"/>
          <w:sz w:val="22"/>
          <w:szCs w:val="22"/>
        </w:rPr>
        <w:t/>
      </w:r>
      <w:r>
        <w:rPr>
          <w:rStyle w:val="38"/>
          <w:rFonts w:ascii="Arial" w:hAnsi="Arial" w:eastAsia="微软雅黑" w:cs="Arial"/>
          <w:sz w:val="22"/>
          <w:szCs w:val="22"/>
        </w:rPr>
        <w:footnoteReference w:id="13"/>
      </w:r>
    </w:p>
    <w:p w14:paraId="78449B42">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图表6：本公司的母公司基本信息</w:t>
      </w:r>
    </w:p>
    <w:tbl>
      <w:tblPr>
        <w:tblStyle w:val="29"/>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56"/>
        <w:gridCol w:w="1318"/>
        <w:gridCol w:w="1764"/>
        <w:gridCol w:w="1879"/>
      </w:tblGrid>
      <w:tr w14:paraId="42B9E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256" w:type="dxa"/>
            <w:shd w:val="clear" w:color="auto" w:fill="4F81BD"/>
            <w:vAlign w:val="center"/>
          </w:tcPr>
          <w:p w14:paraId="7B053892">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公司名称</w:t>
            </w:r>
          </w:p>
        </w:tc>
        <w:tc>
          <w:tcPr>
            <w:tcW w:w="1318" w:type="dxa"/>
            <w:shd w:val="clear" w:color="auto" w:fill="4F81BD"/>
            <w:vAlign w:val="center"/>
          </w:tcPr>
          <w:p w14:paraId="12583426">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地区/国家</w:t>
            </w:r>
          </w:p>
        </w:tc>
        <w:tc>
          <w:tcPr>
            <w:tcW w:w="1764" w:type="dxa"/>
            <w:shd w:val="clear" w:color="auto" w:fill="4F81BD"/>
            <w:vAlign w:val="center"/>
          </w:tcPr>
          <w:p w14:paraId="5CD55A1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与本公司关系</w:t>
            </w:r>
          </w:p>
        </w:tc>
        <w:tc>
          <w:tcPr>
            <w:tcW w:w="1879" w:type="dxa"/>
            <w:shd w:val="clear" w:color="auto" w:fill="4F81BD"/>
            <w:vAlign w:val="center"/>
          </w:tcPr>
          <w:p w14:paraId="7FED03DB">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企业所得税税率</w:t>
            </w:r>
          </w:p>
        </w:tc>
      </w:tr>
      <w:tr w14:paraId="29648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256" w:type="dxa"/>
            <w:vAlign w:val="center"/>
          </w:tcPr>
          <w:p w14:paraId="70B61780">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斯必克（中国）投资有限公司</w:t>
            </w:r>
          </w:p>
        </w:tc>
        <w:tc>
          <w:tcPr>
            <w:tcW w:w="1318" w:type="dxa"/>
            <w:vAlign w:val="center"/>
          </w:tcPr>
          <w:p w14:paraId="14B06D02">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中国</w:t>
            </w:r>
          </w:p>
        </w:tc>
        <w:tc>
          <w:tcPr>
            <w:tcW w:w="1764" w:type="dxa"/>
            <w:vAlign w:val="center"/>
          </w:tcPr>
          <w:p w14:paraId="4F52A198">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投资方</w:t>
            </w:r>
          </w:p>
        </w:tc>
        <w:tc>
          <w:tcPr>
            <w:tcW w:w="1879" w:type="dxa"/>
            <w:vAlign w:val="center"/>
          </w:tcPr>
          <w:p w14:paraId="300E2314">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25%</w:t>
            </w:r>
          </w:p>
        </w:tc>
      </w:tr>
    </w:tbl>
    <w:p w14:paraId="11B9F05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母公司斯必克（中国）投资有限公司对本公司的持股比例为100%，所持本公司的表决权比例为100%。</w:t>
      </w:r>
    </w:p>
    <w:p w14:paraId="2545877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2）{{清单模板-数据表-B5}}的其他关联方情况如下：</w:t>
      </w:r>
      <w:r>
        <w:rPr>
          <w:rStyle w:val="38"/>
          <w:rFonts w:ascii="Arial" w:hAnsi="Arial" w:eastAsia="微软雅黑" w:cs="Arial"/>
          <w:sz w:val="22"/>
          <w:szCs w:val="22"/>
        </w:rPr>
        <w:footnoteReference w:id="14"/>
      </w:r>
    </w:p>
    <w:p w14:paraId="68764F9F">
      <w:pPr>
        <w:snapToGrid w:val="0"/>
        <w:spacing w:before="156" w:beforeLines="50" w:after="156" w:afterLines="50"/>
        <w:ind w:firstLine="440" w:firstLineChars="200"/>
        <w:rPr>
          <w:rFonts w:ascii="Arial" w:hAnsi="Arial" w:eastAsia="微软雅黑" w:cs="Arial"/>
        </w:rPr>
      </w:pPr>
      <w:r>
        <w:rPr>
          <w:rFonts w:ascii="Arial" w:hAnsi="Arial" w:eastAsia="微软雅黑" w:cs="Arial"/>
          <w:sz w:val="22"/>
          <w:szCs w:val="22"/>
        </w:rPr>
        <w:t xml:space="preserve">在{{清单模板-数据表-B2}}，没有个人关联方直接或间接持有{{清单模板-数据表-B5}}的股份（如:个人持有最终母公司超过25%的股份）或与{{清单模板-数据表-B5}}发生关联交易。</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1DD97223">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图表7：本公司的其他关联方的基本信息</w:t>
      </w:r>
    </w:p>
    <w:tbl>
      <w:tblPr>
        <w:tblStyle w:val="29"/>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81"/>
        <w:gridCol w:w="1701"/>
        <w:gridCol w:w="2835"/>
      </w:tblGrid>
      <w:tr w14:paraId="53EEF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3681" w:type="dxa"/>
            <w:shd w:val="clear" w:color="auto" w:fill="4F81BD"/>
            <w:vAlign w:val="center"/>
          </w:tcPr>
          <w:p w14:paraId="39FC675B">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1" w:type="dxa"/>
            <w:shd w:val="clear" w:color="auto" w:fill="4F81BD"/>
            <w:vAlign w:val="center"/>
          </w:tcPr>
          <w:p w14:paraId="2315E23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地区/国家</w:t>
            </w:r>
          </w:p>
        </w:tc>
        <w:tc>
          <w:tcPr>
            <w:tcW w:w="2835" w:type="dxa"/>
            <w:shd w:val="clear" w:color="auto" w:fill="4F81BD"/>
            <w:vAlign w:val="center"/>
          </w:tcPr>
          <w:p w14:paraId="1993BE0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与本公司关系</w:t>
            </w:r>
          </w:p>
        </w:tc>
      </w:tr>
      <w:tr w14:paraId="1DB68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2B0A3AF">
            <w:pPr>
              <w:snapToGrid w:val="0"/>
              <w:spacing w:before="0" w:after="0"/>
              <w:ind w:left="0" w:right="0"/>
              <w:rPr>
                <w:rFonts w:ascii="Arial" w:hAnsi="Arial" w:eastAsia="微软雅黑" w:cs="Arial"/>
                <w:sz w:val="18"/>
                <w:szCs w:val="18"/>
              </w:rPr>
            </w:pPr>
            <w:r>
              <w:rPr>
                <w:rFonts w:ascii="Arial" w:hAnsi="Arial" w:eastAsia="微软雅黑" w:cs="Arial"/>
                <w:sz w:val="18"/>
                <w:szCs w:val="18"/>
              </w:rPr>
              <w:t>SPX Flow, Inc</w:t>
            </w:r>
          </w:p>
        </w:tc>
        <w:tc>
          <w:tcPr>
            <w:tcW w:w="1701" w:type="dxa"/>
            <w:vAlign w:val="center"/>
          </w:tcPr>
          <w:p w14:paraId="1D843B6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美国</w:t>
            </w:r>
          </w:p>
        </w:tc>
        <w:tc>
          <w:tcPr>
            <w:tcW w:w="2835" w:type="dxa"/>
            <w:vAlign w:val="center"/>
          </w:tcPr>
          <w:p w14:paraId="74E8B00B">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最终控股公司</w:t>
            </w:r>
          </w:p>
        </w:tc>
      </w:tr>
      <w:tr w14:paraId="065C9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DA4D730">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Chile Limitada</w:t>
            </w:r>
          </w:p>
        </w:tc>
        <w:tc>
          <w:tcPr>
            <w:tcW w:w="1701" w:type="dxa"/>
            <w:vAlign w:val="center"/>
          </w:tcPr>
          <w:p w14:paraId="37E0534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智利</w:t>
            </w:r>
          </w:p>
        </w:tc>
        <w:tc>
          <w:tcPr>
            <w:tcW w:w="2835" w:type="dxa"/>
            <w:vAlign w:val="center"/>
          </w:tcPr>
          <w:p w14:paraId="33E8D5B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A6A9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A22BCDA">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Poland Sp. z o.o.</w:t>
            </w:r>
          </w:p>
        </w:tc>
        <w:tc>
          <w:tcPr>
            <w:tcW w:w="1701" w:type="dxa"/>
            <w:vAlign w:val="center"/>
          </w:tcPr>
          <w:p w14:paraId="11B3BC6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波兰</w:t>
            </w:r>
          </w:p>
        </w:tc>
        <w:tc>
          <w:tcPr>
            <w:tcW w:w="2835" w:type="dxa"/>
            <w:vAlign w:val="center"/>
          </w:tcPr>
          <w:p w14:paraId="37509B8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E9C5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5703104">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US, LLC</w:t>
            </w:r>
          </w:p>
        </w:tc>
        <w:tc>
          <w:tcPr>
            <w:tcW w:w="1701" w:type="dxa"/>
            <w:vAlign w:val="center"/>
          </w:tcPr>
          <w:p w14:paraId="4C153B9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美国</w:t>
            </w:r>
          </w:p>
        </w:tc>
        <w:tc>
          <w:tcPr>
            <w:tcW w:w="2835" w:type="dxa"/>
            <w:vAlign w:val="center"/>
          </w:tcPr>
          <w:p w14:paraId="659B3710">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3EFEF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EDB584B">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 xml:space="preserve">Philadelphia Mixing Solutions LLC</w:t>
            </w:r>
            <w:r>
              <w:rPr>
                <w:rFonts w:hint="eastAsia" w:ascii="Arial" w:hAnsi="Arial" w:eastAsia="微软雅黑" w:cs="Arial"/>
                <w:sz w:val="18"/>
                <w:szCs w:val="18"/>
                <w:lang w:bidi="ar"/>
              </w:rPr>
              <w:t xml:space="preserve"/>
            </w:r>
            <w:r>
              <w:rPr>
                <w:rFonts w:ascii="Arial" w:hAnsi="Arial" w:eastAsia="微软雅黑" w:cs="Arial"/>
                <w:sz w:val="18"/>
                <w:szCs w:val="18"/>
                <w:lang w:bidi="ar"/>
              </w:rPr>
              <w:t/>
            </w:r>
            <w:r>
              <w:rPr>
                <w:rFonts w:hint="eastAsia" w:ascii="Arial" w:hAnsi="Arial" w:eastAsia="微软雅黑" w:cs="Arial"/>
                <w:sz w:val="18"/>
                <w:szCs w:val="18"/>
                <w:lang w:bidi="ar"/>
              </w:rPr>
              <w:t xml:space="preserve"/>
            </w:r>
            <w:r>
              <w:rPr>
                <w:rFonts w:ascii="Arial" w:hAnsi="Arial" w:eastAsia="微软雅黑" w:cs="Arial"/>
                <w:sz w:val="18"/>
                <w:szCs w:val="18"/>
                <w:lang w:bidi="ar"/>
              </w:rPr>
              <w:t/>
            </w:r>
          </w:p>
        </w:tc>
        <w:tc>
          <w:tcPr>
            <w:tcW w:w="1701" w:type="dxa"/>
            <w:vAlign w:val="center"/>
          </w:tcPr>
          <w:p w14:paraId="5FD6F8AE">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美国</w:t>
            </w:r>
          </w:p>
        </w:tc>
        <w:tc>
          <w:tcPr>
            <w:tcW w:w="2835" w:type="dxa"/>
            <w:vAlign w:val="center"/>
          </w:tcPr>
          <w:p w14:paraId="550F175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146F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62A0A67">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(Thailand) Limited</w:t>
            </w:r>
          </w:p>
        </w:tc>
        <w:tc>
          <w:tcPr>
            <w:tcW w:w="1701" w:type="dxa"/>
            <w:vAlign w:val="center"/>
          </w:tcPr>
          <w:p w14:paraId="25DDEE5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泰国</w:t>
            </w:r>
          </w:p>
        </w:tc>
        <w:tc>
          <w:tcPr>
            <w:tcW w:w="2835" w:type="dxa"/>
            <w:vAlign w:val="center"/>
          </w:tcPr>
          <w:p w14:paraId="4E0CEF58">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35416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9ED3C33">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Mexico, S.A. de C.V.</w:t>
            </w:r>
          </w:p>
        </w:tc>
        <w:tc>
          <w:tcPr>
            <w:tcW w:w="1701" w:type="dxa"/>
            <w:vAlign w:val="center"/>
          </w:tcPr>
          <w:p w14:paraId="1D2B6BB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墨西哥</w:t>
            </w:r>
          </w:p>
        </w:tc>
        <w:tc>
          <w:tcPr>
            <w:tcW w:w="2835" w:type="dxa"/>
            <w:vAlign w:val="center"/>
          </w:tcPr>
          <w:p w14:paraId="25CFF04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61B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94089AB">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Singapore Pte. Ltd.</w:t>
            </w:r>
          </w:p>
        </w:tc>
        <w:tc>
          <w:tcPr>
            <w:tcW w:w="1701" w:type="dxa"/>
            <w:vAlign w:val="center"/>
          </w:tcPr>
          <w:p w14:paraId="2BEE36A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新加坡</w:t>
            </w:r>
          </w:p>
        </w:tc>
        <w:tc>
          <w:tcPr>
            <w:tcW w:w="2835" w:type="dxa"/>
            <w:vAlign w:val="center"/>
          </w:tcPr>
          <w:p w14:paraId="6CB3236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FA65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1AFE00C">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Hong Kong Limited</w:t>
            </w:r>
          </w:p>
        </w:tc>
        <w:tc>
          <w:tcPr>
            <w:tcW w:w="1701" w:type="dxa"/>
            <w:vAlign w:val="center"/>
          </w:tcPr>
          <w:p w14:paraId="63330D51">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香港</w:t>
            </w:r>
          </w:p>
        </w:tc>
        <w:tc>
          <w:tcPr>
            <w:tcW w:w="2835" w:type="dxa"/>
            <w:vAlign w:val="center"/>
          </w:tcPr>
          <w:p w14:paraId="3892B7E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850C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C5EF5DC">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Australia Pty. Ltd.</w:t>
            </w:r>
          </w:p>
        </w:tc>
        <w:tc>
          <w:tcPr>
            <w:tcW w:w="1701" w:type="dxa"/>
            <w:vAlign w:val="center"/>
          </w:tcPr>
          <w:p w14:paraId="420ACF7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澳大利亚</w:t>
            </w:r>
          </w:p>
        </w:tc>
        <w:tc>
          <w:tcPr>
            <w:tcW w:w="2835" w:type="dxa"/>
            <w:vAlign w:val="center"/>
          </w:tcPr>
          <w:p w14:paraId="33C5DA3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5DE0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EA6E87C">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Japan, Inc.</w:t>
            </w:r>
          </w:p>
        </w:tc>
        <w:tc>
          <w:tcPr>
            <w:tcW w:w="1701" w:type="dxa"/>
            <w:vAlign w:val="center"/>
          </w:tcPr>
          <w:p w14:paraId="4431D0A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日本</w:t>
            </w:r>
          </w:p>
        </w:tc>
        <w:tc>
          <w:tcPr>
            <w:tcW w:w="2835" w:type="dxa"/>
            <w:vAlign w:val="center"/>
          </w:tcPr>
          <w:p w14:paraId="461EC7A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5178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1ABEBC9">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Denmark A/S</w:t>
            </w:r>
          </w:p>
        </w:tc>
        <w:tc>
          <w:tcPr>
            <w:tcW w:w="1701" w:type="dxa"/>
            <w:vAlign w:val="center"/>
          </w:tcPr>
          <w:p w14:paraId="4B8159F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丹麦</w:t>
            </w:r>
          </w:p>
        </w:tc>
        <w:tc>
          <w:tcPr>
            <w:tcW w:w="2835" w:type="dxa"/>
            <w:vAlign w:val="center"/>
          </w:tcPr>
          <w:p w14:paraId="3C64E0F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E6B4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304989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Hungary Kft.</w:t>
            </w:r>
          </w:p>
        </w:tc>
        <w:tc>
          <w:tcPr>
            <w:tcW w:w="1701" w:type="dxa"/>
            <w:vAlign w:val="center"/>
          </w:tcPr>
          <w:p w14:paraId="125E1BA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匈牙利</w:t>
            </w:r>
          </w:p>
        </w:tc>
        <w:tc>
          <w:tcPr>
            <w:tcW w:w="2835" w:type="dxa"/>
            <w:vAlign w:val="center"/>
          </w:tcPr>
          <w:p w14:paraId="3F572D2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1BBA2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3A69A31">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s.r.o.</w:t>
            </w:r>
          </w:p>
        </w:tc>
        <w:tc>
          <w:tcPr>
            <w:tcW w:w="1701" w:type="dxa"/>
            <w:vAlign w:val="center"/>
          </w:tcPr>
          <w:p w14:paraId="69761853">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斯洛伐克</w:t>
            </w:r>
          </w:p>
        </w:tc>
        <w:tc>
          <w:tcPr>
            <w:tcW w:w="2835" w:type="dxa"/>
            <w:vAlign w:val="center"/>
          </w:tcPr>
          <w:p w14:paraId="72900FC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16E10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F7CBF56">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SAS</w:t>
            </w:r>
          </w:p>
        </w:tc>
        <w:tc>
          <w:tcPr>
            <w:tcW w:w="1701" w:type="dxa"/>
            <w:vAlign w:val="center"/>
          </w:tcPr>
          <w:p w14:paraId="7FC51A9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法国</w:t>
            </w:r>
          </w:p>
        </w:tc>
        <w:tc>
          <w:tcPr>
            <w:tcW w:w="2835" w:type="dxa"/>
            <w:vAlign w:val="center"/>
          </w:tcPr>
          <w:p w14:paraId="479AC0B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4C34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2A64514">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Crawley Limited</w:t>
            </w:r>
          </w:p>
        </w:tc>
        <w:tc>
          <w:tcPr>
            <w:tcW w:w="1701" w:type="dxa"/>
            <w:vAlign w:val="center"/>
          </w:tcPr>
          <w:p w14:paraId="4FB4F2CC">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英国</w:t>
            </w:r>
          </w:p>
        </w:tc>
        <w:tc>
          <w:tcPr>
            <w:tcW w:w="2835" w:type="dxa"/>
            <w:vAlign w:val="center"/>
          </w:tcPr>
          <w:p w14:paraId="6BD3507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5F6E3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2703DB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(Pty) Ltd.</w:t>
            </w:r>
          </w:p>
        </w:tc>
        <w:tc>
          <w:tcPr>
            <w:tcW w:w="1701" w:type="dxa"/>
            <w:vAlign w:val="center"/>
          </w:tcPr>
          <w:p w14:paraId="56FCC26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南非</w:t>
            </w:r>
          </w:p>
        </w:tc>
        <w:tc>
          <w:tcPr>
            <w:tcW w:w="2835" w:type="dxa"/>
            <w:vAlign w:val="center"/>
          </w:tcPr>
          <w:p w14:paraId="39BB3F0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36AF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240E91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Middle East FZE</w:t>
            </w:r>
          </w:p>
        </w:tc>
        <w:tc>
          <w:tcPr>
            <w:tcW w:w="1701" w:type="dxa"/>
            <w:vAlign w:val="center"/>
          </w:tcPr>
          <w:p w14:paraId="2F3A2AD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阿拉伯联合酋长国</w:t>
            </w:r>
          </w:p>
        </w:tc>
        <w:tc>
          <w:tcPr>
            <w:tcW w:w="2835" w:type="dxa"/>
            <w:vAlign w:val="center"/>
          </w:tcPr>
          <w:p w14:paraId="658B132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F85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8E7B8DA">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val="de-DE" w:bidi="ar"/>
              </w:rPr>
              <w:t>Stelzer Rührtechnik International GmbH</w:t>
            </w:r>
          </w:p>
        </w:tc>
        <w:tc>
          <w:tcPr>
            <w:tcW w:w="1701" w:type="dxa"/>
            <w:vAlign w:val="center"/>
          </w:tcPr>
          <w:p w14:paraId="4CAB74C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德国</w:t>
            </w:r>
          </w:p>
        </w:tc>
        <w:tc>
          <w:tcPr>
            <w:tcW w:w="2835" w:type="dxa"/>
            <w:vAlign w:val="center"/>
          </w:tcPr>
          <w:p w14:paraId="68AC2AF1">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E855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661F650D">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Europe Limited</w:t>
            </w:r>
          </w:p>
        </w:tc>
        <w:tc>
          <w:tcPr>
            <w:tcW w:w="1701" w:type="dxa"/>
            <w:vAlign w:val="center"/>
          </w:tcPr>
          <w:p w14:paraId="5D74920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英国</w:t>
            </w:r>
          </w:p>
        </w:tc>
        <w:tc>
          <w:tcPr>
            <w:tcW w:w="2835" w:type="dxa"/>
            <w:vAlign w:val="center"/>
          </w:tcPr>
          <w:p w14:paraId="5C128BAD">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293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6D9DB6C4">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(India) Private Limited</w:t>
            </w:r>
          </w:p>
        </w:tc>
        <w:tc>
          <w:tcPr>
            <w:tcW w:w="1701" w:type="dxa"/>
            <w:vAlign w:val="center"/>
          </w:tcPr>
          <w:p w14:paraId="56796CF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印度</w:t>
            </w:r>
          </w:p>
        </w:tc>
        <w:tc>
          <w:tcPr>
            <w:tcW w:w="2835" w:type="dxa"/>
            <w:vAlign w:val="center"/>
          </w:tcPr>
          <w:p w14:paraId="0B574CC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FDC6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AF55239">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Germany GmbH</w:t>
            </w:r>
          </w:p>
        </w:tc>
        <w:tc>
          <w:tcPr>
            <w:tcW w:w="1701" w:type="dxa"/>
            <w:vAlign w:val="center"/>
          </w:tcPr>
          <w:p w14:paraId="10604AC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德国</w:t>
            </w:r>
          </w:p>
        </w:tc>
        <w:tc>
          <w:tcPr>
            <w:tcW w:w="2835" w:type="dxa"/>
            <w:vAlign w:val="center"/>
          </w:tcPr>
          <w:p w14:paraId="592231C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B544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531A0C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Assen B.V.</w:t>
            </w:r>
          </w:p>
        </w:tc>
        <w:tc>
          <w:tcPr>
            <w:tcW w:w="1701" w:type="dxa"/>
            <w:vAlign w:val="center"/>
          </w:tcPr>
          <w:p w14:paraId="2BF1CD1C">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荷兰</w:t>
            </w:r>
          </w:p>
        </w:tc>
        <w:tc>
          <w:tcPr>
            <w:tcW w:w="2835" w:type="dxa"/>
            <w:vAlign w:val="center"/>
          </w:tcPr>
          <w:p w14:paraId="7656645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6E26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C46DB0D">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 xml:space="preserve">Hydraulic Technologies Netherlands BV</w:t>
            </w:r>
            <w:r>
              <w:rPr>
                <w:rFonts w:hint="eastAsia" w:ascii="Arial" w:hAnsi="Arial" w:eastAsia="微软雅黑" w:cs="Arial"/>
                <w:sz w:val="18"/>
                <w:szCs w:val="18"/>
                <w:lang w:bidi="ar"/>
              </w:rPr>
              <w:t xml:space="preserve"/>
            </w:r>
            <w:r>
              <w:rPr>
                <w:rFonts w:ascii="Arial" w:hAnsi="Arial" w:eastAsia="微软雅黑" w:cs="Arial"/>
                <w:sz w:val="18"/>
                <w:szCs w:val="18"/>
                <w:lang w:bidi="ar"/>
              </w:rPr>
              <w:t/>
            </w:r>
            <w:r>
              <w:rPr>
                <w:rFonts w:hint="eastAsia" w:ascii="Arial" w:hAnsi="Arial" w:eastAsia="微软雅黑" w:cs="Arial"/>
                <w:sz w:val="18"/>
                <w:szCs w:val="18"/>
                <w:lang w:bidi="ar"/>
              </w:rPr>
              <w:t xml:space="preserve"/>
            </w:r>
            <w:r>
              <w:rPr>
                <w:rFonts w:ascii="Arial" w:hAnsi="Arial" w:eastAsia="微软雅黑" w:cs="Arial"/>
                <w:sz w:val="18"/>
                <w:szCs w:val="18"/>
                <w:lang w:bidi="ar"/>
              </w:rPr>
              <w:t/>
            </w:r>
          </w:p>
        </w:tc>
        <w:tc>
          <w:tcPr>
            <w:tcW w:w="1701" w:type="dxa"/>
            <w:vAlign w:val="center"/>
          </w:tcPr>
          <w:p w14:paraId="654E5411">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荷兰</w:t>
            </w:r>
          </w:p>
        </w:tc>
        <w:tc>
          <w:tcPr>
            <w:tcW w:w="2835" w:type="dxa"/>
            <w:vAlign w:val="center"/>
          </w:tcPr>
          <w:p w14:paraId="08FC01E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7896C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61E312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Santorso s.r.l.</w:t>
            </w:r>
          </w:p>
        </w:tc>
        <w:tc>
          <w:tcPr>
            <w:tcW w:w="1701" w:type="dxa"/>
            <w:vAlign w:val="center"/>
          </w:tcPr>
          <w:p w14:paraId="7F4FDE5B">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意大利</w:t>
            </w:r>
          </w:p>
        </w:tc>
        <w:tc>
          <w:tcPr>
            <w:tcW w:w="2835" w:type="dxa"/>
            <w:vAlign w:val="center"/>
          </w:tcPr>
          <w:p w14:paraId="361256C0">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73B5B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BC8DDAB">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Belgium N.V.</w:t>
            </w:r>
          </w:p>
        </w:tc>
        <w:tc>
          <w:tcPr>
            <w:tcW w:w="1701" w:type="dxa"/>
            <w:vAlign w:val="center"/>
          </w:tcPr>
          <w:p w14:paraId="73ECD072">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比利时</w:t>
            </w:r>
          </w:p>
        </w:tc>
        <w:tc>
          <w:tcPr>
            <w:tcW w:w="2835" w:type="dxa"/>
            <w:vAlign w:val="center"/>
          </w:tcPr>
          <w:p w14:paraId="5F0591C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28D9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C8D5EA6">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APV Middle East Limited</w:t>
            </w:r>
          </w:p>
        </w:tc>
        <w:tc>
          <w:tcPr>
            <w:tcW w:w="1701" w:type="dxa"/>
            <w:vAlign w:val="center"/>
          </w:tcPr>
          <w:p w14:paraId="7674B5E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沙特阿拉伯</w:t>
            </w:r>
          </w:p>
        </w:tc>
        <w:tc>
          <w:tcPr>
            <w:tcW w:w="2835" w:type="dxa"/>
            <w:vAlign w:val="center"/>
          </w:tcPr>
          <w:p w14:paraId="7672860D">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96AA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BF691C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Uutechnic Oy</w:t>
            </w:r>
          </w:p>
        </w:tc>
        <w:tc>
          <w:tcPr>
            <w:tcW w:w="1701" w:type="dxa"/>
            <w:vAlign w:val="center"/>
          </w:tcPr>
          <w:p w14:paraId="2D436772">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芬兰</w:t>
            </w:r>
          </w:p>
        </w:tc>
        <w:tc>
          <w:tcPr>
            <w:tcW w:w="2835" w:type="dxa"/>
            <w:vAlign w:val="center"/>
          </w:tcPr>
          <w:p w14:paraId="0DE44653">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AF7B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B165FFE">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Do Brasil</w:t>
            </w:r>
          </w:p>
        </w:tc>
        <w:tc>
          <w:tcPr>
            <w:tcW w:w="1701" w:type="dxa"/>
            <w:vAlign w:val="center"/>
          </w:tcPr>
          <w:p w14:paraId="046D70F0">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巴西</w:t>
            </w:r>
          </w:p>
        </w:tc>
        <w:tc>
          <w:tcPr>
            <w:tcW w:w="2835" w:type="dxa"/>
            <w:vAlign w:val="center"/>
          </w:tcPr>
          <w:p w14:paraId="75925C9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bl>
    <w:p w14:paraId="5CA9FF82">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42" w:name="_Toc202797567"/>
      <w:bookmarkStart w:id="143" w:name="_Toc23518"/>
      <w:bookmarkStart w:id="144" w:name="_Toc47700021"/>
      <w:bookmarkStart w:id="145" w:name="_Toc22317"/>
      <w:bookmarkStart w:id="146" w:name="_Toc76668390"/>
      <w:r>
        <w:rPr>
          <w:rFonts w:ascii="Arial" w:hAnsi="Arial" w:eastAsia="微软雅黑" w:cs="Arial"/>
          <w:b w:val="0"/>
          <w:i w:val="0"/>
          <w:color w:val="4F81BD"/>
          <w:sz w:val="22"/>
          <w:szCs w:val="22"/>
        </w:rPr>
        <w:t>主要关联交易</w:t>
      </w:r>
      <w:bookmarkEnd w:id="140"/>
      <w:bookmarkEnd w:id="141"/>
      <w:bookmarkEnd w:id="142"/>
      <w:bookmarkEnd w:id="143"/>
      <w:bookmarkEnd w:id="144"/>
      <w:bookmarkEnd w:id="145"/>
      <w:bookmarkEnd w:id="146"/>
    </w:p>
    <w:p w14:paraId="00BBF632">
      <w:pPr>
        <w:snapToGrid w:val="0"/>
        <w:spacing w:before="156" w:beforeLines="50" w:after="156" w:afterLines="50"/>
        <w:ind w:firstLine="440" w:firstLineChars="200"/>
        <w:rPr>
          <w:rFonts w:ascii="Arial" w:hAnsi="Arial" w:eastAsia="微软雅黑" w:cs="Arial"/>
          <w:sz w:val="22"/>
          <w:szCs w:val="22"/>
        </w:rPr>
      </w:pPr>
      <w:bookmarkStart w:id="147" w:name="_Toc520786966"/>
      <w:bookmarkStart w:id="148" w:name="_Toc466642567"/>
      <w:r>
        <w:rPr>
          <w:rFonts w:ascii="Arial" w:hAnsi="Arial" w:eastAsia="微软雅黑" w:cs="Arial"/>
          <w:sz w:val="22"/>
          <w:szCs w:val="22"/>
        </w:rPr>
        <w:t xml:space="preserve">评估期间，{{清单模板-数据表-B5}}涉及的关联交易包括有形资产的采购及销售；接受及提供关联劳务；以及参与集团现金池协议。主要关联交易金额及类型如下图所示：</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15"/>
      </w:r>
    </w:p>
    <w:p w14:paraId="545D87F5">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图表8：关联交易汇总情况表</w:t>
      </w:r>
    </w:p>
    <w:tbl>
      <w:tblPr>
        <w:tblStyle w:val="158"/>
        <w:tblW w:w="4972"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2127"/>
        <w:gridCol w:w="1984"/>
        <w:gridCol w:w="2095"/>
      </w:tblGrid>
      <w:tr w14:paraId="0FA6D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3" w:hRule="atLeast"/>
        </w:trPr>
        <w:tc>
          <w:tcPr>
            <w:tcW w:w="1338" w:type="pct"/>
            <w:tcBorders>
              <w:top w:val="nil"/>
              <w:left w:val="nil"/>
              <w:bottom w:val="nil"/>
              <w:right w:val="nil"/>
              <w:insideV w:val="nil"/>
            </w:tcBorders>
            <w:shd w:val="clear" w:color="auto" w:fill="4F81BD"/>
            <w:vAlign w:val="center"/>
          </w:tcPr>
          <w:p w14:paraId="23359254">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{{清单模板-PL含特殊因素调整}}</w:t>
            </w:r>
          </w:p>
        </w:tc>
        <w:tc>
          <w:tcPr>
            <w:tcW w:w="1255" w:type="pct"/>
            <w:tcBorders>
              <w:top w:val="nil"/>
              <w:bottom w:val="nil"/>
              <w:right w:val="nil"/>
              <w:insideV w:val="nil"/>
            </w:tcBorders>
            <w:shd w:val="clear" w:color="auto" w:fill="4F81BD"/>
            <w:vAlign w:val="center"/>
          </w:tcPr>
          <w:p w14:paraId="593B6F90">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p w14:paraId="5833D95A">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c>
          <w:tcPr>
            <w:tcW w:w="1171" w:type="pct"/>
            <w:tcBorders>
              <w:top w:val="nil"/>
              <w:bottom w:val="nil"/>
              <w:right w:val="nil"/>
              <w:insideV w:val="nil"/>
            </w:tcBorders>
            <w:shd w:val="clear" w:color="auto" w:fill="4F81BD"/>
            <w:vAlign w:val="center"/>
          </w:tcPr>
          <w:p w14:paraId="58263D11">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p w14:paraId="4E019A2E">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c>
          <w:tcPr>
            <w:tcW w:w="1236" w:type="pct"/>
            <w:tcBorders>
              <w:top w:val="nil"/>
              <w:bottom w:val="nil"/>
              <w:right w:val="nil"/>
              <w:insideV w:val="nil"/>
            </w:tcBorders>
            <w:shd w:val="clear" w:color="auto" w:fill="4F81BD"/>
            <w:vAlign w:val="center"/>
          </w:tcPr>
          <w:p w14:paraId="2E84AADB">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p w14:paraId="329B6CB9">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r>
    </w:tbl>
    <w:p w14:paraId="33FD5B15">
      <w:pPr>
        <w:snapToGrid w:val="0"/>
        <w:spacing w:before="0"/>
        <w:ind w:left="0"/>
        <w:rPr>
          <w:rFonts w:ascii="Arial" w:hAnsi="Arial" w:eastAsia="微软雅黑" w:cs="Arial"/>
          <w:sz w:val="22"/>
          <w:szCs w:val="22"/>
        </w:rPr>
      </w:pPr>
    </w:p>
    <w:p w14:paraId="12FAE23C">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49" w:name="_Toc76668391"/>
      <w:bookmarkStart w:id="150" w:name="_Toc202797568"/>
      <w:bookmarkStart w:id="151" w:name="_Toc28050"/>
      <w:bookmarkStart w:id="152" w:name="_Toc28390"/>
      <w:bookmarkStart w:id="153" w:name="_Toc47700022"/>
      <w:r>
        <w:rPr>
          <w:rFonts w:ascii="Arial" w:hAnsi="Arial" w:eastAsia="微软雅黑" w:cs="Arial"/>
          <w:b w:val="0"/>
          <w:i w:val="0"/>
          <w:color w:val="4F81BD" w:themeColor="accent1"/>
          <w:sz w:val="22"/>
          <w:szCs w:val="22"/>
          <w14:textFill>
            <w14:solidFill>
              <w14:schemeClr w14:val="accent1"/>
            </w14:solidFill>
          </w14:textFill>
        </w:rPr>
        <w:t>关联购销</w:t>
      </w:r>
      <w:bookmarkEnd w:id="149"/>
      <w:bookmarkEnd w:id="150"/>
      <w:bookmarkEnd w:id="151"/>
      <w:bookmarkEnd w:id="152"/>
      <w:bookmarkEnd w:id="153"/>
    </w:p>
    <w:p w14:paraId="3DC5D038">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54" w:name="_Toc47700023"/>
      <w:bookmarkStart w:id="155" w:name="_Toc202797569"/>
      <w:bookmarkStart w:id="156" w:name="_Toc76668392"/>
      <w:bookmarkStart w:id="157" w:name="_Toc22784"/>
      <w:bookmarkStart w:id="158" w:name="_Toc5310"/>
      <w:r>
        <w:rPr>
          <w:rFonts w:ascii="Arial" w:hAnsi="Arial" w:eastAsia="微软雅黑" w:cs="Arial"/>
          <w:b w:val="0"/>
          <w:i w:val="0"/>
          <w:color w:val="4F81BD" w:themeColor="accent1"/>
          <w:sz w:val="22"/>
          <w:szCs w:val="22"/>
          <w14:textFill>
            <w14:solidFill>
              <w14:schemeClr w14:val="accent1"/>
            </w14:solidFill>
          </w14:textFill>
        </w:rPr>
        <w:t>交易流程</w:t>
      </w:r>
      <w:bookmarkEnd w:id="154"/>
      <w:bookmarkEnd w:id="155"/>
      <w:bookmarkEnd w:id="156"/>
      <w:bookmarkEnd w:id="157"/>
      <w:bookmarkEnd w:id="158"/>
    </w:p>
    <w:p w14:paraId="3E37915A">
      <w:pPr>
        <w:snapToGrid w:val="0"/>
        <w:spacing w:before="163" w:beforeLines="50" w:after="163" w:afterLines="50"/>
        <w:ind w:firstLine="440" w:firstLineChars="200"/>
        <w:rPr>
          <w:rFonts w:hint="eastAsia" w:ascii="Arial" w:hAnsi="Arial" w:eastAsia="微软雅黑" w:cs="Arial"/>
          <w:b/>
          <w:i/>
          <w:color w:val="009CDE"/>
          <w:sz w:val="22"/>
          <w:szCs w:val="22"/>
        </w:rPr>
      </w:pPr>
      <w:r>
        <w:rPr>
          <w:rFonts w:ascii="Arial" w:hAnsi="Arial" w:eastAsia="微软雅黑" w:cs="Arial"/>
          <w:sz w:val="22"/>
          <w:szCs w:val="22"/>
        </w:rPr>
        <w:t>{{清单模板-数据表-B5}}的关联购销流程如下图所示：</w:t>
      </w:r>
    </w:p>
    <w:p w14:paraId="74CFF332">
      <w:pPr>
        <w:widowControl w:val="0"/>
        <w:snapToGrid w:val="0"/>
        <w:spacing w:before="0" w:after="0"/>
        <w:ind w:left="0" w:right="0"/>
        <w:jc w:val="center"/>
        <w:rPr>
          <w:rFonts w:ascii="Arial" w:hAnsi="Arial" w:eastAsia="微软雅黑" w:cs="Arial"/>
          <w:b/>
          <w:sz w:val="22"/>
        </w:rPr>
      </w:pPr>
      <w:bookmarkStart w:id="159" w:name="_Toc12286306"/>
      <w:r>
        <w:rPr>
          <w:rFonts w:ascii="Arial" w:hAnsi="Arial" w:eastAsia="微软雅黑" w:cs="Arial"/>
          <w:b/>
          <w:sz w:val="18"/>
          <w:szCs w:val="20"/>
        </w:rPr>
        <w:drawing>
          <wp:anchor distT="0" distB="0" distL="114300" distR="114300" simplePos="0" relativeHeight="251661312" behindDoc="0" locked="0" layoutInCell="1" allowOverlap="1">
            <wp:simplePos x="0" y="0"/>
            <wp:positionH relativeFrom="margin">
              <wp:align>left</wp:align>
            </wp:positionH>
            <wp:positionV relativeFrom="paragraph">
              <wp:posOffset>281940</wp:posOffset>
            </wp:positionV>
            <wp:extent cx="5461635" cy="2127885"/>
            <wp:effectExtent l="0" t="0" r="5715" b="0"/>
            <wp:wrapTopAndBottom/>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461635" cy="2127885"/>
                    </a:xfrm>
                    <a:prstGeom prst="rect">
                      <a:avLst/>
                    </a:prstGeom>
                    <a:noFill/>
                  </pic:spPr>
                </pic:pic>
              </a:graphicData>
            </a:graphic>
          </wp:anchor>
        </w:drawing>
        <w:t xml:space="preserve">图表9：关联购销交易流程图</w:t>
      </w:r>
      <w:r>
        <w:rPr>
          <w:rFonts w:ascii="Arial" w:hAnsi="Arial" w:eastAsia="微软雅黑" w:cs="Arial"/>
          <w:b/>
          <w:sz w:val="18"/>
          <w:szCs w:val="20"/>
        </w:rPr>
        <w:t/>
      </w:r>
    </w:p>
    <w:p w14:paraId="68B1CCA2">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60" w:name="_Toc11480"/>
      <w:bookmarkStart w:id="161" w:name="_Toc8533"/>
      <w:bookmarkStart w:id="162" w:name="_Toc47700024"/>
      <w:bookmarkStart w:id="163" w:name="_Toc76668393"/>
      <w:bookmarkStart w:id="164" w:name="_Toc202797570"/>
      <w:r>
        <w:rPr>
          <w:rFonts w:ascii="Arial" w:hAnsi="Arial" w:eastAsia="微软雅黑" w:cs="Arial"/>
          <w:b w:val="0"/>
          <w:i w:val="0"/>
          <w:color w:val="4F81BD" w:themeColor="accent1"/>
          <w:sz w:val="22"/>
          <w:szCs w:val="22"/>
          <w14:textFill>
            <w14:solidFill>
              <w14:schemeClr w14:val="accent1"/>
            </w14:solidFill>
          </w14:textFill>
        </w:rPr>
        <w:t xml:space="preserve">交易明细</w:t>
      </w:r>
      <w:bookmarkEnd w:id="160"/>
      <w:bookmarkEnd w:id="161"/>
      <w:bookmarkEnd w:id="162"/>
      <w:bookmarkEnd w:id="163"/>
      <w:r>
        <w:rPr>
          <w:rStyle w:val="38"/>
          <w:rFonts w:ascii="Arial" w:hAnsi="Arial" w:eastAsia="微软雅黑" w:cs="Arial"/>
          <w:b w:val="0"/>
          <w:i w:val="0"/>
          <w:color w:val="4F81BD" w:themeColor="accent1"/>
          <w:sz w:val="22"/>
          <w:szCs w:val="22"/>
          <w14:textFill>
            <w14:solidFill>
              <w14:schemeClr w14:val="accent1"/>
            </w14:solidFill>
          </w14:textFill>
        </w:rPr>
        <w:footnoteReference w:id="16"/>
      </w:r>
      <w:bookmarkEnd w:id="164"/>
    </w:p>
    <w:bookmarkEnd w:id="147"/>
    <w:bookmarkEnd w:id="148"/>
    <w:bookmarkEnd w:id="159"/>
    <w:p w14:paraId="27EF0913">
      <w:pPr>
        <w:adjustRightInd w:val="0"/>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评估期间，{{清单模板-数据表-B5}}关联采购的关联方和交易金额如下表所示：</w:t>
      </w:r>
    </w:p>
    <w:p w14:paraId="183BEA1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图表10：{{清单模板-数据表-B2}}关联采购交易明细表</w:t>
      </w:r>
    </w:p>
    <w:tbl>
      <w:tblPr>
        <w:tblStyle w:val="2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3543"/>
        <w:gridCol w:w="1985"/>
        <w:gridCol w:w="1780"/>
      </w:tblGrid>
      <w:tr w14:paraId="482A3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blHeader/>
          <w:jc w:val="center"/>
        </w:trPr>
        <w:tc>
          <w:tcPr>
            <w:tcW w:w="4531" w:type="dxa"/>
            <w:gridSpan w:val="2"/>
            <w:shd w:val="clear" w:color="auto" w:fill="4F81BD" w:themeFill="accent1"/>
            <w:vAlign w:val="center"/>
          </w:tcPr>
          <w:p w14:paraId="7A5DE5A8">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{{清单模板-主要产品-A列中所列所有产品}}</w:t>
            </w:r>
          </w:p>
        </w:tc>
        <w:tc>
          <w:tcPr>
            <w:tcW w:w="1985" w:type="dxa"/>
            <w:shd w:val="clear" w:color="auto" w:fill="4F81BD" w:themeFill="accent1"/>
            <w:vAlign w:val="center"/>
          </w:tcPr>
          <w:p w14:paraId="7F4046ED">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c>
          <w:tcPr>
            <w:tcW w:w="1780" w:type="dxa"/>
            <w:shd w:val="clear" w:color="auto" w:fill="4F81BD" w:themeFill="accent1"/>
            <w:vAlign w:val="center"/>
          </w:tcPr>
          <w:p w14:paraId="5FEDFDB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r>
    </w:tbl>
    <w:p w14:paraId="560D7132">
      <w:pPr>
        <w:adjustRightInd w:val="0"/>
        <w:snapToGrid w:val="0"/>
        <w:spacing w:before="163" w:beforeLines="50" w:after="163" w:afterLines="50"/>
        <w:ind w:firstLine="476"/>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评估期间，{{清单模板-数据表-B5}}关联销售的关联方和交易金额如下表所示：</w:t>
      </w:r>
    </w:p>
    <w:p w14:paraId="5CBC6FC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图表11：{{清单模板-数据表-B2}} 年度关联销售交易明细表</w:t>
      </w:r>
    </w:p>
    <w:tbl>
      <w:tblPr>
        <w:tblStyle w:val="29"/>
        <w:tblW w:w="83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3543"/>
        <w:gridCol w:w="1985"/>
        <w:gridCol w:w="1848"/>
      </w:tblGrid>
      <w:tr w14:paraId="29A5B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blHeader/>
          <w:jc w:val="center"/>
        </w:trPr>
        <w:tc>
          <w:tcPr>
            <w:tcW w:w="4531" w:type="dxa"/>
            <w:gridSpan w:val="2"/>
            <w:shd w:val="clear" w:color="auto" w:fill="4F81BD" w:themeFill="accent1"/>
            <w:vAlign w:val="center"/>
          </w:tcPr>
          <w:p w14:paraId="3325D589">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{{清单模板-关联方个人信息}}</w:t>
            </w:r>
          </w:p>
        </w:tc>
        <w:tc>
          <w:tcPr>
            <w:tcW w:w="1985" w:type="dxa"/>
            <w:shd w:val="clear" w:color="auto" w:fill="4F81BD" w:themeFill="accent1"/>
            <w:vAlign w:val="center"/>
          </w:tcPr>
          <w:p w14:paraId="4D7DAB7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c>
          <w:tcPr>
            <w:tcW w:w="1848" w:type="dxa"/>
            <w:shd w:val="clear" w:color="auto" w:fill="4F81BD" w:themeFill="accent1"/>
            <w:vAlign w:val="center"/>
          </w:tcPr>
          <w:p w14:paraId="6927744E">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r>
    </w:tbl>
    <w:p w14:paraId="1E418556">
      <w:pPr>
        <w:numPr>
          <w:ilvl w:val="2"/>
          <w:numId w:val="11"/>
        </w:numPr>
        <w:spacing w:before="0" w:after="0"/>
        <w:ind w:left="0" w:leftChars="0" w:right="0" w:firstLine="0" w:firstLineChars="0"/>
        <w:jc w:val="left"/>
        <w:rPr>
          <w:rFonts w:ascii="Arial" w:hAnsi="Arial" w:eastAsia="微软雅黑" w:cs="Arial"/>
          <w:color w:val="4F81BD" w:themeColor="accent1"/>
          <w:sz w:val="22"/>
          <w:szCs w:val="22"/>
          <w14:textFill>
            <w14:solidFill>
              <w14:schemeClr w14:val="accent1"/>
            </w14:solidFill>
          </w14:textFill>
        </w:rPr>
      </w:pPr>
      <w:bookmarkStart w:id="165" w:name="_Toc76668394"/>
      <w:bookmarkStart w:id="166" w:name="_Toc47700025"/>
      <w:bookmarkStart w:id="167" w:name="_Toc9498"/>
      <w:bookmarkStart w:id="168" w:name="_Toc202797571"/>
      <w:bookmarkStart w:id="169" w:name="_Toc5214"/>
      <w:r>
        <w:rPr>
          <w:rFonts w:ascii="Arial" w:hAnsi="Arial" w:eastAsia="微软雅黑" w:cs="Arial"/>
          <w:b/>
          <w:i/>
          <w:color w:val="4F81BD" w:themeColor="accent1"/>
          <w:sz w:val="22"/>
          <w:szCs w:val="22"/>
          <w14:textFill>
            <w14:solidFill>
              <w14:schemeClr w14:val="accent1"/>
            </w14:solidFill>
          </w14:textFill>
        </w:rPr>
        <w:br w:type="page"/>
        <w:t xml:space="preserve">交易定价政策</w:t>
      </w:r>
      <w:r>
        <w:rPr>
          <w:rFonts w:ascii="Arial" w:hAnsi="Arial" w:eastAsia="微软雅黑" w:cs="Arial"/>
          <w:color w:val="4F81BD" w:themeColor="accent1"/>
          <w:sz w:val="22"/>
          <w:szCs w:val="22"/>
          <w14:textFill>
            <w14:solidFill>
              <w14:schemeClr w14:val="accent1"/>
            </w14:solidFill>
          </w14:textFill>
        </w:rPr>
        <w:t/>
      </w:r>
      <w:bookmarkEnd w:id="165"/>
      <w:bookmarkEnd w:id="166"/>
      <w:bookmarkEnd w:id="167"/>
      <w:bookmarkEnd w:id="168"/>
      <w:bookmarkEnd w:id="169"/>
    </w:p>
    <w:p w14:paraId="52A5038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在向关联方客户销售产品时不进行营销活动，销售价格的定价方式为根据标准成本加成一定比例。在第三方销售中，{{清单模板-数据表-B5}}对从关联方和第三方采购的原材料和部件进行加工、组装，或集合成流水线，从而为客户提供一站式的系统解决方案。在向第三方客户销售产品时，销售价格的定价方式是通过与国内第三方客户进行谈判而确定。</w:t>
      </w:r>
    </w:p>
    <w:p w14:paraId="1F84BF8A">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70" w:name="_Toc486375280"/>
      <w:bookmarkEnd w:id="170"/>
      <w:bookmarkStart w:id="171" w:name="_Toc487989265"/>
      <w:bookmarkEnd w:id="171"/>
      <w:bookmarkStart w:id="172" w:name="_Toc487989215"/>
      <w:bookmarkEnd w:id="172"/>
      <w:bookmarkStart w:id="173" w:name="_Toc487989206"/>
      <w:bookmarkEnd w:id="173"/>
      <w:bookmarkStart w:id="174" w:name="_Toc486375221"/>
      <w:bookmarkEnd w:id="174"/>
      <w:bookmarkStart w:id="175" w:name="_Toc487989263"/>
      <w:bookmarkEnd w:id="175"/>
      <w:bookmarkStart w:id="176" w:name="_Toc487989208"/>
      <w:bookmarkEnd w:id="176"/>
      <w:bookmarkStart w:id="177" w:name="_Toc487989294"/>
      <w:bookmarkEnd w:id="177"/>
      <w:bookmarkStart w:id="178" w:name="_Toc486375233"/>
      <w:bookmarkEnd w:id="178"/>
      <w:bookmarkStart w:id="179" w:name="_Toc486798731"/>
      <w:bookmarkEnd w:id="179"/>
      <w:bookmarkStart w:id="180" w:name="_Toc487989309"/>
      <w:bookmarkEnd w:id="180"/>
      <w:bookmarkStart w:id="181" w:name="_Toc486375324"/>
      <w:bookmarkEnd w:id="181"/>
      <w:bookmarkStart w:id="182" w:name="_Toc487989217"/>
      <w:bookmarkEnd w:id="182"/>
      <w:bookmarkStart w:id="183" w:name="_Toc486798721"/>
      <w:bookmarkEnd w:id="183"/>
      <w:bookmarkStart w:id="184" w:name="_Toc486798685"/>
      <w:bookmarkEnd w:id="184"/>
      <w:bookmarkStart w:id="185" w:name="_Toc487989219"/>
      <w:bookmarkEnd w:id="185"/>
      <w:bookmarkStart w:id="186" w:name="_Toc486798672"/>
      <w:bookmarkEnd w:id="186"/>
      <w:bookmarkStart w:id="187" w:name="_Toc487989264"/>
      <w:bookmarkEnd w:id="187"/>
      <w:bookmarkStart w:id="188" w:name="_Toc486798677"/>
      <w:bookmarkEnd w:id="188"/>
      <w:bookmarkStart w:id="189" w:name="_Toc486798730"/>
      <w:bookmarkEnd w:id="189"/>
      <w:bookmarkStart w:id="190" w:name="_Toc486375225"/>
      <w:bookmarkEnd w:id="190"/>
      <w:bookmarkStart w:id="191" w:name="_Toc486798762"/>
      <w:bookmarkEnd w:id="191"/>
      <w:bookmarkStart w:id="192" w:name="_Toc486375264"/>
      <w:bookmarkEnd w:id="192"/>
      <w:bookmarkStart w:id="193" w:name="_Toc486375249"/>
      <w:bookmarkEnd w:id="193"/>
      <w:bookmarkStart w:id="194" w:name="_Toc486798666"/>
      <w:bookmarkEnd w:id="194"/>
      <w:bookmarkStart w:id="195" w:name="_Toc487989220"/>
      <w:bookmarkEnd w:id="195"/>
      <w:bookmarkStart w:id="196" w:name="_Toc487989233"/>
      <w:bookmarkEnd w:id="196"/>
      <w:bookmarkStart w:id="197" w:name="_Toc486375283"/>
      <w:bookmarkEnd w:id="197"/>
      <w:bookmarkStart w:id="198" w:name="_Toc487989216"/>
      <w:bookmarkEnd w:id="198"/>
      <w:bookmarkStart w:id="199" w:name="_Toc486375295"/>
      <w:bookmarkEnd w:id="199"/>
      <w:bookmarkStart w:id="200" w:name="_Toc486375315"/>
      <w:bookmarkEnd w:id="200"/>
      <w:bookmarkStart w:id="201" w:name="_Toc487989198"/>
      <w:bookmarkEnd w:id="201"/>
      <w:bookmarkStart w:id="202" w:name="_Toc486375300"/>
      <w:bookmarkEnd w:id="202"/>
      <w:bookmarkStart w:id="203" w:name="_Toc487989262"/>
      <w:bookmarkEnd w:id="203"/>
      <w:bookmarkStart w:id="204" w:name="_Toc486798669"/>
      <w:bookmarkEnd w:id="204"/>
      <w:bookmarkStart w:id="205" w:name="_Toc486798675"/>
      <w:bookmarkEnd w:id="205"/>
      <w:bookmarkStart w:id="206" w:name="_Toc486798706"/>
      <w:bookmarkEnd w:id="206"/>
      <w:bookmarkStart w:id="207" w:name="_Toc487989200"/>
      <w:bookmarkEnd w:id="207"/>
      <w:bookmarkStart w:id="208" w:name="_Toc486798701"/>
      <w:bookmarkEnd w:id="208"/>
      <w:bookmarkStart w:id="209" w:name="_Toc487989268"/>
      <w:bookmarkEnd w:id="209"/>
      <w:bookmarkStart w:id="210" w:name="_Toc487989279"/>
      <w:bookmarkEnd w:id="210"/>
      <w:bookmarkStart w:id="211" w:name="_Toc487989205"/>
      <w:bookmarkEnd w:id="211"/>
      <w:bookmarkStart w:id="212" w:name="_Toc486375236"/>
      <w:bookmarkEnd w:id="212"/>
      <w:bookmarkStart w:id="213" w:name="_Toc487989214"/>
      <w:bookmarkEnd w:id="213"/>
      <w:bookmarkStart w:id="214" w:name="_Toc486798687"/>
      <w:bookmarkEnd w:id="214"/>
      <w:bookmarkStart w:id="215" w:name="_Toc486798734"/>
      <w:bookmarkEnd w:id="215"/>
      <w:bookmarkStart w:id="216" w:name="_Toc486798716"/>
      <w:bookmarkEnd w:id="216"/>
      <w:bookmarkStart w:id="217" w:name="_Toc486798752"/>
      <w:bookmarkEnd w:id="217"/>
      <w:bookmarkStart w:id="218" w:name="_Toc487989210"/>
      <w:bookmarkEnd w:id="218"/>
      <w:bookmarkStart w:id="219" w:name="_Toc486798679"/>
      <w:bookmarkEnd w:id="219"/>
      <w:bookmarkStart w:id="220" w:name="_Toc486798678"/>
      <w:bookmarkEnd w:id="220"/>
      <w:bookmarkStart w:id="221" w:name="_Toc486375254"/>
      <w:bookmarkEnd w:id="221"/>
      <w:bookmarkStart w:id="222" w:name="_Toc487989213"/>
      <w:bookmarkEnd w:id="222"/>
      <w:bookmarkStart w:id="223" w:name="_Toc486798736"/>
      <w:bookmarkEnd w:id="223"/>
      <w:bookmarkStart w:id="224" w:name="_Toc486375284"/>
      <w:bookmarkEnd w:id="224"/>
      <w:bookmarkStart w:id="225" w:name="_Toc487989212"/>
      <w:bookmarkEnd w:id="225"/>
      <w:bookmarkStart w:id="226" w:name="_Toc486798686"/>
      <w:bookmarkEnd w:id="226"/>
      <w:bookmarkStart w:id="227" w:name="_Toc487989238"/>
      <w:bookmarkEnd w:id="227"/>
      <w:bookmarkStart w:id="228" w:name="_Toc486798747"/>
      <w:bookmarkEnd w:id="228"/>
      <w:bookmarkStart w:id="229" w:name="_Toc486798690"/>
      <w:bookmarkEnd w:id="229"/>
      <w:bookmarkStart w:id="230" w:name="_Toc486375226"/>
      <w:bookmarkEnd w:id="230"/>
      <w:bookmarkStart w:id="231" w:name="_Toc486375310"/>
      <w:bookmarkEnd w:id="231"/>
      <w:bookmarkStart w:id="232" w:name="_Toc487989201"/>
      <w:bookmarkEnd w:id="232"/>
      <w:bookmarkStart w:id="233" w:name="_Toc486798776"/>
      <w:bookmarkEnd w:id="233"/>
      <w:bookmarkStart w:id="234" w:name="_Toc486375214"/>
      <w:bookmarkEnd w:id="234"/>
      <w:bookmarkStart w:id="235" w:name="_Toc487989308"/>
      <w:bookmarkEnd w:id="235"/>
      <w:bookmarkStart w:id="236" w:name="_Toc486375232"/>
      <w:bookmarkEnd w:id="236"/>
      <w:bookmarkStart w:id="237" w:name="_Toc486798732"/>
      <w:bookmarkEnd w:id="237"/>
      <w:bookmarkStart w:id="238" w:name="_Toc486798673"/>
      <w:bookmarkEnd w:id="238"/>
      <w:bookmarkStart w:id="239" w:name="_Toc487989284"/>
      <w:bookmarkEnd w:id="239"/>
      <w:bookmarkStart w:id="240" w:name="_Toc486375278"/>
      <w:bookmarkEnd w:id="240"/>
      <w:bookmarkStart w:id="241" w:name="_Toc486375281"/>
      <w:bookmarkEnd w:id="241"/>
      <w:bookmarkStart w:id="242" w:name="_Toc486375235"/>
      <w:bookmarkEnd w:id="242"/>
      <w:bookmarkStart w:id="243" w:name="_Toc486798777"/>
      <w:bookmarkEnd w:id="243"/>
      <w:bookmarkStart w:id="244" w:name="_Toc486375227"/>
      <w:bookmarkEnd w:id="244"/>
      <w:bookmarkStart w:id="245" w:name="_Toc486375325"/>
      <w:bookmarkEnd w:id="245"/>
      <w:bookmarkStart w:id="246" w:name="_Toc486375229"/>
      <w:bookmarkEnd w:id="246"/>
      <w:bookmarkStart w:id="247" w:name="_Toc487989299"/>
      <w:bookmarkEnd w:id="247"/>
      <w:bookmarkStart w:id="248" w:name="_Toc487989218"/>
      <w:bookmarkEnd w:id="248"/>
      <w:bookmarkStart w:id="249" w:name="_Toc487989209"/>
      <w:bookmarkEnd w:id="249"/>
      <w:bookmarkStart w:id="250" w:name="_Toc486798681"/>
      <w:bookmarkEnd w:id="250"/>
      <w:bookmarkStart w:id="251" w:name="_Toc486375220"/>
      <w:bookmarkEnd w:id="251"/>
      <w:bookmarkStart w:id="252" w:name="_Toc487989199"/>
      <w:bookmarkEnd w:id="252"/>
      <w:bookmarkStart w:id="253" w:name="_Toc486375282"/>
      <w:bookmarkEnd w:id="253"/>
      <w:bookmarkStart w:id="254" w:name="_Toc487989266"/>
      <w:bookmarkEnd w:id="254"/>
      <w:bookmarkStart w:id="255" w:name="_Toc486798688"/>
      <w:bookmarkEnd w:id="255"/>
      <w:bookmarkStart w:id="256" w:name="_Toc486375228"/>
      <w:bookmarkEnd w:id="256"/>
      <w:bookmarkStart w:id="257" w:name="_Toc486798683"/>
      <w:bookmarkEnd w:id="257"/>
      <w:bookmarkStart w:id="258" w:name="_Toc486375230"/>
      <w:bookmarkEnd w:id="258"/>
      <w:bookmarkStart w:id="259" w:name="_Toc486375238"/>
      <w:bookmarkEnd w:id="259"/>
      <w:bookmarkStart w:id="260" w:name="_Toc486375234"/>
      <w:bookmarkEnd w:id="260"/>
      <w:bookmarkStart w:id="261" w:name="_Toc487989253"/>
      <w:bookmarkEnd w:id="261"/>
      <w:bookmarkStart w:id="262" w:name="_Toc486798667"/>
      <w:bookmarkEnd w:id="262"/>
      <w:bookmarkStart w:id="263" w:name="_Toc486375217"/>
      <w:bookmarkEnd w:id="263"/>
      <w:bookmarkStart w:id="264" w:name="_Toc487989207"/>
      <w:bookmarkEnd w:id="264"/>
      <w:bookmarkStart w:id="265" w:name="_Toc486798680"/>
      <w:bookmarkEnd w:id="265"/>
      <w:bookmarkStart w:id="266" w:name="_Toc486375279"/>
      <w:bookmarkEnd w:id="266"/>
      <w:bookmarkStart w:id="267" w:name="_Toc486375223"/>
      <w:bookmarkEnd w:id="267"/>
      <w:bookmarkStart w:id="268" w:name="_Toc486375222"/>
      <w:bookmarkEnd w:id="268"/>
      <w:bookmarkStart w:id="269" w:name="_Toc486798733"/>
      <w:bookmarkEnd w:id="269"/>
      <w:bookmarkStart w:id="270" w:name="_Toc487989248"/>
      <w:bookmarkEnd w:id="270"/>
      <w:bookmarkStart w:id="271" w:name="_Toc486798668"/>
      <w:bookmarkEnd w:id="271"/>
      <w:bookmarkStart w:id="272" w:name="_Toc486798735"/>
      <w:bookmarkEnd w:id="272"/>
      <w:bookmarkStart w:id="273" w:name="_Toc486375215"/>
      <w:bookmarkEnd w:id="273"/>
      <w:bookmarkStart w:id="274" w:name="_Toc486375231"/>
      <w:bookmarkEnd w:id="274"/>
      <w:bookmarkStart w:id="275" w:name="_Toc486798684"/>
      <w:bookmarkEnd w:id="275"/>
      <w:bookmarkStart w:id="276" w:name="_Toc487989222"/>
      <w:bookmarkEnd w:id="276"/>
      <w:bookmarkStart w:id="277" w:name="_Toc486375269"/>
      <w:bookmarkEnd w:id="277"/>
      <w:bookmarkStart w:id="278" w:name="_Toc487989204"/>
      <w:bookmarkEnd w:id="278"/>
      <w:bookmarkStart w:id="279" w:name="_Toc487989267"/>
      <w:bookmarkEnd w:id="279"/>
      <w:bookmarkStart w:id="280" w:name="_Toc486798676"/>
      <w:bookmarkEnd w:id="280"/>
      <w:bookmarkStart w:id="281" w:name="_Toc486798767"/>
      <w:bookmarkEnd w:id="281"/>
      <w:bookmarkStart w:id="282" w:name="_Toc486375224"/>
      <w:bookmarkEnd w:id="282"/>
      <w:bookmarkStart w:id="283" w:name="_Toc486798674"/>
      <w:bookmarkEnd w:id="283"/>
      <w:bookmarkStart w:id="284" w:name="_Toc486375216"/>
      <w:bookmarkEnd w:id="284"/>
      <w:bookmarkStart w:id="285" w:name="_Toc487989211"/>
      <w:bookmarkEnd w:id="285"/>
      <w:bookmarkStart w:id="286" w:name="_Toc486798682"/>
      <w:bookmarkEnd w:id="286"/>
      <w:bookmarkStart w:id="287" w:name="_Toc12871161"/>
      <w:bookmarkStart w:id="288" w:name="_Toc76668395"/>
      <w:bookmarkStart w:id="289" w:name="_Toc29042"/>
      <w:bookmarkStart w:id="290" w:name="_Toc47700026"/>
      <w:bookmarkStart w:id="291" w:name="_Toc202797572"/>
      <w:bookmarkStart w:id="292" w:name="_Toc1085"/>
      <w:r>
        <w:rPr>
          <w:rFonts w:ascii="Arial" w:hAnsi="Arial" w:eastAsia="微软雅黑" w:cs="Arial"/>
          <w:b w:val="0"/>
          <w:i w:val="0"/>
          <w:color w:val="4F81BD" w:themeColor="accent1"/>
          <w:sz w:val="22"/>
          <w:szCs w:val="22"/>
          <w14:textFill>
            <w14:solidFill>
              <w14:schemeClr w14:val="accent1"/>
            </w14:solidFill>
          </w14:textFill>
        </w:rPr>
        <w:t xml:space="preserve">关联劳务</w:t>
      </w:r>
      <w:bookmarkEnd w:id="287"/>
      <w:r>
        <w:rPr>
          <w:rFonts w:ascii="Arial" w:hAnsi="Arial" w:eastAsia="微软雅黑" w:cs="Arial"/>
          <w:b w:val="0"/>
          <w:i w:val="0"/>
          <w:color w:val="4F81BD" w:themeColor="accent1"/>
          <w:sz w:val="22"/>
          <w:szCs w:val="22"/>
          <w14:textFill>
            <w14:solidFill>
              <w14:schemeClr w14:val="accent1"/>
            </w14:solidFill>
          </w14:textFill>
        </w:rPr>
        <w:t/>
      </w:r>
      <w:bookmarkEnd w:id="288"/>
      <w:bookmarkEnd w:id="289"/>
      <w:bookmarkEnd w:id="290"/>
      <w:bookmarkEnd w:id="291"/>
      <w:bookmarkEnd w:id="292"/>
    </w:p>
    <w:p w14:paraId="42B4C9C7">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293" w:name="_Toc24444"/>
      <w:bookmarkStart w:id="294" w:name="_Toc31651"/>
      <w:bookmarkStart w:id="295" w:name="_Toc76668396"/>
      <w:bookmarkStart w:id="296" w:name="_Toc202797573"/>
      <w:bookmarkStart w:id="297" w:name="_Toc47700027"/>
      <w:r>
        <w:rPr>
          <w:rFonts w:ascii="Arial" w:hAnsi="Arial" w:eastAsia="微软雅黑" w:cs="Arial"/>
          <w:b w:val="0"/>
          <w:i w:val="0"/>
          <w:color w:val="4F81BD" w:themeColor="accent1"/>
          <w:sz w:val="22"/>
          <w:szCs w:val="22"/>
          <w14:textFill>
            <w14:solidFill>
              <w14:schemeClr w14:val="accent1"/>
            </w14:solidFill>
          </w14:textFill>
        </w:rPr>
        <w:t>交易流程</w:t>
      </w:r>
      <w:bookmarkEnd w:id="293"/>
      <w:bookmarkEnd w:id="294"/>
      <w:bookmarkEnd w:id="295"/>
      <w:bookmarkEnd w:id="296"/>
      <w:bookmarkEnd w:id="297"/>
    </w:p>
    <w:p w14:paraId="2CADBD6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已经加入斯必克中国投资设立的服务共享中心，接受斯必克中国投资提供的相关劳务，包括：人力资源管理服务、财务经济管理服务、内部数据分析和信息系统服务。此外，{{清单模板-数据表-B5}}还接受SPX Flow, Inc.等关联公司提供的支持性服务和终端市场服务等。评估期间，{{清单模板-数据表-B5}}向斯必克中国投资以及SPX Flow, Inc.等其他关联公司支付服务费，共计人民币51,335,404.50元，仅占总经营成本费用的4.51%。</w:t>
      </w:r>
    </w:p>
    <w:p w14:paraId="2048A1D1">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在{{清单模板-数据表-B2}}，{{清单模板-数据表-B5}}还向境外关联方提供工程设计、设备调试等劳务服务，共收取服务费人民币5,726,497.38元，仅占营业收入的0.40%。</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p>
    <w:p w14:paraId="1D7490A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{{清单模板-数据表-B5}}与关联方劳务交易流程如下图所示：</w:t>
      </w:r>
    </w:p>
    <w:p w14:paraId="1BDDA285">
      <w:pPr>
        <w:adjustRightInd w:val="0"/>
        <w:snapToGrid w:val="0"/>
        <w:spacing w:before="0" w:after="0"/>
        <w:ind w:firstLine="476"/>
        <w:jc w:val="center"/>
        <w:rPr>
          <w:rFonts w:ascii="Arial" w:hAnsi="Arial" w:eastAsia="微软雅黑" w:cs="Arial"/>
          <w:b/>
          <w:sz w:val="18"/>
          <w:szCs w:val="18"/>
        </w:rPr>
      </w:pPr>
      <w:r>
        <w:rPr>
          <w:rFonts w:ascii="Arial" w:hAnsi="Arial" w:eastAsia="微软雅黑" w:cs="Arial"/>
          <w:b/>
          <w:sz w:val="18"/>
          <w:szCs w:val="18"/>
        </w:rPr>
        <w:t>图表12：关联劳务交易流程图</w:t>
      </w:r>
    </w:p>
    <w:p w14:paraId="20B091F9">
      <w:pPr>
        <w:adjustRightInd w:val="0"/>
        <w:snapToGrid w:val="0"/>
        <w:spacing w:before="240" w:after="240"/>
        <w:ind w:firstLine="475"/>
        <w:jc w:val="center"/>
        <w:rPr>
          <w:rFonts w:ascii="Arial" w:hAnsi="Arial" w:eastAsia="微软雅黑" w:cs="Arial"/>
          <w:b/>
          <w:kern w:val="2"/>
          <w:sz w:val="22"/>
          <w:szCs w:val="20"/>
        </w:rPr>
      </w:pPr>
      <w:r>
        <w:rPr>
          <w:rFonts w:ascii="Arial" w:hAnsi="Arial" w:eastAsia="微软雅黑" w:cs="Arial"/>
          <w:b/>
          <w:kern w:val="2"/>
          <w:sz w:val="22"/>
          <w:szCs w:val="20"/>
        </w:rPr>
        <w:drawing>
          <wp:inline distT="0" distB="0" distL="0" distR="0">
            <wp:extent cx="4851400" cy="2546350"/>
            <wp:effectExtent l="0" t="0" r="6350" b="63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2"/>
                    <a:stretch>
                      <a:fillRect/>
                    </a:stretch>
                  </pic:blipFill>
                  <pic:spPr>
                    <a:xfrm>
                      <a:off x="0" y="0"/>
                      <a:ext cx="4857295" cy="2549114"/>
                    </a:xfrm>
                    <a:prstGeom prst="rect">
                      <a:avLst/>
                    </a:prstGeom>
                  </pic:spPr>
                </pic:pic>
              </a:graphicData>
            </a:graphic>
          </wp:inline>
        </w:drawing>
      </w:r>
    </w:p>
    <w:p w14:paraId="30DCC624">
      <w:pPr>
        <w:spacing w:before="0" w:after="0"/>
        <w:ind w:left="0" w:right="0"/>
        <w:jc w:val="left"/>
        <w:rPr>
          <w:rFonts w:ascii="Arial" w:hAnsi="Arial" w:eastAsia="微软雅黑" w:cs="Arial"/>
          <w:b/>
          <w:kern w:val="2"/>
          <w:sz w:val="22"/>
          <w:szCs w:val="20"/>
        </w:rPr>
      </w:pPr>
      <w:r>
        <w:rPr>
          <w:rFonts w:ascii="Arial" w:hAnsi="Arial" w:eastAsia="微软雅黑" w:cs="Arial"/>
          <w:b/>
          <w:kern w:val="2"/>
          <w:sz w:val="22"/>
          <w:szCs w:val="20"/>
        </w:rPr>
        <w:br w:type="page"/>
      </w:r>
    </w:p>
    <w:p w14:paraId="36E3FA96">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298" w:name="_Toc12958"/>
      <w:bookmarkStart w:id="299" w:name="_Toc47700028"/>
      <w:bookmarkStart w:id="300" w:name="_Toc27862"/>
      <w:bookmarkStart w:id="301" w:name="_Toc76668397"/>
      <w:bookmarkStart w:id="302" w:name="_Toc202797574"/>
      <w:r>
        <w:rPr>
          <w:rFonts w:ascii="Arial" w:hAnsi="Arial" w:eastAsia="微软雅黑" w:cs="Arial"/>
          <w:b w:val="0"/>
          <w:i w:val="0"/>
          <w:color w:val="4F81BD" w:themeColor="accent1"/>
          <w:sz w:val="22"/>
          <w:szCs w:val="22"/>
          <w14:textFill>
            <w14:solidFill>
              <w14:schemeClr w14:val="accent1"/>
            </w14:solidFill>
          </w14:textFill>
        </w:rPr>
        <w:t xml:space="preserve">交易明细</w:t>
      </w:r>
      <w:bookmarkEnd w:id="298"/>
      <w:bookmarkEnd w:id="299"/>
      <w:bookmarkEnd w:id="300"/>
      <w:bookmarkEnd w:id="301"/>
      <w:r>
        <w:rPr>
          <w:rStyle w:val="38"/>
          <w:rFonts w:ascii="Arial" w:hAnsi="Arial" w:eastAsia="微软雅黑" w:cs="Arial"/>
          <w:b w:val="0"/>
          <w:i w:val="0"/>
          <w:color w:val="4F81BD" w:themeColor="accent1"/>
          <w:sz w:val="22"/>
          <w:szCs w:val="22"/>
          <w14:textFill>
            <w14:solidFill>
              <w14:schemeClr w14:val="accent1"/>
            </w14:solidFill>
          </w14:textFill>
        </w:rPr>
        <w:footnoteReference w:id="17"/>
      </w:r>
      <w:bookmarkEnd w:id="302"/>
    </w:p>
    <w:p w14:paraId="20DF003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评估期间，{{清单模板-数据表-B5}}关联劳务支出的关联方和交易金额如下表所示：</w:t>
      </w:r>
    </w:p>
    <w:p w14:paraId="26193CC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图表13：{{清单模板-数据表-B2}}接受关联劳务明细表</w:t>
      </w:r>
      <w:r>
        <w:rPr>
          <w:rFonts w:hint="eastAsia" w:ascii="Arial" w:hAnsi="Arial" w:eastAsia="微软雅黑" w:cs="Arial"/>
          <w:bCs w:val="0"/>
          <w:sz w:val="18"/>
          <w:szCs w:val="18"/>
        </w:rPr>
        <w:t/>
      </w:r>
      <w:r>
        <w:rPr>
          <w:rFonts w:ascii="Arial" w:hAnsi="Arial" w:eastAsia="微软雅黑" w:cs="Arial"/>
          <w:bCs w:val="0"/>
          <w:sz w:val="18"/>
          <w:szCs w:val="18"/>
        </w:rPr>
        <w:t/>
      </w:r>
    </w:p>
    <w:tbl>
      <w:tblPr>
        <w:tblStyle w:val="29"/>
        <w:tblW w:w="8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3544"/>
        <w:gridCol w:w="1706"/>
        <w:gridCol w:w="1418"/>
      </w:tblGrid>
      <w:tr w14:paraId="3B6EA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4957" w:type="dxa"/>
            <w:gridSpan w:val="2"/>
            <w:shd w:val="clear" w:color="auto" w:fill="4F81BD" w:themeFill="accent1"/>
            <w:vAlign w:val="center"/>
          </w:tcPr>
          <w:p w14:paraId="313DEB4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{{清单模板-关联关系变化情况}}</w:t>
            </w:r>
          </w:p>
        </w:tc>
        <w:tc>
          <w:tcPr>
            <w:tcW w:w="1706" w:type="dxa"/>
            <w:shd w:val="clear" w:color="auto" w:fill="4F81BD" w:themeFill="accent1"/>
            <w:vAlign w:val="center"/>
          </w:tcPr>
          <w:p w14:paraId="2F789B4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c>
          <w:tcPr>
            <w:tcW w:w="1418" w:type="dxa"/>
            <w:shd w:val="clear" w:color="auto" w:fill="4F81BD" w:themeFill="accent1"/>
            <w:vAlign w:val="center"/>
          </w:tcPr>
          <w:p w14:paraId="40E8BB85">
            <w:pPr>
              <w:snapToGrid w:val="0"/>
              <w:spacing w:before="0" w:after="0"/>
              <w:ind w:left="0" w:right="0"/>
              <w:jc w:val="center"/>
              <w:rPr>
                <w:rFonts w:ascii="Arial" w:hAnsi="Arial" w:eastAsia="微软雅黑" w:cs="Arial"/>
                <w:b/>
                <w:color w:val="FFFFFF" w:themeColor="background1"/>
                <w:sz w:val="18"/>
                <w:szCs w:val="18"/>
                <w:highlight w:val="yellow"/>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r>
    </w:tbl>
    <w:p w14:paraId="6E28661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评估期间，{{清单模板-数据表-B5}}关联劳务收入的关联方和交易金额如下表所示：</w:t>
      </w:r>
      <w:r>
        <w:rPr>
          <w:rFonts w:hint="eastAsia" w:ascii="Arial" w:hAnsi="Arial" w:eastAsia="微软雅黑" w:cs="Arial"/>
          <w:sz w:val="22"/>
          <w:szCs w:val="22"/>
        </w:rPr>
        <w:t/>
      </w:r>
      <w:r>
        <w:rPr>
          <w:rFonts w:ascii="Arial" w:hAnsi="Arial" w:eastAsia="微软雅黑" w:cs="Arial"/>
          <w:sz w:val="22"/>
          <w:szCs w:val="22"/>
        </w:rPr>
        <w:t/>
      </w:r>
    </w:p>
    <w:p w14:paraId="1EE0D37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图表14：{{清单模板-数据表-B2}}提供关联劳务明细表</w:t>
      </w:r>
      <w:r>
        <w:rPr>
          <w:rFonts w:hint="eastAsia" w:ascii="Arial" w:hAnsi="Arial" w:eastAsia="微软雅黑" w:cs="Arial"/>
          <w:bCs w:val="0"/>
          <w:sz w:val="18"/>
          <w:szCs w:val="18"/>
        </w:rPr>
        <w:t/>
      </w:r>
      <w:r>
        <w:rPr>
          <w:rFonts w:ascii="Arial" w:hAnsi="Arial" w:eastAsia="微软雅黑" w:cs="Arial"/>
          <w:bCs w:val="0"/>
          <w:sz w:val="18"/>
          <w:szCs w:val="18"/>
        </w:rPr>
        <w:t/>
      </w:r>
      <w:r>
        <w:rPr>
          <w:rFonts w:hint="eastAsia" w:ascii="Arial" w:hAnsi="Arial" w:eastAsia="微软雅黑" w:cs="Arial"/>
          <w:bCs w:val="0"/>
          <w:sz w:val="18"/>
          <w:szCs w:val="18"/>
        </w:rPr>
        <w:t/>
      </w:r>
      <w:r>
        <w:rPr>
          <w:rFonts w:ascii="Arial" w:hAnsi="Arial" w:eastAsia="微软雅黑" w:cs="Arial"/>
          <w:bCs w:val="0"/>
          <w:sz w:val="18"/>
          <w:szCs w:val="18"/>
        </w:rPr>
        <w:t/>
      </w:r>
    </w:p>
    <w:tbl>
      <w:tblPr>
        <w:tblStyle w:val="29"/>
        <w:tblW w:w="8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3544"/>
        <w:gridCol w:w="1706"/>
        <w:gridCol w:w="1418"/>
      </w:tblGrid>
      <w:tr w14:paraId="2FCB1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4957" w:type="dxa"/>
            <w:gridSpan w:val="2"/>
            <w:shd w:val="clear" w:color="auto" w:fill="4F81BD" w:themeFill="accent1"/>
            <w:vAlign w:val="center"/>
          </w:tcPr>
          <w:p w14:paraId="067CBE4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{{清单模板-关联交易汇总表}}</w:t>
            </w:r>
          </w:p>
        </w:tc>
        <w:tc>
          <w:tcPr>
            <w:tcW w:w="1706" w:type="dxa"/>
            <w:shd w:val="clear" w:color="auto" w:fill="4F81BD" w:themeFill="accent1"/>
            <w:vAlign w:val="center"/>
          </w:tcPr>
          <w:p w14:paraId="7A9C1B07">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c>
          <w:tcPr>
            <w:tcW w:w="1418" w:type="dxa"/>
            <w:shd w:val="clear" w:color="auto" w:fill="4F81BD" w:themeFill="accent1"/>
            <w:vAlign w:val="center"/>
          </w:tcPr>
          <w:p w14:paraId="51C5E410">
            <w:pPr>
              <w:snapToGrid w:val="0"/>
              <w:spacing w:before="0" w:after="0"/>
              <w:ind w:left="0" w:right="0"/>
              <w:jc w:val="center"/>
              <w:rPr>
                <w:rFonts w:ascii="Arial" w:hAnsi="Arial" w:eastAsia="微软雅黑" w:cs="Arial"/>
                <w:b/>
                <w:color w:val="FFFFFF" w:themeColor="background1"/>
                <w:sz w:val="18"/>
                <w:szCs w:val="18"/>
                <w:highlight w:val="yellow"/>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
            </w:r>
            <w:r>
              <w:rPr>
                <w:rFonts w:hint="eastAsia" w:ascii="Arial" w:hAnsi="Arial" w:eastAsia="微软雅黑" w:cs="Arial"/>
                <w:b/>
                <w:color w:val="FFFFFF" w:themeColor="background1"/>
                <w:sz w:val="18"/>
                <w:szCs w:val="18"/>
                <w14:textFill>
                  <w14:solidFill>
                    <w14:schemeClr w14:val="bg1"/>
                  </w14:solidFill>
                </w14:textFill>
              </w:rPr>
              <w:t/>
            </w:r>
            <w:r>
              <w:rPr>
                <w:rFonts w:ascii="Arial" w:hAnsi="Arial" w:eastAsia="微软雅黑" w:cs="Arial"/>
                <w:b/>
                <w:color w:val="FFFFFF" w:themeColor="background1"/>
                <w:sz w:val="18"/>
                <w:szCs w:val="18"/>
                <w14:textFill>
                  <w14:solidFill>
                    <w14:schemeClr w14:val="bg1"/>
                  </w14:solidFill>
                </w14:textFill>
              </w:rPr>
              <w:t/>
            </w:r>
          </w:p>
        </w:tc>
      </w:tr>
    </w:tbl>
    <w:p w14:paraId="6CF6E66E">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03" w:name="_Toc4506"/>
      <w:bookmarkStart w:id="304" w:name="_Toc47700029"/>
      <w:bookmarkStart w:id="305" w:name="_Toc76668398"/>
      <w:bookmarkStart w:id="306" w:name="_Toc202797575"/>
      <w:bookmarkStart w:id="307" w:name="_Toc6728"/>
      <w:r>
        <w:rPr>
          <w:rFonts w:ascii="Arial" w:hAnsi="Arial" w:eastAsia="微软雅黑" w:cs="Arial"/>
          <w:b w:val="0"/>
          <w:i w:val="0"/>
          <w:color w:val="4F81BD" w:themeColor="accent1"/>
          <w:sz w:val="22"/>
          <w:szCs w:val="22"/>
          <w14:textFill>
            <w14:solidFill>
              <w14:schemeClr w14:val="accent1"/>
            </w14:solidFill>
          </w14:textFill>
        </w:rPr>
        <w:t>服务接受的受益性分析</w:t>
      </w:r>
      <w:bookmarkEnd w:id="303"/>
      <w:bookmarkEnd w:id="304"/>
      <w:bookmarkEnd w:id="305"/>
      <w:bookmarkEnd w:id="306"/>
      <w:bookmarkEnd w:id="307"/>
    </w:p>
    <w:p w14:paraId="56F3034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如上所述，{{清单模板-数据表-B5}}加入斯必克中国投资设立的服务共享中心，接受斯必克中国投资提供的人力资源管理服务、财务经济管理服务、内部数据分析和信息系统服务。作为相关服务的接受方和受益方，{{清单模板-数据表-B5}}从上述服务中获益或预期获益，因此，{{清单模板-数据表-B5}}应向服务提供方支付相应的服务费。</w:t>
      </w:r>
    </w:p>
    <w:p w14:paraId="43D14AE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以下将对{{清单模板-数据表-B5}}从斯必克中国投资和SPX Flow, Inc.接受的劳务，从相关服务内容和受益性两个方面进行分析。</w:t>
      </w:r>
    </w:p>
    <w:p w14:paraId="4F335BC8">
      <w:pPr>
        <w:pStyle w:val="175"/>
        <w:numPr>
          <w:ilvl w:val="3"/>
          <w:numId w:val="11"/>
        </w:numPr>
        <w:ind w:left="0" w:leftChars="0" w:firstLine="0" w:firstLineChars="0"/>
      </w:pPr>
      <w:bookmarkStart w:id="308" w:name="_Toc18821"/>
      <w:bookmarkStart w:id="309" w:name="_Toc47700030"/>
      <w:bookmarkStart w:id="310" w:name="_Toc805"/>
      <w:bookmarkStart w:id="311" w:name="_Toc76668399"/>
      <w:bookmarkStart w:id="312" w:name="_Toc20746"/>
      <w:r>
        <w:t>具体服务内容</w:t>
      </w:r>
      <w:bookmarkEnd w:id="308"/>
      <w:bookmarkEnd w:id="309"/>
      <w:bookmarkEnd w:id="310"/>
      <w:bookmarkEnd w:id="311"/>
      <w:bookmarkEnd w:id="312"/>
    </w:p>
    <w:p w14:paraId="0054D5A9">
      <w:pPr>
        <w:pStyle w:val="110"/>
        <w:keepNext/>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人力资源管理服务</w:t>
      </w:r>
    </w:p>
    <w:p w14:paraId="51956B3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人力资源管理服务主要依托计算机信息技术提供人力资源管理服务，具体服务内容包括网络在线人力资源系统管理服务、以计算机为基础的员工人事管理服务，以及网络在线薪资筹划、社保福利管理服务。</w:t>
      </w:r>
    </w:p>
    <w:p w14:paraId="6C4001DD">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财务经济管理服务</w:t>
      </w:r>
    </w:p>
    <w:p w14:paraId="6E94696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财务经济管理服务主要依托信息技术提供的财务经济管理服务，具体服务内容包括核心流程管理、财务资料复核、业务运作方面的指导咨询服务。</w:t>
      </w:r>
    </w:p>
    <w:p w14:paraId="4E9D7B66">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内部数据分析</w:t>
      </w:r>
    </w:p>
    <w:p w14:paraId="0A93DB3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内部数据分析服务主要依托信息技术提供的内部数据分析，具体服务内容包括企业内部的各项财务数据、经济指数的分析，内部利润指数分析预测，以及采购经理人指数分析。</w:t>
      </w:r>
    </w:p>
    <w:p w14:paraId="654C7FD3">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信息系统服务</w:t>
      </w:r>
    </w:p>
    <w:p w14:paraId="42D0B51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信息系统服务具体服务内容包括信息系统集成、网络管理、信息系统应用，桌面管理与维护、数据中心等服务，以及信息技术基础设施管理。</w:t>
      </w:r>
    </w:p>
    <w:p w14:paraId="5BC11637">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支持性服务</w:t>
      </w:r>
    </w:p>
    <w:p w14:paraId="197E1F6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SPX Flow, Inc.提供的支持性服务主要包括：通讯服务、发展服务、设施服务、人力资源服务、法务服务、风险管理服务、组织发展服务等服务。</w:t>
      </w:r>
    </w:p>
    <w:p w14:paraId="1687DA69">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终端市场服务</w:t>
      </w:r>
    </w:p>
    <w:p w14:paraId="74D2AAC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根据合同，SPX Flow, Inc.还向集团内关联方提供终端市场服务。解决关联方在终端市场上所面临的一些问题。</w:t>
      </w:r>
    </w:p>
    <w:p w14:paraId="50EDD2A8">
      <w:pPr>
        <w:pStyle w:val="175"/>
        <w:numPr>
          <w:ilvl w:val="3"/>
          <w:numId w:val="11"/>
        </w:numPr>
        <w:ind w:left="0" w:leftChars="0" w:firstLine="0" w:firstLineChars="0"/>
      </w:pPr>
      <w:bookmarkStart w:id="313" w:name="_Toc12714"/>
      <w:bookmarkStart w:id="314" w:name="_Toc47700031"/>
      <w:bookmarkStart w:id="315" w:name="_Toc28848"/>
      <w:bookmarkStart w:id="316" w:name="_Toc76668400"/>
      <w:bookmarkStart w:id="317" w:name="_Toc29741"/>
      <w:r>
        <w:t>受益性分析</w:t>
      </w:r>
      <w:bookmarkEnd w:id="313"/>
      <w:bookmarkEnd w:id="314"/>
      <w:bookmarkEnd w:id="315"/>
      <w:bookmarkEnd w:id="316"/>
      <w:bookmarkEnd w:id="317"/>
    </w:p>
    <w:p w14:paraId="4EB74C6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如上所述，斯必克中国投资和SPX Flow, Inc.以其现有的成熟团队的技能和经验向{{清单模板-数据表-B5}}提供上述人力资源管理服务、财务经济管理服务、内部数据分析服务、信息系统服务、支持性服务以及终端市场服务。</w:t>
      </w:r>
    </w:p>
    <w:p w14:paraId="68F9D47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人力资源管理服务可以更好地降低{{清单模板-数据表-B5}}的用人成本，集中员工的专业度，为企业做好人员管理和薪酬规划，提高企业的核心竞争力以及为企业未来的发展做好准备。</w:t>
      </w:r>
    </w:p>
    <w:p w14:paraId="5357DD8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财务经济管理服务和内部数据分析服务可以加强{{清单模板-数据表-B5}}内部财务经济状况透明度，同时帮助企业更快更好地作出决策、节约成本、提高工作效率，发现新的增长点，开发潜在的商务智能，提高资本变现的能力。</w:t>
      </w:r>
    </w:p>
    <w:p w14:paraId="6CDA3BC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信息系统服务可以根据{{清单模板-数据表-B5}}的运营需求，对内部、外部系统进行开发和优化，提高企业的运营和沟通效率。信息系统服务可以保障企业信息和内部沟通的安全性和机密性，防止因为使用第三方系统而导致企业信息的泄露。斯必克中国主要通过监督邮箱系统和网络电话会议系统实现信息系统服务。</w:t>
      </w:r>
    </w:p>
    <w:p w14:paraId="0B34939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支持性服务对{{清单模板-数据表-B5}}的日常运营起到了辅助作用，维持与保障企业的稳定。</w:t>
      </w:r>
    </w:p>
    <w:p w14:paraId="7B0FE92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终端市场服务为{{清单模板-数据表-B5}}在越发重要的终端市场提供了保障，从而对企业的销售和运营起到了积极的推动作用。</w:t>
      </w:r>
    </w:p>
    <w:p w14:paraId="2C6FF4A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斯必克中国投资和SPX Flow,Inc提供的上述服务对于{{清单模板-数据表-B5}}的整体发展和稳定起到了至关重要的作用。{{清单模板-数据表-B5}}没有能够提供上述服务的专业部门或雇员，需要委托第三方提供这些服务。然而，委托或聘请第三方提供上述服务能否在现有基础上进一步的提高企业发展的效率和稳定性存在疑问和不确定性。考虑到部分服务内容的安全性和机密性，也并不适合引入外部第三方服务提供商。另一方面，斯必克中国投资和SPX Flow,Inc提供上述服务的成本由{{清单模板-数据表-B5}}与关联方共同分担，因此可以实现集团的效率最大化。</w:t>
      </w:r>
    </w:p>
    <w:p w14:paraId="5E08835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综上所述，可以认为{{清单模板-数据表-B5}}向斯必克中国投资等关联方支付其提供劳务相关的服务费用是必要的、合理的。</w:t>
      </w:r>
      <w:r>
        <w:rPr>
          <w:rFonts w:hint="eastAsia" w:ascii="Arial" w:hAnsi="Arial" w:eastAsia="微软雅黑" w:cs="Arial"/>
          <w:sz w:val="22"/>
          <w:szCs w:val="22"/>
        </w:rPr>
        <w:t/>
      </w:r>
      <w:r>
        <w:rPr>
          <w:rFonts w:ascii="Arial" w:hAnsi="Arial" w:eastAsia="微软雅黑" w:cs="Arial"/>
          <w:sz w:val="22"/>
          <w:szCs w:val="22"/>
        </w:rPr>
        <w:t/>
      </w:r>
    </w:p>
    <w:p w14:paraId="07A3FCC0">
      <w:pPr>
        <w:pStyle w:val="21"/>
        <w:numPr>
          <w:ilvl w:val="2"/>
          <w:numId w:val="11"/>
        </w:numPr>
        <w:tabs>
          <w:tab w:val="left" w:pos="1920"/>
          <w:tab w:val="clear" w:pos="312"/>
        </w:tabs>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18" w:name="_Toc24714"/>
      <w:bookmarkStart w:id="319" w:name="_Toc47700032"/>
      <w:bookmarkStart w:id="320" w:name="_Toc24173"/>
      <w:bookmarkStart w:id="321" w:name="_Toc76668401"/>
      <w:bookmarkStart w:id="322" w:name="_Toc202797576"/>
      <w:r>
        <w:rPr>
          <w:rFonts w:ascii="Arial" w:hAnsi="Arial" w:eastAsia="微软雅黑" w:cs="Arial"/>
          <w:b w:val="0"/>
          <w:i w:val="0"/>
          <w:color w:val="4F81BD" w:themeColor="accent1"/>
          <w:sz w:val="22"/>
          <w:szCs w:val="22"/>
          <w14:textFill>
            <w14:solidFill>
              <w14:schemeClr w14:val="accent1"/>
            </w14:solidFill>
          </w14:textFill>
        </w:rPr>
        <w:t xml:space="preserve">交易定价政策</w:t>
      </w:r>
      <w:bookmarkEnd w:id="318"/>
      <w:bookmarkEnd w:id="319"/>
      <w:bookmarkEnd w:id="320"/>
      <w:bookmarkEnd w:id="321"/>
      <w:bookmarkEnd w:id="322"/>
      <w:r>
        <w:rPr>
          <w:rFonts w:ascii="Arial" w:hAnsi="Arial" w:eastAsia="微软雅黑" w:cs="Arial"/>
          <w:b w:val="0"/>
          <w:i w:val="0"/>
          <w:color w:val="4F81BD" w:themeColor="accent1"/>
          <w:sz w:val="22"/>
          <w:szCs w:val="22"/>
          <w14:textFill>
            <w14:solidFill>
              <w14:schemeClr w14:val="accent1"/>
            </w14:solidFill>
          </w14:textFill>
        </w:rPr>
        <w:tab/>
      </w:r>
    </w:p>
    <w:p w14:paraId="3923F83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评估期间，{{清单模板-数据表-B5}}主要接受斯必克中国投资和SPX Flow, Inc.提供的上述服务以及向境外关联方提供工程设计及设备调试等服务。</w:t>
      </w:r>
      <w:r>
        <w:rPr>
          <w:rFonts w:hint="eastAsia" w:ascii="Arial" w:hAnsi="Arial" w:eastAsia="微软雅黑" w:cs="Arial"/>
          <w:sz w:val="22"/>
          <w:szCs w:val="22"/>
        </w:rPr>
        <w:t/>
      </w:r>
      <w:r>
        <w:rPr>
          <w:rFonts w:ascii="Arial" w:hAnsi="Arial" w:eastAsia="微软雅黑" w:cs="Arial"/>
          <w:sz w:val="22"/>
          <w:szCs w:val="22"/>
        </w:rPr>
        <w:t/>
      </w:r>
    </w:p>
    <w:p w14:paraId="33F52A3F">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对于接受关联方提供的劳务服务，根据{{清单模板-数据表-B5}}与斯必克中国投资签署的《斯必克流体亚太总部服务合同》，关联服务受益方向斯必克中国投资按照成本加成5%的方式支付服务费。斯必克中国投资将在提供服务过程中可能导致的有关人员、房屋和土地占用、差旅和维持费用、通讯、专业服务成本、固定资产减值等费用以及其它运作费用的综合作为成本的归集方式。</w:t>
      </w:r>
      <w:r>
        <w:rPr>
          <w:rFonts w:ascii="Arial" w:hAnsi="Arial" w:eastAsia="微软雅黑" w:cs="Arial"/>
          <w:sz w:val="22"/>
          <w:szCs w:val="22"/>
        </w:rPr>
        <w:t/>
      </w:r>
    </w:p>
    <w:p w14:paraId="5F62807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根据{{清单模板-数据表-B5}}与SPX Flow, Inc.签署的《执行支持服务合同》，SPX Flow,Inc.按年度归集实际发生的成本，并考虑相关因素向服务受益方收取服务费。</w:t>
      </w:r>
    </w:p>
    <w:p w14:paraId="60E6227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按照标准人工收费标准作为成本分摊的方式。标准人工是指根据提供财务共享服务团队的总成本（包括但不限于部门人员的工资、社保等）计算每一服务人员的标准人工，然后根据为服务接受方提供服务所需要的人数进行收费。</w:t>
      </w:r>
    </w:p>
    <w:p w14:paraId="77C486D7">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对于向关联方提供劳务服务，定价由交易双方根据具体项目协商确定。</w:t>
      </w:r>
    </w:p>
    <w:p w14:paraId="4975E9FB">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23" w:name="_Toc76668402"/>
      <w:bookmarkStart w:id="324" w:name="_Toc27591"/>
      <w:bookmarkStart w:id="325" w:name="_Toc47700033"/>
      <w:bookmarkStart w:id="326" w:name="_Toc9692"/>
      <w:bookmarkStart w:id="327" w:name="_Toc202797577"/>
      <w:r>
        <w:rPr>
          <w:rFonts w:ascii="Arial" w:hAnsi="Arial" w:eastAsia="微软雅黑" w:cs="Arial"/>
          <w:b w:val="0"/>
          <w:i w:val="0"/>
          <w:color w:val="4F81BD" w:themeColor="accent1"/>
          <w:sz w:val="22"/>
          <w:szCs w:val="22"/>
          <w14:textFill>
            <w14:solidFill>
              <w14:schemeClr w14:val="accent1"/>
            </w14:solidFill>
          </w14:textFill>
        </w:rPr>
        <w:t>关联借贷</w:t>
      </w:r>
      <w:bookmarkEnd w:id="323"/>
      <w:bookmarkEnd w:id="324"/>
      <w:bookmarkEnd w:id="325"/>
      <w:bookmarkEnd w:id="326"/>
      <w:bookmarkEnd w:id="327"/>
    </w:p>
    <w:p w14:paraId="4B9E1009">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为充分利用各公司闲置资金，提高资金的使用效率，{{清单模板-数据表-B5}}与斯必克集团在中国境内的关联公司通过商业银行进行现金池业务。</w:t>
      </w:r>
    </w:p>
    <w:p w14:paraId="09D9F88C">
      <w:pPr>
        <w:snapToGrid w:val="0"/>
        <w:spacing w:before="163" w:beforeLines="50" w:after="163" w:afterLines="50"/>
        <w:ind w:firstLine="440" w:firstLineChars="200"/>
        <w:rPr>
          <w:rFonts w:ascii="Arial" w:hAnsi="Arial" w:eastAsia="微软雅黑" w:cs="Arial"/>
          <w:sz w:val="22"/>
          <w:szCs w:val="22"/>
        </w:rPr>
      </w:pPr>
      <w:bookmarkStart w:id="328" w:name="_Hlk169288866"/>
      <w:r>
        <w:rPr>
          <w:rFonts w:hint="eastAsia" w:ascii="Arial" w:hAnsi="Arial" w:eastAsia="微软雅黑" w:cs="Arial"/>
          <w:sz w:val="22"/>
          <w:szCs w:val="22"/>
        </w:rPr>
        <w:t xml:space="preserve">{{清单模板-数据表-B2}}现金池业务通过招商银行股份有限公司上海市淮海支行进行。以委托存款形式存放在该现金池的资金，年利率为浮动利率；以委托贷款形式向现金池借入的资金，年利率为0.50%。</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bookmarkEnd w:id="328"/>
    </w:p>
    <w:p w14:paraId="0A20CD1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评估期间，{{清单模板-数据表-B5}}关联利息收入为人民币1,773,951.39元。</w:t>
      </w:r>
      <w:r>
        <w:rPr>
          <w:rFonts w:hint="eastAsia" w:ascii="Arial" w:hAnsi="Arial" w:eastAsia="微软雅黑" w:cs="Arial"/>
          <w:sz w:val="22"/>
          <w:szCs w:val="22"/>
        </w:rPr>
        <w:t/>
      </w:r>
      <w:r>
        <w:rPr>
          <w:rFonts w:ascii="Arial" w:hAnsi="Arial" w:eastAsia="微软雅黑" w:cs="Arial"/>
          <w:sz w:val="22"/>
          <w:szCs w:val="22"/>
        </w:rPr>
        <w:t/>
      </w:r>
    </w:p>
    <w:p w14:paraId="27685747">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29" w:name="_Toc47700034"/>
      <w:bookmarkStart w:id="330" w:name="_Toc202797578"/>
      <w:bookmarkStart w:id="331" w:name="_Toc76668403"/>
      <w:bookmarkStart w:id="332" w:name="_Toc31116"/>
      <w:bookmarkStart w:id="333" w:name="_Toc27908"/>
      <w:r>
        <w:rPr>
          <w:rFonts w:ascii="Arial" w:hAnsi="Arial" w:eastAsia="微软雅黑" w:cs="Arial"/>
          <w:b w:val="0"/>
          <w:i w:val="0"/>
          <w:color w:val="4F81BD" w:themeColor="accent1"/>
          <w:sz w:val="22"/>
          <w:szCs w:val="22"/>
          <w14:textFill>
            <w14:solidFill>
              <w14:schemeClr w14:val="accent1"/>
            </w14:solidFill>
          </w14:textFill>
        </w:rPr>
        <w:t>关联交易合同及执行汇总</w:t>
      </w:r>
      <w:bookmarkEnd w:id="329"/>
      <w:bookmarkEnd w:id="330"/>
      <w:bookmarkEnd w:id="331"/>
      <w:bookmarkEnd w:id="332"/>
      <w:bookmarkEnd w:id="333"/>
      <w:bookmarkStart w:id="334" w:name="_Toc12351295"/>
      <w:bookmarkEnd w:id="334"/>
      <w:bookmarkStart w:id="335" w:name="_Toc12351294"/>
      <w:bookmarkEnd w:id="335"/>
      <w:bookmarkStart w:id="336" w:name="_Toc12351293"/>
      <w:bookmarkEnd w:id="336"/>
    </w:p>
    <w:p w14:paraId="68E8FE8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评估期间，{{清单模板-数据表-B5}}与关联方均依据协议中的条款和约定履行各自的责任和义务。</w:t>
      </w:r>
    </w:p>
    <w:p w14:paraId="4D7A7D87">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37" w:name="_Toc12285868"/>
      <w:bookmarkEnd w:id="337"/>
      <w:bookmarkStart w:id="338" w:name="_Toc12351332"/>
      <w:bookmarkEnd w:id="338"/>
      <w:bookmarkStart w:id="339" w:name="_Toc12285842"/>
      <w:bookmarkEnd w:id="339"/>
      <w:bookmarkStart w:id="340" w:name="_Toc12285863"/>
      <w:bookmarkEnd w:id="340"/>
      <w:bookmarkStart w:id="341" w:name="_Toc12351297"/>
      <w:bookmarkEnd w:id="341"/>
      <w:bookmarkStart w:id="342" w:name="_Toc12351318"/>
      <w:bookmarkEnd w:id="342"/>
      <w:bookmarkStart w:id="343" w:name="_Toc12285877"/>
      <w:bookmarkEnd w:id="343"/>
      <w:bookmarkStart w:id="344" w:name="_Toc12351323"/>
      <w:bookmarkEnd w:id="344"/>
      <w:bookmarkStart w:id="345" w:name="_Toc12351313"/>
      <w:bookmarkEnd w:id="345"/>
      <w:bookmarkStart w:id="346" w:name="_Toc12285858"/>
      <w:bookmarkEnd w:id="346"/>
      <w:bookmarkStart w:id="347" w:name="_Toc202797579"/>
      <w:bookmarkStart w:id="348" w:name="_Toc1186"/>
      <w:bookmarkStart w:id="349" w:name="_Toc47700035"/>
      <w:bookmarkStart w:id="350" w:name="_Toc11443"/>
      <w:bookmarkStart w:id="351" w:name="_Toc76668404"/>
      <w:r>
        <w:rPr>
          <w:rFonts w:ascii="Arial" w:hAnsi="Arial" w:eastAsia="微软雅黑" w:cs="Arial"/>
          <w:b w:val="0"/>
          <w:i w:val="0"/>
          <w:color w:val="4F81BD" w:themeColor="accent1"/>
          <w:sz w:val="22"/>
          <w:szCs w:val="22"/>
          <w14:textFill>
            <w14:solidFill>
              <w14:schemeClr w14:val="accent1"/>
            </w14:solidFill>
          </w14:textFill>
        </w:rPr>
        <w:t>与企业关联交易直接相关的预约定价安排和其他税收裁定</w:t>
      </w:r>
      <w:bookmarkEnd w:id="347"/>
      <w:bookmarkEnd w:id="348"/>
      <w:bookmarkEnd w:id="349"/>
      <w:bookmarkEnd w:id="350"/>
      <w:bookmarkEnd w:id="351"/>
      <w:bookmarkStart w:id="352" w:name="_Hlk168669281"/>
    </w:p>
    <w:p w14:paraId="6F2E8C1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评估期间，{{清单模板-数据表-B5}}无与企业关联交易直接相关的预约定价安排和作出的其他税收裁定。</w:t>
      </w:r>
    </w:p>
    <w:bookmarkEnd w:id="352"/>
    <w:p w14:paraId="67C24033">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53" w:name="_Toc47700036"/>
      <w:bookmarkStart w:id="354" w:name="_Toc76668405"/>
      <w:bookmarkStart w:id="355" w:name="_Toc466901995"/>
      <w:bookmarkStart w:id="356" w:name="_Toc45183409"/>
      <w:bookmarkStart w:id="357" w:name="_Toc202797580"/>
      <w:bookmarkStart w:id="358" w:name="_Toc7989"/>
      <w:bookmarkStart w:id="359" w:name="_Toc17415"/>
      <w:r>
        <w:rPr>
          <w:rFonts w:ascii="Arial" w:hAnsi="Arial" w:eastAsia="微软雅黑" w:cs="Arial"/>
          <w:b w:val="0"/>
          <w:i w:val="0"/>
          <w:color w:val="4F81BD" w:themeColor="accent1"/>
          <w:sz w:val="22"/>
          <w:szCs w:val="22"/>
          <w14:textFill>
            <w14:solidFill>
              <w14:schemeClr w14:val="accent1"/>
            </w14:solidFill>
          </w14:textFill>
        </w:rPr>
        <w:t>关联交易财务状况</w:t>
      </w:r>
      <w:bookmarkEnd w:id="353"/>
      <w:bookmarkEnd w:id="354"/>
      <w:bookmarkEnd w:id="355"/>
      <w:bookmarkEnd w:id="356"/>
      <w:bookmarkEnd w:id="357"/>
      <w:bookmarkEnd w:id="358"/>
      <w:bookmarkEnd w:id="359"/>
    </w:p>
    <w:p w14:paraId="2225D48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{{清单模板-数据表-B5}}按照客户类型进行收入划分，即根据客户是否是关联方将销售收入明确划分成关联交易收入和非关联交易收入。具体拆分数据详见附件2《企业年度关联交易财务状况分析表》。</w:t>
      </w:r>
    </w:p>
    <w:p w14:paraId="2057C7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{{清单模板-数据表-B5}}原则上根据实际情况在不同的交易类型中归集、划分成本和费用，对于不能按照实际情况划分的成本和费用，{{清单模板-数据表-B5}}按照合理比例进行划分。</w:t>
      </w:r>
    </w:p>
    <w:p w14:paraId="628EDA5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60" w:name="_Toc31074"/>
      <w:bookmarkStart w:id="361" w:name="_Toc202797581"/>
      <w:bookmarkStart w:id="362" w:name="_Toc76668406"/>
      <w:bookmarkStart w:id="363" w:name="_Toc47700037"/>
      <w:bookmarkStart w:id="364" w:name="_Toc20708"/>
      <w:r>
        <w:rPr>
          <w:rFonts w:ascii="Arial" w:hAnsi="Arial" w:eastAsia="微软雅黑" w:cs="Arial"/>
          <w:b w:val="0"/>
          <w:i w:val="0"/>
          <w:color w:val="4F81BD" w:themeColor="accent1"/>
          <w:sz w:val="22"/>
          <w:szCs w:val="22"/>
          <w14:textFill>
            <w14:solidFill>
              <w14:schemeClr w14:val="accent1"/>
            </w14:solidFill>
          </w14:textFill>
        </w:rPr>
        <w:t>小结</w:t>
      </w:r>
      <w:bookmarkEnd w:id="360"/>
      <w:bookmarkEnd w:id="361"/>
      <w:bookmarkEnd w:id="362"/>
      <w:bookmarkEnd w:id="363"/>
      <w:bookmarkEnd w:id="364"/>
    </w:p>
    <w:p w14:paraId="1D5A1F75">
      <w:pPr>
        <w:snapToGrid w:val="0"/>
        <w:spacing w:before="163" w:beforeLines="50" w:after="163" w:afterLines="50"/>
        <w:ind w:firstLine="440" w:firstLineChars="200"/>
        <w:rPr>
          <w:rStyle w:val="38"/>
          <w:rFonts w:ascii="Arial" w:hAnsi="Arial" w:eastAsia="微软雅黑" w:cs="Arial"/>
        </w:rPr>
      </w:pPr>
      <w:r>
        <w:rPr>
          <w:rFonts w:ascii="Arial" w:hAnsi="Arial" w:eastAsia="微软雅黑" w:cs="Arial"/>
          <w:sz w:val="22"/>
          <w:szCs w:val="22"/>
        </w:rPr>
        <w:t xml:space="preserve">从理论上讲，在对企业的关联交易进行分析时，为了得到最为准确的可比数据，应该对各项关联交易进行逐一的分析和评估。但是，在很多情况下，企业各项关联交易间是紧密联系的，从而构成了企业的整体业务。在这种情况下，不应机械地把这些关联交易分割成单独的交易进行分别验证。</w:t>
      </w:r>
      <w:r>
        <w:rPr>
          <w:rStyle w:val="38"/>
          <w:rFonts w:ascii="Arial" w:hAnsi="Arial" w:eastAsia="微软雅黑" w:cs="Arial"/>
          <w:sz w:val="22"/>
          <w:szCs w:val="22"/>
        </w:rPr>
        <w:footnoteReference w:id="18"/>
      </w:r>
    </w:p>
    <w:p w14:paraId="2A3B965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的主要关联交易是从关联方采购和销售货物。{{清单模板-数据表-B5}}向关联方进行采购，金额为人民币108,545,585.51元。收入端，{{清单模板-数据表-B5}}向关联方销售加工后的成品，同时，{{清单模板-数据表-B5}}向第三方销售成套设备并提供系统解决方案。因此，本报告将分别对关联销售和第三方销售是否符合独立交易原则进行测试和分析。此外，考虑到关联劳务的金额较小，关联劳务支出仅占总成本的4.51%，且已反映到成本费用中；关联劳务收入仅占总收入的0.40%，占比较低。因此，本报告将不对其进行单独测试分析。</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B032D2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同时，本报告通过对现金池协议中利率水平进行高阶分析，来分析集团间的资金融通行为是否符合独立交易原则。</w:t>
      </w:r>
      <w:r>
        <w:rPr>
          <w:rFonts w:ascii="Arial" w:hAnsi="Arial" w:eastAsia="微软雅黑" w:cs="Arial"/>
          <w:sz w:val="22"/>
          <w:szCs w:val="22"/>
        </w:rPr>
        <w:br w:type="page"/>
      </w:r>
    </w:p>
    <w:p w14:paraId="53E7BE5B">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365" w:name="_Toc47700038"/>
      <w:bookmarkStart w:id="366" w:name="_Toc76668407"/>
      <w:bookmarkStart w:id="367" w:name="_Toc202797582"/>
      <w:bookmarkStart w:id="368" w:name="_Toc21874"/>
      <w:bookmarkStart w:id="369" w:name="_Toc522015215"/>
      <w:r>
        <w:rPr>
          <w:rFonts w:ascii="Arial" w:hAnsi="Arial" w:eastAsia="微软雅黑" w:cs="Arial"/>
          <w:color w:val="4F81BD"/>
          <w:sz w:val="28"/>
          <w:szCs w:val="22"/>
        </w:rPr>
        <w:t>功能和风险分析</w:t>
      </w:r>
      <w:bookmarkEnd w:id="365"/>
      <w:bookmarkEnd w:id="366"/>
      <w:bookmarkEnd w:id="367"/>
      <w:bookmarkEnd w:id="368"/>
      <w:bookmarkEnd w:id="369"/>
    </w:p>
    <w:p w14:paraId="7C7E81B2">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70" w:name="_Toc47700039"/>
      <w:bookmarkStart w:id="371" w:name="_Toc32310"/>
      <w:bookmarkStart w:id="372" w:name="_Toc522015216"/>
      <w:bookmarkStart w:id="373" w:name="_Toc76668408"/>
      <w:bookmarkStart w:id="374" w:name="_Toc2324"/>
      <w:bookmarkStart w:id="375" w:name="_Toc1683"/>
      <w:bookmarkStart w:id="376" w:name="_Toc202797583"/>
      <w:r>
        <w:rPr>
          <w:rFonts w:ascii="Arial" w:hAnsi="Arial" w:eastAsia="微软雅黑" w:cs="Arial"/>
          <w:b w:val="0"/>
          <w:i w:val="0"/>
          <w:color w:val="4F81BD" w:themeColor="accent1"/>
          <w:sz w:val="22"/>
          <w:szCs w:val="22"/>
          <w14:textFill>
            <w14:solidFill>
              <w14:schemeClr w14:val="accent1"/>
            </w14:solidFill>
          </w14:textFill>
        </w:rPr>
        <w:t>简介</w:t>
      </w:r>
      <w:bookmarkEnd w:id="370"/>
      <w:bookmarkEnd w:id="371"/>
      <w:bookmarkEnd w:id="372"/>
      <w:bookmarkEnd w:id="373"/>
      <w:bookmarkEnd w:id="374"/>
      <w:bookmarkEnd w:id="375"/>
      <w:bookmarkEnd w:id="376"/>
    </w:p>
    <w:p w14:paraId="1C42854C">
      <w:pPr>
        <w:snapToGrid w:val="0"/>
        <w:spacing w:before="163" w:beforeLines="50" w:after="163" w:afterLines="50"/>
        <w:ind w:firstLine="440" w:firstLineChars="200"/>
        <w:rPr>
          <w:rFonts w:ascii="Arial" w:hAnsi="Arial" w:eastAsia="微软雅黑" w:cs="Arial"/>
          <w:kern w:val="2"/>
        </w:rPr>
      </w:pPr>
      <w:r>
        <w:rPr>
          <w:rFonts w:ascii="Arial" w:hAnsi="Arial" w:eastAsia="微软雅黑" w:cs="Arial"/>
          <w:sz w:val="22"/>
          <w:szCs w:val="22"/>
        </w:rPr>
        <w:t>功能和风险分析有助于理解和验证相关的转让定价安排，也是中国转让定价法规规定必须进行的分析。功能和风险分析部分所收集的信息，将被用来分析评估期间的以下问题：</w:t>
      </w:r>
    </w:p>
    <w:p w14:paraId="3F00835C">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企业及其关联方执行的主要功能（包括种类和频繁程度）；</w:t>
      </w:r>
    </w:p>
    <w:p w14:paraId="11BC3698">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企业及其关联方所承担的风险；</w:t>
      </w:r>
    </w:p>
    <w:p w14:paraId="7C871458">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企业及其关联方所使用的资产（包括有形资产和无形资产）。</w:t>
      </w:r>
    </w:p>
    <w:p w14:paraId="65247DD6">
      <w:pPr>
        <w:snapToGrid w:val="0"/>
        <w:spacing w:before="163" w:beforeLines="50" w:after="163" w:afterLines="50"/>
        <w:ind w:firstLine="440" w:firstLineChars="200"/>
        <w:rPr>
          <w:rFonts w:ascii="Arial" w:hAnsi="Arial" w:eastAsia="微软雅黑" w:cs="Arial"/>
          <w:kern w:val="2"/>
        </w:rPr>
      </w:pPr>
      <w:r>
        <w:rPr>
          <w:rFonts w:ascii="Arial" w:hAnsi="Arial" w:eastAsia="微软雅黑" w:cs="Arial"/>
          <w:sz w:val="22"/>
          <w:szCs w:val="22"/>
        </w:rPr>
        <w:t>在本报告的功能和风险分析部分，我们将对{{清单模板-数据表-B5}}在受测关联交易中与其关联方之间形成的经济关系进行分析和评估。</w:t>
      </w:r>
    </w:p>
    <w:p w14:paraId="43FC5CF9">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77" w:name="_Toc522015217"/>
      <w:bookmarkStart w:id="378" w:name="_Toc22659"/>
      <w:bookmarkStart w:id="379" w:name="_Toc31803"/>
      <w:bookmarkStart w:id="380" w:name="_Toc47700040"/>
      <w:bookmarkStart w:id="381" w:name="_Toc202797584"/>
      <w:bookmarkStart w:id="382" w:name="_Toc76668409"/>
      <w:r>
        <w:rPr>
          <w:rFonts w:ascii="Arial" w:hAnsi="Arial" w:eastAsia="微软雅黑" w:cs="Arial"/>
          <w:b w:val="0"/>
          <w:i w:val="0"/>
          <w:color w:val="4F81BD" w:themeColor="accent1"/>
          <w:sz w:val="22"/>
          <w:szCs w:val="22"/>
          <w14:textFill>
            <w14:solidFill>
              <w14:schemeClr w14:val="accent1"/>
            </w14:solidFill>
          </w14:textFill>
        </w:rPr>
        <w:t xml:space="preserve">功能及风险分析</w:t>
      </w:r>
      <w:bookmarkEnd w:id="377"/>
      <w:r>
        <w:rPr>
          <w:rFonts w:ascii="Arial" w:hAnsi="Arial" w:eastAsia="微软雅黑" w:cs="Arial"/>
          <w:b w:val="0"/>
          <w:i w:val="0"/>
          <w:color w:val="4F81BD" w:themeColor="accent1"/>
          <w:sz w:val="22"/>
          <w:szCs w:val="22"/>
          <w14:textFill>
            <w14:solidFill>
              <w14:schemeClr w14:val="accent1"/>
            </w14:solidFill>
          </w14:textFill>
        </w:rPr>
        <w:t/>
      </w:r>
      <w:bookmarkEnd w:id="378"/>
      <w:bookmarkEnd w:id="379"/>
      <w:bookmarkEnd w:id="380"/>
      <w:bookmarkEnd w:id="381"/>
      <w:bookmarkEnd w:id="382"/>
    </w:p>
    <w:p w14:paraId="43879B51">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83" w:name="_Toc31126"/>
      <w:bookmarkStart w:id="384" w:name="_Toc522015218"/>
      <w:bookmarkStart w:id="385" w:name="_Toc20519"/>
      <w:bookmarkStart w:id="386" w:name="_Toc76668410"/>
      <w:bookmarkStart w:id="387" w:name="_Toc47700041"/>
      <w:bookmarkStart w:id="388" w:name="_Toc11035"/>
      <w:bookmarkStart w:id="389" w:name="_Toc202797585"/>
      <w:r>
        <w:rPr>
          <w:rFonts w:ascii="Arial" w:hAnsi="Arial" w:eastAsia="微软雅黑" w:cs="Arial"/>
          <w:b w:val="0"/>
          <w:i w:val="0"/>
          <w:color w:val="4F81BD" w:themeColor="accent1"/>
          <w:sz w:val="22"/>
          <w:szCs w:val="22"/>
          <w14:textFill>
            <w14:solidFill>
              <w14:schemeClr w14:val="accent1"/>
            </w14:solidFill>
          </w14:textFill>
        </w:rPr>
        <w:t xml:space="preserve">功能分析</w:t>
      </w:r>
      <w:bookmarkEnd w:id="383"/>
      <w:bookmarkEnd w:id="384"/>
      <w:r>
        <w:rPr>
          <w:rFonts w:ascii="Arial" w:hAnsi="Arial" w:eastAsia="微软雅黑" w:cs="Arial"/>
          <w:b w:val="0"/>
          <w:i w:val="0"/>
          <w:color w:val="4F81BD" w:themeColor="accent1"/>
          <w:sz w:val="22"/>
          <w:szCs w:val="22"/>
          <w14:textFill>
            <w14:solidFill>
              <w14:schemeClr w14:val="accent1"/>
            </w14:solidFill>
          </w14:textFill>
        </w:rPr>
        <w:t/>
      </w:r>
      <w:bookmarkEnd w:id="385"/>
      <w:bookmarkEnd w:id="386"/>
      <w:bookmarkEnd w:id="387"/>
      <w:bookmarkEnd w:id="388"/>
      <w:bookmarkEnd w:id="389"/>
    </w:p>
    <w:p w14:paraId="445E4A9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此处我们将主要分析{{清单模板-数据表-B5}}及其关联企业各个业务部门在关联交易中所从事的业务活动，以及关联交易的各个参与方所执行的功能。</w:t>
      </w:r>
    </w:p>
    <w:p w14:paraId="70616138">
      <w:pPr>
        <w:pStyle w:val="175"/>
        <w:numPr>
          <w:ilvl w:val="3"/>
          <w:numId w:val="11"/>
        </w:numPr>
        <w:ind w:left="0" w:leftChars="0" w:firstLine="0" w:firstLineChars="0"/>
      </w:pPr>
      <w:bookmarkStart w:id="390" w:name="_Toc47700042"/>
      <w:bookmarkStart w:id="391" w:name="_Toc76668411"/>
      <w:bookmarkStart w:id="392" w:name="_Toc4787"/>
      <w:bookmarkStart w:id="393" w:name="_Toc3474"/>
      <w:bookmarkStart w:id="394" w:name="_Toc30820"/>
      <w:r>
        <w:t>研究与开发</w:t>
      </w:r>
      <w:bookmarkEnd w:id="390"/>
      <w:bookmarkEnd w:id="391"/>
      <w:bookmarkEnd w:id="392"/>
      <w:bookmarkEnd w:id="393"/>
      <w:bookmarkEnd w:id="394"/>
    </w:p>
    <w:p w14:paraId="62DB88A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研发功能包括研发活动的决策与实施、新产品的开发、现有产品的改进升级、生产工艺的开发或改进等活动。</w:t>
      </w:r>
    </w:p>
    <w:p w14:paraId="1B16F4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执行斯必克产品的本地化技术改良及产品设计功能，如对从国外关联方处转移到{{清单模板-数据表-B5}}的生产线所生产的产品进行本地化的改良，并为新产品在本地的投产配合海外关联方进行本地化的设计。</w:t>
      </w:r>
    </w:p>
    <w:p w14:paraId="5AB04BF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工艺工程解决方案，{{清单模板-数据表-B5}}的工程部主要负责工艺工程解决方案的设计，具体流程为：{{清单模板-数据表-B5}}在接到关联方的工艺工程解决方案订单后，首先交由工程部制定设计方案，在设计方案成型后工程部将该方案交给生产部，其后由生产部按设计图纸进行生产。</w:t>
      </w:r>
    </w:p>
    <w:p w14:paraId="385F29E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针对第三方销售的交易，{{清单模板-数据表-B5}}承担产品的工程设计功能；而在境外关联销售交易中，{{清单模板-数据表-B5}}仅负责所生产设备的部分工程设计，而境外关联方负责完整设备生产线的工程设计。</w:t>
      </w:r>
    </w:p>
    <w:p w14:paraId="35D787B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因此，评估期间，{{清单模板-数据表-B5}}与其关联方共同执行研发功能：在第三方销售中，执行正常的研发功能；在关联销售中，执行有限的研发功能。</w:t>
      </w:r>
    </w:p>
    <w:p w14:paraId="287D660C">
      <w:pPr>
        <w:pStyle w:val="175"/>
        <w:numPr>
          <w:ilvl w:val="3"/>
          <w:numId w:val="11"/>
        </w:numPr>
        <w:ind w:left="0" w:leftChars="0" w:firstLine="0" w:firstLineChars="0"/>
      </w:pPr>
      <w:bookmarkStart w:id="395" w:name="_Toc10438"/>
      <w:bookmarkStart w:id="396" w:name="_Toc25149"/>
      <w:bookmarkStart w:id="397" w:name="_Toc17601"/>
      <w:bookmarkStart w:id="398" w:name="_Toc47700043"/>
      <w:bookmarkStart w:id="399" w:name="_Toc76668412"/>
      <w:r>
        <w:t>采购</w:t>
      </w:r>
      <w:bookmarkEnd w:id="395"/>
      <w:bookmarkEnd w:id="396"/>
      <w:bookmarkEnd w:id="397"/>
      <w:bookmarkEnd w:id="398"/>
      <w:bookmarkEnd w:id="399"/>
    </w:p>
    <w:p w14:paraId="6DC09E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采购功能是指采购在生产或分销过程中所涉及的原材料、产成品和其他材料的活动。</w:t>
      </w:r>
    </w:p>
    <w:p w14:paraId="118F1F9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生产的原材料大部分向境内外第三方供应商采购，小部分从关联公司采购。评估期间，关联方采购额约占主营业务成本的12.25%。在首次选择第三方供应商时，{{清单模板-数据表-B5}}根据自有审核流程，对众多潜在供应商进行分析及审查，综合评估以后确定供应商。如果采购的原材料是与向国外关联方销售的产品相关，则会在初步选定供应商后，将选中供应商提供的原材料送至集团总部进行检测，在得到集团总部的批准后，{{清单模板-数据表-B5}}的采购部会决定是否最终采用该供应商。在对采购价格进行谈判时，{{清单模板-数据表-B5}}会向集团总部报价，在得到其初步确认后，再由{{清单模板-数据表-B5}}和供应商确定最终价格，发出采购订单。在供应商选择过程中，{{清单模板-数据表-B5}}主要对各供应商提供的产品价格、质量和发货期进行比较。此外，{{清单模板-数据表-B5}}的生产计划是基于客户订单制定的，相关采购计划也取决于客户的订单情况。</w:t>
      </w:r>
    </w:p>
    <w:p w14:paraId="3ABB259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因此，{{清单模板-数据表-B5}}执行采购功能。</w:t>
      </w:r>
    </w:p>
    <w:p w14:paraId="389DEDDE">
      <w:pPr>
        <w:pStyle w:val="175"/>
        <w:numPr>
          <w:ilvl w:val="3"/>
          <w:numId w:val="11"/>
        </w:numPr>
        <w:ind w:left="0" w:leftChars="0" w:firstLine="0" w:firstLineChars="0"/>
      </w:pPr>
      <w:bookmarkStart w:id="400" w:name="_Toc76668413"/>
      <w:bookmarkStart w:id="401" w:name="_Toc4000"/>
      <w:bookmarkStart w:id="402" w:name="_Toc15663"/>
      <w:bookmarkStart w:id="403" w:name="_Toc31835"/>
      <w:bookmarkStart w:id="404" w:name="_Toc47700044"/>
      <w:r>
        <w:t>生产</w:t>
      </w:r>
      <w:bookmarkEnd w:id="400"/>
      <w:bookmarkEnd w:id="401"/>
      <w:bookmarkEnd w:id="402"/>
      <w:bookmarkEnd w:id="403"/>
      <w:bookmarkEnd w:id="404"/>
    </w:p>
    <w:p w14:paraId="1DBB3996">
      <w:pPr>
        <w:snapToGrid w:val="0"/>
        <w:spacing w:before="163" w:beforeLines="50" w:after="163" w:afterLines="50"/>
        <w:ind w:firstLine="440" w:firstLineChars="200"/>
        <w:rPr>
          <w:rFonts w:ascii="Arial" w:hAnsi="Arial" w:eastAsia="微软雅黑" w:cs="Arial"/>
          <w:sz w:val="22"/>
          <w:szCs w:val="22"/>
        </w:rPr>
      </w:pPr>
      <w:bookmarkStart w:id="405" w:name="_Toc31566"/>
      <w:r>
        <w:rPr>
          <w:rFonts w:ascii="Arial" w:hAnsi="Arial" w:eastAsia="微软雅黑" w:cs="Arial"/>
          <w:sz w:val="22"/>
          <w:szCs w:val="22"/>
        </w:rPr>
        <w:t>生产功能包括生产设备的采购、生产计划的制订、生产流程以及产品的制造和装配等活动。</w:t>
      </w:r>
    </w:p>
    <w:p w14:paraId="329D047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根据实际订单安排生产计划，会根据生产计划预测对备料的需求量。评估期间，{{清单模板-数据表-B5}}的产品主要生产板式换热器、搅拌机、阀门和泵等。换热器的生产流程主要包括压板片、扣胶条、立框架、放入板片整合、测试、贴牌和包装。阀门和泵的生产流程主要是根据客户要求对原材料进行加工、打磨形成零件或成品后进行装配。</w:t>
      </w:r>
    </w:p>
    <w:p w14:paraId="4CC0FBF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因此，{{清单模板-数据表-B5}}执行生产功能。</w:t>
      </w:r>
    </w:p>
    <w:p w14:paraId="228EBEB9">
      <w:pPr>
        <w:pStyle w:val="175"/>
        <w:numPr>
          <w:ilvl w:val="3"/>
          <w:numId w:val="11"/>
        </w:numPr>
        <w:ind w:left="0" w:leftChars="0" w:firstLine="0" w:firstLineChars="0"/>
      </w:pPr>
      <w:bookmarkStart w:id="406" w:name="_Toc3267"/>
      <w:bookmarkStart w:id="407" w:name="_Toc16736"/>
      <w:bookmarkStart w:id="408" w:name="_Toc47700045"/>
      <w:bookmarkStart w:id="409" w:name="_Toc20157"/>
      <w:bookmarkStart w:id="410" w:name="_Toc76668414"/>
      <w:r>
        <w:t>质量控制</w:t>
      </w:r>
      <w:bookmarkEnd w:id="406"/>
      <w:bookmarkEnd w:id="407"/>
      <w:bookmarkEnd w:id="408"/>
      <w:bookmarkEnd w:id="409"/>
      <w:bookmarkEnd w:id="410"/>
    </w:p>
    <w:p w14:paraId="5937751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质量控制功能是指制订和实施产品质量标准的活动，包括对采购的原材料及辅助材料、在制品和产成品进行分析和检测等。</w:t>
      </w:r>
    </w:p>
    <w:p w14:paraId="3F93711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承担质量控制功能，包括质量体系审查、供应商质量控制、生产流程质量控制、产成品检验、处理客户投诉以及进行生产设备校验。质量体系审查的工作主要包括对相关行业质量体系（诸如ISO:9001）进行认证。供应商质量控制主要包括{{清单模板-数据表-B5}}对供应商提供的原材料进行质量检测，而全球供应商由集团总部负责把关。</w:t>
      </w:r>
    </w:p>
    <w:p w14:paraId="166707C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生产流程质量控制是由集团总部制定相关的质量标准，{{清单模板-数据表-B5}}根据该质量要求以及国家标准在{{清单模板-数据表-B5}}的日常生产过程执行并进行相关检测。{{清单模板-数据表-B5}}在产成品质量控制工作中负责使用专业检测设备对所生产的产成品进行测试，以检查外观是否渗漏；{{清单模板-数据表-B5}}还负责生产设备的校验工作，包括校正卡尺及其他生产设备的精度。</w:t>
      </w:r>
    </w:p>
    <w:p w14:paraId="09A2378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因此，{{清单模板-数据表-B5}}执行质量控制功能。</w:t>
      </w:r>
    </w:p>
    <w:p w14:paraId="2F384461">
      <w:pPr>
        <w:pStyle w:val="175"/>
        <w:numPr>
          <w:ilvl w:val="3"/>
          <w:numId w:val="11"/>
        </w:numPr>
        <w:ind w:left="0" w:leftChars="0" w:firstLine="0" w:firstLineChars="0"/>
      </w:pPr>
      <w:bookmarkStart w:id="411" w:name="_Toc28531"/>
      <w:bookmarkStart w:id="412" w:name="_Toc47700046"/>
      <w:bookmarkStart w:id="413" w:name="_Toc76668415"/>
      <w:bookmarkStart w:id="414" w:name="_Toc16154"/>
      <w:bookmarkStart w:id="415" w:name="_Toc8007"/>
      <w:r>
        <w:t>库存管理</w:t>
      </w:r>
      <w:bookmarkEnd w:id="411"/>
      <w:bookmarkEnd w:id="412"/>
      <w:bookmarkEnd w:id="413"/>
      <w:bookmarkEnd w:id="414"/>
      <w:bookmarkEnd w:id="415"/>
    </w:p>
    <w:p w14:paraId="1CA4020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库存管理功能是指对存货水平（包括原材料、半成品和产成品）进行管理和控制，以降低存货成本并提高生产经营效率的活动。</w:t>
      </w:r>
    </w:p>
    <w:p w14:paraId="5AEE704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拥有自己的仓库用于存货，主要存放原材料和零部件。在客户成功验收之前，{{清单模板-数据表-B5}}持有产品的所有权。因此，{{清单模板-数据表-B5}}持有一定量的存货。同时，{{清单模板-数据表-B5}}会配合交货期管理，设置安全库存标准以进行内部控制与管理。</w:t>
      </w:r>
    </w:p>
    <w:p w14:paraId="0856344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因此，{{清单模板-数据表-B5}}执行库存管理功能。</w:t>
      </w:r>
    </w:p>
    <w:p w14:paraId="6E214603">
      <w:pPr>
        <w:pStyle w:val="175"/>
        <w:numPr>
          <w:ilvl w:val="3"/>
          <w:numId w:val="11"/>
        </w:numPr>
        <w:ind w:left="0" w:leftChars="0" w:firstLine="0" w:firstLineChars="0"/>
      </w:pPr>
      <w:bookmarkStart w:id="416" w:name="_Toc8653"/>
      <w:bookmarkStart w:id="417" w:name="_Toc30849"/>
      <w:bookmarkStart w:id="418" w:name="_Toc47700047"/>
      <w:bookmarkStart w:id="419" w:name="_Toc6390"/>
      <w:bookmarkStart w:id="420" w:name="_Toc76668416"/>
      <w:r>
        <w:t>市场营销和销售</w:t>
      </w:r>
      <w:bookmarkEnd w:id="416"/>
      <w:bookmarkEnd w:id="417"/>
      <w:bookmarkEnd w:id="418"/>
      <w:bookmarkEnd w:id="419"/>
      <w:bookmarkEnd w:id="420"/>
    </w:p>
    <w:p w14:paraId="0D87CB57">
      <w:pPr>
        <w:snapToGrid w:val="0"/>
        <w:spacing w:before="163" w:beforeLines="50" w:after="163" w:afterLines="50"/>
        <w:ind w:firstLine="440" w:firstLineChars="200"/>
        <w:rPr>
          <w:rFonts w:ascii="Arial" w:hAnsi="Arial" w:eastAsia="微软雅黑" w:cs="Arial"/>
          <w:sz w:val="22"/>
          <w:szCs w:val="22"/>
          <w:u w:val="single"/>
        </w:rPr>
      </w:pPr>
      <w:r>
        <w:rPr>
          <w:rFonts w:ascii="Arial" w:hAnsi="Arial" w:eastAsia="微软雅黑" w:cs="Arial"/>
          <w:sz w:val="22"/>
          <w:szCs w:val="22"/>
          <w:u w:val="single"/>
        </w:rPr>
        <w:t>市场营销</w:t>
      </w:r>
    </w:p>
    <w:p w14:paraId="2D9091F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市场营销功能是指基于产品在目标市场的定位通过各种市场推广活动以吸引潜在用户的行为。</w:t>
      </w:r>
    </w:p>
    <w:p w14:paraId="1E3C5D8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销售产成品给境内外关联企业的交易中，由关联企业负责与最终第三方客户的联系和相关市场开拓及广告营销工作。{{清单模板-数据表-B5}}仅负责从关联企业接到订单后组织生产。</w:t>
      </w:r>
    </w:p>
    <w:p w14:paraId="0CDD427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在{{清单模板-数据表-B5}}销售产品给境内第三方客户的交易中，{{清单模板-数据表-B5}}负责开展市场开拓及广告营销，包括参加同行业内的相关展会，在专业杂志上刊登广告等。</w:t>
      </w:r>
    </w:p>
    <w:p w14:paraId="1F4A8B3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因此，{{清单模板-数据表-B5}}执行有限的市场营销功能。 </w:t>
      </w:r>
    </w:p>
    <w:p w14:paraId="09CBB698">
      <w:pPr>
        <w:snapToGrid w:val="0"/>
        <w:spacing w:before="163" w:beforeLines="50" w:after="163" w:afterLines="50"/>
        <w:ind w:firstLine="440" w:firstLineChars="200"/>
        <w:rPr>
          <w:rFonts w:ascii="Arial" w:hAnsi="Arial" w:eastAsia="微软雅黑" w:cs="Arial"/>
          <w:sz w:val="22"/>
          <w:szCs w:val="22"/>
          <w:u w:val="single"/>
        </w:rPr>
      </w:pPr>
      <w:r>
        <w:rPr>
          <w:rFonts w:ascii="Arial" w:hAnsi="Arial" w:eastAsia="微软雅黑" w:cs="Arial"/>
          <w:sz w:val="22"/>
          <w:szCs w:val="22"/>
          <w:u w:val="single"/>
        </w:rPr>
        <w:t>销售</w:t>
      </w:r>
    </w:p>
    <w:p w14:paraId="6728912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销售功能是指与客户进行协商，签订合同并将产品卖给该客户的行为。</w:t>
      </w:r>
    </w:p>
    <w:p w14:paraId="1A54636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评估期间，在{{清单模板-数据表-B5}}销售产品给境内外关联企业的交易中，由关联企业的销售团队负责对第三方客户的销售活动。{{清单模板-数据表-B5}}的销售团队仅负责与关联企业间的订单联络。</w:t>
      </w:r>
    </w:p>
    <w:p w14:paraId="327613A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因此，{{清单模板-数据表-B5}}执行有限的销售功能。</w:t>
      </w:r>
    </w:p>
    <w:p w14:paraId="76DDA298">
      <w:pPr>
        <w:pStyle w:val="175"/>
        <w:numPr>
          <w:ilvl w:val="3"/>
          <w:numId w:val="11"/>
        </w:numPr>
        <w:ind w:left="0" w:leftChars="0" w:firstLine="0" w:firstLineChars="0"/>
      </w:pPr>
      <w:bookmarkStart w:id="421" w:name="_Toc27438"/>
      <w:bookmarkStart w:id="422" w:name="_Toc76668417"/>
      <w:bookmarkStart w:id="423" w:name="_Toc47700048"/>
      <w:bookmarkStart w:id="424" w:name="_Toc17267"/>
      <w:bookmarkStart w:id="425" w:name="_Toc13754"/>
      <w:r>
        <w:t>售后服务</w:t>
      </w:r>
      <w:bookmarkEnd w:id="421"/>
      <w:bookmarkEnd w:id="422"/>
      <w:bookmarkEnd w:id="423"/>
      <w:bookmarkEnd w:id="424"/>
      <w:bookmarkEnd w:id="425"/>
    </w:p>
    <w:p w14:paraId="2FB39DC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售后服务包括向客户提供产品信息、质量保证、指导客户进行产品的保养和维护，以及提供技术支持和产品售后服务等。</w:t>
      </w:r>
    </w:p>
    <w:p w14:paraId="18B7A46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对国内销售的产品和提供的专业工程服务，负责处理相关客户投诉，协助客户解决产品使用过程中的问题，如有必要{{清单模板-数据表-B5}}会派专人上门维修。其中产品卖出一年半内发生投诉的全部成本由{{清单模板-数据表-B5}}承担，超一年的保修期则客户需支付相应的维修服务费用。</w:t>
      </w:r>
    </w:p>
    <w:p w14:paraId="582A81C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对于向境外关联方销售的产品，{{清单模板-数据表-B5}}不承担相关的售后维修等服务，相关功能由境外关联公司负责。</w:t>
      </w:r>
    </w:p>
    <w:p w14:paraId="71C13C8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因此，{{清单模板-数据表-B5}}执行有限的售后服务功能。</w:t>
      </w:r>
    </w:p>
    <w:p w14:paraId="1D3CF332">
      <w:pPr>
        <w:pStyle w:val="175"/>
        <w:numPr>
          <w:ilvl w:val="3"/>
          <w:numId w:val="11"/>
        </w:numPr>
        <w:ind w:left="0" w:leftChars="0" w:firstLine="0" w:firstLineChars="0"/>
      </w:pPr>
      <w:bookmarkStart w:id="426" w:name="_Toc4221"/>
      <w:bookmarkStart w:id="427" w:name="_Toc29482"/>
      <w:bookmarkStart w:id="428" w:name="_Toc47700049"/>
      <w:bookmarkStart w:id="429" w:name="_Toc76668418"/>
      <w:bookmarkStart w:id="430" w:name="_Toc2641"/>
      <w:r>
        <w:t>付款请求和回收</w:t>
      </w:r>
      <w:bookmarkEnd w:id="426"/>
      <w:bookmarkEnd w:id="427"/>
      <w:bookmarkEnd w:id="428"/>
      <w:bookmarkEnd w:id="429"/>
      <w:bookmarkEnd w:id="430"/>
    </w:p>
    <w:p w14:paraId="464A965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付款请求和回收包括向客户出具发票，催促收款等。</w:t>
      </w:r>
    </w:p>
    <w:p w14:paraId="36754A0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对于销售产品给境内外关联企业的交易，由关联企业承担对第三方客户的付款请求和回收功能。对于{{清单模板-数据表-B5}}直接销售给境内第三方客户的交易，{{清单模板-数据表-B5}}承担付款请求和回收功能。</w:t>
      </w:r>
    </w:p>
    <w:p w14:paraId="4CA62657">
      <w:pPr>
        <w:pStyle w:val="175"/>
        <w:numPr>
          <w:ilvl w:val="3"/>
          <w:numId w:val="11"/>
        </w:numPr>
        <w:ind w:left="0" w:leftChars="0" w:firstLine="0" w:firstLineChars="0"/>
      </w:pPr>
      <w:bookmarkStart w:id="431" w:name="_Toc76668419"/>
      <w:bookmarkStart w:id="432" w:name="_Toc27133"/>
      <w:bookmarkStart w:id="433" w:name="_Toc16172"/>
      <w:bookmarkStart w:id="434" w:name="_Toc20006"/>
      <w:bookmarkStart w:id="435" w:name="_Toc47700050"/>
      <w:r>
        <w:t>一般行政管理</w:t>
      </w:r>
      <w:bookmarkEnd w:id="431"/>
      <w:bookmarkEnd w:id="432"/>
      <w:bookmarkEnd w:id="433"/>
      <w:bookmarkEnd w:id="434"/>
      <w:bookmarkEnd w:id="435"/>
    </w:p>
    <w:p w14:paraId="1D19C71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行政管理指企业日常的经营管理活动(如人事、信息系统等)。</w:t>
      </w:r>
    </w:p>
    <w:p w14:paraId="00F7EEB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自行承担主要的经营管理以及一般管理功能。日常管理工作，包括监督生产运转、保存会计记录、进行税务申报、准备财务报告、遵循政府规定等，均由{{清单模板-数据表-B5}}自行负责或委托斯必克中国投资的共享服务团队提供相关服务。</w:t>
      </w:r>
    </w:p>
    <w:p w14:paraId="428D93C9">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436" w:name="_Toc522015223"/>
      <w:bookmarkStart w:id="437" w:name="_Toc9675"/>
      <w:bookmarkStart w:id="438" w:name="_Toc202797586"/>
      <w:bookmarkStart w:id="439" w:name="_Toc31007"/>
      <w:bookmarkStart w:id="440" w:name="_Toc47700051"/>
      <w:bookmarkStart w:id="441" w:name="_Toc76668420"/>
      <w:r>
        <w:rPr>
          <w:rFonts w:ascii="Arial" w:hAnsi="Arial" w:eastAsia="微软雅黑" w:cs="Arial"/>
          <w:b w:val="0"/>
          <w:i w:val="0"/>
          <w:color w:val="4F81BD" w:themeColor="accent1"/>
          <w:sz w:val="22"/>
          <w:szCs w:val="22"/>
          <w14:textFill>
            <w14:solidFill>
              <w14:schemeClr w14:val="accent1"/>
            </w14:solidFill>
          </w14:textFill>
        </w:rPr>
        <w:t xml:space="preserve">风险分析</w:t>
      </w:r>
      <w:bookmarkEnd w:id="405"/>
      <w:bookmarkEnd w:id="436"/>
      <w:r>
        <w:rPr>
          <w:rFonts w:ascii="Arial" w:hAnsi="Arial" w:eastAsia="微软雅黑" w:cs="Arial"/>
          <w:b w:val="0"/>
          <w:i w:val="0"/>
          <w:color w:val="4F81BD" w:themeColor="accent1"/>
          <w:sz w:val="22"/>
          <w:szCs w:val="22"/>
          <w14:textFill>
            <w14:solidFill>
              <w14:schemeClr w14:val="accent1"/>
            </w14:solidFill>
          </w14:textFill>
        </w:rPr>
        <w:t/>
      </w:r>
      <w:bookmarkEnd w:id="437"/>
      <w:bookmarkEnd w:id="438"/>
      <w:bookmarkEnd w:id="439"/>
      <w:bookmarkEnd w:id="440"/>
      <w:bookmarkEnd w:id="441"/>
    </w:p>
    <w:p w14:paraId="4C6B4D6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企业在生产经营过程中的各项活动所产生的结果具有不确定性，这意味着企业在关联交易中所承担的功能可能会给它带来相应的风险。因此，企业在取得收益的同时，也需要承担相应的风险。本节描述了{{清单模板-数据表-B5}}和其关联企业在受测关联交易中所承担的风险。</w:t>
      </w:r>
    </w:p>
    <w:p w14:paraId="4B8637DF">
      <w:pPr>
        <w:pStyle w:val="175"/>
        <w:numPr>
          <w:ilvl w:val="3"/>
          <w:numId w:val="11"/>
        </w:numPr>
        <w:ind w:left="0" w:leftChars="0" w:firstLine="0" w:firstLineChars="0"/>
      </w:pPr>
      <w:bookmarkStart w:id="442" w:name="_Toc23789"/>
      <w:bookmarkStart w:id="443" w:name="_Toc20761"/>
      <w:bookmarkStart w:id="444" w:name="_Toc522015225"/>
      <w:bookmarkStart w:id="445" w:name="_Toc76668421"/>
      <w:bookmarkStart w:id="446" w:name="_Toc47700052"/>
      <w:bookmarkStart w:id="447" w:name="_Toc20677"/>
      <w:bookmarkStart w:id="448" w:name="_Toc15775"/>
      <w:r>
        <w:t>研发风险</w:t>
      </w:r>
      <w:bookmarkEnd w:id="442"/>
      <w:bookmarkEnd w:id="443"/>
      <w:bookmarkEnd w:id="444"/>
      <w:bookmarkEnd w:id="445"/>
      <w:bookmarkEnd w:id="446"/>
      <w:bookmarkEnd w:id="447"/>
      <w:bookmarkEnd w:id="448"/>
      <w:bookmarkStart w:id="449" w:name="_Toc13224"/>
    </w:p>
    <w:p w14:paraId="771A47B7">
      <w:pPr>
        <w:snapToGrid w:val="0"/>
        <w:spacing w:before="163" w:beforeLines="50" w:after="163" w:afterLines="50"/>
        <w:ind w:firstLine="440" w:firstLineChars="200"/>
        <w:rPr>
          <w:rFonts w:ascii="Arial" w:hAnsi="Arial" w:eastAsia="微软雅黑" w:cs="Arial"/>
          <w:sz w:val="22"/>
          <w:szCs w:val="22"/>
        </w:rPr>
      </w:pPr>
      <w:bookmarkStart w:id="450" w:name="_Toc274825263"/>
      <w:r>
        <w:rPr>
          <w:rFonts w:ascii="Arial" w:hAnsi="Arial" w:eastAsia="微软雅黑" w:cs="Arial"/>
          <w:sz w:val="22"/>
          <w:szCs w:val="22"/>
        </w:rPr>
        <w:t>研发风险是因研发项目失败而造成损失的风险。它是指企业为开发新产品或服务产生大量支出，但相关产品或服务未能达到预期效果的风险，包括未能开发出新产品或服务，或者相关产品或服务未能达到预期市场认可的风险。</w:t>
      </w:r>
    </w:p>
    <w:p w14:paraId="463E324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评估期间，{{清单模板-数据表-B5}}执行斯必克产品的本地化技术改良及产品设计功能，并承担相应设计投入。{{清单模板-数据表-B5}}承担有限的研发风险。</w:t>
      </w:r>
    </w:p>
    <w:p w14:paraId="5B1C0FA2">
      <w:pPr>
        <w:pStyle w:val="175"/>
        <w:numPr>
          <w:ilvl w:val="3"/>
          <w:numId w:val="11"/>
        </w:numPr>
        <w:ind w:left="0" w:leftChars="0" w:firstLine="0" w:firstLineChars="0"/>
      </w:pPr>
      <w:bookmarkStart w:id="451" w:name="_Toc76668422"/>
      <w:bookmarkStart w:id="452" w:name="_Toc6569"/>
      <w:bookmarkStart w:id="453" w:name="_Toc47700053"/>
      <w:bookmarkStart w:id="454" w:name="_Toc22647"/>
      <w:bookmarkStart w:id="455" w:name="_Toc16715"/>
      <w:r>
        <w:t>市场风险</w:t>
      </w:r>
      <w:bookmarkEnd w:id="451"/>
      <w:bookmarkEnd w:id="452"/>
      <w:bookmarkEnd w:id="453"/>
      <w:bookmarkEnd w:id="454"/>
      <w:bookmarkEnd w:id="455"/>
    </w:p>
    <w:p w14:paraId="5E90900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市场风险是指由于市场变化对商业成功因素造成影响的风险。市场风险包括需求变化，原材料价格波动，市场竞争激烈，拓展市场或对目标客户定位失败以及产品价格波动等带来的风险。</w:t>
      </w:r>
    </w:p>
    <w:p w14:paraId="6AF1E54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对于{{清单模板-数据表-B5}}的关联销售交易，{{清单模板-数据表-B5}}销售给关联方的价格为在标准成本上加成一定比例。当由于行业或市场因素而导致产品需求减少或产品价格发生波动时，关联方订单会随着终端客户订单的减少而减少。因此，{{清单模板-数据表-B5}}承担小部分市场风险，主要的市场风险由关联方承担。</w:t>
      </w:r>
    </w:p>
    <w:p w14:paraId="5CF6EB3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对于{{清单模板-数据表-B5}}的第三方销售交易，{{清单模板-数据表-B5}}承担因市场需求不足、产品销量变化而导致的市场风险；{{清单模板-数据表-B5}}亦承担因市场价格波动导致的市场风险。</w:t>
      </w:r>
    </w:p>
    <w:bookmarkEnd w:id="450"/>
    <w:p w14:paraId="07AA0C20">
      <w:pPr>
        <w:pStyle w:val="175"/>
        <w:numPr>
          <w:ilvl w:val="3"/>
          <w:numId w:val="11"/>
        </w:numPr>
        <w:ind w:left="0" w:leftChars="0" w:firstLine="0" w:firstLineChars="0"/>
      </w:pPr>
      <w:bookmarkStart w:id="456" w:name="_Toc30247"/>
      <w:bookmarkStart w:id="457" w:name="_Toc7810"/>
      <w:bookmarkStart w:id="458" w:name="_Toc47700054"/>
      <w:bookmarkStart w:id="459" w:name="_Toc76668423"/>
      <w:bookmarkStart w:id="460" w:name="_Toc28289"/>
      <w:r>
        <w:t>生产风险</w:t>
      </w:r>
      <w:bookmarkEnd w:id="456"/>
      <w:bookmarkEnd w:id="457"/>
      <w:bookmarkEnd w:id="458"/>
      <w:bookmarkEnd w:id="459"/>
      <w:bookmarkEnd w:id="460"/>
    </w:p>
    <w:p w14:paraId="219FE02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生产风险是指当生产成本（例如，原材料成本、劳动力成本波动，产能利用率等）或是生产过程中因技术应用不当或者设备故障导致的生产停滞或者产品质量下降带来的相关风险。</w:t>
      </w:r>
    </w:p>
    <w:p w14:paraId="0D65DD7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如果生产用原材料的价格发生波动，{{清单模板-数据表-B5}}每季度会针对该波动调整标准成本，而销售给关联方的价格是在标准成本的基础上加成一定的比例。因此，{{清单模板-数据表-B5}}与其关联方共同承担生产成本变动风险。</w:t>
      </w:r>
    </w:p>
    <w:p w14:paraId="17ED7CF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对于向境内第三方客户销售产品的交易，销售价格根据市场价格制定，{{清单模板-数据表-B5}}承担生产成本变动风险。</w:t>
      </w:r>
    </w:p>
    <w:p w14:paraId="0CDFD0B2">
      <w:pPr>
        <w:pStyle w:val="175"/>
        <w:numPr>
          <w:ilvl w:val="3"/>
          <w:numId w:val="11"/>
        </w:numPr>
        <w:ind w:left="0" w:leftChars="0" w:firstLine="0" w:firstLineChars="0"/>
      </w:pPr>
      <w:bookmarkStart w:id="461" w:name="_Toc522015226"/>
      <w:bookmarkStart w:id="462" w:name="_Toc47700055"/>
      <w:bookmarkStart w:id="463" w:name="_Toc12570"/>
      <w:bookmarkStart w:id="464" w:name="_Toc7338"/>
      <w:bookmarkStart w:id="465" w:name="_Toc76668424"/>
      <w:bookmarkStart w:id="466" w:name="_Toc18976"/>
      <w:r>
        <w:t>存货风险</w:t>
      </w:r>
      <w:bookmarkEnd w:id="449"/>
      <w:bookmarkEnd w:id="461"/>
      <w:bookmarkEnd w:id="462"/>
      <w:bookmarkEnd w:id="463"/>
      <w:bookmarkEnd w:id="464"/>
      <w:bookmarkEnd w:id="465"/>
      <w:bookmarkEnd w:id="466"/>
    </w:p>
    <w:p w14:paraId="015602A7">
      <w:pPr>
        <w:snapToGrid w:val="0"/>
        <w:spacing w:before="163" w:beforeLines="50" w:after="163" w:afterLines="50"/>
        <w:ind w:firstLine="440" w:firstLineChars="200"/>
        <w:rPr>
          <w:rFonts w:ascii="Arial" w:hAnsi="Arial" w:eastAsia="微软雅黑" w:cs="Arial"/>
          <w:sz w:val="22"/>
          <w:szCs w:val="22"/>
        </w:rPr>
      </w:pPr>
      <w:bookmarkStart w:id="467" w:name="_Toc6974"/>
      <w:r>
        <w:rPr>
          <w:rFonts w:ascii="Arial" w:hAnsi="Arial" w:eastAsia="微软雅黑" w:cs="Arial"/>
          <w:sz w:val="22"/>
          <w:szCs w:val="22"/>
        </w:rPr>
        <w:t>存货风险指存货过多或过少而造成的损失，以及存货毁损风险。损失包括存货报废、丢失，或由于市场变化造成存货变现价格下降的风险。</w:t>
      </w:r>
    </w:p>
    <w:p w14:paraId="5BB066C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客户推迟订单而{{清单模板-数据表-B5}}已备货的情况下，存货只能滞留于仓库，相应的仓储费用由{{清单模板-数据表-B5}}承担。在客户取消订单的情况下，{{清单模板-数据表-B5}}会首先和关联供应商协商，如未果，则{{清单模板-数据表-B5}}需自行与上游供应商进行协商。如果供应商同意取消采购订单，则{{清单模板-数据表-B5}}无需承担相应损失，相反，如果供应商不同意取消采购订单，{{清单模板-数据表-B5}}则将采购的原材料用于其他项目上；如已生产完毕，可能会将产成品拆散，重新变回原材料，由此产生的存货风险仍需由{{清单模板-数据表-B5}}承担。</w:t>
      </w:r>
    </w:p>
    <w:p w14:paraId="1964D823">
      <w:pPr>
        <w:pStyle w:val="175"/>
        <w:numPr>
          <w:ilvl w:val="3"/>
          <w:numId w:val="11"/>
        </w:numPr>
        <w:ind w:left="0" w:leftChars="0" w:firstLine="0" w:firstLineChars="0"/>
      </w:pPr>
      <w:bookmarkStart w:id="468" w:name="_Toc4556"/>
      <w:bookmarkStart w:id="469" w:name="_Toc47700056"/>
      <w:bookmarkStart w:id="470" w:name="_Toc76668425"/>
      <w:bookmarkStart w:id="471" w:name="_Toc6556"/>
      <w:bookmarkStart w:id="472" w:name="_Toc11961"/>
      <w:r>
        <w:t>质保和产品责任风险</w:t>
      </w:r>
      <w:bookmarkEnd w:id="468"/>
      <w:bookmarkEnd w:id="469"/>
      <w:bookmarkEnd w:id="470"/>
      <w:bookmarkEnd w:id="471"/>
      <w:bookmarkEnd w:id="472"/>
    </w:p>
    <w:p w14:paraId="4CC479D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质保和产品责任风险指一个公司的产品未达到预期标准，而相应承担的赔偿责任或名誉受损的风险。</w:t>
      </w:r>
    </w:p>
    <w:p w14:paraId="2883707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由于全部生产过程由{{清单模板-数据表-B5}}自行完成，因此{{清单模板-数据表-B5}}需承担由于生产环节问题造成的产品质量保证风险。在实际运营中，{{清单模板-数据表-B5}}提供的产品或在向第三方客户所提供的流水线设计及安装过程中如出现质量问题，所发生的客户索赔等质保和产品责任风险均由{{清单模板-数据表-B5}}承担。</w:t>
      </w:r>
    </w:p>
    <w:p w14:paraId="557D8D7E">
      <w:pPr>
        <w:pStyle w:val="175"/>
        <w:numPr>
          <w:ilvl w:val="3"/>
          <w:numId w:val="11"/>
        </w:numPr>
        <w:ind w:left="0" w:leftChars="0" w:firstLine="0" w:firstLineChars="0"/>
      </w:pPr>
      <w:bookmarkStart w:id="473" w:name="_Toc8372"/>
      <w:bookmarkStart w:id="474" w:name="_Toc47700057"/>
      <w:bookmarkStart w:id="475" w:name="_Toc17353"/>
      <w:bookmarkStart w:id="476" w:name="_Toc18621"/>
      <w:bookmarkStart w:id="477" w:name="_Toc76668426"/>
      <w:r>
        <w:t>信用风险</w:t>
      </w:r>
      <w:bookmarkEnd w:id="473"/>
      <w:bookmarkEnd w:id="474"/>
      <w:bookmarkEnd w:id="475"/>
      <w:bookmarkEnd w:id="476"/>
      <w:bookmarkEnd w:id="477"/>
    </w:p>
    <w:p w14:paraId="4CAA10E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在先交货（或先提供劳务）后付款的情况下，销售方（或劳务提供方）在未来有可能不能如期或全额收到货款，相应的风险便是信用风险。其主要取决于两个因素：客户的信用度和应收账款的数额。</w:t>
      </w:r>
    </w:p>
    <w:p w14:paraId="33588BD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的关联销售交易中，不论关联方是否从最终客户收到款项，都会按期向{{清单模板-数据表-B5}}付款。因此，关联方承担债权回收风险，{{清单模板-数据表-B5}}不承担债权回收风险。在{{清单模板-数据表-B5}}与第三方销售交易中，{{清单模板-数据表-B5}}承担债权回收风险。</w:t>
      </w:r>
    </w:p>
    <w:p w14:paraId="66F8DFD0">
      <w:pPr>
        <w:pStyle w:val="175"/>
        <w:numPr>
          <w:ilvl w:val="3"/>
          <w:numId w:val="11"/>
        </w:numPr>
        <w:ind w:left="0" w:leftChars="0" w:firstLine="0" w:firstLineChars="0"/>
      </w:pPr>
      <w:bookmarkStart w:id="478" w:name="_Toc76668427"/>
      <w:bookmarkStart w:id="479" w:name="_Toc19177"/>
      <w:bookmarkStart w:id="480" w:name="_Toc22711"/>
      <w:bookmarkStart w:id="481" w:name="_Toc12726"/>
      <w:bookmarkStart w:id="482" w:name="_Toc47700058"/>
      <w:r>
        <w:t>汇率风险</w:t>
      </w:r>
      <w:bookmarkEnd w:id="478"/>
      <w:bookmarkEnd w:id="479"/>
      <w:bookmarkEnd w:id="480"/>
      <w:bookmarkEnd w:id="481"/>
      <w:bookmarkEnd w:id="482"/>
    </w:p>
    <w:p w14:paraId="74AF174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公司在使用非本位币进行国际交易结算时，由于汇率的变化可能遭受的损失即为汇率风险。</w:t>
      </w:r>
    </w:p>
    <w:p w14:paraId="7C1E2F5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和境外关联公司的采购和销售交易通常以美元结算，其中关联销售价格为标准成本加成一定比例，且每季度会对标准成本进行调整，因此{{清单模板-数据表-B5}}承担部分汇率风险。</w:t>
      </w:r>
    </w:p>
    <w:bookmarkEnd w:id="467"/>
    <w:p w14:paraId="2D0B811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483" w:name="_Toc522015233"/>
      <w:bookmarkStart w:id="484" w:name="_Toc12633"/>
      <w:bookmarkStart w:id="485" w:name="_Toc47700059"/>
      <w:bookmarkStart w:id="486" w:name="_Toc202797587"/>
      <w:bookmarkStart w:id="487" w:name="_Toc10878"/>
      <w:bookmarkStart w:id="488" w:name="_Toc76668428"/>
      <w:bookmarkStart w:id="489" w:name="_Toc4976"/>
      <w:r>
        <w:rPr>
          <w:rFonts w:ascii="Arial" w:hAnsi="Arial" w:eastAsia="微软雅黑" w:cs="Arial"/>
          <w:b w:val="0"/>
          <w:i w:val="0"/>
          <w:color w:val="4F81BD" w:themeColor="accent1"/>
          <w:sz w:val="22"/>
          <w:szCs w:val="22"/>
          <w14:textFill>
            <w14:solidFill>
              <w14:schemeClr w14:val="accent1"/>
            </w14:solidFill>
          </w14:textFill>
        </w:rPr>
        <w:t xml:space="preserve">资产分析</w:t>
      </w:r>
      <w:bookmarkEnd w:id="483"/>
      <w:bookmarkEnd w:id="484"/>
      <w:r>
        <w:rPr>
          <w:rFonts w:ascii="Arial" w:hAnsi="Arial" w:eastAsia="微软雅黑" w:cs="Arial"/>
          <w:b w:val="0"/>
          <w:i w:val="0"/>
          <w:color w:val="4F81BD" w:themeColor="accent1"/>
          <w:sz w:val="22"/>
          <w:szCs w:val="22"/>
          <w14:textFill>
            <w14:solidFill>
              <w14:schemeClr w14:val="accent1"/>
            </w14:solidFill>
          </w14:textFill>
        </w:rPr>
        <w:t/>
      </w:r>
      <w:bookmarkEnd w:id="485"/>
      <w:bookmarkEnd w:id="486"/>
      <w:bookmarkEnd w:id="487"/>
      <w:bookmarkEnd w:id="488"/>
      <w:bookmarkEnd w:id="489"/>
    </w:p>
    <w:p w14:paraId="2D6315E9">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本节描述了评估期间，{{清单模板-数据表-B5}}及其关联企业在受测关联交易中所使用的资产。</w:t>
      </w:r>
    </w:p>
    <w:p w14:paraId="4D4C4FFB">
      <w:pPr>
        <w:pStyle w:val="27"/>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490" w:name="_Toc1585"/>
      <w:bookmarkStart w:id="491" w:name="_Toc23310"/>
      <w:bookmarkStart w:id="492" w:name="_Toc522015234"/>
      <w:bookmarkStart w:id="493" w:name="_Toc47700060"/>
      <w:bookmarkStart w:id="494" w:name="_Toc6112"/>
      <w:bookmarkStart w:id="495" w:name="_Toc76668429"/>
      <w:bookmarkStart w:id="496" w:name="_Toc202797588"/>
      <w:r>
        <w:rPr>
          <w:rFonts w:ascii="Arial" w:hAnsi="Arial" w:eastAsia="微软雅黑" w:cs="Arial"/>
          <w:b w:val="0"/>
          <w:i w:val="0"/>
          <w:color w:val="4F81BD" w:themeColor="accent1"/>
          <w:sz w:val="22"/>
          <w:szCs w:val="22"/>
          <w14:textFill>
            <w14:solidFill>
              <w14:schemeClr w14:val="accent1"/>
            </w14:solidFill>
          </w14:textFill>
        </w:rPr>
        <w:t>有形资产</w:t>
      </w:r>
      <w:bookmarkEnd w:id="490"/>
      <w:bookmarkEnd w:id="491"/>
      <w:bookmarkEnd w:id="492"/>
      <w:bookmarkEnd w:id="493"/>
      <w:bookmarkEnd w:id="494"/>
      <w:bookmarkEnd w:id="495"/>
      <w:bookmarkEnd w:id="496"/>
    </w:p>
    <w:p w14:paraId="03A51CD7">
      <w:pPr>
        <w:snapToGrid w:val="0"/>
        <w:spacing w:before="163" w:beforeLines="50" w:after="163" w:afterLines="50"/>
        <w:ind w:firstLine="440" w:firstLineChars="200"/>
        <w:rPr>
          <w:rFonts w:ascii="Arial" w:hAnsi="Arial" w:eastAsia="微软雅黑" w:cs="Arial"/>
          <w:sz w:val="22"/>
          <w:szCs w:val="22"/>
        </w:rPr>
      </w:pPr>
      <w:bookmarkStart w:id="497" w:name="_Toc31601"/>
      <w:r>
        <w:rPr>
          <w:rFonts w:ascii="Arial" w:hAnsi="Arial" w:eastAsia="微软雅黑" w:cs="Arial"/>
          <w:sz w:val="22"/>
          <w:szCs w:val="22"/>
        </w:rPr>
        <w:t>{{清单模板-数据表-B5}}拥有生产所需的厂房和设备等有形资产所有权。与同行业的其他公司相比，{{清单模板-数据表-B5}}拥有的有形资产水平没有显着差异。</w:t>
      </w:r>
    </w:p>
    <w:p w14:paraId="7050109C">
      <w:pPr>
        <w:pStyle w:val="27"/>
        <w:keepNext/>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498" w:name="_Toc4323"/>
      <w:bookmarkStart w:id="499" w:name="_Toc522015235"/>
      <w:bookmarkStart w:id="500" w:name="_Toc9101"/>
      <w:bookmarkStart w:id="501" w:name="_Toc202797589"/>
      <w:bookmarkStart w:id="502" w:name="_Toc76668430"/>
      <w:bookmarkStart w:id="503" w:name="_Toc47700061"/>
      <w:r>
        <w:rPr>
          <w:rFonts w:ascii="Arial" w:hAnsi="Arial" w:eastAsia="微软雅黑" w:cs="Arial"/>
          <w:b w:val="0"/>
          <w:i w:val="0"/>
          <w:color w:val="4F81BD" w:themeColor="accent1"/>
          <w:sz w:val="22"/>
          <w:szCs w:val="22"/>
          <w14:textFill>
            <w14:solidFill>
              <w14:schemeClr w14:val="accent1"/>
            </w14:solidFill>
          </w14:textFill>
        </w:rPr>
        <w:t>无形资产</w:t>
      </w:r>
      <w:bookmarkEnd w:id="497"/>
      <w:bookmarkEnd w:id="498"/>
      <w:bookmarkEnd w:id="499"/>
      <w:bookmarkEnd w:id="500"/>
      <w:bookmarkEnd w:id="501"/>
      <w:bookmarkEnd w:id="502"/>
      <w:bookmarkEnd w:id="503"/>
    </w:p>
    <w:p w14:paraId="4A9A2CD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无形资产指企业自行开发或购入的各种没有实物形态的非货币性长期资产，包括但不限于商业秘密、专利权、专有技术、客户名单、商标和分销网络等。尽管有些无形资产可能不会体现在公司的资产负债表中，但它们对于公司的成功经营以及保持相对较高的利润率有着至为关键的作用。</w:t>
      </w:r>
    </w:p>
    <w:p w14:paraId="17B69A1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转让定价分析的关键部分之一是判断关联交易的各个参与方中哪一方拥有主要无形资产，因为在交易过程中产生的超额利润应由那些拥有并使用主要无形资产的参与方所获得，所以这通常会决定哪一方应该作为分析中的被验证主体。拥有次要无形资产（或不拥有无形资产）的企业会被选为被验证主体，因为针对这样的企业相对更容易找到可比的非受控交易或可比公司。</w:t>
      </w:r>
    </w:p>
    <w:p w14:paraId="5342D686">
      <w:pPr>
        <w:pStyle w:val="175"/>
        <w:numPr>
          <w:ilvl w:val="3"/>
          <w:numId w:val="11"/>
        </w:numPr>
        <w:ind w:left="0" w:leftChars="0" w:firstLine="0" w:firstLineChars="0"/>
      </w:pPr>
      <w:bookmarkStart w:id="504" w:name="_Toc47700062"/>
      <w:bookmarkStart w:id="505" w:name="_Toc76668431"/>
      <w:bookmarkStart w:id="506" w:name="_Toc23923"/>
      <w:bookmarkStart w:id="507" w:name="_Toc29262"/>
      <w:bookmarkStart w:id="508" w:name="_Toc14472"/>
      <w:r>
        <w:t>生产型无形资产</w:t>
      </w:r>
      <w:bookmarkEnd w:id="504"/>
      <w:bookmarkEnd w:id="505"/>
      <w:bookmarkEnd w:id="506"/>
      <w:bookmarkEnd w:id="507"/>
      <w:bookmarkEnd w:id="508"/>
    </w:p>
    <w:p w14:paraId="462CAEEB">
      <w:pPr>
        <w:snapToGrid w:val="0"/>
        <w:spacing w:before="163" w:beforeLines="50" w:after="163" w:afterLines="50"/>
        <w:ind w:firstLine="440" w:firstLineChars="200"/>
        <w:rPr>
          <w:rFonts w:ascii="Arial" w:hAnsi="Arial" w:eastAsia="微软雅黑" w:cs="Arial"/>
          <w:sz w:val="22"/>
          <w:szCs w:val="22"/>
        </w:rPr>
      </w:pPr>
      <w:bookmarkStart w:id="509" w:name="_Toc363993084"/>
      <w:bookmarkStart w:id="510" w:name="_Toc363981665"/>
      <w:bookmarkStart w:id="511" w:name="_Toc361833023"/>
      <w:bookmarkStart w:id="512" w:name="_Toc363205746"/>
      <w:bookmarkStart w:id="513" w:name="_Toc363292598"/>
      <w:bookmarkStart w:id="514" w:name="_Toc363385708"/>
      <w:bookmarkStart w:id="515" w:name="_Toc363983228"/>
      <w:bookmarkStart w:id="516" w:name="_Toc362253034"/>
      <w:bookmarkStart w:id="517" w:name="_Toc363527391"/>
      <w:bookmarkStart w:id="518" w:name="_Toc363899431"/>
      <w:bookmarkStart w:id="519" w:name="_Toc361728784"/>
      <w:r>
        <w:rPr>
          <w:rFonts w:ascii="Arial" w:hAnsi="Arial" w:eastAsia="微软雅黑" w:cs="Arial"/>
          <w:sz w:val="22"/>
          <w:szCs w:val="22"/>
        </w:rPr>
        <w:t>生产型无形资产可以分为两种，即由生产企业的研发活动或生产工艺改进所产生的专利技术和非专利的技术诀窍。</w:t>
      </w:r>
    </w:p>
    <w:p w14:paraId="3B3F37D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此外，虽然{{清单模板-数据表-B5}}不拥有由其境外关联方创造的非常规制造类无形资产，但在评估期间，{{清单模板-数据表-B5}}执行斯必克产品的本地化技术改良及产品设计，并拥有与产品本地化相关的技术。此外，{{清单模板-数据表-B5}}拥有其境外关联方所拥有的部分专利的独占许可使用权。</w:t>
      </w:r>
    </w:p>
    <w:bookmarkEnd w:id="509"/>
    <w:bookmarkEnd w:id="510"/>
    <w:bookmarkEnd w:id="511"/>
    <w:bookmarkEnd w:id="512"/>
    <w:bookmarkEnd w:id="513"/>
    <w:bookmarkEnd w:id="514"/>
    <w:bookmarkEnd w:id="515"/>
    <w:bookmarkEnd w:id="516"/>
    <w:bookmarkEnd w:id="517"/>
    <w:bookmarkEnd w:id="518"/>
    <w:bookmarkEnd w:id="519"/>
    <w:p w14:paraId="034E6ECE">
      <w:pPr>
        <w:pStyle w:val="175"/>
        <w:numPr>
          <w:ilvl w:val="3"/>
          <w:numId w:val="11"/>
        </w:numPr>
        <w:ind w:left="0" w:leftChars="0" w:firstLine="0" w:firstLineChars="0"/>
      </w:pPr>
      <w:bookmarkStart w:id="520" w:name="_Toc47700063"/>
      <w:bookmarkStart w:id="521" w:name="_Toc25066"/>
      <w:bookmarkStart w:id="522" w:name="_Toc18205"/>
      <w:bookmarkStart w:id="523" w:name="_Toc14972"/>
      <w:bookmarkStart w:id="524" w:name="_Toc76668432"/>
      <w:r>
        <w:t>营销型无形资产</w:t>
      </w:r>
      <w:bookmarkEnd w:id="520"/>
      <w:bookmarkEnd w:id="521"/>
      <w:bookmarkEnd w:id="522"/>
      <w:bookmarkEnd w:id="523"/>
      <w:bookmarkEnd w:id="524"/>
    </w:p>
    <w:p w14:paraId="72FD88A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营销型无形资产包括商标、公司商誉、销售网络以及向客户提供售前和售后服务的能力。</w:t>
      </w:r>
    </w:p>
    <w:p w14:paraId="0371961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评估期间，{{清单模板-数据表-B5}}并不拥有非常规营销类无形资产。评估期间，{{清单模板-数据表-B5}}在第三方销售中会发生广告营销费用但金额非常小，在关联方销售中未发生广告营销费用。</w:t>
      </w:r>
    </w:p>
    <w:p w14:paraId="3797CC25">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25" w:name="_Toc2514"/>
      <w:bookmarkStart w:id="526" w:name="_Toc202797590"/>
      <w:bookmarkStart w:id="527" w:name="_Toc10239"/>
      <w:bookmarkStart w:id="528" w:name="_Toc47700064"/>
      <w:bookmarkStart w:id="529" w:name="_Toc76668433"/>
      <w:r>
        <w:rPr>
          <w:rFonts w:ascii="Arial" w:hAnsi="Arial" w:eastAsia="微软雅黑" w:cs="Arial"/>
          <w:b w:val="0"/>
          <w:i w:val="0"/>
          <w:color w:val="4F81BD" w:themeColor="accent1"/>
          <w:sz w:val="22"/>
          <w:szCs w:val="22"/>
          <w14:textFill>
            <w14:solidFill>
              <w14:schemeClr w14:val="accent1"/>
            </w14:solidFill>
          </w14:textFill>
        </w:rPr>
        <w:t>小结</w:t>
      </w:r>
      <w:bookmarkEnd w:id="525"/>
      <w:bookmarkEnd w:id="526"/>
      <w:bookmarkEnd w:id="527"/>
      <w:bookmarkEnd w:id="528"/>
      <w:bookmarkEnd w:id="529"/>
    </w:p>
    <w:p w14:paraId="557F6E79">
      <w:pPr>
        <w:adjustRightInd w:val="0"/>
        <w:snapToGrid w:val="0"/>
        <w:spacing w:before="240" w:after="240"/>
        <w:ind w:firstLine="475"/>
        <w:rPr>
          <w:rFonts w:ascii="Arial" w:hAnsi="Arial" w:eastAsia="微软雅黑" w:cs="Arial"/>
          <w:sz w:val="22"/>
          <w:szCs w:val="22"/>
        </w:rPr>
      </w:pPr>
      <w:r>
        <w:rPr>
          <w:rFonts w:ascii="Arial" w:hAnsi="Arial" w:eastAsia="微软雅黑" w:cs="Arial"/>
          <w:sz w:val="22"/>
          <w:szCs w:val="22"/>
        </w:rPr>
        <w:t>评估期间，{{清单模板-数据表-B5}}承担的主要功能和风险，以及拥有的资产总结如下：</w:t>
      </w:r>
    </w:p>
    <w:p w14:paraId="14BDF94B">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主要承担有限的研发功能、采购功能、生产功能、质量控制功能、存货管理功能以及一般行政管理功能；相比关联销售，{{清单模板-数据表-B5}}在第三方销售中承担了更多的功能风险，包括市场营销和销售、工程设计、售后服务以及付款请求和回收的功能；</w:t>
      </w:r>
    </w:p>
    <w:p w14:paraId="571163D9">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主要承担有限的市场风险、有限的研发风险、有限的生产风险、有限的存货风险、产品责任风险以及汇率风险；从功能和风险分析应归类为承担一定风险的生产制造商。相比关联销售，{{清单模板-数据表-B5}}在第三方销售中承担更多风险，如市场风险、存货风险和信用风险；</w:t>
      </w:r>
    </w:p>
    <w:p w14:paraId="51305F1C">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此外，{{清单模板-数据表-B5}}不拥有非常规营销类无形资产和由其境外关联方创造的非常规制造类无形资产的所有权，但评估期间，{{清单模板-数据表-B5}}执行斯必克产品的本地化技术改良及产品设计，并拥有与产品本地化相关的技术。{{清单模板-数据表-B5}}还拥有其境外关联方所拥有的部分专利的独占许可权。从功能和风险分析应归类为承担较多风险的生产制造商。</w:t>
      </w:r>
    </w:p>
    <w:p w14:paraId="47BDA8D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br w:type="page"/>
      </w:r>
    </w:p>
    <w:p w14:paraId="5203EB25">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530" w:name="_Toc76668434"/>
      <w:bookmarkStart w:id="531" w:name="_Toc47700065"/>
      <w:bookmarkStart w:id="532" w:name="_Toc202797591"/>
      <w:bookmarkStart w:id="533" w:name="_Toc5276"/>
      <w:bookmarkStart w:id="534" w:name="_Toc18411"/>
      <w:bookmarkStart w:id="535" w:name="_Toc522015237"/>
      <w:bookmarkStart w:id="536" w:name="_Toc5260"/>
      <w:r>
        <w:rPr>
          <w:rFonts w:ascii="Arial" w:hAnsi="Arial" w:eastAsia="微软雅黑" w:cs="Arial"/>
          <w:color w:val="4F81BD" w:themeColor="accent1"/>
          <w:sz w:val="28"/>
          <w:szCs w:val="22"/>
          <w14:textFill>
            <w14:solidFill>
              <w14:schemeClr w14:val="accent1"/>
            </w14:solidFill>
          </w14:textFill>
        </w:rPr>
        <w:t>价值链分析</w:t>
      </w:r>
      <w:bookmarkEnd w:id="530"/>
      <w:bookmarkEnd w:id="531"/>
      <w:bookmarkEnd w:id="532"/>
      <w:bookmarkEnd w:id="533"/>
      <w:bookmarkEnd w:id="534"/>
    </w:p>
    <w:p w14:paraId="7B60C18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根据[2016]42号公告的相关规定，在分析关联交易是否符合独立交易原则的过程中应当对集团价值链进行分析。因此，本节将阐述斯必克流体集团价值链情况。</w:t>
      </w:r>
    </w:p>
    <w:p w14:paraId="49EC749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价值链分析能够提供以下与经营活动相关的有效信息：</w:t>
      </w:r>
    </w:p>
    <w:p w14:paraId="0F428387">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与交易有关的关键价值驱动因素，其中包括各相关方是如何使其自身区别与同业竞争者进而赢取市场的；</w:t>
      </w:r>
    </w:p>
    <w:p w14:paraId="05BC9961">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相关企业在资产、功能及风险方面对价值驱动的贡献，包括哪些贡献是独特且有价值的；</w:t>
      </w:r>
    </w:p>
    <w:p w14:paraId="2F54CEB8">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企业集团内业务流、物流和资金流，包括商品、劳务或者其他交易标的从设计、开发、生产制造、营销、销售、交货、结算、消费、售后服务、循环利用等各环节及其参与方；</w:t>
      </w:r>
    </w:p>
    <w:p w14:paraId="638B3053">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各相关方在价值链中是如何协同运作，以及是如何分配功能和资产的。</w:t>
      </w:r>
    </w:p>
    <w:p w14:paraId="6DC9C4E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价值链分析将根据以上几个方面进行阐述。同时，需要指出的是，价值链分析是一项用来更准确地描述交易事项的分析工具。由于所有参与方都可以被认为或多或少对价值创造做出了贡献，因此即使价值链分析表明有多种因素对价值的创造出了贡献，也并不意味着利润分割法是最适合的分析方法。</w:t>
      </w:r>
      <w:bookmarkEnd w:id="535"/>
      <w:bookmarkEnd w:id="536"/>
    </w:p>
    <w:p w14:paraId="7094C41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37" w:name="_Toc10016"/>
      <w:bookmarkStart w:id="538" w:name="_Toc202797592"/>
      <w:bookmarkStart w:id="539" w:name="_Toc76668435"/>
      <w:bookmarkStart w:id="540" w:name="_Toc30859"/>
      <w:bookmarkStart w:id="541" w:name="_Toc47700066"/>
      <w:r>
        <w:rPr>
          <w:rFonts w:ascii="Arial" w:hAnsi="Arial" w:eastAsia="微软雅黑" w:cs="Arial"/>
          <w:b w:val="0"/>
          <w:i w:val="0"/>
          <w:color w:val="4F81BD" w:themeColor="accent1"/>
          <w:sz w:val="22"/>
          <w:szCs w:val="22"/>
          <w14:textFill>
            <w14:solidFill>
              <w14:schemeClr w14:val="accent1"/>
            </w14:solidFill>
          </w14:textFill>
        </w:rPr>
        <w:t>确定关键价值驱动因素</w:t>
      </w:r>
      <w:bookmarkEnd w:id="537"/>
      <w:bookmarkEnd w:id="538"/>
      <w:bookmarkEnd w:id="539"/>
      <w:bookmarkEnd w:id="540"/>
      <w:bookmarkEnd w:id="541"/>
    </w:p>
    <w:p w14:paraId="16327F5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斯必克流体集团所处的工业自动化设备制造行业利润水平受多种因素影响，其中良好的品控、针对性的解决方案、对于客户和市场的响应能力等尤为关键。</w:t>
      </w:r>
    </w:p>
    <w:p w14:paraId="2A4C0B3E">
      <w:pPr>
        <w:pStyle w:val="110"/>
        <w:numPr>
          <w:ilvl w:val="0"/>
          <w:numId w:val="20"/>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产品的耐久性和稳定性</w:t>
      </w:r>
    </w:p>
    <w:p w14:paraId="42580CCF">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斯必克流体集团的产品和工程设计主要应用于饮料、乳品、工业以及船舶等行业。因此，对于其下游的制造商群体来说，产品的耐久性和稳定性是重要的考量因素。斯必克流体集团致力于提供具有可靠、高效、高性能、高价值的产品和服务，迎合各行业客户的需求。对于采矿、生物技术和加工石油、天然气、矿产和化工领域的工业客户，斯必克流体集团生产的设备的质量经得起考验，可应对各种苛刻或磨蚀的恶劣施工情况。对于食品、饮料加工业客户，斯必克流体集团的工程设计着重于长期使用和低维护，要求产品质量符合最高的国际卫生标准。斯必克流体集团的制造工厂除了进行第三方认证外，还执行一系列细致的质量保证检查，以确保优质的产品按时交货。因此，稳定且优质的产品质量一直以来保证斯必克流体集团品牌的影响力和其市场份额。</w:t>
      </w:r>
      <w:r>
        <w:rPr>
          <w:rFonts w:ascii="Arial" w:hAnsi="Arial" w:eastAsia="微软雅黑" w:cs="Arial"/>
          <w:sz w:val="22"/>
          <w:szCs w:val="22"/>
        </w:rPr>
        <w:t/>
      </w:r>
    </w:p>
    <w:p w14:paraId="46F03F6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（2）量身定制的工艺工程解决方案</w:t>
      </w:r>
    </w:p>
    <w:p w14:paraId="09BC78C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集团致力于为客户提供量身定制的工艺工程解决方案。例如，对于食品饮料加工业客户，斯必克流体集团为客户考虑环境的设计以及在食品生产过程中实施节能系统；对于工业市场的客户，斯必克流体集团致力于提供有效，安全和污染最小的设备和技术；斯必克流体集团的电厂工程的产品和系统服务于核电站、天然气发电厂、火电厂以及替代能源应用，帮助电厂等客户在合理优化运营的同时尽量减少排放，降低污染水平。</w:t>
      </w:r>
    </w:p>
    <w:p w14:paraId="1E73476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（3）对于客户和市场的需求快速反应</w:t>
      </w:r>
    </w:p>
    <w:p w14:paraId="47865E8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关注客户和市场的需求，可以使斯必克流体集团提高产品质量和服务，更有针对新和有效性，在市场竞争中脱颖而出，获得优势。斯必克流体集团的主要下游行业之一的食品饮料行业竞争激烈，变化不断，食品饮料制造商必须不断寻求更好的食品加工技术和解决方案，以及时应对如运输成本不断增长、政府监管日趋严格、人们对食品安全的要求逐渐升级，以及消费者喜好不断分级、变化等局面。斯必克流体集团对市场机遇、市场趋势以及食品饮料行业的挑战保持高度敏锐，对不断变化的客户和市场需求作出快速反应，以及时为客户提供最佳解决方案、改善工艺流程的设计，协助客户适应变化的环境，提高盈利能力。</w:t>
      </w:r>
    </w:p>
    <w:p w14:paraId="08E65344">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42" w:name="_Toc13258"/>
      <w:bookmarkStart w:id="543" w:name="_Toc47700067"/>
      <w:bookmarkStart w:id="544" w:name="_Toc202797593"/>
      <w:bookmarkStart w:id="545" w:name="_Toc76668436"/>
      <w:bookmarkStart w:id="546" w:name="_Toc30852"/>
      <w:r>
        <w:rPr>
          <w:rFonts w:ascii="Arial" w:hAnsi="Arial" w:eastAsia="微软雅黑" w:cs="Arial"/>
          <w:b w:val="0"/>
          <w:i w:val="0"/>
          <w:color w:val="4F81BD" w:themeColor="accent1"/>
          <w:sz w:val="22"/>
          <w:szCs w:val="22"/>
          <w14:textFill>
            <w14:solidFill>
              <w14:schemeClr w14:val="accent1"/>
            </w14:solidFill>
          </w14:textFill>
        </w:rPr>
        <w:t>集团价值链</w:t>
      </w:r>
      <w:bookmarkEnd w:id="542"/>
      <w:bookmarkEnd w:id="543"/>
      <w:bookmarkEnd w:id="544"/>
      <w:bookmarkEnd w:id="545"/>
      <w:bookmarkEnd w:id="546"/>
    </w:p>
    <w:p w14:paraId="07151DD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评估期间，斯必克流体集团的价值链以及{{清单模板-数据表-B5}}在其中所处的位置如下图所示：</w:t>
      </w:r>
      <w:r>
        <w:rPr>
          <w:rStyle w:val="38"/>
          <w:rFonts w:ascii="Arial" w:hAnsi="Arial" w:eastAsia="微软雅黑" w:cs="Arial"/>
          <w:sz w:val="22"/>
          <w:szCs w:val="22"/>
        </w:rPr>
        <w:footnoteReference w:id="19"/>
      </w:r>
      <w:r>
        <w:rPr>
          <w:rFonts w:ascii="Arial" w:hAnsi="Arial" w:eastAsia="微软雅黑" w:cs="Arial"/>
          <w:sz w:val="22"/>
          <w:szCs w:val="22"/>
        </w:rPr>
        <w:t/>
      </w:r>
    </w:p>
    <w:p w14:paraId="6E6A48C3">
      <w:pPr>
        <w:pStyle w:val="7"/>
        <w:snapToGrid w:val="0"/>
        <w:jc w:val="center"/>
        <w:rPr>
          <w:rFonts w:ascii="Arial" w:hAnsi="Arial" w:eastAsia="微软雅黑" w:cs="Arial"/>
          <w:sz w:val="15"/>
          <w:szCs w:val="15"/>
        </w:rPr>
      </w:pPr>
      <w:r>
        <w:rPr>
          <w:rFonts w:ascii="Arial" w:hAnsi="Arial" w:eastAsia="微软雅黑" w:cs="Arial"/>
          <w:b w:val="0"/>
          <w:bCs w:val="0"/>
          <w:sz w:val="18"/>
          <w:szCs w:val="18"/>
        </w:rPr>
        <w:drawing>
          <wp:anchor distT="0" distB="0" distL="114300" distR="114300" simplePos="0" relativeHeight="251660288" behindDoc="0" locked="0" layoutInCell="1" allowOverlap="1">
            <wp:simplePos x="0" y="0"/>
            <wp:positionH relativeFrom="column">
              <wp:posOffset>200025</wp:posOffset>
            </wp:positionH>
            <wp:positionV relativeFrom="paragraph">
              <wp:posOffset>316865</wp:posOffset>
            </wp:positionV>
            <wp:extent cx="5029200" cy="4356100"/>
            <wp:effectExtent l="0" t="0" r="0" b="635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029200" cy="4356100"/>
                    </a:xfrm>
                    <a:prstGeom prst="rect">
                      <a:avLst/>
                    </a:prstGeom>
                    <a:noFill/>
                  </pic:spPr>
                </pic:pic>
              </a:graphicData>
            </a:graphic>
          </wp:anchor>
        </w:drawing>
        <w:t xml:space="preserve">图表15：集团价值链</w:t>
      </w:r>
      <w:r>
        <w:rPr>
          <w:rFonts w:ascii="Arial" w:hAnsi="Arial" w:eastAsia="微软雅黑" w:cs="Arial"/>
          <w:bCs w:val="0"/>
          <w:sz w:val="18"/>
          <w:szCs w:val="15"/>
        </w:rPr>
        <w:t/>
      </w:r>
    </w:p>
    <w:p w14:paraId="7E7665F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结合{{清单模板-数据表-B5}}承担的功能以及风险，{{清单模板-数据表-B5}}在集团价值链中主要针对中国市场承担生产、销售、部分研发的职能，是集团整体业务链条整体的常规组成部分；境外关联供应商为{{清单模板-数据表-B5}}提供生产所需的关键原材料和核心技术，是构成{{清单模板-数据表-B5}}产品特性的关键组成部分；{{清单模板-数据表-B5}}的下游关联制造商或分销商采购{{清单模板-数据表-B5}}生产的产品，并承担产成品在当地的市场营销、销售职能。</w:t>
      </w:r>
    </w:p>
    <w:p w14:paraId="1F336C36">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47" w:name="_Toc12571"/>
      <w:bookmarkStart w:id="548" w:name="_Toc76668437"/>
      <w:bookmarkStart w:id="549" w:name="_Toc47700068"/>
      <w:bookmarkStart w:id="550" w:name="_Toc29571"/>
      <w:bookmarkStart w:id="551" w:name="_Toc202797594"/>
      <w:r>
        <w:rPr>
          <w:rFonts w:ascii="Arial" w:hAnsi="Arial" w:eastAsia="微软雅黑" w:cs="Arial"/>
          <w:b w:val="0"/>
          <w:i w:val="0"/>
          <w:color w:val="4F81BD" w:themeColor="accent1"/>
          <w:sz w:val="22"/>
          <w:szCs w:val="22"/>
          <w14:textFill>
            <w14:solidFill>
              <w14:schemeClr w14:val="accent1"/>
            </w14:solidFill>
          </w14:textFill>
        </w:rPr>
        <w:t>交易定价影响要素</w:t>
      </w:r>
      <w:bookmarkEnd w:id="547"/>
      <w:bookmarkEnd w:id="548"/>
      <w:bookmarkEnd w:id="549"/>
      <w:bookmarkEnd w:id="550"/>
      <w:bookmarkEnd w:id="551"/>
    </w:p>
    <w:p w14:paraId="12CB0A3E">
      <w:pPr>
        <w:snapToGrid w:val="0"/>
        <w:spacing w:before="163" w:beforeLines="50" w:after="163" w:afterLines="50"/>
        <w:ind w:left="0" w:firstLine="420"/>
        <w:rPr>
          <w:rFonts w:ascii="Arial" w:hAnsi="Arial" w:eastAsia="微软雅黑" w:cs="Arial"/>
          <w:sz w:val="22"/>
          <w:szCs w:val="22"/>
        </w:rPr>
      </w:pPr>
      <w:r>
        <w:rPr>
          <w:rFonts w:ascii="Arial" w:hAnsi="Arial" w:eastAsia="微软雅黑" w:cs="Arial"/>
          <w:sz w:val="22"/>
          <w:szCs w:val="22"/>
        </w:rPr>
        <w:t>在中国国家税务总局发布的《联合国转让定价操作手册》中，地域特殊因素的概念被正式提出。“成本节约”、“市场溢价”的概念被大众广泛知晓。其中，地域特殊因素是指由于在特定的地域范围内存在资产、资源禀赋、政府对行业的激励政策等因素而产生的生产优势。具体来说，在如下方面：</w:t>
      </w:r>
    </w:p>
    <w:p w14:paraId="1254AFF6">
      <w:pPr>
        <w:pStyle w:val="27"/>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552" w:name="_Toc202797595"/>
      <w:bookmarkStart w:id="553" w:name="_Toc16236"/>
      <w:bookmarkStart w:id="554" w:name="_Toc522015239"/>
      <w:bookmarkStart w:id="555" w:name="_Toc76668438"/>
      <w:bookmarkStart w:id="556" w:name="_Toc16497"/>
      <w:r>
        <w:rPr>
          <w:rFonts w:ascii="Arial" w:hAnsi="Arial" w:eastAsia="微软雅黑" w:cs="Arial"/>
          <w:b w:val="0"/>
          <w:i w:val="0"/>
          <w:color w:val="4F81BD" w:themeColor="accent1"/>
          <w:sz w:val="22"/>
          <w:szCs w:val="22"/>
          <w14:textFill>
            <w14:solidFill>
              <w14:schemeClr w14:val="accent1"/>
            </w14:solidFill>
          </w14:textFill>
        </w:rPr>
        <w:t>地域成本节约</w:t>
      </w:r>
      <w:bookmarkEnd w:id="552"/>
      <w:bookmarkEnd w:id="553"/>
      <w:bookmarkEnd w:id="554"/>
      <w:bookmarkEnd w:id="555"/>
      <w:bookmarkEnd w:id="556"/>
    </w:p>
    <w:p w14:paraId="55EF3620">
      <w:pPr>
        <w:adjustRightInd w:val="0"/>
        <w:snapToGrid w:val="0"/>
        <w:spacing w:before="240" w:after="240"/>
        <w:ind w:firstLine="475"/>
        <w:rPr>
          <w:rFonts w:ascii="Arial" w:hAnsi="Arial" w:eastAsia="微软雅黑" w:cs="Arial"/>
          <w:sz w:val="22"/>
          <w:szCs w:val="22"/>
        </w:rPr>
      </w:pPr>
      <w:r>
        <w:rPr>
          <w:rFonts w:ascii="Arial" w:hAnsi="Arial" w:eastAsia="微软雅黑" w:cs="Arial"/>
          <w:sz w:val="22"/>
          <w:szCs w:val="22"/>
        </w:rPr>
        <w:t xml:space="preserve">成本节约，是指跨国企业因为将其经营活动安排在低成本地区而产生的成本净节约。成本净节约通常通过在原材料、人工、租金、运输和基础建设等项目上较低的支出而实现，虽然一些额外费用会由于迁址而产生，如因为招收了经验不足的劳动力而产生的更多的培训费用。</w:t>
      </w:r>
      <w:r>
        <w:rPr>
          <w:rFonts w:ascii="Arial" w:hAnsi="Arial" w:eastAsia="微软雅黑" w:cs="Arial"/>
          <w:sz w:val="22"/>
          <w:szCs w:val="22"/>
          <w:vertAlign w:val="superscript"/>
        </w:rPr>
        <w:footnoteReference w:id="20"/>
      </w:r>
      <w:r>
        <w:rPr>
          <w:rFonts w:hint="eastAsia" w:ascii="Arial" w:hAnsi="Arial" w:eastAsia="微软雅黑" w:cs="Arial"/>
          <w:sz w:val="22"/>
          <w:szCs w:val="22"/>
        </w:rPr>
        <w:t/>
      </w:r>
    </w:p>
    <w:p w14:paraId="6D5316C9">
      <w:pPr>
        <w:adjustRightInd w:val="0"/>
        <w:snapToGrid w:val="0"/>
        <w:spacing w:before="240" w:after="240"/>
        <w:ind w:firstLine="475"/>
        <w:rPr>
          <w:rFonts w:ascii="Arial" w:hAnsi="Arial" w:eastAsia="微软雅黑" w:cs="Arial"/>
          <w:iCs/>
          <w:kern w:val="24"/>
          <w:sz w:val="22"/>
          <w:szCs w:val="22"/>
        </w:rPr>
      </w:pPr>
      <w:bookmarkStart w:id="557" w:name="_Hlk169894990"/>
      <w:r>
        <w:rPr>
          <w:rFonts w:ascii="Arial" w:hAnsi="Arial" w:eastAsia="微软雅黑" w:cs="Arial"/>
          <w:iCs/>
          <w:kern w:val="24"/>
          <w:sz w:val="22"/>
          <w:szCs w:val="22"/>
        </w:rPr>
        <w:t xml:space="preserve">随着中国人口老龄化、结婚率以及生育率下降，近几年中国的劳动力成本加速上升、劳动力供给增长的速度在放缓，劳动力成本优势逐渐减少。根据国际劳动组织发布的《2022/23国际工资报告》，在G20新兴经济体中，中国持续在实际工资增长排名中占据领先地位，估计显示2022年中国的月工资约为其2008年实际价值的2.6倍。由下图可见，中国的工资水平不断上升导致劳动力成本不断上升，其竞争力优势明显弱化，与其他新兴经济体、东南亚国家相比并没有明显的成本优势。</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bookmarkEnd w:id="557"/>
      <w:r>
        <w:rPr>
          <w:rFonts w:hint="eastAsia" w:ascii="Arial" w:hAnsi="Arial" w:eastAsia="微软雅黑" w:cs="Arial"/>
          <w:iCs/>
          <w:kern w:val="24"/>
          <w:sz w:val="22"/>
          <w:szCs w:val="22"/>
        </w:rPr>
        <w:t/>
      </w:r>
    </w:p>
    <w:p w14:paraId="279E204C">
      <w:pPr>
        <w:adjustRightInd w:val="0"/>
        <w:snapToGrid w:val="0"/>
        <w:spacing w:before="240" w:after="240"/>
        <w:ind w:firstLine="475"/>
        <w:jc w:val="center"/>
        <w:rPr>
          <w:rFonts w:ascii="Arial" w:hAnsi="Arial" w:eastAsia="微软雅黑" w:cs="Arial"/>
          <w:b/>
          <w:bCs/>
          <w:iCs/>
          <w:kern w:val="24"/>
          <w:sz w:val="18"/>
          <w:szCs w:val="18"/>
        </w:rPr>
      </w:pPr>
      <w:bookmarkStart w:id="558" w:name="_Hlk169895004"/>
      <w:r>
        <w:rPr>
          <w:rFonts w:hint="eastAsia" w:ascii="Arial" w:hAnsi="Arial" w:eastAsia="微软雅黑" w:cs="Arial"/>
          <w:b/>
          <w:bCs/>
          <w:iCs/>
          <w:kern w:val="24"/>
          <w:sz w:val="18"/>
          <w:szCs w:val="18"/>
        </w:rPr>
        <w:t xml:space="preserve">图表16： 2008-2022年G20新兴经济体平均实际工资指数</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Style w:val="38"/>
          <w:rFonts w:ascii="Arial" w:hAnsi="Arial" w:eastAsia="微软雅黑" w:cs="Arial"/>
          <w:b/>
          <w:bCs/>
          <w:iCs/>
          <w:kern w:val="24"/>
          <w:sz w:val="18"/>
          <w:szCs w:val="18"/>
        </w:rPr>
        <w:footnoteReference w:id="21"/>
      </w:r>
      <w:bookmarkEnd w:id="558"/>
    </w:p>
    <w:p w14:paraId="405A8925">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iCs/>
          <w:kern w:val="24"/>
          <w:sz w:val="22"/>
          <w:szCs w:val="22"/>
        </w:rPr>
        <w:drawing>
          <wp:inline distT="0" distB="0" distL="0" distR="0">
            <wp:extent cx="4947920" cy="2839085"/>
            <wp:effectExtent l="0" t="0" r="508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4">
                      <a:extLst>
                        <a:ext uri="{28A0092B-C50C-407E-A947-70E740481C1C}">
                          <a14:useLocalDpi xmlns:a14="http://schemas.microsoft.com/office/drawing/2010/main" val="0"/>
                        </a:ext>
                      </a:extLst>
                    </a:blip>
                    <a:srcRect t="7111" b="2383"/>
                    <a:stretch>
                      <a:fillRect/>
                    </a:stretch>
                  </pic:blipFill>
                  <pic:spPr>
                    <a:xfrm>
                      <a:off x="0" y="0"/>
                      <a:ext cx="4973872" cy="2854359"/>
                    </a:xfrm>
                    <a:prstGeom prst="rect">
                      <a:avLst/>
                    </a:prstGeom>
                    <a:ln>
                      <a:noFill/>
                    </a:ln>
                  </pic:spPr>
                </pic:pic>
              </a:graphicData>
            </a:graphic>
          </wp:inline>
        </w:drawing>
      </w:r>
    </w:p>
    <w:p w14:paraId="6C4C2E2D">
      <w:pPr>
        <w:adjustRightInd w:val="0"/>
        <w:snapToGrid w:val="0"/>
        <w:spacing w:before="240" w:after="240"/>
        <w:ind w:firstLine="440" w:firstLineChars="200"/>
        <w:rPr>
          <w:rFonts w:ascii="Arial" w:hAnsi="Arial" w:eastAsia="微软雅黑" w:cs="Arial"/>
          <w:iCs/>
          <w:kern w:val="24"/>
          <w:sz w:val="22"/>
          <w:szCs w:val="22"/>
        </w:rPr>
      </w:pPr>
      <w:bookmarkStart w:id="559" w:name="_Hlk169289264"/>
      <w:r>
        <w:rPr>
          <w:rFonts w:ascii="Arial" w:hAnsi="Arial" w:eastAsia="微软雅黑" w:cs="Arial"/>
          <w:kern w:val="24"/>
          <w:sz w:val="22"/>
        </w:rPr>
        <w:t xml:space="preserve">截至2025年1月1日，第一档月最低工资标准超过2000元省市共有29个，分别是上海、江苏、浙江、北京、深圳、重庆、四川、天津、广东、内蒙古等。其中，上海最高为2690元，江苏、浙江2490元并列第二，北京2420元位列第三。2015年到{{清单模板-数据表-B2}}中国平均工资变化的趋势如下图：</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Style w:val="38"/>
          <w:rFonts w:ascii="Arial" w:hAnsi="Arial" w:eastAsia="微软雅黑" w:cs="Arial"/>
          <w:sz w:val="22"/>
          <w:szCs w:val="22"/>
        </w:rPr>
        <w:footnoteReference w:id="22"/>
      </w:r>
      <w:r>
        <w:rPr>
          <w:rFonts w:hint="eastAsia" w:ascii="Arial" w:hAnsi="Arial" w:eastAsia="微软雅黑" w:cs="Arial"/>
          <w:kern w:val="24"/>
          <w:sz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bookmarkEnd w:id="559"/>
    </w:p>
    <w:p w14:paraId="72DE69DE">
      <w:pPr>
        <w:adjustRightInd w:val="0"/>
        <w:snapToGrid w:val="0"/>
        <w:spacing w:before="240" w:after="240"/>
        <w:ind w:firstLine="440" w:firstLineChars="200"/>
        <w:rPr>
          <w:rFonts w:ascii="Arial" w:hAnsi="Arial" w:eastAsia="微软雅黑" w:cs="Arial"/>
          <w:iCs/>
          <w:kern w:val="24"/>
          <w:sz w:val="22"/>
          <w:szCs w:val="22"/>
        </w:rPr>
      </w:pPr>
    </w:p>
    <w:p w14:paraId="5990594A">
      <w:pPr>
        <w:adjustRightInd w:val="0"/>
        <w:snapToGrid w:val="0"/>
        <w:spacing w:before="240" w:after="240"/>
        <w:ind w:firstLine="440" w:firstLineChars="200"/>
        <w:rPr>
          <w:rFonts w:ascii="Arial" w:hAnsi="Arial" w:eastAsia="微软雅黑" w:cs="Arial"/>
          <w:iCs/>
          <w:kern w:val="24"/>
          <w:sz w:val="22"/>
          <w:szCs w:val="22"/>
        </w:rPr>
      </w:pPr>
    </w:p>
    <w:p w14:paraId="11BE5E9A">
      <w:pPr>
        <w:pStyle w:val="7"/>
        <w:keepNext/>
        <w:snapToGrid w:val="0"/>
        <w:jc w:val="center"/>
        <w:rPr>
          <w:rFonts w:ascii="Arial" w:hAnsi="Arial" w:eastAsia="微软雅黑" w:cs="Arial"/>
          <w:sz w:val="18"/>
          <w:szCs w:val="18"/>
        </w:rPr>
      </w:pPr>
      <w:bookmarkStart w:id="560" w:name="_Hlk169289278"/>
      <w:r>
        <w:rPr>
          <w:rFonts w:ascii="Arial" w:hAnsi="Arial" w:eastAsia="微软雅黑" w:cs="Arial"/>
          <w:kern w:val="0"/>
          <w:sz w:val="18"/>
          <w:szCs w:val="18"/>
          <w:lang w:val="en-GB"/>
        </w:rPr>
        <w:t xml:space="preserve">图表17：2015年到{{清单模板-数据表-B2}}城镇私营单位就业人员平均工资及增速</w:t>
      </w:r>
      <w:r>
        <w:rPr>
          <w:rFonts w:ascii="Arial" w:hAnsi="Arial" w:eastAsia="微软雅黑" w:cs="Arial"/>
          <w:kern w:val="0"/>
          <w:sz w:val="18"/>
          <w:szCs w:val="18"/>
        </w:rPr>
        <w:t/>
      </w:r>
      <w:r>
        <w:rPr>
          <w:rFonts w:ascii="Arial" w:hAnsi="Arial" w:eastAsia="微软雅黑" w:cs="Arial"/>
          <w:kern w:val="0"/>
          <w:sz w:val="18"/>
          <w:szCs w:val="18"/>
          <w:lang w:val="en-GB"/>
        </w:rPr>
        <w:t/>
      </w:r>
      <w:r>
        <w:rPr>
          <w:rFonts w:hint="eastAsia" w:ascii="Arial" w:hAnsi="Arial" w:eastAsia="微软雅黑" w:cs="Arial"/>
          <w:kern w:val="0"/>
          <w:sz w:val="18"/>
          <w:szCs w:val="18"/>
          <w:lang w:val="en-GB"/>
        </w:rPr>
        <w:t/>
      </w:r>
      <w:r>
        <w:rPr>
          <w:rFonts w:ascii="Arial" w:hAnsi="Arial" w:eastAsia="微软雅黑" w:cs="Arial"/>
          <w:kern w:val="0"/>
          <w:sz w:val="18"/>
          <w:szCs w:val="18"/>
          <w:lang w:val="en-GB"/>
        </w:rPr>
        <w:t/>
      </w:r>
      <w:r>
        <w:rPr>
          <w:rFonts w:hint="eastAsia" w:ascii="Arial" w:hAnsi="Arial" w:eastAsia="微软雅黑" w:cs="Arial"/>
          <w:kern w:val="0"/>
          <w:sz w:val="18"/>
          <w:szCs w:val="18"/>
          <w:lang w:val="en-GB"/>
        </w:rPr>
        <w:t/>
      </w:r>
      <w:r>
        <w:rPr>
          <w:rStyle w:val="38"/>
          <w:rFonts w:ascii="Arial" w:hAnsi="Arial" w:eastAsia="微软雅黑" w:cs="Arial"/>
          <w:sz w:val="18"/>
          <w:szCs w:val="18"/>
        </w:rPr>
        <w:footnoteReference w:id="23"/>
      </w:r>
      <w:bookmarkEnd w:id="560"/>
    </w:p>
    <w:p w14:paraId="630B33D3">
      <w:pPr>
        <w:widowControl w:val="0"/>
        <w:snapToGrid w:val="0"/>
        <w:ind w:firstLine="480" w:firstLineChars="200"/>
      </w:pPr>
      <w:r>
        <w:drawing>
          <wp:inline distT="0" distB="0" distL="0" distR="0">
            <wp:extent cx="4717415" cy="1896745"/>
            <wp:effectExtent l="0" t="0" r="6985" b="825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4724551" cy="1899676"/>
                    </a:xfrm>
                    <a:prstGeom prst="rect">
                      <a:avLst/>
                    </a:prstGeom>
                    <a:noFill/>
                  </pic:spPr>
                </pic:pic>
              </a:graphicData>
            </a:graphic>
          </wp:inline>
        </w:drawing>
      </w:r>
    </w:p>
    <w:p w14:paraId="3FD02388">
      <w:pPr>
        <w:widowControl w:val="0"/>
        <w:snapToGrid w:val="0"/>
        <w:ind w:firstLine="480" w:firstLineChars="200"/>
      </w:pPr>
    </w:p>
    <w:p w14:paraId="2EEFF83E">
      <w:pPr>
        <w:keepNext/>
        <w:widowControl w:val="0"/>
        <w:snapToGrid w:val="0"/>
        <w:spacing w:before="0" w:after="0"/>
        <w:ind w:firstLine="360" w:firstLineChars="200"/>
        <w:jc w:val="center"/>
        <w:rPr>
          <w:rFonts w:eastAsiaTheme="minorEastAsia"/>
        </w:rPr>
      </w:pPr>
      <w:bookmarkStart w:id="561" w:name="_Hlk169289320"/>
      <w:r>
        <w:rPr>
          <w:rFonts w:hint="eastAsia" w:ascii="Arial" w:hAnsi="Arial" w:eastAsia="微软雅黑" w:cs="Arial"/>
          <w:b/>
          <w:bCs/>
          <w:sz w:val="18"/>
          <w:szCs w:val="18"/>
          <w:lang w:val="en-GB"/>
        </w:rPr>
        <w:t xml:space="preserve">图表18：2015年到{{清单模板-数据表-B2}}城镇非私营单位就业人员平均工资及增速</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Style w:val="38"/>
          <w:rFonts w:ascii="Arial" w:hAnsi="Arial" w:eastAsia="微软雅黑" w:cs="Arial"/>
          <w:b/>
          <w:bCs/>
          <w:sz w:val="18"/>
          <w:szCs w:val="18"/>
          <w:lang w:val="en-GB"/>
        </w:rPr>
        <w:footnoteReference w:id="24"/>
      </w:r>
      <w:bookmarkEnd w:id="561"/>
    </w:p>
    <w:p w14:paraId="44145A98">
      <w:pPr>
        <w:widowControl w:val="0"/>
        <w:snapToGrid w:val="0"/>
        <w:ind w:firstLine="480" w:firstLineChars="200"/>
        <w:jc w:val="center"/>
        <w:rPr>
          <w:rFonts w:ascii="Arial" w:hAnsi="Arial" w:cs="Arial" w:eastAsiaTheme="minorEastAsia"/>
          <w:bCs/>
          <w:sz w:val="22"/>
          <w:szCs w:val="22"/>
        </w:rPr>
      </w:pPr>
      <w:r>
        <w:drawing>
          <wp:inline distT="0" distB="0" distL="0" distR="0">
            <wp:extent cx="4732020" cy="1902460"/>
            <wp:effectExtent l="0" t="0" r="0"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4767962" cy="1916915"/>
                    </a:xfrm>
                    <a:prstGeom prst="rect">
                      <a:avLst/>
                    </a:prstGeom>
                    <a:noFill/>
                  </pic:spPr>
                </pic:pic>
              </a:graphicData>
            </a:graphic>
          </wp:inline>
        </w:drawing>
      </w:r>
    </w:p>
    <w:p w14:paraId="5BE43F0D">
      <w:pPr>
        <w:adjustRightInd w:val="0"/>
        <w:snapToGrid w:val="0"/>
        <w:spacing w:before="240" w:after="240"/>
        <w:ind w:firstLine="475"/>
        <w:rPr>
          <w:rFonts w:ascii="Arial" w:hAnsi="Arial" w:eastAsia="微软雅黑" w:cs="Arial"/>
          <w:iCs/>
          <w:kern w:val="24"/>
          <w:sz w:val="22"/>
          <w:szCs w:val="22"/>
        </w:rPr>
      </w:pPr>
      <w:bookmarkStart w:id="562" w:name="_Hlk169895236"/>
      <w:r>
        <w:rPr>
          <w:rFonts w:ascii="Arial" w:hAnsi="Arial" w:eastAsia="微软雅黑" w:cs="Arial"/>
          <w:iCs/>
          <w:kern w:val="24"/>
          <w:sz w:val="22"/>
          <w:szCs w:val="22"/>
        </w:rPr>
        <w:t>在国家出台的一系列“稳就业”、“保就业”政策保障下，劳动力市场在{{清单模板-数据表-B2}}恢复性增长。近日，中国财政科学研究院发布的第六次“企业成本”大型调研报告(下称报告)认为，新发展阶段人工成本将呈现趋势性上涨。由于人口红利正在逐渐消退，必将带来劳动力供需缺口的趋势性扩大，导致企业显性用工成本上升；此外，由于老龄化人口增加，人工成本中法定由企业负担的养老保险缴费部分，随着劳动力市场供求关系变化以及社会保险制度的不断完善，长期看也会持续增长。</w:t>
      </w:r>
    </w:p>
    <w:p w14:paraId="5E53BAA6">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iCs/>
          <w:kern w:val="24"/>
          <w:sz w:val="22"/>
          <w:szCs w:val="22"/>
        </w:rPr>
        <w:t xml:space="preserve">因此，随着劳动力成本逐年上升，{{清单模板-数据表-B5}}并没有从劳动力成本中受益。</w:t>
      </w:r>
      <w:r>
        <w:rPr>
          <w:rFonts w:hint="eastAsia" w:ascii="Arial" w:hAnsi="Arial" w:eastAsia="微软雅黑" w:cs="Arial"/>
          <w:iCs/>
          <w:kern w:val="24"/>
          <w:sz w:val="22"/>
          <w:szCs w:val="22"/>
        </w:rPr>
        <w:t/>
      </w:r>
      <w:r>
        <w:rPr>
          <w:rFonts w:ascii="Arial" w:hAnsi="Arial" w:eastAsia="微软雅黑" w:cs="Arial"/>
          <w:iCs/>
          <w:kern w:val="24"/>
          <w:sz w:val="22"/>
          <w:szCs w:val="22"/>
        </w:rPr>
        <w:t/>
      </w:r>
      <w:bookmarkEnd w:id="562"/>
    </w:p>
    <w:p w14:paraId="4D2C65D8">
      <w:pPr>
        <w:pStyle w:val="27"/>
        <w:keepNext/>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563" w:name="_Toc202797596"/>
      <w:bookmarkStart w:id="564" w:name="_Toc47700070"/>
      <w:bookmarkStart w:id="565" w:name="_Toc522015240"/>
      <w:bookmarkStart w:id="566" w:name="_Toc76668439"/>
      <w:bookmarkStart w:id="567" w:name="_Toc15765"/>
      <w:bookmarkStart w:id="568" w:name="_Toc1881"/>
      <w:r>
        <w:rPr>
          <w:rFonts w:ascii="Arial" w:hAnsi="Arial" w:eastAsia="微软雅黑" w:cs="Arial"/>
          <w:b w:val="0"/>
          <w:i w:val="0"/>
          <w:color w:val="4F81BD" w:themeColor="accent1"/>
          <w:sz w:val="22"/>
          <w:szCs w:val="22"/>
          <w14:textFill>
            <w14:solidFill>
              <w14:schemeClr w14:val="accent1"/>
            </w14:solidFill>
          </w14:textFill>
        </w:rPr>
        <w:t>市场溢价</w:t>
      </w:r>
      <w:bookmarkEnd w:id="563"/>
      <w:bookmarkEnd w:id="564"/>
      <w:bookmarkEnd w:id="565"/>
      <w:bookmarkEnd w:id="566"/>
      <w:bookmarkEnd w:id="567"/>
      <w:bookmarkEnd w:id="568"/>
    </w:p>
    <w:p w14:paraId="3B4BECC1">
      <w:pPr>
        <w:adjustRightInd w:val="0"/>
        <w:snapToGrid w:val="0"/>
        <w:spacing w:before="240" w:after="240"/>
        <w:ind w:firstLine="425"/>
        <w:rPr>
          <w:rFonts w:ascii="Arial" w:hAnsi="Arial" w:eastAsia="微软雅黑" w:cs="Arial"/>
          <w:iCs/>
          <w:kern w:val="24"/>
          <w:sz w:val="22"/>
          <w:szCs w:val="22"/>
          <w:vertAlign w:val="superscript"/>
        </w:rPr>
      </w:pPr>
      <w:r>
        <w:rPr>
          <w:rFonts w:ascii="Arial" w:hAnsi="Arial" w:eastAsia="微软雅黑" w:cs="Arial"/>
          <w:iCs/>
          <w:kern w:val="24"/>
          <w:sz w:val="22"/>
          <w:szCs w:val="22"/>
        </w:rPr>
        <w:t xml:space="preserve">市场溢价，是指跨国企业将经营活动安排在有独特特质的地区而获得的额外利润，这些地区的特质会对一项服务或产品的销售和需求造成影响。</w:t>
      </w:r>
      <w:r>
        <w:rPr>
          <w:rFonts w:ascii="Arial" w:hAnsi="Arial" w:eastAsia="微软雅黑" w:cs="Arial"/>
          <w:iCs/>
          <w:kern w:val="24"/>
          <w:sz w:val="22"/>
          <w:szCs w:val="22"/>
          <w:vertAlign w:val="superscript"/>
        </w:rPr>
        <w:footnoteReference w:id="25"/>
      </w:r>
      <w:r>
        <w:rPr>
          <w:rFonts w:hint="eastAsia" w:ascii="Arial" w:hAnsi="Arial" w:eastAsia="微软雅黑" w:cs="Arial"/>
          <w:iCs/>
          <w:kern w:val="24"/>
          <w:sz w:val="22"/>
          <w:szCs w:val="22"/>
        </w:rPr>
        <w:t/>
      </w:r>
    </w:p>
    <w:p w14:paraId="5D4615DF">
      <w:pPr>
        <w:adjustRightInd w:val="0"/>
        <w:snapToGrid w:val="0"/>
        <w:spacing w:before="240" w:after="240"/>
        <w:ind w:firstLine="475"/>
        <w:rPr>
          <w:rFonts w:ascii="Arial" w:hAnsi="Arial" w:eastAsia="微软雅黑" w:cs="Arial"/>
          <w:kern w:val="24"/>
          <w:sz w:val="22"/>
        </w:rPr>
      </w:pPr>
      <w:r>
        <w:rPr>
          <w:rFonts w:ascii="Arial" w:hAnsi="Arial" w:eastAsia="微软雅黑" w:cs="Arial"/>
          <w:kern w:val="24"/>
          <w:sz w:val="22"/>
        </w:rPr>
        <w:t>{{清单模板-数据表-B5}}为客户提供量身定制的整体解决方案，并且国内和国外市场对产品的要求也不相同。{{清单模板-数据表-B5}}在境内和在境外提供的大型成套设备本身并不具有可比性，因此在境内外市场上的价格也不具有可比性。</w:t>
      </w:r>
    </w:p>
    <w:p w14:paraId="64C1EB8B">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kern w:val="24"/>
          <w:sz w:val="22"/>
        </w:rPr>
        <w:t>作为工业设备制造商，其利润水平与宏观经济周期紧密相关，即很大程度取决于下游行业的需求。在中国大陆市场上，{{清单模板-数据表-B5}}不仅要与跨国企业的中国子公司竞争，还要面临来自快速发展的本土竞争对手的挑战。因此，{{清单模板-数据表-B5}}的设备类产品面临着激烈的市场竞争。此外，由于{{清单模板-数据表-B5}}最主要的收入来自于大型成套设备的销售，而国内市场上有如此规模需求的客户数量并不多，客户具有很高的议价能力，因此并没有明显的证据表明{{清单模板-数据表-B5}}会受到市场溢价的影响。</w:t>
      </w:r>
    </w:p>
    <w:p w14:paraId="7E762409">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69" w:name="_Toc202797597"/>
      <w:bookmarkStart w:id="570" w:name="_Toc1510"/>
      <w:bookmarkStart w:id="571" w:name="_Toc339"/>
      <w:bookmarkStart w:id="572" w:name="_Toc76668441"/>
      <w:bookmarkStart w:id="573" w:name="_Toc4079"/>
      <w:bookmarkStart w:id="574" w:name="_Toc522015241"/>
      <w:bookmarkStart w:id="575" w:name="_Toc47700072"/>
      <w:r>
        <w:rPr>
          <w:rFonts w:ascii="Arial" w:hAnsi="Arial" w:eastAsia="微软雅黑" w:cs="Arial"/>
          <w:b w:val="0"/>
          <w:i w:val="0"/>
          <w:color w:val="4F81BD" w:themeColor="accent1"/>
          <w:sz w:val="22"/>
          <w:szCs w:val="22"/>
          <w14:textFill>
            <w14:solidFill>
              <w14:schemeClr w14:val="accent1"/>
            </w14:solidFill>
          </w14:textFill>
        </w:rPr>
        <w:t>价值链各参与方财务报表</w:t>
      </w:r>
      <w:bookmarkEnd w:id="569"/>
      <w:bookmarkEnd w:id="570"/>
      <w:bookmarkEnd w:id="571"/>
    </w:p>
    <w:p w14:paraId="155166B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在本报告编制时，尚无法获得相关价值链参与方{{清单模板-数据表-B2}}的财务报表。如有要求，可在本公司征求关联方同意之后提供该数据。</w:t>
      </w:r>
      <w:r>
        <w:rPr>
          <w:rFonts w:hint="eastAsia" w:ascii="Arial" w:hAnsi="Arial" w:eastAsia="微软雅黑" w:cs="Arial"/>
          <w:sz w:val="22"/>
          <w:szCs w:val="22"/>
        </w:rPr>
        <w:t/>
      </w:r>
      <w:r>
        <w:rPr>
          <w:rFonts w:ascii="Arial" w:hAnsi="Arial" w:eastAsia="微软雅黑" w:cs="Arial"/>
          <w:sz w:val="22"/>
          <w:szCs w:val="22"/>
        </w:rPr>
        <w:t/>
      </w:r>
    </w:p>
    <w:p w14:paraId="6EDED857">
      <w:pPr>
        <w:snapToGrid w:val="0"/>
        <w:rPr>
          <w:rFonts w:ascii="Arial" w:hAnsi="Arial" w:eastAsia="微软雅黑" w:cs="Arial"/>
          <w:sz w:val="22"/>
          <w:szCs w:val="22"/>
        </w:rPr>
      </w:pPr>
      <w:r>
        <w:rPr>
          <w:rFonts w:ascii="Arial" w:hAnsi="Arial" w:eastAsia="微软雅黑" w:cs="Arial"/>
          <w:sz w:val="22"/>
          <w:szCs w:val="22"/>
        </w:rPr>
        <w:br w:type="page"/>
      </w:r>
    </w:p>
    <w:p w14:paraId="761E7B96">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576" w:name="_Toc14964"/>
      <w:bookmarkStart w:id="577" w:name="_Toc202797598"/>
      <w:bookmarkStart w:id="578" w:name="_Toc4046"/>
      <w:r>
        <w:rPr>
          <w:rFonts w:ascii="Arial" w:hAnsi="Arial" w:eastAsia="微软雅黑" w:cs="Arial"/>
          <w:color w:val="4F81BD" w:themeColor="accent1"/>
          <w:sz w:val="28"/>
          <w:szCs w:val="22"/>
          <w14:textFill>
            <w14:solidFill>
              <w14:schemeClr w14:val="accent1"/>
            </w14:solidFill>
          </w14:textFill>
        </w:rPr>
        <w:t>可比性分析</w:t>
      </w:r>
      <w:bookmarkEnd w:id="572"/>
      <w:bookmarkEnd w:id="573"/>
      <w:bookmarkEnd w:id="574"/>
      <w:bookmarkEnd w:id="575"/>
      <w:bookmarkEnd w:id="576"/>
      <w:bookmarkEnd w:id="577"/>
      <w:bookmarkEnd w:id="578"/>
    </w:p>
    <w:p w14:paraId="0A781E9C">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79" w:name="_Toc522015242"/>
      <w:bookmarkStart w:id="580" w:name="_Toc76668442"/>
      <w:bookmarkStart w:id="581" w:name="_Toc202797599"/>
      <w:bookmarkStart w:id="582" w:name="_Toc21388"/>
      <w:bookmarkStart w:id="583" w:name="_Toc30125"/>
      <w:bookmarkStart w:id="584" w:name="_Toc12949"/>
      <w:bookmarkStart w:id="585" w:name="_Toc47700073"/>
      <w:r>
        <w:rPr>
          <w:rFonts w:ascii="Arial" w:hAnsi="Arial" w:eastAsia="微软雅黑" w:cs="Arial"/>
          <w:b w:val="0"/>
          <w:i w:val="0"/>
          <w:color w:val="4F81BD" w:themeColor="accent1"/>
          <w:sz w:val="22"/>
          <w:szCs w:val="22"/>
          <w14:textFill>
            <w14:solidFill>
              <w14:schemeClr w14:val="accent1"/>
            </w14:solidFill>
          </w14:textFill>
        </w:rPr>
        <w:t>简介</w:t>
      </w:r>
      <w:bookmarkEnd w:id="579"/>
      <w:bookmarkEnd w:id="580"/>
      <w:bookmarkEnd w:id="581"/>
      <w:bookmarkEnd w:id="582"/>
      <w:bookmarkEnd w:id="583"/>
      <w:bookmarkEnd w:id="584"/>
      <w:bookmarkEnd w:id="585"/>
    </w:p>
    <w:p w14:paraId="3D3AF68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企业所得税法第41条规定，企业与其关联方之间的业务往来，不符合独立交易原则而减少企业或者其关联方应纳税收入或者所得额的，税务机关有权按照合理方法进行调整。由此可见，独立交易原则是中国转让定价法规的核心原则。同时，独立交易原则也是经济合作发展组织（“OECD”）所认可的指导原则。</w:t>
      </w:r>
    </w:p>
    <w:p w14:paraId="1A115BB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为了确定最适宜的转让定价评估方法，我们参考了中国转让定价法规和OECD转让定价指南中列明的多种分析关联交易定价的方法，包括可比非受控价格法、再销售价格法、成本加成法、交易净利润法以及利润分割法。前三种方法是分析关联企业之间交易条件和定价方法是否合理的最为直接的方法，但对独立交易数据的可比性要求较高。交易净利润法对产品及功能的可比性要求较前三种方法为低，且可比企业的数据也相对较易获得，因此在实际应用中最普遍。而利润分割法则主要使用于交易双方都具有非常规无形资产或均承担非常规性风险的情形。</w:t>
      </w:r>
    </w:p>
    <w:p w14:paraId="26F727F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对以上各种方法的详细描述，请见附件1。</w:t>
      </w:r>
    </w:p>
    <w:p w14:paraId="72C4C49B">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86" w:name="_Toc522015243"/>
      <w:bookmarkStart w:id="587" w:name="_Toc202797600"/>
      <w:bookmarkStart w:id="588" w:name="_Toc23897"/>
      <w:bookmarkStart w:id="589" w:name="_Toc76668443"/>
      <w:bookmarkStart w:id="590" w:name="_Toc47700074"/>
      <w:bookmarkStart w:id="591" w:name="_Toc21889"/>
      <w:bookmarkStart w:id="592" w:name="_Toc29899"/>
      <w:r>
        <w:rPr>
          <w:rFonts w:ascii="Arial" w:hAnsi="Arial" w:eastAsia="微软雅黑" w:cs="Arial"/>
          <w:b w:val="0"/>
          <w:i w:val="0"/>
          <w:color w:val="4F81BD" w:themeColor="accent1"/>
          <w:sz w:val="22"/>
          <w:szCs w:val="22"/>
          <w14:textFill>
            <w14:solidFill>
              <w14:schemeClr w14:val="accent1"/>
            </w14:solidFill>
          </w14:textFill>
        </w:rPr>
        <w:t>转让定价方法的选择</w:t>
      </w:r>
      <w:bookmarkEnd w:id="586"/>
      <w:bookmarkEnd w:id="587"/>
      <w:bookmarkEnd w:id="588"/>
      <w:bookmarkEnd w:id="589"/>
      <w:bookmarkEnd w:id="590"/>
      <w:bookmarkEnd w:id="591"/>
      <w:bookmarkEnd w:id="592"/>
    </w:p>
    <w:p w14:paraId="01B7700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[2016] 42号公告第14条规定，可比性分析考虑的因素，包括交易资产或者劳务特性，交易各方功能、风险和资产，合同条款，经济环境，经营策略等。</w:t>
      </w:r>
    </w:p>
    <w:p w14:paraId="7550E6B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然而，中国的转让定价法规并没有强调纳税人或税务机关在分析关联交易是否符合独立交易原则时选用转让定价方法的顺序。选择哪一种方法并不绝对，这因关联交易所处的经济环境和事实情况而异。事实上，为了评估受控交易是否符合独立交易原则，决定使用哪种转让定价方法为最合适的方法的关键因素在于该方法能否根据受控交易的事实情况和经济环境，最恰当地估算出独立企业间进行类似业务往来所能获得的财务成果。由于最合适的转让定价方法是比较各方法相对优点的结果，因此，不完美的方法仍可能被接受，除非有证据证明其他方法更加可靠或能更加准确估算独立交易的结果。</w:t>
      </w:r>
      <w:r>
        <w:rPr>
          <w:rFonts w:ascii="Arial" w:hAnsi="Arial" w:eastAsia="微软雅黑" w:cs="Arial"/>
          <w:sz w:val="22"/>
          <w:szCs w:val="22"/>
          <w:vertAlign w:val="superscript"/>
        </w:rPr>
        <w:footnoteReference w:id="26"/>
      </w:r>
      <w:r>
        <w:rPr>
          <w:rFonts w:ascii="Arial" w:hAnsi="Arial" w:eastAsia="微软雅黑" w:cs="Arial"/>
          <w:sz w:val="22"/>
          <w:szCs w:val="22"/>
        </w:rPr>
        <w:t/>
      </w:r>
    </w:p>
    <w:p w14:paraId="174E812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以下图表总结了转让定价方法的选择过程：</w:t>
      </w:r>
      <w:r>
        <w:rPr>
          <w:rFonts w:hint="eastAsia" w:ascii="Arial" w:hAnsi="Arial" w:eastAsia="微软雅黑" w:cs="Arial"/>
          <w:sz w:val="22"/>
          <w:szCs w:val="22"/>
        </w:rPr>
        <w:t/>
      </w:r>
    </w:p>
    <w:p w14:paraId="39BEB866">
      <w:pPr>
        <w:pStyle w:val="7"/>
        <w:keepNext/>
        <w:snapToGrid w:val="0"/>
        <w:jc w:val="center"/>
        <w:rPr>
          <w:rFonts w:ascii="Arial" w:hAnsi="Arial" w:eastAsia="微软雅黑" w:cs="Arial"/>
          <w:bCs w:val="0"/>
          <w:sz w:val="18"/>
          <w:szCs w:val="18"/>
        </w:rPr>
      </w:pPr>
      <w:r>
        <w:rPr>
          <w:rFonts w:ascii="Arial" w:hAnsi="Arial" w:eastAsia="微软雅黑" w:cs="Arial"/>
          <w:bCs w:val="0"/>
          <w:sz w:val="18"/>
          <w:szCs w:val="18"/>
        </w:rPr>
        <w:t>图表19：合适转让定价方法的选择</w:t>
      </w:r>
    </w:p>
    <w:tbl>
      <w:tblPr>
        <w:tblStyle w:val="29"/>
        <w:tblW w:w="84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4"/>
        <w:gridCol w:w="3118"/>
        <w:gridCol w:w="3512"/>
      </w:tblGrid>
      <w:tr w14:paraId="5D8AE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blHeader/>
          <w:jc w:val="center"/>
        </w:trPr>
        <w:tc>
          <w:tcPr>
            <w:tcW w:w="1844" w:type="dxa"/>
            <w:shd w:val="clear" w:color="auto" w:fill="4F81BD" w:themeFill="accent1"/>
            <w:vAlign w:val="center"/>
          </w:tcPr>
          <w:p w14:paraId="64B4F01A">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转让定价的方法</w:t>
            </w:r>
          </w:p>
        </w:tc>
        <w:tc>
          <w:tcPr>
            <w:tcW w:w="3118" w:type="dxa"/>
            <w:shd w:val="clear" w:color="auto" w:fill="4F81BD" w:themeFill="accent1"/>
            <w:vAlign w:val="center"/>
          </w:tcPr>
          <w:p w14:paraId="0C6C077D">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适用情形</w:t>
            </w:r>
          </w:p>
        </w:tc>
        <w:tc>
          <w:tcPr>
            <w:tcW w:w="3512" w:type="dxa"/>
            <w:shd w:val="clear" w:color="auto" w:fill="4F81BD" w:themeFill="accent1"/>
            <w:vAlign w:val="center"/>
          </w:tcPr>
          <w:p w14:paraId="27680B6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选择/排除的原因</w:t>
            </w:r>
          </w:p>
        </w:tc>
      </w:tr>
      <w:tr w14:paraId="5CE42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35AE218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可比非受控价格法</w:t>
            </w:r>
          </w:p>
        </w:tc>
        <w:tc>
          <w:tcPr>
            <w:tcW w:w="3118" w:type="dxa"/>
            <w:vAlign w:val="center"/>
          </w:tcPr>
          <w:p w14:paraId="7448C47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适用于高度相似交易条件下同一产品或服务既存在关联方之间又在非关联方之间交易的情况。</w:t>
            </w:r>
          </w:p>
        </w:tc>
        <w:tc>
          <w:tcPr>
            <w:tcW w:w="3512" w:type="dxa"/>
            <w:vAlign w:val="center"/>
          </w:tcPr>
          <w:p w14:paraId="26A6825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清单模板-数据表-B5}}与关联方和非关联方签订合同的合同标的、合同条款、交易数量有明显差异，无法获得可辨认的内部可比交易或外部可比交易的价格作为关联交易的独立交易价格。因此，对于{{清单模板-数据表-B5}}，该方法不适用。</w:t>
            </w:r>
          </w:p>
        </w:tc>
      </w:tr>
      <w:tr w14:paraId="27CCD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37EC636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再销售价格法</w:t>
            </w:r>
          </w:p>
        </w:tc>
        <w:tc>
          <w:tcPr>
            <w:tcW w:w="3118" w:type="dxa"/>
            <w:vAlign w:val="center"/>
          </w:tcPr>
          <w:p w14:paraId="02AF33E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适用于再销售者未对商品进行改变外型、性能、结构或更换商标等实质性增值加工的简单加工或单纯购销业务。</w:t>
            </w:r>
          </w:p>
        </w:tc>
        <w:tc>
          <w:tcPr>
            <w:tcW w:w="3512" w:type="dxa"/>
            <w:vAlign w:val="center"/>
          </w:tcPr>
          <w:p w14:paraId="1667D11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由于该方法对外部可比交易成本数据的可比性要求较高。因此，对于{{清单模板-数据表-B5}}，该方法不适用。</w:t>
            </w:r>
          </w:p>
        </w:tc>
      </w:tr>
      <w:tr w14:paraId="7579D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7998F749">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成本加成法</w:t>
            </w:r>
          </w:p>
        </w:tc>
        <w:tc>
          <w:tcPr>
            <w:tcW w:w="3118" w:type="dxa"/>
            <w:vAlign w:val="center"/>
          </w:tcPr>
          <w:p w14:paraId="7C53A6D9">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成本加成法通常适用于涉及有形资产购销、转让和使用、劳务提供或资金融通的关联交易。</w:t>
            </w:r>
          </w:p>
        </w:tc>
        <w:tc>
          <w:tcPr>
            <w:tcW w:w="3512" w:type="dxa"/>
            <w:vAlign w:val="center"/>
          </w:tcPr>
          <w:p w14:paraId="3034D27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成本加成法通常适用于成本数据详尽的涉及劳务或有形产品生产或组装的关联交易，尽管{{清单模板-数据表-B5}}向关联方和非关联方销售相似的产品，但销售发生的市场环境不同，且也难以获取可以适用成本加成法的外部可比交易成本数据，因此该方法不适用。</w:t>
            </w:r>
          </w:p>
        </w:tc>
      </w:tr>
      <w:tr w14:paraId="22578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5DA274AF">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交易净利润法</w:t>
            </w:r>
          </w:p>
        </w:tc>
        <w:tc>
          <w:tcPr>
            <w:tcW w:w="3118" w:type="dxa"/>
            <w:vAlign w:val="center"/>
          </w:tcPr>
          <w:p w14:paraId="3C634B32">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交易净利润法一般适用于涉及有形资产购销、转让和使用、无形资产的转让和使用以及劳务提供等关联交易。由于该方法的应用基于对净利润指标的分析，因此该方法受功能或会计处理方法差异的影响较小。</w:t>
            </w:r>
          </w:p>
        </w:tc>
        <w:tc>
          <w:tcPr>
            <w:tcW w:w="3512" w:type="dxa"/>
            <w:vAlign w:val="center"/>
          </w:tcPr>
          <w:p w14:paraId="48488D0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由于应用交易净利润法所需要的信息数据可以获得，因此选择该方法为评估受测关联交易是否符合独立交易原则的最合适的方法。因此，我们选择交易净利润法作为分析关联交易的转让定价方法。</w:t>
            </w:r>
          </w:p>
        </w:tc>
      </w:tr>
      <w:tr w14:paraId="5E01B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1278D634">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w:t>
            </w:r>
          </w:p>
        </w:tc>
        <w:tc>
          <w:tcPr>
            <w:tcW w:w="3118" w:type="dxa"/>
            <w:vAlign w:val="center"/>
          </w:tcPr>
          <w:p w14:paraId="40BE4BA7">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利润分割法适用于各参与方关联交易高度整合且难以单独评估各方交易结果的情况。该方法也适用于交易各方拥有或贡献独特无形资产的情形。</w:t>
            </w:r>
          </w:p>
        </w:tc>
        <w:tc>
          <w:tcPr>
            <w:tcW w:w="3512" w:type="dxa"/>
            <w:vAlign w:val="center"/>
          </w:tcPr>
          <w:p w14:paraId="5F69197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利润分割法为根据企业与其关联方对关联交易合并利润的贡献计算各自应该分配的利润额，适用于关联交易双方高度整合的情形。由于{{清单模板-数据表-B5}}的与关联方间并非高度整合，因此该方法不适用。</w:t>
            </w:r>
          </w:p>
        </w:tc>
      </w:tr>
    </w:tbl>
    <w:p w14:paraId="58D908B7">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93" w:name="_Toc522015244"/>
      <w:bookmarkStart w:id="594" w:name="_Toc8252"/>
      <w:bookmarkStart w:id="595" w:name="_Toc9412"/>
      <w:bookmarkStart w:id="596" w:name="_Toc202797601"/>
      <w:bookmarkStart w:id="597" w:name="_Toc30509"/>
      <w:bookmarkStart w:id="598" w:name="_Toc76668444"/>
      <w:bookmarkStart w:id="599" w:name="_Toc47700075"/>
      <w:r>
        <w:rPr>
          <w:rFonts w:ascii="Arial" w:hAnsi="Arial" w:eastAsia="微软雅黑" w:cs="Arial"/>
          <w:b w:val="0"/>
          <w:i w:val="0"/>
          <w:color w:val="4F81BD" w:themeColor="accent1"/>
          <w:sz w:val="22"/>
          <w:szCs w:val="22"/>
          <w14:textFill>
            <w14:solidFill>
              <w14:schemeClr w14:val="accent1"/>
            </w14:solidFill>
          </w14:textFill>
        </w:rPr>
        <w:t xml:space="preserve">验证对象的选择</w:t>
      </w:r>
      <w:bookmarkEnd w:id="593"/>
      <w:bookmarkEnd w:id="594"/>
      <w:r>
        <w:rPr>
          <w:rFonts w:ascii="Arial" w:hAnsi="Arial" w:eastAsia="微软雅黑" w:cs="Arial"/>
          <w:b w:val="0"/>
          <w:i w:val="0"/>
          <w:color w:val="4F81BD" w:themeColor="accent1"/>
          <w:sz w:val="22"/>
          <w:szCs w:val="22"/>
          <w14:textFill>
            <w14:solidFill>
              <w14:schemeClr w14:val="accent1"/>
            </w14:solidFill>
          </w14:textFill>
        </w:rPr>
        <w:t/>
      </w:r>
      <w:bookmarkEnd w:id="595"/>
      <w:bookmarkEnd w:id="596"/>
      <w:bookmarkEnd w:id="597"/>
      <w:bookmarkEnd w:id="598"/>
      <w:bookmarkEnd w:id="599"/>
    </w:p>
    <w:p w14:paraId="193030F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受控价格法适用于参与受控交易的任何一方，利润分割法通常适用于受控交易的各方，而用其他的转让定价方法时必须首先明确应对哪一方的毛利或营业利润进行分析。“验证对象”一般为可以根据非受控交易的可靠公开数据确定其受测关联交易中应收取的价格或应获得的利润，并且所需调整最少且最可靠的一方。因此，被测试方通常是那些承担功能最简单，并且不拥有（或并不有权使用）能使其与其他潜在非受控可比公司产生显著不同的重大无形资产或独特资产的企业。</w:t>
      </w:r>
    </w:p>
    <w:p w14:paraId="68D26CE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受测关联交易中，{{清单模板-数据表-B5}}主要承担有限的研发功能、采购功能、生产功能、质量控制功能、存货管理功能以及一般行政管理功能；{{清单模板-数据表-B5}}主要承担有限的市场风险、有限的研发风险、有限的生产风险、有限的存货风险、产品责任风险以及汇率风险。{{清单模板-数据表-B5}}的关联企业主要负责有限的采购功能、研发功能、生产功能、质量控制功能、存货管理、工程设计功能、市场营销与销售功能、售后服务功能、付款请求和回收功能以及一般行政管理功能；{{清单模板-数据表-B5}}的关联企业承担市场风险、研发风险、生产风险、存货风险、产品责任风险、信用风险以及汇率风险。</w:t>
      </w:r>
    </w:p>
    <w:p w14:paraId="6BA9EF6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关联交易中，{{清单模板-数据表-B5}}承担的功能和风险相对简单。从转让定价的技术角度，对于承担功能风险较多的企业，其盈利能力往往受到多种因素影响，测试其利润率水平往往不能正确验证其关联交易定价的合理性；相对而言，功能较为简单的企业更容易辨识出一个与之匹配的稳定回报，且这类企业利润率水平受到关联交易定价的影响较大，测试其利润率水平往往可以有效地验证其关联交易定价政策的合理性。</w:t>
      </w:r>
    </w:p>
    <w:p w14:paraId="71532A4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综上所述，我们选择{{清单模板-数据表-B5}}作为受测关联交易的验证对象。</w:t>
      </w:r>
    </w:p>
    <w:p w14:paraId="1E8A8FA3">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600" w:name="_Toc23585"/>
      <w:bookmarkStart w:id="601" w:name="_Toc202797602"/>
      <w:bookmarkStart w:id="602" w:name="_Toc76668445"/>
      <w:bookmarkStart w:id="603" w:name="_Toc31489"/>
      <w:bookmarkStart w:id="604" w:name="_Toc16662"/>
      <w:bookmarkStart w:id="605" w:name="_Toc522015245"/>
      <w:bookmarkStart w:id="606" w:name="_Toc47700076"/>
      <w:r>
        <w:rPr>
          <w:rFonts w:ascii="Arial" w:hAnsi="Arial" w:eastAsia="微软雅黑" w:cs="Arial"/>
          <w:b w:val="0"/>
          <w:i w:val="0"/>
          <w:color w:val="4F81BD" w:themeColor="accent1"/>
          <w:sz w:val="22"/>
          <w:szCs w:val="22"/>
          <w14:textFill>
            <w14:solidFill>
              <w14:schemeClr w14:val="accent1"/>
            </w14:solidFill>
          </w14:textFill>
        </w:rPr>
        <w:t>转让定价方法的应用</w:t>
      </w:r>
      <w:bookmarkEnd w:id="600"/>
      <w:bookmarkEnd w:id="601"/>
      <w:bookmarkEnd w:id="602"/>
      <w:bookmarkEnd w:id="603"/>
      <w:bookmarkEnd w:id="604"/>
      <w:bookmarkEnd w:id="605"/>
      <w:bookmarkEnd w:id="606"/>
    </w:p>
    <w:p w14:paraId="44B51497">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07" w:name="_Toc202797603"/>
      <w:bookmarkStart w:id="608" w:name="_Toc76668446"/>
      <w:bookmarkStart w:id="609" w:name="_Toc28680"/>
      <w:bookmarkStart w:id="610" w:name="_Toc522015246"/>
      <w:bookmarkStart w:id="611" w:name="_Toc30525"/>
      <w:bookmarkStart w:id="612" w:name="_Toc27249"/>
      <w:bookmarkStart w:id="613" w:name="_Toc47700077"/>
      <w:r>
        <w:rPr>
          <w:rFonts w:ascii="Arial" w:hAnsi="Arial" w:eastAsia="微软雅黑" w:cs="Arial"/>
          <w:b w:val="0"/>
          <w:i w:val="0"/>
          <w:color w:val="4F81BD" w:themeColor="accent1"/>
          <w:sz w:val="22"/>
          <w:szCs w:val="22"/>
          <w14:textFill>
            <w14:solidFill>
              <w14:schemeClr w14:val="accent1"/>
            </w14:solidFill>
          </w14:textFill>
        </w:rPr>
        <w:t>概述</w:t>
      </w:r>
      <w:bookmarkEnd w:id="607"/>
      <w:bookmarkEnd w:id="608"/>
      <w:bookmarkEnd w:id="609"/>
      <w:bookmarkEnd w:id="610"/>
      <w:bookmarkEnd w:id="611"/>
      <w:bookmarkEnd w:id="612"/>
      <w:bookmarkEnd w:id="613"/>
    </w:p>
    <w:p w14:paraId="71E3BD6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[2016]42号公告中列举的各种转让定价方法的分析（详见上文章节7.2)，交易净利润法被确定为对受测关联交易进行可比性分析最合适的转让定价方法。根据OECD转让定价指南中的相关原则，在理想的情况下，交易利润法的应用应当通过比较：纳税人在受控交易（或适宜于合并的交易）中获取的净利润指标与同一纳税人在可比非受控交易中获得的净利润指标。</w:t>
      </w:r>
      <w:r>
        <w:rPr>
          <w:rFonts w:ascii="Arial" w:hAnsi="Arial" w:eastAsia="微软雅黑" w:cs="Arial"/>
          <w:sz w:val="22"/>
          <w:szCs w:val="22"/>
          <w:vertAlign w:val="superscript"/>
        </w:rPr>
        <w:footnoteReference w:id="27"/>
      </w:r>
    </w:p>
    <w:p w14:paraId="538FA89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下面我们将应用交易净利润法进行可比分析。</w:t>
      </w:r>
    </w:p>
    <w:p w14:paraId="49429180">
      <w:pPr>
        <w:pStyle w:val="27"/>
        <w:keepNext/>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14" w:name="_Toc47700078"/>
      <w:bookmarkStart w:id="615" w:name="_Toc27418"/>
      <w:bookmarkStart w:id="616" w:name="_Toc30496"/>
      <w:bookmarkStart w:id="617" w:name="_Toc76668447"/>
      <w:bookmarkStart w:id="618" w:name="_Toc19059"/>
      <w:bookmarkStart w:id="619" w:name="_Toc202797604"/>
      <w:bookmarkStart w:id="620" w:name="_Toc522015247"/>
      <w:r>
        <w:rPr>
          <w:rFonts w:ascii="Arial" w:hAnsi="Arial" w:eastAsia="微软雅黑" w:cs="Arial"/>
          <w:b w:val="0"/>
          <w:i w:val="0"/>
          <w:color w:val="4F81BD" w:themeColor="accent1"/>
          <w:sz w:val="22"/>
          <w:szCs w:val="22"/>
          <w14:textFill>
            <w14:solidFill>
              <w14:schemeClr w14:val="accent1"/>
            </w14:solidFill>
          </w14:textFill>
        </w:rPr>
        <w:t xml:space="preserve">确定与受测关联交易相关的财务数据</w:t>
      </w:r>
      <w:bookmarkStart w:id="621" w:name="_Hlk43068633"/>
      <w:r>
        <w:rPr>
          <w:rFonts w:ascii="Arial" w:hAnsi="Arial" w:eastAsia="微软雅黑" w:cs="Arial"/>
          <w:b w:val="0"/>
          <w:i w:val="0"/>
          <w:color w:val="4F81BD" w:themeColor="accent1"/>
          <w:sz w:val="22"/>
          <w:szCs w:val="22"/>
          <w14:textFill>
            <w14:solidFill>
              <w14:schemeClr w14:val="accent1"/>
            </w14:solidFill>
          </w14:textFill>
        </w:rPr>
        <w:t/>
      </w:r>
      <w:bookmarkEnd w:id="621"/>
      <w:r>
        <w:rPr>
          <w:rFonts w:ascii="Arial" w:hAnsi="Arial" w:eastAsia="微软雅黑" w:cs="Arial"/>
          <w:b w:val="0"/>
          <w:i w:val="0"/>
          <w:color w:val="4F81BD" w:themeColor="accent1"/>
          <w:sz w:val="22"/>
          <w:szCs w:val="22"/>
          <w14:textFill>
            <w14:solidFill>
              <w14:schemeClr w14:val="accent1"/>
            </w14:solidFill>
          </w14:textFill>
        </w:rPr>
        <w:t/>
      </w:r>
      <w:bookmarkEnd w:id="614"/>
      <w:bookmarkEnd w:id="615"/>
      <w:bookmarkEnd w:id="616"/>
      <w:bookmarkEnd w:id="617"/>
      <w:bookmarkEnd w:id="618"/>
      <w:bookmarkEnd w:id="619"/>
      <w:bookmarkEnd w:id="620"/>
    </w:p>
    <w:p w14:paraId="19D4B8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选择{{清单模板-数据表-B5}}作为受测关联交易的验证对象，鉴于{{清单模板-数据表-B5}}向关联方和第三方供应商采购原材料和零部件，并向关联方和非关联方销售全部产品，因此本报告将对关联购销交易是否符合独立交易原则按关联销售和非关联销售交易分别进行整体分析和验证。</w:t>
      </w:r>
    </w:p>
    <w:p w14:paraId="10BC1697">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图表20：{{清单模板-数据表-B5}}{{清单模板-数据表-B2}}财务数据</w:t>
      </w:r>
      <w:r>
        <w:rPr>
          <w:rStyle w:val="38"/>
          <w:rFonts w:ascii="Arial" w:hAnsi="Arial" w:eastAsia="微软雅黑" w:cs="Arial"/>
          <w:bCs w:val="0"/>
          <w:sz w:val="18"/>
          <w:szCs w:val="18"/>
        </w:rPr>
        <w:footnoteReference w:id="28"/>
      </w:r>
    </w:p>
    <w:tbl>
      <w:tblPr>
        <w:tblStyle w:val="158"/>
        <w:tblW w:w="864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61"/>
        <w:gridCol w:w="1417"/>
        <w:gridCol w:w="1985"/>
        <w:gridCol w:w="1984"/>
      </w:tblGrid>
      <w:tr w14:paraId="72034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61"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20D38739">
            <w:pPr>
              <w:snapToGrid w:val="0"/>
              <w:spacing w:before="60" w:after="6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{{清单模板-5_客户清单}}</w:t>
            </w:r>
          </w:p>
        </w:tc>
        <w:tc>
          <w:tcPr>
            <w:tcW w:w="1417"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6DF75FF5">
            <w:pPr>
              <w:snapToGrid w:val="0"/>
              <w:jc w:val="center"/>
              <w:rPr>
                <w:rFonts w:ascii="Arial" w:hAnsi="Arial" w:eastAsia="微软雅黑" w:cs="Arial"/>
                <w:b/>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c>
          <w:tcPr>
            <w:tcW w:w="1985"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46293A6E">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p w14:paraId="36B374B0">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hint="eastAsia" w:ascii="Arial" w:hAnsi="Arial" w:eastAsia="微软雅黑" w:cs="Arial"/>
                <w:b/>
                <w:bCs/>
                <w:color w:val="FFFFFF" w:themeColor="background1"/>
                <w:sz w:val="18"/>
                <w:szCs w:val="18"/>
                <w14:textFill>
                  <w14:solidFill>
                    <w14:schemeClr w14:val="bg1"/>
                  </w14:solidFill>
                </w14:textFill>
              </w:rPr>
              <w:t xml:space="preserve"/>
            </w:r>
            <w:r>
              <w:rPr>
                <w:rFonts w:ascii="Arial" w:hAnsi="Arial" w:eastAsia="微软雅黑" w:cs="Arial"/>
                <w:b/>
                <w:bCs/>
                <w:color w:val="FFFFFF" w:themeColor="background1"/>
                <w:sz w:val="18"/>
                <w:szCs w:val="18"/>
                <w14:textFill>
                  <w14:solidFill>
                    <w14:schemeClr w14:val="bg1"/>
                  </w14:solidFill>
                </w14:textFill>
              </w:rPr>
              <w:t/>
            </w:r>
            <w:r>
              <w:rPr>
                <w:rFonts w:hint="eastAsia" w:ascii="Arial" w:hAnsi="Arial" w:eastAsia="微软雅黑" w:cs="Arial"/>
                <w:b/>
                <w:bCs/>
                <w:color w:val="FFFFFF" w:themeColor="background1"/>
                <w:sz w:val="18"/>
                <w:szCs w:val="18"/>
                <w14:textFill>
                  <w14:solidFill>
                    <w14:schemeClr w14:val="bg1"/>
                  </w14:solidFill>
                </w14:textFill>
              </w:rPr>
              <w:t/>
            </w:r>
          </w:p>
        </w:tc>
        <w:tc>
          <w:tcPr>
            <w:tcW w:w="1984" w:type="dxa"/>
            <w:tcBorders>
              <w:top w:val="single" w:color="auto" w:sz="4" w:space="0"/>
              <w:left w:val="single" w:color="auto" w:sz="4" w:space="0"/>
              <w:bottom w:val="single" w:color="auto" w:sz="4" w:space="0"/>
              <w:right w:val="single" w:color="auto" w:sz="4" w:space="0"/>
              <w:insideV w:val="nil"/>
            </w:tcBorders>
            <w:shd w:val="clear" w:color="auto" w:fill="4F81BD" w:themeFill="accent1"/>
            <w:vAlign w:val="center"/>
          </w:tcPr>
          <w:p w14:paraId="1D905EE7">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p w14:paraId="46958B06">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hint="eastAsia" w:ascii="Arial" w:hAnsi="Arial" w:eastAsia="微软雅黑" w:cs="Arial"/>
                <w:b/>
                <w:bCs/>
                <w:color w:val="FFFFFF" w:themeColor="background1"/>
                <w:sz w:val="18"/>
                <w:szCs w:val="18"/>
                <w14:textFill>
                  <w14:solidFill>
                    <w14:schemeClr w14:val="bg1"/>
                  </w14:solidFill>
                </w14:textFill>
              </w:rPr>
              <w:t xml:space="preserve"/>
            </w:r>
            <w:r>
              <w:rPr>
                <w:rFonts w:ascii="Arial" w:hAnsi="Arial" w:eastAsia="微软雅黑" w:cs="Arial"/>
                <w:b/>
                <w:bCs/>
                <w:color w:val="FFFFFF" w:themeColor="background1"/>
                <w:sz w:val="18"/>
                <w:szCs w:val="18"/>
                <w14:textFill>
                  <w14:solidFill>
                    <w14:schemeClr w14:val="bg1"/>
                  </w14:solidFill>
                </w14:textFill>
              </w:rPr>
              <w:t/>
            </w:r>
            <w:r>
              <w:rPr>
                <w:rFonts w:hint="eastAsia" w:ascii="Arial" w:hAnsi="Arial" w:eastAsia="微软雅黑" w:cs="Arial"/>
                <w:b/>
                <w:bCs/>
                <w:color w:val="FFFFFF" w:themeColor="background1"/>
                <w:sz w:val="18"/>
                <w:szCs w:val="18"/>
                <w14:textFill>
                  <w14:solidFill>
                    <w14:schemeClr w14:val="bg1"/>
                  </w14:solidFill>
                </w14:textFill>
              </w:rPr>
              <w:t/>
            </w:r>
          </w:p>
        </w:tc>
      </w:tr>
    </w:tbl>
    <w:p w14:paraId="50424BA1">
      <w:pPr>
        <w:snapToGrid w:val="0"/>
        <w:spacing w:before="0"/>
        <w:ind w:left="0" w:firstLine="440" w:firstLineChars="200"/>
        <w:rPr>
          <w:rFonts w:ascii="Arial" w:hAnsi="Arial" w:eastAsia="微软雅黑" w:cs="Arial"/>
          <w:sz w:val="22"/>
          <w:szCs w:val="22"/>
        </w:rPr>
      </w:pPr>
      <w:r>
        <w:rPr>
          <w:rFonts w:ascii="Arial" w:hAnsi="Arial" w:eastAsia="微软雅黑" w:cs="Arial"/>
          <w:sz w:val="22"/>
          <w:szCs w:val="22"/>
        </w:rPr>
        <w:t>基于{{清单模板-数据表-B2}}的财务数据，{{清单模板-数据表-B5}}在关联销售中的完全成本加成率为22.93%，在非关联销售中的完全成本加成率为21.63%。</w:t>
      </w:r>
    </w:p>
    <w:p w14:paraId="1A5C49E4">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22" w:name="_Toc202797605"/>
      <w:bookmarkStart w:id="623" w:name="_Toc6242"/>
      <w:bookmarkStart w:id="624" w:name="_Toc47700079"/>
      <w:bookmarkStart w:id="625" w:name="_Toc76668448"/>
      <w:bookmarkStart w:id="626" w:name="_Toc1375"/>
      <w:r>
        <w:rPr>
          <w:rFonts w:ascii="Arial" w:hAnsi="Arial" w:eastAsia="微软雅黑" w:cs="Arial"/>
          <w:b w:val="0"/>
          <w:i w:val="0"/>
          <w:color w:val="4F81BD" w:themeColor="accent1"/>
          <w:sz w:val="22"/>
          <w:szCs w:val="22"/>
          <w14:textFill>
            <w14:solidFill>
              <w14:schemeClr w14:val="accent1"/>
            </w14:solidFill>
          </w14:textFill>
        </w:rPr>
        <w:t>搜寻外部可比公司</w:t>
      </w:r>
      <w:bookmarkEnd w:id="622"/>
      <w:bookmarkEnd w:id="623"/>
      <w:bookmarkEnd w:id="624"/>
      <w:bookmarkEnd w:id="625"/>
      <w:bookmarkEnd w:id="626"/>
    </w:p>
    <w:p w14:paraId="618B609B">
      <w:pPr>
        <w:pStyle w:val="175"/>
        <w:numPr>
          <w:ilvl w:val="3"/>
          <w:numId w:val="11"/>
        </w:numPr>
        <w:spacing w:before="156" w:after="156"/>
        <w:ind w:left="0" w:leftChars="0" w:firstLine="0" w:firstLineChars="0"/>
      </w:pPr>
      <w:bookmarkStart w:id="627" w:name="_Toc76668449"/>
      <w:bookmarkStart w:id="628" w:name="_Toc22218"/>
      <w:bookmarkStart w:id="629" w:name="_Toc763"/>
      <w:bookmarkStart w:id="630" w:name="_Toc4637"/>
      <w:bookmarkStart w:id="631" w:name="_Toc47700080"/>
      <w:bookmarkStart w:id="632" w:name="_Toc28228"/>
      <w:bookmarkStart w:id="633" w:name="_Toc522015248"/>
      <w:r>
        <w:t>数据库</w:t>
      </w:r>
      <w:bookmarkEnd w:id="627"/>
      <w:bookmarkEnd w:id="628"/>
      <w:bookmarkEnd w:id="629"/>
      <w:bookmarkEnd w:id="630"/>
      <w:bookmarkEnd w:id="631"/>
      <w:bookmarkEnd w:id="632"/>
      <w:bookmarkEnd w:id="633"/>
    </w:p>
    <w:p w14:paraId="3B05FDAA">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为了对外部可比公司（即所执行的功能与{{清单模板-数据表-B5}}的活动宽泛可比的独立企业）进行一次基准搜索，我们使用由Bureau van Dijk提供的TP Catalyst数据库（2025年2月版）搜索其中符合条件的上市公司作为可比公司。目前，中国税务主管机关在转让定价调查审计中也使用Bureau van Dijk提供的数据库。</w:t>
      </w:r>
      <w:r>
        <w:rPr>
          <w:rFonts w:ascii="Arial" w:hAnsi="Arial" w:eastAsia="微软雅黑" w:cs="Arial"/>
          <w:sz w:val="22"/>
          <w:szCs w:val="22"/>
          <w:vertAlign w:val="superscript"/>
        </w:rPr>
        <w:footnoteReference w:id="29"/>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2E09D4D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TP Catalyst数据库囊括了全球逾65,000家上市公司的财务数据，向专业用户提供深入分析各国上市公司所需的详细财务经营报表、分析比率、股权结构、企业评级数据、历年股价系列与企业行业分析。TP Catalyst数据库是目前欧美各国广泛使用于全球上市公司证券投资分析、企业战略经营分析、跨国企业转让定价、公司财务分析等领域的著名实证分析数据库。</w:t>
      </w:r>
    </w:p>
    <w:p w14:paraId="4A367A1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TP Catalyst数据库按照四位数的美国标准行业分类（SIC）编码对公司进行分类。SIC编码系统将商业活动分成几种职能大类，如制造，批发销售，服务等。两位数的SIC编码代表不同的行业大类。例如，SIC代码50（“耐用品的批发贸易”）所包含的公司为主要从事向工程承包商、零售商、代理商或其他批发商销售耐用性零部件和产成品的公司。随着SIC编码位数的增加，所包含公司的行业分类也随之细化。</w:t>
      </w:r>
    </w:p>
    <w:p w14:paraId="26F6C39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在TP Catalyst数据库中的每个公司都有一个主SIC编码和多个次级编码。主SIC编码用来表示占公司的销售收入比重最大的业务类别。该业务通常代表了公司生产或销售的主要产品或产品种类、或提供的主要服务类型。然而，只有少部分公司的业务仅限于一个四位SIC编码。次级SIC编码就是用来表示占公司销售收入比重显着的其他业务类别。一般而言，次级编码所代表的其他业务类别的销售收入比重至少要达到10％。</w:t>
      </w:r>
    </w:p>
    <w:p w14:paraId="63BA154D">
      <w:pPr>
        <w:pStyle w:val="175"/>
        <w:numPr>
          <w:ilvl w:val="3"/>
          <w:numId w:val="11"/>
        </w:numPr>
        <w:spacing w:before="156" w:after="156"/>
        <w:ind w:left="0" w:leftChars="0" w:firstLine="0" w:firstLineChars="0"/>
      </w:pPr>
      <w:bookmarkStart w:id="634" w:name="_Toc22245"/>
      <w:bookmarkStart w:id="635" w:name="_Toc47700081"/>
      <w:bookmarkStart w:id="636" w:name="_Toc76668450"/>
      <w:bookmarkStart w:id="637" w:name="_Toc25055"/>
      <w:bookmarkStart w:id="638" w:name="_Toc522015249"/>
      <w:bookmarkStart w:id="639" w:name="_Toc1314"/>
      <w:bookmarkStart w:id="640" w:name="_Toc26591"/>
      <w:r>
        <w:t>SIC编码及地区的选择</w:t>
      </w:r>
      <w:bookmarkEnd w:id="634"/>
      <w:bookmarkEnd w:id="635"/>
      <w:bookmarkEnd w:id="636"/>
      <w:bookmarkEnd w:id="637"/>
      <w:bookmarkEnd w:id="638"/>
      <w:bookmarkEnd w:id="639"/>
      <w:bookmarkEnd w:id="640"/>
    </w:p>
    <w:p w14:paraId="74D0139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根据[2017]6号公告第20条规定，应用交易净利润法进行可比性分析应特别考察关联交易与非关联交易之间在例如执行功能、承担风险和使用资产等各方面的可比性因素。由于SIC的分类方法是基于企业在功能及产品的可比性制定的，因此，SIC编码是用来初步搜寻潜在可比公司的一个有效的筛选标准。</w:t>
      </w:r>
    </w:p>
    <w:p w14:paraId="6D8BB7C1">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我们对美国SIC编码列表进行了全面查阅，并选择了最合适的SIC编码（见下图表）来搜寻与{{清单模板-数据表-B5}}在制造活动中承担的职能宽泛可比的潜在可比公司。</w:t>
      </w:r>
    </w:p>
    <w:p w14:paraId="241560B9">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图表21：SIC编码的选择</w:t>
      </w:r>
    </w:p>
    <w:tbl>
      <w:tblPr>
        <w:tblStyle w:val="29"/>
        <w:tblW w:w="6521" w:type="dxa"/>
        <w:tblInd w:w="112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4961"/>
      </w:tblGrid>
      <w:tr w14:paraId="031D6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blHeader/>
        </w:trPr>
        <w:tc>
          <w:tcPr>
            <w:tcW w:w="1560" w:type="dxa"/>
            <w:shd w:val="clear" w:color="auto" w:fill="4F81BD" w:themeFill="accent1"/>
            <w:vAlign w:val="center"/>
          </w:tcPr>
          <w:p w14:paraId="632C6B8D">
            <w:pPr>
              <w:snapToGrid w:val="0"/>
              <w:spacing w:before="0" w:after="0"/>
              <w:ind w:left="0" w:right="0"/>
              <w:jc w:val="center"/>
              <w:rPr>
                <w:rStyle w:val="37"/>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SIC编码</w:t>
            </w:r>
          </w:p>
        </w:tc>
        <w:tc>
          <w:tcPr>
            <w:tcW w:w="4961" w:type="dxa"/>
            <w:shd w:val="clear" w:color="auto" w:fill="4F81BD" w:themeFill="accent1"/>
            <w:vAlign w:val="center"/>
          </w:tcPr>
          <w:p w14:paraId="3A26F1F7">
            <w:pPr>
              <w:snapToGrid w:val="0"/>
              <w:spacing w:before="0" w:after="0"/>
              <w:ind w:left="0" w:right="0"/>
              <w:jc w:val="center"/>
              <w:rPr>
                <w:rStyle w:val="37"/>
                <w:rFonts w:ascii="Arial" w:hAnsi="Arial" w:eastAsia="微软雅黑" w:cs="Arial"/>
                <w:b/>
                <w:color w:val="FFFFFF" w:themeColor="background1"/>
                <w:sz w:val="18"/>
                <w:szCs w:val="18"/>
                <w14:textFill>
                  <w14:solidFill>
                    <w14:schemeClr w14:val="bg1"/>
                  </w14:solidFill>
                </w14:textFill>
              </w:rPr>
            </w:pPr>
            <w:r>
              <w:rPr>
                <w:rStyle w:val="37"/>
                <w:rFonts w:ascii="Arial" w:hAnsi="Arial" w:eastAsia="微软雅黑" w:cs="Arial"/>
                <w:b/>
                <w:color w:val="FFFFFF" w:themeColor="background1"/>
                <w:sz w:val="18"/>
                <w:szCs w:val="18"/>
                <w14:textFill>
                  <w14:solidFill>
                    <w14:schemeClr w14:val="bg1"/>
                  </w14:solidFill>
                </w14:textFill>
              </w:rPr>
              <w:t>描述</w:t>
            </w:r>
          </w:p>
        </w:tc>
      </w:tr>
      <w:tr w14:paraId="48353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9018690">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3431</w:t>
            </w:r>
          </w:p>
        </w:tc>
        <w:tc>
          <w:tcPr>
            <w:tcW w:w="4961" w:type="dxa"/>
            <w:vAlign w:val="center"/>
          </w:tcPr>
          <w:p w14:paraId="6A93EE98">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珐琅铁器和钢铁质卫生器具</w:t>
            </w:r>
          </w:p>
        </w:tc>
      </w:tr>
      <w:tr w14:paraId="3177A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3D376D45">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3432</w:t>
            </w:r>
          </w:p>
        </w:tc>
        <w:tc>
          <w:tcPr>
            <w:tcW w:w="4961" w:type="dxa"/>
            <w:vAlign w:val="center"/>
          </w:tcPr>
          <w:p w14:paraId="1267C184">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铅质规定装置和装饰</w:t>
            </w:r>
          </w:p>
        </w:tc>
      </w:tr>
      <w:tr w14:paraId="73EE4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6AC0846">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3433</w:t>
            </w:r>
          </w:p>
        </w:tc>
        <w:tc>
          <w:tcPr>
            <w:tcW w:w="4961" w:type="dxa"/>
            <w:vAlign w:val="center"/>
          </w:tcPr>
          <w:p w14:paraId="20C6566C">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加热设备，电机和热风鼓风炉除外</w:t>
            </w:r>
          </w:p>
        </w:tc>
      </w:tr>
      <w:tr w14:paraId="28EC6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6AAFB4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3443</w:t>
            </w:r>
          </w:p>
        </w:tc>
        <w:tc>
          <w:tcPr>
            <w:tcW w:w="4961" w:type="dxa"/>
            <w:vAlign w:val="center"/>
          </w:tcPr>
          <w:p w14:paraId="38762EC1">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板金加工件（锅炉）</w:t>
            </w:r>
          </w:p>
        </w:tc>
      </w:tr>
      <w:tr w14:paraId="0E671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13CC9C2">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3491</w:t>
            </w:r>
          </w:p>
        </w:tc>
        <w:tc>
          <w:tcPr>
            <w:tcW w:w="4961" w:type="dxa"/>
            <w:vAlign w:val="center"/>
          </w:tcPr>
          <w:p w14:paraId="6414D61D">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工业用阀门</w:t>
            </w:r>
          </w:p>
        </w:tc>
      </w:tr>
      <w:tr w14:paraId="47138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2305AC2A">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3492</w:t>
            </w:r>
          </w:p>
        </w:tc>
        <w:tc>
          <w:tcPr>
            <w:tcW w:w="4961" w:type="dxa"/>
            <w:vAlign w:val="center"/>
          </w:tcPr>
          <w:p w14:paraId="2BAA8094">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液压阀及软管箍</w:t>
            </w:r>
          </w:p>
        </w:tc>
      </w:tr>
      <w:tr w14:paraId="3865C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303F9F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3493</w:t>
            </w:r>
          </w:p>
        </w:tc>
        <w:tc>
          <w:tcPr>
            <w:tcW w:w="4961" w:type="dxa"/>
            <w:vAlign w:val="center"/>
          </w:tcPr>
          <w:p w14:paraId="5A98F116">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钢铁弹簧，除电线外</w:t>
            </w:r>
          </w:p>
        </w:tc>
      </w:tr>
      <w:tr w14:paraId="6392F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334207C1">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3494</w:t>
            </w:r>
          </w:p>
        </w:tc>
        <w:tc>
          <w:tcPr>
            <w:tcW w:w="4961" w:type="dxa"/>
            <w:vAlign w:val="center"/>
          </w:tcPr>
          <w:p w14:paraId="073050A8">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其他阀门和管道卡箍（未被归入以上类别）</w:t>
            </w:r>
          </w:p>
        </w:tc>
      </w:tr>
      <w:tr w14:paraId="4D553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77A98E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3495</w:t>
            </w:r>
          </w:p>
        </w:tc>
        <w:tc>
          <w:tcPr>
            <w:tcW w:w="4961" w:type="dxa"/>
            <w:vAlign w:val="center"/>
          </w:tcPr>
          <w:p w14:paraId="55482F8E">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铁丝弹簧</w:t>
            </w:r>
          </w:p>
        </w:tc>
      </w:tr>
      <w:tr w14:paraId="3BA36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8C90B45">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3496</w:t>
            </w:r>
          </w:p>
        </w:tc>
        <w:tc>
          <w:tcPr>
            <w:tcW w:w="4961" w:type="dxa"/>
            <w:vAlign w:val="center"/>
          </w:tcPr>
          <w:p w14:paraId="33C22F75">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杂类经加工钢丝制品</w:t>
            </w:r>
          </w:p>
        </w:tc>
      </w:tr>
      <w:tr w14:paraId="0C5EB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071BF6B1">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3497</w:t>
            </w:r>
          </w:p>
        </w:tc>
        <w:tc>
          <w:tcPr>
            <w:tcW w:w="4961" w:type="dxa"/>
            <w:vAlign w:val="center"/>
          </w:tcPr>
          <w:p w14:paraId="56D389EA">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铁片</w:t>
            </w:r>
          </w:p>
        </w:tc>
      </w:tr>
      <w:tr w14:paraId="5F48A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289B1D59">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3498</w:t>
            </w:r>
          </w:p>
        </w:tc>
        <w:tc>
          <w:tcPr>
            <w:tcW w:w="4961" w:type="dxa"/>
            <w:vAlign w:val="center"/>
          </w:tcPr>
          <w:p w14:paraId="61C1B4F9">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管道及管道箍</w:t>
            </w:r>
          </w:p>
        </w:tc>
      </w:tr>
      <w:tr w14:paraId="494E1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0111428C">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3499</w:t>
            </w:r>
          </w:p>
        </w:tc>
        <w:tc>
          <w:tcPr>
            <w:tcW w:w="4961" w:type="dxa"/>
            <w:vAlign w:val="center"/>
          </w:tcPr>
          <w:p w14:paraId="0E32AE1C">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其他经加工金属制品（未被归入以上类别）</w:t>
            </w:r>
          </w:p>
        </w:tc>
      </w:tr>
    </w:tbl>
    <w:p w14:paraId="533A1B7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通过以上图表中所选定的SIC编码，我们在TP Catalyst数据库中进行了初步搜索，通过这种SIC编码的筛选，我们得到了一部分潜在的可比公司。</w:t>
      </w:r>
    </w:p>
    <w:p w14:paraId="773D110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通过对{{清单模板-数据表-B5}}地理位置及商业描述的分析，我们将搜索范围确定在亚太地区，包括：</w:t>
      </w:r>
    </w:p>
    <w:p w14:paraId="7CC22C99">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4035F6AC">
      <w:pPr>
        <w:snapToGrid w:val="0"/>
        <w:spacing w:before="156" w:beforeLines="50" w:after="156" w:afterLines="50"/>
        <w:ind w:firstLine="440" w:firstLineChars="200"/>
        <w:rPr>
          <w:rFonts w:ascii="Arial" w:hAnsi="Arial" w:eastAsia="微软雅黑" w:cs="Arial"/>
          <w:sz w:val="22"/>
          <w:szCs w:val="22"/>
        </w:rPr>
      </w:pPr>
    </w:p>
    <w:tbl>
      <w:tblPr>
        <w:tblStyle w:val="115"/>
        <w:tblW w:w="8081" w:type="dxa"/>
        <w:tblInd w:w="284" w:type="dxa"/>
        <w:tblLayout w:type="fixed"/>
        <w:tblCellMar>
          <w:top w:w="0" w:type="dxa"/>
          <w:left w:w="0" w:type="dxa"/>
          <w:bottom w:w="0" w:type="dxa"/>
          <w:right w:w="0" w:type="dxa"/>
        </w:tblCellMar>
      </w:tblPr>
      <w:tblGrid>
        <w:gridCol w:w="1134"/>
        <w:gridCol w:w="1701"/>
        <w:gridCol w:w="1900"/>
        <w:gridCol w:w="1673"/>
        <w:gridCol w:w="1673"/>
      </w:tblGrid>
      <w:tr w14:paraId="4FB07484">
        <w:tblPrEx>
          <w:tblCellMar>
            <w:top w:w="0" w:type="dxa"/>
            <w:left w:w="0" w:type="dxa"/>
            <w:bottom w:w="0" w:type="dxa"/>
            <w:right w:w="0" w:type="dxa"/>
          </w:tblCellMar>
        </w:tblPrEx>
        <w:trPr>
          <w:trHeight w:val="505" w:hRule="exact"/>
        </w:trPr>
        <w:tc>
          <w:tcPr>
            <w:tcW w:w="1134" w:type="dxa"/>
          </w:tcPr>
          <w:p w14:paraId="7144FF85">
            <w:pPr>
              <w:pStyle w:val="96"/>
              <w:snapToGrid w:val="0"/>
              <w:spacing w:before="35" w:after="0"/>
              <w:ind w:left="50" w:right="0"/>
              <w:jc w:val="left"/>
              <w:rPr>
                <w:rFonts w:eastAsia="微软雅黑"/>
                <w:sz w:val="18"/>
                <w:szCs w:val="18"/>
              </w:rPr>
            </w:pPr>
            <w:r>
              <w:rPr>
                <w:rFonts w:eastAsia="微软雅黑"/>
                <w:sz w:val="18"/>
                <w:szCs w:val="18"/>
              </w:rPr>
              <w:t>阿富汗</w:t>
            </w:r>
          </w:p>
        </w:tc>
        <w:tc>
          <w:tcPr>
            <w:tcW w:w="1701" w:type="dxa"/>
          </w:tcPr>
          <w:p w14:paraId="7F0B85C0">
            <w:pPr>
              <w:pStyle w:val="96"/>
              <w:snapToGrid w:val="0"/>
              <w:spacing w:before="35" w:after="0"/>
              <w:ind w:left="328" w:right="0"/>
              <w:jc w:val="left"/>
              <w:rPr>
                <w:rFonts w:eastAsia="微软雅黑"/>
                <w:sz w:val="18"/>
                <w:szCs w:val="18"/>
              </w:rPr>
            </w:pPr>
            <w:r>
              <w:rPr>
                <w:rFonts w:eastAsia="微软雅黑"/>
                <w:sz w:val="18"/>
                <w:szCs w:val="18"/>
              </w:rPr>
              <w:t>亚美尼亚</w:t>
            </w:r>
          </w:p>
        </w:tc>
        <w:tc>
          <w:tcPr>
            <w:tcW w:w="1900" w:type="dxa"/>
          </w:tcPr>
          <w:p w14:paraId="78172170">
            <w:pPr>
              <w:pStyle w:val="96"/>
              <w:snapToGrid w:val="0"/>
              <w:spacing w:before="35" w:after="0"/>
              <w:ind w:left="374" w:right="0"/>
              <w:jc w:val="left"/>
              <w:rPr>
                <w:rFonts w:eastAsia="微软雅黑"/>
                <w:sz w:val="18"/>
                <w:szCs w:val="18"/>
              </w:rPr>
            </w:pPr>
            <w:r>
              <w:rPr>
                <w:rFonts w:eastAsia="微软雅黑"/>
                <w:sz w:val="18"/>
                <w:szCs w:val="18"/>
              </w:rPr>
              <w:t>阿塞拜疆</w:t>
            </w:r>
          </w:p>
        </w:tc>
        <w:tc>
          <w:tcPr>
            <w:tcW w:w="1673" w:type="dxa"/>
          </w:tcPr>
          <w:p w14:paraId="2A6ACE49">
            <w:pPr>
              <w:pStyle w:val="96"/>
              <w:snapToGrid w:val="0"/>
              <w:spacing w:before="35" w:after="0"/>
              <w:ind w:left="388" w:right="0"/>
              <w:jc w:val="left"/>
              <w:rPr>
                <w:rFonts w:eastAsia="微软雅黑"/>
                <w:sz w:val="18"/>
                <w:szCs w:val="18"/>
              </w:rPr>
            </w:pPr>
            <w:r>
              <w:rPr>
                <w:rFonts w:eastAsia="微软雅黑"/>
                <w:sz w:val="18"/>
                <w:szCs w:val="18"/>
              </w:rPr>
              <w:t>孟加拉国</w:t>
            </w:r>
          </w:p>
        </w:tc>
        <w:tc>
          <w:tcPr>
            <w:tcW w:w="1673" w:type="dxa"/>
          </w:tcPr>
          <w:p w14:paraId="5E787F17">
            <w:pPr>
              <w:pStyle w:val="96"/>
              <w:snapToGrid w:val="0"/>
              <w:spacing w:before="35" w:after="0"/>
              <w:ind w:left="307" w:right="0"/>
              <w:jc w:val="left"/>
              <w:rPr>
                <w:rFonts w:eastAsia="微软雅黑"/>
                <w:sz w:val="18"/>
                <w:szCs w:val="18"/>
              </w:rPr>
            </w:pPr>
            <w:r>
              <w:rPr>
                <w:rFonts w:eastAsia="微软雅黑"/>
                <w:sz w:val="18"/>
                <w:szCs w:val="18"/>
              </w:rPr>
              <w:t>不丹</w:t>
            </w:r>
          </w:p>
        </w:tc>
      </w:tr>
      <w:tr w14:paraId="0E21CF19">
        <w:tblPrEx>
          <w:tblCellMar>
            <w:top w:w="0" w:type="dxa"/>
            <w:left w:w="0" w:type="dxa"/>
            <w:bottom w:w="0" w:type="dxa"/>
            <w:right w:w="0" w:type="dxa"/>
          </w:tblCellMar>
        </w:tblPrEx>
        <w:trPr>
          <w:trHeight w:val="505" w:hRule="exact"/>
        </w:trPr>
        <w:tc>
          <w:tcPr>
            <w:tcW w:w="1134" w:type="dxa"/>
          </w:tcPr>
          <w:p w14:paraId="3F72B9A7">
            <w:pPr>
              <w:pStyle w:val="96"/>
              <w:snapToGrid w:val="0"/>
              <w:spacing w:before="35" w:after="0"/>
              <w:ind w:left="50" w:right="0"/>
              <w:jc w:val="left"/>
              <w:rPr>
                <w:rFonts w:eastAsia="微软雅黑"/>
                <w:sz w:val="18"/>
                <w:szCs w:val="18"/>
              </w:rPr>
            </w:pPr>
            <w:r>
              <w:rPr>
                <w:rFonts w:eastAsia="微软雅黑"/>
                <w:sz w:val="18"/>
                <w:szCs w:val="18"/>
              </w:rPr>
              <w:t>文莱</w:t>
            </w:r>
          </w:p>
        </w:tc>
        <w:tc>
          <w:tcPr>
            <w:tcW w:w="1701" w:type="dxa"/>
          </w:tcPr>
          <w:p w14:paraId="2F49235F">
            <w:pPr>
              <w:pStyle w:val="96"/>
              <w:snapToGrid w:val="0"/>
              <w:spacing w:before="35" w:after="0"/>
              <w:ind w:left="328" w:right="0"/>
              <w:jc w:val="left"/>
              <w:rPr>
                <w:rFonts w:eastAsia="微软雅黑"/>
                <w:sz w:val="18"/>
                <w:szCs w:val="18"/>
              </w:rPr>
            </w:pPr>
            <w:r>
              <w:rPr>
                <w:rFonts w:eastAsia="微软雅黑"/>
                <w:sz w:val="18"/>
                <w:szCs w:val="18"/>
              </w:rPr>
              <w:t>柬埔寨</w:t>
            </w:r>
          </w:p>
        </w:tc>
        <w:tc>
          <w:tcPr>
            <w:tcW w:w="1900" w:type="dxa"/>
          </w:tcPr>
          <w:p w14:paraId="23DEB5FA">
            <w:pPr>
              <w:pStyle w:val="96"/>
              <w:snapToGrid w:val="0"/>
              <w:spacing w:before="35" w:after="0"/>
              <w:ind w:left="374" w:right="0"/>
              <w:jc w:val="left"/>
              <w:rPr>
                <w:rFonts w:eastAsia="微软雅黑"/>
                <w:sz w:val="18"/>
                <w:szCs w:val="18"/>
              </w:rPr>
            </w:pPr>
            <w:r>
              <w:rPr>
                <w:rFonts w:eastAsia="微软雅黑"/>
                <w:sz w:val="18"/>
                <w:szCs w:val="18"/>
              </w:rPr>
              <w:t>中国</w:t>
            </w:r>
          </w:p>
        </w:tc>
        <w:tc>
          <w:tcPr>
            <w:tcW w:w="1673" w:type="dxa"/>
          </w:tcPr>
          <w:p w14:paraId="31F7EFB8">
            <w:pPr>
              <w:pStyle w:val="96"/>
              <w:snapToGrid w:val="0"/>
              <w:spacing w:before="35" w:after="0"/>
              <w:ind w:left="388" w:right="0"/>
              <w:jc w:val="left"/>
              <w:rPr>
                <w:rFonts w:eastAsia="微软雅黑"/>
                <w:sz w:val="18"/>
                <w:szCs w:val="18"/>
              </w:rPr>
            </w:pPr>
            <w:r>
              <w:rPr>
                <w:rFonts w:eastAsia="微软雅黑"/>
                <w:sz w:val="18"/>
                <w:szCs w:val="18"/>
              </w:rPr>
              <w:t>格鲁吉亚</w:t>
            </w:r>
          </w:p>
        </w:tc>
        <w:tc>
          <w:tcPr>
            <w:tcW w:w="1673" w:type="dxa"/>
          </w:tcPr>
          <w:p w14:paraId="0FB42CA7">
            <w:pPr>
              <w:pStyle w:val="96"/>
              <w:snapToGrid w:val="0"/>
              <w:spacing w:before="35" w:after="0"/>
              <w:ind w:left="307" w:right="0"/>
              <w:jc w:val="left"/>
              <w:rPr>
                <w:rFonts w:eastAsia="微软雅黑"/>
                <w:sz w:val="18"/>
                <w:szCs w:val="18"/>
              </w:rPr>
            </w:pPr>
            <w:r>
              <w:rPr>
                <w:rFonts w:eastAsia="微软雅黑"/>
                <w:sz w:val="18"/>
                <w:szCs w:val="18"/>
              </w:rPr>
              <w:t>香港</w:t>
            </w:r>
          </w:p>
        </w:tc>
      </w:tr>
      <w:tr w14:paraId="2852D54B">
        <w:tblPrEx>
          <w:tblCellMar>
            <w:top w:w="0" w:type="dxa"/>
            <w:left w:w="0" w:type="dxa"/>
            <w:bottom w:w="0" w:type="dxa"/>
            <w:right w:w="0" w:type="dxa"/>
          </w:tblCellMar>
        </w:tblPrEx>
        <w:trPr>
          <w:trHeight w:val="505" w:hRule="exact"/>
        </w:trPr>
        <w:tc>
          <w:tcPr>
            <w:tcW w:w="1134" w:type="dxa"/>
          </w:tcPr>
          <w:p w14:paraId="4212B00C">
            <w:pPr>
              <w:pStyle w:val="96"/>
              <w:snapToGrid w:val="0"/>
              <w:spacing w:before="37" w:after="0"/>
              <w:ind w:left="50" w:right="0"/>
              <w:jc w:val="left"/>
              <w:rPr>
                <w:rFonts w:eastAsia="微软雅黑"/>
                <w:sz w:val="18"/>
                <w:szCs w:val="18"/>
              </w:rPr>
            </w:pPr>
            <w:r>
              <w:rPr>
                <w:rFonts w:eastAsia="微软雅黑"/>
                <w:sz w:val="18"/>
                <w:szCs w:val="18"/>
              </w:rPr>
              <w:t>印度</w:t>
            </w:r>
          </w:p>
        </w:tc>
        <w:tc>
          <w:tcPr>
            <w:tcW w:w="1701" w:type="dxa"/>
          </w:tcPr>
          <w:p w14:paraId="61F89E84">
            <w:pPr>
              <w:pStyle w:val="96"/>
              <w:snapToGrid w:val="0"/>
              <w:spacing w:before="37" w:after="0"/>
              <w:ind w:left="328" w:right="0"/>
              <w:jc w:val="left"/>
              <w:rPr>
                <w:rFonts w:eastAsia="微软雅黑"/>
                <w:sz w:val="18"/>
                <w:szCs w:val="18"/>
              </w:rPr>
            </w:pPr>
            <w:r>
              <w:rPr>
                <w:rFonts w:eastAsia="微软雅黑"/>
                <w:sz w:val="18"/>
                <w:szCs w:val="18"/>
              </w:rPr>
              <w:t>印度尼西亚</w:t>
            </w:r>
          </w:p>
        </w:tc>
        <w:tc>
          <w:tcPr>
            <w:tcW w:w="1900" w:type="dxa"/>
          </w:tcPr>
          <w:p w14:paraId="19E605D9">
            <w:pPr>
              <w:pStyle w:val="96"/>
              <w:snapToGrid w:val="0"/>
              <w:spacing w:before="37" w:after="0"/>
              <w:ind w:left="374" w:right="0"/>
              <w:jc w:val="left"/>
              <w:rPr>
                <w:rFonts w:eastAsia="微软雅黑"/>
                <w:sz w:val="18"/>
                <w:szCs w:val="18"/>
              </w:rPr>
            </w:pPr>
            <w:r>
              <w:rPr>
                <w:rFonts w:eastAsia="微软雅黑"/>
                <w:sz w:val="18"/>
                <w:szCs w:val="18"/>
              </w:rPr>
              <w:t>日本</w:t>
            </w:r>
          </w:p>
        </w:tc>
        <w:tc>
          <w:tcPr>
            <w:tcW w:w="1673" w:type="dxa"/>
          </w:tcPr>
          <w:p w14:paraId="287B0BC8">
            <w:pPr>
              <w:pStyle w:val="96"/>
              <w:snapToGrid w:val="0"/>
              <w:spacing w:before="37" w:after="0"/>
              <w:ind w:left="388" w:right="0"/>
              <w:jc w:val="left"/>
              <w:rPr>
                <w:rFonts w:eastAsia="微软雅黑"/>
                <w:sz w:val="18"/>
                <w:szCs w:val="18"/>
              </w:rPr>
            </w:pPr>
            <w:r>
              <w:rPr>
                <w:rFonts w:eastAsia="微软雅黑"/>
                <w:sz w:val="18"/>
                <w:szCs w:val="18"/>
              </w:rPr>
              <w:t>哈萨克斯坦</w:t>
            </w:r>
          </w:p>
        </w:tc>
        <w:tc>
          <w:tcPr>
            <w:tcW w:w="1673" w:type="dxa"/>
          </w:tcPr>
          <w:p w14:paraId="137FC91B">
            <w:pPr>
              <w:pStyle w:val="96"/>
              <w:snapToGrid w:val="0"/>
              <w:spacing w:before="37" w:after="0"/>
              <w:ind w:left="307" w:right="0"/>
              <w:jc w:val="left"/>
              <w:rPr>
                <w:rFonts w:eastAsia="微软雅黑"/>
                <w:sz w:val="18"/>
                <w:szCs w:val="18"/>
              </w:rPr>
            </w:pPr>
            <w:r>
              <w:rPr>
                <w:rFonts w:eastAsia="微软雅黑"/>
                <w:sz w:val="18"/>
                <w:szCs w:val="18"/>
              </w:rPr>
              <w:t>朝鲜</w:t>
            </w:r>
          </w:p>
        </w:tc>
      </w:tr>
      <w:tr w14:paraId="24B6E670">
        <w:tblPrEx>
          <w:tblCellMar>
            <w:top w:w="0" w:type="dxa"/>
            <w:left w:w="0" w:type="dxa"/>
            <w:bottom w:w="0" w:type="dxa"/>
            <w:right w:w="0" w:type="dxa"/>
          </w:tblCellMar>
        </w:tblPrEx>
        <w:trPr>
          <w:trHeight w:val="505" w:hRule="exact"/>
        </w:trPr>
        <w:tc>
          <w:tcPr>
            <w:tcW w:w="1134" w:type="dxa"/>
          </w:tcPr>
          <w:p w14:paraId="0CCD78D6">
            <w:pPr>
              <w:pStyle w:val="96"/>
              <w:snapToGrid w:val="0"/>
              <w:spacing w:before="35" w:after="0"/>
              <w:ind w:left="50" w:right="0"/>
              <w:jc w:val="left"/>
              <w:rPr>
                <w:rFonts w:eastAsia="微软雅黑"/>
                <w:sz w:val="18"/>
                <w:szCs w:val="18"/>
              </w:rPr>
            </w:pPr>
            <w:r>
              <w:rPr>
                <w:rFonts w:eastAsia="微软雅黑"/>
                <w:sz w:val="18"/>
                <w:szCs w:val="18"/>
              </w:rPr>
              <w:t>韩国</w:t>
            </w:r>
          </w:p>
        </w:tc>
        <w:tc>
          <w:tcPr>
            <w:tcW w:w="1701" w:type="dxa"/>
          </w:tcPr>
          <w:p w14:paraId="41A1745F">
            <w:pPr>
              <w:pStyle w:val="96"/>
              <w:snapToGrid w:val="0"/>
              <w:spacing w:before="35" w:after="0"/>
              <w:ind w:left="328" w:right="0"/>
              <w:jc w:val="left"/>
              <w:rPr>
                <w:rFonts w:eastAsia="微软雅黑"/>
                <w:sz w:val="18"/>
                <w:szCs w:val="18"/>
              </w:rPr>
            </w:pPr>
            <w:r>
              <w:rPr>
                <w:rFonts w:eastAsia="微软雅黑"/>
                <w:sz w:val="18"/>
                <w:szCs w:val="18"/>
              </w:rPr>
              <w:t>吉尔吉斯斯坦</w:t>
            </w:r>
          </w:p>
        </w:tc>
        <w:tc>
          <w:tcPr>
            <w:tcW w:w="1900" w:type="dxa"/>
          </w:tcPr>
          <w:p w14:paraId="69FA370D">
            <w:pPr>
              <w:pStyle w:val="96"/>
              <w:snapToGrid w:val="0"/>
              <w:spacing w:before="35" w:after="0"/>
              <w:ind w:left="374" w:right="0"/>
              <w:jc w:val="left"/>
              <w:rPr>
                <w:rFonts w:eastAsia="微软雅黑"/>
                <w:sz w:val="18"/>
                <w:szCs w:val="18"/>
              </w:rPr>
            </w:pPr>
            <w:r>
              <w:rPr>
                <w:rFonts w:eastAsia="微软雅黑"/>
                <w:sz w:val="18"/>
                <w:szCs w:val="18"/>
              </w:rPr>
              <w:t>老挝</w:t>
            </w:r>
          </w:p>
        </w:tc>
        <w:tc>
          <w:tcPr>
            <w:tcW w:w="1673" w:type="dxa"/>
          </w:tcPr>
          <w:p w14:paraId="3F1EE60F">
            <w:pPr>
              <w:pStyle w:val="96"/>
              <w:snapToGrid w:val="0"/>
              <w:spacing w:before="35" w:after="0"/>
              <w:ind w:left="388" w:right="0"/>
              <w:jc w:val="left"/>
              <w:rPr>
                <w:rFonts w:eastAsia="微软雅黑"/>
                <w:sz w:val="18"/>
                <w:szCs w:val="18"/>
              </w:rPr>
            </w:pPr>
            <w:r>
              <w:rPr>
                <w:rFonts w:eastAsia="微软雅黑"/>
                <w:sz w:val="18"/>
                <w:szCs w:val="18"/>
              </w:rPr>
              <w:t>澳门</w:t>
            </w:r>
          </w:p>
        </w:tc>
        <w:tc>
          <w:tcPr>
            <w:tcW w:w="1673" w:type="dxa"/>
          </w:tcPr>
          <w:p w14:paraId="1F6C9C5A">
            <w:pPr>
              <w:pStyle w:val="96"/>
              <w:snapToGrid w:val="0"/>
              <w:spacing w:before="35" w:after="0"/>
              <w:ind w:left="307" w:right="0"/>
              <w:jc w:val="left"/>
              <w:rPr>
                <w:rFonts w:eastAsia="微软雅黑"/>
                <w:sz w:val="18"/>
                <w:szCs w:val="18"/>
              </w:rPr>
            </w:pPr>
            <w:r>
              <w:rPr>
                <w:rFonts w:eastAsia="微软雅黑"/>
                <w:sz w:val="18"/>
                <w:szCs w:val="18"/>
              </w:rPr>
              <w:t>马来西亚</w:t>
            </w:r>
          </w:p>
        </w:tc>
      </w:tr>
      <w:tr w14:paraId="25891DC8">
        <w:tblPrEx>
          <w:tblCellMar>
            <w:top w:w="0" w:type="dxa"/>
            <w:left w:w="0" w:type="dxa"/>
            <w:bottom w:w="0" w:type="dxa"/>
            <w:right w:w="0" w:type="dxa"/>
          </w:tblCellMar>
        </w:tblPrEx>
        <w:trPr>
          <w:trHeight w:val="505" w:hRule="exact"/>
        </w:trPr>
        <w:tc>
          <w:tcPr>
            <w:tcW w:w="1134" w:type="dxa"/>
          </w:tcPr>
          <w:p w14:paraId="17B323F1">
            <w:pPr>
              <w:pStyle w:val="96"/>
              <w:snapToGrid w:val="0"/>
              <w:spacing w:before="37" w:after="0"/>
              <w:ind w:left="50" w:right="0"/>
              <w:jc w:val="left"/>
              <w:rPr>
                <w:rFonts w:eastAsia="微软雅黑"/>
                <w:sz w:val="18"/>
                <w:szCs w:val="18"/>
              </w:rPr>
            </w:pPr>
            <w:r>
              <w:rPr>
                <w:rFonts w:eastAsia="微软雅黑"/>
                <w:sz w:val="18"/>
                <w:szCs w:val="18"/>
              </w:rPr>
              <w:t>马尔代夫</w:t>
            </w:r>
          </w:p>
        </w:tc>
        <w:tc>
          <w:tcPr>
            <w:tcW w:w="1701" w:type="dxa"/>
          </w:tcPr>
          <w:p w14:paraId="4E769271">
            <w:pPr>
              <w:pStyle w:val="96"/>
              <w:snapToGrid w:val="0"/>
              <w:spacing w:before="37" w:after="0"/>
              <w:ind w:left="328" w:right="0"/>
              <w:jc w:val="left"/>
              <w:rPr>
                <w:rFonts w:eastAsia="微软雅黑"/>
                <w:sz w:val="18"/>
                <w:szCs w:val="18"/>
              </w:rPr>
            </w:pPr>
            <w:r>
              <w:rPr>
                <w:rFonts w:eastAsia="微软雅黑"/>
                <w:sz w:val="18"/>
                <w:szCs w:val="18"/>
              </w:rPr>
              <w:t>蒙古</w:t>
            </w:r>
          </w:p>
        </w:tc>
        <w:tc>
          <w:tcPr>
            <w:tcW w:w="1900" w:type="dxa"/>
          </w:tcPr>
          <w:p w14:paraId="35DCD43D">
            <w:pPr>
              <w:pStyle w:val="96"/>
              <w:snapToGrid w:val="0"/>
              <w:spacing w:before="37" w:after="0"/>
              <w:ind w:left="374" w:right="0"/>
              <w:jc w:val="left"/>
              <w:rPr>
                <w:rFonts w:eastAsia="微软雅黑"/>
                <w:sz w:val="18"/>
                <w:szCs w:val="18"/>
              </w:rPr>
            </w:pPr>
            <w:r>
              <w:rPr>
                <w:rFonts w:eastAsia="微软雅黑"/>
                <w:sz w:val="18"/>
                <w:szCs w:val="18"/>
              </w:rPr>
              <w:t>缅甸</w:t>
            </w:r>
          </w:p>
        </w:tc>
        <w:tc>
          <w:tcPr>
            <w:tcW w:w="1673" w:type="dxa"/>
          </w:tcPr>
          <w:p w14:paraId="73C7042B">
            <w:pPr>
              <w:pStyle w:val="96"/>
              <w:snapToGrid w:val="0"/>
              <w:spacing w:before="37" w:after="0"/>
              <w:ind w:left="388" w:right="0"/>
              <w:jc w:val="left"/>
              <w:rPr>
                <w:rFonts w:eastAsia="微软雅黑"/>
                <w:sz w:val="18"/>
                <w:szCs w:val="18"/>
              </w:rPr>
            </w:pPr>
            <w:r>
              <w:rPr>
                <w:rFonts w:eastAsia="微软雅黑"/>
                <w:sz w:val="18"/>
                <w:szCs w:val="18"/>
              </w:rPr>
              <w:t>尼泊尔</w:t>
            </w:r>
          </w:p>
        </w:tc>
        <w:tc>
          <w:tcPr>
            <w:tcW w:w="1673" w:type="dxa"/>
          </w:tcPr>
          <w:p w14:paraId="34F7E7EC">
            <w:pPr>
              <w:pStyle w:val="96"/>
              <w:snapToGrid w:val="0"/>
              <w:spacing w:before="37" w:after="0"/>
              <w:ind w:left="307" w:right="0"/>
              <w:jc w:val="left"/>
              <w:rPr>
                <w:rFonts w:eastAsia="微软雅黑"/>
                <w:sz w:val="18"/>
                <w:szCs w:val="18"/>
              </w:rPr>
            </w:pPr>
            <w:r>
              <w:rPr>
                <w:rFonts w:eastAsia="微软雅黑"/>
                <w:sz w:val="18"/>
                <w:szCs w:val="18"/>
              </w:rPr>
              <w:t>巴基斯坦</w:t>
            </w:r>
          </w:p>
        </w:tc>
      </w:tr>
      <w:tr w14:paraId="177DCEB8">
        <w:tblPrEx>
          <w:tblCellMar>
            <w:top w:w="0" w:type="dxa"/>
            <w:left w:w="0" w:type="dxa"/>
            <w:bottom w:w="0" w:type="dxa"/>
            <w:right w:w="0" w:type="dxa"/>
          </w:tblCellMar>
        </w:tblPrEx>
        <w:trPr>
          <w:trHeight w:val="505" w:hRule="exact"/>
        </w:trPr>
        <w:tc>
          <w:tcPr>
            <w:tcW w:w="1134" w:type="dxa"/>
          </w:tcPr>
          <w:p w14:paraId="18483B5B">
            <w:pPr>
              <w:pStyle w:val="96"/>
              <w:snapToGrid w:val="0"/>
              <w:spacing w:before="35" w:after="0"/>
              <w:ind w:left="50" w:right="0"/>
              <w:jc w:val="left"/>
              <w:rPr>
                <w:rFonts w:eastAsia="微软雅黑"/>
                <w:sz w:val="18"/>
                <w:szCs w:val="18"/>
              </w:rPr>
            </w:pPr>
            <w:r>
              <w:rPr>
                <w:rFonts w:eastAsia="微软雅黑"/>
                <w:sz w:val="18"/>
                <w:szCs w:val="18"/>
              </w:rPr>
              <w:t>菲律宾</w:t>
            </w:r>
          </w:p>
        </w:tc>
        <w:tc>
          <w:tcPr>
            <w:tcW w:w="1701" w:type="dxa"/>
          </w:tcPr>
          <w:p w14:paraId="2619C04B">
            <w:pPr>
              <w:pStyle w:val="96"/>
              <w:snapToGrid w:val="0"/>
              <w:spacing w:before="35" w:after="0"/>
              <w:ind w:left="328" w:right="0"/>
              <w:jc w:val="left"/>
              <w:rPr>
                <w:rFonts w:eastAsia="微软雅黑"/>
                <w:sz w:val="18"/>
                <w:szCs w:val="18"/>
              </w:rPr>
            </w:pPr>
            <w:r>
              <w:rPr>
                <w:rFonts w:eastAsia="微软雅黑"/>
                <w:sz w:val="18"/>
                <w:szCs w:val="18"/>
              </w:rPr>
              <w:t>新加坡</w:t>
            </w:r>
          </w:p>
        </w:tc>
        <w:tc>
          <w:tcPr>
            <w:tcW w:w="1900" w:type="dxa"/>
          </w:tcPr>
          <w:p w14:paraId="44F2B37F">
            <w:pPr>
              <w:pStyle w:val="96"/>
              <w:snapToGrid w:val="0"/>
              <w:spacing w:before="35" w:after="0"/>
              <w:ind w:left="374" w:right="0"/>
              <w:jc w:val="left"/>
              <w:rPr>
                <w:rFonts w:eastAsia="微软雅黑"/>
                <w:sz w:val="18"/>
                <w:szCs w:val="18"/>
              </w:rPr>
            </w:pPr>
            <w:r>
              <w:rPr>
                <w:rFonts w:eastAsia="微软雅黑"/>
                <w:sz w:val="18"/>
                <w:szCs w:val="18"/>
              </w:rPr>
              <w:t>斯里兰卡</w:t>
            </w:r>
          </w:p>
        </w:tc>
        <w:tc>
          <w:tcPr>
            <w:tcW w:w="1673" w:type="dxa"/>
          </w:tcPr>
          <w:p w14:paraId="2DDCD618">
            <w:pPr>
              <w:pStyle w:val="96"/>
              <w:snapToGrid w:val="0"/>
              <w:spacing w:before="35" w:after="0"/>
              <w:ind w:left="388" w:right="0"/>
              <w:jc w:val="left"/>
              <w:rPr>
                <w:rFonts w:eastAsia="微软雅黑"/>
                <w:sz w:val="18"/>
                <w:szCs w:val="18"/>
              </w:rPr>
            </w:pPr>
            <w:r>
              <w:rPr>
                <w:rFonts w:eastAsia="微软雅黑"/>
                <w:sz w:val="18"/>
                <w:szCs w:val="18"/>
              </w:rPr>
              <w:t>台湾</w:t>
            </w:r>
          </w:p>
        </w:tc>
        <w:tc>
          <w:tcPr>
            <w:tcW w:w="1673" w:type="dxa"/>
          </w:tcPr>
          <w:p w14:paraId="0C0E3116">
            <w:pPr>
              <w:pStyle w:val="96"/>
              <w:snapToGrid w:val="0"/>
              <w:spacing w:before="35" w:after="0"/>
              <w:ind w:left="307" w:right="0"/>
              <w:jc w:val="left"/>
              <w:rPr>
                <w:rFonts w:eastAsia="微软雅黑"/>
                <w:sz w:val="18"/>
                <w:szCs w:val="18"/>
              </w:rPr>
            </w:pPr>
            <w:r>
              <w:rPr>
                <w:rFonts w:eastAsia="微软雅黑"/>
                <w:sz w:val="18"/>
                <w:szCs w:val="18"/>
              </w:rPr>
              <w:t>塔吉克斯坦</w:t>
            </w:r>
          </w:p>
        </w:tc>
      </w:tr>
      <w:tr w14:paraId="17D67C47">
        <w:tblPrEx>
          <w:tblCellMar>
            <w:top w:w="0" w:type="dxa"/>
            <w:left w:w="0" w:type="dxa"/>
            <w:bottom w:w="0" w:type="dxa"/>
            <w:right w:w="0" w:type="dxa"/>
          </w:tblCellMar>
        </w:tblPrEx>
        <w:trPr>
          <w:trHeight w:val="864" w:hRule="exact"/>
        </w:trPr>
        <w:tc>
          <w:tcPr>
            <w:tcW w:w="1134" w:type="dxa"/>
          </w:tcPr>
          <w:p w14:paraId="50702563">
            <w:pPr>
              <w:pStyle w:val="96"/>
              <w:snapToGrid w:val="0"/>
              <w:spacing w:before="37" w:after="0"/>
              <w:ind w:left="50" w:right="0"/>
              <w:jc w:val="left"/>
              <w:rPr>
                <w:rFonts w:eastAsia="微软雅黑"/>
                <w:sz w:val="18"/>
                <w:szCs w:val="18"/>
              </w:rPr>
            </w:pPr>
            <w:r>
              <w:rPr>
                <w:rFonts w:eastAsia="微软雅黑"/>
                <w:sz w:val="18"/>
                <w:szCs w:val="18"/>
              </w:rPr>
              <w:t>泰国</w:t>
            </w:r>
          </w:p>
          <w:p w14:paraId="795717CF">
            <w:pPr>
              <w:pStyle w:val="96"/>
              <w:snapToGrid w:val="0"/>
              <w:spacing w:before="115" w:after="0"/>
              <w:ind w:left="50" w:right="0"/>
              <w:jc w:val="left"/>
              <w:rPr>
                <w:rFonts w:eastAsia="微软雅黑"/>
                <w:sz w:val="18"/>
                <w:szCs w:val="18"/>
                <w:lang w:eastAsia="zh-CN"/>
              </w:rPr>
            </w:pPr>
            <w:r>
              <w:rPr>
                <w:rFonts w:eastAsia="微软雅黑"/>
                <w:sz w:val="18"/>
                <w:szCs w:val="18"/>
              </w:rPr>
              <w:t>新西兰</w:t>
            </w:r>
          </w:p>
          <w:p w14:paraId="1D396008">
            <w:pPr>
              <w:pStyle w:val="96"/>
              <w:snapToGrid w:val="0"/>
              <w:spacing w:before="115" w:after="0"/>
              <w:ind w:left="50" w:right="0"/>
              <w:jc w:val="left"/>
              <w:rPr>
                <w:rFonts w:eastAsia="微软雅黑"/>
                <w:sz w:val="18"/>
                <w:szCs w:val="18"/>
                <w:lang w:eastAsia="zh-CN"/>
              </w:rPr>
            </w:pPr>
          </w:p>
          <w:p w14:paraId="3D25C1E3">
            <w:pPr>
              <w:pStyle w:val="96"/>
              <w:snapToGrid w:val="0"/>
              <w:spacing w:before="115" w:after="0"/>
              <w:ind w:left="50" w:right="0"/>
              <w:jc w:val="left"/>
              <w:rPr>
                <w:rFonts w:eastAsia="微软雅黑"/>
                <w:sz w:val="18"/>
                <w:szCs w:val="18"/>
                <w:lang w:eastAsia="zh-CN"/>
              </w:rPr>
            </w:pPr>
          </w:p>
          <w:p w14:paraId="6C8BF708">
            <w:pPr>
              <w:pStyle w:val="96"/>
              <w:snapToGrid w:val="0"/>
              <w:spacing w:before="115" w:after="0"/>
              <w:ind w:left="50" w:right="0"/>
              <w:jc w:val="left"/>
              <w:rPr>
                <w:rFonts w:eastAsia="微软雅黑"/>
                <w:sz w:val="18"/>
                <w:szCs w:val="18"/>
                <w:lang w:eastAsia="zh-CN"/>
              </w:rPr>
            </w:pPr>
          </w:p>
          <w:p w14:paraId="5090D861">
            <w:pPr>
              <w:pStyle w:val="96"/>
              <w:snapToGrid w:val="0"/>
              <w:spacing w:before="115" w:after="0"/>
              <w:ind w:left="50" w:right="0"/>
              <w:jc w:val="left"/>
              <w:rPr>
                <w:rFonts w:eastAsia="微软雅黑"/>
                <w:sz w:val="18"/>
                <w:szCs w:val="18"/>
                <w:lang w:eastAsia="zh-CN"/>
              </w:rPr>
            </w:pPr>
          </w:p>
          <w:p w14:paraId="5FC9DF6C">
            <w:pPr>
              <w:pStyle w:val="96"/>
              <w:snapToGrid w:val="0"/>
              <w:spacing w:before="115" w:after="0"/>
              <w:ind w:left="50" w:right="0"/>
              <w:jc w:val="left"/>
              <w:rPr>
                <w:rFonts w:eastAsia="微软雅黑"/>
                <w:sz w:val="18"/>
                <w:szCs w:val="18"/>
                <w:lang w:eastAsia="zh-CN"/>
              </w:rPr>
            </w:pPr>
          </w:p>
          <w:p w14:paraId="5E8D186F">
            <w:pPr>
              <w:pStyle w:val="96"/>
              <w:snapToGrid w:val="0"/>
              <w:spacing w:before="115" w:after="0"/>
              <w:ind w:left="50" w:right="0"/>
              <w:jc w:val="left"/>
              <w:rPr>
                <w:rFonts w:eastAsia="微软雅黑"/>
                <w:sz w:val="18"/>
                <w:szCs w:val="18"/>
                <w:lang w:eastAsia="zh-CN"/>
              </w:rPr>
            </w:pPr>
          </w:p>
          <w:p w14:paraId="65EF513C">
            <w:pPr>
              <w:pStyle w:val="96"/>
              <w:snapToGrid w:val="0"/>
              <w:spacing w:before="115" w:after="0"/>
              <w:ind w:left="50" w:right="0"/>
              <w:jc w:val="left"/>
              <w:rPr>
                <w:rFonts w:eastAsia="微软雅黑"/>
                <w:sz w:val="18"/>
                <w:szCs w:val="18"/>
                <w:lang w:eastAsia="zh-CN"/>
              </w:rPr>
            </w:pPr>
          </w:p>
          <w:p w14:paraId="290C4EC1">
            <w:pPr>
              <w:pStyle w:val="96"/>
              <w:snapToGrid w:val="0"/>
              <w:spacing w:before="115" w:after="0"/>
              <w:ind w:left="50" w:right="0"/>
              <w:jc w:val="left"/>
              <w:rPr>
                <w:rFonts w:eastAsia="微软雅黑"/>
                <w:sz w:val="18"/>
                <w:szCs w:val="18"/>
                <w:lang w:eastAsia="zh-CN"/>
              </w:rPr>
            </w:pPr>
          </w:p>
        </w:tc>
        <w:tc>
          <w:tcPr>
            <w:tcW w:w="1701" w:type="dxa"/>
          </w:tcPr>
          <w:p w14:paraId="5836016D">
            <w:pPr>
              <w:pStyle w:val="96"/>
              <w:snapToGrid w:val="0"/>
              <w:spacing w:before="37" w:after="0"/>
              <w:ind w:left="328" w:right="0"/>
              <w:jc w:val="left"/>
              <w:rPr>
                <w:rFonts w:eastAsia="微软雅黑"/>
                <w:sz w:val="18"/>
                <w:szCs w:val="18"/>
              </w:rPr>
            </w:pPr>
            <w:r>
              <w:rPr>
                <w:rFonts w:eastAsia="微软雅黑"/>
                <w:sz w:val="18"/>
                <w:szCs w:val="18"/>
              </w:rPr>
              <w:t>土库曼斯坦</w:t>
            </w:r>
          </w:p>
        </w:tc>
        <w:tc>
          <w:tcPr>
            <w:tcW w:w="1900" w:type="dxa"/>
          </w:tcPr>
          <w:p w14:paraId="2AE19F18">
            <w:pPr>
              <w:pStyle w:val="96"/>
              <w:snapToGrid w:val="0"/>
              <w:spacing w:before="37" w:after="0"/>
              <w:ind w:left="374" w:right="0"/>
              <w:jc w:val="left"/>
              <w:rPr>
                <w:rFonts w:eastAsia="微软雅黑"/>
                <w:sz w:val="18"/>
                <w:szCs w:val="18"/>
              </w:rPr>
            </w:pPr>
            <w:r>
              <w:rPr>
                <w:rFonts w:eastAsia="微软雅黑"/>
                <w:sz w:val="18"/>
                <w:szCs w:val="18"/>
              </w:rPr>
              <w:t>乌兹别克斯坦</w:t>
            </w:r>
          </w:p>
        </w:tc>
        <w:tc>
          <w:tcPr>
            <w:tcW w:w="1673" w:type="dxa"/>
          </w:tcPr>
          <w:p w14:paraId="2CA13629">
            <w:pPr>
              <w:pStyle w:val="96"/>
              <w:snapToGrid w:val="0"/>
              <w:spacing w:before="37" w:after="0"/>
              <w:ind w:left="388" w:right="0"/>
              <w:jc w:val="left"/>
              <w:rPr>
                <w:rFonts w:eastAsia="微软雅黑"/>
                <w:sz w:val="18"/>
                <w:szCs w:val="18"/>
              </w:rPr>
            </w:pPr>
            <w:r>
              <w:rPr>
                <w:rFonts w:eastAsia="微软雅黑"/>
                <w:sz w:val="18"/>
                <w:szCs w:val="18"/>
              </w:rPr>
              <w:t>越南</w:t>
            </w:r>
          </w:p>
        </w:tc>
        <w:tc>
          <w:tcPr>
            <w:tcW w:w="1673" w:type="dxa"/>
          </w:tcPr>
          <w:p w14:paraId="3FA77F96">
            <w:pPr>
              <w:pStyle w:val="96"/>
              <w:snapToGrid w:val="0"/>
              <w:spacing w:before="37" w:after="0"/>
              <w:ind w:left="307" w:right="0"/>
              <w:jc w:val="left"/>
              <w:rPr>
                <w:rFonts w:eastAsia="微软雅黑"/>
                <w:sz w:val="18"/>
                <w:szCs w:val="18"/>
              </w:rPr>
            </w:pPr>
            <w:r>
              <w:rPr>
                <w:rFonts w:eastAsia="微软雅黑"/>
                <w:sz w:val="18"/>
                <w:szCs w:val="18"/>
              </w:rPr>
              <w:t>澳大利亚</w:t>
            </w:r>
          </w:p>
        </w:tc>
      </w:tr>
    </w:tbl>
    <w:p w14:paraId="1A6A8105">
      <w:pPr>
        <w:snapToGrid w:val="0"/>
        <w:rPr>
          <w:rFonts w:ascii="Arial" w:hAnsi="Arial" w:eastAsia="微软雅黑" w:cs="Arial"/>
          <w:sz w:val="22"/>
          <w:szCs w:val="22"/>
        </w:rPr>
      </w:pPr>
      <w:r>
        <w:rPr>
          <w:rFonts w:hint="eastAsia" w:ascii="Arial" w:hAnsi="Arial" w:eastAsia="微软雅黑" w:cs="Arial"/>
          <w:sz w:val="22"/>
          <w:szCs w:val="22"/>
        </w:rPr>
        <w:t xml:space="preserve">通过以上筛选，我们从数据库中得到374家上市公司。</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p>
    <w:p w14:paraId="02E44C66">
      <w:pPr>
        <w:pStyle w:val="175"/>
        <w:numPr>
          <w:ilvl w:val="3"/>
          <w:numId w:val="11"/>
        </w:numPr>
        <w:spacing w:before="156" w:after="156"/>
        <w:ind w:left="0" w:leftChars="0" w:firstLine="0" w:firstLineChars="0"/>
      </w:pPr>
      <w:bookmarkStart w:id="641" w:name="_Toc9419"/>
      <w:bookmarkStart w:id="642" w:name="_Toc47700083"/>
      <w:bookmarkStart w:id="643" w:name="_Toc29975"/>
      <w:bookmarkStart w:id="644" w:name="_Toc5281"/>
      <w:bookmarkStart w:id="645" w:name="_Toc76668452"/>
      <w:r>
        <w:t>定量筛选</w:t>
      </w:r>
      <w:bookmarkEnd w:id="641"/>
      <w:bookmarkEnd w:id="642"/>
      <w:bookmarkEnd w:id="643"/>
      <w:bookmarkEnd w:id="644"/>
      <w:bookmarkEnd w:id="645"/>
    </w:p>
    <w:p w14:paraId="0B53A5A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我们将374家样本公司中在2021到2023财年内满足以下一项或多项特征的样本公司予以排除，从而提高潜在可比公司样本的可比性：</w:t>
      </w:r>
      <w:r>
        <w:rPr>
          <w:rFonts w:hint="eastAsia" w:ascii="Arial" w:hAnsi="Arial" w:eastAsia="微软雅黑" w:cs="Arial"/>
          <w:sz w:val="22"/>
          <w:szCs w:val="22"/>
        </w:rPr>
        <w:t/>
      </w:r>
      <w:r>
        <w:rPr>
          <w:rFonts w:ascii="Arial" w:hAnsi="Arial" w:eastAsia="微软雅黑" w:cs="Arial"/>
          <w:sz w:val="22"/>
          <w:szCs w:val="22"/>
        </w:rPr>
        <w:t/>
      </w:r>
    </w:p>
    <w:p w14:paraId="23067473">
      <w:pPr>
        <w:snapToGrid w:val="0"/>
        <w:spacing w:before="156" w:beforeLines="50" w:after="156" w:afterLines="50"/>
        <w:ind w:firstLine="440" w:firstLineChars="200"/>
        <w:rPr>
          <w:rFonts w:ascii="Arial" w:hAnsi="Arial" w:eastAsia="微软雅黑" w:cs="Arial"/>
          <w:sz w:val="22"/>
          <w:szCs w:val="22"/>
        </w:rPr>
      </w:pPr>
      <w:r>
        <w:rPr>
          <w:rFonts w:hint="eastAsia" w:ascii="Arial" w:hAnsi="Arial" w:eastAsia="微软雅黑" w:cs="Arial"/>
          <w:b/>
          <w:bCs/>
          <w:sz w:val="22"/>
          <w:szCs w:val="22"/>
        </w:rPr>
        <w:t xml:space="preserve">独立性：受控企业或者非独立企业的交易价格或利润水平可能会受到其与关联公司之间进行的可能违反独立交易原则的交易的影响而发生扭曲。因此，我们采用了Bureau van Dijk的独立性指标，来排除那些可能被认定为非独立性的公司。</w:t>
      </w:r>
      <w:r>
        <w:rPr>
          <w:rFonts w:ascii="Arial" w:hAnsi="Arial" w:eastAsia="微软雅黑" w:cs="Arial"/>
          <w:sz w:val="22"/>
          <w:szCs w:val="22"/>
        </w:rPr>
        <w:t/>
      </w:r>
    </w:p>
    <w:p w14:paraId="49AE3184">
      <w:pPr>
        <w:pStyle w:val="110"/>
        <w:numPr>
          <w:ilvl w:val="0"/>
          <w:numId w:val="21"/>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A+，A，A-：表明没有任何单个股东控制该公司的股份超过25%；</w:t>
      </w:r>
    </w:p>
    <w:p w14:paraId="3AAE6610">
      <w:pPr>
        <w:pStyle w:val="110"/>
        <w:numPr>
          <w:ilvl w:val="0"/>
          <w:numId w:val="21"/>
        </w:numPr>
        <w:snapToGrid w:val="0"/>
        <w:ind w:firstLineChars="0"/>
        <w:rPr>
          <w:rFonts w:ascii="Arial" w:hAnsi="Arial" w:eastAsia="微软雅黑" w:cs="Arial"/>
          <w:sz w:val="22"/>
          <w:szCs w:val="22"/>
        </w:rPr>
      </w:pPr>
      <w:r>
        <w:rPr>
          <w:rFonts w:ascii="Arial" w:hAnsi="Arial" w:eastAsia="微软雅黑" w:cs="Arial"/>
          <w:sz w:val="22"/>
          <w:szCs w:val="22"/>
        </w:rPr>
        <w:t>B+，B 或者 B-：表明没有任何单个股东控制该公司的股份超过50%，但有单个或单个以上的股东控制该公司的股份超过25%。</w:t>
      </w:r>
    </w:p>
    <w:p w14:paraId="4F8E5285">
      <w:pPr>
        <w:pStyle w:val="110"/>
        <w:numPr>
          <w:ilvl w:val="0"/>
          <w:numId w:val="21"/>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U：表明持股不详。</w:t>
      </w:r>
    </w:p>
    <w:p w14:paraId="2200A8F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b/>
          <w:sz w:val="22"/>
          <w:szCs w:val="22"/>
        </w:rPr>
        <w:t xml:space="preserve">数据完整性：正如我们将在以下章节7.4.4.2中所讨论的，使用多年度数据可以降低短期市场波动对转让定价分析的影响。因此，我们排除了那些在2021年至2023财年期间，缺少至少2年有效财务数据的公司。</w:t>
      </w:r>
      <w:r>
        <w:rPr>
          <w:rFonts w:ascii="Arial" w:hAnsi="Arial" w:eastAsia="微软雅黑" w:cs="Arial"/>
          <w:sz w:val="22"/>
          <w:szCs w:val="22"/>
        </w:rPr>
        <w:t/>
      </w:r>
    </w:p>
    <w:p w14:paraId="0E5DB2E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b/>
          <w:sz w:val="22"/>
          <w:szCs w:val="22"/>
        </w:rPr>
        <w:t xml:space="preserve">连续亏损：有连续亏损的独立公司对于{{清单模板-数据表-B5}}这样持续经营的公司而言，不具备足够的可比性。因此，我们将2021到2023财年期间三年连续经营亏损或只有两年数据且两年均亏损的公司从可比样本中排除。</w:t>
      </w:r>
      <w:r>
        <w:rPr>
          <w:rFonts w:ascii="Arial" w:hAnsi="Arial" w:eastAsia="微软雅黑" w:cs="Arial"/>
          <w:sz w:val="22"/>
          <w:szCs w:val="22"/>
        </w:rPr>
        <w:t/>
      </w:r>
    </w:p>
    <w:p w14:paraId="3BA4950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通过定量筛选，我们排除了总计177家公司，剩下197家样本公司。</w:t>
      </w:r>
    </w:p>
    <w:p w14:paraId="33F69406">
      <w:pPr>
        <w:pStyle w:val="175"/>
        <w:numPr>
          <w:ilvl w:val="3"/>
          <w:numId w:val="11"/>
        </w:numPr>
        <w:spacing w:before="156" w:after="156"/>
        <w:ind w:left="0" w:leftChars="0" w:firstLine="0" w:firstLineChars="0"/>
      </w:pPr>
      <w:bookmarkStart w:id="646" w:name="_Toc47700084"/>
      <w:bookmarkStart w:id="647" w:name="_Toc22494"/>
      <w:bookmarkStart w:id="648" w:name="_Toc76668453"/>
      <w:bookmarkStart w:id="649" w:name="_Toc447817229"/>
      <w:bookmarkStart w:id="650" w:name="_Toc25365"/>
      <w:bookmarkStart w:id="651" w:name="_Toc419796234"/>
      <w:bookmarkStart w:id="652" w:name="_Toc2094"/>
      <w:bookmarkStart w:id="653" w:name="_Toc522015252"/>
      <w:bookmarkStart w:id="654" w:name="_Toc435807886"/>
      <w:bookmarkStart w:id="655" w:name="_Toc31406"/>
      <w:r>
        <w:t>定性筛选</w:t>
      </w:r>
      <w:bookmarkEnd w:id="646"/>
      <w:bookmarkEnd w:id="647"/>
      <w:bookmarkEnd w:id="648"/>
      <w:bookmarkEnd w:id="649"/>
      <w:bookmarkEnd w:id="650"/>
      <w:bookmarkEnd w:id="651"/>
      <w:bookmarkEnd w:id="652"/>
      <w:bookmarkEnd w:id="653"/>
      <w:bookmarkEnd w:id="654"/>
      <w:bookmarkEnd w:id="655"/>
    </w:p>
    <w:p w14:paraId="1599798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我们审阅了剩下的每一家公司在TP Catalyst数据库中的业务描述，以此来排除执行的功能（例如，研发，生产，服务等）与{{清单模板-数据表-B5}}的在受测关联交易中执行的职能不具有宽泛可比性的公司。</w:t>
      </w:r>
    </w:p>
    <w:p w14:paraId="3BD8179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通过定性筛选，我们排除了总计180家公司，它们因满足以下一项或多项条件使得它们与{{清单模板-数据表-B5}}的关联企业的受测关联交易不具备充足的可比性：</w:t>
      </w:r>
    </w:p>
    <w:p w14:paraId="6C0DFD1B">
      <w:pPr>
        <w:pStyle w:val="110"/>
        <w:numPr>
          <w:ilvl w:val="0"/>
          <w:numId w:val="22"/>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 xml:space="preserve">企业执行的功能与{{清单模板-数据表-B5}}存在显著差异；</w:t>
      </w:r>
      <w:r>
        <w:rPr>
          <w:rFonts w:ascii="Arial" w:hAnsi="Arial" w:eastAsia="微软雅黑" w:cs="Arial"/>
          <w:kern w:val="2"/>
          <w:sz w:val="22"/>
          <w:szCs w:val="22"/>
        </w:rPr>
        <w:t/>
      </w:r>
      <w:r>
        <w:rPr>
          <w:rFonts w:ascii="Arial" w:hAnsi="Arial" w:eastAsia="微软雅黑" w:cs="Arial"/>
          <w:sz w:val="22"/>
          <w:szCs w:val="22"/>
        </w:rPr>
        <w:t/>
      </w:r>
    </w:p>
    <w:p w14:paraId="6FB3DB4F">
      <w:pPr>
        <w:pStyle w:val="110"/>
        <w:numPr>
          <w:ilvl w:val="0"/>
          <w:numId w:val="22"/>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 xml:space="preserve">企业销售的产品或服务与{{清单模板-数据表-B5}}存在显著差异。</w:t>
      </w:r>
      <w:r>
        <w:rPr>
          <w:rFonts w:ascii="Arial" w:hAnsi="Arial" w:eastAsia="微软雅黑" w:cs="Arial"/>
          <w:kern w:val="2"/>
          <w:sz w:val="22"/>
          <w:szCs w:val="22"/>
        </w:rPr>
        <w:t/>
      </w:r>
      <w:r>
        <w:rPr>
          <w:rFonts w:ascii="Arial" w:hAnsi="Arial" w:eastAsia="微软雅黑" w:cs="Arial"/>
          <w:sz w:val="22"/>
          <w:szCs w:val="22"/>
        </w:rPr>
        <w:t/>
      </w:r>
    </w:p>
    <w:p w14:paraId="61F1521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我们最终选定17家营业地位于亚太地区的公司作为{{清单模板-数据表-B5}}的可比公司。</w:t>
      </w:r>
    </w:p>
    <w:p w14:paraId="01E842D0">
      <w:pPr>
        <w:pStyle w:val="175"/>
        <w:numPr>
          <w:ilvl w:val="3"/>
          <w:numId w:val="11"/>
        </w:numPr>
        <w:spacing w:before="156" w:after="156"/>
        <w:ind w:left="0" w:leftChars="0" w:firstLine="0" w:firstLineChars="0"/>
      </w:pPr>
      <w:bookmarkStart w:id="656" w:name="_Toc76668454"/>
      <w:bookmarkStart w:id="657" w:name="_Toc522015254"/>
      <w:bookmarkStart w:id="658" w:name="_Toc47700085"/>
      <w:bookmarkStart w:id="659" w:name="_Toc1411"/>
      <w:bookmarkStart w:id="660" w:name="_Toc24652"/>
      <w:bookmarkStart w:id="661" w:name="_Toc22809"/>
      <w:r>
        <w:t>外部可比公司搜寻过程</w:t>
      </w:r>
      <w:bookmarkEnd w:id="656"/>
      <w:bookmarkEnd w:id="657"/>
      <w:bookmarkEnd w:id="658"/>
      <w:bookmarkEnd w:id="659"/>
      <w:bookmarkEnd w:id="660"/>
      <w:bookmarkEnd w:id="661"/>
    </w:p>
    <w:p w14:paraId="4657C6F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搜索策略和结果如下：</w:t>
      </w:r>
    </w:p>
    <w:p w14:paraId="3079657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图表22：可比公司搜索表</w:t>
      </w:r>
    </w:p>
    <w:tbl>
      <w:tblPr>
        <w:tblStyle w:val="29"/>
        <w:tblW w:w="810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14"/>
        <w:gridCol w:w="6087"/>
      </w:tblGrid>
      <w:tr w14:paraId="7DA5C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blHeader/>
        </w:trPr>
        <w:tc>
          <w:tcPr>
            <w:tcW w:w="2014" w:type="dxa"/>
            <w:shd w:val="clear" w:color="auto" w:fill="4F81BD" w:themeFill="accent1"/>
            <w:vAlign w:val="center"/>
          </w:tcPr>
          <w:p w14:paraId="3C36BF14">
            <w:pPr>
              <w:snapToGrid w:val="0"/>
              <w:spacing w:before="0" w:after="0"/>
              <w:ind w:left="0" w:right="0"/>
              <w:jc w:val="center"/>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数据库</w:t>
            </w:r>
          </w:p>
        </w:tc>
        <w:tc>
          <w:tcPr>
            <w:tcW w:w="6087" w:type="dxa"/>
            <w:shd w:val="clear" w:color="auto" w:fill="4F81BD" w:themeFill="accent1"/>
            <w:vAlign w:val="center"/>
          </w:tcPr>
          <w:p w14:paraId="1B4D403A">
            <w:pPr>
              <w:snapToGrid w:val="0"/>
              <w:spacing w:before="0" w:after="0"/>
              <w:ind w:left="0" w:right="0"/>
              <w:jc w:val="center"/>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 xml:space="preserve">TP Catalyst 数据库（2025年2月版）</w:t>
            </w:r>
            <w:r>
              <w:rPr>
                <w:rFonts w:hint="eastAsia" w:ascii="Arial" w:hAnsi="Arial" w:eastAsia="微软雅黑" w:cs="Arial"/>
                <w:b/>
                <w:color w:val="FFFFFF" w:themeColor="background1"/>
                <w:kern w:val="2"/>
                <w:sz w:val="18"/>
                <w:szCs w:val="18"/>
                <w14:textFill>
                  <w14:solidFill>
                    <w14:schemeClr w14:val="bg1"/>
                  </w14:solidFill>
                </w14:textFill>
              </w:rPr>
              <w:t/>
            </w:r>
            <w:r>
              <w:rPr>
                <w:rFonts w:ascii="Arial" w:hAnsi="Arial" w:eastAsia="微软雅黑" w:cs="Arial"/>
                <w:b/>
                <w:color w:val="FFFFFF" w:themeColor="background1"/>
                <w:kern w:val="2"/>
                <w:sz w:val="18"/>
                <w:szCs w:val="18"/>
                <w14:textFill>
                  <w14:solidFill>
                    <w14:schemeClr w14:val="bg1"/>
                  </w14:solidFill>
                </w14:textFill>
              </w:rPr>
              <w:t/>
            </w:r>
          </w:p>
        </w:tc>
      </w:tr>
      <w:tr w14:paraId="02FF8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5B1E6D0F">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上市公司筛选</w:t>
            </w:r>
          </w:p>
        </w:tc>
        <w:tc>
          <w:tcPr>
            <w:tcW w:w="6087" w:type="dxa"/>
            <w:vAlign w:val="center"/>
          </w:tcPr>
          <w:p w14:paraId="394ABB48">
            <w:pPr>
              <w:snapToGrid w:val="0"/>
              <w:spacing w:before="0" w:after="0"/>
              <w:ind w:left="0" w:right="0"/>
              <w:rPr>
                <w:rFonts w:ascii="Arial" w:hAnsi="Arial" w:eastAsia="微软雅黑" w:cs="Arial"/>
                <w:kern w:val="2"/>
                <w:sz w:val="18"/>
                <w:szCs w:val="18"/>
              </w:rPr>
            </w:pPr>
            <w:r>
              <w:rPr>
                <w:rFonts w:hint="eastAsia" w:ascii="Arial" w:hAnsi="Arial" w:eastAsia="微软雅黑" w:cs="Arial"/>
                <w:kern w:val="2"/>
                <w:sz w:val="18"/>
                <w:szCs w:val="18"/>
              </w:rPr>
              <w:t>在评估期间上市的公司</w:t>
            </w:r>
          </w:p>
        </w:tc>
      </w:tr>
      <w:tr w14:paraId="6DB0A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1F52CDDB">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初步 SIC编码检索</w:t>
            </w:r>
          </w:p>
        </w:tc>
        <w:tc>
          <w:tcPr>
            <w:tcW w:w="6087" w:type="dxa"/>
            <w:vAlign w:val="center"/>
          </w:tcPr>
          <w:p w14:paraId="46B01F61">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3431、3432、3433、3443、3491、3492、3493、3494、3495、3496、3497、3498、3499</w:t>
            </w:r>
          </w:p>
        </w:tc>
      </w:tr>
      <w:tr w14:paraId="3CF5C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2E1F309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地区筛选</w:t>
            </w:r>
          </w:p>
        </w:tc>
        <w:tc>
          <w:tcPr>
            <w:tcW w:w="6087" w:type="dxa"/>
            <w:vAlign w:val="center"/>
          </w:tcPr>
          <w:p w14:paraId="7D97A083">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亚太地区</w:t>
            </w:r>
          </w:p>
        </w:tc>
      </w:tr>
      <w:tr w14:paraId="2A948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3AE1BCE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定量筛选</w:t>
            </w:r>
          </w:p>
        </w:tc>
        <w:tc>
          <w:tcPr>
            <w:tcW w:w="6087" w:type="dxa"/>
            <w:vAlign w:val="center"/>
          </w:tcPr>
          <w:p w14:paraId="0117B858">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在TP Catalyst数据库定义中独立性为C、D的公司被排除；</w:t>
            </w:r>
            <w:r>
              <w:rPr>
                <w:rFonts w:hint="eastAsia" w:ascii="Arial" w:hAnsi="Arial" w:eastAsia="微软雅黑" w:cs="Arial"/>
                <w:kern w:val="2"/>
                <w:sz w:val="18"/>
                <w:szCs w:val="18"/>
              </w:rPr>
              <w:t/>
            </w:r>
          </w:p>
          <w:p w14:paraId="0607A8B7">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在2021至2023财政年度间，在TP Catalyst数据库中的财务信息不充分；</w:t>
            </w:r>
            <w:r>
              <w:rPr>
                <w:rFonts w:hint="eastAsia" w:ascii="Arial" w:hAnsi="Arial" w:eastAsia="微软雅黑" w:cs="Arial"/>
                <w:kern w:val="2"/>
                <w:sz w:val="18"/>
                <w:szCs w:val="18"/>
              </w:rPr>
              <w:t/>
            </w:r>
            <w:r>
              <w:rPr>
                <w:rFonts w:ascii="Arial" w:hAnsi="Arial" w:eastAsia="微软雅黑" w:cs="Arial"/>
                <w:kern w:val="2"/>
                <w:sz w:val="18"/>
                <w:szCs w:val="18"/>
              </w:rPr>
              <w:t/>
            </w:r>
          </w:p>
          <w:p w14:paraId="6EE0366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在2021至2023财政年度间，三年连续经营亏损或只有两年数据且两年均亏损被排除。</w:t>
            </w:r>
            <w:r>
              <w:rPr>
                <w:rFonts w:hint="eastAsia" w:ascii="Arial" w:hAnsi="Arial" w:eastAsia="微软雅黑" w:cs="Arial"/>
                <w:kern w:val="2"/>
                <w:sz w:val="18"/>
                <w:szCs w:val="18"/>
              </w:rPr>
              <w:t/>
            </w:r>
            <w:r>
              <w:rPr>
                <w:rFonts w:ascii="Arial" w:hAnsi="Arial" w:eastAsia="微软雅黑" w:cs="Arial"/>
                <w:kern w:val="2"/>
                <w:sz w:val="18"/>
                <w:szCs w:val="18"/>
              </w:rPr>
              <w:t/>
            </w:r>
            <w:r>
              <w:rPr>
                <w:rFonts w:hint="eastAsia" w:ascii="Arial" w:hAnsi="Arial" w:eastAsia="微软雅黑" w:cs="Arial"/>
                <w:kern w:val="2"/>
                <w:sz w:val="18"/>
                <w:szCs w:val="18"/>
              </w:rPr>
              <w:t/>
            </w:r>
            <w:r>
              <w:rPr>
                <w:rFonts w:ascii="Arial" w:hAnsi="Arial" w:eastAsia="微软雅黑" w:cs="Arial"/>
                <w:kern w:val="2"/>
                <w:sz w:val="18"/>
                <w:szCs w:val="18"/>
              </w:rPr>
              <w:t/>
            </w:r>
          </w:p>
        </w:tc>
      </w:tr>
      <w:tr w14:paraId="28949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1EEDB064">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定性筛选</w:t>
            </w:r>
          </w:p>
        </w:tc>
        <w:tc>
          <w:tcPr>
            <w:tcW w:w="6087" w:type="dxa"/>
            <w:vAlign w:val="center"/>
          </w:tcPr>
          <w:p w14:paraId="1F94BFF3">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在企业功能（包括所使用的资产）或企业产品或服务方面存在显著差异的企业。</w:t>
            </w:r>
          </w:p>
        </w:tc>
      </w:tr>
      <w:tr w14:paraId="013F9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68328EB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最终样本</w:t>
            </w:r>
          </w:p>
        </w:tc>
        <w:tc>
          <w:tcPr>
            <w:tcW w:w="6087" w:type="dxa"/>
            <w:vAlign w:val="center"/>
          </w:tcPr>
          <w:p w14:paraId="7699B19B">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17家可比性公司</w:t>
            </w:r>
          </w:p>
        </w:tc>
      </w:tr>
    </w:tbl>
    <w:p w14:paraId="7EB14D9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选定的17家公司的简要业务描述，请见附件3。</w:t>
      </w:r>
    </w:p>
    <w:p w14:paraId="72FA05A0">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62" w:name="_Toc12774"/>
      <w:bookmarkStart w:id="663" w:name="_Toc202797606"/>
      <w:bookmarkStart w:id="664" w:name="_Toc522015255"/>
      <w:bookmarkStart w:id="665" w:name="_Toc47700086"/>
      <w:bookmarkStart w:id="666" w:name="_Toc24585"/>
      <w:bookmarkStart w:id="667" w:name="_Toc76668455"/>
      <w:bookmarkStart w:id="668" w:name="_Toc4677"/>
      <w:r>
        <w:rPr>
          <w:rFonts w:ascii="Arial" w:hAnsi="Arial" w:eastAsia="微软雅黑" w:cs="Arial"/>
          <w:b w:val="0"/>
          <w:i w:val="0"/>
          <w:color w:val="4F81BD" w:themeColor="accent1"/>
          <w:sz w:val="22"/>
          <w:szCs w:val="22"/>
          <w14:textFill>
            <w14:solidFill>
              <w14:schemeClr w14:val="accent1"/>
            </w14:solidFill>
          </w14:textFill>
        </w:rPr>
        <w:t>可比公司利润水平</w:t>
      </w:r>
      <w:bookmarkEnd w:id="662"/>
      <w:bookmarkEnd w:id="663"/>
      <w:bookmarkEnd w:id="664"/>
      <w:bookmarkEnd w:id="665"/>
      <w:bookmarkEnd w:id="666"/>
      <w:bookmarkEnd w:id="667"/>
      <w:bookmarkEnd w:id="668"/>
    </w:p>
    <w:p w14:paraId="7CB6AEDA">
      <w:pPr>
        <w:pStyle w:val="175"/>
        <w:numPr>
          <w:ilvl w:val="3"/>
          <w:numId w:val="11"/>
        </w:numPr>
        <w:spacing w:before="156" w:after="156"/>
        <w:ind w:left="0" w:leftChars="0" w:firstLine="0" w:firstLineChars="0"/>
      </w:pPr>
      <w:bookmarkStart w:id="669" w:name="_Toc47700087"/>
      <w:bookmarkStart w:id="670" w:name="_Toc12559"/>
      <w:bookmarkStart w:id="671" w:name="_Toc32745"/>
      <w:bookmarkStart w:id="672" w:name="_Toc522015256"/>
      <w:bookmarkStart w:id="673" w:name="_Toc76668456"/>
      <w:bookmarkStart w:id="674" w:name="_Toc5507"/>
      <w:bookmarkStart w:id="675" w:name="_Toc15862"/>
      <w:r>
        <w:t>利润水平指标的选择</w:t>
      </w:r>
      <w:bookmarkEnd w:id="669"/>
      <w:bookmarkEnd w:id="670"/>
      <w:bookmarkEnd w:id="671"/>
      <w:bookmarkEnd w:id="672"/>
      <w:bookmarkEnd w:id="673"/>
      <w:bookmarkEnd w:id="674"/>
      <w:bookmarkEnd w:id="675"/>
    </w:p>
    <w:p w14:paraId="075ED86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利润水平指标是衡量利润与产品销售额、发生的成本或所运用的资产之间关系的财务比率。利润水平指标的选择是否恰当取决于被测试方经营活动的性质以及可比企业数据的可靠性。</w:t>
      </w:r>
    </w:p>
    <w:p w14:paraId="5CA0E75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根据[2017]6号公告第20条的规定，交易净利润法以可比非关联交易的利润指标确定关联交易的利润。利润指标包括息税前利润率、完全成本加成率、资产收益率、贝里比率等。具体计算公式如下：</w:t>
      </w:r>
    </w:p>
    <w:p w14:paraId="23D710F4">
      <w:pPr>
        <w:snapToGrid w:val="0"/>
        <w:spacing w:before="156" w:beforeLines="50" w:after="156" w:afterLines="50"/>
        <w:ind w:firstLine="440" w:firstLineChars="200"/>
        <w:rPr>
          <w:rFonts w:ascii="Arial" w:hAnsi="Arial" w:eastAsia="微软雅黑" w:cs="Arial"/>
          <w:sz w:val="22"/>
          <w:szCs w:val="22"/>
        </w:rPr>
      </w:pPr>
      <w:bookmarkStart w:id="676" w:name="No100_T20K1X1"/>
      <w:bookmarkEnd w:id="676"/>
      <w:r>
        <w:rPr>
          <w:rFonts w:ascii="Arial" w:hAnsi="Arial" w:eastAsia="微软雅黑" w:cs="Arial"/>
          <w:sz w:val="22"/>
          <w:szCs w:val="22"/>
        </w:rPr>
        <w:t>（一）息税前利润率=息税前利润/营业收入×100%</w:t>
      </w:r>
    </w:p>
    <w:p w14:paraId="0CB22428">
      <w:pPr>
        <w:snapToGrid w:val="0"/>
        <w:spacing w:before="156" w:beforeLines="50" w:after="156" w:afterLines="50"/>
        <w:ind w:firstLine="440" w:firstLineChars="200"/>
        <w:rPr>
          <w:rFonts w:ascii="Arial" w:hAnsi="Arial" w:eastAsia="微软雅黑" w:cs="Arial"/>
          <w:sz w:val="22"/>
          <w:szCs w:val="22"/>
        </w:rPr>
      </w:pPr>
      <w:bookmarkStart w:id="677" w:name="No101_T20K1X2"/>
      <w:bookmarkEnd w:id="677"/>
      <w:r>
        <w:rPr>
          <w:rFonts w:ascii="Arial" w:hAnsi="Arial" w:eastAsia="微软雅黑" w:cs="Arial"/>
          <w:sz w:val="22"/>
          <w:szCs w:val="22"/>
        </w:rPr>
        <w:t>（二）完全成本加成率=息税前利润/完全成本×100%</w:t>
      </w:r>
    </w:p>
    <w:p w14:paraId="2921B8E5">
      <w:pPr>
        <w:snapToGrid w:val="0"/>
        <w:spacing w:before="156" w:beforeLines="50" w:after="156" w:afterLines="50"/>
        <w:ind w:firstLine="440" w:firstLineChars="200"/>
        <w:rPr>
          <w:rFonts w:ascii="Arial" w:hAnsi="Arial" w:eastAsia="微软雅黑" w:cs="Arial"/>
          <w:sz w:val="22"/>
          <w:szCs w:val="22"/>
        </w:rPr>
      </w:pPr>
      <w:bookmarkStart w:id="678" w:name="No102_T20K1X3"/>
      <w:bookmarkEnd w:id="678"/>
      <w:r>
        <w:rPr>
          <w:rFonts w:ascii="Arial" w:hAnsi="Arial" w:eastAsia="微软雅黑" w:cs="Arial"/>
          <w:sz w:val="22"/>
          <w:szCs w:val="22"/>
        </w:rPr>
        <w:t>（三）资产收益率=息税前利润/[（年初资产总额+年末资产总额）/2]×100%</w:t>
      </w:r>
    </w:p>
    <w:p w14:paraId="0DBF0309">
      <w:pPr>
        <w:snapToGrid w:val="0"/>
        <w:spacing w:before="156" w:beforeLines="50" w:after="156" w:afterLines="50"/>
        <w:ind w:firstLine="440" w:firstLineChars="200"/>
        <w:rPr>
          <w:rFonts w:ascii="Arial" w:hAnsi="Arial" w:eastAsia="微软雅黑" w:cs="Arial"/>
          <w:sz w:val="22"/>
          <w:szCs w:val="22"/>
        </w:rPr>
      </w:pPr>
      <w:bookmarkStart w:id="679" w:name="No103_T20K1X4"/>
      <w:bookmarkEnd w:id="679"/>
      <w:r>
        <w:rPr>
          <w:rFonts w:ascii="Arial" w:hAnsi="Arial" w:eastAsia="微软雅黑" w:cs="Arial"/>
          <w:sz w:val="22"/>
          <w:szCs w:val="22"/>
        </w:rPr>
        <w:t>（四）贝里比率=毛利/（营业费用+管理费用）×100%</w:t>
      </w:r>
    </w:p>
    <w:p w14:paraId="73E41B9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完全成本加成率在测试制造业务时比息税前利润率更具优势。这是因为，此类交易中关联方之间的交易额会反映到验证对象的销售收入中。在这种情况下，如果使用息税前利润率，则验证对象利润率的分母将由于关联交易因素，从而降低了其可靠性；而使用完全成本加成率则不会出现这样的问题。</w:t>
      </w:r>
    </w:p>
    <w:p w14:paraId="1102D629">
      <w:pPr>
        <w:snapToGrid w:val="0"/>
        <w:spacing w:before="156" w:beforeLines="50" w:after="156" w:afterLines="50"/>
        <w:ind w:firstLine="440" w:firstLineChars="200"/>
        <w:rPr>
          <w:rFonts w:ascii="Arial" w:hAnsi="Arial" w:eastAsia="微软雅黑" w:cs="Arial"/>
          <w:kern w:val="2"/>
          <w:sz w:val="22"/>
          <w:szCs w:val="22"/>
        </w:rPr>
      </w:pPr>
      <w:r>
        <w:rPr>
          <w:rFonts w:ascii="Arial" w:hAnsi="Arial" w:eastAsia="微软雅黑" w:cs="Arial"/>
          <w:sz w:val="22"/>
          <w:szCs w:val="22"/>
        </w:rPr>
        <w:t>综上所述，我们选择了完全成本加成率作为评估{{清单模板-数据表-B5}}受测关联交易是否符合独立交易原则最合理的利润水平指标。</w:t>
      </w:r>
    </w:p>
    <w:p w14:paraId="34DE8AD5">
      <w:pPr>
        <w:pStyle w:val="175"/>
        <w:numPr>
          <w:ilvl w:val="3"/>
          <w:numId w:val="11"/>
        </w:numPr>
        <w:spacing w:before="156" w:after="156"/>
        <w:ind w:left="0" w:leftChars="0" w:firstLine="0" w:firstLineChars="0"/>
      </w:pPr>
      <w:bookmarkStart w:id="680" w:name="_Toc4123"/>
      <w:bookmarkStart w:id="681" w:name="_Toc47700088"/>
      <w:bookmarkStart w:id="682" w:name="_Toc76668457"/>
      <w:bookmarkStart w:id="683" w:name="_Toc735"/>
      <w:bookmarkStart w:id="684" w:name="_Toc3962"/>
      <w:bookmarkStart w:id="685" w:name="_Toc24197"/>
      <w:bookmarkStart w:id="686" w:name="_Toc522015257"/>
      <w:r>
        <w:t>多年度数据的使用</w:t>
      </w:r>
      <w:bookmarkEnd w:id="680"/>
      <w:bookmarkEnd w:id="681"/>
      <w:bookmarkEnd w:id="682"/>
      <w:bookmarkEnd w:id="683"/>
      <w:bookmarkEnd w:id="684"/>
      <w:bookmarkEnd w:id="685"/>
      <w:bookmarkEnd w:id="686"/>
    </w:p>
    <w:p w14:paraId="5880E01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OECD转让定价指南关于使用多个年度的数据给出了如下准则：“通常，分析受测年度及之前年度的数据可以有助于全面了解受控交易的事实及情况......这种多年度数据分析在应用交易利润法时可能特别适用......多年度财务数据还可以有助于了解长期合约。”</w:t>
      </w:r>
      <w:r>
        <w:rPr>
          <w:rFonts w:ascii="Arial" w:hAnsi="Arial" w:eastAsia="微软雅黑" w:cs="Arial"/>
          <w:sz w:val="22"/>
          <w:szCs w:val="22"/>
          <w:vertAlign w:val="superscript"/>
        </w:rPr>
        <w:footnoteReference w:id="30"/>
      </w:r>
    </w:p>
    <w:p w14:paraId="2C65243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[2017]6号公告第20条特别指出，在使用交易净利润法进行可比性分析时，应特别考察经济周期和产品生命周期。OECD转让定价指南中也就行业和产品生命周期提出了如下准则：</w:t>
      </w:r>
    </w:p>
    <w:p w14:paraId="3F2BBC6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多年度的资料也可以有助于提供关于可比公司行业周期和产品生命周期的信息。商业周期或者产品生命周期方面的差异，可能会对转让定价产生重大的影响，从而影响到对可比性的评估。早些年度的数据可能会显示，那些进行可比交易的独立企业，是否在相似的程度上，受到类似经济环境的影响；或者早些年度不同的情况严重影响了该独立企业的价格和利润，以至于它不能再被用作可比公司。”</w:t>
      </w:r>
      <w:r>
        <w:rPr>
          <w:rFonts w:ascii="Arial" w:hAnsi="Arial" w:eastAsia="微软雅黑" w:cs="Arial"/>
          <w:sz w:val="22"/>
          <w:szCs w:val="22"/>
          <w:vertAlign w:val="superscript"/>
        </w:rPr>
        <w:footnoteReference w:id="31"/>
      </w:r>
    </w:p>
    <w:p w14:paraId="789C4FB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为了在交易净利润分析中运用多年度数据，我们通过比较{{清单模板-数据表-B5}}{{清单模板-数据表-B2}}受测关联交易的利润水平和可比公司2021到2023财年的加权平均利润水平，来评估{{清单模板-数据表-B5}}的受测关联交易是否符合独立交易原则。</w:t>
      </w:r>
      <w:r>
        <w:rPr>
          <w:rFonts w:hint="eastAsia" w:ascii="Arial" w:hAnsi="Arial" w:eastAsia="微软雅黑" w:cs="Arial"/>
          <w:sz w:val="22"/>
          <w:szCs w:val="22"/>
        </w:rPr>
        <w:t/>
      </w:r>
      <w:r>
        <w:rPr>
          <w:rFonts w:ascii="Arial" w:hAnsi="Arial" w:eastAsia="微软雅黑" w:cs="Arial"/>
          <w:sz w:val="22"/>
          <w:szCs w:val="22"/>
        </w:rPr>
        <w:t/>
      </w:r>
    </w:p>
    <w:p w14:paraId="1FABCE0B">
      <w:pPr>
        <w:pStyle w:val="175"/>
        <w:numPr>
          <w:ilvl w:val="3"/>
          <w:numId w:val="11"/>
        </w:numPr>
        <w:spacing w:before="156" w:after="156"/>
        <w:ind w:left="0" w:leftChars="0" w:firstLine="0" w:firstLineChars="0"/>
      </w:pPr>
      <w:bookmarkStart w:id="687" w:name="_Toc47700089"/>
      <w:bookmarkStart w:id="688" w:name="_Toc522015258"/>
      <w:bookmarkStart w:id="689" w:name="_Toc25536"/>
      <w:bookmarkStart w:id="690" w:name="_Toc25220"/>
      <w:bookmarkStart w:id="691" w:name="_Toc26863"/>
      <w:bookmarkStart w:id="692" w:name="_Toc76668458"/>
      <w:bookmarkStart w:id="693" w:name="_Toc9834"/>
      <w:r>
        <w:t>独立交易区间</w:t>
      </w:r>
      <w:bookmarkEnd w:id="687"/>
      <w:bookmarkEnd w:id="688"/>
      <w:bookmarkEnd w:id="689"/>
      <w:bookmarkEnd w:id="690"/>
      <w:bookmarkEnd w:id="691"/>
      <w:bookmarkEnd w:id="692"/>
      <w:bookmarkEnd w:id="693"/>
    </w:p>
    <w:p w14:paraId="1D0C417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符合独立交易原则的结果通常并不是一个单一的价格或者利润，而是一个价格或利润的区间。只要我们对每个非受控交易进行仔细审查并能确保其与受测关联交易的可比性，那么在区间中的每个数据都具有同样的可靠性。相对于某个特定的数字而言，独立交易区间是评估受控交易是否符合独立交易原则更合理的方法，因为通常使用转让定价方法评估所得的只是一个符合独立交易原则的近似值，或者因为各独立企业在可比的经济环境中可能并不会对同一交易采用完全相同的定价（或者赚取完全相同的利润）。因此，如果一项受控交易的结果在两家或两家以上的可比公司的利润区间内，那么可以认为该受控交易是符合独立交易原则的。</w:t>
      </w:r>
      <w:r>
        <w:rPr>
          <w:rFonts w:ascii="Arial" w:hAnsi="Arial" w:eastAsia="微软雅黑" w:cs="Arial"/>
          <w:sz w:val="22"/>
          <w:szCs w:val="22"/>
          <w:vertAlign w:val="superscript"/>
        </w:rPr>
        <w:footnoteReference w:id="32"/>
      </w:r>
    </w:p>
    <w:p w14:paraId="4DBC6D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章节7.4.3.5中所使用的筛选标准旨在寻找和消除对{{清单模板-数据表-B5}}与选定的可比公司之间在执行功能、承担风险和使用资产等方面可能存在的显著差异。因此，所有选定的可比公司都具有相同程度的可比性和可靠性。因此，我们可以认为独立交易区间应该由所有可比公司的财务成果组成。</w:t>
      </w:r>
    </w:p>
    <w:p w14:paraId="50C6E1B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然而应该承认，尽管选定的可比公司已经是可获得的最可比的样本了，在他们与{{清单模板-数据表-B5}}与选定之间仍然可能存在无法量化的差异。因此，如果将所有可比公司的结果组成区间，可能会导致区间的范围太宽，从而降低其可靠性。在存在不完美的可比公司的情况下，为了提高我们分析的可靠程度，我们将独立交易区间限定为可比公司2021到2023财年期间加权平均完全成本加成率的四分位区间。</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sz w:val="22"/>
          <w:szCs w:val="22"/>
          <w:vertAlign w:val="superscript"/>
        </w:rPr>
        <w:footnoteReference w:id="33"/>
      </w:r>
    </w:p>
    <w:p w14:paraId="7FE3E77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我们从TP Catalyst数据库（2025年2月版）提取了2021到2023财年每家可比公司的损益表中的信息。被选可比公司的财务信息及完全成本加成率计算详见附件4。</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6533706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我们计算了选中的17家可比公司2021到2023财年加权平均完全成本加成率。如下图所示，2021到2023年完全成本加成率的独立交易区间为3.00%(第一四分位数)至12.74% (第三四分位数)，中位值为8.41%。</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016C3E32">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39EB871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图表23：可比企业完全成本加成率四分位区间表</w:t>
      </w:r>
    </w:p>
    <w:tbl>
      <w:tblPr>
        <w:tblStyle w:val="29"/>
        <w:tblW w:w="52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5"/>
        <w:gridCol w:w="3260"/>
      </w:tblGrid>
      <w:tr w14:paraId="07C39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5245" w:type="dxa"/>
            <w:gridSpan w:val="2"/>
            <w:shd w:val="clear" w:color="auto" w:fill="4F81BD" w:themeFill="accent1"/>
            <w:vAlign w:val="center"/>
          </w:tcPr>
          <w:p w14:paraId="1BAAEFF0">
            <w:pPr>
              <w:widowControl w:val="0"/>
              <w:snapToGrid w:val="0"/>
              <w:spacing w:before="0" w:after="0"/>
              <w:ind w:left="0" w:right="0"/>
              <w:jc w:val="center"/>
              <w:rPr>
                <w:rFonts w:ascii="Arial" w:hAnsi="Arial" w:eastAsia="微软雅黑" w:cs="Arial"/>
                <w:b/>
                <w:color w:val="1F497D"/>
                <w:sz w:val="18"/>
                <w:szCs w:val="18"/>
              </w:rPr>
            </w:pPr>
            <w:r>
              <w:rPr>
                <w:rFonts w:ascii="Arial" w:hAnsi="Arial" w:eastAsia="微软雅黑" w:cs="Arial"/>
                <w:b/>
                <w:color w:val="FFFFFF" w:themeColor="background1"/>
                <w:sz w:val="18"/>
                <w:szCs w:val="18"/>
                <w14:textFill>
                  <w14:solidFill>
                    <w14:schemeClr w14:val="bg1"/>
                  </w14:solidFill>
                </w14:textFill>
              </w:rPr>
              <w:t>可比企业完全成本加成率四分位区间</w:t>
            </w:r>
          </w:p>
        </w:tc>
      </w:tr>
      <w:tr w14:paraId="74D76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jc w:val="center"/>
        </w:trPr>
        <w:tc>
          <w:tcPr>
            <w:tcW w:w="1985" w:type="dxa"/>
            <w:shd w:val="clear" w:color="auto" w:fill="auto"/>
            <w:vAlign w:val="center"/>
          </w:tcPr>
          <w:p w14:paraId="74F1AF4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类型</w:t>
            </w:r>
          </w:p>
        </w:tc>
        <w:tc>
          <w:tcPr>
            <w:tcW w:w="3260" w:type="dxa"/>
            <w:shd w:val="clear" w:color="auto" w:fill="auto"/>
            <w:vAlign w:val="center"/>
          </w:tcPr>
          <w:p w14:paraId="76DF6FF8">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2021-2023年加权平均</w:t>
            </w:r>
          </w:p>
        </w:tc>
      </w:tr>
      <w:tr w14:paraId="6FE32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070EBF78">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最高值</w:t>
            </w:r>
          </w:p>
        </w:tc>
        <w:tc>
          <w:tcPr>
            <w:tcW w:w="3260" w:type="dxa"/>
            <w:shd w:val="clear" w:color="auto" w:fill="auto"/>
            <w:vAlign w:val="center"/>
          </w:tcPr>
          <w:p w14:paraId="5BD4057B">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25.95%</w:t>
            </w:r>
          </w:p>
        </w:tc>
      </w:tr>
      <w:tr w14:paraId="0D71D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77E6895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上四分位值</w:t>
            </w:r>
          </w:p>
        </w:tc>
        <w:tc>
          <w:tcPr>
            <w:tcW w:w="3260" w:type="dxa"/>
            <w:shd w:val="clear" w:color="auto" w:fill="auto"/>
            <w:vAlign w:val="center"/>
          </w:tcPr>
          <w:p w14:paraId="623103F6">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12.74%</w:t>
            </w:r>
          </w:p>
        </w:tc>
      </w:tr>
      <w:tr w14:paraId="068CE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35F4925">
            <w:pPr>
              <w:widowControl w:val="0"/>
              <w:snapToGrid w:val="0"/>
              <w:spacing w:before="0" w:after="0"/>
              <w:ind w:left="0" w:right="0"/>
              <w:jc w:val="center"/>
              <w:rPr>
                <w:rFonts w:ascii="Arial" w:hAnsi="Arial" w:eastAsia="微软雅黑" w:cs="Arial"/>
                <w:b/>
                <w:bCs/>
                <w:kern w:val="2"/>
                <w:sz w:val="18"/>
                <w:szCs w:val="18"/>
              </w:rPr>
            </w:pPr>
            <w:r>
              <w:rPr>
                <w:rFonts w:ascii="Arial" w:hAnsi="Arial" w:eastAsia="微软雅黑" w:cs="Arial"/>
                <w:b/>
                <w:bCs/>
                <w:kern w:val="2"/>
                <w:sz w:val="18"/>
                <w:szCs w:val="18"/>
              </w:rPr>
              <w:t>中位值</w:t>
            </w:r>
          </w:p>
        </w:tc>
        <w:tc>
          <w:tcPr>
            <w:tcW w:w="3260" w:type="dxa"/>
            <w:shd w:val="clear" w:color="auto" w:fill="auto"/>
            <w:vAlign w:val="center"/>
          </w:tcPr>
          <w:p w14:paraId="59860C26">
            <w:pPr>
              <w:widowControl w:val="0"/>
              <w:snapToGrid w:val="0"/>
              <w:spacing w:before="0" w:after="0"/>
              <w:ind w:left="0" w:right="0"/>
              <w:jc w:val="center"/>
              <w:rPr>
                <w:rFonts w:ascii="Arial" w:hAnsi="Arial" w:eastAsia="微软雅黑" w:cs="Arial"/>
                <w:b/>
                <w:bCs/>
                <w:kern w:val="2"/>
                <w:sz w:val="18"/>
                <w:szCs w:val="18"/>
              </w:rPr>
            </w:pPr>
            <w:r>
              <w:rPr>
                <w:rFonts w:ascii="Arial" w:hAnsi="Arial" w:eastAsia="微软雅黑" w:cs="Arial"/>
                <w:b/>
                <w:bCs/>
                <w:kern w:val="2"/>
                <w:sz w:val="18"/>
                <w:szCs w:val="18"/>
              </w:rPr>
              <w:t>8.41%</w:t>
            </w:r>
          </w:p>
        </w:tc>
      </w:tr>
      <w:tr w14:paraId="78E7C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5FB9DFC">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下四分位值</w:t>
            </w:r>
          </w:p>
        </w:tc>
        <w:tc>
          <w:tcPr>
            <w:tcW w:w="3260" w:type="dxa"/>
            <w:shd w:val="clear" w:color="auto" w:fill="auto"/>
            <w:vAlign w:val="center"/>
          </w:tcPr>
          <w:p w14:paraId="00E8AAA9">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3.00%</w:t>
            </w:r>
          </w:p>
        </w:tc>
      </w:tr>
      <w:tr w14:paraId="3AA09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FE0DB5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最低值</w:t>
            </w:r>
          </w:p>
        </w:tc>
        <w:tc>
          <w:tcPr>
            <w:tcW w:w="3260" w:type="dxa"/>
            <w:shd w:val="clear" w:color="auto" w:fill="auto"/>
            <w:vAlign w:val="center"/>
          </w:tcPr>
          <w:p w14:paraId="204CBAA2">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0.18%</w:t>
            </w:r>
          </w:p>
        </w:tc>
      </w:tr>
    </w:tbl>
    <w:p w14:paraId="3E5C2B5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通过上述交易净利润法分析，2021到2023财年加权平均完全成本加成率独立交易区间为3.00%到12.74%，中位值为8.41%。{{清单模板-数据表-B5}}在关联销售中的完全成本加成率为22.93%，在非关联销售中的完全成本加成率为21.63%，均高于可比公司完全成本加成率的中位值。</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p>
    <w:p w14:paraId="70F829D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因此，从中国转让定价的角度，{{清单模板-数据表-B5}}的关联交易的定价符合独立交易原则。</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B69C02B">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694" w:name="_Toc20274"/>
      <w:bookmarkStart w:id="695" w:name="_Toc6438"/>
      <w:bookmarkStart w:id="696" w:name="_Toc76668459"/>
      <w:bookmarkStart w:id="697" w:name="_Toc47700090"/>
      <w:bookmarkStart w:id="698" w:name="_Toc202797607"/>
      <w:r>
        <w:rPr>
          <w:rFonts w:ascii="Arial" w:hAnsi="Arial" w:eastAsia="微软雅黑" w:cs="Arial"/>
          <w:b w:val="0"/>
          <w:i w:val="0"/>
          <w:color w:val="4F81BD" w:themeColor="accent1"/>
          <w:sz w:val="22"/>
          <w:szCs w:val="22"/>
          <w14:textFill>
            <w14:solidFill>
              <w14:schemeClr w14:val="accent1"/>
            </w14:solidFill>
          </w14:textFill>
        </w:rPr>
        <w:t>集团资金融通</w:t>
      </w:r>
      <w:bookmarkEnd w:id="694"/>
      <w:bookmarkEnd w:id="695"/>
      <w:bookmarkEnd w:id="696"/>
      <w:bookmarkEnd w:id="697"/>
      <w:bookmarkEnd w:id="698"/>
    </w:p>
    <w:p w14:paraId="22FE322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如之前章节所述，参与集团现金池的成员为经营稳定的{{清单模板-数据表-B5}}的国内关联公司，因此现金池存在的风险有限。银行作为值得信赖的独立性机构，负责管理集团现金池各成员账户余额，并计算现金池发生的资金借贷相关的利息。</w:t>
      </w:r>
    </w:p>
    <w:p w14:paraId="0CD5BCE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根据斯必克流体参与的集团现金池协议，{{清单模板-数据表-B2}}现金池适用的贷款利率为0.50%。如果参与现金池的集团成员公司需要流动资金，并且选择向银行申请贷款，适用的利率水平为下表所示一年内人民币贷款基准利率。比较可见，现金池适用的贷款利率低于同期短期人民币贷款基准利率及贷款市场报价利率（“LPR”），即需要资金的集团成员公司可以以比从银行借款更优惠的资金使用成本从关联方借入资金。</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EBBF9F9">
      <w:pPr>
        <w:spacing w:before="0" w:after="0"/>
        <w:ind w:left="0" w:right="0"/>
        <w:jc w:val="left"/>
        <w:rPr>
          <w:rFonts w:ascii="Arial" w:hAnsi="Arial" w:eastAsia="微软雅黑" w:cs="Arial"/>
          <w:b/>
          <w:kern w:val="2"/>
          <w:sz w:val="18"/>
          <w:szCs w:val="18"/>
        </w:rPr>
      </w:pPr>
      <w:r>
        <w:rPr>
          <w:rFonts w:ascii="Arial" w:hAnsi="Arial" w:eastAsia="微软雅黑" w:cs="Arial"/>
          <w:bCs/>
          <w:sz w:val="18"/>
          <w:szCs w:val="18"/>
        </w:rPr>
        <w:br w:type="page"/>
      </w:r>
    </w:p>
    <w:p w14:paraId="0C71B76D">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图表24：中国人民银行{{清单模板-数据表-B2}}贷款利率与现金池委托贷款利率比较</w:t>
      </w:r>
      <w:r>
        <w:rPr>
          <w:rFonts w:ascii="Arial" w:hAnsi="Arial" w:eastAsia="微软雅黑" w:cs="Arial"/>
          <w:bCs w:val="0"/>
          <w:sz w:val="18"/>
          <w:szCs w:val="18"/>
          <w:vertAlign w:val="superscript"/>
        </w:rPr>
        <w:footnoteReference w:id="34"/>
      </w:r>
    </w:p>
    <w:tbl>
      <w:tblPr>
        <w:tblStyle w:val="3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2064"/>
        <w:gridCol w:w="2330"/>
        <w:gridCol w:w="2265"/>
      </w:tblGrid>
      <w:tr w14:paraId="3E8C5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93" w:type="pct"/>
            <w:shd w:val="clear" w:color="auto" w:fill="4F81BD" w:themeFill="accent1"/>
            <w:vAlign w:val="center"/>
          </w:tcPr>
          <w:p w14:paraId="07EDCC37">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{{清单模板-2_关联公司信息}}</w:t>
            </w:r>
          </w:p>
        </w:tc>
        <w:tc>
          <w:tcPr>
            <w:tcW w:w="1211" w:type="pct"/>
            <w:shd w:val="clear" w:color="auto" w:fill="4F81BD" w:themeFill="accent1"/>
            <w:vAlign w:val="center"/>
          </w:tcPr>
          <w:p w14:paraId="48C00344">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hint="eastAsia" w:ascii="Arial" w:hAnsi="Arial" w:eastAsia="微软雅黑" w:cs="Arial"/>
                <w:b/>
                <w:color w:val="FFFFFF" w:themeColor="background1"/>
                <w:sz w:val="18"/>
                <w:szCs w:val="18"/>
                <w14:textFill>
                  <w14:solidFill>
                    <w14:schemeClr w14:val="bg1"/>
                  </w14:solidFill>
                </w14:textFill>
              </w:rPr>
              <w:t xml:space="preserve"/>
            </w:r>
            <w:r>
              <w:rPr>
                <w:rFonts w:ascii="Arial" w:hAnsi="Arial" w:eastAsia="微软雅黑" w:cs="Arial"/>
                <w:b/>
                <w:color w:val="FFFFFF" w:themeColor="background1"/>
                <w:sz w:val="18"/>
                <w:szCs w:val="18"/>
                <w14:textFill>
                  <w14:solidFill>
                    <w14:schemeClr w14:val="bg1"/>
                  </w14:solidFill>
                </w14:textFill>
              </w:rPr>
              <w:t/>
            </w:r>
          </w:p>
        </w:tc>
        <w:tc>
          <w:tcPr>
            <w:tcW w:w="1367" w:type="pct"/>
            <w:shd w:val="clear" w:color="auto" w:fill="4F81BD" w:themeFill="accent1"/>
            <w:vAlign w:val="center"/>
          </w:tcPr>
          <w:p w14:paraId="094A3045">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c>
          <w:tcPr>
            <w:tcW w:w="1329" w:type="pct"/>
            <w:shd w:val="clear" w:color="auto" w:fill="4F81BD" w:themeFill="accent1"/>
            <w:vAlign w:val="center"/>
          </w:tcPr>
          <w:p w14:paraId="7E2A79B7">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r>
    </w:tbl>
    <w:p w14:paraId="6676F48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同时，评估期间，如果现金池成员公司希望在保证资金流动性的前提下运用闲置资金，适用的银行同期活期存款的市场利率如下表所示。根据现金池协议，{{清单模板-数据表-B2}}现金池适用的存款利率为0.50%。这一利率高于同期活期存款的市场利率，即富余资金的集团成员公司可以获取比存入银行更高的资金收益向关联方借出资金。</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C90FE38">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图表25：中国人民银行{{清单模板-数据表-B2}}存款利率与现金池委托存款利率比较</w:t>
      </w:r>
      <w:r>
        <w:rPr>
          <w:rFonts w:hint="eastAsia" w:ascii="Arial" w:hAnsi="Arial" w:eastAsia="微软雅黑" w:cs="Arial"/>
          <w:bCs w:val="0"/>
          <w:sz w:val="18"/>
          <w:szCs w:val="18"/>
        </w:rPr>
        <w:t/>
      </w:r>
      <w:r>
        <w:rPr>
          <w:rFonts w:ascii="Arial" w:hAnsi="Arial" w:eastAsia="微软雅黑" w:cs="Arial"/>
          <w:bCs w:val="0"/>
          <w:sz w:val="18"/>
          <w:szCs w:val="18"/>
        </w:rPr>
        <w:t/>
      </w:r>
      <w:r>
        <w:rPr>
          <w:rFonts w:ascii="Arial" w:hAnsi="Arial" w:eastAsia="微软雅黑" w:cs="Arial"/>
          <w:bCs w:val="0"/>
          <w:sz w:val="18"/>
          <w:szCs w:val="18"/>
          <w:vertAlign w:val="superscript"/>
        </w:rPr>
        <w:footnoteReference w:id="35"/>
      </w:r>
    </w:p>
    <w:tbl>
      <w:tblPr>
        <w:tblStyle w:val="30"/>
        <w:tblW w:w="836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2"/>
        <w:gridCol w:w="3307"/>
        <w:gridCol w:w="2505"/>
      </w:tblGrid>
      <w:tr w14:paraId="3C44A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552" w:type="dxa"/>
            <w:shd w:val="clear" w:color="auto" w:fill="4F81BD" w:themeFill="accent1"/>
            <w:vAlign w:val="center"/>
          </w:tcPr>
          <w:p w14:paraId="77119193">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评估期间</w:t>
            </w:r>
          </w:p>
        </w:tc>
        <w:tc>
          <w:tcPr>
            <w:tcW w:w="3307" w:type="dxa"/>
            <w:shd w:val="clear" w:color="auto" w:fill="4F81BD" w:themeFill="accent1"/>
            <w:vAlign w:val="center"/>
          </w:tcPr>
          <w:p w14:paraId="780AB86C">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活期存款利率</w:t>
            </w:r>
          </w:p>
        </w:tc>
        <w:tc>
          <w:tcPr>
            <w:tcW w:w="2505" w:type="dxa"/>
            <w:shd w:val="clear" w:color="auto" w:fill="4F81BD" w:themeFill="accent1"/>
            <w:vAlign w:val="center"/>
          </w:tcPr>
          <w:p w14:paraId="4E520989">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集团现金池存款利率</w:t>
            </w:r>
          </w:p>
        </w:tc>
      </w:tr>
      <w:tr w14:paraId="0CB34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552" w:type="dxa"/>
            <w:shd w:val="clear" w:color="auto" w:fill="auto"/>
            <w:vAlign w:val="center"/>
          </w:tcPr>
          <w:p w14:paraId="3000889F">
            <w:pPr>
              <w:widowControl w:val="0"/>
              <w:snapToGrid w:val="0"/>
              <w:jc w:val="center"/>
              <w:rPr>
                <w:rFonts w:ascii="Arial" w:hAnsi="Arial" w:eastAsia="微软雅黑" w:cs="Arial"/>
                <w:sz w:val="18"/>
                <w:szCs w:val="18"/>
              </w:rPr>
            </w:pPr>
            <w:r>
              <w:rPr>
                <w:rFonts w:ascii="Arial" w:hAnsi="Arial" w:eastAsia="微软雅黑" w:cs="Arial"/>
                <w:sz w:val="18"/>
                <w:szCs w:val="18"/>
              </w:rPr>
              <w:t>{{清单模板-数据表-B2}}</w:t>
            </w:r>
          </w:p>
        </w:tc>
        <w:tc>
          <w:tcPr>
            <w:tcW w:w="3307" w:type="dxa"/>
            <w:shd w:val="clear" w:color="auto" w:fill="auto"/>
            <w:vAlign w:val="center"/>
          </w:tcPr>
          <w:p w14:paraId="1F86105C">
            <w:pPr>
              <w:widowControl w:val="0"/>
              <w:snapToGrid w:val="0"/>
              <w:jc w:val="center"/>
              <w:rPr>
                <w:rFonts w:ascii="Arial" w:hAnsi="Arial" w:eastAsia="微软雅黑" w:cs="Arial"/>
                <w:sz w:val="18"/>
                <w:szCs w:val="18"/>
              </w:rPr>
            </w:pPr>
            <w:r>
              <w:rPr>
                <w:rFonts w:ascii="Arial" w:hAnsi="Arial" w:eastAsia="微软雅黑" w:cs="Arial"/>
                <w:sz w:val="18"/>
                <w:szCs w:val="18"/>
              </w:rPr>
              <w:t>0.35%</w:t>
            </w:r>
          </w:p>
        </w:tc>
        <w:tc>
          <w:tcPr>
            <w:tcW w:w="2505" w:type="dxa"/>
            <w:shd w:val="clear" w:color="auto" w:fill="auto"/>
            <w:vAlign w:val="center"/>
          </w:tcPr>
          <w:p w14:paraId="752E4FAB">
            <w:pPr>
              <w:widowControl w:val="0"/>
              <w:snapToGrid w:val="0"/>
              <w:jc w:val="center"/>
              <w:rPr>
                <w:rFonts w:ascii="Arial" w:hAnsi="Arial" w:eastAsia="微软雅黑" w:cs="Arial"/>
                <w:sz w:val="18"/>
                <w:szCs w:val="18"/>
              </w:rPr>
            </w:pPr>
            <w:r>
              <w:rPr>
                <w:rFonts w:ascii="Arial" w:hAnsi="Arial" w:eastAsia="微软雅黑" w:cs="Arial"/>
                <w:sz w:val="18"/>
                <w:szCs w:val="18"/>
              </w:rPr>
              <w:t>0.50%</w:t>
            </w:r>
          </w:p>
        </w:tc>
      </w:tr>
    </w:tbl>
    <w:p w14:paraId="53BC097D">
      <w:pPr>
        <w:snapToGrid w:val="0"/>
        <w:spacing w:before="156" w:beforeLines="50" w:after="156" w:afterLines="50"/>
        <w:ind w:firstLine="440" w:firstLineChars="200"/>
        <w:rPr>
          <w:rFonts w:ascii="Arial" w:hAnsi="Arial" w:eastAsia="微软雅黑" w:cs="Arial"/>
          <w:color w:val="3F9C35"/>
          <w:sz w:val="28"/>
          <w:szCs w:val="22"/>
        </w:rPr>
      </w:pPr>
      <w:r>
        <w:rPr>
          <w:rFonts w:ascii="Arial" w:hAnsi="Arial" w:eastAsia="微软雅黑" w:cs="Arial"/>
          <w:sz w:val="22"/>
          <w:szCs w:val="22"/>
        </w:rPr>
        <w:t>综上，集团现金池的设立及安排对资金富余方及资金需求方而言，都较无集团现金池的安排更为有利。因此，集团现金池的资金融通交易符合独立交易的原则。</w:t>
      </w:r>
    </w:p>
    <w:p w14:paraId="6FC4E376">
      <w:pPr>
        <w:snapToGrid w:val="0"/>
        <w:spacing w:before="0" w:after="0"/>
        <w:ind w:left="0" w:right="0"/>
        <w:jc w:val="left"/>
        <w:rPr>
          <w:rFonts w:ascii="Arial" w:hAnsi="Arial" w:eastAsia="微软雅黑" w:cs="Arial"/>
          <w:color w:val="3F9C35"/>
          <w:sz w:val="28"/>
          <w:szCs w:val="22"/>
        </w:rPr>
      </w:pPr>
      <w:bookmarkStart w:id="699" w:name="_Toc4739"/>
      <w:bookmarkStart w:id="700" w:name="_Toc76668460"/>
      <w:bookmarkStart w:id="701" w:name="_Toc47700091"/>
      <w:bookmarkStart w:id="702" w:name="_Toc522015259"/>
      <w:bookmarkStart w:id="703" w:name="_Toc16358"/>
      <w:bookmarkStart w:id="704" w:name="_Toc10869"/>
      <w:r>
        <w:rPr>
          <w:rFonts w:ascii="Arial" w:hAnsi="Arial" w:eastAsia="微软雅黑" w:cs="Arial"/>
          <w:color w:val="3F9C35"/>
          <w:sz w:val="28"/>
          <w:szCs w:val="22"/>
        </w:rPr>
        <w:br w:type="page"/>
      </w:r>
    </w:p>
    <w:p w14:paraId="6F572B03">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05" w:name="_Toc202797608"/>
      <w:r>
        <w:rPr>
          <w:rFonts w:ascii="Arial" w:hAnsi="Arial" w:eastAsia="微软雅黑" w:cs="Arial"/>
          <w:color w:val="4F81BD" w:themeColor="accent1"/>
          <w:sz w:val="28"/>
          <w:szCs w:val="22"/>
          <w14:textFill>
            <w14:solidFill>
              <w14:schemeClr w14:val="accent1"/>
            </w14:solidFill>
          </w14:textFill>
        </w:rPr>
        <w:t>结论</w:t>
      </w:r>
      <w:bookmarkEnd w:id="699"/>
      <w:bookmarkEnd w:id="700"/>
      <w:bookmarkEnd w:id="701"/>
      <w:bookmarkEnd w:id="702"/>
      <w:bookmarkEnd w:id="703"/>
      <w:bookmarkEnd w:id="704"/>
      <w:bookmarkEnd w:id="705"/>
    </w:p>
    <w:p w14:paraId="47F4E7BC">
      <w:pPr>
        <w:snapToGrid w:val="0"/>
        <w:spacing w:before="156" w:beforeLines="50" w:after="156" w:afterLines="50"/>
        <w:ind w:firstLine="440" w:firstLineChars="200"/>
        <w:rPr>
          <w:rFonts w:ascii="Arial" w:hAnsi="Arial" w:eastAsia="微软雅黑" w:cs="Arial"/>
          <w:sz w:val="22"/>
          <w:szCs w:val="22"/>
        </w:rPr>
      </w:pPr>
      <w:bookmarkStart w:id="706" w:name="_Toc27375"/>
      <w:r>
        <w:rPr>
          <w:rFonts w:ascii="Arial" w:hAnsi="Arial" w:eastAsia="微软雅黑" w:cs="Arial"/>
          <w:sz w:val="22"/>
          <w:szCs w:val="22"/>
        </w:rPr>
        <w:t xml:space="preserve">根据分析，可比公司2021到2023财年加权平均完全成本加成率独立交易区间为3.00%到12.74%，中位值为8.41%。{{清单模板-数据表-B5}}在关联销售中的完全成本加成率为22.93%，在非关联销售中的完全成本加成率为21.63%，均高于中位值，因此，从中国转让定价的角度，我们认为{{清单模板-数据表-B5}}的受测关联交易符合独立交易原则。</w:t>
      </w:r>
      <w:r>
        <w:rPr>
          <w:rFonts w:ascii="Arial" w:hAnsi="Arial" w:eastAsia="微软雅黑" w:cs="Arial"/>
          <w:color w:val="000000"/>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bookmarkEnd w:id="706"/>
    <w:p w14:paraId="196B012C">
      <w:pPr>
        <w:snapToGrid w:val="0"/>
        <w:spacing w:before="156" w:beforeLines="50" w:after="156" w:afterLines="50"/>
        <w:rPr>
          <w:rFonts w:ascii="Arial" w:hAnsi="Arial" w:eastAsia="微软雅黑" w:cs="Arial"/>
          <w:sz w:val="22"/>
          <w:szCs w:val="22"/>
        </w:rPr>
      </w:pPr>
      <w:r>
        <w:rPr>
          <w:rFonts w:ascii="Arial" w:hAnsi="Arial" w:eastAsia="微软雅黑" w:cs="Arial"/>
          <w:sz w:val="22"/>
          <w:szCs w:val="22"/>
        </w:rPr>
        <w:br w:type="page"/>
      </w:r>
    </w:p>
    <w:p w14:paraId="1D48326D">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07" w:name="_Toc522015260"/>
      <w:bookmarkStart w:id="708" w:name="_Toc13519"/>
      <w:bookmarkStart w:id="709" w:name="_Toc47700092"/>
      <w:bookmarkStart w:id="710" w:name="_Toc76668461"/>
      <w:bookmarkStart w:id="711" w:name="_Toc202797609"/>
      <w:bookmarkStart w:id="712" w:name="_Toc31924"/>
      <w:r>
        <w:rPr>
          <w:rFonts w:ascii="Arial" w:hAnsi="Arial" w:eastAsia="微软雅黑" w:cs="Arial"/>
          <w:color w:val="4F81BD" w:themeColor="accent1"/>
          <w:sz w:val="28"/>
          <w:szCs w:val="22"/>
          <w14:textFill>
            <w14:solidFill>
              <w14:schemeClr w14:val="accent1"/>
            </w14:solidFill>
          </w14:textFill>
        </w:rPr>
        <w:t xml:space="preserve">附件列表</w:t>
      </w:r>
      <w:bookmarkEnd w:id="707"/>
      <w:r>
        <w:rPr>
          <w:rFonts w:ascii="Arial" w:hAnsi="Arial" w:eastAsia="微软雅黑" w:cs="Arial"/>
          <w:color w:val="4F81BD" w:themeColor="accent1"/>
          <w:sz w:val="28"/>
          <w:szCs w:val="22"/>
          <w14:textFill>
            <w14:solidFill>
              <w14:schemeClr w14:val="accent1"/>
            </w14:solidFill>
          </w14:textFill>
        </w:rPr>
        <w:t/>
      </w:r>
      <w:bookmarkEnd w:id="708"/>
      <w:bookmarkEnd w:id="709"/>
      <w:bookmarkEnd w:id="710"/>
      <w:bookmarkEnd w:id="711"/>
      <w:bookmarkEnd w:id="712"/>
    </w:p>
    <w:p w14:paraId="05CC3CF6">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附件1转让定价方法简介</w:t>
      </w:r>
    </w:p>
    <w:p w14:paraId="074B54AE">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附件2企业年度关联交易财务状况分析表</w:t>
      </w:r>
    </w:p>
    <w:p w14:paraId="6FFC4A3C">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 xml:space="preserve">附件3可比公司业务描述</w:t>
      </w:r>
      <w:r>
        <w:rPr>
          <w:rFonts w:hint="eastAsia" w:ascii="Arial" w:hAnsi="Arial" w:eastAsia="微软雅黑" w:cs="Arial"/>
          <w:sz w:val="22"/>
          <w:szCs w:val="22"/>
        </w:rPr>
        <w:t/>
      </w:r>
    </w:p>
    <w:p w14:paraId="3CB8D463">
      <w:pPr>
        <w:snapToGrid w:val="0"/>
        <w:spacing w:before="156" w:beforeLines="50" w:after="156" w:afterLines="50"/>
        <w:ind w:left="0" w:right="0" w:firstLine="22" w:firstLineChars="10"/>
        <w:rPr>
          <w:rFonts w:ascii="Arial" w:hAnsi="Arial" w:eastAsia="微软雅黑" w:cs="Arial"/>
          <w:sz w:val="22"/>
          <w:szCs w:val="22"/>
        </w:rPr>
      </w:pPr>
      <w:r>
        <w:rPr>
          <w:rFonts w:hint="eastAsia" w:ascii="Arial" w:hAnsi="Arial" w:eastAsia="微软雅黑" w:cs="Arial"/>
          <w:sz w:val="22"/>
          <w:szCs w:val="22"/>
        </w:rPr>
        <w:t>附件4可比公司财务信息</w:t>
      </w:r>
    </w:p>
    <w:p w14:paraId="19B8A5B8">
      <w:pPr>
        <w:snapToGrid w:val="0"/>
        <w:rPr>
          <w:rFonts w:ascii="Arial" w:hAnsi="Arial" w:eastAsia="微软雅黑" w:cs="Arial"/>
          <w:sz w:val="22"/>
          <w:szCs w:val="22"/>
        </w:rPr>
      </w:pPr>
      <w:r>
        <w:rPr>
          <w:rFonts w:ascii="Arial" w:hAnsi="Arial" w:eastAsia="微软雅黑" w:cs="Arial"/>
          <w:sz w:val="22"/>
          <w:szCs w:val="22"/>
        </w:rPr>
        <w:br w:type="page"/>
      </w:r>
    </w:p>
    <w:p w14:paraId="63D07C56">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13" w:name="_Toc28500"/>
      <w:bookmarkStart w:id="714" w:name="_Toc202797610"/>
      <w:bookmarkStart w:id="715" w:name="_Toc12335"/>
      <w:bookmarkStart w:id="716" w:name="_Toc76668462"/>
      <w:bookmarkStart w:id="717" w:name="_Toc47700093"/>
      <w:bookmarkStart w:id="718" w:name="_Toc522015262"/>
      <w:r>
        <w:rPr>
          <w:rFonts w:ascii="Arial" w:hAnsi="Arial" w:eastAsia="微软雅黑" w:cs="Arial"/>
          <w:color w:val="4F81BD" w:themeColor="accent1"/>
          <w:sz w:val="28"/>
          <w:szCs w:val="22"/>
          <w14:textFill>
            <w14:solidFill>
              <w14:schemeClr w14:val="accent1"/>
            </w14:solidFill>
          </w14:textFill>
        </w:rPr>
        <w:t>附件1转让定价方法简介</w:t>
      </w:r>
      <w:bookmarkEnd w:id="713"/>
      <w:bookmarkEnd w:id="714"/>
      <w:bookmarkEnd w:id="715"/>
      <w:bookmarkEnd w:id="716"/>
      <w:bookmarkEnd w:id="717"/>
      <w:bookmarkEnd w:id="718"/>
      <w:bookmarkStart w:id="737" w:name="_GoBack"/>
      <w:bookmarkEnd w:id="737"/>
      <w:bookmarkStart w:id="719" w:name="_Hlk417658624"/>
    </w:p>
    <w:bookmarkEnd w:id="719"/>
    <w:p w14:paraId="15950C2D">
      <w:pPr>
        <w:snapToGrid w:val="0"/>
        <w:rPr>
          <w:rFonts w:ascii="Arial" w:hAnsi="Arial" w:eastAsia="微软雅黑" w:cs="Arial"/>
          <w:b/>
          <w:bCs/>
          <w:i/>
          <w:color w:val="4F81BD" w:themeColor="accent1"/>
          <w:sz w:val="22"/>
          <w:szCs w:val="28"/>
          <w14:textFill>
            <w14:solidFill>
              <w14:schemeClr w14:val="accent1"/>
            </w14:solidFill>
          </w14:textFill>
        </w:rPr>
      </w:pPr>
      <w:r>
        <w:rPr>
          <w:rFonts w:ascii="Arial" w:hAnsi="Arial" w:eastAsia="微软雅黑" w:cs="Arial"/>
          <w:b/>
          <w:bCs/>
          <w:i/>
          <w:color w:val="4F81BD" w:themeColor="accent1"/>
          <w:sz w:val="22"/>
          <w:szCs w:val="28"/>
          <w14:textFill>
            <w14:solidFill>
              <w14:schemeClr w14:val="accent1"/>
            </w14:solidFill>
          </w14:textFill>
        </w:rPr>
        <w:t>可比非受控价格法</w:t>
      </w:r>
    </w:p>
    <w:p w14:paraId="1200C88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[2017]6号公告第17条规定，可比非受控价格法可以适用于所有类型的关联交易。可比非受控价格法以非关联方之间进行的与关联交易相同或类似业务活动所收取的价格作为关联交易的公平成交价格。</w:t>
      </w:r>
    </w:p>
    <w:p w14:paraId="4318D28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受控价格法的适用性取决于可比企业间产品单价的可比性，而其他转让定价方法的适用性则主要取决于可比企业间利润率的可比性。利润率一般会自动调整受控与非受控交易涉及企业所承担的功能不同而造成的差异，但产品单价则无法自动调整。因此，可比非受控价格法对受控和非受控交易中所销售的产品或所提供的服务的可比性要求很高。</w:t>
      </w:r>
    </w:p>
    <w:p w14:paraId="2A50904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因素要求通常很难达到，因为关联与非关联交易在上述可比因素的任一方面或几个方面的一个细微差别都可能对价格产生重大影响。[2017]6号公告第17条虽规定了关联交易与非关联交易之间在以上方面存在重大差异时，应就该差异对价格的影响进行合理调整，但也指出如无法合理调整的，应选择其他合理的转让定价方法。</w:t>
      </w:r>
    </w:p>
    <w:p w14:paraId="6FBCDA52">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再销售价格法</w:t>
      </w:r>
    </w:p>
    <w:p w14:paraId="3B1081C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18条规定，再销售价格法是以关联方购进商品再销售给非关联方的价格减去可比非关联交易毛利后的金额作为关联方购进商品的公平成交价格。根据公平成交价格得到的公平交易毛利理论上应能够弥补被测试方的销售费用及其他营业费用，并根据企业执行的功能、承担的风险及所使用的资产的情况而获取合理的营业利润。</w:t>
      </w:r>
    </w:p>
    <w:p w14:paraId="034EE6F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关联交易毛利率”可根据内部可比交易或外部可比交易数据计算得出。内部可比交易指被测试方（在相似的条件和情况下）既从关联方供应商也从非关联方供应商购买相似的产品，并将产品再销售给非关联方客户的情形。运用外部可比交易则需要对与被测试方宽泛可比的独立企业的毛利率进行可比性分析。</w:t>
      </w:r>
    </w:p>
    <w:p w14:paraId="050046E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[2017]6号公告第18条规定，再销售价格法通常适用于以下交易：</w:t>
      </w:r>
    </w:p>
    <w:p w14:paraId="76AC372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“再销售者未对商品进行改变外型、性能、结构或更换商标等实质性增值加工的简单加工或单纯的购销业务。”</w:t>
      </w:r>
    </w:p>
    <w:p w14:paraId="47CD9979">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成本加成法</w:t>
      </w:r>
    </w:p>
    <w:p w14:paraId="3585834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19条规定，成本加成法是以关联交易发生的合理成本加上可比非关联交易的毛利作为关联交易的公平成交价格。根据公平成交价格得到的公平交易毛利理论上应能够弥补被测试方的生产或服务成本，并根据企业执行的功能、承担的风险及所使用的资产的情况而获取合理的营业利润。</w:t>
      </w:r>
    </w:p>
    <w:p w14:paraId="5E0B4B0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关联交易成本加成率”可根据内部可比交易或外部可比交易数据计算得出。内部可比交易指的是在类似的交易条款和条件下，被测试方同时向关联方和非关联方客户销售类似产品的情形。运用外部可比交易则需要对与被测试方宽泛可比的独立企业的成本加成率进行可比性分析。</w:t>
      </w:r>
    </w:p>
    <w:p w14:paraId="724B64B9">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交易净利润法</w:t>
      </w:r>
    </w:p>
    <w:p w14:paraId="51640B1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[2017]6号公告第20条规定，交易净利润法是以可比非关联交易的利润水平指标确定关联交易的净利润。</w:t>
      </w:r>
    </w:p>
    <w:p w14:paraId="060A2AD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交易净利润法评估受控纳税人在受控交易下的最狭义的商业活动中产生的利润水平。因此，交易净利润法的可比性主要取决于受控和非受控方在相关活动中使用的资金和承担的风险的相似性。根据交易净利润法，可比公司只需大致相似，受控和非受控方之间产品和功能的差异是可以接受的。</w:t>
      </w:r>
    </w:p>
    <w:p w14:paraId="4F19C6B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交易净利润法较其它传统转让定价方法有其明显的优势，《OECD转让定价指南》2.62章节指出:</w:t>
      </w:r>
    </w:p>
    <w:p w14:paraId="2AE8D05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“…净利润指标2承受受控和非受控交易之间的某些功能差别。企业所发挥功能方面的差异，通常反映在营业费用的不同上。”</w:t>
      </w:r>
    </w:p>
    <w:p w14:paraId="408E6BF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利润水平指标可根据内部可比交易或外部可比交易数据计算得出。内部可比交易是指在类似的交易条款下，被测试方既向关联方又向非关联方客户销售相似的产品或提供类似服务的情形。运用外部可比交易则需要对与被测试方宽泛可比的独立企业的利润水平指标进行可比性分析。</w:t>
      </w:r>
    </w:p>
    <w:p w14:paraId="32D1611D">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利润分割法</w:t>
      </w:r>
    </w:p>
    <w:p w14:paraId="258762B7">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[2017]6号公告第21条规定，利润分割法为根据企业与其关联方对关联交易合并利润的贡献计算各自应该分配的利润额。利润分割法适用于各参与方关联交易高度整合且难以单独评估各方交易结果的情况。</w:t>
      </w:r>
    </w:p>
    <w:p w14:paraId="55E2BD67">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[2017]6号公告第21条的规定，利润分割法一般分为以下2种：</w:t>
      </w:r>
    </w:p>
    <w:p w14:paraId="7688F7B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一般利润分割法：一般利润分割法通常根据关联交易各方所执行的功能、承担的风险和使用的资产，采用符合独立交易原则的利润分割方式，确定各方应当取得的合理利润；当难以获取可比交易信息但能合理确定合并利润时，可以结合实际情况考虑与价值贡献相关的收入、成本、费用、资产、雇员人数等因素，分析关联交易各方对价值做出的贡献，将利润在各方之间进行分配。</w:t>
      </w:r>
    </w:p>
    <w:p w14:paraId="7F94763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剩余利润分割法：剩余利润分割法将关联交易各参与方的合并利润减去分配给各方的常规利润的余额作为剩余利润，再根据各方对剩余利润的贡献程度进行分配。</w:t>
      </w:r>
    </w:p>
    <w:p w14:paraId="7D87AEC9">
      <w:pPr>
        <w:snapToGrid w:val="0"/>
        <w:rPr>
          <w:rFonts w:ascii="Arial" w:hAnsi="Arial" w:eastAsia="微软雅黑" w:cs="Arial"/>
          <w:b/>
          <w:bCs/>
          <w:i/>
          <w:color w:val="4F81BD" w:themeColor="accent1"/>
          <w:sz w:val="22"/>
          <w:szCs w:val="22"/>
          <w14:textFill>
            <w14:solidFill>
              <w14:schemeClr w14:val="accent1"/>
            </w14:solidFill>
          </w14:textFill>
        </w:rPr>
      </w:pPr>
      <w:bookmarkStart w:id="720" w:name="OLE_LINK4"/>
      <w:r>
        <w:rPr>
          <w:rFonts w:ascii="Arial" w:hAnsi="Arial" w:eastAsia="微软雅黑" w:cs="Arial"/>
          <w:b/>
          <w:bCs/>
          <w:i/>
          <w:color w:val="4F81BD" w:themeColor="accent1"/>
          <w:sz w:val="22"/>
          <w:szCs w:val="22"/>
          <w14:textFill>
            <w14:solidFill>
              <w14:schemeClr w14:val="accent1"/>
            </w14:solidFill>
          </w14:textFill>
        </w:rPr>
        <w:t>其他符合独立交易原则的方法</w:t>
      </w:r>
    </w:p>
    <w:p w14:paraId="594945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其他符合独立交易原则的方法包括成本法、市场法和收益法等资产评估方法，以及其他能够反映利润与经济活动发生地和价值创造地相匹配原则的方法。</w:t>
      </w:r>
    </w:p>
    <w:p w14:paraId="6B01585A">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成本法</w:t>
      </w:r>
    </w:p>
    <w:p w14:paraId="2DA7623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成本法是以替代或者重置原则为基础，通过在当前市场价格下创造一项相似资产所发生的支出确定评估标的价值的评估方法。成本法适用于能够被替代的资产价值评估。</w:t>
      </w:r>
    </w:p>
    <w:p w14:paraId="0970AD95">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市场法</w:t>
      </w:r>
    </w:p>
    <w:p w14:paraId="42BFE46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市场法是利用市场上相同或者相似资产的近期交易价格，经过直接比较或者类比分析以确定评估标的价值的评估方法。市场法适用于在市场上能找到与评估标的相同或者相似的非关联可比交易信息时的资产价值评估。</w:t>
      </w:r>
    </w:p>
    <w:p w14:paraId="56AB0562">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收益法</w:t>
      </w:r>
    </w:p>
    <w:p w14:paraId="79FA6DFE">
      <w:pPr>
        <w:snapToGrid w:val="0"/>
        <w:spacing w:before="156" w:beforeLines="50" w:after="156" w:afterLines="50"/>
        <w:ind w:firstLine="440" w:firstLineChars="200"/>
        <w:rPr>
          <w:rFonts w:ascii="Arial" w:hAnsi="Arial" w:eastAsia="微软雅黑" w:cs="Arial"/>
          <w:sz w:val="22"/>
          <w:szCs w:val="22"/>
        </w:rPr>
        <w:sectPr>
          <w:pgSz w:w="11906" w:h="16838"/>
          <w:pgMar w:top="1440" w:right="1800" w:bottom="1440" w:left="1800" w:header="851" w:footer="992" w:gutter="0"/>
          <w:cols w:space="720" w:num="1"/>
          <w:docGrid w:type="lines" w:linePitch="312" w:charSpace="0"/>
        </w:sectPr>
      </w:pPr>
      <w:r>
        <w:rPr>
          <w:rFonts w:ascii="Arial" w:hAnsi="Arial" w:eastAsia="微软雅黑" w:cs="Arial"/>
          <w:sz w:val="22"/>
          <w:szCs w:val="22"/>
        </w:rPr>
        <w:t>收益法是通过评估标的未来预期收益现值来确定其价值的评估方法。收益法适用于企业整体资产和可预期未来收益的单项资产评估。</w:t>
      </w:r>
      <w:bookmarkEnd w:id="720"/>
      <w:bookmarkStart w:id="721" w:name="_Hlk417658642"/>
    </w:p>
    <w:p w14:paraId="175AB0F9">
      <w:pPr>
        <w:snapToGrid w:val="0"/>
        <w:spacing w:before="156" w:beforeLines="50" w:after="156" w:afterLines="50"/>
        <w:ind w:firstLine="440" w:firstLineChars="200"/>
        <w:rPr>
          <w:rFonts w:ascii="Arial" w:hAnsi="Arial" w:eastAsia="微软雅黑" w:cs="Arial"/>
          <w:sz w:val="22"/>
          <w:szCs w:val="22"/>
        </w:rPr>
        <w:sectPr>
          <w:type w:val="continuous"/>
          <w:pgSz w:w="11906" w:h="16838"/>
          <w:pgMar w:top="1440" w:right="1800" w:bottom="1440" w:left="1800" w:header="851" w:footer="992" w:gutter="0"/>
          <w:cols w:space="720" w:num="1"/>
          <w:docGrid w:type="lines" w:linePitch="312" w:charSpace="0"/>
        </w:sectPr>
      </w:pPr>
    </w:p>
    <w:p w14:paraId="0D43F223">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22" w:name="_Toc47700094"/>
      <w:bookmarkStart w:id="723" w:name="_Toc12025"/>
      <w:bookmarkStart w:id="724" w:name="_Toc23309"/>
      <w:bookmarkStart w:id="725" w:name="_Toc202797611"/>
      <w:bookmarkStart w:id="726" w:name="_Toc76668463"/>
      <w:r>
        <w:rPr>
          <w:rFonts w:ascii="Arial" w:hAnsi="Arial" w:eastAsia="微软雅黑" w:cs="Arial"/>
          <w:color w:val="4F81BD" w:themeColor="accent1"/>
          <w:sz w:val="28"/>
          <w:szCs w:val="22"/>
          <w14:textFill>
            <w14:solidFill>
              <w14:schemeClr w14:val="accent1"/>
            </w14:solidFill>
          </w14:textFill>
        </w:rPr>
        <w:t>附件2企业年度关联交易财务状况分析表</w:t>
      </w:r>
      <w:bookmarkEnd w:id="722"/>
      <w:bookmarkEnd w:id="723"/>
      <w:bookmarkEnd w:id="724"/>
      <w:bookmarkEnd w:id="725"/>
      <w:bookmarkEnd w:id="726"/>
    </w:p>
    <w:p w14:paraId="02ACEC9B">
      <w:pPr>
        <w:snapToGrid w:val="0"/>
        <w:spacing w:before="163" w:beforeLines="50" w:after="163" w:afterLines="50"/>
        <w:ind w:left="0" w:right="0" w:firstLine="440" w:firstLineChars="200"/>
        <w:rPr>
          <w:rFonts w:ascii="Arial" w:hAnsi="Arial" w:eastAsia="微软雅黑" w:cs="Arial"/>
          <w:sz w:val="22"/>
          <w:szCs w:val="22"/>
        </w:rPr>
      </w:pPr>
      <w:r>
        <w:rPr>
          <w:rFonts w:ascii="Arial" w:hAnsi="Arial" w:eastAsia="微软雅黑" w:cs="Arial"/>
          <w:sz w:val="22"/>
          <w:szCs w:val="22"/>
        </w:rPr>
        <w:t>下表中的财务数据均由{{清单模板-数据表-B5}}提供，所有金额均以人民币元为单位。</w:t>
      </w:r>
    </w:p>
    <w:p w14:paraId="3EFD9927">
      <w:pPr>
        <w:snapToGrid w:val="0"/>
        <w:spacing w:before="163" w:beforeLines="50" w:after="163" w:afterLines="50"/>
        <w:ind w:left="0" w:right="0" w:firstLine="440" w:firstLineChars="200"/>
        <w:rPr>
          <w:rFonts w:ascii="Arial" w:hAnsi="Arial" w:eastAsia="微软雅黑" w:cs="Arial"/>
          <w:sz w:val="22"/>
          <w:szCs w:val="22"/>
        </w:rPr>
      </w:pPr>
      <w:r>
        <w:rPr>
          <w:rFonts w:ascii="Arial" w:hAnsi="Arial" w:eastAsia="微软雅黑" w:cs="Arial"/>
          <w:sz w:val="22"/>
          <w:szCs w:val="22"/>
        </w:rPr>
        <w:t>立信未对提供的财务数据进行核实，也未进行任何的财务分析以验证{{清单模板-数据表-B5}}在下述财务数据中所选用分摊标准的合理性。</w:t>
      </w:r>
    </w:p>
    <w:tbl>
      <w:tblPr>
        <w:tblStyle w:val="29"/>
        <w:tblW w:w="13860"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90"/>
        <w:gridCol w:w="2034"/>
        <w:gridCol w:w="2034"/>
        <w:gridCol w:w="2034"/>
        <w:gridCol w:w="2034"/>
        <w:gridCol w:w="2034"/>
      </w:tblGrid>
      <w:tr w14:paraId="1CAE6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trPr>
        <w:tc>
          <w:tcPr>
            <w:tcW w:w="3690" w:type="dxa"/>
            <w:shd w:val="clear" w:color="auto" w:fill="4F81BD" w:themeFill="accent1"/>
            <w:vAlign w:val="center"/>
          </w:tcPr>
          <w:p w14:paraId="21E93268">
            <w:pPr>
              <w:snapToGrid w:val="0"/>
              <w:spacing w:before="0" w:after="0"/>
              <w:ind w:left="0" w:right="0"/>
              <w:jc w:val="center"/>
              <w:rPr>
                <w:rFonts w:ascii="Arial" w:hAnsi="Arial" w:eastAsia="微软雅黑" w:cs="Arial"/>
                <w:color w:val="000000"/>
                <w:sz w:val="18"/>
                <w:szCs w:val="18"/>
              </w:rPr>
            </w:pPr>
            <w:r>
              <w:rPr>
                <w:rFonts w:ascii="Arial" w:hAnsi="Arial" w:eastAsia="微软雅黑" w:cs="Arial"/>
                <w:b/>
                <w:color w:val="FFFFFF" w:themeColor="background1"/>
                <w:sz w:val="18"/>
                <w:szCs w:val="18"/>
                <w14:textFill>
                  <w14:solidFill>
                    <w14:schemeClr w14:val="bg1"/>
                  </w14:solidFill>
                </w14:textFill>
              </w:rPr>
              <w:t>{{清单模板-4_供应商清单}}</w:t>
            </w:r>
          </w:p>
        </w:tc>
        <w:tc>
          <w:tcPr>
            <w:tcW w:w="2034" w:type="dxa"/>
            <w:shd w:val="clear" w:color="auto" w:fill="4F81BD" w:themeFill="accent1"/>
            <w:vAlign w:val="center"/>
          </w:tcPr>
          <w:p w14:paraId="0A3F83F8">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c>
          <w:tcPr>
            <w:tcW w:w="2034" w:type="dxa"/>
            <w:shd w:val="clear" w:color="auto" w:fill="4F81BD" w:themeFill="accent1"/>
            <w:vAlign w:val="center"/>
          </w:tcPr>
          <w:p w14:paraId="41B67FC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c>
          <w:tcPr>
            <w:tcW w:w="2034" w:type="dxa"/>
            <w:shd w:val="clear" w:color="auto" w:fill="4F81BD" w:themeFill="accent1"/>
            <w:vAlign w:val="center"/>
          </w:tcPr>
          <w:p w14:paraId="11520351">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c>
          <w:tcPr>
            <w:tcW w:w="2034" w:type="dxa"/>
            <w:shd w:val="clear" w:color="auto" w:fill="4F81BD" w:themeFill="accent1"/>
            <w:vAlign w:val="center"/>
          </w:tcPr>
          <w:p w14:paraId="1255E91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c>
          <w:tcPr>
            <w:tcW w:w="2034" w:type="dxa"/>
            <w:shd w:val="clear" w:color="auto" w:fill="4F81BD" w:themeFill="accent1"/>
            <w:vAlign w:val="center"/>
          </w:tcPr>
          <w:p w14:paraId="04DC90D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hint="eastAsia" w:ascii="Arial" w:hAnsi="Arial" w:eastAsia="微软雅黑" w:cs="Arial"/>
                <w:b/>
                <w:color w:val="FFFFFF" w:themeColor="background1"/>
                <w:sz w:val="18"/>
                <w:szCs w:val="18"/>
                <w14:textFill>
                  <w14:solidFill>
                    <w14:schemeClr w14:val="bg1"/>
                  </w14:solidFill>
                </w14:textFill>
              </w:rPr>
              <w:t xml:space="preserve"/>
            </w:r>
            <w:r>
              <w:rPr>
                <w:rFonts w:ascii="Arial" w:hAnsi="Arial" w:eastAsia="微软雅黑" w:cs="Arial"/>
                <w:b/>
                <w:color w:val="FFFFFF" w:themeColor="background1"/>
                <w:sz w:val="18"/>
                <w:szCs w:val="18"/>
                <w14:textFill>
                  <w14:solidFill>
                    <w14:schemeClr w14:val="bg1"/>
                  </w14:solidFill>
                </w14:textFill>
              </w:rPr>
              <w:t/>
            </w:r>
          </w:p>
        </w:tc>
      </w:tr>
    </w:tbl>
    <w:p w14:paraId="0A831B6E">
      <w:pPr>
        <w:snapToGrid w:val="0"/>
        <w:spacing w:before="163" w:beforeLines="50" w:after="163" w:afterLines="50"/>
        <w:ind w:firstLine="440" w:firstLineChars="200"/>
        <w:rPr>
          <w:rFonts w:ascii="Arial" w:hAnsi="Arial" w:eastAsia="微软雅黑" w:cs="Arial"/>
          <w:sz w:val="22"/>
          <w:szCs w:val="22"/>
        </w:rPr>
        <w:sectPr>
          <w:pgSz w:w="16838" w:h="11906" w:orient="landscape"/>
          <w:pgMar w:top="1800" w:right="1440" w:bottom="1800" w:left="1440" w:header="851" w:footer="992" w:gutter="0"/>
          <w:cols w:space="720" w:num="1"/>
          <w:docGrid w:type="lines" w:linePitch="326" w:charSpace="0"/>
        </w:sectPr>
      </w:pPr>
    </w:p>
    <w:p w14:paraId="62BFFB10">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27" w:name="_Toc22734"/>
      <w:bookmarkStart w:id="728" w:name="_Toc76668464"/>
      <w:bookmarkStart w:id="729" w:name="_Toc3584"/>
      <w:bookmarkStart w:id="730" w:name="_Toc202797612"/>
      <w:bookmarkStart w:id="731" w:name="_Toc47700095"/>
      <w:bookmarkStart w:id="732" w:name="_Toc522015263"/>
      <w:r>
        <w:rPr>
          <w:rFonts w:ascii="Arial" w:hAnsi="Arial" w:eastAsia="微软雅黑" w:cs="Arial"/>
          <w:color w:val="4F81BD" w:themeColor="accent1"/>
          <w:sz w:val="28"/>
          <w:szCs w:val="22"/>
          <w14:textFill>
            <w14:solidFill>
              <w14:schemeClr w14:val="accent1"/>
            </w14:solidFill>
          </w14:textFill>
        </w:rPr>
        <w:t xml:space="preserve">附件3可比公司业务描述</w:t>
      </w:r>
      <w:r>
        <w:rPr>
          <w:rFonts w:hint="eastAsia" w:ascii="Arial" w:hAnsi="Arial" w:eastAsia="微软雅黑" w:cs="Arial"/>
          <w:color w:val="4F81BD" w:themeColor="accent1"/>
          <w:sz w:val="28"/>
          <w:szCs w:val="22"/>
          <w14:textFill>
            <w14:solidFill>
              <w14:schemeClr w14:val="accent1"/>
            </w14:solidFill>
          </w14:textFill>
        </w:rPr>
        <w:t/>
      </w:r>
      <w:bookmarkEnd w:id="727"/>
      <w:bookmarkEnd w:id="728"/>
      <w:bookmarkEnd w:id="729"/>
      <w:bookmarkEnd w:id="730"/>
      <w:bookmarkEnd w:id="731"/>
      <w:bookmarkEnd w:id="732"/>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4"/>
        <w:gridCol w:w="4820"/>
        <w:gridCol w:w="1275"/>
        <w:gridCol w:w="7149"/>
      </w:tblGrid>
      <w:tr w14:paraId="6E1AF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04" w:type="dxa"/>
            <w:shd w:val="clear" w:color="auto" w:fill="1F497D"/>
            <w:vAlign w:val="center"/>
          </w:tcPr>
          <w:p w14:paraId="7A0F862D">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{{清单模板-3_分部财务数据}}</w:t>
            </w:r>
          </w:p>
        </w:tc>
        <w:tc>
          <w:tcPr>
            <w:tcW w:w="4820" w:type="dxa"/>
            <w:shd w:val="clear" w:color="auto" w:fill="1F497D"/>
            <w:vAlign w:val="center"/>
          </w:tcPr>
          <w:p w14:paraId="409B65BB">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w:r>
          </w:p>
        </w:tc>
        <w:tc>
          <w:tcPr>
            <w:tcW w:w="1275" w:type="dxa"/>
            <w:shd w:val="clear" w:color="auto" w:fill="1F497D"/>
            <w:vAlign w:val="center"/>
          </w:tcPr>
          <w:p w14:paraId="249A9AAA">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w:r>
          </w:p>
        </w:tc>
        <w:tc>
          <w:tcPr>
            <w:tcW w:w="7149" w:type="dxa"/>
            <w:shd w:val="clear" w:color="auto" w:fill="1F497D"/>
            <w:vAlign w:val="center"/>
          </w:tcPr>
          <w:p w14:paraId="5A2C3C87">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w:r>
          </w:p>
        </w:tc>
      </w:tr>
      <w:bookmarkEnd w:id="721"/>
    </w:tbl>
    <w:p w14:paraId="40520C18">
      <w:pPr>
        <w:snapToGrid w:val="0"/>
        <w:ind w:left="0"/>
        <w:rPr>
          <w:rFonts w:ascii="Arial" w:hAnsi="Arial" w:eastAsia="微软雅黑" w:cs="Arial"/>
          <w:color w:val="3F9C35"/>
          <w:sz w:val="28"/>
          <w:szCs w:val="22"/>
          <w:highlight w:val="yellow"/>
        </w:rPr>
        <w:sectPr>
          <w:headerReference r:id="rId16" w:type="first"/>
          <w:footerReference r:id="rId17" w:type="default"/>
          <w:headerReference r:id="rId15" w:type="even"/>
          <w:pgSz w:w="16838" w:h="11906" w:orient="landscape"/>
          <w:pgMar w:top="1559" w:right="1440" w:bottom="1797" w:left="1440" w:header="851" w:footer="992" w:gutter="0"/>
          <w:pgNumType w:chapStyle="1"/>
          <w:cols w:space="425" w:num="1"/>
          <w:docGrid w:type="linesAndChars" w:linePitch="326" w:charSpace="0"/>
        </w:sectPr>
      </w:pPr>
    </w:p>
    <w:p w14:paraId="26A6CFFC">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33" w:name="_Toc202797613"/>
      <w:r>
        <w:rPr>
          <w:rFonts w:ascii="Arial" w:hAnsi="Arial" w:eastAsia="微软雅黑" w:cs="Arial"/>
          <w:color w:val="4F81BD" w:themeColor="accent1"/>
          <w:sz w:val="28"/>
          <w:szCs w:val="22"/>
          <w14:textFill>
            <w14:solidFill>
              <w14:schemeClr w14:val="accent1"/>
            </w14:solidFill>
          </w14:textFill>
        </w:rPr>
        <w:t xml:space="preserve">附件4可比公司财务信息</w:t>
      </w:r>
      <w:r>
        <w:rPr>
          <w:rFonts w:hint="eastAsia" w:ascii="Arial" w:hAnsi="Arial" w:eastAsia="微软雅黑" w:cs="Arial"/>
          <w:color w:val="4F81BD" w:themeColor="accent1"/>
          <w:sz w:val="28"/>
          <w:szCs w:val="22"/>
          <w14:textFill>
            <w14:solidFill>
              <w14:schemeClr w14:val="accent1"/>
            </w14:solidFill>
          </w14:textFill>
        </w:rPr>
        <w:t/>
      </w:r>
      <w:bookmarkEnd w:id="733"/>
    </w:p>
    <w:tbl>
      <w:tblPr>
        <w:tblStyle w:val="29"/>
        <w:tblW w:w="5000" w:type="pct"/>
        <w:tblInd w:w="0" w:type="dxa"/>
        <w:tblLayout w:type="autofit"/>
        <w:tblCellMar>
          <w:top w:w="0" w:type="dxa"/>
          <w:left w:w="108" w:type="dxa"/>
          <w:bottom w:w="0" w:type="dxa"/>
          <w:right w:w="108" w:type="dxa"/>
        </w:tblCellMar>
      </w:tblPr>
      <w:tblGrid>
        <w:gridCol w:w="1551"/>
        <w:gridCol w:w="1094"/>
        <w:gridCol w:w="1523"/>
        <w:gridCol w:w="1476"/>
        <w:gridCol w:w="1491"/>
        <w:gridCol w:w="1631"/>
      </w:tblGrid>
      <w:tr w14:paraId="39460A7C">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AEE7688">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1）Noritz Corporation（日本）</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7E777280">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000000" w:fill="C6D9F1"/>
            <w:noWrap/>
            <w:vAlign w:val="center"/>
          </w:tcPr>
          <w:p w14:paraId="4F0D11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股票代码:5943</w:t>
            </w:r>
          </w:p>
        </w:tc>
        <w:tc>
          <w:tcPr>
            <w:tcW w:w="625" w:type="pct"/>
            <w:vMerge w:val="restart"/>
            <w:tcBorders>
              <w:top w:val="nil"/>
              <w:left w:val="single" w:color="auto" w:sz="4" w:space="0"/>
              <w:bottom w:val="single" w:color="auto" w:sz="4" w:space="0"/>
              <w:right w:val="single" w:color="auto" w:sz="4" w:space="0"/>
            </w:tcBorders>
            <w:shd w:val="clear" w:color="000000" w:fill="C6D9F1"/>
            <w:noWrap/>
            <w:vAlign w:val="center"/>
          </w:tcPr>
          <w:p w14:paraId="435365E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68" w:type="pct"/>
            <w:vMerge w:val="restart"/>
            <w:tcBorders>
              <w:top w:val="nil"/>
              <w:left w:val="single" w:color="auto" w:sz="4" w:space="0"/>
              <w:bottom w:val="single" w:color="auto" w:sz="4" w:space="0"/>
              <w:right w:val="single" w:color="auto" w:sz="4" w:space="0"/>
            </w:tcBorders>
            <w:shd w:val="clear" w:color="000000" w:fill="C6D9F1"/>
            <w:noWrap/>
            <w:vAlign w:val="center"/>
          </w:tcPr>
          <w:p w14:paraId="717839E2">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2C518871">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9" w:type="pct"/>
            <w:vMerge w:val="restart"/>
            <w:tcBorders>
              <w:top w:val="nil"/>
              <w:left w:val="single" w:color="auto" w:sz="4" w:space="0"/>
              <w:bottom w:val="single" w:color="auto" w:sz="4" w:space="0"/>
              <w:right w:val="single" w:color="auto" w:sz="4" w:space="0"/>
            </w:tcBorders>
            <w:shd w:val="clear" w:color="000000" w:fill="C6D9F1"/>
            <w:noWrap/>
            <w:vAlign w:val="center"/>
          </w:tcPr>
          <w:p w14:paraId="4EEC1BE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7" w:type="pct"/>
            <w:vMerge w:val="restart"/>
            <w:tcBorders>
              <w:top w:val="nil"/>
              <w:left w:val="single" w:color="auto" w:sz="4" w:space="0"/>
              <w:bottom w:val="single" w:color="auto" w:sz="4" w:space="0"/>
              <w:right w:val="single" w:color="auto" w:sz="4" w:space="0"/>
            </w:tcBorders>
            <w:shd w:val="clear" w:color="000000" w:fill="C6D9F1"/>
            <w:noWrap/>
            <w:vAlign w:val="center"/>
          </w:tcPr>
          <w:p w14:paraId="52F790B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4DDEEE4">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000000" w:fill="C6D9F1"/>
            <w:noWrap/>
            <w:vAlign w:val="center"/>
          </w:tcPr>
          <w:p w14:paraId="4770974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25" w:type="pct"/>
            <w:vMerge w:val="continue"/>
            <w:tcBorders>
              <w:top w:val="nil"/>
              <w:left w:val="single" w:color="auto" w:sz="4" w:space="0"/>
              <w:bottom w:val="single" w:color="auto" w:sz="4" w:space="0"/>
              <w:right w:val="single" w:color="auto" w:sz="4" w:space="0"/>
            </w:tcBorders>
            <w:vAlign w:val="center"/>
          </w:tcPr>
          <w:p w14:paraId="45686585">
            <w:pPr>
              <w:snapToGrid w:val="0"/>
              <w:spacing w:before="0" w:after="0"/>
              <w:ind w:left="0" w:right="0"/>
              <w:jc w:val="left"/>
              <w:rPr>
                <w:rFonts w:ascii="微软雅黑" w:hAnsi="微软雅黑" w:eastAsia="微软雅黑" w:cs="宋体"/>
                <w:b/>
                <w:bCs/>
                <w:sz w:val="18"/>
                <w:szCs w:val="18"/>
              </w:rPr>
            </w:pPr>
          </w:p>
        </w:tc>
        <w:tc>
          <w:tcPr>
            <w:tcW w:w="868" w:type="pct"/>
            <w:vMerge w:val="continue"/>
            <w:tcBorders>
              <w:top w:val="nil"/>
              <w:left w:val="single" w:color="auto" w:sz="4" w:space="0"/>
              <w:bottom w:val="single" w:color="auto" w:sz="4" w:space="0"/>
              <w:right w:val="single" w:color="auto" w:sz="4" w:space="0"/>
            </w:tcBorders>
            <w:vAlign w:val="center"/>
          </w:tcPr>
          <w:p w14:paraId="510B7A47">
            <w:pPr>
              <w:snapToGrid w:val="0"/>
              <w:spacing w:before="0" w:after="0"/>
              <w:ind w:left="0" w:right="0"/>
              <w:jc w:val="left"/>
              <w:rPr>
                <w:rFonts w:ascii="Arial" w:hAnsi="Arial" w:eastAsia="等线" w:cs="Arial"/>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405EE343">
            <w:pPr>
              <w:snapToGrid w:val="0"/>
              <w:spacing w:before="0" w:after="0"/>
              <w:ind w:left="0" w:right="0"/>
              <w:jc w:val="left"/>
              <w:rPr>
                <w:rFonts w:ascii="Arial" w:hAnsi="Arial" w:eastAsia="等线" w:cs="Arial"/>
                <w:b/>
                <w:bCs/>
                <w:sz w:val="18"/>
                <w:szCs w:val="18"/>
              </w:rPr>
            </w:pPr>
          </w:p>
        </w:tc>
        <w:tc>
          <w:tcPr>
            <w:tcW w:w="849" w:type="pct"/>
            <w:vMerge w:val="continue"/>
            <w:tcBorders>
              <w:top w:val="nil"/>
              <w:left w:val="single" w:color="auto" w:sz="4" w:space="0"/>
              <w:bottom w:val="single" w:color="auto" w:sz="4" w:space="0"/>
              <w:right w:val="single" w:color="auto" w:sz="4" w:space="0"/>
            </w:tcBorders>
            <w:vAlign w:val="center"/>
          </w:tcPr>
          <w:p w14:paraId="134169A5">
            <w:pPr>
              <w:snapToGrid w:val="0"/>
              <w:spacing w:before="0" w:after="0"/>
              <w:ind w:left="0" w:right="0"/>
              <w:jc w:val="left"/>
              <w:rPr>
                <w:rFonts w:ascii="Arial" w:hAnsi="Arial" w:eastAsia="等线" w:cs="Arial"/>
                <w:b/>
                <w:bCs/>
                <w:sz w:val="18"/>
                <w:szCs w:val="18"/>
              </w:rPr>
            </w:pPr>
          </w:p>
        </w:tc>
        <w:tc>
          <w:tcPr>
            <w:tcW w:w="927" w:type="pct"/>
            <w:vMerge w:val="continue"/>
            <w:tcBorders>
              <w:top w:val="nil"/>
              <w:left w:val="single" w:color="auto" w:sz="4" w:space="0"/>
              <w:bottom w:val="single" w:color="auto" w:sz="4" w:space="0"/>
              <w:right w:val="single" w:color="auto" w:sz="4" w:space="0"/>
            </w:tcBorders>
            <w:vAlign w:val="center"/>
          </w:tcPr>
          <w:p w14:paraId="4F7E8C6C">
            <w:pPr>
              <w:snapToGrid w:val="0"/>
              <w:spacing w:before="0" w:after="0"/>
              <w:ind w:left="0" w:right="0"/>
              <w:jc w:val="left"/>
              <w:rPr>
                <w:rFonts w:ascii="微软雅黑" w:hAnsi="微软雅黑" w:eastAsia="微软雅黑" w:cs="宋体"/>
                <w:b/>
                <w:bCs/>
                <w:sz w:val="18"/>
                <w:szCs w:val="18"/>
              </w:rPr>
            </w:pPr>
          </w:p>
        </w:tc>
      </w:tr>
      <w:tr w14:paraId="68EFEBDA">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11226AA3">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25" w:type="pct"/>
            <w:tcBorders>
              <w:top w:val="nil"/>
              <w:left w:val="nil"/>
              <w:bottom w:val="single" w:color="auto" w:sz="4" w:space="0"/>
              <w:right w:val="single" w:color="auto" w:sz="4" w:space="0"/>
            </w:tcBorders>
            <w:shd w:val="clear" w:color="auto" w:fill="auto"/>
            <w:noWrap/>
            <w:vAlign w:val="center"/>
          </w:tcPr>
          <w:p w14:paraId="70619F7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523" w:type="dxa"/>
            <w:tcBorders>
              <w:top w:val="nil"/>
              <w:left w:val="nil"/>
              <w:bottom w:val="single" w:color="auto" w:sz="4" w:space="0"/>
              <w:right w:val="single" w:color="auto" w:sz="4" w:space="0"/>
            </w:tcBorders>
            <w:shd w:val="clear" w:color="auto" w:fill="auto"/>
            <w:noWrap/>
            <w:vAlign w:val="center"/>
          </w:tcPr>
          <w:p w14:paraId="6C2F9788">
            <w:pPr>
              <w:snapToGrid/>
              <w:spacing w:before="120" w:after="120"/>
              <w:ind w:left="119" w:right="113"/>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178,142,000</w:t>
            </w:r>
          </w:p>
        </w:tc>
        <w:tc>
          <w:tcPr>
            <w:tcW w:w="1476" w:type="dxa"/>
            <w:tcBorders>
              <w:top w:val="nil"/>
              <w:left w:val="nil"/>
              <w:bottom w:val="single" w:color="auto" w:sz="4" w:space="0"/>
              <w:right w:val="single" w:color="auto" w:sz="4" w:space="0"/>
            </w:tcBorders>
            <w:shd w:val="clear" w:color="auto" w:fill="auto"/>
            <w:noWrap/>
            <w:vAlign w:val="center"/>
          </w:tcPr>
          <w:p w14:paraId="78D52D9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210,966,000</w:t>
            </w:r>
          </w:p>
        </w:tc>
        <w:tc>
          <w:tcPr>
            <w:tcW w:w="1490" w:type="dxa"/>
            <w:tcBorders>
              <w:top w:val="nil"/>
              <w:left w:val="nil"/>
              <w:bottom w:val="single" w:color="auto" w:sz="4" w:space="0"/>
              <w:right w:val="single" w:color="auto" w:sz="4" w:space="0"/>
            </w:tcBorders>
            <w:shd w:val="clear" w:color="auto" w:fill="auto"/>
            <w:noWrap/>
            <w:vAlign w:val="center"/>
          </w:tcPr>
          <w:p w14:paraId="2544184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201,891,000</w:t>
            </w:r>
          </w:p>
        </w:tc>
        <w:tc>
          <w:tcPr>
            <w:tcW w:w="1626" w:type="dxa"/>
            <w:tcBorders>
              <w:top w:val="nil"/>
              <w:left w:val="nil"/>
              <w:bottom w:val="single" w:color="auto" w:sz="4" w:space="0"/>
              <w:right w:val="single" w:color="auto" w:sz="4" w:space="0"/>
            </w:tcBorders>
            <w:shd w:val="clear" w:color="auto" w:fill="auto"/>
            <w:noWrap/>
            <w:vAlign w:val="center"/>
          </w:tcPr>
          <w:p w14:paraId="406475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196,999,667</w:t>
            </w:r>
          </w:p>
        </w:tc>
      </w:tr>
      <w:tr w14:paraId="715F43BC">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5738065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25" w:type="pct"/>
            <w:tcBorders>
              <w:top w:val="nil"/>
              <w:left w:val="nil"/>
              <w:bottom w:val="single" w:color="auto" w:sz="4" w:space="0"/>
              <w:right w:val="single" w:color="auto" w:sz="4" w:space="0"/>
            </w:tcBorders>
            <w:shd w:val="clear" w:color="auto" w:fill="auto"/>
            <w:noWrap/>
            <w:vAlign w:val="center"/>
          </w:tcPr>
          <w:p w14:paraId="1B5883B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523" w:type="dxa"/>
            <w:tcBorders>
              <w:top w:val="nil"/>
              <w:left w:val="nil"/>
              <w:bottom w:val="single" w:color="auto" w:sz="4" w:space="0"/>
              <w:right w:val="single" w:color="auto" w:sz="4" w:space="0"/>
            </w:tcBorders>
            <w:shd w:val="clear" w:color="auto" w:fill="auto"/>
            <w:noWrap/>
            <w:vAlign w:val="center"/>
          </w:tcPr>
          <w:p w14:paraId="2DC1AED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114,556,000</w:t>
            </w:r>
          </w:p>
        </w:tc>
        <w:tc>
          <w:tcPr>
            <w:tcW w:w="1476" w:type="dxa"/>
            <w:tcBorders>
              <w:top w:val="nil"/>
              <w:left w:val="nil"/>
              <w:bottom w:val="single" w:color="auto" w:sz="4" w:space="0"/>
              <w:right w:val="single" w:color="auto" w:sz="4" w:space="0"/>
            </w:tcBorders>
            <w:shd w:val="clear" w:color="auto" w:fill="auto"/>
            <w:noWrap/>
            <w:vAlign w:val="center"/>
          </w:tcPr>
          <w:p w14:paraId="7A5E34A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136,752,000</w:t>
            </w:r>
          </w:p>
        </w:tc>
        <w:tc>
          <w:tcPr>
            <w:tcW w:w="1490" w:type="dxa"/>
            <w:tcBorders>
              <w:top w:val="nil"/>
              <w:left w:val="nil"/>
              <w:bottom w:val="single" w:color="auto" w:sz="4" w:space="0"/>
              <w:right w:val="single" w:color="auto" w:sz="4" w:space="0"/>
            </w:tcBorders>
            <w:shd w:val="clear" w:color="auto" w:fill="auto"/>
            <w:noWrap/>
            <w:vAlign w:val="center"/>
          </w:tcPr>
          <w:p w14:paraId="0B16680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130,311,000</w:t>
            </w:r>
          </w:p>
        </w:tc>
        <w:tc>
          <w:tcPr>
            <w:tcW w:w="1626" w:type="dxa"/>
            <w:tcBorders>
              <w:top w:val="nil"/>
              <w:left w:val="nil"/>
              <w:bottom w:val="single" w:color="auto" w:sz="4" w:space="0"/>
              <w:right w:val="single" w:color="auto" w:sz="4" w:space="0"/>
            </w:tcBorders>
            <w:shd w:val="clear" w:color="auto" w:fill="auto"/>
            <w:noWrap/>
            <w:vAlign w:val="center"/>
          </w:tcPr>
          <w:p w14:paraId="75A2608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127,206,333</w:t>
            </w:r>
          </w:p>
        </w:tc>
      </w:tr>
      <w:tr w14:paraId="4C70A980">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6EB671D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25" w:type="pct"/>
            <w:tcBorders>
              <w:top w:val="nil"/>
              <w:left w:val="nil"/>
              <w:bottom w:val="single" w:color="auto" w:sz="4" w:space="0"/>
              <w:right w:val="single" w:color="auto" w:sz="4" w:space="0"/>
            </w:tcBorders>
            <w:shd w:val="clear" w:color="auto" w:fill="auto"/>
            <w:noWrap/>
            <w:vAlign w:val="center"/>
          </w:tcPr>
          <w:p w14:paraId="683935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523" w:type="dxa"/>
            <w:tcBorders>
              <w:top w:val="nil"/>
              <w:left w:val="nil"/>
              <w:bottom w:val="single" w:color="auto" w:sz="4" w:space="0"/>
              <w:right w:val="single" w:color="auto" w:sz="4" w:space="0"/>
            </w:tcBorders>
            <w:shd w:val="clear" w:color="auto" w:fill="auto"/>
            <w:noWrap/>
            <w:vAlign w:val="center"/>
          </w:tcPr>
          <w:p w14:paraId="75D08E1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63,586,000</w:t>
            </w:r>
          </w:p>
        </w:tc>
        <w:tc>
          <w:tcPr>
            <w:tcW w:w="1476" w:type="dxa"/>
            <w:tcBorders>
              <w:top w:val="nil"/>
              <w:left w:val="nil"/>
              <w:bottom w:val="single" w:color="auto" w:sz="4" w:space="0"/>
              <w:right w:val="single" w:color="auto" w:sz="4" w:space="0"/>
            </w:tcBorders>
            <w:shd w:val="clear" w:color="auto" w:fill="auto"/>
            <w:noWrap/>
            <w:vAlign w:val="center"/>
          </w:tcPr>
          <w:p w14:paraId="5CE9270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74,214,000</w:t>
            </w:r>
          </w:p>
        </w:tc>
        <w:tc>
          <w:tcPr>
            <w:tcW w:w="1490" w:type="dxa"/>
            <w:tcBorders>
              <w:top w:val="nil"/>
              <w:left w:val="nil"/>
              <w:bottom w:val="single" w:color="auto" w:sz="4" w:space="0"/>
              <w:right w:val="single" w:color="auto" w:sz="4" w:space="0"/>
            </w:tcBorders>
            <w:shd w:val="clear" w:color="auto" w:fill="auto"/>
            <w:noWrap/>
            <w:vAlign w:val="center"/>
          </w:tcPr>
          <w:p w14:paraId="778A595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71,580,000</w:t>
            </w:r>
          </w:p>
        </w:tc>
        <w:tc>
          <w:tcPr>
            <w:tcW w:w="1626" w:type="dxa"/>
            <w:tcBorders>
              <w:top w:val="nil"/>
              <w:left w:val="nil"/>
              <w:bottom w:val="single" w:color="auto" w:sz="4" w:space="0"/>
              <w:right w:val="single" w:color="auto" w:sz="4" w:space="0"/>
            </w:tcBorders>
            <w:shd w:val="clear" w:color="auto" w:fill="auto"/>
            <w:noWrap/>
            <w:vAlign w:val="center"/>
          </w:tcPr>
          <w:p w14:paraId="1192EB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69,793,333</w:t>
            </w:r>
          </w:p>
        </w:tc>
      </w:tr>
      <w:tr w14:paraId="4B7BABC4">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1923704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25" w:type="pct"/>
            <w:tcBorders>
              <w:top w:val="nil"/>
              <w:left w:val="nil"/>
              <w:bottom w:val="single" w:color="auto" w:sz="4" w:space="0"/>
              <w:right w:val="single" w:color="auto" w:sz="4" w:space="0"/>
            </w:tcBorders>
            <w:shd w:val="clear" w:color="auto" w:fill="auto"/>
            <w:noWrap/>
            <w:vAlign w:val="center"/>
          </w:tcPr>
          <w:p w14:paraId="7F968F3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523" w:type="dxa"/>
            <w:tcBorders>
              <w:top w:val="nil"/>
              <w:left w:val="nil"/>
              <w:bottom w:val="single" w:color="auto" w:sz="4" w:space="0"/>
              <w:right w:val="single" w:color="auto" w:sz="4" w:space="0"/>
            </w:tcBorders>
            <w:shd w:val="clear" w:color="auto" w:fill="auto"/>
            <w:noWrap/>
            <w:vAlign w:val="center"/>
          </w:tcPr>
          <w:p w14:paraId="4E01C2E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61,086,000</w:t>
            </w:r>
          </w:p>
        </w:tc>
        <w:tc>
          <w:tcPr>
            <w:tcW w:w="1476" w:type="dxa"/>
            <w:tcBorders>
              <w:top w:val="nil"/>
              <w:left w:val="nil"/>
              <w:bottom w:val="single" w:color="auto" w:sz="4" w:space="0"/>
              <w:right w:val="single" w:color="auto" w:sz="4" w:space="0"/>
            </w:tcBorders>
            <w:shd w:val="clear" w:color="auto" w:fill="auto"/>
            <w:noWrap/>
            <w:vAlign w:val="center"/>
          </w:tcPr>
          <w:p w14:paraId="349F8E3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67,440,000</w:t>
            </w:r>
          </w:p>
        </w:tc>
        <w:tc>
          <w:tcPr>
            <w:tcW w:w="1490" w:type="dxa"/>
            <w:tcBorders>
              <w:top w:val="nil"/>
              <w:left w:val="nil"/>
              <w:bottom w:val="single" w:color="auto" w:sz="4" w:space="0"/>
              <w:right w:val="single" w:color="auto" w:sz="4" w:space="0"/>
            </w:tcBorders>
            <w:shd w:val="clear" w:color="auto" w:fill="auto"/>
            <w:noWrap/>
            <w:vAlign w:val="center"/>
          </w:tcPr>
          <w:p w14:paraId="681F631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67,739,000</w:t>
            </w:r>
          </w:p>
        </w:tc>
        <w:tc>
          <w:tcPr>
            <w:tcW w:w="1626" w:type="dxa"/>
            <w:tcBorders>
              <w:top w:val="nil"/>
              <w:left w:val="nil"/>
              <w:bottom w:val="single" w:color="auto" w:sz="4" w:space="0"/>
              <w:right w:val="single" w:color="auto" w:sz="4" w:space="0"/>
            </w:tcBorders>
            <w:shd w:val="clear" w:color="auto" w:fill="auto"/>
            <w:noWrap/>
            <w:vAlign w:val="center"/>
          </w:tcPr>
          <w:p w14:paraId="172A43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65,421,667</w:t>
            </w:r>
          </w:p>
        </w:tc>
      </w:tr>
      <w:tr w14:paraId="454D8E3B">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6279568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25" w:type="pct"/>
            <w:tcBorders>
              <w:top w:val="nil"/>
              <w:left w:val="nil"/>
              <w:bottom w:val="single" w:color="auto" w:sz="4" w:space="0"/>
              <w:right w:val="single" w:color="auto" w:sz="4" w:space="0"/>
            </w:tcBorders>
            <w:shd w:val="clear" w:color="auto" w:fill="auto"/>
            <w:noWrap/>
            <w:vAlign w:val="center"/>
          </w:tcPr>
          <w:p w14:paraId="63F9F24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523" w:type="dxa"/>
            <w:tcBorders>
              <w:top w:val="nil"/>
              <w:left w:val="nil"/>
              <w:bottom w:val="single" w:color="auto" w:sz="4" w:space="0"/>
              <w:right w:val="single" w:color="auto" w:sz="4" w:space="0"/>
            </w:tcBorders>
            <w:shd w:val="clear" w:color="auto" w:fill="auto"/>
            <w:noWrap/>
            <w:vAlign w:val="center"/>
          </w:tcPr>
          <w:p w14:paraId="06CF86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2,500,000</w:t>
            </w:r>
          </w:p>
        </w:tc>
        <w:tc>
          <w:tcPr>
            <w:tcW w:w="1476" w:type="dxa"/>
            <w:tcBorders>
              <w:top w:val="nil"/>
              <w:left w:val="nil"/>
              <w:bottom w:val="single" w:color="auto" w:sz="4" w:space="0"/>
              <w:right w:val="single" w:color="auto" w:sz="4" w:space="0"/>
            </w:tcBorders>
            <w:shd w:val="clear" w:color="auto" w:fill="auto"/>
            <w:noWrap/>
            <w:vAlign w:val="center"/>
          </w:tcPr>
          <w:p w14:paraId="626F47C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6,774,000</w:t>
            </w:r>
          </w:p>
        </w:tc>
        <w:tc>
          <w:tcPr>
            <w:tcW w:w="1490" w:type="dxa"/>
            <w:tcBorders>
              <w:top w:val="nil"/>
              <w:left w:val="nil"/>
              <w:bottom w:val="single" w:color="auto" w:sz="4" w:space="0"/>
              <w:right w:val="single" w:color="auto" w:sz="4" w:space="0"/>
            </w:tcBorders>
            <w:shd w:val="clear" w:color="auto" w:fill="auto"/>
            <w:noWrap/>
            <w:vAlign w:val="center"/>
          </w:tcPr>
          <w:p w14:paraId="6220C94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3,841,000</w:t>
            </w:r>
          </w:p>
        </w:tc>
        <w:tc>
          <w:tcPr>
            <w:tcW w:w="1626" w:type="dxa"/>
            <w:tcBorders>
              <w:top w:val="nil"/>
              <w:left w:val="nil"/>
              <w:bottom w:val="single" w:color="auto" w:sz="4" w:space="0"/>
              <w:right w:val="single" w:color="auto" w:sz="4" w:space="0"/>
            </w:tcBorders>
            <w:shd w:val="clear" w:color="auto" w:fill="auto"/>
            <w:noWrap/>
            <w:vAlign w:val="center"/>
          </w:tcPr>
          <w:p w14:paraId="1ED7511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4,371,667</w:t>
            </w:r>
          </w:p>
        </w:tc>
      </w:tr>
      <w:tr w14:paraId="093AB855">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4B5648D9">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25" w:type="pct"/>
            <w:tcBorders>
              <w:top w:val="nil"/>
              <w:left w:val="nil"/>
              <w:bottom w:val="single" w:color="auto" w:sz="4" w:space="0"/>
              <w:right w:val="single" w:color="auto" w:sz="4" w:space="0"/>
            </w:tcBorders>
            <w:shd w:val="clear" w:color="auto" w:fill="auto"/>
            <w:noWrap/>
            <w:vAlign w:val="center"/>
          </w:tcPr>
          <w:p w14:paraId="48357763">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523" w:type="dxa"/>
            <w:tcBorders>
              <w:top w:val="nil"/>
              <w:left w:val="nil"/>
              <w:bottom w:val="single" w:color="auto" w:sz="4" w:space="0"/>
              <w:right w:val="single" w:color="auto" w:sz="4" w:space="0"/>
            </w:tcBorders>
            <w:shd w:val="clear" w:color="auto" w:fill="auto"/>
            <w:noWrap/>
            <w:vAlign w:val="center"/>
          </w:tcPr>
          <w:p w14:paraId="4631E08A">
            <w:pPr>
              <w:jc w:val="right"/>
              <w:rPr>
                <w:rFonts w:ascii="华文楷体" w:hAnsi="华文楷体" w:eastAsia="华文楷体" w:cs="宋体"/>
                <w:color w:val="000000"/>
                <w:sz w:val="18"/>
                <w:szCs w:val="18"/>
              </w:rPr>
            </w:pPr>
          </w:p>
        </w:tc>
        <w:tc>
          <w:tcPr>
            <w:tcW w:w="1476" w:type="dxa"/>
            <w:tcBorders>
              <w:top w:val="nil"/>
              <w:left w:val="nil"/>
              <w:bottom w:val="single" w:color="auto" w:sz="4" w:space="0"/>
              <w:right w:val="single" w:color="auto" w:sz="4" w:space="0"/>
            </w:tcBorders>
            <w:shd w:val="clear" w:color="auto" w:fill="auto"/>
            <w:noWrap/>
            <w:vAlign w:val="center"/>
          </w:tcPr>
          <w:p w14:paraId="027FE43B">
            <w:pPr>
              <w:jc w:val="right"/>
              <w:rPr>
                <w:rFonts w:ascii="华文楷体" w:hAnsi="华文楷体" w:eastAsia="华文楷体" w:cs="宋体"/>
                <w:color w:val="000000"/>
                <w:sz w:val="18"/>
                <w:szCs w:val="18"/>
              </w:rPr>
            </w:pPr>
          </w:p>
        </w:tc>
        <w:tc>
          <w:tcPr>
            <w:tcW w:w="1490" w:type="dxa"/>
            <w:tcBorders>
              <w:top w:val="nil"/>
              <w:left w:val="nil"/>
              <w:bottom w:val="single" w:color="auto" w:sz="4" w:space="0"/>
              <w:right w:val="single" w:color="auto" w:sz="4" w:space="0"/>
            </w:tcBorders>
            <w:shd w:val="clear" w:color="auto" w:fill="auto"/>
            <w:noWrap/>
            <w:vAlign w:val="center"/>
          </w:tcPr>
          <w:p w14:paraId="7F635397">
            <w:pPr>
              <w:jc w:val="right"/>
              <w:rPr>
                <w:rFonts w:ascii="华文楷体" w:hAnsi="华文楷体" w:eastAsia="华文楷体" w:cs="宋体"/>
                <w:color w:val="000000"/>
                <w:sz w:val="18"/>
                <w:szCs w:val="18"/>
              </w:rPr>
            </w:pPr>
          </w:p>
        </w:tc>
        <w:tc>
          <w:tcPr>
            <w:tcW w:w="1626" w:type="dxa"/>
            <w:tcBorders>
              <w:top w:val="nil"/>
              <w:left w:val="nil"/>
              <w:bottom w:val="single" w:color="auto" w:sz="4" w:space="0"/>
              <w:right w:val="single" w:color="auto" w:sz="4" w:space="0"/>
            </w:tcBorders>
            <w:shd w:val="clear" w:color="auto" w:fill="auto"/>
            <w:noWrap/>
            <w:vAlign w:val="center"/>
          </w:tcPr>
          <w:p w14:paraId="208AD5D9">
            <w:pPr>
              <w:jc w:val="right"/>
              <w:rPr>
                <w:rFonts w:ascii="华文楷体" w:hAnsi="华文楷体" w:eastAsia="华文楷体" w:cs="宋体"/>
                <w:color w:val="000000"/>
                <w:sz w:val="18"/>
                <w:szCs w:val="18"/>
              </w:rPr>
            </w:pPr>
          </w:p>
        </w:tc>
      </w:tr>
      <w:tr w14:paraId="62E7C80D">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4F81BD"/>
            <w:noWrap/>
            <w:vAlign w:val="center"/>
          </w:tcPr>
          <w:p w14:paraId="2CBE47D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25" w:type="pct"/>
            <w:tcBorders>
              <w:top w:val="nil"/>
              <w:left w:val="nil"/>
              <w:bottom w:val="single" w:color="auto" w:sz="4" w:space="0"/>
              <w:right w:val="single" w:color="auto" w:sz="4" w:space="0"/>
            </w:tcBorders>
            <w:shd w:val="clear" w:color="auto" w:fill="4F81BD"/>
            <w:noWrap/>
            <w:vAlign w:val="center"/>
          </w:tcPr>
          <w:p w14:paraId="1AD67DA3">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523" w:type="dxa"/>
            <w:tcBorders>
              <w:top w:val="nil"/>
              <w:left w:val="nil"/>
              <w:bottom w:val="single" w:color="auto" w:sz="4" w:space="0"/>
              <w:right w:val="single" w:color="auto" w:sz="4" w:space="0"/>
            </w:tcBorders>
            <w:shd w:val="clear" w:color="auto" w:fill="4F81BD"/>
            <w:noWrap/>
            <w:vAlign w:val="center"/>
          </w:tcPr>
          <w:p w14:paraId="319EA61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1.42%</w:t>
            </w:r>
          </w:p>
        </w:tc>
        <w:tc>
          <w:tcPr>
            <w:tcW w:w="1476" w:type="dxa"/>
            <w:tcBorders>
              <w:top w:val="nil"/>
              <w:left w:val="nil"/>
              <w:bottom w:val="single" w:color="auto" w:sz="4" w:space="0"/>
              <w:right w:val="single" w:color="auto" w:sz="4" w:space="0"/>
            </w:tcBorders>
            <w:shd w:val="clear" w:color="auto" w:fill="4F81BD"/>
            <w:noWrap/>
            <w:vAlign w:val="center"/>
          </w:tcPr>
          <w:p w14:paraId="2E568BF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3.32%</w:t>
            </w:r>
          </w:p>
        </w:tc>
        <w:tc>
          <w:tcPr>
            <w:tcW w:w="1490" w:type="dxa"/>
            <w:tcBorders>
              <w:top w:val="nil"/>
              <w:left w:val="nil"/>
              <w:bottom w:val="single" w:color="auto" w:sz="4" w:space="0"/>
              <w:right w:val="single" w:color="auto" w:sz="4" w:space="0"/>
            </w:tcBorders>
            <w:shd w:val="clear" w:color="auto" w:fill="4F81BD"/>
            <w:noWrap/>
            <w:vAlign w:val="center"/>
          </w:tcPr>
          <w:p w14:paraId="49441A6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1.94%</w:t>
            </w:r>
          </w:p>
        </w:tc>
        <w:tc>
          <w:tcPr>
            <w:tcW w:w="1626" w:type="dxa"/>
            <w:tcBorders>
              <w:top w:val="nil"/>
              <w:left w:val="nil"/>
              <w:bottom w:val="single" w:color="auto" w:sz="4" w:space="0"/>
              <w:right w:val="single" w:color="auto" w:sz="4" w:space="0"/>
            </w:tcBorders>
            <w:shd w:val="clear" w:color="auto" w:fill="4F81BD"/>
            <w:noWrap/>
            <w:vAlign w:val="center"/>
          </w:tcPr>
          <w:p w14:paraId="54B5F0E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2.27%</w:t>
            </w:r>
          </w:p>
        </w:tc>
      </w:tr>
    </w:tbl>
    <w:p w14:paraId="70F27768">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570"/>
        <w:gridCol w:w="1087"/>
        <w:gridCol w:w="1449"/>
        <w:gridCol w:w="1449"/>
        <w:gridCol w:w="1694"/>
        <w:gridCol w:w="1517"/>
      </w:tblGrid>
      <w:tr w14:paraId="2A2419C8">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0DBC512">
            <w:pPr>
              <w:snapToGrid w:val="0"/>
              <w:spacing w:before="0" w:after="0"/>
              <w:ind w:left="0" w:right="0"/>
              <w:jc w:val="left"/>
              <w:rPr>
                <w:rFonts w:ascii="Arial" w:hAnsi="Arial" w:eastAsia="等线" w:cs="Arial"/>
                <w:b/>
                <w:bCs/>
                <w:color w:val="FFFFFF"/>
                <w:sz w:val="18"/>
                <w:szCs w:val="18"/>
              </w:rPr>
            </w:pPr>
            <w:r>
              <w:rPr>
                <w:rFonts w:hint="eastAsia" w:ascii="Arial" w:hAnsi="Arial" w:eastAsia="等线" w:cs="Arial"/>
                <w:b/>
                <w:bCs/>
                <w:color w:val="FFFFFF"/>
                <w:sz w:val="18"/>
                <w:szCs w:val="18"/>
              </w:rPr>
              <w:t xml:space="preserve">2）Kitz Corporati ON（日本）</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1A871922">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000000" w:fill="C6D9F1"/>
            <w:noWrap/>
            <w:vAlign w:val="center"/>
          </w:tcPr>
          <w:p w14:paraId="45FDEA1E">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股票代码:6498</w:t>
            </w:r>
          </w:p>
        </w:tc>
        <w:tc>
          <w:tcPr>
            <w:tcW w:w="624" w:type="pct"/>
            <w:vMerge w:val="restart"/>
            <w:tcBorders>
              <w:top w:val="nil"/>
              <w:left w:val="single" w:color="auto" w:sz="4" w:space="0"/>
              <w:bottom w:val="single" w:color="auto" w:sz="4" w:space="0"/>
              <w:right w:val="single" w:color="auto" w:sz="4" w:space="0"/>
            </w:tcBorders>
            <w:shd w:val="clear" w:color="000000" w:fill="C6D9F1"/>
            <w:noWrap/>
            <w:vAlign w:val="center"/>
          </w:tcPr>
          <w:p w14:paraId="390B6048">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87" w:type="pct"/>
            <w:vMerge w:val="restart"/>
            <w:tcBorders>
              <w:top w:val="nil"/>
              <w:left w:val="single" w:color="auto" w:sz="4" w:space="0"/>
              <w:bottom w:val="single" w:color="auto" w:sz="4" w:space="0"/>
              <w:right w:val="single" w:color="auto" w:sz="4" w:space="0"/>
            </w:tcBorders>
            <w:shd w:val="clear" w:color="000000" w:fill="C6D9F1"/>
            <w:noWrap/>
            <w:vAlign w:val="center"/>
          </w:tcPr>
          <w:p w14:paraId="04798CC4">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74" w:type="pct"/>
            <w:vMerge w:val="restart"/>
            <w:tcBorders>
              <w:top w:val="nil"/>
              <w:left w:val="single" w:color="auto" w:sz="4" w:space="0"/>
              <w:bottom w:val="single" w:color="auto" w:sz="4" w:space="0"/>
              <w:right w:val="single" w:color="auto" w:sz="4" w:space="0"/>
            </w:tcBorders>
            <w:shd w:val="clear" w:color="000000" w:fill="C6D9F1"/>
            <w:noWrap/>
            <w:vAlign w:val="center"/>
          </w:tcPr>
          <w:p w14:paraId="4619F02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966" w:type="pct"/>
            <w:vMerge w:val="restart"/>
            <w:tcBorders>
              <w:top w:val="nil"/>
              <w:left w:val="single" w:color="auto" w:sz="4" w:space="0"/>
              <w:bottom w:val="single" w:color="auto" w:sz="4" w:space="0"/>
              <w:right w:val="single" w:color="auto" w:sz="4" w:space="0"/>
            </w:tcBorders>
            <w:shd w:val="clear" w:color="000000" w:fill="C6D9F1"/>
            <w:noWrap/>
            <w:vAlign w:val="center"/>
          </w:tcPr>
          <w:p w14:paraId="6C1FD84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1CB9AF4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2F37FB40">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000000" w:fill="C6D9F1"/>
            <w:noWrap/>
            <w:vAlign w:val="center"/>
          </w:tcPr>
          <w:p w14:paraId="4BDBE001">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24" w:type="pct"/>
            <w:vMerge w:val="continue"/>
            <w:tcBorders>
              <w:top w:val="nil"/>
              <w:left w:val="single" w:color="auto" w:sz="4" w:space="0"/>
              <w:bottom w:val="single" w:color="auto" w:sz="4" w:space="0"/>
              <w:right w:val="single" w:color="auto" w:sz="4" w:space="0"/>
            </w:tcBorders>
            <w:vAlign w:val="center"/>
          </w:tcPr>
          <w:p w14:paraId="4D2D581C">
            <w:pPr>
              <w:snapToGrid w:val="0"/>
              <w:spacing w:before="0" w:after="0"/>
              <w:ind w:left="0" w:right="0"/>
              <w:jc w:val="left"/>
              <w:rPr>
                <w:rFonts w:ascii="微软雅黑" w:hAnsi="微软雅黑" w:eastAsia="微软雅黑" w:cs="宋体"/>
                <w:b/>
                <w:bCs/>
                <w:sz w:val="18"/>
                <w:szCs w:val="18"/>
              </w:rPr>
            </w:pPr>
          </w:p>
        </w:tc>
        <w:tc>
          <w:tcPr>
            <w:tcW w:w="787" w:type="pct"/>
            <w:vMerge w:val="continue"/>
            <w:tcBorders>
              <w:top w:val="nil"/>
              <w:left w:val="single" w:color="auto" w:sz="4" w:space="0"/>
              <w:bottom w:val="single" w:color="auto" w:sz="4" w:space="0"/>
              <w:right w:val="single" w:color="auto" w:sz="4" w:space="0"/>
            </w:tcBorders>
            <w:vAlign w:val="center"/>
          </w:tcPr>
          <w:p w14:paraId="5F9A0A87">
            <w:pPr>
              <w:snapToGrid w:val="0"/>
              <w:spacing w:before="0" w:after="0"/>
              <w:ind w:left="0" w:right="0"/>
              <w:jc w:val="left"/>
              <w:rPr>
                <w:rFonts w:ascii="Arial" w:hAnsi="Arial" w:eastAsia="等线" w:cs="Arial"/>
                <w:b/>
                <w:bCs/>
                <w:sz w:val="18"/>
                <w:szCs w:val="18"/>
              </w:rPr>
            </w:pPr>
          </w:p>
        </w:tc>
        <w:tc>
          <w:tcPr>
            <w:tcW w:w="774" w:type="pct"/>
            <w:vMerge w:val="continue"/>
            <w:tcBorders>
              <w:top w:val="nil"/>
              <w:left w:val="single" w:color="auto" w:sz="4" w:space="0"/>
              <w:bottom w:val="single" w:color="auto" w:sz="4" w:space="0"/>
              <w:right w:val="single" w:color="auto" w:sz="4" w:space="0"/>
            </w:tcBorders>
            <w:vAlign w:val="center"/>
          </w:tcPr>
          <w:p w14:paraId="3392CD83">
            <w:pPr>
              <w:snapToGrid w:val="0"/>
              <w:spacing w:before="0" w:after="0"/>
              <w:ind w:left="0" w:right="0"/>
              <w:jc w:val="left"/>
              <w:rPr>
                <w:rFonts w:ascii="Arial" w:hAnsi="Arial" w:eastAsia="等线" w:cs="Arial"/>
                <w:b/>
                <w:bCs/>
                <w:sz w:val="18"/>
                <w:szCs w:val="18"/>
              </w:rPr>
            </w:pPr>
          </w:p>
        </w:tc>
        <w:tc>
          <w:tcPr>
            <w:tcW w:w="966" w:type="pct"/>
            <w:vMerge w:val="continue"/>
            <w:tcBorders>
              <w:top w:val="nil"/>
              <w:left w:val="single" w:color="auto" w:sz="4" w:space="0"/>
              <w:bottom w:val="single" w:color="auto" w:sz="4" w:space="0"/>
              <w:right w:val="single" w:color="auto" w:sz="4" w:space="0"/>
            </w:tcBorders>
            <w:vAlign w:val="center"/>
          </w:tcPr>
          <w:p w14:paraId="21E2E6B8">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18B9E94D">
            <w:pPr>
              <w:snapToGrid w:val="0"/>
              <w:spacing w:before="0" w:after="0"/>
              <w:ind w:left="0" w:right="0"/>
              <w:jc w:val="left"/>
              <w:rPr>
                <w:rFonts w:ascii="微软雅黑" w:hAnsi="微软雅黑" w:eastAsia="微软雅黑" w:cs="宋体"/>
                <w:b/>
                <w:bCs/>
                <w:sz w:val="18"/>
                <w:szCs w:val="18"/>
              </w:rPr>
            </w:pPr>
          </w:p>
        </w:tc>
      </w:tr>
      <w:tr w14:paraId="2D782397">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11AE9CA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24" w:type="pct"/>
            <w:tcBorders>
              <w:top w:val="nil"/>
              <w:left w:val="nil"/>
              <w:bottom w:val="single" w:color="auto" w:sz="4" w:space="0"/>
              <w:right w:val="single" w:color="auto" w:sz="4" w:space="0"/>
            </w:tcBorders>
            <w:shd w:val="clear" w:color="auto" w:fill="auto"/>
            <w:noWrap/>
            <w:vAlign w:val="center"/>
          </w:tcPr>
          <w:p w14:paraId="72BC29F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81" w:type="dxa"/>
            <w:tcBorders>
              <w:top w:val="nil"/>
              <w:left w:val="nil"/>
              <w:bottom w:val="single" w:color="auto" w:sz="4" w:space="0"/>
              <w:right w:val="single" w:color="auto" w:sz="4" w:space="0"/>
            </w:tcBorders>
            <w:shd w:val="clear" w:color="auto" w:fill="auto"/>
            <w:noWrap/>
            <w:vAlign w:val="center"/>
          </w:tcPr>
          <w:p w14:paraId="37A332F6">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135,790,000</w:t>
            </w:r>
          </w:p>
        </w:tc>
        <w:tc>
          <w:tcPr>
            <w:tcW w:w="1358" w:type="dxa"/>
            <w:tcBorders>
              <w:top w:val="nil"/>
              <w:left w:val="nil"/>
              <w:bottom w:val="single" w:color="auto" w:sz="4" w:space="0"/>
              <w:right w:val="single" w:color="auto" w:sz="4" w:space="0"/>
            </w:tcBorders>
            <w:shd w:val="clear" w:color="auto" w:fill="auto"/>
            <w:noWrap/>
            <w:vAlign w:val="center"/>
          </w:tcPr>
          <w:p w14:paraId="0AE6EAC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159,914,000</w:t>
            </w:r>
          </w:p>
        </w:tc>
        <w:tc>
          <w:tcPr>
            <w:tcW w:w="1694" w:type="dxa"/>
            <w:tcBorders>
              <w:top w:val="nil"/>
              <w:left w:val="nil"/>
              <w:bottom w:val="single" w:color="auto" w:sz="4" w:space="0"/>
              <w:right w:val="single" w:color="auto" w:sz="4" w:space="0"/>
            </w:tcBorders>
            <w:shd w:val="clear" w:color="auto" w:fill="auto"/>
            <w:noWrap/>
            <w:vAlign w:val="center"/>
          </w:tcPr>
          <w:p w14:paraId="57CA6F5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166,941,000</w:t>
            </w:r>
          </w:p>
        </w:tc>
        <w:tc>
          <w:tcPr>
            <w:tcW w:w="1517" w:type="dxa"/>
            <w:tcBorders>
              <w:top w:val="nil"/>
              <w:left w:val="nil"/>
              <w:bottom w:val="single" w:color="auto" w:sz="4" w:space="0"/>
              <w:right w:val="single" w:color="auto" w:sz="4" w:space="0"/>
            </w:tcBorders>
            <w:shd w:val="clear" w:color="auto" w:fill="auto"/>
            <w:noWrap/>
            <w:vAlign w:val="center"/>
          </w:tcPr>
          <w:p w14:paraId="0C1F727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154,215,000</w:t>
            </w:r>
          </w:p>
        </w:tc>
      </w:tr>
      <w:tr w14:paraId="3E812819">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74FA2D3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24" w:type="pct"/>
            <w:tcBorders>
              <w:top w:val="nil"/>
              <w:left w:val="nil"/>
              <w:bottom w:val="single" w:color="auto" w:sz="4" w:space="0"/>
              <w:right w:val="single" w:color="auto" w:sz="4" w:space="0"/>
            </w:tcBorders>
            <w:shd w:val="clear" w:color="auto" w:fill="auto"/>
            <w:noWrap/>
            <w:vAlign w:val="center"/>
          </w:tcPr>
          <w:p w14:paraId="3CA4D31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81" w:type="dxa"/>
            <w:tcBorders>
              <w:top w:val="nil"/>
              <w:left w:val="nil"/>
              <w:bottom w:val="single" w:color="auto" w:sz="4" w:space="0"/>
              <w:right w:val="single" w:color="auto" w:sz="4" w:space="0"/>
            </w:tcBorders>
            <w:shd w:val="clear" w:color="auto" w:fill="auto"/>
            <w:noWrap/>
            <w:vAlign w:val="center"/>
          </w:tcPr>
          <w:p w14:paraId="1A432A58">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95,314,000</w:t>
            </w:r>
          </w:p>
        </w:tc>
        <w:tc>
          <w:tcPr>
            <w:tcW w:w="1358" w:type="dxa"/>
            <w:tcBorders>
              <w:top w:val="nil"/>
              <w:left w:val="nil"/>
              <w:bottom w:val="single" w:color="auto" w:sz="4" w:space="0"/>
              <w:right w:val="single" w:color="auto" w:sz="4" w:space="0"/>
            </w:tcBorders>
            <w:shd w:val="clear" w:color="auto" w:fill="auto"/>
            <w:noWrap/>
            <w:vAlign w:val="center"/>
          </w:tcPr>
          <w:p w14:paraId="1DBC37A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115,127,000</w:t>
            </w:r>
          </w:p>
        </w:tc>
        <w:tc>
          <w:tcPr>
            <w:tcW w:w="1694" w:type="dxa"/>
            <w:tcBorders>
              <w:top w:val="nil"/>
              <w:left w:val="nil"/>
              <w:bottom w:val="single" w:color="auto" w:sz="4" w:space="0"/>
              <w:right w:val="single" w:color="auto" w:sz="4" w:space="0"/>
            </w:tcBorders>
            <w:shd w:val="clear" w:color="auto" w:fill="auto"/>
            <w:noWrap/>
            <w:vAlign w:val="center"/>
          </w:tcPr>
          <w:p w14:paraId="58AFD8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117,139,000</w:t>
            </w:r>
          </w:p>
        </w:tc>
        <w:tc>
          <w:tcPr>
            <w:tcW w:w="1517" w:type="dxa"/>
            <w:tcBorders>
              <w:top w:val="nil"/>
              <w:left w:val="nil"/>
              <w:bottom w:val="single" w:color="auto" w:sz="4" w:space="0"/>
              <w:right w:val="single" w:color="auto" w:sz="4" w:space="0"/>
            </w:tcBorders>
            <w:shd w:val="clear" w:color="auto" w:fill="auto"/>
            <w:noWrap/>
            <w:vAlign w:val="center"/>
          </w:tcPr>
          <w:p w14:paraId="6D17A0C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109,193,333</w:t>
            </w:r>
          </w:p>
        </w:tc>
      </w:tr>
      <w:tr w14:paraId="1FD70418">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7BEC2D8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24" w:type="pct"/>
            <w:tcBorders>
              <w:top w:val="nil"/>
              <w:left w:val="nil"/>
              <w:bottom w:val="single" w:color="auto" w:sz="4" w:space="0"/>
              <w:right w:val="single" w:color="auto" w:sz="4" w:space="0"/>
            </w:tcBorders>
            <w:shd w:val="clear" w:color="auto" w:fill="auto"/>
            <w:noWrap/>
            <w:vAlign w:val="center"/>
          </w:tcPr>
          <w:p w14:paraId="2E9AB9A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81" w:type="dxa"/>
            <w:tcBorders>
              <w:top w:val="nil"/>
              <w:left w:val="nil"/>
              <w:bottom w:val="single" w:color="auto" w:sz="4" w:space="0"/>
              <w:right w:val="single" w:color="auto" w:sz="4" w:space="0"/>
            </w:tcBorders>
            <w:shd w:val="clear" w:color="auto" w:fill="auto"/>
            <w:noWrap/>
            <w:vAlign w:val="center"/>
          </w:tcPr>
          <w:p w14:paraId="00D21FF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40,476,000</w:t>
            </w:r>
          </w:p>
        </w:tc>
        <w:tc>
          <w:tcPr>
            <w:tcW w:w="1358" w:type="dxa"/>
            <w:tcBorders>
              <w:top w:val="nil"/>
              <w:left w:val="nil"/>
              <w:bottom w:val="single" w:color="auto" w:sz="4" w:space="0"/>
              <w:right w:val="single" w:color="auto" w:sz="4" w:space="0"/>
            </w:tcBorders>
            <w:shd w:val="clear" w:color="auto" w:fill="auto"/>
            <w:noWrap/>
            <w:vAlign w:val="center"/>
          </w:tcPr>
          <w:p w14:paraId="1820A20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44,787,000</w:t>
            </w:r>
          </w:p>
        </w:tc>
        <w:tc>
          <w:tcPr>
            <w:tcW w:w="1694" w:type="dxa"/>
            <w:tcBorders>
              <w:top w:val="nil"/>
              <w:left w:val="nil"/>
              <w:bottom w:val="single" w:color="auto" w:sz="4" w:space="0"/>
              <w:right w:val="single" w:color="auto" w:sz="4" w:space="0"/>
            </w:tcBorders>
            <w:shd w:val="clear" w:color="auto" w:fill="auto"/>
            <w:noWrap/>
            <w:vAlign w:val="center"/>
          </w:tcPr>
          <w:p w14:paraId="36F44D2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49,802,000</w:t>
            </w:r>
          </w:p>
        </w:tc>
        <w:tc>
          <w:tcPr>
            <w:tcW w:w="1517" w:type="dxa"/>
            <w:tcBorders>
              <w:top w:val="nil"/>
              <w:left w:val="nil"/>
              <w:bottom w:val="single" w:color="auto" w:sz="4" w:space="0"/>
              <w:right w:val="single" w:color="auto" w:sz="4" w:space="0"/>
            </w:tcBorders>
            <w:shd w:val="clear" w:color="auto" w:fill="auto"/>
            <w:noWrap/>
            <w:vAlign w:val="center"/>
          </w:tcPr>
          <w:p w14:paraId="554053A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45,021,667</w:t>
            </w:r>
          </w:p>
        </w:tc>
      </w:tr>
      <w:tr w14:paraId="7D39F4D9">
        <w:tblPrEx>
          <w:tblCellMar>
            <w:top w:w="0" w:type="dxa"/>
            <w:left w:w="108" w:type="dxa"/>
            <w:bottom w:w="0" w:type="dxa"/>
            <w:right w:w="108" w:type="dxa"/>
          </w:tblCellMar>
        </w:tblPrEx>
        <w:trPr>
          <w:trHeight w:val="9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16C4C3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24" w:type="pct"/>
            <w:tcBorders>
              <w:top w:val="nil"/>
              <w:left w:val="nil"/>
              <w:bottom w:val="single" w:color="auto" w:sz="4" w:space="0"/>
              <w:right w:val="single" w:color="auto" w:sz="4" w:space="0"/>
            </w:tcBorders>
            <w:shd w:val="clear" w:color="auto" w:fill="auto"/>
            <w:noWrap/>
            <w:vAlign w:val="center"/>
          </w:tcPr>
          <w:p w14:paraId="159DC95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81" w:type="dxa"/>
            <w:tcBorders>
              <w:top w:val="nil"/>
              <w:left w:val="nil"/>
              <w:bottom w:val="single" w:color="auto" w:sz="4" w:space="0"/>
              <w:right w:val="single" w:color="auto" w:sz="4" w:space="0"/>
            </w:tcBorders>
            <w:shd w:val="clear" w:color="auto" w:fill="auto"/>
            <w:noWrap/>
            <w:vAlign w:val="center"/>
          </w:tcPr>
          <w:p w14:paraId="61430CA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32,707,000</w:t>
            </w:r>
          </w:p>
        </w:tc>
        <w:tc>
          <w:tcPr>
            <w:tcW w:w="1358" w:type="dxa"/>
            <w:tcBorders>
              <w:top w:val="nil"/>
              <w:left w:val="nil"/>
              <w:bottom w:val="single" w:color="auto" w:sz="4" w:space="0"/>
              <w:right w:val="single" w:color="auto" w:sz="4" w:space="0"/>
            </w:tcBorders>
            <w:shd w:val="clear" w:color="auto" w:fill="auto"/>
            <w:noWrap/>
            <w:vAlign w:val="center"/>
          </w:tcPr>
          <w:p w14:paraId="6449B6B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33,735,000</w:t>
            </w:r>
          </w:p>
        </w:tc>
        <w:tc>
          <w:tcPr>
            <w:tcW w:w="1694" w:type="dxa"/>
            <w:tcBorders>
              <w:top w:val="nil"/>
              <w:left w:val="nil"/>
              <w:bottom w:val="single" w:color="auto" w:sz="4" w:space="0"/>
              <w:right w:val="single" w:color="auto" w:sz="4" w:space="0"/>
            </w:tcBorders>
            <w:shd w:val="clear" w:color="auto" w:fill="auto"/>
            <w:noWrap/>
            <w:vAlign w:val="center"/>
          </w:tcPr>
          <w:p w14:paraId="7AF365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36,355,000</w:t>
            </w:r>
          </w:p>
        </w:tc>
        <w:tc>
          <w:tcPr>
            <w:tcW w:w="1517" w:type="dxa"/>
            <w:tcBorders>
              <w:top w:val="nil"/>
              <w:left w:val="nil"/>
              <w:bottom w:val="single" w:color="auto" w:sz="4" w:space="0"/>
              <w:right w:val="single" w:color="auto" w:sz="4" w:space="0"/>
            </w:tcBorders>
            <w:shd w:val="clear" w:color="auto" w:fill="auto"/>
            <w:noWrap/>
            <w:vAlign w:val="center"/>
          </w:tcPr>
          <w:p w14:paraId="669BAC9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34,265,667</w:t>
            </w:r>
          </w:p>
        </w:tc>
      </w:tr>
      <w:tr w14:paraId="2F3D18FD">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337325A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24" w:type="pct"/>
            <w:tcBorders>
              <w:top w:val="nil"/>
              <w:left w:val="nil"/>
              <w:bottom w:val="single" w:color="auto" w:sz="4" w:space="0"/>
              <w:right w:val="single" w:color="auto" w:sz="4" w:space="0"/>
            </w:tcBorders>
            <w:shd w:val="clear" w:color="auto" w:fill="auto"/>
            <w:noWrap/>
            <w:vAlign w:val="center"/>
          </w:tcPr>
          <w:p w14:paraId="6378B5E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81" w:type="dxa"/>
            <w:tcBorders>
              <w:top w:val="nil"/>
              <w:left w:val="nil"/>
              <w:bottom w:val="single" w:color="auto" w:sz="4" w:space="0"/>
              <w:right w:val="single" w:color="auto" w:sz="4" w:space="0"/>
            </w:tcBorders>
            <w:shd w:val="clear" w:color="auto" w:fill="auto"/>
            <w:noWrap/>
            <w:vAlign w:val="center"/>
          </w:tcPr>
          <w:p w14:paraId="28E78C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7,769,000</w:t>
            </w:r>
          </w:p>
        </w:tc>
        <w:tc>
          <w:tcPr>
            <w:tcW w:w="1358" w:type="dxa"/>
            <w:tcBorders>
              <w:top w:val="nil"/>
              <w:left w:val="nil"/>
              <w:bottom w:val="single" w:color="auto" w:sz="4" w:space="0"/>
              <w:right w:val="single" w:color="auto" w:sz="4" w:space="0"/>
            </w:tcBorders>
            <w:shd w:val="clear" w:color="auto" w:fill="auto"/>
            <w:noWrap/>
            <w:vAlign w:val="center"/>
          </w:tcPr>
          <w:p w14:paraId="5609CB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11,052,000</w:t>
            </w:r>
          </w:p>
        </w:tc>
        <w:tc>
          <w:tcPr>
            <w:tcW w:w="1694" w:type="dxa"/>
            <w:tcBorders>
              <w:top w:val="nil"/>
              <w:left w:val="nil"/>
              <w:bottom w:val="single" w:color="auto" w:sz="4" w:space="0"/>
              <w:right w:val="single" w:color="auto" w:sz="4" w:space="0"/>
            </w:tcBorders>
            <w:shd w:val="clear" w:color="auto" w:fill="auto"/>
            <w:noWrap/>
            <w:vAlign w:val="center"/>
          </w:tcPr>
          <w:p w14:paraId="50CE32D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13,447,000</w:t>
            </w:r>
          </w:p>
        </w:tc>
        <w:tc>
          <w:tcPr>
            <w:tcW w:w="1517" w:type="dxa"/>
            <w:tcBorders>
              <w:top w:val="nil"/>
              <w:left w:val="nil"/>
              <w:bottom w:val="single" w:color="auto" w:sz="4" w:space="0"/>
              <w:right w:val="single" w:color="auto" w:sz="4" w:space="0"/>
            </w:tcBorders>
            <w:shd w:val="clear" w:color="auto" w:fill="auto"/>
            <w:noWrap/>
            <w:vAlign w:val="center"/>
          </w:tcPr>
          <w:p w14:paraId="11817A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10,756,000</w:t>
            </w:r>
          </w:p>
        </w:tc>
      </w:tr>
      <w:tr w14:paraId="4DF55F49">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55F46CE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24" w:type="pct"/>
            <w:tcBorders>
              <w:top w:val="nil"/>
              <w:left w:val="nil"/>
              <w:bottom w:val="single" w:color="auto" w:sz="4" w:space="0"/>
              <w:right w:val="single" w:color="auto" w:sz="4" w:space="0"/>
            </w:tcBorders>
            <w:shd w:val="clear" w:color="auto" w:fill="auto"/>
            <w:noWrap/>
            <w:vAlign w:val="center"/>
          </w:tcPr>
          <w:p w14:paraId="1D032008">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81" w:type="dxa"/>
            <w:tcBorders>
              <w:top w:val="nil"/>
              <w:left w:val="nil"/>
              <w:bottom w:val="single" w:color="auto" w:sz="4" w:space="0"/>
              <w:right w:val="single" w:color="auto" w:sz="4" w:space="0"/>
            </w:tcBorders>
            <w:shd w:val="clear" w:color="auto" w:fill="auto"/>
            <w:noWrap/>
            <w:vAlign w:val="center"/>
          </w:tcPr>
          <w:p w14:paraId="1BF09046">
            <w:pPr>
              <w:jc w:val="right"/>
              <w:rPr>
                <w:rFonts w:ascii="华文楷体" w:hAnsi="华文楷体" w:eastAsia="华文楷体" w:cs="宋体"/>
                <w:color w:val="000000"/>
                <w:sz w:val="18"/>
                <w:szCs w:val="18"/>
              </w:rPr>
            </w:pPr>
          </w:p>
        </w:tc>
        <w:tc>
          <w:tcPr>
            <w:tcW w:w="1358" w:type="dxa"/>
            <w:tcBorders>
              <w:top w:val="nil"/>
              <w:left w:val="nil"/>
              <w:bottom w:val="single" w:color="auto" w:sz="4" w:space="0"/>
              <w:right w:val="single" w:color="auto" w:sz="4" w:space="0"/>
            </w:tcBorders>
            <w:shd w:val="clear" w:color="auto" w:fill="auto"/>
            <w:noWrap/>
            <w:vAlign w:val="center"/>
          </w:tcPr>
          <w:p w14:paraId="76DB9E33">
            <w:pPr>
              <w:jc w:val="right"/>
              <w:rPr>
                <w:rFonts w:ascii="华文楷体" w:hAnsi="华文楷体" w:eastAsia="华文楷体" w:cs="宋体"/>
                <w:color w:val="000000"/>
                <w:sz w:val="18"/>
                <w:szCs w:val="18"/>
              </w:rPr>
            </w:pPr>
          </w:p>
        </w:tc>
        <w:tc>
          <w:tcPr>
            <w:tcW w:w="1694" w:type="dxa"/>
            <w:tcBorders>
              <w:top w:val="nil"/>
              <w:left w:val="nil"/>
              <w:bottom w:val="single" w:color="auto" w:sz="4" w:space="0"/>
              <w:right w:val="single" w:color="auto" w:sz="4" w:space="0"/>
            </w:tcBorders>
            <w:shd w:val="clear" w:color="auto" w:fill="auto"/>
            <w:noWrap/>
            <w:vAlign w:val="center"/>
          </w:tcPr>
          <w:p w14:paraId="62510363">
            <w:pPr>
              <w:jc w:val="right"/>
              <w:rPr>
                <w:rFonts w:ascii="华文楷体" w:hAnsi="华文楷体" w:eastAsia="华文楷体" w:cs="宋体"/>
                <w:color w:val="000000"/>
                <w:sz w:val="18"/>
                <w:szCs w:val="18"/>
              </w:rPr>
            </w:pPr>
          </w:p>
        </w:tc>
        <w:tc>
          <w:tcPr>
            <w:tcW w:w="1517" w:type="dxa"/>
            <w:tcBorders>
              <w:top w:val="nil"/>
              <w:left w:val="nil"/>
              <w:bottom w:val="single" w:color="auto" w:sz="4" w:space="0"/>
              <w:right w:val="single" w:color="auto" w:sz="4" w:space="0"/>
            </w:tcBorders>
            <w:shd w:val="clear" w:color="auto" w:fill="auto"/>
            <w:noWrap/>
            <w:vAlign w:val="center"/>
          </w:tcPr>
          <w:p w14:paraId="58FBC65A">
            <w:pPr>
              <w:jc w:val="right"/>
              <w:rPr>
                <w:rFonts w:ascii="华文楷体" w:hAnsi="华文楷体" w:eastAsia="华文楷体" w:cs="宋体"/>
                <w:color w:val="000000"/>
                <w:sz w:val="18"/>
                <w:szCs w:val="18"/>
              </w:rPr>
            </w:pPr>
          </w:p>
        </w:tc>
      </w:tr>
      <w:tr w14:paraId="51913957">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4F81BD"/>
            <w:noWrap/>
            <w:vAlign w:val="center"/>
          </w:tcPr>
          <w:p w14:paraId="59553F4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24" w:type="pct"/>
            <w:tcBorders>
              <w:top w:val="nil"/>
              <w:left w:val="nil"/>
              <w:bottom w:val="single" w:color="auto" w:sz="4" w:space="0"/>
              <w:right w:val="single" w:color="auto" w:sz="4" w:space="0"/>
            </w:tcBorders>
            <w:shd w:val="clear" w:color="auto" w:fill="4F81BD"/>
            <w:noWrap/>
            <w:vAlign w:val="center"/>
          </w:tcPr>
          <w:p w14:paraId="36692C6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81" w:type="dxa"/>
            <w:tcBorders>
              <w:top w:val="nil"/>
              <w:left w:val="nil"/>
              <w:bottom w:val="single" w:color="auto" w:sz="4" w:space="0"/>
              <w:right w:val="single" w:color="auto" w:sz="4" w:space="0"/>
            </w:tcBorders>
            <w:shd w:val="clear" w:color="auto" w:fill="4F81BD"/>
            <w:noWrap/>
            <w:vAlign w:val="center"/>
          </w:tcPr>
          <w:p w14:paraId="7BD972A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6.07%</w:t>
            </w:r>
          </w:p>
        </w:tc>
        <w:tc>
          <w:tcPr>
            <w:tcW w:w="1358" w:type="dxa"/>
            <w:tcBorders>
              <w:top w:val="nil"/>
              <w:left w:val="nil"/>
              <w:bottom w:val="single" w:color="auto" w:sz="4" w:space="0"/>
              <w:right w:val="single" w:color="auto" w:sz="4" w:space="0"/>
            </w:tcBorders>
            <w:shd w:val="clear" w:color="auto" w:fill="4F81BD"/>
            <w:noWrap/>
            <w:vAlign w:val="center"/>
          </w:tcPr>
          <w:p w14:paraId="6010B84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7.42%</w:t>
            </w:r>
          </w:p>
        </w:tc>
        <w:tc>
          <w:tcPr>
            <w:tcW w:w="1694" w:type="dxa"/>
            <w:tcBorders>
              <w:top w:val="nil"/>
              <w:left w:val="nil"/>
              <w:bottom w:val="single" w:color="auto" w:sz="4" w:space="0"/>
              <w:right w:val="single" w:color="auto" w:sz="4" w:space="0"/>
            </w:tcBorders>
            <w:shd w:val="clear" w:color="auto" w:fill="4F81BD"/>
            <w:noWrap/>
            <w:vAlign w:val="center"/>
          </w:tcPr>
          <w:p w14:paraId="7C7A516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8.76%</w:t>
            </w:r>
          </w:p>
        </w:tc>
        <w:tc>
          <w:tcPr>
            <w:tcW w:w="1517" w:type="dxa"/>
            <w:tcBorders>
              <w:top w:val="nil"/>
              <w:left w:val="nil"/>
              <w:bottom w:val="single" w:color="auto" w:sz="4" w:space="0"/>
              <w:right w:val="single" w:color="auto" w:sz="4" w:space="0"/>
            </w:tcBorders>
            <w:shd w:val="clear" w:color="auto" w:fill="4F81BD"/>
            <w:noWrap/>
            <w:vAlign w:val="center"/>
          </w:tcPr>
          <w:p w14:paraId="7B9300C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7.50%</w:t>
            </w:r>
          </w:p>
        </w:tc>
      </w:tr>
    </w:tbl>
    <w:p w14:paraId="4B51AC3A">
      <w:pPr>
        <w:snapToGrid w:val="0"/>
        <w:ind w:left="0"/>
        <w:rPr>
          <w:rFonts w:ascii="Arial" w:hAnsi="Arial" w:eastAsia="微软雅黑" w:cs="Arial"/>
          <w:color w:val="3F9C35"/>
          <w:sz w:val="28"/>
          <w:szCs w:val="22"/>
          <w:highlight w:val="yellow"/>
        </w:rPr>
      </w:pPr>
    </w:p>
    <w:p w14:paraId="661C9B84">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654"/>
        <w:gridCol w:w="1087"/>
        <w:gridCol w:w="1424"/>
        <w:gridCol w:w="1424"/>
        <w:gridCol w:w="1550"/>
        <w:gridCol w:w="1627"/>
      </w:tblGrid>
      <w:tr w14:paraId="3F65BB2F">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286FB5B">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3）Wuxi Smart Auto-Control Engineering Co., Ltd.（中国）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01E5CDBF">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000000" w:fill="C6D9F1"/>
            <w:noWrap/>
            <w:vAlign w:val="center"/>
          </w:tcPr>
          <w:p w14:paraId="3CCACDE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股票代码:002877</w:t>
            </w:r>
            <w:r>
              <w:rPr>
                <w:rFonts w:ascii="微软雅黑" w:hAnsi="微软雅黑" w:eastAsia="微软雅黑" w:cs="宋体"/>
                <w:b/>
                <w:bCs/>
                <w:sz w:val="18"/>
                <w:szCs w:val="18"/>
              </w:rPr>
              <w:t/>
            </w:r>
            <w:r>
              <w:rPr>
                <w:rFonts w:hint="eastAsia" w:ascii="微软雅黑" w:hAnsi="微软雅黑" w:eastAsia="微软雅黑" w:cs="宋体"/>
                <w:b/>
                <w:bCs/>
                <w:sz w:val="18"/>
                <w:szCs w:val="18"/>
              </w:rPr>
              <w:t/>
            </w:r>
          </w:p>
        </w:tc>
        <w:tc>
          <w:tcPr>
            <w:tcW w:w="544" w:type="pct"/>
            <w:vMerge w:val="restart"/>
            <w:tcBorders>
              <w:top w:val="nil"/>
              <w:left w:val="single" w:color="auto" w:sz="4" w:space="0"/>
              <w:bottom w:val="single" w:color="auto" w:sz="4" w:space="0"/>
              <w:right w:val="single" w:color="auto" w:sz="4" w:space="0"/>
            </w:tcBorders>
            <w:shd w:val="clear" w:color="000000" w:fill="C6D9F1"/>
            <w:noWrap/>
            <w:vAlign w:val="center"/>
          </w:tcPr>
          <w:p w14:paraId="4B4A940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63" w:type="pct"/>
            <w:vMerge w:val="restart"/>
            <w:tcBorders>
              <w:top w:val="nil"/>
              <w:left w:val="single" w:color="auto" w:sz="4" w:space="0"/>
              <w:bottom w:val="single" w:color="auto" w:sz="4" w:space="0"/>
              <w:right w:val="single" w:color="auto" w:sz="4" w:space="0"/>
            </w:tcBorders>
            <w:shd w:val="clear" w:color="000000" w:fill="C6D9F1"/>
            <w:noWrap/>
            <w:vAlign w:val="center"/>
          </w:tcPr>
          <w:p w14:paraId="071D9A5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63" w:type="pct"/>
            <w:vMerge w:val="restart"/>
            <w:tcBorders>
              <w:top w:val="nil"/>
              <w:left w:val="single" w:color="auto" w:sz="4" w:space="0"/>
              <w:bottom w:val="single" w:color="auto" w:sz="4" w:space="0"/>
              <w:right w:val="single" w:color="auto" w:sz="4" w:space="0"/>
            </w:tcBorders>
            <w:shd w:val="clear" w:color="000000" w:fill="C6D9F1"/>
            <w:noWrap/>
            <w:vAlign w:val="center"/>
          </w:tcPr>
          <w:p w14:paraId="15B71EF4">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935" w:type="pct"/>
            <w:vMerge w:val="restart"/>
            <w:tcBorders>
              <w:top w:val="nil"/>
              <w:left w:val="single" w:color="auto" w:sz="4" w:space="0"/>
              <w:bottom w:val="single" w:color="auto" w:sz="4" w:space="0"/>
              <w:right w:val="single" w:color="auto" w:sz="4" w:space="0"/>
            </w:tcBorders>
            <w:shd w:val="clear" w:color="000000" w:fill="C6D9F1"/>
            <w:noWrap/>
            <w:vAlign w:val="center"/>
          </w:tcPr>
          <w:p w14:paraId="2D2B293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78" w:type="pct"/>
            <w:vMerge w:val="restart"/>
            <w:tcBorders>
              <w:top w:val="nil"/>
              <w:left w:val="single" w:color="auto" w:sz="4" w:space="0"/>
              <w:bottom w:val="single" w:color="auto" w:sz="4" w:space="0"/>
              <w:right w:val="single" w:color="auto" w:sz="4" w:space="0"/>
            </w:tcBorders>
            <w:shd w:val="clear" w:color="000000" w:fill="C6D9F1"/>
            <w:noWrap/>
            <w:vAlign w:val="center"/>
          </w:tcPr>
          <w:p w14:paraId="6BD9141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30A72622">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000000" w:fill="C6D9F1"/>
            <w:noWrap/>
            <w:vAlign w:val="center"/>
          </w:tcPr>
          <w:p w14:paraId="6812BBD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44" w:type="pct"/>
            <w:vMerge w:val="continue"/>
            <w:tcBorders>
              <w:top w:val="nil"/>
              <w:left w:val="single" w:color="auto" w:sz="4" w:space="0"/>
              <w:bottom w:val="single" w:color="auto" w:sz="4" w:space="0"/>
              <w:right w:val="single" w:color="auto" w:sz="4" w:space="0"/>
            </w:tcBorders>
            <w:vAlign w:val="center"/>
          </w:tcPr>
          <w:p w14:paraId="31BC8AA3">
            <w:pPr>
              <w:snapToGrid w:val="0"/>
              <w:spacing w:before="0" w:after="0"/>
              <w:ind w:left="0" w:right="0"/>
              <w:jc w:val="left"/>
              <w:rPr>
                <w:rFonts w:ascii="微软雅黑" w:hAnsi="微软雅黑" w:eastAsia="微软雅黑" w:cs="宋体"/>
                <w:b/>
                <w:bCs/>
                <w:sz w:val="18"/>
                <w:szCs w:val="18"/>
              </w:rPr>
            </w:pPr>
          </w:p>
        </w:tc>
        <w:tc>
          <w:tcPr>
            <w:tcW w:w="863" w:type="pct"/>
            <w:vMerge w:val="continue"/>
            <w:tcBorders>
              <w:top w:val="nil"/>
              <w:left w:val="single" w:color="auto" w:sz="4" w:space="0"/>
              <w:bottom w:val="single" w:color="auto" w:sz="4" w:space="0"/>
              <w:right w:val="single" w:color="auto" w:sz="4" w:space="0"/>
            </w:tcBorders>
            <w:vAlign w:val="center"/>
          </w:tcPr>
          <w:p w14:paraId="291F58CC">
            <w:pPr>
              <w:snapToGrid w:val="0"/>
              <w:spacing w:before="0" w:after="0"/>
              <w:ind w:left="0" w:right="0"/>
              <w:jc w:val="left"/>
              <w:rPr>
                <w:rFonts w:ascii="Arial" w:hAnsi="Arial" w:eastAsia="等线" w:cs="Arial"/>
                <w:b/>
                <w:bCs/>
                <w:sz w:val="18"/>
                <w:szCs w:val="18"/>
              </w:rPr>
            </w:pPr>
          </w:p>
        </w:tc>
        <w:tc>
          <w:tcPr>
            <w:tcW w:w="863" w:type="pct"/>
            <w:vMerge w:val="continue"/>
            <w:tcBorders>
              <w:top w:val="nil"/>
              <w:left w:val="single" w:color="auto" w:sz="4" w:space="0"/>
              <w:bottom w:val="single" w:color="auto" w:sz="4" w:space="0"/>
              <w:right w:val="single" w:color="auto" w:sz="4" w:space="0"/>
            </w:tcBorders>
            <w:vAlign w:val="center"/>
          </w:tcPr>
          <w:p w14:paraId="329E4BD3">
            <w:pPr>
              <w:snapToGrid w:val="0"/>
              <w:spacing w:before="0" w:after="0"/>
              <w:ind w:left="0" w:right="0"/>
              <w:jc w:val="left"/>
              <w:rPr>
                <w:rFonts w:ascii="Arial" w:hAnsi="Arial" w:eastAsia="等线" w:cs="Arial"/>
                <w:b/>
                <w:bCs/>
                <w:sz w:val="18"/>
                <w:szCs w:val="18"/>
              </w:rPr>
            </w:pPr>
          </w:p>
        </w:tc>
        <w:tc>
          <w:tcPr>
            <w:tcW w:w="935" w:type="pct"/>
            <w:vMerge w:val="continue"/>
            <w:tcBorders>
              <w:top w:val="nil"/>
              <w:left w:val="single" w:color="auto" w:sz="4" w:space="0"/>
              <w:bottom w:val="single" w:color="auto" w:sz="4" w:space="0"/>
              <w:right w:val="single" w:color="auto" w:sz="4" w:space="0"/>
            </w:tcBorders>
            <w:vAlign w:val="center"/>
          </w:tcPr>
          <w:p w14:paraId="7DCF9C97">
            <w:pPr>
              <w:snapToGrid w:val="0"/>
              <w:spacing w:before="0" w:after="0"/>
              <w:ind w:left="0" w:right="0"/>
              <w:jc w:val="left"/>
              <w:rPr>
                <w:rFonts w:ascii="Arial" w:hAnsi="Arial" w:eastAsia="等线" w:cs="Arial"/>
                <w:b/>
                <w:bCs/>
                <w:sz w:val="18"/>
                <w:szCs w:val="18"/>
              </w:rPr>
            </w:pPr>
          </w:p>
        </w:tc>
        <w:tc>
          <w:tcPr>
            <w:tcW w:w="978" w:type="pct"/>
            <w:vMerge w:val="continue"/>
            <w:tcBorders>
              <w:top w:val="nil"/>
              <w:left w:val="single" w:color="auto" w:sz="4" w:space="0"/>
              <w:bottom w:val="single" w:color="auto" w:sz="4" w:space="0"/>
              <w:right w:val="single" w:color="auto" w:sz="4" w:space="0"/>
            </w:tcBorders>
            <w:vAlign w:val="center"/>
          </w:tcPr>
          <w:p w14:paraId="20B73CE0">
            <w:pPr>
              <w:snapToGrid w:val="0"/>
              <w:spacing w:before="0" w:after="0"/>
              <w:ind w:left="0" w:right="0"/>
              <w:jc w:val="left"/>
              <w:rPr>
                <w:rFonts w:ascii="微软雅黑" w:hAnsi="微软雅黑" w:eastAsia="微软雅黑" w:cs="宋体"/>
                <w:b/>
                <w:bCs/>
                <w:sz w:val="18"/>
                <w:szCs w:val="18"/>
              </w:rPr>
            </w:pPr>
          </w:p>
        </w:tc>
      </w:tr>
      <w:tr w14:paraId="023BAB74">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176EA82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44" w:type="pct"/>
            <w:tcBorders>
              <w:top w:val="nil"/>
              <w:left w:val="nil"/>
              <w:bottom w:val="single" w:color="auto" w:sz="4" w:space="0"/>
              <w:right w:val="single" w:color="auto" w:sz="4" w:space="0"/>
            </w:tcBorders>
            <w:shd w:val="clear" w:color="auto" w:fill="auto"/>
            <w:noWrap/>
            <w:vAlign w:val="center"/>
          </w:tcPr>
          <w:p w14:paraId="0B3532F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63" w:type="pct"/>
            <w:tcBorders>
              <w:top w:val="nil"/>
              <w:left w:val="nil"/>
              <w:bottom w:val="single" w:color="auto" w:sz="4" w:space="0"/>
              <w:right w:val="single" w:color="auto" w:sz="4" w:space="0"/>
            </w:tcBorders>
            <w:shd w:val="clear" w:color="auto" w:fill="auto"/>
            <w:noWrap/>
            <w:vAlign w:val="center"/>
          </w:tcPr>
          <w:p w14:paraId="12F1D972">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724,731</w:t>
            </w:r>
          </w:p>
        </w:tc>
        <w:tc>
          <w:tcPr>
            <w:tcW w:w="863" w:type="pct"/>
            <w:tcBorders>
              <w:top w:val="nil"/>
              <w:left w:val="nil"/>
              <w:bottom w:val="single" w:color="auto" w:sz="4" w:space="0"/>
              <w:right w:val="single" w:color="auto" w:sz="4" w:space="0"/>
            </w:tcBorders>
            <w:shd w:val="clear" w:color="auto" w:fill="auto"/>
            <w:noWrap/>
            <w:vAlign w:val="center"/>
          </w:tcPr>
          <w:p w14:paraId="632FB3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852,555</w:t>
            </w:r>
          </w:p>
        </w:tc>
        <w:tc>
          <w:tcPr>
            <w:tcW w:w="935" w:type="pct"/>
            <w:tcBorders>
              <w:top w:val="nil"/>
              <w:left w:val="nil"/>
              <w:bottom w:val="single" w:color="auto" w:sz="4" w:space="0"/>
              <w:right w:val="single" w:color="auto" w:sz="4" w:space="0"/>
            </w:tcBorders>
            <w:shd w:val="clear" w:color="auto" w:fill="auto"/>
            <w:noWrap/>
            <w:vAlign w:val="center"/>
          </w:tcPr>
          <w:p w14:paraId="3804E04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1,012,839</w:t>
            </w:r>
          </w:p>
        </w:tc>
        <w:tc>
          <w:tcPr>
            <w:tcW w:w="978" w:type="pct"/>
            <w:tcBorders>
              <w:top w:val="nil"/>
              <w:left w:val="nil"/>
              <w:bottom w:val="single" w:color="auto" w:sz="4" w:space="0"/>
              <w:right w:val="single" w:color="auto" w:sz="4" w:space="0"/>
            </w:tcBorders>
            <w:shd w:val="clear" w:color="auto" w:fill="auto"/>
            <w:noWrap/>
            <w:vAlign w:val="center"/>
          </w:tcPr>
          <w:p w14:paraId="2E1BF96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863,375</w:t>
            </w:r>
          </w:p>
        </w:tc>
      </w:tr>
      <w:tr w14:paraId="0610E168">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462D3C1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44" w:type="pct"/>
            <w:tcBorders>
              <w:top w:val="nil"/>
              <w:left w:val="nil"/>
              <w:bottom w:val="single" w:color="auto" w:sz="4" w:space="0"/>
              <w:right w:val="single" w:color="auto" w:sz="4" w:space="0"/>
            </w:tcBorders>
            <w:shd w:val="clear" w:color="auto" w:fill="auto"/>
            <w:noWrap/>
            <w:vAlign w:val="center"/>
          </w:tcPr>
          <w:p w14:paraId="5067D62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63" w:type="pct"/>
            <w:tcBorders>
              <w:top w:val="nil"/>
              <w:left w:val="nil"/>
              <w:bottom w:val="single" w:color="auto" w:sz="4" w:space="0"/>
              <w:right w:val="single" w:color="auto" w:sz="4" w:space="0"/>
            </w:tcBorders>
            <w:shd w:val="clear" w:color="auto" w:fill="auto"/>
            <w:noWrap/>
            <w:vAlign w:val="center"/>
          </w:tcPr>
          <w:p w14:paraId="3A8EF70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441,440</w:t>
            </w:r>
          </w:p>
        </w:tc>
        <w:tc>
          <w:tcPr>
            <w:tcW w:w="863" w:type="pct"/>
            <w:tcBorders>
              <w:top w:val="nil"/>
              <w:left w:val="nil"/>
              <w:bottom w:val="single" w:color="auto" w:sz="4" w:space="0"/>
              <w:right w:val="single" w:color="auto" w:sz="4" w:space="0"/>
            </w:tcBorders>
            <w:shd w:val="clear" w:color="auto" w:fill="auto"/>
            <w:noWrap/>
            <w:vAlign w:val="center"/>
          </w:tcPr>
          <w:p w14:paraId="19A67F4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497,868</w:t>
            </w:r>
          </w:p>
        </w:tc>
        <w:tc>
          <w:tcPr>
            <w:tcW w:w="935" w:type="pct"/>
            <w:tcBorders>
              <w:top w:val="nil"/>
              <w:left w:val="nil"/>
              <w:bottom w:val="single" w:color="auto" w:sz="4" w:space="0"/>
              <w:right w:val="single" w:color="auto" w:sz="4" w:space="0"/>
            </w:tcBorders>
            <w:shd w:val="clear" w:color="auto" w:fill="auto"/>
            <w:noWrap/>
            <w:vAlign w:val="center"/>
          </w:tcPr>
          <w:p w14:paraId="236CF3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594,341</w:t>
            </w:r>
          </w:p>
        </w:tc>
        <w:tc>
          <w:tcPr>
            <w:tcW w:w="978" w:type="pct"/>
            <w:tcBorders>
              <w:top w:val="nil"/>
              <w:left w:val="nil"/>
              <w:bottom w:val="single" w:color="auto" w:sz="4" w:space="0"/>
              <w:right w:val="single" w:color="auto" w:sz="4" w:space="0"/>
            </w:tcBorders>
            <w:shd w:val="clear" w:color="auto" w:fill="auto"/>
            <w:noWrap/>
            <w:vAlign w:val="center"/>
          </w:tcPr>
          <w:p w14:paraId="25B404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511,216</w:t>
            </w:r>
          </w:p>
        </w:tc>
      </w:tr>
      <w:tr w14:paraId="78224A66">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50A408F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44" w:type="pct"/>
            <w:tcBorders>
              <w:top w:val="nil"/>
              <w:left w:val="nil"/>
              <w:bottom w:val="single" w:color="auto" w:sz="4" w:space="0"/>
              <w:right w:val="single" w:color="auto" w:sz="4" w:space="0"/>
            </w:tcBorders>
            <w:shd w:val="clear" w:color="auto" w:fill="auto"/>
            <w:noWrap/>
            <w:vAlign w:val="center"/>
          </w:tcPr>
          <w:p w14:paraId="3FF85EF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63" w:type="pct"/>
            <w:tcBorders>
              <w:top w:val="nil"/>
              <w:left w:val="nil"/>
              <w:bottom w:val="single" w:color="auto" w:sz="4" w:space="0"/>
              <w:right w:val="single" w:color="auto" w:sz="4" w:space="0"/>
            </w:tcBorders>
            <w:shd w:val="clear" w:color="auto" w:fill="auto"/>
            <w:noWrap/>
            <w:vAlign w:val="center"/>
          </w:tcPr>
          <w:p w14:paraId="366114C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283,291</w:t>
            </w:r>
          </w:p>
        </w:tc>
        <w:tc>
          <w:tcPr>
            <w:tcW w:w="863" w:type="pct"/>
            <w:tcBorders>
              <w:top w:val="nil"/>
              <w:left w:val="nil"/>
              <w:bottom w:val="single" w:color="auto" w:sz="4" w:space="0"/>
              <w:right w:val="single" w:color="auto" w:sz="4" w:space="0"/>
            </w:tcBorders>
            <w:shd w:val="clear" w:color="auto" w:fill="auto"/>
            <w:noWrap/>
            <w:vAlign w:val="center"/>
          </w:tcPr>
          <w:p w14:paraId="4566323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354,687</w:t>
            </w:r>
          </w:p>
        </w:tc>
        <w:tc>
          <w:tcPr>
            <w:tcW w:w="935" w:type="pct"/>
            <w:tcBorders>
              <w:top w:val="nil"/>
              <w:left w:val="nil"/>
              <w:bottom w:val="single" w:color="auto" w:sz="4" w:space="0"/>
              <w:right w:val="single" w:color="auto" w:sz="4" w:space="0"/>
            </w:tcBorders>
            <w:shd w:val="clear" w:color="auto" w:fill="auto"/>
            <w:noWrap/>
            <w:vAlign w:val="center"/>
          </w:tcPr>
          <w:p w14:paraId="7CA041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418,498</w:t>
            </w:r>
          </w:p>
        </w:tc>
        <w:tc>
          <w:tcPr>
            <w:tcW w:w="978" w:type="pct"/>
            <w:tcBorders>
              <w:top w:val="nil"/>
              <w:left w:val="nil"/>
              <w:bottom w:val="single" w:color="auto" w:sz="4" w:space="0"/>
              <w:right w:val="single" w:color="auto" w:sz="4" w:space="0"/>
            </w:tcBorders>
            <w:shd w:val="clear" w:color="auto" w:fill="auto"/>
            <w:noWrap/>
            <w:vAlign w:val="center"/>
          </w:tcPr>
          <w:p w14:paraId="2B0BA0B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352,159</w:t>
            </w:r>
          </w:p>
        </w:tc>
      </w:tr>
      <w:tr w14:paraId="6C0FF004">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568D1FC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44" w:type="pct"/>
            <w:tcBorders>
              <w:top w:val="nil"/>
              <w:left w:val="nil"/>
              <w:bottom w:val="single" w:color="auto" w:sz="4" w:space="0"/>
              <w:right w:val="single" w:color="auto" w:sz="4" w:space="0"/>
            </w:tcBorders>
            <w:shd w:val="clear" w:color="auto" w:fill="auto"/>
            <w:noWrap/>
            <w:vAlign w:val="center"/>
          </w:tcPr>
          <w:p w14:paraId="7F09889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63" w:type="pct"/>
            <w:tcBorders>
              <w:top w:val="nil"/>
              <w:left w:val="nil"/>
              <w:bottom w:val="single" w:color="auto" w:sz="4" w:space="0"/>
              <w:right w:val="single" w:color="auto" w:sz="4" w:space="0"/>
            </w:tcBorders>
            <w:shd w:val="clear" w:color="auto" w:fill="auto"/>
            <w:noWrap/>
            <w:vAlign w:val="center"/>
          </w:tcPr>
          <w:p w14:paraId="2BC9B42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219,882</w:t>
            </w:r>
          </w:p>
        </w:tc>
        <w:tc>
          <w:tcPr>
            <w:tcW w:w="863" w:type="pct"/>
            <w:tcBorders>
              <w:top w:val="nil"/>
              <w:left w:val="nil"/>
              <w:bottom w:val="single" w:color="auto" w:sz="4" w:space="0"/>
              <w:right w:val="single" w:color="auto" w:sz="4" w:space="0"/>
            </w:tcBorders>
            <w:shd w:val="clear" w:color="auto" w:fill="auto"/>
            <w:noWrap/>
            <w:vAlign w:val="center"/>
          </w:tcPr>
          <w:p w14:paraId="741188C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266,741</w:t>
            </w:r>
          </w:p>
        </w:tc>
        <w:tc>
          <w:tcPr>
            <w:tcW w:w="935" w:type="pct"/>
            <w:tcBorders>
              <w:top w:val="nil"/>
              <w:left w:val="nil"/>
              <w:bottom w:val="single" w:color="auto" w:sz="4" w:space="0"/>
              <w:right w:val="single" w:color="auto" w:sz="4" w:space="0"/>
            </w:tcBorders>
            <w:shd w:val="clear" w:color="auto" w:fill="auto"/>
            <w:noWrap/>
            <w:vAlign w:val="center"/>
          </w:tcPr>
          <w:p w14:paraId="5FB9D64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324,301</w:t>
            </w:r>
          </w:p>
        </w:tc>
        <w:tc>
          <w:tcPr>
            <w:tcW w:w="978" w:type="pct"/>
            <w:tcBorders>
              <w:top w:val="nil"/>
              <w:left w:val="nil"/>
              <w:bottom w:val="single" w:color="auto" w:sz="4" w:space="0"/>
              <w:right w:val="single" w:color="auto" w:sz="4" w:space="0"/>
            </w:tcBorders>
            <w:shd w:val="clear" w:color="auto" w:fill="auto"/>
            <w:noWrap/>
            <w:vAlign w:val="center"/>
          </w:tcPr>
          <w:p w14:paraId="775DFF1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270,308</w:t>
            </w:r>
          </w:p>
        </w:tc>
      </w:tr>
      <w:tr w14:paraId="354B6BE1">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3A77C19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44" w:type="pct"/>
            <w:tcBorders>
              <w:top w:val="nil"/>
              <w:left w:val="nil"/>
              <w:bottom w:val="single" w:color="auto" w:sz="4" w:space="0"/>
              <w:right w:val="single" w:color="auto" w:sz="4" w:space="0"/>
            </w:tcBorders>
            <w:shd w:val="clear" w:color="auto" w:fill="auto"/>
            <w:noWrap/>
            <w:vAlign w:val="center"/>
          </w:tcPr>
          <w:p w14:paraId="1F4991B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63" w:type="pct"/>
            <w:tcBorders>
              <w:top w:val="nil"/>
              <w:left w:val="nil"/>
              <w:bottom w:val="single" w:color="auto" w:sz="4" w:space="0"/>
              <w:right w:val="single" w:color="auto" w:sz="4" w:space="0"/>
            </w:tcBorders>
            <w:shd w:val="clear" w:color="auto" w:fill="auto"/>
            <w:noWrap/>
            <w:vAlign w:val="center"/>
          </w:tcPr>
          <w:p w14:paraId="64691D7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63,409</w:t>
            </w:r>
          </w:p>
        </w:tc>
        <w:tc>
          <w:tcPr>
            <w:tcW w:w="863" w:type="pct"/>
            <w:tcBorders>
              <w:top w:val="nil"/>
              <w:left w:val="nil"/>
              <w:bottom w:val="single" w:color="auto" w:sz="4" w:space="0"/>
              <w:right w:val="single" w:color="auto" w:sz="4" w:space="0"/>
            </w:tcBorders>
            <w:shd w:val="clear" w:color="auto" w:fill="auto"/>
            <w:noWrap/>
            <w:vAlign w:val="center"/>
          </w:tcPr>
          <w:p w14:paraId="2F9BFFE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87,946</w:t>
            </w:r>
          </w:p>
        </w:tc>
        <w:tc>
          <w:tcPr>
            <w:tcW w:w="935" w:type="pct"/>
            <w:tcBorders>
              <w:top w:val="nil"/>
              <w:left w:val="nil"/>
              <w:bottom w:val="single" w:color="auto" w:sz="4" w:space="0"/>
              <w:right w:val="single" w:color="auto" w:sz="4" w:space="0"/>
            </w:tcBorders>
            <w:shd w:val="clear" w:color="auto" w:fill="auto"/>
            <w:noWrap/>
            <w:vAlign w:val="center"/>
          </w:tcPr>
          <w:p w14:paraId="0EB3FD3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94,197</w:t>
            </w:r>
          </w:p>
        </w:tc>
        <w:tc>
          <w:tcPr>
            <w:tcW w:w="978" w:type="pct"/>
            <w:tcBorders>
              <w:top w:val="nil"/>
              <w:left w:val="nil"/>
              <w:bottom w:val="single" w:color="auto" w:sz="4" w:space="0"/>
              <w:right w:val="single" w:color="auto" w:sz="4" w:space="0"/>
            </w:tcBorders>
            <w:shd w:val="clear" w:color="auto" w:fill="auto"/>
            <w:noWrap/>
            <w:vAlign w:val="center"/>
          </w:tcPr>
          <w:p w14:paraId="2A05A30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81,851</w:t>
            </w:r>
          </w:p>
        </w:tc>
      </w:tr>
      <w:tr w14:paraId="7D337D8E">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29765CA6">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44" w:type="pct"/>
            <w:tcBorders>
              <w:top w:val="nil"/>
              <w:left w:val="nil"/>
              <w:bottom w:val="single" w:color="auto" w:sz="4" w:space="0"/>
              <w:right w:val="single" w:color="auto" w:sz="4" w:space="0"/>
            </w:tcBorders>
            <w:shd w:val="clear" w:color="auto" w:fill="auto"/>
            <w:noWrap/>
            <w:vAlign w:val="center"/>
          </w:tcPr>
          <w:p w14:paraId="3CCD11D7">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63" w:type="pct"/>
            <w:tcBorders>
              <w:top w:val="nil"/>
              <w:left w:val="nil"/>
              <w:bottom w:val="single" w:color="auto" w:sz="4" w:space="0"/>
              <w:right w:val="single" w:color="auto" w:sz="4" w:space="0"/>
            </w:tcBorders>
            <w:shd w:val="clear" w:color="auto" w:fill="auto"/>
            <w:noWrap/>
            <w:vAlign w:val="center"/>
          </w:tcPr>
          <w:p w14:paraId="22322E2A">
            <w:pPr>
              <w:jc w:val="right"/>
              <w:rPr>
                <w:rFonts w:ascii="华文楷体" w:hAnsi="华文楷体" w:eastAsia="华文楷体" w:cs="宋体"/>
                <w:color w:val="000000"/>
                <w:sz w:val="18"/>
                <w:szCs w:val="18"/>
              </w:rPr>
            </w:pPr>
          </w:p>
        </w:tc>
        <w:tc>
          <w:tcPr>
            <w:tcW w:w="863" w:type="pct"/>
            <w:tcBorders>
              <w:top w:val="nil"/>
              <w:left w:val="nil"/>
              <w:bottom w:val="single" w:color="auto" w:sz="4" w:space="0"/>
              <w:right w:val="single" w:color="auto" w:sz="4" w:space="0"/>
            </w:tcBorders>
            <w:shd w:val="clear" w:color="auto" w:fill="auto"/>
            <w:noWrap/>
            <w:vAlign w:val="center"/>
          </w:tcPr>
          <w:p w14:paraId="7A21B88D">
            <w:pPr>
              <w:jc w:val="right"/>
              <w:rPr>
                <w:rFonts w:ascii="华文楷体" w:hAnsi="华文楷体" w:eastAsia="华文楷体" w:cs="宋体"/>
                <w:color w:val="000000"/>
                <w:sz w:val="18"/>
                <w:szCs w:val="18"/>
              </w:rPr>
            </w:pPr>
          </w:p>
        </w:tc>
        <w:tc>
          <w:tcPr>
            <w:tcW w:w="935" w:type="pct"/>
            <w:tcBorders>
              <w:top w:val="nil"/>
              <w:left w:val="nil"/>
              <w:bottom w:val="single" w:color="auto" w:sz="4" w:space="0"/>
              <w:right w:val="single" w:color="auto" w:sz="4" w:space="0"/>
            </w:tcBorders>
            <w:shd w:val="clear" w:color="auto" w:fill="auto"/>
            <w:noWrap/>
            <w:vAlign w:val="center"/>
          </w:tcPr>
          <w:p w14:paraId="7AB1FB5F">
            <w:pPr>
              <w:jc w:val="right"/>
              <w:rPr>
                <w:rFonts w:ascii="华文楷体" w:hAnsi="华文楷体" w:eastAsia="华文楷体" w:cs="宋体"/>
                <w:color w:val="000000"/>
                <w:sz w:val="18"/>
                <w:szCs w:val="18"/>
              </w:rPr>
            </w:pPr>
          </w:p>
        </w:tc>
        <w:tc>
          <w:tcPr>
            <w:tcW w:w="978" w:type="pct"/>
            <w:tcBorders>
              <w:top w:val="nil"/>
              <w:left w:val="nil"/>
              <w:bottom w:val="single" w:color="auto" w:sz="4" w:space="0"/>
              <w:right w:val="single" w:color="auto" w:sz="4" w:space="0"/>
            </w:tcBorders>
            <w:shd w:val="clear" w:color="auto" w:fill="auto"/>
            <w:noWrap/>
            <w:vAlign w:val="center"/>
          </w:tcPr>
          <w:p w14:paraId="190558FC">
            <w:pPr>
              <w:jc w:val="right"/>
              <w:rPr>
                <w:rFonts w:ascii="华文楷体" w:hAnsi="华文楷体" w:eastAsia="华文楷体" w:cs="宋体"/>
                <w:color w:val="000000"/>
                <w:sz w:val="18"/>
                <w:szCs w:val="18"/>
              </w:rPr>
            </w:pPr>
          </w:p>
        </w:tc>
      </w:tr>
      <w:tr w14:paraId="5DFF4459">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4F81BD"/>
            <w:noWrap/>
            <w:vAlign w:val="center"/>
          </w:tcPr>
          <w:p w14:paraId="3B64B1C3">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44" w:type="pct"/>
            <w:tcBorders>
              <w:top w:val="nil"/>
              <w:left w:val="nil"/>
              <w:bottom w:val="single" w:color="auto" w:sz="4" w:space="0"/>
              <w:right w:val="single" w:color="auto" w:sz="4" w:space="0"/>
            </w:tcBorders>
            <w:shd w:val="clear" w:color="auto" w:fill="4F81BD"/>
            <w:noWrap/>
            <w:vAlign w:val="center"/>
          </w:tcPr>
          <w:p w14:paraId="21046560">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63" w:type="pct"/>
            <w:tcBorders>
              <w:top w:val="nil"/>
              <w:left w:val="nil"/>
              <w:bottom w:val="single" w:color="auto" w:sz="4" w:space="0"/>
              <w:right w:val="single" w:color="auto" w:sz="4" w:space="0"/>
            </w:tcBorders>
            <w:shd w:val="clear" w:color="auto" w:fill="4F81BD"/>
            <w:noWrap/>
            <w:vAlign w:val="center"/>
          </w:tcPr>
          <w:p w14:paraId="40B1DE0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9.59%</w:t>
            </w:r>
          </w:p>
        </w:tc>
        <w:tc>
          <w:tcPr>
            <w:tcW w:w="863" w:type="pct"/>
            <w:tcBorders>
              <w:top w:val="nil"/>
              <w:left w:val="nil"/>
              <w:bottom w:val="single" w:color="auto" w:sz="4" w:space="0"/>
              <w:right w:val="single" w:color="auto" w:sz="4" w:space="0"/>
            </w:tcBorders>
            <w:shd w:val="clear" w:color="auto" w:fill="4F81BD"/>
            <w:noWrap/>
            <w:vAlign w:val="center"/>
          </w:tcPr>
          <w:p w14:paraId="02A092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11.50%</w:t>
            </w:r>
          </w:p>
        </w:tc>
        <w:tc>
          <w:tcPr>
            <w:tcW w:w="935" w:type="pct"/>
            <w:tcBorders>
              <w:top w:val="nil"/>
              <w:left w:val="nil"/>
              <w:bottom w:val="single" w:color="auto" w:sz="4" w:space="0"/>
              <w:right w:val="single" w:color="auto" w:sz="4" w:space="0"/>
            </w:tcBorders>
            <w:shd w:val="clear" w:color="auto" w:fill="4F81BD"/>
            <w:noWrap/>
            <w:vAlign w:val="center"/>
          </w:tcPr>
          <w:p w14:paraId="6514D96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10.25%</w:t>
            </w:r>
          </w:p>
        </w:tc>
        <w:tc>
          <w:tcPr>
            <w:tcW w:w="978" w:type="pct"/>
            <w:tcBorders>
              <w:top w:val="nil"/>
              <w:left w:val="nil"/>
              <w:bottom w:val="single" w:color="auto" w:sz="4" w:space="0"/>
              <w:right w:val="single" w:color="auto" w:sz="4" w:space="0"/>
            </w:tcBorders>
            <w:shd w:val="clear" w:color="auto" w:fill="4F81BD"/>
            <w:noWrap/>
            <w:vAlign w:val="center"/>
          </w:tcPr>
          <w:p w14:paraId="6BE55DC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10.47%</w:t>
            </w:r>
          </w:p>
        </w:tc>
      </w:tr>
    </w:tbl>
    <w:p w14:paraId="24EDEB24">
      <w:pPr>
        <w:snapToGrid w:val="0"/>
        <w:ind w:left="0"/>
        <w:rPr>
          <w:rFonts w:ascii="Arial" w:hAnsi="Arial" w:eastAsia="微软雅黑" w:cs="Arial"/>
          <w:color w:val="3F9C35"/>
          <w:sz w:val="28"/>
          <w:szCs w:val="22"/>
          <w:highlight w:val="yellow"/>
        </w:rPr>
      </w:pPr>
    </w:p>
    <w:p w14:paraId="1E79A741">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2061"/>
        <w:gridCol w:w="1136"/>
        <w:gridCol w:w="1364"/>
        <w:gridCol w:w="1254"/>
        <w:gridCol w:w="1310"/>
        <w:gridCol w:w="1641"/>
      </w:tblGrid>
      <w:tr w14:paraId="214787F0">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C123351">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4）Founder Valve Group Co., LTD（中国）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0A9F1C3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000000" w:fill="C6D9F1"/>
            <w:noWrap/>
            <w:vAlign w:val="center"/>
          </w:tcPr>
          <w:p w14:paraId="5036D00A">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股票代码:920082</w:t>
            </w:r>
            <w:r>
              <w:rPr>
                <w:rFonts w:hint="eastAsia" w:ascii="微软雅黑" w:hAnsi="微软雅黑" w:eastAsia="微软雅黑"/>
                <w:b/>
                <w:bCs/>
                <w:sz w:val="18"/>
                <w:szCs w:val="18"/>
              </w:rPr>
              <w:t/>
            </w:r>
          </w:p>
        </w:tc>
        <w:tc>
          <w:tcPr>
            <w:tcW w:w="648" w:type="pct"/>
            <w:vMerge w:val="restart"/>
            <w:tcBorders>
              <w:top w:val="nil"/>
              <w:left w:val="single" w:color="auto" w:sz="4" w:space="0"/>
              <w:bottom w:val="single" w:color="auto" w:sz="4" w:space="0"/>
              <w:right w:val="single" w:color="auto" w:sz="4" w:space="0"/>
            </w:tcBorders>
            <w:shd w:val="clear" w:color="000000" w:fill="C6D9F1"/>
            <w:noWrap/>
            <w:vAlign w:val="center"/>
          </w:tcPr>
          <w:p w14:paraId="61D7DEE8">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78" w:type="pct"/>
            <w:vMerge w:val="restart"/>
            <w:tcBorders>
              <w:top w:val="nil"/>
              <w:left w:val="single" w:color="auto" w:sz="4" w:space="0"/>
              <w:bottom w:val="single" w:color="auto" w:sz="4" w:space="0"/>
              <w:right w:val="single" w:color="auto" w:sz="4" w:space="0"/>
            </w:tcBorders>
            <w:shd w:val="clear" w:color="000000" w:fill="C6D9F1"/>
            <w:noWrap/>
            <w:vAlign w:val="center"/>
          </w:tcPr>
          <w:p w14:paraId="318F4AD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15" w:type="pct"/>
            <w:vMerge w:val="restart"/>
            <w:tcBorders>
              <w:top w:val="nil"/>
              <w:left w:val="single" w:color="auto" w:sz="4" w:space="0"/>
              <w:bottom w:val="single" w:color="auto" w:sz="4" w:space="0"/>
              <w:right w:val="single" w:color="auto" w:sz="4" w:space="0"/>
            </w:tcBorders>
            <w:shd w:val="clear" w:color="000000" w:fill="C6D9F1"/>
            <w:noWrap/>
            <w:vAlign w:val="center"/>
          </w:tcPr>
          <w:p w14:paraId="6137DF4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47" w:type="pct"/>
            <w:vMerge w:val="restart"/>
            <w:tcBorders>
              <w:top w:val="nil"/>
              <w:left w:val="single" w:color="auto" w:sz="4" w:space="0"/>
              <w:bottom w:val="single" w:color="auto" w:sz="4" w:space="0"/>
              <w:right w:val="single" w:color="auto" w:sz="4" w:space="0"/>
            </w:tcBorders>
            <w:shd w:val="clear" w:color="000000" w:fill="C6D9F1"/>
            <w:noWrap/>
            <w:vAlign w:val="center"/>
          </w:tcPr>
          <w:p w14:paraId="377E2660">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36" w:type="pct"/>
            <w:vMerge w:val="restart"/>
            <w:tcBorders>
              <w:top w:val="nil"/>
              <w:left w:val="single" w:color="auto" w:sz="4" w:space="0"/>
              <w:bottom w:val="single" w:color="auto" w:sz="4" w:space="0"/>
              <w:right w:val="single" w:color="auto" w:sz="4" w:space="0"/>
            </w:tcBorders>
            <w:shd w:val="clear" w:color="000000" w:fill="C6D9F1"/>
            <w:noWrap/>
            <w:vAlign w:val="center"/>
          </w:tcPr>
          <w:p w14:paraId="7D92FA7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C139345">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000000" w:fill="C6D9F1"/>
            <w:noWrap/>
            <w:vAlign w:val="center"/>
          </w:tcPr>
          <w:p w14:paraId="150A4F5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48" w:type="pct"/>
            <w:vMerge w:val="continue"/>
            <w:tcBorders>
              <w:top w:val="nil"/>
              <w:left w:val="single" w:color="auto" w:sz="4" w:space="0"/>
              <w:bottom w:val="single" w:color="auto" w:sz="4" w:space="0"/>
              <w:right w:val="single" w:color="auto" w:sz="4" w:space="0"/>
            </w:tcBorders>
            <w:vAlign w:val="center"/>
          </w:tcPr>
          <w:p w14:paraId="47934D0B">
            <w:pPr>
              <w:snapToGrid w:val="0"/>
              <w:spacing w:before="0" w:after="0"/>
              <w:ind w:left="0" w:right="0"/>
              <w:jc w:val="left"/>
              <w:rPr>
                <w:rFonts w:ascii="微软雅黑" w:hAnsi="微软雅黑" w:eastAsia="微软雅黑" w:cs="宋体"/>
                <w:b/>
                <w:bCs/>
                <w:sz w:val="18"/>
                <w:szCs w:val="18"/>
              </w:rPr>
            </w:pPr>
          </w:p>
        </w:tc>
        <w:tc>
          <w:tcPr>
            <w:tcW w:w="778" w:type="pct"/>
            <w:vMerge w:val="continue"/>
            <w:tcBorders>
              <w:top w:val="nil"/>
              <w:left w:val="single" w:color="auto" w:sz="4" w:space="0"/>
              <w:bottom w:val="single" w:color="auto" w:sz="4" w:space="0"/>
              <w:right w:val="single" w:color="auto" w:sz="4" w:space="0"/>
            </w:tcBorders>
            <w:vAlign w:val="center"/>
          </w:tcPr>
          <w:p w14:paraId="78FF89EA">
            <w:pPr>
              <w:snapToGrid w:val="0"/>
              <w:spacing w:before="0" w:after="0"/>
              <w:ind w:left="0" w:right="0"/>
              <w:jc w:val="left"/>
              <w:rPr>
                <w:rFonts w:ascii="Arial" w:hAnsi="Arial" w:eastAsia="等线" w:cs="Arial"/>
                <w:b/>
                <w:bCs/>
                <w:sz w:val="18"/>
                <w:szCs w:val="18"/>
              </w:rPr>
            </w:pPr>
          </w:p>
        </w:tc>
        <w:tc>
          <w:tcPr>
            <w:tcW w:w="715" w:type="pct"/>
            <w:vMerge w:val="continue"/>
            <w:tcBorders>
              <w:top w:val="nil"/>
              <w:left w:val="single" w:color="auto" w:sz="4" w:space="0"/>
              <w:bottom w:val="single" w:color="auto" w:sz="4" w:space="0"/>
              <w:right w:val="single" w:color="auto" w:sz="4" w:space="0"/>
            </w:tcBorders>
            <w:vAlign w:val="center"/>
          </w:tcPr>
          <w:p w14:paraId="7E5ADDED">
            <w:pPr>
              <w:snapToGrid w:val="0"/>
              <w:spacing w:before="0" w:after="0"/>
              <w:ind w:left="0" w:right="0"/>
              <w:jc w:val="left"/>
              <w:rPr>
                <w:rFonts w:ascii="Arial" w:hAnsi="Arial" w:eastAsia="等线" w:cs="Arial"/>
                <w:b/>
                <w:bCs/>
                <w:sz w:val="18"/>
                <w:szCs w:val="18"/>
              </w:rPr>
            </w:pPr>
          </w:p>
        </w:tc>
        <w:tc>
          <w:tcPr>
            <w:tcW w:w="747" w:type="pct"/>
            <w:vMerge w:val="continue"/>
            <w:tcBorders>
              <w:top w:val="nil"/>
              <w:left w:val="single" w:color="auto" w:sz="4" w:space="0"/>
              <w:bottom w:val="single" w:color="auto" w:sz="4" w:space="0"/>
              <w:right w:val="single" w:color="auto" w:sz="4" w:space="0"/>
            </w:tcBorders>
            <w:vAlign w:val="center"/>
          </w:tcPr>
          <w:p w14:paraId="7F00BA1D">
            <w:pPr>
              <w:snapToGrid w:val="0"/>
              <w:spacing w:before="0" w:after="0"/>
              <w:ind w:left="0" w:right="0"/>
              <w:jc w:val="left"/>
              <w:rPr>
                <w:rFonts w:ascii="Arial" w:hAnsi="Arial" w:eastAsia="等线" w:cs="Arial"/>
                <w:b/>
                <w:bCs/>
                <w:sz w:val="18"/>
                <w:szCs w:val="18"/>
              </w:rPr>
            </w:pPr>
          </w:p>
        </w:tc>
        <w:tc>
          <w:tcPr>
            <w:tcW w:w="936" w:type="pct"/>
            <w:vMerge w:val="continue"/>
            <w:tcBorders>
              <w:top w:val="nil"/>
              <w:left w:val="single" w:color="auto" w:sz="4" w:space="0"/>
              <w:bottom w:val="single" w:color="auto" w:sz="4" w:space="0"/>
              <w:right w:val="single" w:color="auto" w:sz="4" w:space="0"/>
            </w:tcBorders>
            <w:vAlign w:val="center"/>
          </w:tcPr>
          <w:p w14:paraId="59F0F5D3">
            <w:pPr>
              <w:snapToGrid w:val="0"/>
              <w:spacing w:before="0" w:after="0"/>
              <w:ind w:left="0" w:right="0"/>
              <w:jc w:val="left"/>
              <w:rPr>
                <w:rFonts w:ascii="微软雅黑" w:hAnsi="微软雅黑" w:eastAsia="微软雅黑" w:cs="宋体"/>
                <w:b/>
                <w:bCs/>
                <w:sz w:val="18"/>
                <w:szCs w:val="18"/>
              </w:rPr>
            </w:pPr>
          </w:p>
        </w:tc>
      </w:tr>
      <w:tr w14:paraId="241D240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66057BF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48" w:type="pct"/>
            <w:tcBorders>
              <w:top w:val="nil"/>
              <w:left w:val="nil"/>
              <w:bottom w:val="single" w:color="auto" w:sz="4" w:space="0"/>
              <w:right w:val="single" w:color="auto" w:sz="4" w:space="0"/>
            </w:tcBorders>
            <w:shd w:val="clear" w:color="auto" w:fill="auto"/>
            <w:noWrap/>
            <w:vAlign w:val="center"/>
          </w:tcPr>
          <w:p w14:paraId="7B71413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64" w:type="dxa"/>
            <w:tcBorders>
              <w:top w:val="nil"/>
              <w:left w:val="nil"/>
              <w:bottom w:val="single" w:color="auto" w:sz="4" w:space="0"/>
              <w:right w:val="single" w:color="auto" w:sz="4" w:space="0"/>
            </w:tcBorders>
            <w:shd w:val="clear" w:color="auto" w:fill="auto"/>
            <w:noWrap/>
            <w:vAlign w:val="center"/>
          </w:tcPr>
          <w:p w14:paraId="42DED0D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478,288</w:t>
            </w:r>
          </w:p>
        </w:tc>
        <w:tc>
          <w:tcPr>
            <w:tcW w:w="1254" w:type="dxa"/>
            <w:tcBorders>
              <w:top w:val="nil"/>
              <w:left w:val="nil"/>
              <w:bottom w:val="single" w:color="auto" w:sz="4" w:space="0"/>
              <w:right w:val="single" w:color="auto" w:sz="4" w:space="0"/>
            </w:tcBorders>
            <w:shd w:val="clear" w:color="auto" w:fill="auto"/>
            <w:noWrap/>
            <w:vAlign w:val="center"/>
          </w:tcPr>
          <w:p w14:paraId="78FD977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638,145</w:t>
            </w:r>
          </w:p>
        </w:tc>
        <w:tc>
          <w:tcPr>
            <w:tcW w:w="1310" w:type="dxa"/>
            <w:tcBorders>
              <w:top w:val="nil"/>
              <w:left w:val="nil"/>
              <w:bottom w:val="single" w:color="auto" w:sz="4" w:space="0"/>
              <w:right w:val="single" w:color="auto" w:sz="4" w:space="0"/>
            </w:tcBorders>
            <w:shd w:val="clear" w:color="auto" w:fill="auto"/>
            <w:noWrap/>
            <w:vAlign w:val="center"/>
          </w:tcPr>
          <w:p w14:paraId="33A9DE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697,677</w:t>
            </w:r>
          </w:p>
        </w:tc>
        <w:tc>
          <w:tcPr>
            <w:tcW w:w="1641" w:type="dxa"/>
            <w:tcBorders>
              <w:top w:val="nil"/>
              <w:left w:val="nil"/>
              <w:bottom w:val="single" w:color="auto" w:sz="4" w:space="0"/>
              <w:right w:val="single" w:color="auto" w:sz="4" w:space="0"/>
            </w:tcBorders>
            <w:shd w:val="clear" w:color="auto" w:fill="auto"/>
            <w:noWrap/>
            <w:vAlign w:val="center"/>
          </w:tcPr>
          <w:p w14:paraId="16C87AD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604,703</w:t>
            </w:r>
          </w:p>
        </w:tc>
      </w:tr>
      <w:tr w14:paraId="01F5EA5A">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0CFC1AE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48" w:type="pct"/>
            <w:tcBorders>
              <w:top w:val="nil"/>
              <w:left w:val="nil"/>
              <w:bottom w:val="single" w:color="auto" w:sz="4" w:space="0"/>
              <w:right w:val="single" w:color="auto" w:sz="4" w:space="0"/>
            </w:tcBorders>
            <w:shd w:val="clear" w:color="auto" w:fill="auto"/>
            <w:noWrap/>
            <w:vAlign w:val="center"/>
          </w:tcPr>
          <w:p w14:paraId="3EA0DB2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64" w:type="dxa"/>
            <w:tcBorders>
              <w:top w:val="nil"/>
              <w:left w:val="nil"/>
              <w:bottom w:val="single" w:color="auto" w:sz="4" w:space="0"/>
              <w:right w:val="single" w:color="auto" w:sz="4" w:space="0"/>
            </w:tcBorders>
            <w:shd w:val="clear" w:color="auto" w:fill="auto"/>
            <w:noWrap/>
            <w:vAlign w:val="center"/>
          </w:tcPr>
          <w:p w14:paraId="3C04025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346,698</w:t>
            </w:r>
          </w:p>
        </w:tc>
        <w:tc>
          <w:tcPr>
            <w:tcW w:w="1254" w:type="dxa"/>
            <w:tcBorders>
              <w:top w:val="nil"/>
              <w:left w:val="nil"/>
              <w:bottom w:val="single" w:color="auto" w:sz="4" w:space="0"/>
              <w:right w:val="single" w:color="auto" w:sz="4" w:space="0"/>
            </w:tcBorders>
            <w:shd w:val="clear" w:color="auto" w:fill="auto"/>
            <w:noWrap/>
            <w:vAlign w:val="center"/>
          </w:tcPr>
          <w:p w14:paraId="00DBA7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472,315</w:t>
            </w:r>
          </w:p>
        </w:tc>
        <w:tc>
          <w:tcPr>
            <w:tcW w:w="1310" w:type="dxa"/>
            <w:tcBorders>
              <w:top w:val="nil"/>
              <w:left w:val="nil"/>
              <w:bottom w:val="single" w:color="auto" w:sz="4" w:space="0"/>
              <w:right w:val="single" w:color="auto" w:sz="4" w:space="0"/>
            </w:tcBorders>
            <w:shd w:val="clear" w:color="auto" w:fill="auto"/>
            <w:noWrap/>
            <w:vAlign w:val="center"/>
          </w:tcPr>
          <w:p w14:paraId="05B644D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504,045</w:t>
            </w:r>
          </w:p>
        </w:tc>
        <w:tc>
          <w:tcPr>
            <w:tcW w:w="1641" w:type="dxa"/>
            <w:tcBorders>
              <w:top w:val="nil"/>
              <w:left w:val="nil"/>
              <w:bottom w:val="single" w:color="auto" w:sz="4" w:space="0"/>
              <w:right w:val="single" w:color="auto" w:sz="4" w:space="0"/>
            </w:tcBorders>
            <w:shd w:val="clear" w:color="auto" w:fill="auto"/>
            <w:noWrap/>
            <w:vAlign w:val="center"/>
          </w:tcPr>
          <w:p w14:paraId="3C7C27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441,019</w:t>
            </w:r>
          </w:p>
        </w:tc>
      </w:tr>
      <w:tr w14:paraId="333EA8A0">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522C2C4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48" w:type="pct"/>
            <w:tcBorders>
              <w:top w:val="nil"/>
              <w:left w:val="nil"/>
              <w:bottom w:val="single" w:color="auto" w:sz="4" w:space="0"/>
              <w:right w:val="single" w:color="auto" w:sz="4" w:space="0"/>
            </w:tcBorders>
            <w:shd w:val="clear" w:color="auto" w:fill="auto"/>
            <w:noWrap/>
            <w:vAlign w:val="center"/>
          </w:tcPr>
          <w:p w14:paraId="03AA7DE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64" w:type="dxa"/>
            <w:tcBorders>
              <w:top w:val="nil"/>
              <w:left w:val="nil"/>
              <w:bottom w:val="single" w:color="auto" w:sz="4" w:space="0"/>
              <w:right w:val="single" w:color="auto" w:sz="4" w:space="0"/>
            </w:tcBorders>
            <w:shd w:val="clear" w:color="auto" w:fill="auto"/>
            <w:noWrap/>
            <w:vAlign w:val="center"/>
          </w:tcPr>
          <w:p w14:paraId="3EABD71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131,590</w:t>
            </w:r>
          </w:p>
        </w:tc>
        <w:tc>
          <w:tcPr>
            <w:tcW w:w="1254" w:type="dxa"/>
            <w:tcBorders>
              <w:top w:val="nil"/>
              <w:left w:val="nil"/>
              <w:bottom w:val="single" w:color="auto" w:sz="4" w:space="0"/>
              <w:right w:val="single" w:color="auto" w:sz="4" w:space="0"/>
            </w:tcBorders>
            <w:shd w:val="clear" w:color="auto" w:fill="auto"/>
            <w:noWrap/>
            <w:vAlign w:val="center"/>
          </w:tcPr>
          <w:p w14:paraId="61664EB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165,830</w:t>
            </w:r>
          </w:p>
        </w:tc>
        <w:tc>
          <w:tcPr>
            <w:tcW w:w="1310" w:type="dxa"/>
            <w:tcBorders>
              <w:top w:val="nil"/>
              <w:left w:val="nil"/>
              <w:bottom w:val="single" w:color="auto" w:sz="4" w:space="0"/>
              <w:right w:val="single" w:color="auto" w:sz="4" w:space="0"/>
            </w:tcBorders>
            <w:shd w:val="clear" w:color="auto" w:fill="auto"/>
            <w:noWrap/>
            <w:vAlign w:val="center"/>
          </w:tcPr>
          <w:p w14:paraId="2CE77E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193,632</w:t>
            </w:r>
          </w:p>
        </w:tc>
        <w:tc>
          <w:tcPr>
            <w:tcW w:w="1641" w:type="dxa"/>
            <w:tcBorders>
              <w:top w:val="nil"/>
              <w:left w:val="nil"/>
              <w:bottom w:val="single" w:color="auto" w:sz="4" w:space="0"/>
              <w:right w:val="single" w:color="auto" w:sz="4" w:space="0"/>
            </w:tcBorders>
            <w:shd w:val="clear" w:color="auto" w:fill="auto"/>
            <w:noWrap/>
            <w:vAlign w:val="center"/>
          </w:tcPr>
          <w:p w14:paraId="47FC40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163,684</w:t>
            </w:r>
          </w:p>
        </w:tc>
      </w:tr>
      <w:tr w14:paraId="52EEB65B">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05D7BE5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48" w:type="pct"/>
            <w:tcBorders>
              <w:top w:val="nil"/>
              <w:left w:val="nil"/>
              <w:bottom w:val="single" w:color="auto" w:sz="4" w:space="0"/>
              <w:right w:val="single" w:color="auto" w:sz="4" w:space="0"/>
            </w:tcBorders>
            <w:shd w:val="clear" w:color="auto" w:fill="auto"/>
            <w:noWrap/>
            <w:vAlign w:val="center"/>
          </w:tcPr>
          <w:p w14:paraId="40AEF77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64" w:type="dxa"/>
            <w:tcBorders>
              <w:top w:val="nil"/>
              <w:left w:val="nil"/>
              <w:bottom w:val="single" w:color="auto" w:sz="4" w:space="0"/>
              <w:right w:val="single" w:color="auto" w:sz="4" w:space="0"/>
            </w:tcBorders>
            <w:shd w:val="clear" w:color="auto" w:fill="auto"/>
            <w:noWrap/>
            <w:vAlign w:val="center"/>
          </w:tcPr>
          <w:p w14:paraId="13593A0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118,941</w:t>
            </w:r>
          </w:p>
        </w:tc>
        <w:tc>
          <w:tcPr>
            <w:tcW w:w="1254" w:type="dxa"/>
            <w:tcBorders>
              <w:top w:val="nil"/>
              <w:left w:val="nil"/>
              <w:bottom w:val="single" w:color="auto" w:sz="4" w:space="0"/>
              <w:right w:val="single" w:color="auto" w:sz="4" w:space="0"/>
            </w:tcBorders>
            <w:shd w:val="clear" w:color="auto" w:fill="auto"/>
            <w:noWrap/>
            <w:vAlign w:val="center"/>
          </w:tcPr>
          <w:p w14:paraId="6112BF5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142,665</w:t>
            </w:r>
          </w:p>
        </w:tc>
        <w:tc>
          <w:tcPr>
            <w:tcW w:w="1310" w:type="dxa"/>
            <w:tcBorders>
              <w:top w:val="nil"/>
              <w:left w:val="nil"/>
              <w:bottom w:val="single" w:color="auto" w:sz="4" w:space="0"/>
              <w:right w:val="single" w:color="auto" w:sz="4" w:space="0"/>
            </w:tcBorders>
            <w:shd w:val="clear" w:color="auto" w:fill="auto"/>
            <w:noWrap/>
            <w:vAlign w:val="center"/>
          </w:tcPr>
          <w:p w14:paraId="2742F59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140,120</w:t>
            </w:r>
          </w:p>
        </w:tc>
        <w:tc>
          <w:tcPr>
            <w:tcW w:w="1641" w:type="dxa"/>
            <w:tcBorders>
              <w:top w:val="nil"/>
              <w:left w:val="nil"/>
              <w:bottom w:val="single" w:color="auto" w:sz="4" w:space="0"/>
              <w:right w:val="single" w:color="auto" w:sz="4" w:space="0"/>
            </w:tcBorders>
            <w:shd w:val="clear" w:color="auto" w:fill="auto"/>
            <w:noWrap/>
            <w:vAlign w:val="center"/>
          </w:tcPr>
          <w:p w14:paraId="4ED4C0A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133,909</w:t>
            </w:r>
          </w:p>
        </w:tc>
      </w:tr>
      <w:tr w14:paraId="66C6955F">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2AD6A10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48" w:type="pct"/>
            <w:tcBorders>
              <w:top w:val="nil"/>
              <w:left w:val="nil"/>
              <w:bottom w:val="single" w:color="auto" w:sz="4" w:space="0"/>
              <w:right w:val="single" w:color="auto" w:sz="4" w:space="0"/>
            </w:tcBorders>
            <w:shd w:val="clear" w:color="auto" w:fill="auto"/>
            <w:noWrap/>
            <w:vAlign w:val="center"/>
          </w:tcPr>
          <w:p w14:paraId="06ECF0A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64" w:type="dxa"/>
            <w:tcBorders>
              <w:top w:val="nil"/>
              <w:left w:val="nil"/>
              <w:bottom w:val="single" w:color="auto" w:sz="4" w:space="0"/>
              <w:right w:val="single" w:color="auto" w:sz="4" w:space="0"/>
            </w:tcBorders>
            <w:shd w:val="clear" w:color="auto" w:fill="auto"/>
            <w:noWrap/>
            <w:vAlign w:val="center"/>
          </w:tcPr>
          <w:p w14:paraId="4AD7E4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12,649</w:t>
            </w:r>
          </w:p>
        </w:tc>
        <w:tc>
          <w:tcPr>
            <w:tcW w:w="1254" w:type="dxa"/>
            <w:tcBorders>
              <w:top w:val="nil"/>
              <w:left w:val="nil"/>
              <w:bottom w:val="single" w:color="auto" w:sz="4" w:space="0"/>
              <w:right w:val="single" w:color="auto" w:sz="4" w:space="0"/>
            </w:tcBorders>
            <w:shd w:val="clear" w:color="auto" w:fill="auto"/>
            <w:noWrap/>
            <w:vAlign w:val="center"/>
          </w:tcPr>
          <w:p w14:paraId="5765A2B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23,165</w:t>
            </w:r>
          </w:p>
        </w:tc>
        <w:tc>
          <w:tcPr>
            <w:tcW w:w="1310" w:type="dxa"/>
            <w:tcBorders>
              <w:top w:val="nil"/>
              <w:left w:val="nil"/>
              <w:bottom w:val="single" w:color="auto" w:sz="4" w:space="0"/>
              <w:right w:val="single" w:color="auto" w:sz="4" w:space="0"/>
            </w:tcBorders>
            <w:shd w:val="clear" w:color="auto" w:fill="auto"/>
            <w:noWrap/>
            <w:vAlign w:val="center"/>
          </w:tcPr>
          <w:p w14:paraId="71204A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53,512</w:t>
            </w:r>
          </w:p>
        </w:tc>
        <w:tc>
          <w:tcPr>
            <w:tcW w:w="1641" w:type="dxa"/>
            <w:tcBorders>
              <w:top w:val="nil"/>
              <w:left w:val="nil"/>
              <w:bottom w:val="single" w:color="auto" w:sz="4" w:space="0"/>
              <w:right w:val="single" w:color="auto" w:sz="4" w:space="0"/>
            </w:tcBorders>
            <w:shd w:val="clear" w:color="auto" w:fill="auto"/>
            <w:noWrap/>
            <w:vAlign w:val="center"/>
          </w:tcPr>
          <w:p w14:paraId="7EDFB24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29,775</w:t>
            </w:r>
          </w:p>
        </w:tc>
      </w:tr>
      <w:tr w14:paraId="22E40AC9">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6B5D400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48" w:type="pct"/>
            <w:tcBorders>
              <w:top w:val="nil"/>
              <w:left w:val="nil"/>
              <w:bottom w:val="single" w:color="auto" w:sz="4" w:space="0"/>
              <w:right w:val="single" w:color="auto" w:sz="4" w:space="0"/>
            </w:tcBorders>
            <w:shd w:val="clear" w:color="auto" w:fill="auto"/>
            <w:noWrap/>
            <w:vAlign w:val="center"/>
          </w:tcPr>
          <w:p w14:paraId="736EBA5D">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64" w:type="dxa"/>
            <w:tcBorders>
              <w:top w:val="nil"/>
              <w:left w:val="nil"/>
              <w:bottom w:val="single" w:color="auto" w:sz="4" w:space="0"/>
              <w:right w:val="single" w:color="auto" w:sz="4" w:space="0"/>
            </w:tcBorders>
            <w:shd w:val="clear" w:color="auto" w:fill="auto"/>
            <w:noWrap/>
            <w:vAlign w:val="center"/>
          </w:tcPr>
          <w:p w14:paraId="79F07000">
            <w:pPr>
              <w:jc w:val="right"/>
              <w:rPr>
                <w:rFonts w:ascii="华文楷体" w:hAnsi="华文楷体" w:eastAsia="华文楷体" w:cs="宋体"/>
                <w:color w:val="000000"/>
                <w:sz w:val="18"/>
                <w:szCs w:val="18"/>
              </w:rPr>
            </w:pPr>
          </w:p>
        </w:tc>
        <w:tc>
          <w:tcPr>
            <w:tcW w:w="1254" w:type="dxa"/>
            <w:tcBorders>
              <w:top w:val="nil"/>
              <w:left w:val="nil"/>
              <w:bottom w:val="single" w:color="auto" w:sz="4" w:space="0"/>
              <w:right w:val="single" w:color="auto" w:sz="4" w:space="0"/>
            </w:tcBorders>
            <w:shd w:val="clear" w:color="auto" w:fill="auto"/>
            <w:noWrap/>
            <w:vAlign w:val="center"/>
          </w:tcPr>
          <w:p w14:paraId="1805B7B3">
            <w:pPr>
              <w:jc w:val="right"/>
              <w:rPr>
                <w:rFonts w:ascii="华文楷体" w:hAnsi="华文楷体" w:eastAsia="华文楷体" w:cs="宋体"/>
                <w:color w:val="000000"/>
                <w:sz w:val="18"/>
                <w:szCs w:val="18"/>
              </w:rPr>
            </w:pPr>
          </w:p>
        </w:tc>
        <w:tc>
          <w:tcPr>
            <w:tcW w:w="1310" w:type="dxa"/>
            <w:tcBorders>
              <w:top w:val="nil"/>
              <w:left w:val="nil"/>
              <w:bottom w:val="single" w:color="auto" w:sz="4" w:space="0"/>
              <w:right w:val="single" w:color="auto" w:sz="4" w:space="0"/>
            </w:tcBorders>
            <w:shd w:val="clear" w:color="auto" w:fill="auto"/>
            <w:noWrap/>
            <w:vAlign w:val="center"/>
          </w:tcPr>
          <w:p w14:paraId="2E64FFB5">
            <w:pPr>
              <w:jc w:val="right"/>
              <w:rPr>
                <w:rFonts w:ascii="华文楷体" w:hAnsi="华文楷体" w:eastAsia="华文楷体" w:cs="宋体"/>
                <w:color w:val="000000"/>
                <w:sz w:val="18"/>
                <w:szCs w:val="18"/>
              </w:rPr>
            </w:pPr>
          </w:p>
        </w:tc>
        <w:tc>
          <w:tcPr>
            <w:tcW w:w="1641" w:type="dxa"/>
            <w:tcBorders>
              <w:top w:val="nil"/>
              <w:left w:val="nil"/>
              <w:bottom w:val="single" w:color="auto" w:sz="4" w:space="0"/>
              <w:right w:val="single" w:color="auto" w:sz="4" w:space="0"/>
            </w:tcBorders>
            <w:shd w:val="clear" w:color="auto" w:fill="auto"/>
            <w:noWrap/>
            <w:vAlign w:val="center"/>
          </w:tcPr>
          <w:p w14:paraId="73B286A3">
            <w:pPr>
              <w:jc w:val="right"/>
              <w:rPr>
                <w:rFonts w:ascii="华文楷体" w:hAnsi="华文楷体" w:eastAsia="华文楷体" w:cs="宋体"/>
                <w:color w:val="000000"/>
                <w:sz w:val="18"/>
                <w:szCs w:val="18"/>
              </w:rPr>
            </w:pPr>
          </w:p>
        </w:tc>
      </w:tr>
      <w:tr w14:paraId="57193D6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4F81BD"/>
            <w:noWrap/>
            <w:vAlign w:val="center"/>
          </w:tcPr>
          <w:p w14:paraId="217E865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48" w:type="pct"/>
            <w:tcBorders>
              <w:top w:val="nil"/>
              <w:left w:val="nil"/>
              <w:bottom w:val="single" w:color="auto" w:sz="4" w:space="0"/>
              <w:right w:val="single" w:color="auto" w:sz="4" w:space="0"/>
            </w:tcBorders>
            <w:shd w:val="clear" w:color="auto" w:fill="4F81BD"/>
            <w:noWrap/>
            <w:vAlign w:val="center"/>
          </w:tcPr>
          <w:p w14:paraId="0DF41F0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64" w:type="dxa"/>
            <w:tcBorders>
              <w:top w:val="nil"/>
              <w:left w:val="nil"/>
              <w:bottom w:val="single" w:color="auto" w:sz="4" w:space="0"/>
              <w:right w:val="single" w:color="auto" w:sz="4" w:space="0"/>
            </w:tcBorders>
            <w:shd w:val="clear" w:color="auto" w:fill="4F81BD"/>
            <w:noWrap/>
            <w:vAlign w:val="center"/>
          </w:tcPr>
          <w:p w14:paraId="6957399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2.72%</w:t>
            </w:r>
          </w:p>
        </w:tc>
        <w:tc>
          <w:tcPr>
            <w:tcW w:w="1254" w:type="dxa"/>
            <w:tcBorders>
              <w:top w:val="nil"/>
              <w:left w:val="nil"/>
              <w:bottom w:val="single" w:color="auto" w:sz="4" w:space="0"/>
              <w:right w:val="single" w:color="auto" w:sz="4" w:space="0"/>
            </w:tcBorders>
            <w:shd w:val="clear" w:color="auto" w:fill="4F81BD"/>
            <w:noWrap/>
            <w:vAlign w:val="center"/>
          </w:tcPr>
          <w:p w14:paraId="52484A5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3.77%</w:t>
            </w:r>
          </w:p>
        </w:tc>
        <w:tc>
          <w:tcPr>
            <w:tcW w:w="1310" w:type="dxa"/>
            <w:tcBorders>
              <w:top w:val="nil"/>
              <w:left w:val="nil"/>
              <w:bottom w:val="single" w:color="auto" w:sz="4" w:space="0"/>
              <w:right w:val="single" w:color="auto" w:sz="4" w:space="0"/>
            </w:tcBorders>
            <w:shd w:val="clear" w:color="auto" w:fill="4F81BD"/>
            <w:noWrap/>
            <w:vAlign w:val="center"/>
          </w:tcPr>
          <w:p w14:paraId="3A58BD34">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8.31%</w:t>
            </w:r>
          </w:p>
        </w:tc>
        <w:tc>
          <w:tcPr>
            <w:tcW w:w="1641" w:type="dxa"/>
            <w:tcBorders>
              <w:top w:val="nil"/>
              <w:left w:val="nil"/>
              <w:bottom w:val="single" w:color="auto" w:sz="4" w:space="0"/>
              <w:right w:val="single" w:color="auto" w:sz="4" w:space="0"/>
            </w:tcBorders>
            <w:shd w:val="clear" w:color="auto" w:fill="4F81BD"/>
            <w:noWrap/>
            <w:vAlign w:val="center"/>
          </w:tcPr>
          <w:p w14:paraId="795F464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5.18%</w:t>
            </w:r>
          </w:p>
        </w:tc>
      </w:tr>
    </w:tbl>
    <w:p w14:paraId="7E55B098">
      <w:pPr>
        <w:snapToGrid w:val="0"/>
        <w:ind w:left="0"/>
        <w:rPr>
          <w:rFonts w:ascii="Arial" w:hAnsi="Arial" w:eastAsia="微软雅黑" w:cs="Arial"/>
          <w:color w:val="3F9C35"/>
          <w:sz w:val="28"/>
          <w:szCs w:val="22"/>
          <w:highlight w:val="yellow"/>
        </w:rPr>
      </w:pPr>
    </w:p>
    <w:p w14:paraId="3864B40D">
      <w:pPr>
        <w:snapToGrid w:val="0"/>
        <w:ind w:left="0"/>
        <w:rPr>
          <w:rFonts w:ascii="Arial" w:hAnsi="Arial" w:eastAsia="微软雅黑" w:cs="Arial"/>
          <w:color w:val="3F9C35"/>
          <w:sz w:val="28"/>
          <w:szCs w:val="22"/>
          <w:highlight w:val="yellow"/>
        </w:rPr>
      </w:pPr>
    </w:p>
    <w:p w14:paraId="0A5C21E1">
      <w:pPr>
        <w:snapToGrid w:val="0"/>
        <w:ind w:left="0"/>
        <w:rPr>
          <w:rFonts w:ascii="Arial" w:hAnsi="Arial" w:eastAsia="微软雅黑" w:cs="Arial"/>
          <w:color w:val="3F9C35"/>
          <w:sz w:val="28"/>
          <w:szCs w:val="22"/>
          <w:highlight w:val="yellow"/>
        </w:rPr>
      </w:pPr>
    </w:p>
    <w:p w14:paraId="2597EB5E">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797"/>
        <w:gridCol w:w="1115"/>
        <w:gridCol w:w="1401"/>
        <w:gridCol w:w="1385"/>
        <w:gridCol w:w="1385"/>
        <w:gridCol w:w="1683"/>
      </w:tblGrid>
      <w:tr w14:paraId="73FCFFEF">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02D46AB">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5）HS Valve Co.,Ltd.（韩国）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2EA8CBCB">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000000" w:fill="C6D9F1"/>
            <w:noWrap/>
            <w:vAlign w:val="center"/>
          </w:tcPr>
          <w:p w14:paraId="4BF370A8">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股票代码:039610</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5535A82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99" w:type="pct"/>
            <w:vMerge w:val="restart"/>
            <w:tcBorders>
              <w:top w:val="nil"/>
              <w:left w:val="single" w:color="auto" w:sz="4" w:space="0"/>
              <w:bottom w:val="single" w:color="auto" w:sz="4" w:space="0"/>
              <w:right w:val="single" w:color="auto" w:sz="4" w:space="0"/>
            </w:tcBorders>
            <w:shd w:val="clear" w:color="000000" w:fill="C6D9F1"/>
            <w:noWrap/>
            <w:vAlign w:val="center"/>
          </w:tcPr>
          <w:p w14:paraId="0681F40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90" w:type="pct"/>
            <w:vMerge w:val="restart"/>
            <w:tcBorders>
              <w:top w:val="nil"/>
              <w:left w:val="single" w:color="auto" w:sz="4" w:space="0"/>
              <w:bottom w:val="single" w:color="auto" w:sz="4" w:space="0"/>
              <w:right w:val="single" w:color="auto" w:sz="4" w:space="0"/>
            </w:tcBorders>
            <w:shd w:val="clear" w:color="000000" w:fill="C6D9F1"/>
            <w:noWrap/>
            <w:vAlign w:val="center"/>
          </w:tcPr>
          <w:p w14:paraId="427BB26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90" w:type="pct"/>
            <w:vMerge w:val="restart"/>
            <w:tcBorders>
              <w:top w:val="nil"/>
              <w:left w:val="single" w:color="auto" w:sz="4" w:space="0"/>
              <w:bottom w:val="single" w:color="auto" w:sz="4" w:space="0"/>
              <w:right w:val="single" w:color="auto" w:sz="4" w:space="0"/>
            </w:tcBorders>
            <w:shd w:val="clear" w:color="000000" w:fill="C6D9F1"/>
            <w:noWrap/>
            <w:vAlign w:val="center"/>
          </w:tcPr>
          <w:p w14:paraId="1E779E3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61" w:type="pct"/>
            <w:vMerge w:val="restart"/>
            <w:tcBorders>
              <w:top w:val="nil"/>
              <w:left w:val="single" w:color="auto" w:sz="4" w:space="0"/>
              <w:bottom w:val="single" w:color="auto" w:sz="4" w:space="0"/>
              <w:right w:val="single" w:color="auto" w:sz="4" w:space="0"/>
            </w:tcBorders>
            <w:shd w:val="clear" w:color="000000" w:fill="C6D9F1"/>
            <w:noWrap/>
            <w:vAlign w:val="center"/>
          </w:tcPr>
          <w:p w14:paraId="6DFD6F6E">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91F3C9F">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000000" w:fill="C6D9F1"/>
            <w:noWrap/>
            <w:vAlign w:val="center"/>
          </w:tcPr>
          <w:p w14:paraId="1C9EF5E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194C5984">
            <w:pPr>
              <w:snapToGrid w:val="0"/>
              <w:spacing w:before="0" w:after="0"/>
              <w:ind w:left="0" w:right="0"/>
              <w:jc w:val="left"/>
              <w:rPr>
                <w:rFonts w:ascii="微软雅黑" w:hAnsi="微软雅黑" w:eastAsia="微软雅黑" w:cs="宋体"/>
                <w:b/>
                <w:bCs/>
                <w:sz w:val="18"/>
                <w:szCs w:val="18"/>
              </w:rPr>
            </w:pPr>
          </w:p>
        </w:tc>
        <w:tc>
          <w:tcPr>
            <w:tcW w:w="799" w:type="pct"/>
            <w:vMerge w:val="continue"/>
            <w:tcBorders>
              <w:top w:val="nil"/>
              <w:left w:val="single" w:color="auto" w:sz="4" w:space="0"/>
              <w:bottom w:val="single" w:color="auto" w:sz="4" w:space="0"/>
              <w:right w:val="single" w:color="auto" w:sz="4" w:space="0"/>
            </w:tcBorders>
            <w:vAlign w:val="center"/>
          </w:tcPr>
          <w:p w14:paraId="2112D214">
            <w:pPr>
              <w:snapToGrid w:val="0"/>
              <w:spacing w:before="0" w:after="0"/>
              <w:ind w:left="0" w:right="0"/>
              <w:jc w:val="left"/>
              <w:rPr>
                <w:rFonts w:ascii="Arial" w:hAnsi="Arial" w:eastAsia="等线" w:cs="Arial"/>
                <w:b/>
                <w:bCs/>
                <w:sz w:val="18"/>
                <w:szCs w:val="18"/>
              </w:rPr>
            </w:pPr>
          </w:p>
        </w:tc>
        <w:tc>
          <w:tcPr>
            <w:tcW w:w="790" w:type="pct"/>
            <w:vMerge w:val="continue"/>
            <w:tcBorders>
              <w:top w:val="nil"/>
              <w:left w:val="single" w:color="auto" w:sz="4" w:space="0"/>
              <w:bottom w:val="single" w:color="auto" w:sz="4" w:space="0"/>
              <w:right w:val="single" w:color="auto" w:sz="4" w:space="0"/>
            </w:tcBorders>
            <w:vAlign w:val="center"/>
          </w:tcPr>
          <w:p w14:paraId="6A121AC9">
            <w:pPr>
              <w:snapToGrid w:val="0"/>
              <w:spacing w:before="0" w:after="0"/>
              <w:ind w:left="0" w:right="0"/>
              <w:jc w:val="left"/>
              <w:rPr>
                <w:rFonts w:ascii="Arial" w:hAnsi="Arial" w:eastAsia="等线" w:cs="Arial"/>
                <w:b/>
                <w:bCs/>
                <w:sz w:val="18"/>
                <w:szCs w:val="18"/>
              </w:rPr>
            </w:pPr>
          </w:p>
        </w:tc>
        <w:tc>
          <w:tcPr>
            <w:tcW w:w="790" w:type="pct"/>
            <w:vMerge w:val="continue"/>
            <w:tcBorders>
              <w:top w:val="nil"/>
              <w:left w:val="single" w:color="auto" w:sz="4" w:space="0"/>
              <w:bottom w:val="single" w:color="auto" w:sz="4" w:space="0"/>
              <w:right w:val="single" w:color="auto" w:sz="4" w:space="0"/>
            </w:tcBorders>
            <w:vAlign w:val="center"/>
          </w:tcPr>
          <w:p w14:paraId="539A82D6">
            <w:pPr>
              <w:snapToGrid w:val="0"/>
              <w:spacing w:before="0" w:after="0"/>
              <w:ind w:left="0" w:right="0"/>
              <w:jc w:val="left"/>
              <w:rPr>
                <w:rFonts w:ascii="Arial" w:hAnsi="Arial" w:eastAsia="等线" w:cs="Arial"/>
                <w:b/>
                <w:bCs/>
                <w:sz w:val="18"/>
                <w:szCs w:val="18"/>
              </w:rPr>
            </w:pPr>
          </w:p>
        </w:tc>
        <w:tc>
          <w:tcPr>
            <w:tcW w:w="961" w:type="pct"/>
            <w:vMerge w:val="continue"/>
            <w:tcBorders>
              <w:top w:val="nil"/>
              <w:left w:val="single" w:color="auto" w:sz="4" w:space="0"/>
              <w:bottom w:val="single" w:color="auto" w:sz="4" w:space="0"/>
              <w:right w:val="single" w:color="auto" w:sz="4" w:space="0"/>
            </w:tcBorders>
            <w:vAlign w:val="center"/>
          </w:tcPr>
          <w:p w14:paraId="699A2235">
            <w:pPr>
              <w:snapToGrid w:val="0"/>
              <w:spacing w:before="0" w:after="0"/>
              <w:ind w:left="0" w:right="0"/>
              <w:jc w:val="left"/>
              <w:rPr>
                <w:rFonts w:ascii="微软雅黑" w:hAnsi="微软雅黑" w:eastAsia="微软雅黑" w:cs="宋体"/>
                <w:b/>
                <w:bCs/>
                <w:sz w:val="18"/>
                <w:szCs w:val="18"/>
              </w:rPr>
            </w:pPr>
          </w:p>
        </w:tc>
      </w:tr>
      <w:tr w14:paraId="3B2ABA3B">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1E6572C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34F1466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799" w:type="pct"/>
            <w:tcBorders>
              <w:top w:val="nil"/>
              <w:left w:val="nil"/>
              <w:bottom w:val="single" w:color="auto" w:sz="4" w:space="0"/>
              <w:right w:val="single" w:color="auto" w:sz="4" w:space="0"/>
            </w:tcBorders>
            <w:shd w:val="clear" w:color="auto" w:fill="auto"/>
            <w:noWrap/>
            <w:vAlign w:val="center"/>
          </w:tcPr>
          <w:p w14:paraId="272614BD">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7AF669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85,525,544</w:t>
            </w:r>
          </w:p>
        </w:tc>
        <w:tc>
          <w:tcPr>
            <w:tcW w:w="790" w:type="pct"/>
            <w:tcBorders>
              <w:top w:val="nil"/>
              <w:left w:val="nil"/>
              <w:bottom w:val="single" w:color="auto" w:sz="4" w:space="0"/>
              <w:right w:val="single" w:color="auto" w:sz="4" w:space="0"/>
            </w:tcBorders>
            <w:shd w:val="clear" w:color="auto" w:fill="auto"/>
            <w:noWrap/>
            <w:vAlign w:val="center"/>
          </w:tcPr>
          <w:p w14:paraId="5A2CFCD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91,550,545</w:t>
            </w:r>
          </w:p>
        </w:tc>
        <w:tc>
          <w:tcPr>
            <w:tcW w:w="961" w:type="pct"/>
            <w:tcBorders>
              <w:top w:val="nil"/>
              <w:left w:val="nil"/>
              <w:bottom w:val="single" w:color="auto" w:sz="4" w:space="0"/>
              <w:right w:val="single" w:color="auto" w:sz="4" w:space="0"/>
            </w:tcBorders>
            <w:shd w:val="clear" w:color="auto" w:fill="auto"/>
            <w:noWrap/>
            <w:vAlign w:val="center"/>
          </w:tcPr>
          <w:p w14:paraId="0AECD81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88,538,045</w:t>
            </w:r>
          </w:p>
        </w:tc>
      </w:tr>
      <w:tr w14:paraId="0625388E">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7137350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6DFA7EA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799" w:type="pct"/>
            <w:tcBorders>
              <w:top w:val="nil"/>
              <w:left w:val="nil"/>
              <w:bottom w:val="single" w:color="auto" w:sz="4" w:space="0"/>
              <w:right w:val="single" w:color="auto" w:sz="4" w:space="0"/>
            </w:tcBorders>
            <w:shd w:val="clear" w:color="auto" w:fill="auto"/>
            <w:noWrap/>
          </w:tcPr>
          <w:p w14:paraId="3DDA759C">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00DEB5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72,815,375</w:t>
            </w:r>
          </w:p>
        </w:tc>
        <w:tc>
          <w:tcPr>
            <w:tcW w:w="790" w:type="pct"/>
            <w:tcBorders>
              <w:top w:val="nil"/>
              <w:left w:val="nil"/>
              <w:bottom w:val="single" w:color="auto" w:sz="4" w:space="0"/>
              <w:right w:val="single" w:color="auto" w:sz="4" w:space="0"/>
            </w:tcBorders>
            <w:shd w:val="clear" w:color="auto" w:fill="auto"/>
            <w:noWrap/>
            <w:vAlign w:val="center"/>
          </w:tcPr>
          <w:p w14:paraId="7AE66C9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72,038,733</w:t>
            </w:r>
          </w:p>
        </w:tc>
        <w:tc>
          <w:tcPr>
            <w:tcW w:w="961" w:type="pct"/>
            <w:tcBorders>
              <w:top w:val="nil"/>
              <w:left w:val="nil"/>
              <w:bottom w:val="single" w:color="auto" w:sz="4" w:space="0"/>
              <w:right w:val="single" w:color="auto" w:sz="4" w:space="0"/>
            </w:tcBorders>
            <w:shd w:val="clear" w:color="auto" w:fill="auto"/>
            <w:noWrap/>
            <w:vAlign w:val="center"/>
          </w:tcPr>
          <w:p w14:paraId="74E1667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72,427,054</w:t>
            </w:r>
          </w:p>
        </w:tc>
      </w:tr>
      <w:tr w14:paraId="4C4D0F2E">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5CF7582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17FDD5B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799" w:type="pct"/>
            <w:tcBorders>
              <w:top w:val="nil"/>
              <w:left w:val="nil"/>
              <w:bottom w:val="single" w:color="auto" w:sz="4" w:space="0"/>
              <w:right w:val="single" w:color="auto" w:sz="4" w:space="0"/>
            </w:tcBorders>
            <w:shd w:val="clear" w:color="auto" w:fill="auto"/>
            <w:noWrap/>
          </w:tcPr>
          <w:p w14:paraId="7FFBB4F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765BA8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12,710,169</w:t>
            </w:r>
          </w:p>
        </w:tc>
        <w:tc>
          <w:tcPr>
            <w:tcW w:w="790" w:type="pct"/>
            <w:tcBorders>
              <w:top w:val="nil"/>
              <w:left w:val="nil"/>
              <w:bottom w:val="single" w:color="auto" w:sz="4" w:space="0"/>
              <w:right w:val="single" w:color="auto" w:sz="4" w:space="0"/>
            </w:tcBorders>
            <w:shd w:val="clear" w:color="auto" w:fill="auto"/>
            <w:noWrap/>
            <w:vAlign w:val="center"/>
          </w:tcPr>
          <w:p w14:paraId="3563C3D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19,511,812</w:t>
            </w:r>
          </w:p>
        </w:tc>
        <w:tc>
          <w:tcPr>
            <w:tcW w:w="961" w:type="pct"/>
            <w:tcBorders>
              <w:top w:val="nil"/>
              <w:left w:val="nil"/>
              <w:bottom w:val="single" w:color="auto" w:sz="4" w:space="0"/>
              <w:right w:val="single" w:color="auto" w:sz="4" w:space="0"/>
            </w:tcBorders>
            <w:shd w:val="clear" w:color="auto" w:fill="auto"/>
            <w:noWrap/>
            <w:vAlign w:val="center"/>
          </w:tcPr>
          <w:p w14:paraId="4F5D608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16,110,991</w:t>
            </w:r>
          </w:p>
        </w:tc>
      </w:tr>
      <w:tr w14:paraId="695019F4">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434C466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6034DBF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799" w:type="pct"/>
            <w:tcBorders>
              <w:top w:val="nil"/>
              <w:left w:val="nil"/>
              <w:bottom w:val="single" w:color="auto" w:sz="4" w:space="0"/>
              <w:right w:val="single" w:color="auto" w:sz="4" w:space="0"/>
            </w:tcBorders>
            <w:shd w:val="clear" w:color="auto" w:fill="auto"/>
            <w:noWrap/>
          </w:tcPr>
          <w:p w14:paraId="66E68B2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357673B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9,007,711</w:t>
            </w:r>
          </w:p>
        </w:tc>
        <w:tc>
          <w:tcPr>
            <w:tcW w:w="790" w:type="pct"/>
            <w:tcBorders>
              <w:top w:val="nil"/>
              <w:left w:val="nil"/>
              <w:bottom w:val="single" w:color="auto" w:sz="4" w:space="0"/>
              <w:right w:val="single" w:color="auto" w:sz="4" w:space="0"/>
            </w:tcBorders>
            <w:shd w:val="clear" w:color="auto" w:fill="auto"/>
            <w:noWrap/>
            <w:vAlign w:val="center"/>
          </w:tcPr>
          <w:p w14:paraId="1C425E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9,482,215</w:t>
            </w:r>
          </w:p>
        </w:tc>
        <w:tc>
          <w:tcPr>
            <w:tcW w:w="961" w:type="pct"/>
            <w:tcBorders>
              <w:top w:val="nil"/>
              <w:left w:val="nil"/>
              <w:bottom w:val="single" w:color="auto" w:sz="4" w:space="0"/>
              <w:right w:val="single" w:color="auto" w:sz="4" w:space="0"/>
            </w:tcBorders>
            <w:shd w:val="clear" w:color="auto" w:fill="auto"/>
            <w:noWrap/>
            <w:vAlign w:val="center"/>
          </w:tcPr>
          <w:p w14:paraId="392C088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9,244,963</w:t>
            </w:r>
          </w:p>
        </w:tc>
      </w:tr>
      <w:tr w14:paraId="134BC01D">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4100899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4CAB71E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799" w:type="pct"/>
            <w:tcBorders>
              <w:top w:val="nil"/>
              <w:left w:val="nil"/>
              <w:bottom w:val="single" w:color="auto" w:sz="4" w:space="0"/>
              <w:right w:val="single" w:color="auto" w:sz="4" w:space="0"/>
            </w:tcBorders>
            <w:shd w:val="clear" w:color="auto" w:fill="auto"/>
            <w:noWrap/>
          </w:tcPr>
          <w:p w14:paraId="683D4AA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12671C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3,702,458</w:t>
            </w:r>
          </w:p>
        </w:tc>
        <w:tc>
          <w:tcPr>
            <w:tcW w:w="790" w:type="pct"/>
            <w:tcBorders>
              <w:top w:val="nil"/>
              <w:left w:val="nil"/>
              <w:bottom w:val="single" w:color="auto" w:sz="4" w:space="0"/>
              <w:right w:val="single" w:color="auto" w:sz="4" w:space="0"/>
            </w:tcBorders>
            <w:shd w:val="clear" w:color="auto" w:fill="auto"/>
            <w:noWrap/>
            <w:vAlign w:val="center"/>
          </w:tcPr>
          <w:p w14:paraId="18B871E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10,029,597</w:t>
            </w:r>
          </w:p>
        </w:tc>
        <w:tc>
          <w:tcPr>
            <w:tcW w:w="961" w:type="pct"/>
            <w:tcBorders>
              <w:top w:val="nil"/>
              <w:left w:val="nil"/>
              <w:bottom w:val="single" w:color="auto" w:sz="4" w:space="0"/>
              <w:right w:val="single" w:color="auto" w:sz="4" w:space="0"/>
            </w:tcBorders>
            <w:shd w:val="clear" w:color="auto" w:fill="auto"/>
            <w:noWrap/>
            <w:vAlign w:val="center"/>
          </w:tcPr>
          <w:p w14:paraId="76F7963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6,866,028</w:t>
            </w:r>
          </w:p>
        </w:tc>
      </w:tr>
      <w:tr w14:paraId="410E5C82">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5C15C81D">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4AAAE77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99" w:type="pct"/>
            <w:tcBorders>
              <w:top w:val="nil"/>
              <w:left w:val="nil"/>
              <w:bottom w:val="single" w:color="auto" w:sz="4" w:space="0"/>
              <w:right w:val="single" w:color="auto" w:sz="4" w:space="0"/>
            </w:tcBorders>
            <w:shd w:val="clear" w:color="auto" w:fill="auto"/>
            <w:noWrap/>
            <w:vAlign w:val="center"/>
          </w:tcPr>
          <w:p w14:paraId="197F6FEB">
            <w:pPr>
              <w:jc w:val="right"/>
              <w:rPr>
                <w:rFonts w:ascii="华文楷体" w:hAnsi="华文楷体" w:eastAsia="华文楷体" w:cs="宋体"/>
                <w:color w:val="000000"/>
                <w:sz w:val="18"/>
                <w:szCs w:val="18"/>
              </w:rPr>
            </w:pPr>
          </w:p>
        </w:tc>
        <w:tc>
          <w:tcPr>
            <w:tcW w:w="790" w:type="pct"/>
            <w:tcBorders>
              <w:top w:val="nil"/>
              <w:left w:val="nil"/>
              <w:bottom w:val="single" w:color="auto" w:sz="4" w:space="0"/>
              <w:right w:val="single" w:color="auto" w:sz="4" w:space="0"/>
            </w:tcBorders>
            <w:shd w:val="clear" w:color="auto" w:fill="auto"/>
            <w:noWrap/>
            <w:vAlign w:val="center"/>
          </w:tcPr>
          <w:p w14:paraId="48F5451D">
            <w:pPr>
              <w:jc w:val="right"/>
              <w:rPr>
                <w:rFonts w:ascii="华文楷体" w:hAnsi="华文楷体" w:eastAsia="华文楷体" w:cs="宋体"/>
                <w:color w:val="000000"/>
                <w:sz w:val="18"/>
                <w:szCs w:val="18"/>
              </w:rPr>
            </w:pPr>
          </w:p>
        </w:tc>
        <w:tc>
          <w:tcPr>
            <w:tcW w:w="790" w:type="pct"/>
            <w:tcBorders>
              <w:top w:val="nil"/>
              <w:left w:val="nil"/>
              <w:bottom w:val="single" w:color="auto" w:sz="4" w:space="0"/>
              <w:right w:val="single" w:color="auto" w:sz="4" w:space="0"/>
            </w:tcBorders>
            <w:shd w:val="clear" w:color="auto" w:fill="auto"/>
            <w:noWrap/>
            <w:vAlign w:val="center"/>
          </w:tcPr>
          <w:p w14:paraId="046952F7">
            <w:pPr>
              <w:jc w:val="right"/>
              <w:rPr>
                <w:rFonts w:ascii="华文楷体" w:hAnsi="华文楷体" w:eastAsia="华文楷体" w:cs="宋体"/>
                <w:color w:val="000000"/>
                <w:sz w:val="18"/>
                <w:szCs w:val="18"/>
              </w:rPr>
            </w:pPr>
          </w:p>
        </w:tc>
        <w:tc>
          <w:tcPr>
            <w:tcW w:w="961" w:type="pct"/>
            <w:tcBorders>
              <w:top w:val="nil"/>
              <w:left w:val="nil"/>
              <w:bottom w:val="single" w:color="auto" w:sz="4" w:space="0"/>
              <w:right w:val="single" w:color="auto" w:sz="4" w:space="0"/>
            </w:tcBorders>
            <w:shd w:val="clear" w:color="auto" w:fill="auto"/>
            <w:noWrap/>
            <w:vAlign w:val="center"/>
          </w:tcPr>
          <w:p w14:paraId="57A070A5">
            <w:pPr>
              <w:jc w:val="right"/>
              <w:rPr>
                <w:rFonts w:ascii="华文楷体" w:hAnsi="华文楷体" w:eastAsia="华文楷体" w:cs="宋体"/>
                <w:color w:val="000000"/>
                <w:sz w:val="18"/>
                <w:szCs w:val="18"/>
              </w:rPr>
            </w:pPr>
          </w:p>
        </w:tc>
      </w:tr>
      <w:tr w14:paraId="453B5D70">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4F81BD"/>
            <w:noWrap/>
            <w:vAlign w:val="center"/>
          </w:tcPr>
          <w:p w14:paraId="5EFFB6A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130EECD4">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799" w:type="pct"/>
            <w:tcBorders>
              <w:top w:val="nil"/>
              <w:left w:val="nil"/>
              <w:bottom w:val="single" w:color="auto" w:sz="4" w:space="0"/>
              <w:right w:val="single" w:color="auto" w:sz="4" w:space="0"/>
            </w:tcBorders>
            <w:shd w:val="clear" w:color="auto" w:fill="4F81BD"/>
            <w:noWrap/>
            <w:vAlign w:val="center"/>
          </w:tcPr>
          <w:p w14:paraId="3EA0316B">
            <w:pPr>
              <w:jc w:val="right"/>
              <w:textAlignment w:val="center"/>
              <w:rPr>
                <w:rFonts w:ascii="Arial" w:hAnsi="Arial" w:eastAsia="等线" w:cs="Arial"/>
                <w:b/>
                <w:bCs/>
                <w:color w:val="FFFFFF"/>
                <w:sz w:val="18"/>
                <w:szCs w:val="18"/>
              </w:rPr>
            </w:pPr>
          </w:p>
        </w:tc>
        <w:tc>
          <w:tcPr>
            <w:tcW w:w="790" w:type="pct"/>
            <w:tcBorders>
              <w:top w:val="nil"/>
              <w:left w:val="nil"/>
              <w:bottom w:val="single" w:color="auto" w:sz="4" w:space="0"/>
              <w:right w:val="single" w:color="auto" w:sz="4" w:space="0"/>
            </w:tcBorders>
            <w:shd w:val="clear" w:color="auto" w:fill="4F81BD"/>
            <w:noWrap/>
            <w:vAlign w:val="center"/>
          </w:tcPr>
          <w:p w14:paraId="2294BCC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4.52%</w:t>
            </w:r>
          </w:p>
        </w:tc>
        <w:tc>
          <w:tcPr>
            <w:tcW w:w="790" w:type="pct"/>
            <w:tcBorders>
              <w:top w:val="nil"/>
              <w:left w:val="nil"/>
              <w:bottom w:val="single" w:color="auto" w:sz="4" w:space="0"/>
              <w:right w:val="single" w:color="auto" w:sz="4" w:space="0"/>
            </w:tcBorders>
            <w:shd w:val="clear" w:color="auto" w:fill="4F81BD"/>
            <w:noWrap/>
            <w:vAlign w:val="center"/>
          </w:tcPr>
          <w:p w14:paraId="3F19D44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12.30%</w:t>
            </w:r>
          </w:p>
        </w:tc>
        <w:tc>
          <w:tcPr>
            <w:tcW w:w="961" w:type="pct"/>
            <w:tcBorders>
              <w:top w:val="nil"/>
              <w:left w:val="nil"/>
              <w:bottom w:val="single" w:color="auto" w:sz="4" w:space="0"/>
              <w:right w:val="single" w:color="auto" w:sz="4" w:space="0"/>
            </w:tcBorders>
            <w:shd w:val="clear" w:color="auto" w:fill="4F81BD"/>
            <w:noWrap/>
            <w:vAlign w:val="center"/>
          </w:tcPr>
          <w:p w14:paraId="5CF1D9B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8.41%</w:t>
            </w:r>
          </w:p>
        </w:tc>
      </w:tr>
    </w:tbl>
    <w:p w14:paraId="117C5E7E">
      <w:pPr>
        <w:snapToGrid w:val="0"/>
        <w:ind w:left="0"/>
        <w:rPr>
          <w:rFonts w:ascii="Arial" w:hAnsi="Arial" w:eastAsia="微软雅黑" w:cs="Arial"/>
          <w:color w:val="3F9C35"/>
          <w:sz w:val="28"/>
          <w:szCs w:val="22"/>
          <w:highlight w:val="yellow"/>
        </w:rPr>
      </w:pPr>
    </w:p>
    <w:p w14:paraId="6B41C237">
      <w:pPr>
        <w:snapToGrid w:val="0"/>
        <w:ind w:left="0"/>
        <w:rPr>
          <w:rFonts w:ascii="Arial" w:hAnsi="Arial" w:eastAsia="微软雅黑" w:cs="Arial"/>
          <w:color w:val="3F9C35"/>
          <w:sz w:val="28"/>
          <w:szCs w:val="22"/>
          <w:highlight w:val="yellow"/>
        </w:rPr>
      </w:pPr>
    </w:p>
    <w:tbl>
      <w:tblPr>
        <w:tblStyle w:val="29"/>
        <w:tblpPr w:leftFromText="180" w:rightFromText="180" w:vertAnchor="text" w:horzAnchor="margin" w:tblpY="165"/>
        <w:tblW w:w="5000" w:type="pct"/>
        <w:tblInd w:w="0" w:type="dxa"/>
        <w:tblLayout w:type="autofit"/>
        <w:tblCellMar>
          <w:top w:w="0" w:type="dxa"/>
          <w:left w:w="108" w:type="dxa"/>
          <w:bottom w:w="0" w:type="dxa"/>
          <w:right w:w="108" w:type="dxa"/>
        </w:tblCellMar>
      </w:tblPr>
      <w:tblGrid>
        <w:gridCol w:w="1766"/>
        <w:gridCol w:w="1246"/>
        <w:gridCol w:w="1282"/>
        <w:gridCol w:w="1396"/>
        <w:gridCol w:w="1396"/>
        <w:gridCol w:w="1680"/>
      </w:tblGrid>
      <w:tr w14:paraId="18034A08">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4C4ABE5">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6）Okumura Engineering Corp.</w:t>
            </w:r>
          </w:p>
        </w:tc>
      </w:tr>
      <w:tr w14:paraId="607EB47E">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000000" w:fill="C6D9F1"/>
            <w:noWrap/>
            <w:vAlign w:val="center"/>
          </w:tcPr>
          <w:p w14:paraId="513BE69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股票代码:6229</w:t>
            </w:r>
          </w:p>
        </w:tc>
        <w:tc>
          <w:tcPr>
            <w:tcW w:w="711" w:type="pct"/>
            <w:vMerge w:val="restart"/>
            <w:tcBorders>
              <w:top w:val="nil"/>
              <w:left w:val="single" w:color="auto" w:sz="4" w:space="0"/>
              <w:bottom w:val="single" w:color="auto" w:sz="4" w:space="0"/>
              <w:right w:val="single" w:color="auto" w:sz="4" w:space="0"/>
            </w:tcBorders>
            <w:shd w:val="clear" w:color="000000" w:fill="C6D9F1"/>
            <w:noWrap/>
            <w:vAlign w:val="center"/>
          </w:tcPr>
          <w:p w14:paraId="02099529">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31" w:type="pct"/>
            <w:vMerge w:val="restart"/>
            <w:tcBorders>
              <w:top w:val="nil"/>
              <w:left w:val="single" w:color="auto" w:sz="4" w:space="0"/>
              <w:bottom w:val="single" w:color="auto" w:sz="4" w:space="0"/>
              <w:right w:val="single" w:color="auto" w:sz="4" w:space="0"/>
            </w:tcBorders>
            <w:shd w:val="clear" w:color="000000" w:fill="C6D9F1"/>
            <w:noWrap/>
            <w:vAlign w:val="center"/>
          </w:tcPr>
          <w:p w14:paraId="44ABEDC2">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96" w:type="pct"/>
            <w:vMerge w:val="restart"/>
            <w:tcBorders>
              <w:top w:val="nil"/>
              <w:left w:val="single" w:color="auto" w:sz="4" w:space="0"/>
              <w:bottom w:val="single" w:color="auto" w:sz="4" w:space="0"/>
              <w:right w:val="single" w:color="auto" w:sz="4" w:space="0"/>
            </w:tcBorders>
            <w:shd w:val="clear" w:color="000000" w:fill="C6D9F1"/>
            <w:noWrap/>
            <w:vAlign w:val="center"/>
          </w:tcPr>
          <w:p w14:paraId="12CCF73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96" w:type="pct"/>
            <w:vMerge w:val="restart"/>
            <w:tcBorders>
              <w:top w:val="nil"/>
              <w:left w:val="single" w:color="auto" w:sz="4" w:space="0"/>
              <w:bottom w:val="single" w:color="auto" w:sz="4" w:space="0"/>
              <w:right w:val="single" w:color="auto" w:sz="4" w:space="0"/>
            </w:tcBorders>
            <w:shd w:val="clear" w:color="000000" w:fill="C6D9F1"/>
            <w:noWrap/>
            <w:vAlign w:val="center"/>
          </w:tcPr>
          <w:p w14:paraId="5C35756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58" w:type="pct"/>
            <w:vMerge w:val="restart"/>
            <w:tcBorders>
              <w:top w:val="nil"/>
              <w:left w:val="single" w:color="auto" w:sz="4" w:space="0"/>
              <w:bottom w:val="single" w:color="auto" w:sz="4" w:space="0"/>
              <w:right w:val="single" w:color="auto" w:sz="4" w:space="0"/>
            </w:tcBorders>
            <w:shd w:val="clear" w:color="000000" w:fill="C6D9F1"/>
            <w:noWrap/>
            <w:vAlign w:val="center"/>
          </w:tcPr>
          <w:p w14:paraId="09E63B5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7B600C5F">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000000" w:fill="C6D9F1"/>
            <w:noWrap/>
            <w:vAlign w:val="center"/>
          </w:tcPr>
          <w:p w14:paraId="77DF41B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11" w:type="pct"/>
            <w:vMerge w:val="continue"/>
            <w:tcBorders>
              <w:top w:val="nil"/>
              <w:left w:val="single" w:color="auto" w:sz="4" w:space="0"/>
              <w:bottom w:val="single" w:color="auto" w:sz="4" w:space="0"/>
              <w:right w:val="single" w:color="auto" w:sz="4" w:space="0"/>
            </w:tcBorders>
            <w:vAlign w:val="center"/>
          </w:tcPr>
          <w:p w14:paraId="4AE880DD">
            <w:pPr>
              <w:snapToGrid w:val="0"/>
              <w:spacing w:before="0" w:after="0"/>
              <w:ind w:left="0" w:right="0"/>
              <w:jc w:val="left"/>
              <w:rPr>
                <w:rFonts w:ascii="微软雅黑" w:hAnsi="微软雅黑" w:eastAsia="微软雅黑" w:cs="宋体"/>
                <w:b/>
                <w:bCs/>
                <w:sz w:val="18"/>
                <w:szCs w:val="18"/>
              </w:rPr>
            </w:pPr>
          </w:p>
        </w:tc>
        <w:tc>
          <w:tcPr>
            <w:tcW w:w="731" w:type="pct"/>
            <w:vMerge w:val="continue"/>
            <w:tcBorders>
              <w:top w:val="nil"/>
              <w:left w:val="single" w:color="auto" w:sz="4" w:space="0"/>
              <w:bottom w:val="single" w:color="auto" w:sz="4" w:space="0"/>
              <w:right w:val="single" w:color="auto" w:sz="4" w:space="0"/>
            </w:tcBorders>
            <w:vAlign w:val="center"/>
          </w:tcPr>
          <w:p w14:paraId="54A47C78">
            <w:pPr>
              <w:snapToGrid w:val="0"/>
              <w:spacing w:before="0" w:after="0"/>
              <w:ind w:left="0" w:right="0"/>
              <w:jc w:val="left"/>
              <w:rPr>
                <w:rFonts w:ascii="Arial" w:hAnsi="Arial" w:eastAsia="等线" w:cs="Arial"/>
                <w:b/>
                <w:bCs/>
                <w:sz w:val="18"/>
                <w:szCs w:val="18"/>
              </w:rPr>
            </w:pPr>
          </w:p>
        </w:tc>
        <w:tc>
          <w:tcPr>
            <w:tcW w:w="796" w:type="pct"/>
            <w:vMerge w:val="continue"/>
            <w:tcBorders>
              <w:top w:val="nil"/>
              <w:left w:val="single" w:color="auto" w:sz="4" w:space="0"/>
              <w:bottom w:val="single" w:color="auto" w:sz="4" w:space="0"/>
              <w:right w:val="single" w:color="auto" w:sz="4" w:space="0"/>
            </w:tcBorders>
            <w:vAlign w:val="center"/>
          </w:tcPr>
          <w:p w14:paraId="4547EDCC">
            <w:pPr>
              <w:snapToGrid w:val="0"/>
              <w:spacing w:before="0" w:after="0"/>
              <w:ind w:left="0" w:right="0"/>
              <w:jc w:val="left"/>
              <w:rPr>
                <w:rFonts w:ascii="Arial" w:hAnsi="Arial" w:eastAsia="等线" w:cs="Arial"/>
                <w:b/>
                <w:bCs/>
                <w:sz w:val="18"/>
                <w:szCs w:val="18"/>
              </w:rPr>
            </w:pPr>
          </w:p>
        </w:tc>
        <w:tc>
          <w:tcPr>
            <w:tcW w:w="796" w:type="pct"/>
            <w:vMerge w:val="continue"/>
            <w:tcBorders>
              <w:top w:val="nil"/>
              <w:left w:val="single" w:color="auto" w:sz="4" w:space="0"/>
              <w:bottom w:val="single" w:color="auto" w:sz="4" w:space="0"/>
              <w:right w:val="single" w:color="auto" w:sz="4" w:space="0"/>
            </w:tcBorders>
            <w:vAlign w:val="center"/>
          </w:tcPr>
          <w:p w14:paraId="737A7BA8">
            <w:pPr>
              <w:snapToGrid w:val="0"/>
              <w:spacing w:before="0" w:after="0"/>
              <w:ind w:left="0" w:right="0"/>
              <w:jc w:val="left"/>
              <w:rPr>
                <w:rFonts w:ascii="Arial" w:hAnsi="Arial" w:eastAsia="等线" w:cs="Arial"/>
                <w:b/>
                <w:bCs/>
                <w:sz w:val="18"/>
                <w:szCs w:val="18"/>
              </w:rPr>
            </w:pPr>
          </w:p>
        </w:tc>
        <w:tc>
          <w:tcPr>
            <w:tcW w:w="958" w:type="pct"/>
            <w:vMerge w:val="continue"/>
            <w:tcBorders>
              <w:top w:val="nil"/>
              <w:left w:val="single" w:color="auto" w:sz="4" w:space="0"/>
              <w:bottom w:val="single" w:color="auto" w:sz="4" w:space="0"/>
              <w:right w:val="single" w:color="auto" w:sz="4" w:space="0"/>
            </w:tcBorders>
            <w:vAlign w:val="center"/>
          </w:tcPr>
          <w:p w14:paraId="3CE6BFFC">
            <w:pPr>
              <w:snapToGrid w:val="0"/>
              <w:spacing w:before="0" w:after="0"/>
              <w:ind w:left="0" w:right="0"/>
              <w:jc w:val="left"/>
              <w:rPr>
                <w:rFonts w:ascii="微软雅黑" w:hAnsi="微软雅黑" w:eastAsia="微软雅黑" w:cs="宋体"/>
                <w:b/>
                <w:bCs/>
                <w:sz w:val="18"/>
                <w:szCs w:val="18"/>
              </w:rPr>
            </w:pPr>
          </w:p>
        </w:tc>
      </w:tr>
      <w:tr w14:paraId="20076781">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2EC792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11" w:type="pct"/>
            <w:tcBorders>
              <w:top w:val="nil"/>
              <w:left w:val="nil"/>
              <w:bottom w:val="single" w:color="auto" w:sz="4" w:space="0"/>
              <w:right w:val="single" w:color="auto" w:sz="4" w:space="0"/>
            </w:tcBorders>
            <w:shd w:val="clear" w:color="auto" w:fill="auto"/>
            <w:noWrap/>
            <w:vAlign w:val="center"/>
          </w:tcPr>
          <w:p w14:paraId="395D204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82" w:type="dxa"/>
            <w:tcBorders>
              <w:top w:val="nil"/>
              <w:left w:val="nil"/>
              <w:bottom w:val="single" w:color="auto" w:sz="4" w:space="0"/>
              <w:right w:val="single" w:color="auto" w:sz="4" w:space="0"/>
            </w:tcBorders>
            <w:shd w:val="clear" w:color="auto" w:fill="auto"/>
            <w:noWrap/>
            <w:vAlign w:val="center"/>
          </w:tcPr>
          <w:p w14:paraId="44AB75B8">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8,456,374</w:t>
            </w:r>
          </w:p>
        </w:tc>
        <w:tc>
          <w:tcPr>
            <w:tcW w:w="1396" w:type="dxa"/>
            <w:tcBorders>
              <w:top w:val="nil"/>
              <w:left w:val="nil"/>
              <w:bottom w:val="single" w:color="auto" w:sz="4" w:space="0"/>
              <w:right w:val="single" w:color="auto" w:sz="4" w:space="0"/>
            </w:tcBorders>
            <w:shd w:val="clear" w:color="auto" w:fill="auto"/>
            <w:noWrap/>
            <w:vAlign w:val="center"/>
          </w:tcPr>
          <w:p w14:paraId="00CFE35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9,164,286</w:t>
            </w:r>
          </w:p>
        </w:tc>
        <w:tc>
          <w:tcPr>
            <w:tcW w:w="1396" w:type="dxa"/>
            <w:tcBorders>
              <w:top w:val="nil"/>
              <w:left w:val="nil"/>
              <w:bottom w:val="single" w:color="auto" w:sz="4" w:space="0"/>
              <w:right w:val="single" w:color="auto" w:sz="4" w:space="0"/>
            </w:tcBorders>
            <w:shd w:val="clear" w:color="auto" w:fill="auto"/>
            <w:noWrap/>
            <w:vAlign w:val="center"/>
          </w:tcPr>
          <w:p w14:paraId="4251761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9,484,631</w:t>
            </w:r>
          </w:p>
        </w:tc>
        <w:tc>
          <w:tcPr>
            <w:tcW w:w="1680" w:type="dxa"/>
            <w:tcBorders>
              <w:top w:val="nil"/>
              <w:left w:val="nil"/>
              <w:bottom w:val="single" w:color="auto" w:sz="4" w:space="0"/>
              <w:right w:val="single" w:color="auto" w:sz="4" w:space="0"/>
            </w:tcBorders>
            <w:shd w:val="clear" w:color="auto" w:fill="auto"/>
            <w:noWrap/>
            <w:vAlign w:val="center"/>
          </w:tcPr>
          <w:p w14:paraId="4A2C495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9,035,097</w:t>
            </w:r>
          </w:p>
        </w:tc>
      </w:tr>
      <w:tr w14:paraId="042702BF">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571A76D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11" w:type="pct"/>
            <w:tcBorders>
              <w:top w:val="nil"/>
              <w:left w:val="nil"/>
              <w:bottom w:val="single" w:color="auto" w:sz="4" w:space="0"/>
              <w:right w:val="single" w:color="auto" w:sz="4" w:space="0"/>
            </w:tcBorders>
            <w:shd w:val="clear" w:color="auto" w:fill="auto"/>
            <w:noWrap/>
            <w:vAlign w:val="center"/>
          </w:tcPr>
          <w:p w14:paraId="2D4EBC3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82" w:type="dxa"/>
            <w:tcBorders>
              <w:top w:val="nil"/>
              <w:left w:val="nil"/>
              <w:bottom w:val="single" w:color="auto" w:sz="4" w:space="0"/>
              <w:right w:val="single" w:color="auto" w:sz="4" w:space="0"/>
            </w:tcBorders>
            <w:shd w:val="clear" w:color="auto" w:fill="auto"/>
            <w:noWrap/>
            <w:vAlign w:val="center"/>
          </w:tcPr>
          <w:p w14:paraId="4096C80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5,001,873</w:t>
            </w:r>
          </w:p>
        </w:tc>
        <w:tc>
          <w:tcPr>
            <w:tcW w:w="1396" w:type="dxa"/>
            <w:tcBorders>
              <w:top w:val="nil"/>
              <w:left w:val="nil"/>
              <w:bottom w:val="single" w:color="auto" w:sz="4" w:space="0"/>
              <w:right w:val="single" w:color="auto" w:sz="4" w:space="0"/>
            </w:tcBorders>
            <w:shd w:val="clear" w:color="auto" w:fill="auto"/>
            <w:noWrap/>
            <w:vAlign w:val="center"/>
          </w:tcPr>
          <w:p w14:paraId="73852DD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5,464,068</w:t>
            </w:r>
          </w:p>
        </w:tc>
        <w:tc>
          <w:tcPr>
            <w:tcW w:w="1396" w:type="dxa"/>
            <w:tcBorders>
              <w:top w:val="nil"/>
              <w:left w:val="nil"/>
              <w:bottom w:val="single" w:color="auto" w:sz="4" w:space="0"/>
              <w:right w:val="single" w:color="auto" w:sz="4" w:space="0"/>
            </w:tcBorders>
            <w:shd w:val="clear" w:color="auto" w:fill="auto"/>
            <w:noWrap/>
            <w:vAlign w:val="center"/>
          </w:tcPr>
          <w:p w14:paraId="573C041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5,898,550</w:t>
            </w:r>
          </w:p>
        </w:tc>
        <w:tc>
          <w:tcPr>
            <w:tcW w:w="1680" w:type="dxa"/>
            <w:tcBorders>
              <w:top w:val="nil"/>
              <w:left w:val="nil"/>
              <w:bottom w:val="single" w:color="auto" w:sz="4" w:space="0"/>
              <w:right w:val="single" w:color="auto" w:sz="4" w:space="0"/>
            </w:tcBorders>
            <w:shd w:val="clear" w:color="auto" w:fill="auto"/>
            <w:noWrap/>
            <w:vAlign w:val="center"/>
          </w:tcPr>
          <w:p w14:paraId="3474E94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5,454,830</w:t>
            </w:r>
          </w:p>
        </w:tc>
      </w:tr>
      <w:tr w14:paraId="34E65FB3">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7A10FB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11" w:type="pct"/>
            <w:tcBorders>
              <w:top w:val="nil"/>
              <w:left w:val="nil"/>
              <w:bottom w:val="single" w:color="auto" w:sz="4" w:space="0"/>
              <w:right w:val="single" w:color="auto" w:sz="4" w:space="0"/>
            </w:tcBorders>
            <w:shd w:val="clear" w:color="auto" w:fill="auto"/>
            <w:noWrap/>
            <w:vAlign w:val="center"/>
          </w:tcPr>
          <w:p w14:paraId="28E4870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82" w:type="dxa"/>
            <w:tcBorders>
              <w:top w:val="nil"/>
              <w:left w:val="nil"/>
              <w:bottom w:val="single" w:color="auto" w:sz="4" w:space="0"/>
              <w:right w:val="single" w:color="auto" w:sz="4" w:space="0"/>
            </w:tcBorders>
            <w:shd w:val="clear" w:color="auto" w:fill="auto"/>
            <w:noWrap/>
            <w:vAlign w:val="center"/>
          </w:tcPr>
          <w:p w14:paraId="621D873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3,454,501</w:t>
            </w:r>
          </w:p>
        </w:tc>
        <w:tc>
          <w:tcPr>
            <w:tcW w:w="1396" w:type="dxa"/>
            <w:tcBorders>
              <w:top w:val="nil"/>
              <w:left w:val="nil"/>
              <w:bottom w:val="single" w:color="auto" w:sz="4" w:space="0"/>
              <w:right w:val="single" w:color="auto" w:sz="4" w:space="0"/>
            </w:tcBorders>
            <w:shd w:val="clear" w:color="auto" w:fill="auto"/>
            <w:noWrap/>
            <w:vAlign w:val="center"/>
          </w:tcPr>
          <w:p w14:paraId="21DA0BA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3,700,218</w:t>
            </w:r>
          </w:p>
        </w:tc>
        <w:tc>
          <w:tcPr>
            <w:tcW w:w="1396" w:type="dxa"/>
            <w:tcBorders>
              <w:top w:val="nil"/>
              <w:left w:val="nil"/>
              <w:bottom w:val="single" w:color="auto" w:sz="4" w:space="0"/>
              <w:right w:val="single" w:color="auto" w:sz="4" w:space="0"/>
            </w:tcBorders>
            <w:shd w:val="clear" w:color="auto" w:fill="auto"/>
            <w:noWrap/>
            <w:vAlign w:val="center"/>
          </w:tcPr>
          <w:p w14:paraId="44FCB22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3,586,081</w:t>
            </w:r>
          </w:p>
        </w:tc>
        <w:tc>
          <w:tcPr>
            <w:tcW w:w="1680" w:type="dxa"/>
            <w:tcBorders>
              <w:top w:val="nil"/>
              <w:left w:val="nil"/>
              <w:bottom w:val="single" w:color="auto" w:sz="4" w:space="0"/>
              <w:right w:val="single" w:color="auto" w:sz="4" w:space="0"/>
            </w:tcBorders>
            <w:shd w:val="clear" w:color="auto" w:fill="auto"/>
            <w:noWrap/>
            <w:vAlign w:val="center"/>
          </w:tcPr>
          <w:p w14:paraId="2D4B180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3,580,267</w:t>
            </w:r>
          </w:p>
        </w:tc>
      </w:tr>
      <w:tr w14:paraId="69A1270D">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04F2199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11" w:type="pct"/>
            <w:tcBorders>
              <w:top w:val="nil"/>
              <w:left w:val="nil"/>
              <w:bottom w:val="single" w:color="auto" w:sz="4" w:space="0"/>
              <w:right w:val="single" w:color="auto" w:sz="4" w:space="0"/>
            </w:tcBorders>
            <w:shd w:val="clear" w:color="auto" w:fill="auto"/>
            <w:noWrap/>
            <w:vAlign w:val="center"/>
          </w:tcPr>
          <w:p w14:paraId="56CD6FB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82" w:type="dxa"/>
            <w:tcBorders>
              <w:top w:val="nil"/>
              <w:left w:val="nil"/>
              <w:bottom w:val="single" w:color="auto" w:sz="4" w:space="0"/>
              <w:right w:val="single" w:color="auto" w:sz="4" w:space="0"/>
            </w:tcBorders>
            <w:shd w:val="clear" w:color="auto" w:fill="auto"/>
            <w:noWrap/>
            <w:vAlign w:val="center"/>
          </w:tcPr>
          <w:p w14:paraId="22442EA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2,796,349</w:t>
            </w:r>
          </w:p>
        </w:tc>
        <w:tc>
          <w:tcPr>
            <w:tcW w:w="1396" w:type="dxa"/>
            <w:tcBorders>
              <w:top w:val="nil"/>
              <w:left w:val="nil"/>
              <w:bottom w:val="single" w:color="auto" w:sz="4" w:space="0"/>
              <w:right w:val="single" w:color="auto" w:sz="4" w:space="0"/>
            </w:tcBorders>
            <w:shd w:val="clear" w:color="auto" w:fill="auto"/>
            <w:noWrap/>
            <w:vAlign w:val="center"/>
          </w:tcPr>
          <w:p w14:paraId="2CBE8EB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2,891,167</w:t>
            </w:r>
          </w:p>
        </w:tc>
        <w:tc>
          <w:tcPr>
            <w:tcW w:w="1396" w:type="dxa"/>
            <w:tcBorders>
              <w:top w:val="nil"/>
              <w:left w:val="nil"/>
              <w:bottom w:val="single" w:color="auto" w:sz="4" w:space="0"/>
              <w:right w:val="single" w:color="auto" w:sz="4" w:space="0"/>
            </w:tcBorders>
            <w:shd w:val="clear" w:color="auto" w:fill="auto"/>
            <w:noWrap/>
            <w:vAlign w:val="center"/>
          </w:tcPr>
          <w:p w14:paraId="2575D85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2,918,238</w:t>
            </w:r>
          </w:p>
        </w:tc>
        <w:tc>
          <w:tcPr>
            <w:tcW w:w="1680" w:type="dxa"/>
            <w:tcBorders>
              <w:top w:val="nil"/>
              <w:left w:val="nil"/>
              <w:bottom w:val="single" w:color="auto" w:sz="4" w:space="0"/>
              <w:right w:val="single" w:color="auto" w:sz="4" w:space="0"/>
            </w:tcBorders>
            <w:shd w:val="clear" w:color="auto" w:fill="auto"/>
            <w:noWrap/>
            <w:vAlign w:val="center"/>
          </w:tcPr>
          <w:p w14:paraId="34F9AE5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2,868,585</w:t>
            </w:r>
          </w:p>
        </w:tc>
      </w:tr>
      <w:tr w14:paraId="7E004384">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663FE7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11" w:type="pct"/>
            <w:tcBorders>
              <w:top w:val="nil"/>
              <w:left w:val="nil"/>
              <w:bottom w:val="single" w:color="auto" w:sz="4" w:space="0"/>
              <w:right w:val="single" w:color="auto" w:sz="4" w:space="0"/>
            </w:tcBorders>
            <w:shd w:val="clear" w:color="auto" w:fill="auto"/>
            <w:noWrap/>
            <w:vAlign w:val="center"/>
          </w:tcPr>
          <w:p w14:paraId="2525951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82" w:type="dxa"/>
            <w:tcBorders>
              <w:top w:val="nil"/>
              <w:left w:val="nil"/>
              <w:bottom w:val="single" w:color="auto" w:sz="4" w:space="0"/>
              <w:right w:val="single" w:color="auto" w:sz="4" w:space="0"/>
            </w:tcBorders>
            <w:shd w:val="clear" w:color="auto" w:fill="auto"/>
            <w:noWrap/>
            <w:vAlign w:val="center"/>
          </w:tcPr>
          <w:p w14:paraId="2DD54A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658,152</w:t>
            </w:r>
          </w:p>
        </w:tc>
        <w:tc>
          <w:tcPr>
            <w:tcW w:w="1396" w:type="dxa"/>
            <w:tcBorders>
              <w:top w:val="nil"/>
              <w:left w:val="nil"/>
              <w:bottom w:val="single" w:color="auto" w:sz="4" w:space="0"/>
              <w:right w:val="single" w:color="auto" w:sz="4" w:space="0"/>
            </w:tcBorders>
            <w:shd w:val="clear" w:color="auto" w:fill="auto"/>
            <w:noWrap/>
            <w:vAlign w:val="center"/>
          </w:tcPr>
          <w:p w14:paraId="6AA6641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809,051</w:t>
            </w:r>
          </w:p>
        </w:tc>
        <w:tc>
          <w:tcPr>
            <w:tcW w:w="1396" w:type="dxa"/>
            <w:tcBorders>
              <w:top w:val="nil"/>
              <w:left w:val="nil"/>
              <w:bottom w:val="single" w:color="auto" w:sz="4" w:space="0"/>
              <w:right w:val="single" w:color="auto" w:sz="4" w:space="0"/>
            </w:tcBorders>
            <w:shd w:val="clear" w:color="auto" w:fill="auto"/>
            <w:noWrap/>
            <w:vAlign w:val="center"/>
          </w:tcPr>
          <w:p w14:paraId="0C59C13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667,843</w:t>
            </w:r>
          </w:p>
        </w:tc>
        <w:tc>
          <w:tcPr>
            <w:tcW w:w="1680" w:type="dxa"/>
            <w:tcBorders>
              <w:top w:val="nil"/>
              <w:left w:val="nil"/>
              <w:bottom w:val="single" w:color="auto" w:sz="4" w:space="0"/>
              <w:right w:val="single" w:color="auto" w:sz="4" w:space="0"/>
            </w:tcBorders>
            <w:shd w:val="clear" w:color="auto" w:fill="auto"/>
            <w:noWrap/>
            <w:vAlign w:val="center"/>
          </w:tcPr>
          <w:p w14:paraId="6A55F0B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711,682</w:t>
            </w:r>
          </w:p>
        </w:tc>
      </w:tr>
      <w:tr w14:paraId="5DE65DD7">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B2B1124">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11" w:type="pct"/>
            <w:tcBorders>
              <w:top w:val="nil"/>
              <w:left w:val="nil"/>
              <w:bottom w:val="single" w:color="auto" w:sz="4" w:space="0"/>
              <w:right w:val="single" w:color="auto" w:sz="4" w:space="0"/>
            </w:tcBorders>
            <w:shd w:val="clear" w:color="auto" w:fill="auto"/>
            <w:noWrap/>
            <w:vAlign w:val="center"/>
          </w:tcPr>
          <w:p w14:paraId="6E3D8B6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82" w:type="dxa"/>
            <w:tcBorders>
              <w:top w:val="nil"/>
              <w:left w:val="nil"/>
              <w:bottom w:val="single" w:color="auto" w:sz="4" w:space="0"/>
              <w:right w:val="single" w:color="auto" w:sz="4" w:space="0"/>
            </w:tcBorders>
            <w:shd w:val="clear" w:color="auto" w:fill="auto"/>
            <w:noWrap/>
            <w:vAlign w:val="center"/>
          </w:tcPr>
          <w:p w14:paraId="4A1931CD">
            <w:pPr>
              <w:jc w:val="right"/>
              <w:rPr>
                <w:rFonts w:ascii="华文楷体" w:hAnsi="华文楷体" w:eastAsia="华文楷体" w:cs="宋体"/>
                <w:color w:val="000000"/>
                <w:sz w:val="18"/>
                <w:szCs w:val="18"/>
              </w:rPr>
            </w:pPr>
          </w:p>
        </w:tc>
        <w:tc>
          <w:tcPr>
            <w:tcW w:w="1396" w:type="dxa"/>
            <w:tcBorders>
              <w:top w:val="nil"/>
              <w:left w:val="nil"/>
              <w:bottom w:val="single" w:color="auto" w:sz="4" w:space="0"/>
              <w:right w:val="single" w:color="auto" w:sz="4" w:space="0"/>
            </w:tcBorders>
            <w:shd w:val="clear" w:color="auto" w:fill="auto"/>
            <w:noWrap/>
            <w:vAlign w:val="center"/>
          </w:tcPr>
          <w:p w14:paraId="43986169">
            <w:pPr>
              <w:jc w:val="right"/>
              <w:rPr>
                <w:rFonts w:ascii="华文楷体" w:hAnsi="华文楷体" w:eastAsia="华文楷体" w:cs="宋体"/>
                <w:color w:val="000000"/>
                <w:sz w:val="18"/>
                <w:szCs w:val="18"/>
              </w:rPr>
            </w:pPr>
          </w:p>
        </w:tc>
        <w:tc>
          <w:tcPr>
            <w:tcW w:w="1396" w:type="dxa"/>
            <w:tcBorders>
              <w:top w:val="nil"/>
              <w:left w:val="nil"/>
              <w:bottom w:val="single" w:color="auto" w:sz="4" w:space="0"/>
              <w:right w:val="single" w:color="auto" w:sz="4" w:space="0"/>
            </w:tcBorders>
            <w:shd w:val="clear" w:color="auto" w:fill="auto"/>
            <w:noWrap/>
            <w:vAlign w:val="center"/>
          </w:tcPr>
          <w:p w14:paraId="47DDCE1D">
            <w:pPr>
              <w:jc w:val="right"/>
              <w:rPr>
                <w:rFonts w:ascii="华文楷体" w:hAnsi="华文楷体" w:eastAsia="华文楷体" w:cs="宋体"/>
                <w:color w:val="000000"/>
                <w:sz w:val="18"/>
                <w:szCs w:val="18"/>
              </w:rPr>
            </w:pPr>
          </w:p>
        </w:tc>
        <w:tc>
          <w:tcPr>
            <w:tcW w:w="1680" w:type="dxa"/>
            <w:tcBorders>
              <w:top w:val="nil"/>
              <w:left w:val="nil"/>
              <w:bottom w:val="single" w:color="auto" w:sz="4" w:space="0"/>
              <w:right w:val="single" w:color="auto" w:sz="4" w:space="0"/>
            </w:tcBorders>
            <w:shd w:val="clear" w:color="auto" w:fill="auto"/>
            <w:noWrap/>
            <w:vAlign w:val="center"/>
          </w:tcPr>
          <w:p w14:paraId="233907A1">
            <w:pPr>
              <w:jc w:val="right"/>
              <w:rPr>
                <w:rFonts w:ascii="华文楷体" w:hAnsi="华文楷体" w:eastAsia="华文楷体" w:cs="宋体"/>
                <w:color w:val="000000"/>
                <w:sz w:val="18"/>
                <w:szCs w:val="18"/>
              </w:rPr>
            </w:pPr>
          </w:p>
        </w:tc>
      </w:tr>
      <w:tr w14:paraId="49B90EF8">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4F81BD"/>
            <w:noWrap/>
            <w:vAlign w:val="center"/>
          </w:tcPr>
          <w:p w14:paraId="69AADD57">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11" w:type="pct"/>
            <w:tcBorders>
              <w:top w:val="nil"/>
              <w:left w:val="nil"/>
              <w:bottom w:val="single" w:color="auto" w:sz="4" w:space="0"/>
              <w:right w:val="single" w:color="auto" w:sz="4" w:space="0"/>
            </w:tcBorders>
            <w:shd w:val="clear" w:color="auto" w:fill="4F81BD"/>
            <w:noWrap/>
            <w:vAlign w:val="center"/>
          </w:tcPr>
          <w:p w14:paraId="5AFA437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82" w:type="dxa"/>
            <w:tcBorders>
              <w:top w:val="nil"/>
              <w:left w:val="nil"/>
              <w:bottom w:val="single" w:color="auto" w:sz="4" w:space="0"/>
              <w:right w:val="single" w:color="auto" w:sz="4" w:space="0"/>
            </w:tcBorders>
            <w:shd w:val="clear" w:color="auto" w:fill="4F81BD"/>
            <w:noWrap/>
            <w:vAlign w:val="center"/>
          </w:tcPr>
          <w:p w14:paraId="4DFA5B6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8.44%</w:t>
            </w:r>
          </w:p>
        </w:tc>
        <w:tc>
          <w:tcPr>
            <w:tcW w:w="1396" w:type="dxa"/>
            <w:tcBorders>
              <w:top w:val="nil"/>
              <w:left w:val="nil"/>
              <w:bottom w:val="single" w:color="auto" w:sz="4" w:space="0"/>
              <w:right w:val="single" w:color="auto" w:sz="4" w:space="0"/>
            </w:tcBorders>
            <w:shd w:val="clear" w:color="auto" w:fill="4F81BD"/>
            <w:noWrap/>
            <w:vAlign w:val="center"/>
          </w:tcPr>
          <w:p w14:paraId="189098D1">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9.68%</w:t>
            </w:r>
          </w:p>
        </w:tc>
        <w:tc>
          <w:tcPr>
            <w:tcW w:w="1396" w:type="dxa"/>
            <w:tcBorders>
              <w:top w:val="nil"/>
              <w:left w:val="nil"/>
              <w:bottom w:val="single" w:color="auto" w:sz="4" w:space="0"/>
              <w:right w:val="single" w:color="auto" w:sz="4" w:space="0"/>
            </w:tcBorders>
            <w:shd w:val="clear" w:color="auto" w:fill="4F81BD"/>
            <w:noWrap/>
            <w:vAlign w:val="center"/>
          </w:tcPr>
          <w:p w14:paraId="7E43581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7.57%</w:t>
            </w:r>
          </w:p>
        </w:tc>
        <w:tc>
          <w:tcPr>
            <w:tcW w:w="1680" w:type="dxa"/>
            <w:tcBorders>
              <w:top w:val="nil"/>
              <w:left w:val="nil"/>
              <w:bottom w:val="single" w:color="auto" w:sz="4" w:space="0"/>
              <w:right w:val="single" w:color="auto" w:sz="4" w:space="0"/>
            </w:tcBorders>
            <w:shd w:val="clear" w:color="auto" w:fill="4F81BD"/>
            <w:noWrap/>
            <w:vAlign w:val="center"/>
          </w:tcPr>
          <w:p w14:paraId="7896BC0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8.55%</w:t>
            </w:r>
          </w:p>
        </w:tc>
      </w:tr>
    </w:tbl>
    <w:p w14:paraId="5B802E9D">
      <w:pPr>
        <w:snapToGrid w:val="0"/>
        <w:ind w:left="0"/>
        <w:rPr>
          <w:rFonts w:ascii="Arial" w:hAnsi="Arial" w:eastAsia="微软雅黑" w:cs="Arial"/>
          <w:color w:val="3F9C35"/>
          <w:sz w:val="28"/>
          <w:szCs w:val="22"/>
          <w:highlight w:val="yellow"/>
        </w:rPr>
      </w:pPr>
    </w:p>
    <w:p w14:paraId="5633ED3B">
      <w:pPr>
        <w:snapToGrid w:val="0"/>
        <w:ind w:left="0"/>
        <w:rPr>
          <w:rFonts w:ascii="Arial" w:hAnsi="Arial" w:eastAsia="微软雅黑" w:cs="Arial"/>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tbl>
      <w:tblPr>
        <w:tblStyle w:val="29"/>
        <w:tblpPr w:leftFromText="180" w:rightFromText="180" w:vertAnchor="page" w:horzAnchor="margin" w:tblpY="2390"/>
        <w:tblW w:w="5000" w:type="pct"/>
        <w:tblInd w:w="0" w:type="dxa"/>
        <w:tblLayout w:type="autofit"/>
        <w:tblCellMar>
          <w:top w:w="0" w:type="dxa"/>
          <w:left w:w="108" w:type="dxa"/>
          <w:bottom w:w="0" w:type="dxa"/>
          <w:right w:w="108" w:type="dxa"/>
        </w:tblCellMar>
      </w:tblPr>
      <w:tblGrid>
        <w:gridCol w:w="1650"/>
        <w:gridCol w:w="1115"/>
        <w:gridCol w:w="1494"/>
        <w:gridCol w:w="1495"/>
        <w:gridCol w:w="1495"/>
        <w:gridCol w:w="1517"/>
      </w:tblGrid>
      <w:tr w14:paraId="08B1D5BE">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16B9EA4">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7）Yoshitake Inc.</w:t>
            </w:r>
          </w:p>
        </w:tc>
      </w:tr>
      <w:tr w14:paraId="602A7ACC">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000000" w:fill="C6D9F1"/>
            <w:noWrap/>
            <w:vAlign w:val="center"/>
          </w:tcPr>
          <w:p w14:paraId="29619D8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股票代码:6488</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20E55D8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52" w:type="pct"/>
            <w:vMerge w:val="restart"/>
            <w:tcBorders>
              <w:top w:val="nil"/>
              <w:left w:val="single" w:color="auto" w:sz="4" w:space="0"/>
              <w:bottom w:val="single" w:color="auto" w:sz="4" w:space="0"/>
              <w:right w:val="single" w:color="auto" w:sz="4" w:space="0"/>
            </w:tcBorders>
            <w:shd w:val="clear" w:color="000000" w:fill="C6D9F1"/>
            <w:noWrap/>
            <w:vAlign w:val="center"/>
          </w:tcPr>
          <w:p w14:paraId="1A40AAF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53" w:type="pct"/>
            <w:vMerge w:val="restart"/>
            <w:tcBorders>
              <w:top w:val="nil"/>
              <w:left w:val="single" w:color="auto" w:sz="4" w:space="0"/>
              <w:bottom w:val="single" w:color="auto" w:sz="4" w:space="0"/>
              <w:right w:val="single" w:color="auto" w:sz="4" w:space="0"/>
            </w:tcBorders>
            <w:shd w:val="clear" w:color="000000" w:fill="C6D9F1"/>
            <w:noWrap/>
            <w:vAlign w:val="center"/>
          </w:tcPr>
          <w:p w14:paraId="3DEC0A7E">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53" w:type="pct"/>
            <w:vMerge w:val="restart"/>
            <w:tcBorders>
              <w:top w:val="nil"/>
              <w:left w:val="single" w:color="auto" w:sz="4" w:space="0"/>
              <w:bottom w:val="single" w:color="auto" w:sz="4" w:space="0"/>
              <w:right w:val="single" w:color="auto" w:sz="4" w:space="0"/>
            </w:tcBorders>
            <w:shd w:val="clear" w:color="000000" w:fill="C6D9F1"/>
            <w:noWrap/>
            <w:vAlign w:val="center"/>
          </w:tcPr>
          <w:p w14:paraId="235B5D2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4" w:type="pct"/>
            <w:vMerge w:val="restart"/>
            <w:tcBorders>
              <w:top w:val="nil"/>
              <w:left w:val="single" w:color="auto" w:sz="4" w:space="0"/>
              <w:bottom w:val="single" w:color="auto" w:sz="4" w:space="0"/>
              <w:right w:val="single" w:color="auto" w:sz="4" w:space="0"/>
            </w:tcBorders>
            <w:shd w:val="clear" w:color="000000" w:fill="C6D9F1"/>
            <w:noWrap/>
            <w:vAlign w:val="center"/>
          </w:tcPr>
          <w:p w14:paraId="0311E27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F083FB7">
        <w:tblPrEx>
          <w:tblCellMar>
            <w:top w:w="0" w:type="dxa"/>
            <w:left w:w="108" w:type="dxa"/>
            <w:bottom w:w="0" w:type="dxa"/>
            <w:right w:w="108" w:type="dxa"/>
          </w:tblCellMar>
        </w:tblPrEx>
        <w:trPr>
          <w:trHeight w:val="307" w:hRule="atLeast"/>
        </w:trPr>
        <w:tc>
          <w:tcPr>
            <w:tcW w:w="941" w:type="pct"/>
            <w:tcBorders>
              <w:top w:val="nil"/>
              <w:left w:val="single" w:color="auto" w:sz="4" w:space="0"/>
              <w:bottom w:val="single" w:color="auto" w:sz="4" w:space="0"/>
              <w:right w:val="single" w:color="auto" w:sz="4" w:space="0"/>
            </w:tcBorders>
            <w:shd w:val="clear" w:color="000000" w:fill="C6D9F1"/>
            <w:noWrap/>
            <w:vAlign w:val="center"/>
          </w:tcPr>
          <w:p w14:paraId="58B5D67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52F0F1A9">
            <w:pPr>
              <w:snapToGrid w:val="0"/>
              <w:spacing w:before="0" w:after="0"/>
              <w:ind w:left="0" w:right="0"/>
              <w:jc w:val="left"/>
              <w:rPr>
                <w:rFonts w:ascii="微软雅黑" w:hAnsi="微软雅黑" w:eastAsia="微软雅黑" w:cs="宋体"/>
                <w:b/>
                <w:bCs/>
                <w:sz w:val="18"/>
                <w:szCs w:val="18"/>
              </w:rPr>
            </w:pPr>
          </w:p>
        </w:tc>
        <w:tc>
          <w:tcPr>
            <w:tcW w:w="852" w:type="pct"/>
            <w:vMerge w:val="continue"/>
            <w:tcBorders>
              <w:top w:val="nil"/>
              <w:left w:val="single" w:color="auto" w:sz="4" w:space="0"/>
              <w:bottom w:val="single" w:color="auto" w:sz="4" w:space="0"/>
              <w:right w:val="single" w:color="auto" w:sz="4" w:space="0"/>
            </w:tcBorders>
            <w:vAlign w:val="center"/>
          </w:tcPr>
          <w:p w14:paraId="0073D237">
            <w:pPr>
              <w:snapToGrid w:val="0"/>
              <w:spacing w:before="0" w:after="0"/>
              <w:ind w:left="0" w:right="0"/>
              <w:jc w:val="left"/>
              <w:rPr>
                <w:rFonts w:ascii="Arial" w:hAnsi="Arial" w:eastAsia="等线" w:cs="Arial"/>
                <w:b/>
                <w:bCs/>
                <w:sz w:val="18"/>
                <w:szCs w:val="18"/>
              </w:rPr>
            </w:pPr>
          </w:p>
        </w:tc>
        <w:tc>
          <w:tcPr>
            <w:tcW w:w="853" w:type="pct"/>
            <w:vMerge w:val="continue"/>
            <w:tcBorders>
              <w:top w:val="nil"/>
              <w:left w:val="single" w:color="auto" w:sz="4" w:space="0"/>
              <w:bottom w:val="single" w:color="auto" w:sz="4" w:space="0"/>
              <w:right w:val="single" w:color="auto" w:sz="4" w:space="0"/>
            </w:tcBorders>
            <w:vAlign w:val="center"/>
          </w:tcPr>
          <w:p w14:paraId="76543815">
            <w:pPr>
              <w:snapToGrid w:val="0"/>
              <w:spacing w:before="0" w:after="0"/>
              <w:ind w:left="0" w:right="0"/>
              <w:jc w:val="left"/>
              <w:rPr>
                <w:rFonts w:ascii="Arial" w:hAnsi="Arial" w:eastAsia="等线" w:cs="Arial"/>
                <w:b/>
                <w:bCs/>
                <w:sz w:val="18"/>
                <w:szCs w:val="18"/>
              </w:rPr>
            </w:pPr>
          </w:p>
        </w:tc>
        <w:tc>
          <w:tcPr>
            <w:tcW w:w="853" w:type="pct"/>
            <w:vMerge w:val="continue"/>
            <w:tcBorders>
              <w:top w:val="nil"/>
              <w:left w:val="single" w:color="auto" w:sz="4" w:space="0"/>
              <w:bottom w:val="single" w:color="auto" w:sz="4" w:space="0"/>
              <w:right w:val="single" w:color="auto" w:sz="4" w:space="0"/>
            </w:tcBorders>
            <w:vAlign w:val="center"/>
          </w:tcPr>
          <w:p w14:paraId="17F86F00">
            <w:pPr>
              <w:snapToGrid w:val="0"/>
              <w:spacing w:before="0" w:after="0"/>
              <w:ind w:left="0" w:right="0"/>
              <w:jc w:val="left"/>
              <w:rPr>
                <w:rFonts w:ascii="Arial" w:hAnsi="Arial" w:eastAsia="等线" w:cs="Arial"/>
                <w:b/>
                <w:bCs/>
                <w:sz w:val="18"/>
                <w:szCs w:val="18"/>
              </w:rPr>
            </w:pPr>
          </w:p>
        </w:tc>
        <w:tc>
          <w:tcPr>
            <w:tcW w:w="864" w:type="pct"/>
            <w:vMerge w:val="continue"/>
            <w:tcBorders>
              <w:top w:val="nil"/>
              <w:left w:val="single" w:color="auto" w:sz="4" w:space="0"/>
              <w:bottom w:val="single" w:color="auto" w:sz="4" w:space="0"/>
              <w:right w:val="single" w:color="auto" w:sz="4" w:space="0"/>
            </w:tcBorders>
            <w:vAlign w:val="center"/>
          </w:tcPr>
          <w:p w14:paraId="30C70B46">
            <w:pPr>
              <w:snapToGrid w:val="0"/>
              <w:spacing w:before="0" w:after="0"/>
              <w:ind w:left="0" w:right="0"/>
              <w:jc w:val="left"/>
              <w:rPr>
                <w:rFonts w:ascii="微软雅黑" w:hAnsi="微软雅黑" w:eastAsia="微软雅黑" w:cs="宋体"/>
                <w:b/>
                <w:bCs/>
                <w:sz w:val="18"/>
                <w:szCs w:val="18"/>
              </w:rPr>
            </w:pPr>
          </w:p>
        </w:tc>
      </w:tr>
      <w:tr w14:paraId="26503A3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5A812DA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28C1B8F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52" w:type="pct"/>
            <w:tcBorders>
              <w:top w:val="nil"/>
              <w:left w:val="nil"/>
              <w:bottom w:val="single" w:color="auto" w:sz="4" w:space="0"/>
              <w:right w:val="single" w:color="auto" w:sz="4" w:space="0"/>
            </w:tcBorders>
            <w:shd w:val="clear" w:color="auto" w:fill="auto"/>
            <w:noWrap/>
            <w:vAlign w:val="center"/>
          </w:tcPr>
          <w:p w14:paraId="2AE185E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7,091,242</w:t>
            </w:r>
          </w:p>
        </w:tc>
        <w:tc>
          <w:tcPr>
            <w:tcW w:w="853" w:type="pct"/>
            <w:tcBorders>
              <w:top w:val="nil"/>
              <w:left w:val="nil"/>
              <w:bottom w:val="single" w:color="auto" w:sz="4" w:space="0"/>
              <w:right w:val="single" w:color="auto" w:sz="4" w:space="0"/>
            </w:tcBorders>
            <w:shd w:val="clear" w:color="auto" w:fill="auto"/>
            <w:noWrap/>
            <w:vAlign w:val="center"/>
          </w:tcPr>
          <w:p w14:paraId="28DB45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7,517,051</w:t>
            </w:r>
          </w:p>
        </w:tc>
        <w:tc>
          <w:tcPr>
            <w:tcW w:w="853" w:type="pct"/>
            <w:tcBorders>
              <w:top w:val="nil"/>
              <w:left w:val="nil"/>
              <w:bottom w:val="single" w:color="auto" w:sz="4" w:space="0"/>
              <w:right w:val="single" w:color="auto" w:sz="4" w:space="0"/>
            </w:tcBorders>
            <w:shd w:val="clear" w:color="auto" w:fill="auto"/>
            <w:noWrap/>
            <w:vAlign w:val="center"/>
          </w:tcPr>
          <w:p w14:paraId="7F17D40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8,952,786</w:t>
            </w:r>
          </w:p>
        </w:tc>
        <w:tc>
          <w:tcPr>
            <w:tcW w:w="864" w:type="pct"/>
            <w:tcBorders>
              <w:top w:val="nil"/>
              <w:left w:val="nil"/>
              <w:bottom w:val="single" w:color="auto" w:sz="4" w:space="0"/>
              <w:right w:val="single" w:color="auto" w:sz="4" w:space="0"/>
            </w:tcBorders>
            <w:shd w:val="clear" w:color="auto" w:fill="auto"/>
            <w:noWrap/>
            <w:vAlign w:val="center"/>
          </w:tcPr>
          <w:p w14:paraId="502E96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7,853,693</w:t>
            </w:r>
          </w:p>
        </w:tc>
      </w:tr>
      <w:tr w14:paraId="12EA9931">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6ED60CA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24B1014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52" w:type="pct"/>
            <w:tcBorders>
              <w:top w:val="nil"/>
              <w:left w:val="nil"/>
              <w:bottom w:val="single" w:color="auto" w:sz="4" w:space="0"/>
              <w:right w:val="single" w:color="auto" w:sz="4" w:space="0"/>
            </w:tcBorders>
            <w:shd w:val="clear" w:color="auto" w:fill="auto"/>
            <w:noWrap/>
            <w:vAlign w:val="center"/>
          </w:tcPr>
          <w:p w14:paraId="358A855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3,769,907</w:t>
            </w:r>
          </w:p>
        </w:tc>
        <w:tc>
          <w:tcPr>
            <w:tcW w:w="853" w:type="pct"/>
            <w:tcBorders>
              <w:top w:val="nil"/>
              <w:left w:val="nil"/>
              <w:bottom w:val="single" w:color="auto" w:sz="4" w:space="0"/>
              <w:right w:val="single" w:color="auto" w:sz="4" w:space="0"/>
            </w:tcBorders>
            <w:shd w:val="clear" w:color="auto" w:fill="auto"/>
            <w:noWrap/>
            <w:vAlign w:val="center"/>
          </w:tcPr>
          <w:p w14:paraId="1E2B1D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3,977,824</w:t>
            </w:r>
          </w:p>
        </w:tc>
        <w:tc>
          <w:tcPr>
            <w:tcW w:w="853" w:type="pct"/>
            <w:tcBorders>
              <w:top w:val="nil"/>
              <w:left w:val="nil"/>
              <w:bottom w:val="single" w:color="auto" w:sz="4" w:space="0"/>
              <w:right w:val="single" w:color="auto" w:sz="4" w:space="0"/>
            </w:tcBorders>
            <w:shd w:val="clear" w:color="auto" w:fill="auto"/>
            <w:noWrap/>
            <w:vAlign w:val="center"/>
          </w:tcPr>
          <w:p w14:paraId="771F18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5,045,972</w:t>
            </w:r>
          </w:p>
        </w:tc>
        <w:tc>
          <w:tcPr>
            <w:tcW w:w="864" w:type="pct"/>
            <w:tcBorders>
              <w:top w:val="nil"/>
              <w:left w:val="nil"/>
              <w:bottom w:val="single" w:color="auto" w:sz="4" w:space="0"/>
              <w:right w:val="single" w:color="auto" w:sz="4" w:space="0"/>
            </w:tcBorders>
            <w:shd w:val="clear" w:color="auto" w:fill="auto"/>
            <w:noWrap/>
            <w:vAlign w:val="center"/>
          </w:tcPr>
          <w:p w14:paraId="7EFB8A0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4,264,568</w:t>
            </w:r>
          </w:p>
        </w:tc>
      </w:tr>
      <w:tr w14:paraId="2E0471B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4D03A94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208185F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52" w:type="pct"/>
            <w:tcBorders>
              <w:top w:val="nil"/>
              <w:left w:val="nil"/>
              <w:bottom w:val="single" w:color="auto" w:sz="4" w:space="0"/>
              <w:right w:val="single" w:color="auto" w:sz="4" w:space="0"/>
            </w:tcBorders>
            <w:shd w:val="clear" w:color="auto" w:fill="auto"/>
            <w:noWrap/>
            <w:vAlign w:val="center"/>
          </w:tcPr>
          <w:p w14:paraId="23FC728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3,321,335</w:t>
            </w:r>
          </w:p>
        </w:tc>
        <w:tc>
          <w:tcPr>
            <w:tcW w:w="853" w:type="pct"/>
            <w:tcBorders>
              <w:top w:val="nil"/>
              <w:left w:val="nil"/>
              <w:bottom w:val="single" w:color="auto" w:sz="4" w:space="0"/>
              <w:right w:val="single" w:color="auto" w:sz="4" w:space="0"/>
            </w:tcBorders>
            <w:shd w:val="clear" w:color="auto" w:fill="auto"/>
            <w:noWrap/>
            <w:vAlign w:val="center"/>
          </w:tcPr>
          <w:p w14:paraId="26C16D5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3,539,227</w:t>
            </w:r>
          </w:p>
        </w:tc>
        <w:tc>
          <w:tcPr>
            <w:tcW w:w="853" w:type="pct"/>
            <w:tcBorders>
              <w:top w:val="nil"/>
              <w:left w:val="nil"/>
              <w:bottom w:val="single" w:color="auto" w:sz="4" w:space="0"/>
              <w:right w:val="single" w:color="auto" w:sz="4" w:space="0"/>
            </w:tcBorders>
            <w:shd w:val="clear" w:color="auto" w:fill="auto"/>
            <w:noWrap/>
            <w:vAlign w:val="center"/>
          </w:tcPr>
          <w:p w14:paraId="658BADF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3,906,814</w:t>
            </w:r>
          </w:p>
        </w:tc>
        <w:tc>
          <w:tcPr>
            <w:tcW w:w="864" w:type="pct"/>
            <w:tcBorders>
              <w:top w:val="nil"/>
              <w:left w:val="nil"/>
              <w:bottom w:val="single" w:color="auto" w:sz="4" w:space="0"/>
              <w:right w:val="single" w:color="auto" w:sz="4" w:space="0"/>
            </w:tcBorders>
            <w:shd w:val="clear" w:color="auto" w:fill="auto"/>
            <w:noWrap/>
            <w:vAlign w:val="center"/>
          </w:tcPr>
          <w:p w14:paraId="3A9CD7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3,589,125</w:t>
            </w:r>
          </w:p>
        </w:tc>
      </w:tr>
      <w:tr w14:paraId="3A5C517A">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7B8B4B0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29C930D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52" w:type="pct"/>
            <w:tcBorders>
              <w:top w:val="nil"/>
              <w:left w:val="nil"/>
              <w:bottom w:val="single" w:color="auto" w:sz="4" w:space="0"/>
              <w:right w:val="single" w:color="auto" w:sz="4" w:space="0"/>
            </w:tcBorders>
            <w:shd w:val="clear" w:color="auto" w:fill="auto"/>
            <w:noWrap/>
            <w:vAlign w:val="center"/>
          </w:tcPr>
          <w:p w14:paraId="266298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2,411,333</w:t>
            </w:r>
          </w:p>
        </w:tc>
        <w:tc>
          <w:tcPr>
            <w:tcW w:w="853" w:type="pct"/>
            <w:tcBorders>
              <w:top w:val="nil"/>
              <w:left w:val="nil"/>
              <w:bottom w:val="single" w:color="auto" w:sz="4" w:space="0"/>
              <w:right w:val="single" w:color="auto" w:sz="4" w:space="0"/>
            </w:tcBorders>
            <w:shd w:val="clear" w:color="auto" w:fill="auto"/>
            <w:noWrap/>
            <w:vAlign w:val="center"/>
          </w:tcPr>
          <w:p w14:paraId="2F80059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2,649,124</w:t>
            </w:r>
          </w:p>
        </w:tc>
        <w:tc>
          <w:tcPr>
            <w:tcW w:w="853" w:type="pct"/>
            <w:tcBorders>
              <w:top w:val="nil"/>
              <w:left w:val="nil"/>
              <w:bottom w:val="single" w:color="auto" w:sz="4" w:space="0"/>
              <w:right w:val="single" w:color="auto" w:sz="4" w:space="0"/>
            </w:tcBorders>
            <w:shd w:val="clear" w:color="auto" w:fill="auto"/>
            <w:noWrap/>
            <w:vAlign w:val="center"/>
          </w:tcPr>
          <w:p w14:paraId="5D625A9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3,044,520</w:t>
            </w:r>
          </w:p>
        </w:tc>
        <w:tc>
          <w:tcPr>
            <w:tcW w:w="864" w:type="pct"/>
            <w:tcBorders>
              <w:top w:val="nil"/>
              <w:left w:val="nil"/>
              <w:bottom w:val="single" w:color="auto" w:sz="4" w:space="0"/>
              <w:right w:val="single" w:color="auto" w:sz="4" w:space="0"/>
            </w:tcBorders>
            <w:shd w:val="clear" w:color="auto" w:fill="auto"/>
            <w:noWrap/>
            <w:vAlign w:val="center"/>
          </w:tcPr>
          <w:p w14:paraId="21399D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2,701,659</w:t>
            </w:r>
          </w:p>
        </w:tc>
      </w:tr>
      <w:tr w14:paraId="1B97E6FD">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02AE999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7F46779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52" w:type="pct"/>
            <w:tcBorders>
              <w:top w:val="nil"/>
              <w:left w:val="nil"/>
              <w:bottom w:val="single" w:color="auto" w:sz="4" w:space="0"/>
              <w:right w:val="single" w:color="auto" w:sz="4" w:space="0"/>
            </w:tcBorders>
            <w:shd w:val="clear" w:color="auto" w:fill="auto"/>
            <w:noWrap/>
            <w:vAlign w:val="center"/>
          </w:tcPr>
          <w:p w14:paraId="4D66B7D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910,002</w:t>
            </w:r>
          </w:p>
        </w:tc>
        <w:tc>
          <w:tcPr>
            <w:tcW w:w="853" w:type="pct"/>
            <w:tcBorders>
              <w:top w:val="nil"/>
              <w:left w:val="nil"/>
              <w:bottom w:val="single" w:color="auto" w:sz="4" w:space="0"/>
              <w:right w:val="single" w:color="auto" w:sz="4" w:space="0"/>
            </w:tcBorders>
            <w:shd w:val="clear" w:color="auto" w:fill="auto"/>
            <w:noWrap/>
            <w:vAlign w:val="center"/>
          </w:tcPr>
          <w:p w14:paraId="78A8B2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890,103</w:t>
            </w:r>
          </w:p>
        </w:tc>
        <w:tc>
          <w:tcPr>
            <w:tcW w:w="853" w:type="pct"/>
            <w:tcBorders>
              <w:top w:val="nil"/>
              <w:left w:val="nil"/>
              <w:bottom w:val="single" w:color="auto" w:sz="4" w:space="0"/>
              <w:right w:val="single" w:color="auto" w:sz="4" w:space="0"/>
            </w:tcBorders>
            <w:shd w:val="clear" w:color="auto" w:fill="auto"/>
            <w:noWrap/>
            <w:vAlign w:val="center"/>
          </w:tcPr>
          <w:p w14:paraId="7ADAF6A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862,294</w:t>
            </w:r>
          </w:p>
        </w:tc>
        <w:tc>
          <w:tcPr>
            <w:tcW w:w="864" w:type="pct"/>
            <w:tcBorders>
              <w:top w:val="nil"/>
              <w:left w:val="nil"/>
              <w:bottom w:val="single" w:color="auto" w:sz="4" w:space="0"/>
              <w:right w:val="single" w:color="auto" w:sz="4" w:space="0"/>
            </w:tcBorders>
            <w:shd w:val="clear" w:color="auto" w:fill="auto"/>
            <w:noWrap/>
            <w:vAlign w:val="center"/>
          </w:tcPr>
          <w:p w14:paraId="3D34546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887,466</w:t>
            </w:r>
          </w:p>
        </w:tc>
      </w:tr>
      <w:tr w14:paraId="4FE230B0">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2D85486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6D36B496">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52" w:type="pct"/>
            <w:tcBorders>
              <w:top w:val="nil"/>
              <w:left w:val="nil"/>
              <w:bottom w:val="single" w:color="auto" w:sz="4" w:space="0"/>
              <w:right w:val="single" w:color="auto" w:sz="4" w:space="0"/>
            </w:tcBorders>
            <w:shd w:val="clear" w:color="auto" w:fill="auto"/>
            <w:noWrap/>
            <w:vAlign w:val="center"/>
          </w:tcPr>
          <w:p w14:paraId="66BAC84A">
            <w:pPr>
              <w:jc w:val="right"/>
              <w:rPr>
                <w:rFonts w:ascii="华文楷体" w:hAnsi="华文楷体" w:eastAsia="华文楷体" w:cs="宋体"/>
                <w:color w:val="000000"/>
                <w:sz w:val="18"/>
                <w:szCs w:val="18"/>
              </w:rPr>
            </w:pPr>
          </w:p>
        </w:tc>
        <w:tc>
          <w:tcPr>
            <w:tcW w:w="853" w:type="pct"/>
            <w:tcBorders>
              <w:top w:val="nil"/>
              <w:left w:val="nil"/>
              <w:bottom w:val="single" w:color="auto" w:sz="4" w:space="0"/>
              <w:right w:val="single" w:color="auto" w:sz="4" w:space="0"/>
            </w:tcBorders>
            <w:shd w:val="clear" w:color="auto" w:fill="auto"/>
            <w:noWrap/>
            <w:vAlign w:val="center"/>
          </w:tcPr>
          <w:p w14:paraId="26A2AB02">
            <w:pPr>
              <w:jc w:val="right"/>
              <w:rPr>
                <w:rFonts w:ascii="华文楷体" w:hAnsi="华文楷体" w:eastAsia="华文楷体" w:cs="宋体"/>
                <w:color w:val="000000"/>
                <w:sz w:val="18"/>
                <w:szCs w:val="18"/>
              </w:rPr>
            </w:pPr>
          </w:p>
        </w:tc>
        <w:tc>
          <w:tcPr>
            <w:tcW w:w="853" w:type="pct"/>
            <w:tcBorders>
              <w:top w:val="nil"/>
              <w:left w:val="nil"/>
              <w:bottom w:val="single" w:color="auto" w:sz="4" w:space="0"/>
              <w:right w:val="single" w:color="auto" w:sz="4" w:space="0"/>
            </w:tcBorders>
            <w:shd w:val="clear" w:color="auto" w:fill="auto"/>
            <w:noWrap/>
            <w:vAlign w:val="center"/>
          </w:tcPr>
          <w:p w14:paraId="49872353">
            <w:pPr>
              <w:jc w:val="right"/>
              <w:rPr>
                <w:rFonts w:ascii="华文楷体" w:hAnsi="华文楷体" w:eastAsia="华文楷体" w:cs="宋体"/>
                <w:color w:val="000000"/>
                <w:sz w:val="18"/>
                <w:szCs w:val="18"/>
              </w:rPr>
            </w:pPr>
          </w:p>
        </w:tc>
        <w:tc>
          <w:tcPr>
            <w:tcW w:w="864" w:type="pct"/>
            <w:tcBorders>
              <w:top w:val="nil"/>
              <w:left w:val="nil"/>
              <w:bottom w:val="single" w:color="auto" w:sz="4" w:space="0"/>
              <w:right w:val="single" w:color="auto" w:sz="4" w:space="0"/>
            </w:tcBorders>
            <w:shd w:val="clear" w:color="auto" w:fill="auto"/>
            <w:noWrap/>
            <w:vAlign w:val="center"/>
          </w:tcPr>
          <w:p w14:paraId="6062F873">
            <w:pPr>
              <w:jc w:val="right"/>
              <w:rPr>
                <w:rFonts w:ascii="华文楷体" w:hAnsi="华文楷体" w:eastAsia="华文楷体" w:cs="宋体"/>
                <w:color w:val="000000"/>
                <w:sz w:val="18"/>
                <w:szCs w:val="18"/>
              </w:rPr>
            </w:pPr>
          </w:p>
        </w:tc>
      </w:tr>
      <w:tr w14:paraId="56145F3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4F81BD"/>
            <w:noWrap/>
            <w:vAlign w:val="center"/>
          </w:tcPr>
          <w:p w14:paraId="3372B2C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5240F97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52" w:type="pct"/>
            <w:tcBorders>
              <w:top w:val="nil"/>
              <w:left w:val="nil"/>
              <w:bottom w:val="single" w:color="auto" w:sz="4" w:space="0"/>
              <w:right w:val="single" w:color="auto" w:sz="4" w:space="0"/>
            </w:tcBorders>
            <w:shd w:val="clear" w:color="auto" w:fill="4F81BD"/>
            <w:noWrap/>
            <w:vAlign w:val="center"/>
          </w:tcPr>
          <w:p w14:paraId="21AE680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14.72%</w:t>
            </w:r>
          </w:p>
        </w:tc>
        <w:tc>
          <w:tcPr>
            <w:tcW w:w="853" w:type="pct"/>
            <w:tcBorders>
              <w:top w:val="nil"/>
              <w:left w:val="nil"/>
              <w:bottom w:val="single" w:color="auto" w:sz="4" w:space="0"/>
              <w:right w:val="single" w:color="auto" w:sz="4" w:space="0"/>
            </w:tcBorders>
            <w:shd w:val="clear" w:color="auto" w:fill="4F81BD"/>
            <w:noWrap/>
            <w:vAlign w:val="center"/>
          </w:tcPr>
          <w:p w14:paraId="3AD89CD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13.43%</w:t>
            </w:r>
          </w:p>
        </w:tc>
        <w:tc>
          <w:tcPr>
            <w:tcW w:w="853" w:type="pct"/>
            <w:tcBorders>
              <w:top w:val="nil"/>
              <w:left w:val="nil"/>
              <w:bottom w:val="single" w:color="auto" w:sz="4" w:space="0"/>
              <w:right w:val="single" w:color="auto" w:sz="4" w:space="0"/>
            </w:tcBorders>
            <w:shd w:val="clear" w:color="auto" w:fill="4F81BD"/>
            <w:noWrap/>
            <w:vAlign w:val="center"/>
          </w:tcPr>
          <w:p w14:paraId="2304EF7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10.66%</w:t>
            </w:r>
          </w:p>
        </w:tc>
        <w:tc>
          <w:tcPr>
            <w:tcW w:w="864" w:type="pct"/>
            <w:tcBorders>
              <w:top w:val="nil"/>
              <w:left w:val="nil"/>
              <w:bottom w:val="single" w:color="auto" w:sz="4" w:space="0"/>
              <w:right w:val="single" w:color="auto" w:sz="4" w:space="0"/>
            </w:tcBorders>
            <w:shd w:val="clear" w:color="auto" w:fill="4F81BD"/>
            <w:noWrap/>
            <w:vAlign w:val="center"/>
          </w:tcPr>
          <w:p w14:paraId="0F62A30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12.74%</w:t>
            </w:r>
          </w:p>
        </w:tc>
      </w:tr>
    </w:tbl>
    <w:p w14:paraId="13222A52">
      <w:pPr>
        <w:snapToGrid w:val="0"/>
        <w:ind w:left="0"/>
        <w:rPr>
          <w:rFonts w:ascii="Arial" w:hAnsi="Arial" w:eastAsia="微软雅黑" w:cs="Arial"/>
          <w:color w:val="3F9C35"/>
          <w:sz w:val="28"/>
          <w:szCs w:val="22"/>
          <w:highlight w:val="yellow"/>
        </w:rPr>
      </w:pPr>
    </w:p>
    <w:p w14:paraId="20BE3BE5">
      <w:pPr>
        <w:snapToGrid w:val="0"/>
        <w:ind w:left="0"/>
        <w:rPr>
          <w:rFonts w:ascii="Arial" w:hAnsi="Arial" w:eastAsia="微软雅黑" w:cs="Arial"/>
          <w:color w:val="3F9C35"/>
          <w:sz w:val="28"/>
          <w:szCs w:val="22"/>
          <w:highlight w:val="yellow"/>
        </w:rPr>
      </w:pPr>
    </w:p>
    <w:p w14:paraId="2544D030">
      <w:pPr>
        <w:snapToGrid w:val="0"/>
        <w:ind w:left="0"/>
        <w:rPr>
          <w:rFonts w:ascii="Arial" w:hAnsi="Arial" w:eastAsia="微软雅黑" w:cs="Arial"/>
          <w:color w:val="3F9C35"/>
          <w:sz w:val="28"/>
          <w:szCs w:val="22"/>
          <w:highlight w:val="yellow"/>
        </w:rPr>
      </w:pPr>
    </w:p>
    <w:p w14:paraId="5BF37ECD">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48"/>
        <w:gridCol w:w="1264"/>
        <w:gridCol w:w="1299"/>
        <w:gridCol w:w="1299"/>
        <w:gridCol w:w="1299"/>
        <w:gridCol w:w="1757"/>
      </w:tblGrid>
      <w:tr w14:paraId="6E30B42A">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754759C">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8）Nepon Inc.</w:t>
            </w:r>
          </w:p>
        </w:tc>
      </w:tr>
      <w:tr w14:paraId="5C933394">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000000" w:fill="C6D9F1"/>
            <w:noWrap/>
            <w:vAlign w:val="center"/>
          </w:tcPr>
          <w:p w14:paraId="5D7CAEEF">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股票代码:7985</w:t>
            </w:r>
          </w:p>
        </w:tc>
        <w:tc>
          <w:tcPr>
            <w:tcW w:w="721" w:type="pct"/>
            <w:vMerge w:val="restart"/>
            <w:tcBorders>
              <w:top w:val="nil"/>
              <w:left w:val="single" w:color="auto" w:sz="4" w:space="0"/>
              <w:bottom w:val="single" w:color="auto" w:sz="4" w:space="0"/>
              <w:right w:val="single" w:color="auto" w:sz="4" w:space="0"/>
            </w:tcBorders>
            <w:shd w:val="clear" w:color="000000" w:fill="C6D9F1"/>
            <w:noWrap/>
            <w:vAlign w:val="center"/>
          </w:tcPr>
          <w:p w14:paraId="134FF47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7D61894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21DCA77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2912248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1001" w:type="pct"/>
            <w:vMerge w:val="restart"/>
            <w:tcBorders>
              <w:top w:val="nil"/>
              <w:left w:val="single" w:color="auto" w:sz="4" w:space="0"/>
              <w:bottom w:val="single" w:color="auto" w:sz="4" w:space="0"/>
              <w:right w:val="single" w:color="auto" w:sz="4" w:space="0"/>
            </w:tcBorders>
            <w:shd w:val="clear" w:color="000000" w:fill="C6D9F1"/>
            <w:noWrap/>
            <w:vAlign w:val="center"/>
          </w:tcPr>
          <w:p w14:paraId="381018C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714039A8">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000000" w:fill="C6D9F1"/>
            <w:noWrap/>
            <w:vAlign w:val="center"/>
          </w:tcPr>
          <w:p w14:paraId="162E91D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21" w:type="pct"/>
            <w:vMerge w:val="continue"/>
            <w:tcBorders>
              <w:top w:val="nil"/>
              <w:left w:val="single" w:color="auto" w:sz="4" w:space="0"/>
              <w:bottom w:val="single" w:color="auto" w:sz="4" w:space="0"/>
              <w:right w:val="single" w:color="auto" w:sz="4" w:space="0"/>
            </w:tcBorders>
            <w:vAlign w:val="center"/>
          </w:tcPr>
          <w:p w14:paraId="139D3C6C">
            <w:pPr>
              <w:snapToGrid w:val="0"/>
              <w:spacing w:before="0" w:after="0"/>
              <w:ind w:left="0" w:right="0"/>
              <w:jc w:val="left"/>
              <w:rPr>
                <w:rFonts w:ascii="微软雅黑" w:hAnsi="微软雅黑" w:eastAsia="微软雅黑" w:cs="宋体"/>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1223BCE0">
            <w:pPr>
              <w:snapToGrid w:val="0"/>
              <w:spacing w:before="0" w:after="0"/>
              <w:ind w:left="0" w:right="0"/>
              <w:jc w:val="left"/>
              <w:rPr>
                <w:rFonts w:ascii="Arial" w:hAnsi="Arial" w:eastAsia="等线" w:cs="Arial"/>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0011955A">
            <w:pPr>
              <w:snapToGrid w:val="0"/>
              <w:spacing w:before="0" w:after="0"/>
              <w:ind w:left="0" w:right="0"/>
              <w:jc w:val="left"/>
              <w:rPr>
                <w:rFonts w:ascii="Arial" w:hAnsi="Arial" w:eastAsia="等线" w:cs="Arial"/>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3D9B451C">
            <w:pPr>
              <w:snapToGrid w:val="0"/>
              <w:spacing w:before="0" w:after="0"/>
              <w:ind w:left="0" w:right="0"/>
              <w:jc w:val="left"/>
              <w:rPr>
                <w:rFonts w:ascii="Arial" w:hAnsi="Arial" w:eastAsia="等线" w:cs="Arial"/>
                <w:b/>
                <w:bCs/>
                <w:sz w:val="18"/>
                <w:szCs w:val="18"/>
              </w:rPr>
            </w:pPr>
          </w:p>
        </w:tc>
        <w:tc>
          <w:tcPr>
            <w:tcW w:w="1001" w:type="pct"/>
            <w:vMerge w:val="continue"/>
            <w:tcBorders>
              <w:top w:val="nil"/>
              <w:left w:val="single" w:color="auto" w:sz="4" w:space="0"/>
              <w:bottom w:val="single" w:color="auto" w:sz="4" w:space="0"/>
              <w:right w:val="single" w:color="auto" w:sz="4" w:space="0"/>
            </w:tcBorders>
            <w:vAlign w:val="center"/>
          </w:tcPr>
          <w:p w14:paraId="08B70B7C">
            <w:pPr>
              <w:snapToGrid w:val="0"/>
              <w:spacing w:before="0" w:after="0"/>
              <w:ind w:left="0" w:right="0"/>
              <w:jc w:val="left"/>
              <w:rPr>
                <w:rFonts w:ascii="微软雅黑" w:hAnsi="微软雅黑" w:eastAsia="微软雅黑" w:cs="宋体"/>
                <w:b/>
                <w:bCs/>
                <w:sz w:val="18"/>
                <w:szCs w:val="18"/>
              </w:rPr>
            </w:pPr>
          </w:p>
        </w:tc>
      </w:tr>
      <w:tr w14:paraId="722A1C89">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47F0E947">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21" w:type="pct"/>
            <w:tcBorders>
              <w:top w:val="nil"/>
              <w:left w:val="nil"/>
              <w:bottom w:val="single" w:color="auto" w:sz="4" w:space="0"/>
              <w:right w:val="single" w:color="auto" w:sz="4" w:space="0"/>
            </w:tcBorders>
            <w:shd w:val="clear" w:color="auto" w:fill="auto"/>
            <w:noWrap/>
            <w:vAlign w:val="center"/>
          </w:tcPr>
          <w:p w14:paraId="00321D6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99" w:type="dxa"/>
            <w:tcBorders>
              <w:top w:val="nil"/>
              <w:left w:val="nil"/>
              <w:bottom w:val="single" w:color="auto" w:sz="4" w:space="0"/>
              <w:right w:val="single" w:color="auto" w:sz="4" w:space="0"/>
            </w:tcBorders>
            <w:shd w:val="clear" w:color="auto" w:fill="auto"/>
            <w:noWrap/>
            <w:vAlign w:val="center"/>
          </w:tcPr>
          <w:p w14:paraId="1D9E3B94">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7,485,168</w:t>
            </w:r>
          </w:p>
        </w:tc>
        <w:tc>
          <w:tcPr>
            <w:tcW w:w="1299" w:type="dxa"/>
            <w:tcBorders>
              <w:top w:val="nil"/>
              <w:left w:val="nil"/>
              <w:bottom w:val="single" w:color="auto" w:sz="4" w:space="0"/>
              <w:right w:val="single" w:color="auto" w:sz="4" w:space="0"/>
            </w:tcBorders>
            <w:shd w:val="clear" w:color="auto" w:fill="auto"/>
            <w:noWrap/>
            <w:vAlign w:val="center"/>
          </w:tcPr>
          <w:p w14:paraId="5A6063B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7,992,764</w:t>
            </w:r>
          </w:p>
        </w:tc>
        <w:tc>
          <w:tcPr>
            <w:tcW w:w="1299" w:type="dxa"/>
            <w:tcBorders>
              <w:top w:val="nil"/>
              <w:left w:val="nil"/>
              <w:bottom w:val="single" w:color="auto" w:sz="4" w:space="0"/>
              <w:right w:val="single" w:color="auto" w:sz="4" w:space="0"/>
            </w:tcBorders>
            <w:shd w:val="clear" w:color="auto" w:fill="auto"/>
            <w:noWrap/>
            <w:vAlign w:val="center"/>
          </w:tcPr>
          <w:p w14:paraId="3EDE98F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7,774,331</w:t>
            </w:r>
          </w:p>
        </w:tc>
        <w:tc>
          <w:tcPr>
            <w:tcW w:w="1757" w:type="dxa"/>
            <w:tcBorders>
              <w:top w:val="nil"/>
              <w:left w:val="nil"/>
              <w:bottom w:val="single" w:color="auto" w:sz="4" w:space="0"/>
              <w:right w:val="single" w:color="auto" w:sz="4" w:space="0"/>
            </w:tcBorders>
            <w:shd w:val="clear" w:color="auto" w:fill="auto"/>
            <w:noWrap/>
            <w:vAlign w:val="center"/>
          </w:tcPr>
          <w:p w14:paraId="7C9EC64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7,750,754</w:t>
            </w:r>
          </w:p>
        </w:tc>
      </w:tr>
      <w:tr w14:paraId="4E85121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5495A62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21" w:type="pct"/>
            <w:tcBorders>
              <w:top w:val="nil"/>
              <w:left w:val="nil"/>
              <w:bottom w:val="single" w:color="auto" w:sz="4" w:space="0"/>
              <w:right w:val="single" w:color="auto" w:sz="4" w:space="0"/>
            </w:tcBorders>
            <w:shd w:val="clear" w:color="auto" w:fill="auto"/>
            <w:noWrap/>
            <w:vAlign w:val="center"/>
          </w:tcPr>
          <w:p w14:paraId="0C15410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99" w:type="dxa"/>
            <w:tcBorders>
              <w:top w:val="nil"/>
              <w:left w:val="nil"/>
              <w:bottom w:val="single" w:color="auto" w:sz="4" w:space="0"/>
              <w:right w:val="single" w:color="auto" w:sz="4" w:space="0"/>
            </w:tcBorders>
            <w:shd w:val="clear" w:color="auto" w:fill="auto"/>
            <w:noWrap/>
            <w:vAlign w:val="center"/>
          </w:tcPr>
          <w:p w14:paraId="266B745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4,467,515</w:t>
            </w:r>
          </w:p>
        </w:tc>
        <w:tc>
          <w:tcPr>
            <w:tcW w:w="1299" w:type="dxa"/>
            <w:tcBorders>
              <w:top w:val="nil"/>
              <w:left w:val="nil"/>
              <w:bottom w:val="single" w:color="auto" w:sz="4" w:space="0"/>
              <w:right w:val="single" w:color="auto" w:sz="4" w:space="0"/>
            </w:tcBorders>
            <w:shd w:val="clear" w:color="auto" w:fill="auto"/>
            <w:noWrap/>
            <w:vAlign w:val="center"/>
          </w:tcPr>
          <w:p w14:paraId="035C0C0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4,724,394</w:t>
            </w:r>
          </w:p>
        </w:tc>
        <w:tc>
          <w:tcPr>
            <w:tcW w:w="1299" w:type="dxa"/>
            <w:tcBorders>
              <w:top w:val="nil"/>
              <w:left w:val="nil"/>
              <w:bottom w:val="single" w:color="auto" w:sz="4" w:space="0"/>
              <w:right w:val="single" w:color="auto" w:sz="4" w:space="0"/>
            </w:tcBorders>
            <w:shd w:val="clear" w:color="auto" w:fill="auto"/>
            <w:noWrap/>
            <w:vAlign w:val="center"/>
          </w:tcPr>
          <w:p w14:paraId="7D46F0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4,683,109</w:t>
            </w:r>
          </w:p>
        </w:tc>
        <w:tc>
          <w:tcPr>
            <w:tcW w:w="1757" w:type="dxa"/>
            <w:tcBorders>
              <w:top w:val="nil"/>
              <w:left w:val="nil"/>
              <w:bottom w:val="single" w:color="auto" w:sz="4" w:space="0"/>
              <w:right w:val="single" w:color="auto" w:sz="4" w:space="0"/>
            </w:tcBorders>
            <w:shd w:val="clear" w:color="auto" w:fill="auto"/>
            <w:noWrap/>
            <w:vAlign w:val="center"/>
          </w:tcPr>
          <w:p w14:paraId="257D2F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4,625,006</w:t>
            </w:r>
          </w:p>
        </w:tc>
      </w:tr>
      <w:tr w14:paraId="6D65853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62151E0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21" w:type="pct"/>
            <w:tcBorders>
              <w:top w:val="nil"/>
              <w:left w:val="nil"/>
              <w:bottom w:val="single" w:color="auto" w:sz="4" w:space="0"/>
              <w:right w:val="single" w:color="auto" w:sz="4" w:space="0"/>
            </w:tcBorders>
            <w:shd w:val="clear" w:color="auto" w:fill="auto"/>
            <w:noWrap/>
            <w:vAlign w:val="center"/>
          </w:tcPr>
          <w:p w14:paraId="5F2CF80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99" w:type="dxa"/>
            <w:tcBorders>
              <w:top w:val="nil"/>
              <w:left w:val="nil"/>
              <w:bottom w:val="single" w:color="auto" w:sz="4" w:space="0"/>
              <w:right w:val="single" w:color="auto" w:sz="4" w:space="0"/>
            </w:tcBorders>
            <w:shd w:val="clear" w:color="auto" w:fill="auto"/>
            <w:noWrap/>
            <w:vAlign w:val="center"/>
          </w:tcPr>
          <w:p w14:paraId="5B344BC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3,017,653</w:t>
            </w:r>
          </w:p>
        </w:tc>
        <w:tc>
          <w:tcPr>
            <w:tcW w:w="1299" w:type="dxa"/>
            <w:tcBorders>
              <w:top w:val="nil"/>
              <w:left w:val="nil"/>
              <w:bottom w:val="single" w:color="auto" w:sz="4" w:space="0"/>
              <w:right w:val="single" w:color="auto" w:sz="4" w:space="0"/>
            </w:tcBorders>
            <w:shd w:val="clear" w:color="auto" w:fill="auto"/>
            <w:noWrap/>
            <w:vAlign w:val="center"/>
          </w:tcPr>
          <w:p w14:paraId="004C21A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3,268,370</w:t>
            </w:r>
          </w:p>
        </w:tc>
        <w:tc>
          <w:tcPr>
            <w:tcW w:w="1299" w:type="dxa"/>
            <w:tcBorders>
              <w:top w:val="nil"/>
              <w:left w:val="nil"/>
              <w:bottom w:val="single" w:color="auto" w:sz="4" w:space="0"/>
              <w:right w:val="single" w:color="auto" w:sz="4" w:space="0"/>
            </w:tcBorders>
            <w:shd w:val="clear" w:color="auto" w:fill="auto"/>
            <w:noWrap/>
            <w:vAlign w:val="center"/>
          </w:tcPr>
          <w:p w14:paraId="03B4EA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3,091,222</w:t>
            </w:r>
          </w:p>
        </w:tc>
        <w:tc>
          <w:tcPr>
            <w:tcW w:w="1757" w:type="dxa"/>
            <w:tcBorders>
              <w:top w:val="nil"/>
              <w:left w:val="nil"/>
              <w:bottom w:val="single" w:color="auto" w:sz="4" w:space="0"/>
              <w:right w:val="single" w:color="auto" w:sz="4" w:space="0"/>
            </w:tcBorders>
            <w:shd w:val="clear" w:color="auto" w:fill="auto"/>
            <w:noWrap/>
            <w:vAlign w:val="center"/>
          </w:tcPr>
          <w:p w14:paraId="4EA364F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3,125,748</w:t>
            </w:r>
          </w:p>
        </w:tc>
      </w:tr>
      <w:tr w14:paraId="2C817906">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6AB5C54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21" w:type="pct"/>
            <w:tcBorders>
              <w:top w:val="nil"/>
              <w:left w:val="nil"/>
              <w:bottom w:val="single" w:color="auto" w:sz="4" w:space="0"/>
              <w:right w:val="single" w:color="auto" w:sz="4" w:space="0"/>
            </w:tcBorders>
            <w:shd w:val="clear" w:color="auto" w:fill="auto"/>
            <w:noWrap/>
            <w:vAlign w:val="center"/>
          </w:tcPr>
          <w:p w14:paraId="5A5F589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99" w:type="dxa"/>
            <w:tcBorders>
              <w:top w:val="nil"/>
              <w:left w:val="nil"/>
              <w:bottom w:val="single" w:color="auto" w:sz="4" w:space="0"/>
              <w:right w:val="single" w:color="auto" w:sz="4" w:space="0"/>
            </w:tcBorders>
            <w:shd w:val="clear" w:color="auto" w:fill="auto"/>
            <w:noWrap/>
            <w:vAlign w:val="center"/>
          </w:tcPr>
          <w:p w14:paraId="16D774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2,763,029</w:t>
            </w:r>
          </w:p>
        </w:tc>
        <w:tc>
          <w:tcPr>
            <w:tcW w:w="1299" w:type="dxa"/>
            <w:tcBorders>
              <w:top w:val="nil"/>
              <w:left w:val="nil"/>
              <w:bottom w:val="single" w:color="auto" w:sz="4" w:space="0"/>
              <w:right w:val="single" w:color="auto" w:sz="4" w:space="0"/>
            </w:tcBorders>
            <w:shd w:val="clear" w:color="auto" w:fill="auto"/>
            <w:noWrap/>
            <w:vAlign w:val="center"/>
          </w:tcPr>
          <w:p w14:paraId="62AF4A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2,880,140</w:t>
            </w:r>
          </w:p>
        </w:tc>
        <w:tc>
          <w:tcPr>
            <w:tcW w:w="1299" w:type="dxa"/>
            <w:tcBorders>
              <w:top w:val="nil"/>
              <w:left w:val="nil"/>
              <w:bottom w:val="single" w:color="auto" w:sz="4" w:space="0"/>
              <w:right w:val="single" w:color="auto" w:sz="4" w:space="0"/>
            </w:tcBorders>
            <w:shd w:val="clear" w:color="auto" w:fill="auto"/>
            <w:noWrap/>
            <w:vAlign w:val="center"/>
          </w:tcPr>
          <w:p w14:paraId="79CBD1B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3,056,312</w:t>
            </w:r>
          </w:p>
        </w:tc>
        <w:tc>
          <w:tcPr>
            <w:tcW w:w="1757" w:type="dxa"/>
            <w:tcBorders>
              <w:top w:val="nil"/>
              <w:left w:val="nil"/>
              <w:bottom w:val="single" w:color="auto" w:sz="4" w:space="0"/>
              <w:right w:val="single" w:color="auto" w:sz="4" w:space="0"/>
            </w:tcBorders>
            <w:shd w:val="clear" w:color="auto" w:fill="auto"/>
            <w:noWrap/>
            <w:vAlign w:val="center"/>
          </w:tcPr>
          <w:p w14:paraId="1B3A74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2,899,827</w:t>
            </w:r>
          </w:p>
        </w:tc>
      </w:tr>
      <w:tr w14:paraId="38A5ADF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7E0C9E2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21" w:type="pct"/>
            <w:tcBorders>
              <w:top w:val="nil"/>
              <w:left w:val="nil"/>
              <w:bottom w:val="single" w:color="auto" w:sz="4" w:space="0"/>
              <w:right w:val="single" w:color="auto" w:sz="4" w:space="0"/>
            </w:tcBorders>
            <w:shd w:val="clear" w:color="auto" w:fill="auto"/>
            <w:noWrap/>
            <w:vAlign w:val="center"/>
          </w:tcPr>
          <w:p w14:paraId="451C99E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99" w:type="dxa"/>
            <w:tcBorders>
              <w:top w:val="nil"/>
              <w:left w:val="nil"/>
              <w:bottom w:val="single" w:color="auto" w:sz="4" w:space="0"/>
              <w:right w:val="single" w:color="auto" w:sz="4" w:space="0"/>
            </w:tcBorders>
            <w:shd w:val="clear" w:color="auto" w:fill="auto"/>
            <w:noWrap/>
            <w:vAlign w:val="center"/>
          </w:tcPr>
          <w:p w14:paraId="754A363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254,624</w:t>
            </w:r>
          </w:p>
        </w:tc>
        <w:tc>
          <w:tcPr>
            <w:tcW w:w="1299" w:type="dxa"/>
            <w:tcBorders>
              <w:top w:val="nil"/>
              <w:left w:val="nil"/>
              <w:bottom w:val="single" w:color="auto" w:sz="4" w:space="0"/>
              <w:right w:val="single" w:color="auto" w:sz="4" w:space="0"/>
            </w:tcBorders>
            <w:shd w:val="clear" w:color="auto" w:fill="auto"/>
            <w:noWrap/>
            <w:vAlign w:val="center"/>
          </w:tcPr>
          <w:p w14:paraId="3B0EFE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388,230</w:t>
            </w:r>
          </w:p>
        </w:tc>
        <w:tc>
          <w:tcPr>
            <w:tcW w:w="1299" w:type="dxa"/>
            <w:tcBorders>
              <w:top w:val="nil"/>
              <w:left w:val="nil"/>
              <w:bottom w:val="single" w:color="auto" w:sz="4" w:space="0"/>
              <w:right w:val="single" w:color="auto" w:sz="4" w:space="0"/>
            </w:tcBorders>
            <w:shd w:val="clear" w:color="auto" w:fill="auto"/>
            <w:noWrap/>
            <w:vAlign w:val="center"/>
          </w:tcPr>
          <w:p w14:paraId="494EED2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34,910</w:t>
            </w:r>
          </w:p>
        </w:tc>
        <w:tc>
          <w:tcPr>
            <w:tcW w:w="1757" w:type="dxa"/>
            <w:tcBorders>
              <w:top w:val="nil"/>
              <w:left w:val="nil"/>
              <w:bottom w:val="single" w:color="auto" w:sz="4" w:space="0"/>
              <w:right w:val="single" w:color="auto" w:sz="4" w:space="0"/>
            </w:tcBorders>
            <w:shd w:val="clear" w:color="auto" w:fill="auto"/>
            <w:noWrap/>
            <w:vAlign w:val="center"/>
          </w:tcPr>
          <w:p w14:paraId="73EBD05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225,921</w:t>
            </w:r>
          </w:p>
        </w:tc>
      </w:tr>
      <w:tr w14:paraId="09C2F932">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4710CF40">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21" w:type="pct"/>
            <w:tcBorders>
              <w:top w:val="nil"/>
              <w:left w:val="nil"/>
              <w:bottom w:val="single" w:color="auto" w:sz="4" w:space="0"/>
              <w:right w:val="single" w:color="auto" w:sz="4" w:space="0"/>
            </w:tcBorders>
            <w:shd w:val="clear" w:color="auto" w:fill="auto"/>
            <w:noWrap/>
            <w:vAlign w:val="center"/>
          </w:tcPr>
          <w:p w14:paraId="6AEBAC41">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99" w:type="dxa"/>
            <w:tcBorders>
              <w:top w:val="nil"/>
              <w:left w:val="nil"/>
              <w:bottom w:val="single" w:color="auto" w:sz="4" w:space="0"/>
              <w:right w:val="single" w:color="auto" w:sz="4" w:space="0"/>
            </w:tcBorders>
            <w:shd w:val="clear" w:color="auto" w:fill="auto"/>
            <w:noWrap/>
            <w:vAlign w:val="center"/>
          </w:tcPr>
          <w:p w14:paraId="6E3C29EE">
            <w:pPr>
              <w:jc w:val="right"/>
              <w:rPr>
                <w:rFonts w:ascii="华文楷体" w:hAnsi="华文楷体" w:eastAsia="华文楷体" w:cs="宋体"/>
                <w:color w:val="000000"/>
                <w:sz w:val="18"/>
                <w:szCs w:val="18"/>
              </w:rPr>
            </w:pPr>
          </w:p>
        </w:tc>
        <w:tc>
          <w:tcPr>
            <w:tcW w:w="1299" w:type="dxa"/>
            <w:tcBorders>
              <w:top w:val="nil"/>
              <w:left w:val="nil"/>
              <w:bottom w:val="single" w:color="auto" w:sz="4" w:space="0"/>
              <w:right w:val="single" w:color="auto" w:sz="4" w:space="0"/>
            </w:tcBorders>
            <w:shd w:val="clear" w:color="auto" w:fill="auto"/>
            <w:noWrap/>
            <w:vAlign w:val="center"/>
          </w:tcPr>
          <w:p w14:paraId="15217418">
            <w:pPr>
              <w:jc w:val="right"/>
              <w:rPr>
                <w:rFonts w:ascii="华文楷体" w:hAnsi="华文楷体" w:eastAsia="华文楷体" w:cs="宋体"/>
                <w:color w:val="000000"/>
                <w:sz w:val="18"/>
                <w:szCs w:val="18"/>
              </w:rPr>
            </w:pPr>
          </w:p>
        </w:tc>
        <w:tc>
          <w:tcPr>
            <w:tcW w:w="1299" w:type="dxa"/>
            <w:tcBorders>
              <w:top w:val="nil"/>
              <w:left w:val="nil"/>
              <w:bottom w:val="single" w:color="auto" w:sz="4" w:space="0"/>
              <w:right w:val="single" w:color="auto" w:sz="4" w:space="0"/>
            </w:tcBorders>
            <w:shd w:val="clear" w:color="auto" w:fill="auto"/>
            <w:noWrap/>
            <w:vAlign w:val="center"/>
          </w:tcPr>
          <w:p w14:paraId="3F6F6E19">
            <w:pPr>
              <w:jc w:val="right"/>
              <w:rPr>
                <w:rFonts w:ascii="华文楷体" w:hAnsi="华文楷体" w:eastAsia="华文楷体" w:cs="宋体"/>
                <w:color w:val="000000"/>
                <w:sz w:val="18"/>
                <w:szCs w:val="18"/>
              </w:rPr>
            </w:pPr>
          </w:p>
        </w:tc>
        <w:tc>
          <w:tcPr>
            <w:tcW w:w="1757" w:type="dxa"/>
            <w:tcBorders>
              <w:top w:val="nil"/>
              <w:left w:val="nil"/>
              <w:bottom w:val="single" w:color="auto" w:sz="4" w:space="0"/>
              <w:right w:val="single" w:color="auto" w:sz="4" w:space="0"/>
            </w:tcBorders>
            <w:shd w:val="clear" w:color="auto" w:fill="auto"/>
            <w:noWrap/>
            <w:vAlign w:val="center"/>
          </w:tcPr>
          <w:p w14:paraId="30DF8375">
            <w:pPr>
              <w:jc w:val="right"/>
              <w:rPr>
                <w:rFonts w:ascii="华文楷体" w:hAnsi="华文楷体" w:eastAsia="华文楷体" w:cs="宋体"/>
                <w:color w:val="000000"/>
                <w:sz w:val="18"/>
                <w:szCs w:val="18"/>
              </w:rPr>
            </w:pPr>
          </w:p>
        </w:tc>
      </w:tr>
      <w:tr w14:paraId="6E07D9AB">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4F81BD"/>
            <w:noWrap/>
            <w:vAlign w:val="center"/>
          </w:tcPr>
          <w:p w14:paraId="17DEB6E7">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21" w:type="pct"/>
            <w:tcBorders>
              <w:top w:val="nil"/>
              <w:left w:val="nil"/>
              <w:bottom w:val="single" w:color="auto" w:sz="4" w:space="0"/>
              <w:right w:val="single" w:color="auto" w:sz="4" w:space="0"/>
            </w:tcBorders>
            <w:shd w:val="clear" w:color="auto" w:fill="4F81BD"/>
            <w:noWrap/>
            <w:vAlign w:val="center"/>
          </w:tcPr>
          <w:p w14:paraId="561B772F">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99" w:type="dxa"/>
            <w:tcBorders>
              <w:top w:val="nil"/>
              <w:left w:val="nil"/>
              <w:bottom w:val="single" w:color="auto" w:sz="4" w:space="0"/>
              <w:right w:val="single" w:color="auto" w:sz="4" w:space="0"/>
            </w:tcBorders>
            <w:shd w:val="clear" w:color="auto" w:fill="4F81BD"/>
            <w:noWrap/>
            <w:vAlign w:val="center"/>
          </w:tcPr>
          <w:p w14:paraId="76B839E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3.52%</w:t>
            </w:r>
          </w:p>
        </w:tc>
        <w:tc>
          <w:tcPr>
            <w:tcW w:w="1299" w:type="dxa"/>
            <w:tcBorders>
              <w:top w:val="nil"/>
              <w:left w:val="nil"/>
              <w:bottom w:val="single" w:color="auto" w:sz="4" w:space="0"/>
              <w:right w:val="single" w:color="auto" w:sz="4" w:space="0"/>
            </w:tcBorders>
            <w:shd w:val="clear" w:color="auto" w:fill="4F81BD"/>
            <w:noWrap/>
            <w:vAlign w:val="center"/>
          </w:tcPr>
          <w:p w14:paraId="149298C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5.11%</w:t>
            </w:r>
          </w:p>
        </w:tc>
        <w:tc>
          <w:tcPr>
            <w:tcW w:w="1299" w:type="dxa"/>
            <w:tcBorders>
              <w:top w:val="nil"/>
              <w:left w:val="nil"/>
              <w:bottom w:val="single" w:color="auto" w:sz="4" w:space="0"/>
              <w:right w:val="single" w:color="auto" w:sz="4" w:space="0"/>
            </w:tcBorders>
            <w:shd w:val="clear" w:color="auto" w:fill="4F81BD"/>
            <w:noWrap/>
            <w:vAlign w:val="center"/>
          </w:tcPr>
          <w:p w14:paraId="56FCE5B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0.45%</w:t>
            </w:r>
          </w:p>
        </w:tc>
        <w:tc>
          <w:tcPr>
            <w:tcW w:w="1757" w:type="dxa"/>
            <w:tcBorders>
              <w:top w:val="nil"/>
              <w:left w:val="nil"/>
              <w:bottom w:val="single" w:color="auto" w:sz="4" w:space="0"/>
              <w:right w:val="single" w:color="auto" w:sz="4" w:space="0"/>
            </w:tcBorders>
            <w:shd w:val="clear" w:color="auto" w:fill="4F81BD"/>
            <w:noWrap/>
            <w:vAlign w:val="center"/>
          </w:tcPr>
          <w:p w14:paraId="3F06416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3.00%</w:t>
            </w:r>
          </w:p>
        </w:tc>
      </w:tr>
    </w:tbl>
    <w:p w14:paraId="3E365960">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p w14:paraId="460F9336">
      <w:pPr>
        <w:snapToGrid w:val="0"/>
        <w:ind w:left="0"/>
        <w:rPr>
          <w:rFonts w:ascii="Arial" w:hAnsi="Arial" w:eastAsia="微软雅黑" w:cs="Arial"/>
          <w:b/>
          <w:bCs/>
          <w:color w:val="3F9C35"/>
          <w:sz w:val="28"/>
          <w:szCs w:val="22"/>
          <w:highlight w:val="yellow"/>
        </w:rPr>
      </w:pPr>
    </w:p>
    <w:p w14:paraId="5E8F6890">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85"/>
        <w:gridCol w:w="1304"/>
        <w:gridCol w:w="1306"/>
        <w:gridCol w:w="1283"/>
        <w:gridCol w:w="1473"/>
        <w:gridCol w:w="1515"/>
      </w:tblGrid>
      <w:tr w14:paraId="4E1D503B">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EAB565F">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9）MIE Corporation Co., LTD</w:t>
            </w:r>
          </w:p>
        </w:tc>
      </w:tr>
      <w:tr w14:paraId="460497E3">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000000" w:fill="C6D9F1"/>
            <w:noWrap/>
            <w:vAlign w:val="center"/>
          </w:tcPr>
          <w:p w14:paraId="559BB97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股票代码:3442</w:t>
            </w:r>
          </w:p>
        </w:tc>
        <w:tc>
          <w:tcPr>
            <w:tcW w:w="744" w:type="pct"/>
            <w:vMerge w:val="restart"/>
            <w:tcBorders>
              <w:top w:val="nil"/>
              <w:left w:val="single" w:color="auto" w:sz="4" w:space="0"/>
              <w:bottom w:val="single" w:color="auto" w:sz="4" w:space="0"/>
              <w:right w:val="single" w:color="auto" w:sz="4" w:space="0"/>
            </w:tcBorders>
            <w:shd w:val="clear" w:color="000000" w:fill="C6D9F1"/>
            <w:noWrap/>
            <w:vAlign w:val="center"/>
          </w:tcPr>
          <w:p w14:paraId="5227798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45" w:type="pct"/>
            <w:vMerge w:val="restart"/>
            <w:tcBorders>
              <w:top w:val="nil"/>
              <w:left w:val="single" w:color="auto" w:sz="4" w:space="0"/>
              <w:bottom w:val="single" w:color="auto" w:sz="4" w:space="0"/>
              <w:right w:val="single" w:color="auto" w:sz="4" w:space="0"/>
            </w:tcBorders>
            <w:shd w:val="clear" w:color="000000" w:fill="C6D9F1"/>
            <w:noWrap/>
            <w:vAlign w:val="center"/>
          </w:tcPr>
          <w:p w14:paraId="4F6EF63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32" w:type="pct"/>
            <w:vMerge w:val="restart"/>
            <w:tcBorders>
              <w:top w:val="nil"/>
              <w:left w:val="single" w:color="auto" w:sz="4" w:space="0"/>
              <w:bottom w:val="single" w:color="auto" w:sz="4" w:space="0"/>
              <w:right w:val="single" w:color="auto" w:sz="4" w:space="0"/>
            </w:tcBorders>
            <w:shd w:val="clear" w:color="000000" w:fill="C6D9F1"/>
            <w:noWrap/>
            <w:vAlign w:val="center"/>
          </w:tcPr>
          <w:p w14:paraId="6EE81CE1">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0" w:type="pct"/>
            <w:vMerge w:val="restart"/>
            <w:tcBorders>
              <w:top w:val="nil"/>
              <w:left w:val="single" w:color="auto" w:sz="4" w:space="0"/>
              <w:bottom w:val="single" w:color="auto" w:sz="4" w:space="0"/>
              <w:right w:val="single" w:color="auto" w:sz="4" w:space="0"/>
            </w:tcBorders>
            <w:shd w:val="clear" w:color="000000" w:fill="C6D9F1"/>
            <w:noWrap/>
            <w:vAlign w:val="center"/>
          </w:tcPr>
          <w:p w14:paraId="59A8C47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4" w:type="pct"/>
            <w:vMerge w:val="restart"/>
            <w:tcBorders>
              <w:top w:val="nil"/>
              <w:left w:val="single" w:color="auto" w:sz="4" w:space="0"/>
              <w:bottom w:val="single" w:color="auto" w:sz="4" w:space="0"/>
              <w:right w:val="single" w:color="auto" w:sz="4" w:space="0"/>
            </w:tcBorders>
            <w:shd w:val="clear" w:color="000000" w:fill="C6D9F1"/>
            <w:noWrap/>
            <w:vAlign w:val="center"/>
          </w:tcPr>
          <w:p w14:paraId="3A861C9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6D1B376B">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000000" w:fill="C6D9F1"/>
            <w:noWrap/>
            <w:vAlign w:val="center"/>
          </w:tcPr>
          <w:p w14:paraId="3943CC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44" w:type="pct"/>
            <w:vMerge w:val="continue"/>
            <w:tcBorders>
              <w:top w:val="nil"/>
              <w:left w:val="single" w:color="auto" w:sz="4" w:space="0"/>
              <w:bottom w:val="single" w:color="auto" w:sz="4" w:space="0"/>
              <w:right w:val="single" w:color="auto" w:sz="4" w:space="0"/>
            </w:tcBorders>
            <w:vAlign w:val="center"/>
          </w:tcPr>
          <w:p w14:paraId="78F756AC">
            <w:pPr>
              <w:snapToGrid w:val="0"/>
              <w:spacing w:before="0" w:after="0"/>
              <w:ind w:left="0" w:right="0"/>
              <w:jc w:val="left"/>
              <w:rPr>
                <w:rFonts w:ascii="微软雅黑" w:hAnsi="微软雅黑" w:eastAsia="微软雅黑" w:cs="宋体"/>
                <w:b/>
                <w:bCs/>
                <w:sz w:val="18"/>
                <w:szCs w:val="18"/>
              </w:rPr>
            </w:pPr>
          </w:p>
        </w:tc>
        <w:tc>
          <w:tcPr>
            <w:tcW w:w="745" w:type="pct"/>
            <w:vMerge w:val="continue"/>
            <w:tcBorders>
              <w:top w:val="nil"/>
              <w:left w:val="single" w:color="auto" w:sz="4" w:space="0"/>
              <w:bottom w:val="single" w:color="auto" w:sz="4" w:space="0"/>
              <w:right w:val="single" w:color="auto" w:sz="4" w:space="0"/>
            </w:tcBorders>
            <w:vAlign w:val="center"/>
          </w:tcPr>
          <w:p w14:paraId="43C509C8">
            <w:pPr>
              <w:snapToGrid w:val="0"/>
              <w:spacing w:before="0" w:after="0"/>
              <w:ind w:left="0" w:right="0"/>
              <w:jc w:val="left"/>
              <w:rPr>
                <w:rFonts w:ascii="Arial" w:hAnsi="Arial" w:eastAsia="等线" w:cs="Arial"/>
                <w:b/>
                <w:bCs/>
                <w:sz w:val="18"/>
                <w:szCs w:val="18"/>
              </w:rPr>
            </w:pPr>
          </w:p>
        </w:tc>
        <w:tc>
          <w:tcPr>
            <w:tcW w:w="732" w:type="pct"/>
            <w:vMerge w:val="continue"/>
            <w:tcBorders>
              <w:top w:val="nil"/>
              <w:left w:val="single" w:color="auto" w:sz="4" w:space="0"/>
              <w:bottom w:val="single" w:color="auto" w:sz="4" w:space="0"/>
              <w:right w:val="single" w:color="auto" w:sz="4" w:space="0"/>
            </w:tcBorders>
            <w:vAlign w:val="center"/>
          </w:tcPr>
          <w:p w14:paraId="79151CE3">
            <w:pPr>
              <w:snapToGrid w:val="0"/>
              <w:spacing w:before="0" w:after="0"/>
              <w:ind w:left="0" w:right="0"/>
              <w:jc w:val="left"/>
              <w:rPr>
                <w:rFonts w:ascii="Arial" w:hAnsi="Arial" w:eastAsia="等线" w:cs="Arial"/>
                <w:b/>
                <w:bCs/>
                <w:sz w:val="18"/>
                <w:szCs w:val="18"/>
              </w:rPr>
            </w:pPr>
          </w:p>
        </w:tc>
        <w:tc>
          <w:tcPr>
            <w:tcW w:w="840" w:type="pct"/>
            <w:vMerge w:val="continue"/>
            <w:tcBorders>
              <w:top w:val="nil"/>
              <w:left w:val="single" w:color="auto" w:sz="4" w:space="0"/>
              <w:bottom w:val="single" w:color="auto" w:sz="4" w:space="0"/>
              <w:right w:val="single" w:color="auto" w:sz="4" w:space="0"/>
            </w:tcBorders>
            <w:vAlign w:val="center"/>
          </w:tcPr>
          <w:p w14:paraId="3A022B7F">
            <w:pPr>
              <w:snapToGrid w:val="0"/>
              <w:spacing w:before="0" w:after="0"/>
              <w:ind w:left="0" w:right="0"/>
              <w:jc w:val="left"/>
              <w:rPr>
                <w:rFonts w:ascii="Arial" w:hAnsi="Arial" w:eastAsia="等线" w:cs="Arial"/>
                <w:b/>
                <w:bCs/>
                <w:sz w:val="18"/>
                <w:szCs w:val="18"/>
              </w:rPr>
            </w:pPr>
          </w:p>
        </w:tc>
        <w:tc>
          <w:tcPr>
            <w:tcW w:w="864" w:type="pct"/>
            <w:vMerge w:val="continue"/>
            <w:tcBorders>
              <w:top w:val="nil"/>
              <w:left w:val="single" w:color="auto" w:sz="4" w:space="0"/>
              <w:bottom w:val="single" w:color="auto" w:sz="4" w:space="0"/>
              <w:right w:val="single" w:color="auto" w:sz="4" w:space="0"/>
            </w:tcBorders>
            <w:vAlign w:val="center"/>
          </w:tcPr>
          <w:p w14:paraId="004B8ADF">
            <w:pPr>
              <w:snapToGrid w:val="0"/>
              <w:spacing w:before="0" w:after="0"/>
              <w:ind w:left="0" w:right="0"/>
              <w:jc w:val="left"/>
              <w:rPr>
                <w:rFonts w:ascii="微软雅黑" w:hAnsi="微软雅黑" w:eastAsia="微软雅黑" w:cs="宋体"/>
                <w:b/>
                <w:bCs/>
                <w:sz w:val="18"/>
                <w:szCs w:val="18"/>
              </w:rPr>
            </w:pPr>
          </w:p>
        </w:tc>
      </w:tr>
      <w:tr w14:paraId="1442BFE9">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4829FCB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44" w:type="pct"/>
            <w:tcBorders>
              <w:top w:val="nil"/>
              <w:left w:val="nil"/>
              <w:bottom w:val="single" w:color="auto" w:sz="4" w:space="0"/>
              <w:right w:val="single" w:color="auto" w:sz="4" w:space="0"/>
            </w:tcBorders>
            <w:shd w:val="clear" w:color="auto" w:fill="auto"/>
            <w:noWrap/>
            <w:vAlign w:val="center"/>
          </w:tcPr>
          <w:p w14:paraId="0DD179B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06" w:type="dxa"/>
            <w:tcBorders>
              <w:top w:val="nil"/>
              <w:left w:val="nil"/>
              <w:bottom w:val="single" w:color="auto" w:sz="4" w:space="0"/>
              <w:right w:val="single" w:color="auto" w:sz="4" w:space="0"/>
            </w:tcBorders>
            <w:shd w:val="clear" w:color="auto" w:fill="auto"/>
            <w:noWrap/>
            <w:vAlign w:val="center"/>
          </w:tcPr>
          <w:p w14:paraId="3837048C">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5,697,097</w:t>
            </w:r>
          </w:p>
        </w:tc>
        <w:tc>
          <w:tcPr>
            <w:tcW w:w="1283" w:type="dxa"/>
            <w:tcBorders>
              <w:top w:val="nil"/>
              <w:left w:val="nil"/>
              <w:bottom w:val="single" w:color="auto" w:sz="4" w:space="0"/>
              <w:right w:val="single" w:color="auto" w:sz="4" w:space="0"/>
            </w:tcBorders>
            <w:shd w:val="clear" w:color="auto" w:fill="auto"/>
            <w:noWrap/>
            <w:vAlign w:val="center"/>
          </w:tcPr>
          <w:p w14:paraId="31B6490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6,579,127</w:t>
            </w:r>
          </w:p>
        </w:tc>
        <w:tc>
          <w:tcPr>
            <w:tcW w:w="1473" w:type="dxa"/>
            <w:tcBorders>
              <w:top w:val="nil"/>
              <w:left w:val="nil"/>
              <w:bottom w:val="single" w:color="auto" w:sz="4" w:space="0"/>
              <w:right w:val="single" w:color="auto" w:sz="4" w:space="0"/>
            </w:tcBorders>
            <w:shd w:val="clear" w:color="auto" w:fill="auto"/>
            <w:noWrap/>
            <w:vAlign w:val="center"/>
          </w:tcPr>
          <w:p w14:paraId="391B4C2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6,811,723</w:t>
            </w:r>
          </w:p>
        </w:tc>
        <w:tc>
          <w:tcPr>
            <w:tcW w:w="1515" w:type="dxa"/>
            <w:tcBorders>
              <w:top w:val="nil"/>
              <w:left w:val="nil"/>
              <w:bottom w:val="single" w:color="auto" w:sz="4" w:space="0"/>
              <w:right w:val="single" w:color="auto" w:sz="4" w:space="0"/>
            </w:tcBorders>
            <w:shd w:val="clear" w:color="auto" w:fill="auto"/>
            <w:noWrap/>
            <w:vAlign w:val="center"/>
          </w:tcPr>
          <w:p w14:paraId="67466F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6,362,649</w:t>
            </w:r>
          </w:p>
        </w:tc>
      </w:tr>
      <w:tr w14:paraId="037E6948">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5FC90B4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44" w:type="pct"/>
            <w:tcBorders>
              <w:top w:val="nil"/>
              <w:left w:val="nil"/>
              <w:bottom w:val="single" w:color="auto" w:sz="4" w:space="0"/>
              <w:right w:val="single" w:color="auto" w:sz="4" w:space="0"/>
            </w:tcBorders>
            <w:shd w:val="clear" w:color="auto" w:fill="auto"/>
            <w:noWrap/>
            <w:vAlign w:val="center"/>
          </w:tcPr>
          <w:p w14:paraId="3EC3C25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0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703925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4,552,807</w:t>
            </w:r>
          </w:p>
        </w:tc>
        <w:tc>
          <w:tcPr>
            <w:tcW w:w="1283" w:type="dxa"/>
            <w:tcBorders>
              <w:top w:val="nil"/>
              <w:left w:val="nil"/>
              <w:bottom w:val="single" w:color="auto" w:sz="4" w:space="0"/>
              <w:right w:val="single" w:color="auto" w:sz="4" w:space="0"/>
            </w:tcBorders>
            <w:shd w:val="clear" w:color="auto" w:fill="auto"/>
            <w:noWrap/>
            <w:vAlign w:val="center"/>
          </w:tcPr>
          <w:p w14:paraId="5F1214C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5,131,128</w:t>
            </w:r>
          </w:p>
        </w:tc>
        <w:tc>
          <w:tcPr>
            <w:tcW w:w="1473" w:type="dxa"/>
            <w:tcBorders>
              <w:top w:val="nil"/>
              <w:left w:val="nil"/>
              <w:bottom w:val="single" w:color="auto" w:sz="4" w:space="0"/>
              <w:right w:val="single" w:color="auto" w:sz="4" w:space="0"/>
            </w:tcBorders>
            <w:shd w:val="clear" w:color="auto" w:fill="auto"/>
            <w:noWrap/>
            <w:vAlign w:val="center"/>
          </w:tcPr>
          <w:p w14:paraId="53B41C3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5,269,617</w:t>
            </w:r>
          </w:p>
        </w:tc>
        <w:tc>
          <w:tcPr>
            <w:tcW w:w="1515" w:type="dxa"/>
            <w:tcBorders>
              <w:top w:val="nil"/>
              <w:left w:val="nil"/>
              <w:bottom w:val="single" w:color="auto" w:sz="4" w:space="0"/>
              <w:right w:val="single" w:color="auto" w:sz="4" w:space="0"/>
            </w:tcBorders>
            <w:shd w:val="clear" w:color="auto" w:fill="auto"/>
            <w:noWrap/>
            <w:vAlign w:val="center"/>
          </w:tcPr>
          <w:p w14:paraId="3FAA4D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4,984,517</w:t>
            </w:r>
          </w:p>
        </w:tc>
      </w:tr>
      <w:tr w14:paraId="3D5E6CD2">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2399B37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44" w:type="pct"/>
            <w:tcBorders>
              <w:top w:val="nil"/>
              <w:left w:val="nil"/>
              <w:bottom w:val="single" w:color="auto" w:sz="4" w:space="0"/>
              <w:right w:val="single" w:color="auto" w:sz="4" w:space="0"/>
            </w:tcBorders>
            <w:shd w:val="clear" w:color="auto" w:fill="auto"/>
            <w:noWrap/>
            <w:vAlign w:val="center"/>
          </w:tcPr>
          <w:p w14:paraId="5A87B56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06" w:type="dxa"/>
            <w:tcBorders>
              <w:top w:val="nil"/>
              <w:left w:val="nil"/>
              <w:bottom w:val="single" w:color="auto" w:sz="4" w:space="0"/>
              <w:right w:val="single" w:color="auto" w:sz="4" w:space="0"/>
            </w:tcBorders>
            <w:shd w:val="clear" w:color="auto" w:fill="auto"/>
            <w:noWrap/>
            <w:vAlign w:val="center"/>
          </w:tcPr>
          <w:p w14:paraId="2347E9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1,144,290</w:t>
            </w:r>
          </w:p>
        </w:tc>
        <w:tc>
          <w:tcPr>
            <w:tcW w:w="1283" w:type="dxa"/>
            <w:tcBorders>
              <w:top w:val="nil"/>
              <w:left w:val="nil"/>
              <w:bottom w:val="single" w:color="auto" w:sz="4" w:space="0"/>
              <w:right w:val="single" w:color="auto" w:sz="4" w:space="0"/>
            </w:tcBorders>
            <w:shd w:val="clear" w:color="auto" w:fill="auto"/>
            <w:noWrap/>
            <w:vAlign w:val="center"/>
          </w:tcPr>
          <w:p w14:paraId="18D4766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1,447,999</w:t>
            </w:r>
          </w:p>
        </w:tc>
        <w:tc>
          <w:tcPr>
            <w:tcW w:w="1473" w:type="dxa"/>
            <w:tcBorders>
              <w:top w:val="nil"/>
              <w:left w:val="nil"/>
              <w:bottom w:val="single" w:color="auto" w:sz="4" w:space="0"/>
              <w:right w:val="single" w:color="auto" w:sz="4" w:space="0"/>
            </w:tcBorders>
            <w:shd w:val="clear" w:color="auto" w:fill="auto"/>
            <w:noWrap/>
            <w:vAlign w:val="center"/>
          </w:tcPr>
          <w:p w14:paraId="29CE8C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1,542,106</w:t>
            </w:r>
          </w:p>
        </w:tc>
        <w:tc>
          <w:tcPr>
            <w:tcW w:w="1515" w:type="dxa"/>
            <w:tcBorders>
              <w:top w:val="nil"/>
              <w:left w:val="nil"/>
              <w:bottom w:val="single" w:color="auto" w:sz="4" w:space="0"/>
              <w:right w:val="single" w:color="auto" w:sz="4" w:space="0"/>
            </w:tcBorders>
            <w:shd w:val="clear" w:color="auto" w:fill="auto"/>
            <w:noWrap/>
            <w:vAlign w:val="center"/>
          </w:tcPr>
          <w:p w14:paraId="74034AE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1,378,132</w:t>
            </w:r>
          </w:p>
        </w:tc>
      </w:tr>
      <w:tr w14:paraId="783D9957">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6A817E8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44" w:type="pct"/>
            <w:tcBorders>
              <w:top w:val="nil"/>
              <w:left w:val="nil"/>
              <w:bottom w:val="single" w:color="auto" w:sz="4" w:space="0"/>
              <w:right w:val="single" w:color="auto" w:sz="4" w:space="0"/>
            </w:tcBorders>
            <w:shd w:val="clear" w:color="auto" w:fill="auto"/>
            <w:noWrap/>
            <w:vAlign w:val="center"/>
          </w:tcPr>
          <w:p w14:paraId="04E0749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0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1E4788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861,939</w:t>
            </w:r>
          </w:p>
        </w:tc>
        <w:tc>
          <w:tcPr>
            <w:tcW w:w="1283" w:type="dxa"/>
            <w:tcBorders>
              <w:top w:val="nil"/>
              <w:left w:val="nil"/>
              <w:bottom w:val="single" w:color="auto" w:sz="4" w:space="0"/>
              <w:right w:val="single" w:color="auto" w:sz="4" w:space="0"/>
            </w:tcBorders>
            <w:shd w:val="clear" w:color="auto" w:fill="auto"/>
            <w:noWrap/>
            <w:vAlign w:val="center"/>
          </w:tcPr>
          <w:p w14:paraId="24F0A01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963,350</w:t>
            </w:r>
          </w:p>
        </w:tc>
        <w:tc>
          <w:tcPr>
            <w:tcW w:w="1473" w:type="dxa"/>
            <w:tcBorders>
              <w:top w:val="nil"/>
              <w:left w:val="nil"/>
              <w:bottom w:val="single" w:color="auto" w:sz="4" w:space="0"/>
              <w:right w:val="single" w:color="auto" w:sz="4" w:space="0"/>
            </w:tcBorders>
            <w:shd w:val="clear" w:color="auto" w:fill="auto"/>
            <w:noWrap/>
            <w:vAlign w:val="center"/>
          </w:tcPr>
          <w:p w14:paraId="3E39A1E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976,814</w:t>
            </w:r>
          </w:p>
        </w:tc>
        <w:tc>
          <w:tcPr>
            <w:tcW w:w="1515" w:type="dxa"/>
            <w:tcBorders>
              <w:top w:val="nil"/>
              <w:left w:val="nil"/>
              <w:bottom w:val="single" w:color="auto" w:sz="4" w:space="0"/>
              <w:right w:val="single" w:color="auto" w:sz="4" w:space="0"/>
            </w:tcBorders>
            <w:shd w:val="clear" w:color="auto" w:fill="auto"/>
            <w:noWrap/>
            <w:vAlign w:val="center"/>
          </w:tcPr>
          <w:p w14:paraId="440469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934,034</w:t>
            </w:r>
          </w:p>
        </w:tc>
      </w:tr>
      <w:tr w14:paraId="02F91CDB">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6E30851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44" w:type="pct"/>
            <w:tcBorders>
              <w:top w:val="nil"/>
              <w:left w:val="nil"/>
              <w:bottom w:val="single" w:color="auto" w:sz="4" w:space="0"/>
              <w:right w:val="single" w:color="auto" w:sz="4" w:space="0"/>
            </w:tcBorders>
            <w:shd w:val="clear" w:color="auto" w:fill="auto"/>
            <w:noWrap/>
            <w:vAlign w:val="center"/>
          </w:tcPr>
          <w:p w14:paraId="566F493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06" w:type="dxa"/>
            <w:tcBorders>
              <w:top w:val="nil"/>
              <w:left w:val="nil"/>
              <w:bottom w:val="single" w:color="auto" w:sz="4" w:space="0"/>
              <w:right w:val="single" w:color="auto" w:sz="4" w:space="0"/>
            </w:tcBorders>
            <w:shd w:val="clear" w:color="auto" w:fill="auto"/>
            <w:noWrap/>
            <w:vAlign w:val="center"/>
          </w:tcPr>
          <w:p w14:paraId="06592FF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282,351</w:t>
            </w:r>
          </w:p>
        </w:tc>
        <w:tc>
          <w:tcPr>
            <w:tcW w:w="1283" w:type="dxa"/>
            <w:tcBorders>
              <w:top w:val="nil"/>
              <w:left w:val="nil"/>
              <w:bottom w:val="single" w:color="auto" w:sz="4" w:space="0"/>
              <w:right w:val="single" w:color="auto" w:sz="4" w:space="0"/>
            </w:tcBorders>
            <w:shd w:val="clear" w:color="auto" w:fill="auto"/>
            <w:noWrap/>
            <w:vAlign w:val="center"/>
          </w:tcPr>
          <w:p w14:paraId="269277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484,649</w:t>
            </w:r>
          </w:p>
        </w:tc>
        <w:tc>
          <w:tcPr>
            <w:tcW w:w="1473" w:type="dxa"/>
            <w:tcBorders>
              <w:top w:val="nil"/>
              <w:left w:val="nil"/>
              <w:bottom w:val="single" w:color="auto" w:sz="4" w:space="0"/>
              <w:right w:val="single" w:color="auto" w:sz="4" w:space="0"/>
            </w:tcBorders>
            <w:shd w:val="clear" w:color="auto" w:fill="auto"/>
            <w:noWrap/>
            <w:vAlign w:val="center"/>
          </w:tcPr>
          <w:p w14:paraId="5C11190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565,292</w:t>
            </w:r>
          </w:p>
        </w:tc>
        <w:tc>
          <w:tcPr>
            <w:tcW w:w="1515" w:type="dxa"/>
            <w:tcBorders>
              <w:top w:val="nil"/>
              <w:left w:val="nil"/>
              <w:bottom w:val="single" w:color="auto" w:sz="4" w:space="0"/>
              <w:right w:val="single" w:color="auto" w:sz="4" w:space="0"/>
            </w:tcBorders>
            <w:shd w:val="clear" w:color="auto" w:fill="auto"/>
            <w:noWrap/>
            <w:vAlign w:val="center"/>
          </w:tcPr>
          <w:p w14:paraId="16F9A9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444,097</w:t>
            </w:r>
          </w:p>
        </w:tc>
      </w:tr>
      <w:tr w14:paraId="10DD151A">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29D4A7A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44" w:type="pct"/>
            <w:tcBorders>
              <w:top w:val="nil"/>
              <w:left w:val="nil"/>
              <w:bottom w:val="single" w:color="auto" w:sz="4" w:space="0"/>
              <w:right w:val="single" w:color="auto" w:sz="4" w:space="0"/>
            </w:tcBorders>
            <w:shd w:val="clear" w:color="auto" w:fill="auto"/>
            <w:noWrap/>
            <w:vAlign w:val="center"/>
          </w:tcPr>
          <w:p w14:paraId="5E31281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06" w:type="dxa"/>
            <w:tcBorders>
              <w:top w:val="nil"/>
              <w:left w:val="nil"/>
              <w:bottom w:val="single" w:color="auto" w:sz="4" w:space="0"/>
              <w:right w:val="single" w:color="auto" w:sz="4" w:space="0"/>
            </w:tcBorders>
            <w:shd w:val="clear" w:color="auto" w:fill="auto"/>
            <w:noWrap/>
            <w:vAlign w:val="center"/>
          </w:tcPr>
          <w:p w14:paraId="1EDC949D">
            <w:pPr>
              <w:jc w:val="right"/>
              <w:rPr>
                <w:rFonts w:ascii="华文楷体" w:hAnsi="华文楷体" w:eastAsia="华文楷体" w:cs="宋体"/>
                <w:color w:val="000000"/>
                <w:sz w:val="18"/>
                <w:szCs w:val="18"/>
              </w:rPr>
            </w:pPr>
          </w:p>
        </w:tc>
        <w:tc>
          <w:tcPr>
            <w:tcW w:w="1283" w:type="dxa"/>
            <w:tcBorders>
              <w:top w:val="nil"/>
              <w:left w:val="nil"/>
              <w:bottom w:val="single" w:color="auto" w:sz="4" w:space="0"/>
              <w:right w:val="single" w:color="auto" w:sz="4" w:space="0"/>
            </w:tcBorders>
            <w:shd w:val="clear" w:color="auto" w:fill="auto"/>
            <w:noWrap/>
            <w:vAlign w:val="center"/>
          </w:tcPr>
          <w:p w14:paraId="0F3E07BB">
            <w:pPr>
              <w:jc w:val="right"/>
              <w:rPr>
                <w:rFonts w:ascii="华文楷体" w:hAnsi="华文楷体" w:eastAsia="华文楷体" w:cs="宋体"/>
                <w:color w:val="000000"/>
                <w:sz w:val="18"/>
                <w:szCs w:val="18"/>
              </w:rPr>
            </w:pPr>
          </w:p>
        </w:tc>
        <w:tc>
          <w:tcPr>
            <w:tcW w:w="1473" w:type="dxa"/>
            <w:tcBorders>
              <w:top w:val="nil"/>
              <w:left w:val="nil"/>
              <w:bottom w:val="single" w:color="auto" w:sz="4" w:space="0"/>
              <w:right w:val="single" w:color="auto" w:sz="4" w:space="0"/>
            </w:tcBorders>
            <w:shd w:val="clear" w:color="auto" w:fill="auto"/>
            <w:noWrap/>
            <w:vAlign w:val="center"/>
          </w:tcPr>
          <w:p w14:paraId="59BB495A">
            <w:pPr>
              <w:jc w:val="right"/>
              <w:rPr>
                <w:rFonts w:ascii="华文楷体" w:hAnsi="华文楷体" w:eastAsia="华文楷体" w:cs="宋体"/>
                <w:color w:val="000000"/>
                <w:sz w:val="18"/>
                <w:szCs w:val="18"/>
              </w:rPr>
            </w:pPr>
          </w:p>
        </w:tc>
        <w:tc>
          <w:tcPr>
            <w:tcW w:w="1515" w:type="dxa"/>
            <w:tcBorders>
              <w:top w:val="nil"/>
              <w:left w:val="nil"/>
              <w:bottom w:val="single" w:color="auto" w:sz="4" w:space="0"/>
              <w:right w:val="single" w:color="auto" w:sz="4" w:space="0"/>
            </w:tcBorders>
            <w:shd w:val="clear" w:color="auto" w:fill="auto"/>
            <w:noWrap/>
            <w:vAlign w:val="center"/>
          </w:tcPr>
          <w:p w14:paraId="00F9F949">
            <w:pPr>
              <w:jc w:val="right"/>
              <w:rPr>
                <w:rFonts w:ascii="华文楷体" w:hAnsi="华文楷体" w:eastAsia="华文楷体" w:cs="宋体"/>
                <w:color w:val="000000"/>
                <w:sz w:val="18"/>
                <w:szCs w:val="18"/>
              </w:rPr>
            </w:pPr>
          </w:p>
        </w:tc>
      </w:tr>
      <w:tr w14:paraId="2E8F1E68">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4F81BD"/>
            <w:noWrap/>
            <w:vAlign w:val="center"/>
          </w:tcPr>
          <w:p w14:paraId="0C7F470A">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44" w:type="pct"/>
            <w:tcBorders>
              <w:top w:val="nil"/>
              <w:left w:val="nil"/>
              <w:bottom w:val="single" w:color="auto" w:sz="4" w:space="0"/>
              <w:right w:val="single" w:color="auto" w:sz="4" w:space="0"/>
            </w:tcBorders>
            <w:shd w:val="clear" w:color="auto" w:fill="4F81BD"/>
            <w:noWrap/>
            <w:vAlign w:val="center"/>
          </w:tcPr>
          <w:p w14:paraId="09D4F94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06" w:type="dxa"/>
            <w:tcBorders>
              <w:top w:val="nil"/>
              <w:left w:val="nil"/>
              <w:bottom w:val="single" w:color="auto" w:sz="4" w:space="0"/>
              <w:right w:val="single" w:color="auto" w:sz="4" w:space="0"/>
            </w:tcBorders>
            <w:shd w:val="clear" w:color="auto" w:fill="4F81BD"/>
            <w:noWrap/>
            <w:vAlign w:val="center"/>
          </w:tcPr>
          <w:p w14:paraId="4A6BE22F">
            <w:pPr>
              <w:jc w:val="right"/>
              <w:textAlignment w:val="center"/>
              <w:rPr>
                <w:rFonts w:ascii="Arial" w:hAnsi="Arial" w:eastAsia="等线" w:cs="Arial"/>
                <w:b/>
                <w:bCs/>
                <w:color w:val="FFFFFF" w:themeColor="background1"/>
                <w:sz w:val="18"/>
                <w:szCs w:val="18"/>
                <w14:textFill>
                  <w14:solidFill>
                    <w14:schemeClr w14:val="bg1"/>
                  </w14:solidFill>
                </w14:textFill>
              </w:rPr>
            </w:pPr>
            <w:r>
              <w:rPr>
                <w:rFonts w:ascii="Arial" w:hAnsi="Arial" w:eastAsia="等线" w:cs="Arial"/>
                <w:b/>
                <w:bCs/>
                <w:color w:val="FFFFFF"/>
                <w:sz w:val="18"/>
                <w:szCs w:val="18"/>
                <w:lang w:bidi="ar"/>
              </w:rPr>
              <w:t>5.21%</w:t>
            </w:r>
          </w:p>
        </w:tc>
        <w:tc>
          <w:tcPr>
            <w:tcW w:w="1283" w:type="dxa"/>
            <w:tcBorders>
              <w:top w:val="nil"/>
              <w:left w:val="nil"/>
              <w:bottom w:val="single" w:color="auto" w:sz="4" w:space="0"/>
              <w:right w:val="single" w:color="auto" w:sz="4" w:space="0"/>
            </w:tcBorders>
            <w:shd w:val="clear" w:color="auto" w:fill="4F81BD"/>
            <w:noWrap/>
            <w:vAlign w:val="center"/>
          </w:tcPr>
          <w:p w14:paraId="27D10EEA">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7.95%</w:t>
            </w:r>
          </w:p>
        </w:tc>
        <w:tc>
          <w:tcPr>
            <w:tcW w:w="1473" w:type="dxa"/>
            <w:tcBorders>
              <w:top w:val="nil"/>
              <w:left w:val="nil"/>
              <w:bottom w:val="single" w:color="auto" w:sz="4" w:space="0"/>
              <w:right w:val="single" w:color="auto" w:sz="4" w:space="0"/>
            </w:tcBorders>
            <w:shd w:val="clear" w:color="auto" w:fill="4F81BD"/>
            <w:noWrap/>
            <w:vAlign w:val="center"/>
          </w:tcPr>
          <w:p w14:paraId="1A35DD1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9.05%</w:t>
            </w:r>
          </w:p>
        </w:tc>
        <w:tc>
          <w:tcPr>
            <w:tcW w:w="1515" w:type="dxa"/>
            <w:tcBorders>
              <w:top w:val="nil"/>
              <w:left w:val="nil"/>
              <w:bottom w:val="single" w:color="auto" w:sz="4" w:space="0"/>
              <w:right w:val="single" w:color="auto" w:sz="4" w:space="0"/>
            </w:tcBorders>
            <w:shd w:val="clear" w:color="auto" w:fill="4F81BD"/>
            <w:noWrap/>
            <w:vAlign w:val="center"/>
          </w:tcPr>
          <w:p w14:paraId="1F70343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7.50%</w:t>
            </w:r>
          </w:p>
        </w:tc>
      </w:tr>
    </w:tbl>
    <w:p w14:paraId="438E571E">
      <w:pPr>
        <w:snapToGrid w:val="0"/>
        <w:ind w:left="0"/>
        <w:rPr>
          <w:rFonts w:ascii="Arial" w:hAnsi="Arial" w:eastAsia="微软雅黑" w:cs="Arial"/>
          <w:b/>
          <w:bCs/>
          <w:color w:val="3F9C35"/>
          <w:sz w:val="28"/>
          <w:szCs w:val="22"/>
          <w:highlight w:val="yellow"/>
        </w:rPr>
      </w:pPr>
    </w:p>
    <w:p w14:paraId="46B103D9">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94"/>
        <w:gridCol w:w="1317"/>
        <w:gridCol w:w="1294"/>
        <w:gridCol w:w="1308"/>
        <w:gridCol w:w="1436"/>
        <w:gridCol w:w="1517"/>
      </w:tblGrid>
      <w:tr w14:paraId="22DC63C3">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0FED6F88">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10）JDV Control Valves Co., Ltd.</w:t>
            </w:r>
          </w:p>
        </w:tc>
      </w:tr>
      <w:tr w14:paraId="49F9D8C8">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000000" w:fill="C6D9F1"/>
            <w:noWrap/>
            <w:vAlign w:val="center"/>
          </w:tcPr>
          <w:p w14:paraId="7BEC01E2">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股票代码:6843</w:t>
            </w:r>
          </w:p>
        </w:tc>
        <w:tc>
          <w:tcPr>
            <w:tcW w:w="751" w:type="pct"/>
            <w:vMerge w:val="restart"/>
            <w:tcBorders>
              <w:top w:val="nil"/>
              <w:left w:val="single" w:color="auto" w:sz="4" w:space="0"/>
              <w:bottom w:val="single" w:color="auto" w:sz="4" w:space="0"/>
              <w:right w:val="single" w:color="auto" w:sz="4" w:space="0"/>
            </w:tcBorders>
            <w:shd w:val="clear" w:color="000000" w:fill="C6D9F1"/>
            <w:noWrap/>
            <w:vAlign w:val="center"/>
          </w:tcPr>
          <w:p w14:paraId="2811375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38" w:type="pct"/>
            <w:vMerge w:val="restart"/>
            <w:tcBorders>
              <w:top w:val="nil"/>
              <w:left w:val="single" w:color="auto" w:sz="4" w:space="0"/>
              <w:bottom w:val="single" w:color="auto" w:sz="4" w:space="0"/>
              <w:right w:val="single" w:color="auto" w:sz="4" w:space="0"/>
            </w:tcBorders>
            <w:shd w:val="clear" w:color="000000" w:fill="C6D9F1"/>
            <w:noWrap/>
            <w:vAlign w:val="center"/>
          </w:tcPr>
          <w:p w14:paraId="37849803">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46" w:type="pct"/>
            <w:vMerge w:val="restart"/>
            <w:tcBorders>
              <w:top w:val="nil"/>
              <w:left w:val="single" w:color="auto" w:sz="4" w:space="0"/>
              <w:bottom w:val="single" w:color="auto" w:sz="4" w:space="0"/>
              <w:right w:val="single" w:color="auto" w:sz="4" w:space="0"/>
            </w:tcBorders>
            <w:shd w:val="clear" w:color="000000" w:fill="C6D9F1"/>
            <w:noWrap/>
            <w:vAlign w:val="center"/>
          </w:tcPr>
          <w:p w14:paraId="74C886A6">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19" w:type="pct"/>
            <w:vMerge w:val="restart"/>
            <w:tcBorders>
              <w:top w:val="nil"/>
              <w:left w:val="single" w:color="auto" w:sz="4" w:space="0"/>
              <w:bottom w:val="single" w:color="auto" w:sz="4" w:space="0"/>
              <w:right w:val="single" w:color="auto" w:sz="4" w:space="0"/>
            </w:tcBorders>
            <w:shd w:val="clear" w:color="000000" w:fill="C6D9F1"/>
            <w:noWrap/>
            <w:vAlign w:val="center"/>
          </w:tcPr>
          <w:p w14:paraId="4BE28D2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4D4E254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65C7F43">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000000" w:fill="C6D9F1"/>
            <w:noWrap/>
            <w:vAlign w:val="center"/>
          </w:tcPr>
          <w:p w14:paraId="10FE5A62">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51" w:type="pct"/>
            <w:vMerge w:val="continue"/>
            <w:tcBorders>
              <w:top w:val="nil"/>
              <w:left w:val="single" w:color="auto" w:sz="4" w:space="0"/>
              <w:bottom w:val="single" w:color="auto" w:sz="4" w:space="0"/>
              <w:right w:val="single" w:color="auto" w:sz="4" w:space="0"/>
            </w:tcBorders>
            <w:vAlign w:val="center"/>
          </w:tcPr>
          <w:p w14:paraId="08DE2065">
            <w:pPr>
              <w:snapToGrid w:val="0"/>
              <w:spacing w:before="0" w:after="0"/>
              <w:ind w:left="0" w:right="0"/>
              <w:jc w:val="left"/>
              <w:rPr>
                <w:rFonts w:ascii="微软雅黑" w:hAnsi="微软雅黑" w:eastAsia="微软雅黑" w:cs="宋体"/>
                <w:b/>
                <w:bCs/>
                <w:sz w:val="18"/>
                <w:szCs w:val="18"/>
              </w:rPr>
            </w:pPr>
          </w:p>
        </w:tc>
        <w:tc>
          <w:tcPr>
            <w:tcW w:w="738" w:type="pct"/>
            <w:vMerge w:val="continue"/>
            <w:tcBorders>
              <w:top w:val="nil"/>
              <w:left w:val="single" w:color="auto" w:sz="4" w:space="0"/>
              <w:bottom w:val="single" w:color="auto" w:sz="4" w:space="0"/>
              <w:right w:val="single" w:color="auto" w:sz="4" w:space="0"/>
            </w:tcBorders>
            <w:vAlign w:val="center"/>
          </w:tcPr>
          <w:p w14:paraId="4C8D7E69">
            <w:pPr>
              <w:snapToGrid w:val="0"/>
              <w:spacing w:before="0" w:after="0"/>
              <w:ind w:left="0" w:right="0"/>
              <w:jc w:val="left"/>
              <w:rPr>
                <w:rFonts w:ascii="Arial" w:hAnsi="Arial" w:eastAsia="等线" w:cs="Arial"/>
                <w:b/>
                <w:bCs/>
                <w:sz w:val="18"/>
                <w:szCs w:val="18"/>
              </w:rPr>
            </w:pPr>
          </w:p>
        </w:tc>
        <w:tc>
          <w:tcPr>
            <w:tcW w:w="746" w:type="pct"/>
            <w:vMerge w:val="continue"/>
            <w:tcBorders>
              <w:top w:val="nil"/>
              <w:left w:val="single" w:color="auto" w:sz="4" w:space="0"/>
              <w:bottom w:val="single" w:color="auto" w:sz="4" w:space="0"/>
              <w:right w:val="single" w:color="auto" w:sz="4" w:space="0"/>
            </w:tcBorders>
            <w:vAlign w:val="center"/>
          </w:tcPr>
          <w:p w14:paraId="6B375311">
            <w:pPr>
              <w:snapToGrid w:val="0"/>
              <w:spacing w:before="0" w:after="0"/>
              <w:ind w:left="0" w:right="0"/>
              <w:jc w:val="left"/>
              <w:rPr>
                <w:rFonts w:ascii="Arial" w:hAnsi="Arial" w:eastAsia="等线" w:cs="Arial"/>
                <w:b/>
                <w:bCs/>
                <w:sz w:val="18"/>
                <w:szCs w:val="18"/>
              </w:rPr>
            </w:pPr>
          </w:p>
        </w:tc>
        <w:tc>
          <w:tcPr>
            <w:tcW w:w="819" w:type="pct"/>
            <w:vMerge w:val="continue"/>
            <w:tcBorders>
              <w:top w:val="nil"/>
              <w:left w:val="single" w:color="auto" w:sz="4" w:space="0"/>
              <w:bottom w:val="single" w:color="auto" w:sz="4" w:space="0"/>
              <w:right w:val="single" w:color="auto" w:sz="4" w:space="0"/>
            </w:tcBorders>
            <w:vAlign w:val="center"/>
          </w:tcPr>
          <w:p w14:paraId="447A939C">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2D7D98D2">
            <w:pPr>
              <w:snapToGrid w:val="0"/>
              <w:spacing w:before="0" w:after="0"/>
              <w:ind w:left="0" w:right="0"/>
              <w:jc w:val="left"/>
              <w:rPr>
                <w:rFonts w:ascii="微软雅黑" w:hAnsi="微软雅黑" w:eastAsia="微软雅黑" w:cs="宋体"/>
                <w:b/>
                <w:bCs/>
                <w:sz w:val="18"/>
                <w:szCs w:val="18"/>
              </w:rPr>
            </w:pPr>
          </w:p>
        </w:tc>
      </w:tr>
      <w:tr w14:paraId="03C99F23">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658B186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51" w:type="pct"/>
            <w:tcBorders>
              <w:top w:val="nil"/>
              <w:left w:val="nil"/>
              <w:bottom w:val="single" w:color="auto" w:sz="4" w:space="0"/>
              <w:right w:val="single" w:color="auto" w:sz="4" w:space="0"/>
            </w:tcBorders>
            <w:shd w:val="clear" w:color="auto" w:fill="auto"/>
            <w:noWrap/>
            <w:vAlign w:val="center"/>
          </w:tcPr>
          <w:p w14:paraId="243463A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94" w:type="dxa"/>
            <w:tcBorders>
              <w:top w:val="nil"/>
              <w:left w:val="nil"/>
              <w:bottom w:val="single" w:color="auto" w:sz="4" w:space="0"/>
              <w:right w:val="single" w:color="auto" w:sz="4" w:space="0"/>
            </w:tcBorders>
            <w:shd w:val="clear" w:color="auto" w:fill="auto"/>
            <w:noWrap/>
            <w:vAlign w:val="center"/>
          </w:tcPr>
          <w:p w14:paraId="08DF48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782,631</w:t>
            </w:r>
          </w:p>
        </w:tc>
        <w:tc>
          <w:tcPr>
            <w:tcW w:w="1308" w:type="dxa"/>
            <w:tcBorders>
              <w:top w:val="nil"/>
              <w:left w:val="nil"/>
              <w:bottom w:val="single" w:color="auto" w:sz="4" w:space="0"/>
              <w:right w:val="single" w:color="auto" w:sz="4" w:space="0"/>
            </w:tcBorders>
            <w:shd w:val="clear" w:color="auto" w:fill="auto"/>
            <w:noWrap/>
            <w:vAlign w:val="center"/>
          </w:tcPr>
          <w:p w14:paraId="78FA5E2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922,643</w:t>
            </w:r>
          </w:p>
        </w:tc>
        <w:tc>
          <w:tcPr>
            <w:tcW w:w="1436" w:type="dxa"/>
            <w:tcBorders>
              <w:top w:val="nil"/>
              <w:left w:val="nil"/>
              <w:bottom w:val="single" w:color="auto" w:sz="4" w:space="0"/>
              <w:right w:val="single" w:color="auto" w:sz="4" w:space="0"/>
            </w:tcBorders>
            <w:shd w:val="clear" w:color="auto" w:fill="auto"/>
            <w:noWrap/>
            <w:vAlign w:val="center"/>
          </w:tcPr>
          <w:p w14:paraId="37FA2C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951,851</w:t>
            </w:r>
          </w:p>
        </w:tc>
        <w:tc>
          <w:tcPr>
            <w:tcW w:w="1517" w:type="dxa"/>
            <w:tcBorders>
              <w:top w:val="nil"/>
              <w:left w:val="nil"/>
              <w:bottom w:val="single" w:color="auto" w:sz="4" w:space="0"/>
              <w:right w:val="single" w:color="auto" w:sz="4" w:space="0"/>
            </w:tcBorders>
            <w:shd w:val="clear" w:color="auto" w:fill="auto"/>
            <w:noWrap/>
            <w:vAlign w:val="center"/>
          </w:tcPr>
          <w:p w14:paraId="137B7F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885,708</w:t>
            </w:r>
          </w:p>
        </w:tc>
      </w:tr>
      <w:tr w14:paraId="743398DB">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68EABC6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51" w:type="pct"/>
            <w:tcBorders>
              <w:top w:val="nil"/>
              <w:left w:val="nil"/>
              <w:bottom w:val="single" w:color="auto" w:sz="4" w:space="0"/>
              <w:right w:val="single" w:color="auto" w:sz="4" w:space="0"/>
            </w:tcBorders>
            <w:shd w:val="clear" w:color="auto" w:fill="auto"/>
            <w:noWrap/>
            <w:vAlign w:val="center"/>
          </w:tcPr>
          <w:p w14:paraId="1049DE1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94" w:type="dxa"/>
            <w:tcBorders>
              <w:top w:val="nil"/>
              <w:left w:val="nil"/>
              <w:bottom w:val="single" w:color="auto" w:sz="4" w:space="0"/>
              <w:right w:val="single" w:color="auto" w:sz="4" w:space="0"/>
            </w:tcBorders>
            <w:shd w:val="clear" w:color="auto" w:fill="auto"/>
            <w:noWrap/>
            <w:vAlign w:val="center"/>
          </w:tcPr>
          <w:p w14:paraId="7CD8B2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494,534</w:t>
            </w:r>
          </w:p>
        </w:tc>
        <w:tc>
          <w:tcPr>
            <w:tcW w:w="1308" w:type="dxa"/>
            <w:tcBorders>
              <w:top w:val="nil"/>
              <w:left w:val="nil"/>
              <w:bottom w:val="single" w:color="auto" w:sz="4" w:space="0"/>
              <w:right w:val="single" w:color="auto" w:sz="4" w:space="0"/>
            </w:tcBorders>
            <w:shd w:val="clear" w:color="auto" w:fill="auto"/>
            <w:noWrap/>
            <w:vAlign w:val="center"/>
          </w:tcPr>
          <w:p w14:paraId="205221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556,725</w:t>
            </w:r>
          </w:p>
        </w:tc>
        <w:tc>
          <w:tcPr>
            <w:tcW w:w="1436" w:type="dxa"/>
            <w:tcBorders>
              <w:top w:val="nil"/>
              <w:left w:val="nil"/>
              <w:bottom w:val="single" w:color="auto" w:sz="4" w:space="0"/>
              <w:right w:val="single" w:color="auto" w:sz="4" w:space="0"/>
            </w:tcBorders>
            <w:shd w:val="clear" w:color="auto" w:fill="auto"/>
            <w:noWrap/>
            <w:vAlign w:val="center"/>
          </w:tcPr>
          <w:p w14:paraId="09C9B6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571,627</w:t>
            </w:r>
          </w:p>
        </w:tc>
        <w:tc>
          <w:tcPr>
            <w:tcW w:w="1517" w:type="dxa"/>
            <w:tcBorders>
              <w:top w:val="nil"/>
              <w:left w:val="nil"/>
              <w:bottom w:val="single" w:color="auto" w:sz="4" w:space="0"/>
              <w:right w:val="single" w:color="auto" w:sz="4" w:space="0"/>
            </w:tcBorders>
            <w:shd w:val="clear" w:color="auto" w:fill="auto"/>
            <w:noWrap/>
            <w:vAlign w:val="center"/>
          </w:tcPr>
          <w:p w14:paraId="1A5CC66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540,962</w:t>
            </w:r>
          </w:p>
        </w:tc>
      </w:tr>
      <w:tr w14:paraId="1FE5F02F">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7A7C020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51" w:type="pct"/>
            <w:tcBorders>
              <w:top w:val="nil"/>
              <w:left w:val="nil"/>
              <w:bottom w:val="single" w:color="auto" w:sz="4" w:space="0"/>
              <w:right w:val="single" w:color="auto" w:sz="4" w:space="0"/>
            </w:tcBorders>
            <w:shd w:val="clear" w:color="auto" w:fill="auto"/>
            <w:noWrap/>
            <w:vAlign w:val="center"/>
          </w:tcPr>
          <w:p w14:paraId="02673CD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94" w:type="dxa"/>
            <w:tcBorders>
              <w:top w:val="nil"/>
              <w:left w:val="nil"/>
              <w:bottom w:val="single" w:color="auto" w:sz="4" w:space="0"/>
              <w:right w:val="single" w:color="auto" w:sz="4" w:space="0"/>
            </w:tcBorders>
            <w:shd w:val="clear" w:color="auto" w:fill="auto"/>
            <w:noWrap/>
            <w:vAlign w:val="center"/>
          </w:tcPr>
          <w:p w14:paraId="4D95935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288,097</w:t>
            </w:r>
          </w:p>
        </w:tc>
        <w:tc>
          <w:tcPr>
            <w:tcW w:w="1308" w:type="dxa"/>
            <w:tcBorders>
              <w:top w:val="nil"/>
              <w:left w:val="nil"/>
              <w:bottom w:val="single" w:color="auto" w:sz="4" w:space="0"/>
              <w:right w:val="single" w:color="auto" w:sz="4" w:space="0"/>
            </w:tcBorders>
            <w:shd w:val="clear" w:color="auto" w:fill="auto"/>
            <w:noWrap/>
            <w:vAlign w:val="center"/>
          </w:tcPr>
          <w:p w14:paraId="7E415F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365,918</w:t>
            </w:r>
          </w:p>
        </w:tc>
        <w:tc>
          <w:tcPr>
            <w:tcW w:w="1436" w:type="dxa"/>
            <w:tcBorders>
              <w:top w:val="nil"/>
              <w:left w:val="nil"/>
              <w:bottom w:val="single" w:color="auto" w:sz="4" w:space="0"/>
              <w:right w:val="single" w:color="auto" w:sz="4" w:space="0"/>
            </w:tcBorders>
            <w:shd w:val="clear" w:color="auto" w:fill="auto"/>
            <w:noWrap/>
            <w:vAlign w:val="center"/>
          </w:tcPr>
          <w:p w14:paraId="2CF595C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380,224</w:t>
            </w:r>
          </w:p>
        </w:tc>
        <w:tc>
          <w:tcPr>
            <w:tcW w:w="1517" w:type="dxa"/>
            <w:tcBorders>
              <w:top w:val="nil"/>
              <w:left w:val="nil"/>
              <w:bottom w:val="single" w:color="auto" w:sz="4" w:space="0"/>
              <w:right w:val="single" w:color="auto" w:sz="4" w:space="0"/>
            </w:tcBorders>
            <w:shd w:val="clear" w:color="auto" w:fill="auto"/>
            <w:noWrap/>
            <w:vAlign w:val="center"/>
          </w:tcPr>
          <w:p w14:paraId="64800FA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344,746</w:t>
            </w:r>
          </w:p>
        </w:tc>
      </w:tr>
      <w:tr w14:paraId="451E4702">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533C057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51" w:type="pct"/>
            <w:tcBorders>
              <w:top w:val="nil"/>
              <w:left w:val="nil"/>
              <w:bottom w:val="single" w:color="auto" w:sz="4" w:space="0"/>
              <w:right w:val="single" w:color="auto" w:sz="4" w:space="0"/>
            </w:tcBorders>
            <w:shd w:val="clear" w:color="auto" w:fill="auto"/>
            <w:noWrap/>
            <w:vAlign w:val="center"/>
          </w:tcPr>
          <w:p w14:paraId="40AB0152">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94" w:type="dxa"/>
            <w:tcBorders>
              <w:top w:val="nil"/>
              <w:left w:val="nil"/>
              <w:bottom w:val="single" w:color="auto" w:sz="4" w:space="0"/>
              <w:right w:val="single" w:color="auto" w:sz="4" w:space="0"/>
            </w:tcBorders>
            <w:shd w:val="clear" w:color="auto" w:fill="auto"/>
            <w:noWrap/>
            <w:vAlign w:val="center"/>
          </w:tcPr>
          <w:p w14:paraId="7B5E85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203,703</w:t>
            </w:r>
          </w:p>
        </w:tc>
        <w:tc>
          <w:tcPr>
            <w:tcW w:w="1308" w:type="dxa"/>
            <w:tcBorders>
              <w:top w:val="nil"/>
              <w:left w:val="nil"/>
              <w:bottom w:val="single" w:color="auto" w:sz="4" w:space="0"/>
              <w:right w:val="single" w:color="auto" w:sz="4" w:space="0"/>
            </w:tcBorders>
            <w:shd w:val="clear" w:color="auto" w:fill="auto"/>
            <w:noWrap/>
            <w:vAlign w:val="center"/>
          </w:tcPr>
          <w:p w14:paraId="7425EA6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213,591</w:t>
            </w:r>
          </w:p>
        </w:tc>
        <w:tc>
          <w:tcPr>
            <w:tcW w:w="1436" w:type="dxa"/>
            <w:tcBorders>
              <w:top w:val="nil"/>
              <w:left w:val="nil"/>
              <w:bottom w:val="single" w:color="auto" w:sz="4" w:space="0"/>
              <w:right w:val="single" w:color="auto" w:sz="4" w:space="0"/>
            </w:tcBorders>
            <w:shd w:val="clear" w:color="auto" w:fill="auto"/>
            <w:noWrap/>
            <w:vAlign w:val="center"/>
          </w:tcPr>
          <w:p w14:paraId="6D9E39D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214,265</w:t>
            </w:r>
          </w:p>
        </w:tc>
        <w:tc>
          <w:tcPr>
            <w:tcW w:w="1517" w:type="dxa"/>
            <w:tcBorders>
              <w:top w:val="nil"/>
              <w:left w:val="nil"/>
              <w:bottom w:val="single" w:color="auto" w:sz="4" w:space="0"/>
              <w:right w:val="single" w:color="auto" w:sz="4" w:space="0"/>
            </w:tcBorders>
            <w:shd w:val="clear" w:color="auto" w:fill="auto"/>
            <w:noWrap/>
            <w:vAlign w:val="center"/>
          </w:tcPr>
          <w:p w14:paraId="6A1F12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210,520</w:t>
            </w:r>
          </w:p>
        </w:tc>
      </w:tr>
      <w:tr w14:paraId="62F2D216">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3596DE9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51" w:type="pct"/>
            <w:tcBorders>
              <w:top w:val="nil"/>
              <w:left w:val="nil"/>
              <w:bottom w:val="single" w:color="auto" w:sz="4" w:space="0"/>
              <w:right w:val="single" w:color="auto" w:sz="4" w:space="0"/>
            </w:tcBorders>
            <w:shd w:val="clear" w:color="auto" w:fill="auto"/>
            <w:noWrap/>
            <w:vAlign w:val="center"/>
          </w:tcPr>
          <w:p w14:paraId="77E6DA1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94" w:type="dxa"/>
            <w:tcBorders>
              <w:top w:val="nil"/>
              <w:left w:val="nil"/>
              <w:bottom w:val="single" w:color="auto" w:sz="4" w:space="0"/>
              <w:right w:val="single" w:color="auto" w:sz="4" w:space="0"/>
            </w:tcBorders>
            <w:shd w:val="clear" w:color="auto" w:fill="auto"/>
            <w:noWrap/>
            <w:vAlign w:val="center"/>
          </w:tcPr>
          <w:p w14:paraId="6E489E6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84,394</w:t>
            </w:r>
          </w:p>
        </w:tc>
        <w:tc>
          <w:tcPr>
            <w:tcW w:w="1308" w:type="dxa"/>
            <w:tcBorders>
              <w:top w:val="nil"/>
              <w:left w:val="nil"/>
              <w:bottom w:val="single" w:color="auto" w:sz="4" w:space="0"/>
              <w:right w:val="single" w:color="auto" w:sz="4" w:space="0"/>
            </w:tcBorders>
            <w:shd w:val="clear" w:color="auto" w:fill="auto"/>
            <w:noWrap/>
            <w:vAlign w:val="center"/>
          </w:tcPr>
          <w:p w14:paraId="72F0F8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152,327</w:t>
            </w:r>
          </w:p>
        </w:tc>
        <w:tc>
          <w:tcPr>
            <w:tcW w:w="1436" w:type="dxa"/>
            <w:tcBorders>
              <w:top w:val="nil"/>
              <w:left w:val="nil"/>
              <w:bottom w:val="single" w:color="auto" w:sz="4" w:space="0"/>
              <w:right w:val="single" w:color="auto" w:sz="4" w:space="0"/>
            </w:tcBorders>
            <w:shd w:val="clear" w:color="auto" w:fill="auto"/>
            <w:noWrap/>
            <w:vAlign w:val="center"/>
          </w:tcPr>
          <w:p w14:paraId="216C04C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165,959</w:t>
            </w:r>
          </w:p>
        </w:tc>
        <w:tc>
          <w:tcPr>
            <w:tcW w:w="1517" w:type="dxa"/>
            <w:tcBorders>
              <w:top w:val="nil"/>
              <w:left w:val="nil"/>
              <w:bottom w:val="single" w:color="auto" w:sz="4" w:space="0"/>
              <w:right w:val="single" w:color="auto" w:sz="4" w:space="0"/>
            </w:tcBorders>
            <w:shd w:val="clear" w:color="auto" w:fill="auto"/>
            <w:noWrap/>
            <w:vAlign w:val="center"/>
          </w:tcPr>
          <w:p w14:paraId="4800D4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134,227</w:t>
            </w:r>
          </w:p>
        </w:tc>
      </w:tr>
      <w:tr w14:paraId="299F1A60">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187291DA">
            <w:pPr>
              <w:snapToGrid w:val="0"/>
              <w:spacing w:before="0" w:after="0"/>
              <w:ind w:left="0" w:right="0"/>
              <w:jc w:val="right"/>
              <w:rPr>
                <w:rFonts w:ascii="华文楷体" w:hAnsi="华文楷体" w:eastAsia="华文楷体" w:cs="宋体"/>
                <w:color w:val="000000"/>
                <w:sz w:val="18"/>
                <w:szCs w:val="18"/>
              </w:rPr>
            </w:pPr>
          </w:p>
        </w:tc>
        <w:tc>
          <w:tcPr>
            <w:tcW w:w="751" w:type="pct"/>
            <w:tcBorders>
              <w:top w:val="nil"/>
              <w:left w:val="nil"/>
              <w:bottom w:val="single" w:color="auto" w:sz="4" w:space="0"/>
              <w:right w:val="single" w:color="auto" w:sz="4" w:space="0"/>
            </w:tcBorders>
            <w:shd w:val="clear" w:color="auto" w:fill="auto"/>
            <w:noWrap/>
            <w:vAlign w:val="center"/>
          </w:tcPr>
          <w:p w14:paraId="7E521555">
            <w:pPr>
              <w:snapToGrid w:val="0"/>
              <w:spacing w:before="0" w:after="0"/>
              <w:ind w:left="0" w:right="0"/>
              <w:jc w:val="right"/>
              <w:rPr>
                <w:rFonts w:ascii="华文楷体" w:hAnsi="华文楷体" w:eastAsia="华文楷体" w:cs="宋体"/>
                <w:color w:val="000000"/>
                <w:sz w:val="18"/>
                <w:szCs w:val="18"/>
              </w:rPr>
            </w:pPr>
          </w:p>
        </w:tc>
        <w:tc>
          <w:tcPr>
            <w:tcW w:w="1294" w:type="dxa"/>
            <w:tcBorders>
              <w:top w:val="nil"/>
              <w:left w:val="nil"/>
              <w:bottom w:val="single" w:color="auto" w:sz="4" w:space="0"/>
              <w:right w:val="single" w:color="auto" w:sz="4" w:space="0"/>
            </w:tcBorders>
            <w:shd w:val="clear" w:color="auto" w:fill="auto"/>
            <w:noWrap/>
            <w:vAlign w:val="center"/>
          </w:tcPr>
          <w:p w14:paraId="2E096679">
            <w:pPr>
              <w:jc w:val="right"/>
              <w:rPr>
                <w:rFonts w:ascii="华文楷体" w:hAnsi="华文楷体" w:eastAsia="华文楷体" w:cs="宋体"/>
                <w:color w:val="000000"/>
                <w:sz w:val="18"/>
                <w:szCs w:val="18"/>
              </w:rPr>
            </w:pPr>
          </w:p>
        </w:tc>
        <w:tc>
          <w:tcPr>
            <w:tcW w:w="1308" w:type="dxa"/>
            <w:tcBorders>
              <w:top w:val="nil"/>
              <w:left w:val="nil"/>
              <w:bottom w:val="single" w:color="auto" w:sz="4" w:space="0"/>
              <w:right w:val="single" w:color="auto" w:sz="4" w:space="0"/>
            </w:tcBorders>
            <w:shd w:val="clear" w:color="auto" w:fill="auto"/>
            <w:noWrap/>
            <w:vAlign w:val="center"/>
          </w:tcPr>
          <w:p w14:paraId="39AD0EE4">
            <w:pPr>
              <w:jc w:val="right"/>
              <w:rPr>
                <w:rFonts w:ascii="华文楷体" w:hAnsi="华文楷体" w:eastAsia="华文楷体" w:cs="宋体"/>
                <w:color w:val="000000"/>
                <w:sz w:val="18"/>
                <w:szCs w:val="18"/>
              </w:rPr>
            </w:pPr>
          </w:p>
        </w:tc>
        <w:tc>
          <w:tcPr>
            <w:tcW w:w="1436" w:type="dxa"/>
            <w:tcBorders>
              <w:top w:val="nil"/>
              <w:left w:val="nil"/>
              <w:bottom w:val="single" w:color="auto" w:sz="4" w:space="0"/>
              <w:right w:val="single" w:color="auto" w:sz="4" w:space="0"/>
            </w:tcBorders>
            <w:shd w:val="clear" w:color="auto" w:fill="auto"/>
            <w:noWrap/>
            <w:vAlign w:val="center"/>
          </w:tcPr>
          <w:p w14:paraId="3F211FFD">
            <w:pPr>
              <w:jc w:val="right"/>
              <w:rPr>
                <w:rFonts w:ascii="华文楷体" w:hAnsi="华文楷体" w:eastAsia="华文楷体" w:cs="宋体"/>
                <w:color w:val="000000"/>
                <w:sz w:val="18"/>
                <w:szCs w:val="18"/>
              </w:rPr>
            </w:pPr>
          </w:p>
        </w:tc>
        <w:tc>
          <w:tcPr>
            <w:tcW w:w="1517" w:type="dxa"/>
            <w:tcBorders>
              <w:top w:val="nil"/>
              <w:left w:val="nil"/>
              <w:bottom w:val="single" w:color="auto" w:sz="4" w:space="0"/>
              <w:right w:val="single" w:color="auto" w:sz="4" w:space="0"/>
            </w:tcBorders>
            <w:shd w:val="clear" w:color="auto" w:fill="auto"/>
            <w:noWrap/>
            <w:vAlign w:val="center"/>
          </w:tcPr>
          <w:p w14:paraId="74D4FA9C">
            <w:pPr>
              <w:jc w:val="right"/>
              <w:rPr>
                <w:rFonts w:ascii="华文楷体" w:hAnsi="华文楷体" w:eastAsia="华文楷体" w:cs="宋体"/>
                <w:color w:val="000000"/>
                <w:sz w:val="18"/>
                <w:szCs w:val="18"/>
              </w:rPr>
            </w:pPr>
          </w:p>
        </w:tc>
      </w:tr>
      <w:tr w14:paraId="53AF77CC">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4F81BD"/>
            <w:noWrap/>
            <w:vAlign w:val="center"/>
          </w:tcPr>
          <w:p w14:paraId="57C3975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51" w:type="pct"/>
            <w:tcBorders>
              <w:top w:val="nil"/>
              <w:left w:val="nil"/>
              <w:bottom w:val="single" w:color="auto" w:sz="4" w:space="0"/>
              <w:right w:val="single" w:color="auto" w:sz="4" w:space="0"/>
            </w:tcBorders>
            <w:shd w:val="clear" w:color="auto" w:fill="4F81BD"/>
            <w:noWrap/>
            <w:vAlign w:val="center"/>
          </w:tcPr>
          <w:p w14:paraId="05919C8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94" w:type="dxa"/>
            <w:tcBorders>
              <w:top w:val="nil"/>
              <w:left w:val="nil"/>
              <w:bottom w:val="single" w:color="auto" w:sz="4" w:space="0"/>
              <w:right w:val="single" w:color="auto" w:sz="4" w:space="0"/>
            </w:tcBorders>
            <w:shd w:val="clear" w:color="auto" w:fill="4F81BD"/>
            <w:noWrap/>
            <w:vAlign w:val="center"/>
          </w:tcPr>
          <w:p w14:paraId="3E2DC7A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12.09%</w:t>
            </w:r>
          </w:p>
        </w:tc>
        <w:tc>
          <w:tcPr>
            <w:tcW w:w="1308" w:type="dxa"/>
            <w:tcBorders>
              <w:top w:val="nil"/>
              <w:left w:val="nil"/>
              <w:bottom w:val="single" w:color="auto" w:sz="4" w:space="0"/>
              <w:right w:val="single" w:color="auto" w:sz="4" w:space="0"/>
            </w:tcBorders>
            <w:shd w:val="clear" w:color="auto" w:fill="4F81BD"/>
            <w:noWrap/>
            <w:vAlign w:val="center"/>
          </w:tcPr>
          <w:p w14:paraId="7D51DDE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19.77%</w:t>
            </w:r>
          </w:p>
        </w:tc>
        <w:tc>
          <w:tcPr>
            <w:tcW w:w="1436" w:type="dxa"/>
            <w:tcBorders>
              <w:top w:val="nil"/>
              <w:left w:val="nil"/>
              <w:bottom w:val="single" w:color="auto" w:sz="4" w:space="0"/>
              <w:right w:val="single" w:color="auto" w:sz="4" w:space="0"/>
            </w:tcBorders>
            <w:shd w:val="clear" w:color="auto" w:fill="4F81BD"/>
            <w:noWrap/>
            <w:vAlign w:val="center"/>
          </w:tcPr>
          <w:p w14:paraId="48BB17F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21.12%</w:t>
            </w:r>
          </w:p>
        </w:tc>
        <w:tc>
          <w:tcPr>
            <w:tcW w:w="1517" w:type="dxa"/>
            <w:tcBorders>
              <w:top w:val="nil"/>
              <w:left w:val="nil"/>
              <w:bottom w:val="single" w:color="auto" w:sz="4" w:space="0"/>
              <w:right w:val="single" w:color="auto" w:sz="4" w:space="0"/>
            </w:tcBorders>
            <w:shd w:val="clear" w:color="auto" w:fill="4F81BD"/>
            <w:noWrap/>
            <w:vAlign w:val="center"/>
          </w:tcPr>
          <w:p w14:paraId="4C938DB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17.86%</w:t>
            </w:r>
          </w:p>
        </w:tc>
      </w:tr>
    </w:tbl>
    <w:p w14:paraId="0D93A54E">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tbl>
      <w:tblPr>
        <w:tblStyle w:val="29"/>
        <w:tblpPr w:leftFromText="180" w:rightFromText="180" w:horzAnchor="margin" w:tblpY="949"/>
        <w:tblW w:w="5000" w:type="pct"/>
        <w:tblInd w:w="0" w:type="dxa"/>
        <w:tblLayout w:type="autofit"/>
        <w:tblCellMar>
          <w:top w:w="0" w:type="dxa"/>
          <w:left w:w="108" w:type="dxa"/>
          <w:bottom w:w="0" w:type="dxa"/>
          <w:right w:w="108" w:type="dxa"/>
        </w:tblCellMar>
      </w:tblPr>
      <w:tblGrid>
        <w:gridCol w:w="1658"/>
        <w:gridCol w:w="1087"/>
        <w:gridCol w:w="1504"/>
        <w:gridCol w:w="1504"/>
        <w:gridCol w:w="1504"/>
        <w:gridCol w:w="1509"/>
      </w:tblGrid>
      <w:tr w14:paraId="5543EF12">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4394CCB">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11）Wuhu Jinmao Liquid Science &amp; Technology Co.,Ltd.</w:t>
            </w:r>
          </w:p>
        </w:tc>
      </w:tr>
      <w:tr w14:paraId="5E394F2C">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2A3771F6">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股票代码:835120</w:t>
            </w:r>
          </w:p>
        </w:tc>
        <w:tc>
          <w:tcPr>
            <w:tcW w:w="515" w:type="pct"/>
            <w:vMerge w:val="restart"/>
            <w:tcBorders>
              <w:top w:val="nil"/>
              <w:left w:val="single" w:color="auto" w:sz="4" w:space="0"/>
              <w:bottom w:val="single" w:color="auto" w:sz="4" w:space="0"/>
              <w:right w:val="single" w:color="auto" w:sz="4" w:space="0"/>
            </w:tcBorders>
            <w:shd w:val="clear" w:color="000000" w:fill="C6D9F1"/>
            <w:noWrap/>
            <w:vAlign w:val="center"/>
          </w:tcPr>
          <w:p w14:paraId="2C1BBDD7">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3F4EA1E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46A692C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7F59D766">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34A94E9B">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675C7034">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579F3408">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15" w:type="pct"/>
            <w:vMerge w:val="continue"/>
            <w:tcBorders>
              <w:top w:val="nil"/>
              <w:left w:val="single" w:color="auto" w:sz="4" w:space="0"/>
              <w:bottom w:val="single" w:color="auto" w:sz="4" w:space="0"/>
              <w:right w:val="single" w:color="auto" w:sz="4" w:space="0"/>
            </w:tcBorders>
            <w:vAlign w:val="center"/>
          </w:tcPr>
          <w:p w14:paraId="119C0A13">
            <w:pPr>
              <w:snapToGrid w:val="0"/>
              <w:spacing w:before="0" w:after="0"/>
              <w:ind w:left="0" w:right="0"/>
              <w:jc w:val="left"/>
              <w:rPr>
                <w:rFonts w:ascii="微软雅黑" w:hAnsi="微软雅黑" w:eastAsia="微软雅黑" w:cs="宋体"/>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2A3B3559">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C7A64E2">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E7D0BDE">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5E3D0E5A">
            <w:pPr>
              <w:snapToGrid w:val="0"/>
              <w:spacing w:before="0" w:after="0"/>
              <w:ind w:left="0" w:right="0"/>
              <w:jc w:val="left"/>
              <w:rPr>
                <w:rFonts w:ascii="微软雅黑" w:hAnsi="微软雅黑" w:eastAsia="微软雅黑" w:cs="宋体"/>
                <w:b/>
                <w:bCs/>
                <w:sz w:val="18"/>
                <w:szCs w:val="18"/>
              </w:rPr>
            </w:pPr>
          </w:p>
        </w:tc>
      </w:tr>
      <w:tr w14:paraId="70CFC514">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0496F1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15" w:type="pct"/>
            <w:tcBorders>
              <w:top w:val="nil"/>
              <w:left w:val="nil"/>
              <w:bottom w:val="single" w:color="auto" w:sz="4" w:space="0"/>
              <w:right w:val="single" w:color="auto" w:sz="4" w:space="0"/>
            </w:tcBorders>
            <w:shd w:val="clear" w:color="auto" w:fill="auto"/>
            <w:noWrap/>
            <w:vAlign w:val="center"/>
          </w:tcPr>
          <w:p w14:paraId="7C382E1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79" w:type="pct"/>
            <w:tcBorders>
              <w:top w:val="nil"/>
              <w:left w:val="nil"/>
              <w:bottom w:val="single" w:color="auto" w:sz="4" w:space="0"/>
              <w:right w:val="single" w:color="auto" w:sz="4" w:space="0"/>
            </w:tcBorders>
            <w:shd w:val="clear" w:color="auto" w:fill="auto"/>
            <w:noWrap/>
            <w:vAlign w:val="center"/>
          </w:tcPr>
          <w:p w14:paraId="124CBC3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200,506</w:t>
            </w:r>
          </w:p>
        </w:tc>
        <w:tc>
          <w:tcPr>
            <w:tcW w:w="879" w:type="pct"/>
            <w:tcBorders>
              <w:top w:val="nil"/>
              <w:left w:val="nil"/>
              <w:bottom w:val="single" w:color="auto" w:sz="4" w:space="0"/>
              <w:right w:val="single" w:color="auto" w:sz="4" w:space="0"/>
            </w:tcBorders>
            <w:shd w:val="clear" w:color="auto" w:fill="auto"/>
            <w:noWrap/>
            <w:vAlign w:val="center"/>
          </w:tcPr>
          <w:p w14:paraId="24DD42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210,204</w:t>
            </w:r>
          </w:p>
        </w:tc>
        <w:tc>
          <w:tcPr>
            <w:tcW w:w="879" w:type="pct"/>
            <w:tcBorders>
              <w:top w:val="nil"/>
              <w:left w:val="nil"/>
              <w:bottom w:val="single" w:color="auto" w:sz="4" w:space="0"/>
              <w:right w:val="single" w:color="auto" w:sz="4" w:space="0"/>
            </w:tcBorders>
            <w:shd w:val="clear" w:color="auto" w:fill="auto"/>
            <w:noWrap/>
            <w:vAlign w:val="center"/>
          </w:tcPr>
          <w:p w14:paraId="5754BA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208,067</w:t>
            </w:r>
          </w:p>
        </w:tc>
        <w:tc>
          <w:tcPr>
            <w:tcW w:w="879" w:type="pct"/>
            <w:tcBorders>
              <w:top w:val="nil"/>
              <w:left w:val="nil"/>
              <w:bottom w:val="single" w:color="auto" w:sz="4" w:space="0"/>
              <w:right w:val="single" w:color="auto" w:sz="4" w:space="0"/>
            </w:tcBorders>
            <w:shd w:val="clear" w:color="auto" w:fill="auto"/>
            <w:noWrap/>
            <w:vAlign w:val="center"/>
          </w:tcPr>
          <w:p w14:paraId="6875231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206,259</w:t>
            </w:r>
          </w:p>
        </w:tc>
      </w:tr>
      <w:tr w14:paraId="2440FFAF">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DC8720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15" w:type="pct"/>
            <w:tcBorders>
              <w:top w:val="nil"/>
              <w:left w:val="nil"/>
              <w:bottom w:val="single" w:color="auto" w:sz="4" w:space="0"/>
              <w:right w:val="single" w:color="auto" w:sz="4" w:space="0"/>
            </w:tcBorders>
            <w:shd w:val="clear" w:color="auto" w:fill="auto"/>
            <w:noWrap/>
            <w:vAlign w:val="center"/>
          </w:tcPr>
          <w:p w14:paraId="3DCC11D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79" w:type="pct"/>
            <w:tcBorders>
              <w:top w:val="nil"/>
              <w:left w:val="nil"/>
              <w:bottom w:val="single" w:color="auto" w:sz="4" w:space="0"/>
              <w:right w:val="single" w:color="auto" w:sz="4" w:space="0"/>
            </w:tcBorders>
            <w:shd w:val="clear" w:color="auto" w:fill="auto"/>
            <w:noWrap/>
            <w:vAlign w:val="center"/>
          </w:tcPr>
          <w:p w14:paraId="58D5836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137,757</w:t>
            </w:r>
          </w:p>
        </w:tc>
        <w:tc>
          <w:tcPr>
            <w:tcW w:w="879" w:type="pct"/>
            <w:tcBorders>
              <w:top w:val="nil"/>
              <w:left w:val="nil"/>
              <w:bottom w:val="single" w:color="auto" w:sz="4" w:space="0"/>
              <w:right w:val="single" w:color="auto" w:sz="4" w:space="0"/>
            </w:tcBorders>
            <w:shd w:val="clear" w:color="auto" w:fill="auto"/>
            <w:noWrap/>
            <w:vAlign w:val="center"/>
          </w:tcPr>
          <w:p w14:paraId="121FE56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128,473</w:t>
            </w:r>
          </w:p>
        </w:tc>
        <w:tc>
          <w:tcPr>
            <w:tcW w:w="879" w:type="pct"/>
            <w:tcBorders>
              <w:top w:val="nil"/>
              <w:left w:val="nil"/>
              <w:bottom w:val="single" w:color="auto" w:sz="4" w:space="0"/>
              <w:right w:val="single" w:color="auto" w:sz="4" w:space="0"/>
            </w:tcBorders>
            <w:shd w:val="clear" w:color="auto" w:fill="auto"/>
            <w:noWrap/>
            <w:vAlign w:val="center"/>
          </w:tcPr>
          <w:p w14:paraId="6CAFB2F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143,660</w:t>
            </w:r>
          </w:p>
        </w:tc>
        <w:tc>
          <w:tcPr>
            <w:tcW w:w="879" w:type="pct"/>
            <w:tcBorders>
              <w:top w:val="nil"/>
              <w:left w:val="nil"/>
              <w:bottom w:val="single" w:color="auto" w:sz="4" w:space="0"/>
              <w:right w:val="single" w:color="auto" w:sz="4" w:space="0"/>
            </w:tcBorders>
            <w:shd w:val="clear" w:color="auto" w:fill="auto"/>
            <w:noWrap/>
            <w:vAlign w:val="center"/>
          </w:tcPr>
          <w:p w14:paraId="2B70DFA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136,630</w:t>
            </w:r>
          </w:p>
        </w:tc>
      </w:tr>
      <w:tr w14:paraId="356B17CE">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C9D934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15" w:type="pct"/>
            <w:tcBorders>
              <w:top w:val="nil"/>
              <w:left w:val="nil"/>
              <w:bottom w:val="single" w:color="auto" w:sz="4" w:space="0"/>
              <w:right w:val="single" w:color="auto" w:sz="4" w:space="0"/>
            </w:tcBorders>
            <w:shd w:val="clear" w:color="auto" w:fill="auto"/>
            <w:noWrap/>
            <w:vAlign w:val="center"/>
          </w:tcPr>
          <w:p w14:paraId="7427AED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79" w:type="pct"/>
            <w:tcBorders>
              <w:top w:val="nil"/>
              <w:left w:val="nil"/>
              <w:bottom w:val="single" w:color="auto" w:sz="4" w:space="0"/>
              <w:right w:val="single" w:color="auto" w:sz="4" w:space="0"/>
            </w:tcBorders>
            <w:shd w:val="clear" w:color="auto" w:fill="auto"/>
            <w:noWrap/>
            <w:vAlign w:val="center"/>
          </w:tcPr>
          <w:p w14:paraId="316B097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62,749</w:t>
            </w:r>
          </w:p>
        </w:tc>
        <w:tc>
          <w:tcPr>
            <w:tcW w:w="879" w:type="pct"/>
            <w:tcBorders>
              <w:top w:val="nil"/>
              <w:left w:val="nil"/>
              <w:bottom w:val="single" w:color="auto" w:sz="4" w:space="0"/>
              <w:right w:val="single" w:color="auto" w:sz="4" w:space="0"/>
            </w:tcBorders>
            <w:shd w:val="clear" w:color="auto" w:fill="auto"/>
            <w:noWrap/>
            <w:vAlign w:val="center"/>
          </w:tcPr>
          <w:p w14:paraId="72568C8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81,731</w:t>
            </w:r>
          </w:p>
        </w:tc>
        <w:tc>
          <w:tcPr>
            <w:tcW w:w="879" w:type="pct"/>
            <w:tcBorders>
              <w:top w:val="nil"/>
              <w:left w:val="nil"/>
              <w:bottom w:val="single" w:color="auto" w:sz="4" w:space="0"/>
              <w:right w:val="single" w:color="auto" w:sz="4" w:space="0"/>
            </w:tcBorders>
            <w:shd w:val="clear" w:color="auto" w:fill="auto"/>
            <w:noWrap/>
            <w:vAlign w:val="center"/>
          </w:tcPr>
          <w:p w14:paraId="7D599A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64,407</w:t>
            </w:r>
          </w:p>
        </w:tc>
        <w:tc>
          <w:tcPr>
            <w:tcW w:w="879" w:type="pct"/>
            <w:tcBorders>
              <w:top w:val="nil"/>
              <w:left w:val="nil"/>
              <w:bottom w:val="single" w:color="auto" w:sz="4" w:space="0"/>
              <w:right w:val="single" w:color="auto" w:sz="4" w:space="0"/>
            </w:tcBorders>
            <w:shd w:val="clear" w:color="auto" w:fill="auto"/>
            <w:noWrap/>
            <w:vAlign w:val="center"/>
          </w:tcPr>
          <w:p w14:paraId="7199D4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69,629</w:t>
            </w:r>
          </w:p>
        </w:tc>
      </w:tr>
      <w:tr w14:paraId="3B9C6ACF">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87D076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15" w:type="pct"/>
            <w:tcBorders>
              <w:top w:val="nil"/>
              <w:left w:val="nil"/>
              <w:bottom w:val="single" w:color="auto" w:sz="4" w:space="0"/>
              <w:right w:val="single" w:color="auto" w:sz="4" w:space="0"/>
            </w:tcBorders>
            <w:shd w:val="clear" w:color="auto" w:fill="auto"/>
            <w:noWrap/>
            <w:vAlign w:val="center"/>
          </w:tcPr>
          <w:p w14:paraId="1F913AB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79" w:type="pct"/>
            <w:tcBorders>
              <w:top w:val="nil"/>
              <w:left w:val="nil"/>
              <w:bottom w:val="single" w:color="auto" w:sz="4" w:space="0"/>
              <w:right w:val="single" w:color="auto" w:sz="4" w:space="0"/>
            </w:tcBorders>
            <w:shd w:val="clear" w:color="auto" w:fill="auto"/>
            <w:noWrap/>
            <w:vAlign w:val="center"/>
          </w:tcPr>
          <w:p w14:paraId="2186E2A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56,197</w:t>
            </w:r>
          </w:p>
        </w:tc>
        <w:tc>
          <w:tcPr>
            <w:tcW w:w="879" w:type="pct"/>
            <w:tcBorders>
              <w:top w:val="nil"/>
              <w:left w:val="nil"/>
              <w:bottom w:val="single" w:color="auto" w:sz="4" w:space="0"/>
              <w:right w:val="single" w:color="auto" w:sz="4" w:space="0"/>
            </w:tcBorders>
            <w:shd w:val="clear" w:color="auto" w:fill="auto"/>
            <w:noWrap/>
            <w:vAlign w:val="center"/>
          </w:tcPr>
          <w:p w14:paraId="4EB164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81,942</w:t>
            </w:r>
          </w:p>
        </w:tc>
        <w:tc>
          <w:tcPr>
            <w:tcW w:w="879" w:type="pct"/>
            <w:tcBorders>
              <w:top w:val="nil"/>
              <w:left w:val="nil"/>
              <w:bottom w:val="single" w:color="auto" w:sz="4" w:space="0"/>
              <w:right w:val="single" w:color="auto" w:sz="4" w:space="0"/>
            </w:tcBorders>
            <w:shd w:val="clear" w:color="auto" w:fill="auto"/>
            <w:noWrap/>
            <w:vAlign w:val="center"/>
          </w:tcPr>
          <w:p w14:paraId="0672016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69,650</w:t>
            </w:r>
          </w:p>
        </w:tc>
        <w:tc>
          <w:tcPr>
            <w:tcW w:w="879" w:type="pct"/>
            <w:tcBorders>
              <w:top w:val="nil"/>
              <w:left w:val="nil"/>
              <w:bottom w:val="single" w:color="auto" w:sz="4" w:space="0"/>
              <w:right w:val="single" w:color="auto" w:sz="4" w:space="0"/>
            </w:tcBorders>
            <w:shd w:val="clear" w:color="auto" w:fill="auto"/>
            <w:noWrap/>
            <w:vAlign w:val="center"/>
          </w:tcPr>
          <w:p w14:paraId="5EAD5B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69,263</w:t>
            </w:r>
          </w:p>
        </w:tc>
      </w:tr>
      <w:tr w14:paraId="2C494440">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7ABA663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15" w:type="pct"/>
            <w:tcBorders>
              <w:top w:val="nil"/>
              <w:left w:val="nil"/>
              <w:bottom w:val="single" w:color="auto" w:sz="4" w:space="0"/>
              <w:right w:val="single" w:color="auto" w:sz="4" w:space="0"/>
            </w:tcBorders>
            <w:shd w:val="clear" w:color="auto" w:fill="auto"/>
            <w:noWrap/>
            <w:vAlign w:val="center"/>
          </w:tcPr>
          <w:p w14:paraId="5BEFE56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79" w:type="pct"/>
            <w:tcBorders>
              <w:top w:val="nil"/>
              <w:left w:val="nil"/>
              <w:bottom w:val="single" w:color="auto" w:sz="4" w:space="0"/>
              <w:right w:val="single" w:color="auto" w:sz="4" w:space="0"/>
            </w:tcBorders>
            <w:shd w:val="clear" w:color="auto" w:fill="auto"/>
            <w:noWrap/>
            <w:vAlign w:val="center"/>
          </w:tcPr>
          <w:p w14:paraId="1D3FAA4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6,552</w:t>
            </w:r>
          </w:p>
        </w:tc>
        <w:tc>
          <w:tcPr>
            <w:tcW w:w="879" w:type="pct"/>
            <w:tcBorders>
              <w:top w:val="nil"/>
              <w:left w:val="nil"/>
              <w:bottom w:val="single" w:color="auto" w:sz="4" w:space="0"/>
              <w:right w:val="single" w:color="auto" w:sz="4" w:space="0"/>
            </w:tcBorders>
            <w:shd w:val="clear" w:color="auto" w:fill="auto"/>
            <w:noWrap/>
            <w:vAlign w:val="center"/>
          </w:tcPr>
          <w:p w14:paraId="2E736E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-211</w:t>
            </w:r>
          </w:p>
        </w:tc>
        <w:tc>
          <w:tcPr>
            <w:tcW w:w="879" w:type="pct"/>
            <w:tcBorders>
              <w:top w:val="nil"/>
              <w:left w:val="nil"/>
              <w:bottom w:val="single" w:color="auto" w:sz="4" w:space="0"/>
              <w:right w:val="single" w:color="auto" w:sz="4" w:space="0"/>
            </w:tcBorders>
            <w:shd w:val="clear" w:color="auto" w:fill="auto"/>
            <w:noWrap/>
            <w:vAlign w:val="center"/>
          </w:tcPr>
          <w:p w14:paraId="1D69043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-5,243</w:t>
            </w:r>
          </w:p>
        </w:tc>
        <w:tc>
          <w:tcPr>
            <w:tcW w:w="879" w:type="pct"/>
            <w:tcBorders>
              <w:top w:val="nil"/>
              <w:left w:val="nil"/>
              <w:bottom w:val="single" w:color="auto" w:sz="4" w:space="0"/>
              <w:right w:val="single" w:color="auto" w:sz="4" w:space="0"/>
            </w:tcBorders>
            <w:shd w:val="clear" w:color="auto" w:fill="auto"/>
            <w:noWrap/>
            <w:vAlign w:val="center"/>
          </w:tcPr>
          <w:p w14:paraId="60D37C0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366</w:t>
            </w:r>
          </w:p>
        </w:tc>
      </w:tr>
      <w:tr w14:paraId="467F7C27">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11CC17D4">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15" w:type="pct"/>
            <w:tcBorders>
              <w:top w:val="nil"/>
              <w:left w:val="nil"/>
              <w:bottom w:val="single" w:color="auto" w:sz="4" w:space="0"/>
              <w:right w:val="single" w:color="auto" w:sz="4" w:space="0"/>
            </w:tcBorders>
            <w:shd w:val="clear" w:color="auto" w:fill="auto"/>
            <w:noWrap/>
            <w:vAlign w:val="center"/>
          </w:tcPr>
          <w:p w14:paraId="5DBAEBEB">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79" w:type="pct"/>
            <w:tcBorders>
              <w:top w:val="nil"/>
              <w:left w:val="nil"/>
              <w:bottom w:val="single" w:color="auto" w:sz="4" w:space="0"/>
              <w:right w:val="single" w:color="auto" w:sz="4" w:space="0"/>
            </w:tcBorders>
            <w:shd w:val="clear" w:color="auto" w:fill="auto"/>
            <w:noWrap/>
            <w:vAlign w:val="center"/>
          </w:tcPr>
          <w:p w14:paraId="66F97048">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A55792A">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C15EF2B">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4084ECDC">
            <w:pPr>
              <w:jc w:val="right"/>
              <w:rPr>
                <w:rFonts w:ascii="华文楷体" w:hAnsi="华文楷体" w:eastAsia="华文楷体" w:cs="宋体"/>
                <w:color w:val="000000"/>
                <w:sz w:val="18"/>
                <w:szCs w:val="18"/>
              </w:rPr>
            </w:pPr>
          </w:p>
        </w:tc>
      </w:tr>
      <w:tr w14:paraId="34423E79">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4F81BD"/>
            <w:noWrap/>
            <w:vAlign w:val="center"/>
          </w:tcPr>
          <w:p w14:paraId="23CAC1E8">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15" w:type="pct"/>
            <w:tcBorders>
              <w:top w:val="nil"/>
              <w:left w:val="nil"/>
              <w:bottom w:val="single" w:color="auto" w:sz="4" w:space="0"/>
              <w:right w:val="single" w:color="auto" w:sz="4" w:space="0"/>
            </w:tcBorders>
            <w:shd w:val="clear" w:color="auto" w:fill="4F81BD"/>
            <w:noWrap/>
            <w:vAlign w:val="center"/>
          </w:tcPr>
          <w:p w14:paraId="347D9DAD">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79" w:type="pct"/>
            <w:tcBorders>
              <w:top w:val="nil"/>
              <w:left w:val="nil"/>
              <w:bottom w:val="single" w:color="auto" w:sz="4" w:space="0"/>
              <w:right w:val="single" w:color="auto" w:sz="4" w:space="0"/>
            </w:tcBorders>
            <w:shd w:val="clear" w:color="auto" w:fill="4F81BD"/>
            <w:noWrap/>
            <w:vAlign w:val="center"/>
          </w:tcPr>
          <w:p w14:paraId="5216B8C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3.38%</w:t>
            </w:r>
          </w:p>
        </w:tc>
        <w:tc>
          <w:tcPr>
            <w:tcW w:w="879" w:type="pct"/>
            <w:tcBorders>
              <w:top w:val="nil"/>
              <w:left w:val="nil"/>
              <w:bottom w:val="single" w:color="auto" w:sz="4" w:space="0"/>
              <w:right w:val="single" w:color="auto" w:sz="4" w:space="0"/>
            </w:tcBorders>
            <w:shd w:val="clear" w:color="auto" w:fill="4F81BD"/>
            <w:noWrap/>
            <w:vAlign w:val="center"/>
          </w:tcPr>
          <w:p w14:paraId="4CBACC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-0.10%</w:t>
            </w:r>
          </w:p>
        </w:tc>
        <w:tc>
          <w:tcPr>
            <w:tcW w:w="879" w:type="pct"/>
            <w:tcBorders>
              <w:top w:val="nil"/>
              <w:left w:val="nil"/>
              <w:bottom w:val="single" w:color="auto" w:sz="4" w:space="0"/>
              <w:right w:val="single" w:color="auto" w:sz="4" w:space="0"/>
            </w:tcBorders>
            <w:shd w:val="clear" w:color="auto" w:fill="4F81BD"/>
            <w:noWrap/>
            <w:vAlign w:val="center"/>
          </w:tcPr>
          <w:p w14:paraId="3537FB8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-2.46%</w:t>
            </w:r>
          </w:p>
        </w:tc>
        <w:tc>
          <w:tcPr>
            <w:tcW w:w="879" w:type="pct"/>
            <w:tcBorders>
              <w:top w:val="nil"/>
              <w:left w:val="nil"/>
              <w:bottom w:val="single" w:color="auto" w:sz="4" w:space="0"/>
              <w:right w:val="single" w:color="auto" w:sz="4" w:space="0"/>
            </w:tcBorders>
            <w:shd w:val="clear" w:color="auto" w:fill="4F81BD"/>
            <w:noWrap/>
            <w:vAlign w:val="center"/>
          </w:tcPr>
          <w:p w14:paraId="3FB8EBF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0.18%</w:t>
            </w:r>
          </w:p>
        </w:tc>
      </w:tr>
    </w:tbl>
    <w:p w14:paraId="6C638192">
      <w:pPr>
        <w:snapToGrid w:val="0"/>
        <w:ind w:left="0"/>
        <w:rPr>
          <w:rFonts w:ascii="Arial" w:hAnsi="Arial" w:eastAsia="微软雅黑" w:cs="Arial"/>
          <w:b/>
          <w:bCs/>
          <w:color w:val="3F9C35"/>
          <w:sz w:val="28"/>
          <w:szCs w:val="22"/>
          <w:highlight w:val="yellow"/>
        </w:rPr>
      </w:pPr>
    </w:p>
    <w:p w14:paraId="406EA12B">
      <w:pPr>
        <w:snapToGrid w:val="0"/>
        <w:ind w:left="0"/>
        <w:rPr>
          <w:rFonts w:ascii="Arial" w:hAnsi="Arial" w:eastAsia="微软雅黑" w:cs="Arial"/>
          <w:b/>
          <w:bCs/>
          <w:color w:val="3F9C35"/>
          <w:sz w:val="28"/>
          <w:szCs w:val="22"/>
          <w:highlight w:val="yellow"/>
        </w:rPr>
      </w:pPr>
    </w:p>
    <w:p w14:paraId="6F29D472">
      <w:pPr>
        <w:snapToGrid w:val="0"/>
        <w:ind w:left="0"/>
        <w:rPr>
          <w:rFonts w:ascii="Arial" w:hAnsi="Arial" w:eastAsia="微软雅黑" w:cs="Arial"/>
          <w:b/>
          <w:bCs/>
          <w:color w:val="3F9C35"/>
          <w:sz w:val="28"/>
          <w:szCs w:val="22"/>
          <w:highlight w:val="yellow"/>
        </w:rPr>
      </w:pPr>
    </w:p>
    <w:p w14:paraId="32C813D9">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984"/>
        <w:gridCol w:w="1210"/>
        <w:gridCol w:w="1252"/>
        <w:gridCol w:w="1346"/>
        <w:gridCol w:w="1347"/>
        <w:gridCol w:w="1627"/>
      </w:tblGrid>
      <w:tr w14:paraId="77943616">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0AE3E2E">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12）Kunshan Viza Valve Co., LTD</w:t>
            </w:r>
          </w:p>
        </w:tc>
      </w:tr>
      <w:tr w14:paraId="775634B7">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000000" w:fill="C6D9F1"/>
            <w:noWrap/>
            <w:vAlign w:val="center"/>
          </w:tcPr>
          <w:p w14:paraId="0BEBDFDC">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股票代码:874407</w:t>
            </w:r>
          </w:p>
        </w:tc>
        <w:tc>
          <w:tcPr>
            <w:tcW w:w="691" w:type="pct"/>
            <w:vMerge w:val="restart"/>
            <w:tcBorders>
              <w:top w:val="nil"/>
              <w:left w:val="single" w:color="auto" w:sz="4" w:space="0"/>
              <w:bottom w:val="single" w:color="auto" w:sz="4" w:space="0"/>
              <w:right w:val="single" w:color="auto" w:sz="4" w:space="0"/>
            </w:tcBorders>
            <w:shd w:val="clear" w:color="000000" w:fill="C6D9F1"/>
            <w:noWrap/>
            <w:vAlign w:val="center"/>
          </w:tcPr>
          <w:p w14:paraId="72F7A3C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14" w:type="pct"/>
            <w:vMerge w:val="restart"/>
            <w:tcBorders>
              <w:top w:val="nil"/>
              <w:left w:val="single" w:color="auto" w:sz="4" w:space="0"/>
              <w:bottom w:val="single" w:color="auto" w:sz="4" w:space="0"/>
              <w:right w:val="single" w:color="auto" w:sz="4" w:space="0"/>
            </w:tcBorders>
            <w:shd w:val="clear" w:color="000000" w:fill="C6D9F1"/>
            <w:noWrap/>
            <w:vAlign w:val="center"/>
          </w:tcPr>
          <w:p w14:paraId="2152231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68" w:type="pct"/>
            <w:vMerge w:val="restart"/>
            <w:tcBorders>
              <w:top w:val="nil"/>
              <w:left w:val="single" w:color="auto" w:sz="4" w:space="0"/>
              <w:bottom w:val="single" w:color="auto" w:sz="4" w:space="0"/>
              <w:right w:val="single" w:color="auto" w:sz="4" w:space="0"/>
            </w:tcBorders>
            <w:shd w:val="clear" w:color="000000" w:fill="C6D9F1"/>
            <w:noWrap/>
            <w:vAlign w:val="center"/>
          </w:tcPr>
          <w:p w14:paraId="67190C7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68" w:type="pct"/>
            <w:vMerge w:val="restart"/>
            <w:tcBorders>
              <w:top w:val="nil"/>
              <w:left w:val="single" w:color="auto" w:sz="4" w:space="0"/>
              <w:bottom w:val="single" w:color="auto" w:sz="4" w:space="0"/>
              <w:right w:val="single" w:color="auto" w:sz="4" w:space="0"/>
            </w:tcBorders>
            <w:shd w:val="clear" w:color="000000" w:fill="C6D9F1"/>
            <w:noWrap/>
            <w:vAlign w:val="center"/>
          </w:tcPr>
          <w:p w14:paraId="4700D6C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7" w:type="pct"/>
            <w:vMerge w:val="restart"/>
            <w:tcBorders>
              <w:top w:val="nil"/>
              <w:left w:val="single" w:color="auto" w:sz="4" w:space="0"/>
              <w:bottom w:val="single" w:color="auto" w:sz="4" w:space="0"/>
              <w:right w:val="single" w:color="auto" w:sz="4" w:space="0"/>
            </w:tcBorders>
            <w:shd w:val="clear" w:color="000000" w:fill="C6D9F1"/>
            <w:noWrap/>
            <w:vAlign w:val="center"/>
          </w:tcPr>
          <w:p w14:paraId="063D439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CE37003">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000000" w:fill="C6D9F1"/>
            <w:noWrap/>
            <w:vAlign w:val="center"/>
          </w:tcPr>
          <w:p w14:paraId="41315A46">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91" w:type="pct"/>
            <w:vMerge w:val="continue"/>
            <w:tcBorders>
              <w:top w:val="nil"/>
              <w:left w:val="single" w:color="auto" w:sz="4" w:space="0"/>
              <w:bottom w:val="single" w:color="auto" w:sz="4" w:space="0"/>
              <w:right w:val="single" w:color="auto" w:sz="4" w:space="0"/>
            </w:tcBorders>
            <w:vAlign w:val="center"/>
          </w:tcPr>
          <w:p w14:paraId="1D610AC5">
            <w:pPr>
              <w:snapToGrid w:val="0"/>
              <w:spacing w:before="0" w:after="0"/>
              <w:ind w:left="0" w:right="0"/>
              <w:jc w:val="left"/>
              <w:rPr>
                <w:rFonts w:ascii="微软雅黑" w:hAnsi="微软雅黑" w:eastAsia="微软雅黑" w:cs="宋体"/>
                <w:b/>
                <w:bCs/>
                <w:sz w:val="18"/>
                <w:szCs w:val="18"/>
              </w:rPr>
            </w:pPr>
          </w:p>
        </w:tc>
        <w:tc>
          <w:tcPr>
            <w:tcW w:w="714" w:type="pct"/>
            <w:vMerge w:val="continue"/>
            <w:tcBorders>
              <w:top w:val="nil"/>
              <w:left w:val="single" w:color="auto" w:sz="4" w:space="0"/>
              <w:bottom w:val="single" w:color="auto" w:sz="4" w:space="0"/>
              <w:right w:val="single" w:color="auto" w:sz="4" w:space="0"/>
            </w:tcBorders>
            <w:vAlign w:val="center"/>
          </w:tcPr>
          <w:p w14:paraId="2EE6EB27">
            <w:pPr>
              <w:snapToGrid w:val="0"/>
              <w:spacing w:before="0" w:after="0"/>
              <w:ind w:left="0" w:right="0"/>
              <w:jc w:val="left"/>
              <w:rPr>
                <w:rFonts w:ascii="Arial" w:hAnsi="Arial" w:eastAsia="等线" w:cs="Arial"/>
                <w:b/>
                <w:bCs/>
                <w:sz w:val="18"/>
                <w:szCs w:val="18"/>
              </w:rPr>
            </w:pPr>
          </w:p>
        </w:tc>
        <w:tc>
          <w:tcPr>
            <w:tcW w:w="768" w:type="pct"/>
            <w:vMerge w:val="continue"/>
            <w:tcBorders>
              <w:top w:val="nil"/>
              <w:left w:val="single" w:color="auto" w:sz="4" w:space="0"/>
              <w:bottom w:val="single" w:color="auto" w:sz="4" w:space="0"/>
              <w:right w:val="single" w:color="auto" w:sz="4" w:space="0"/>
            </w:tcBorders>
            <w:vAlign w:val="center"/>
          </w:tcPr>
          <w:p w14:paraId="6BD80ADC">
            <w:pPr>
              <w:snapToGrid w:val="0"/>
              <w:spacing w:before="0" w:after="0"/>
              <w:ind w:left="0" w:right="0"/>
              <w:jc w:val="left"/>
              <w:rPr>
                <w:rFonts w:ascii="Arial" w:hAnsi="Arial" w:eastAsia="等线" w:cs="Arial"/>
                <w:b/>
                <w:bCs/>
                <w:sz w:val="18"/>
                <w:szCs w:val="18"/>
              </w:rPr>
            </w:pPr>
          </w:p>
        </w:tc>
        <w:tc>
          <w:tcPr>
            <w:tcW w:w="768" w:type="pct"/>
            <w:vMerge w:val="continue"/>
            <w:tcBorders>
              <w:top w:val="nil"/>
              <w:left w:val="single" w:color="auto" w:sz="4" w:space="0"/>
              <w:bottom w:val="single" w:color="auto" w:sz="4" w:space="0"/>
              <w:right w:val="single" w:color="auto" w:sz="4" w:space="0"/>
            </w:tcBorders>
            <w:vAlign w:val="center"/>
          </w:tcPr>
          <w:p w14:paraId="5A259600">
            <w:pPr>
              <w:snapToGrid w:val="0"/>
              <w:spacing w:before="0" w:after="0"/>
              <w:ind w:left="0" w:right="0"/>
              <w:jc w:val="left"/>
              <w:rPr>
                <w:rFonts w:ascii="Arial" w:hAnsi="Arial" w:eastAsia="等线" w:cs="Arial"/>
                <w:b/>
                <w:bCs/>
                <w:sz w:val="18"/>
                <w:szCs w:val="18"/>
              </w:rPr>
            </w:pPr>
          </w:p>
        </w:tc>
        <w:tc>
          <w:tcPr>
            <w:tcW w:w="927" w:type="pct"/>
            <w:vMerge w:val="continue"/>
            <w:tcBorders>
              <w:top w:val="nil"/>
              <w:left w:val="single" w:color="auto" w:sz="4" w:space="0"/>
              <w:bottom w:val="single" w:color="auto" w:sz="4" w:space="0"/>
              <w:right w:val="single" w:color="auto" w:sz="4" w:space="0"/>
            </w:tcBorders>
            <w:vAlign w:val="center"/>
          </w:tcPr>
          <w:p w14:paraId="6EF87668">
            <w:pPr>
              <w:snapToGrid w:val="0"/>
              <w:spacing w:before="0" w:after="0"/>
              <w:ind w:left="0" w:right="0"/>
              <w:jc w:val="left"/>
              <w:rPr>
                <w:rFonts w:ascii="微软雅黑" w:hAnsi="微软雅黑" w:eastAsia="微软雅黑" w:cs="宋体"/>
                <w:b/>
                <w:bCs/>
                <w:sz w:val="18"/>
                <w:szCs w:val="18"/>
              </w:rPr>
            </w:pPr>
          </w:p>
        </w:tc>
      </w:tr>
      <w:tr w14:paraId="1F4E289D">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4C4D033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91" w:type="pct"/>
            <w:tcBorders>
              <w:top w:val="nil"/>
              <w:left w:val="nil"/>
              <w:bottom w:val="single" w:color="auto" w:sz="4" w:space="0"/>
              <w:right w:val="single" w:color="auto" w:sz="4" w:space="0"/>
            </w:tcBorders>
            <w:shd w:val="clear" w:color="auto" w:fill="auto"/>
            <w:noWrap/>
            <w:vAlign w:val="center"/>
          </w:tcPr>
          <w:p w14:paraId="41817D4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52" w:type="dxa"/>
            <w:tcBorders>
              <w:top w:val="nil"/>
              <w:left w:val="nil"/>
              <w:bottom w:val="single" w:color="auto" w:sz="4" w:space="0"/>
              <w:right w:val="single" w:color="auto" w:sz="4" w:space="0"/>
            </w:tcBorders>
            <w:shd w:val="clear" w:color="auto" w:fill="auto"/>
            <w:noWrap/>
            <w:vAlign w:val="center"/>
          </w:tcPr>
          <w:p w14:paraId="1FAF988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100,507</w:t>
            </w:r>
          </w:p>
        </w:tc>
        <w:tc>
          <w:tcPr>
            <w:tcW w:w="1346" w:type="dxa"/>
            <w:tcBorders>
              <w:top w:val="nil"/>
              <w:left w:val="nil"/>
              <w:bottom w:val="single" w:color="auto" w:sz="4" w:space="0"/>
              <w:right w:val="single" w:color="auto" w:sz="4" w:space="0"/>
            </w:tcBorders>
            <w:shd w:val="clear" w:color="auto" w:fill="auto"/>
            <w:noWrap/>
            <w:vAlign w:val="center"/>
          </w:tcPr>
          <w:p w14:paraId="2E7C6D4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161,849</w:t>
            </w:r>
          </w:p>
        </w:tc>
        <w:tc>
          <w:tcPr>
            <w:tcW w:w="1346" w:type="dxa"/>
            <w:tcBorders>
              <w:top w:val="nil"/>
              <w:left w:val="nil"/>
              <w:bottom w:val="single" w:color="auto" w:sz="4" w:space="0"/>
              <w:right w:val="single" w:color="auto" w:sz="4" w:space="0"/>
            </w:tcBorders>
            <w:shd w:val="clear" w:color="auto" w:fill="auto"/>
            <w:noWrap/>
            <w:vAlign w:val="center"/>
          </w:tcPr>
          <w:p w14:paraId="767939F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173,422</w:t>
            </w:r>
          </w:p>
        </w:tc>
        <w:tc>
          <w:tcPr>
            <w:tcW w:w="1626" w:type="dxa"/>
            <w:tcBorders>
              <w:top w:val="nil"/>
              <w:left w:val="nil"/>
              <w:bottom w:val="single" w:color="auto" w:sz="4" w:space="0"/>
              <w:right w:val="single" w:color="auto" w:sz="4" w:space="0"/>
            </w:tcBorders>
            <w:shd w:val="clear" w:color="auto" w:fill="auto"/>
            <w:noWrap/>
            <w:vAlign w:val="center"/>
          </w:tcPr>
          <w:p w14:paraId="23B2D97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145,259</w:t>
            </w:r>
          </w:p>
        </w:tc>
      </w:tr>
      <w:tr w14:paraId="12CE35C8">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1478DC37">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91" w:type="pct"/>
            <w:tcBorders>
              <w:top w:val="nil"/>
              <w:left w:val="nil"/>
              <w:bottom w:val="single" w:color="auto" w:sz="4" w:space="0"/>
              <w:right w:val="single" w:color="auto" w:sz="4" w:space="0"/>
            </w:tcBorders>
            <w:shd w:val="clear" w:color="auto" w:fill="auto"/>
            <w:noWrap/>
            <w:vAlign w:val="center"/>
          </w:tcPr>
          <w:p w14:paraId="7BA4E0E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52" w:type="dxa"/>
            <w:tcBorders>
              <w:top w:val="nil"/>
              <w:left w:val="nil"/>
              <w:bottom w:val="single" w:color="auto" w:sz="4" w:space="0"/>
              <w:right w:val="single" w:color="auto" w:sz="4" w:space="0"/>
            </w:tcBorders>
            <w:shd w:val="clear" w:color="auto" w:fill="auto"/>
            <w:noWrap/>
            <w:vAlign w:val="center"/>
          </w:tcPr>
          <w:p w14:paraId="7F54DD3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75,325</w:t>
            </w:r>
          </w:p>
        </w:tc>
        <w:tc>
          <w:tcPr>
            <w:tcW w:w="1346" w:type="dxa"/>
            <w:tcBorders>
              <w:top w:val="nil"/>
              <w:left w:val="nil"/>
              <w:bottom w:val="single" w:color="auto" w:sz="4" w:space="0"/>
              <w:right w:val="single" w:color="auto" w:sz="4" w:space="0"/>
            </w:tcBorders>
            <w:shd w:val="clear" w:color="auto" w:fill="auto"/>
            <w:noWrap/>
            <w:vAlign w:val="center"/>
          </w:tcPr>
          <w:p w14:paraId="75B7D5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108,413</w:t>
            </w:r>
          </w:p>
        </w:tc>
        <w:tc>
          <w:tcPr>
            <w:tcW w:w="1346" w:type="dxa"/>
            <w:tcBorders>
              <w:top w:val="nil"/>
              <w:left w:val="nil"/>
              <w:bottom w:val="single" w:color="auto" w:sz="4" w:space="0"/>
              <w:right w:val="single" w:color="auto" w:sz="4" w:space="0"/>
            </w:tcBorders>
            <w:shd w:val="clear" w:color="auto" w:fill="auto"/>
            <w:noWrap/>
            <w:vAlign w:val="center"/>
          </w:tcPr>
          <w:p w14:paraId="288E60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117,957</w:t>
            </w:r>
          </w:p>
        </w:tc>
        <w:tc>
          <w:tcPr>
            <w:tcW w:w="1626" w:type="dxa"/>
            <w:tcBorders>
              <w:top w:val="nil"/>
              <w:left w:val="nil"/>
              <w:bottom w:val="single" w:color="auto" w:sz="4" w:space="0"/>
              <w:right w:val="single" w:color="auto" w:sz="4" w:space="0"/>
            </w:tcBorders>
            <w:shd w:val="clear" w:color="auto" w:fill="auto"/>
            <w:noWrap/>
            <w:vAlign w:val="center"/>
          </w:tcPr>
          <w:p w14:paraId="7910C12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100,565</w:t>
            </w:r>
          </w:p>
        </w:tc>
      </w:tr>
      <w:tr w14:paraId="6571B758">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0BF1FA0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91" w:type="pct"/>
            <w:tcBorders>
              <w:top w:val="nil"/>
              <w:left w:val="nil"/>
              <w:bottom w:val="single" w:color="auto" w:sz="4" w:space="0"/>
              <w:right w:val="single" w:color="auto" w:sz="4" w:space="0"/>
            </w:tcBorders>
            <w:shd w:val="clear" w:color="auto" w:fill="auto"/>
            <w:noWrap/>
            <w:vAlign w:val="center"/>
          </w:tcPr>
          <w:p w14:paraId="5D116CC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52" w:type="dxa"/>
            <w:tcBorders>
              <w:top w:val="nil"/>
              <w:left w:val="nil"/>
              <w:bottom w:val="single" w:color="auto" w:sz="4" w:space="0"/>
              <w:right w:val="single" w:color="auto" w:sz="4" w:space="0"/>
            </w:tcBorders>
            <w:shd w:val="clear" w:color="auto" w:fill="auto"/>
            <w:noWrap/>
            <w:vAlign w:val="center"/>
          </w:tcPr>
          <w:p w14:paraId="0086FBC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25,182</w:t>
            </w:r>
          </w:p>
        </w:tc>
        <w:tc>
          <w:tcPr>
            <w:tcW w:w="1346" w:type="dxa"/>
            <w:tcBorders>
              <w:top w:val="nil"/>
              <w:left w:val="nil"/>
              <w:bottom w:val="single" w:color="auto" w:sz="4" w:space="0"/>
              <w:right w:val="single" w:color="auto" w:sz="4" w:space="0"/>
            </w:tcBorders>
            <w:shd w:val="clear" w:color="auto" w:fill="auto"/>
            <w:noWrap/>
            <w:vAlign w:val="center"/>
          </w:tcPr>
          <w:p w14:paraId="5575502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53,436</w:t>
            </w:r>
          </w:p>
        </w:tc>
        <w:tc>
          <w:tcPr>
            <w:tcW w:w="1346" w:type="dxa"/>
            <w:tcBorders>
              <w:top w:val="nil"/>
              <w:left w:val="nil"/>
              <w:bottom w:val="single" w:color="auto" w:sz="4" w:space="0"/>
              <w:right w:val="single" w:color="auto" w:sz="4" w:space="0"/>
            </w:tcBorders>
            <w:shd w:val="clear" w:color="auto" w:fill="auto"/>
            <w:noWrap/>
            <w:vAlign w:val="center"/>
          </w:tcPr>
          <w:p w14:paraId="109048E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55,465</w:t>
            </w:r>
          </w:p>
        </w:tc>
        <w:tc>
          <w:tcPr>
            <w:tcW w:w="1626" w:type="dxa"/>
            <w:tcBorders>
              <w:top w:val="nil"/>
              <w:left w:val="nil"/>
              <w:bottom w:val="single" w:color="auto" w:sz="4" w:space="0"/>
              <w:right w:val="single" w:color="auto" w:sz="4" w:space="0"/>
            </w:tcBorders>
            <w:shd w:val="clear" w:color="auto" w:fill="auto"/>
            <w:noWrap/>
            <w:vAlign w:val="center"/>
          </w:tcPr>
          <w:p w14:paraId="0A4A74D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44,694</w:t>
            </w:r>
          </w:p>
        </w:tc>
      </w:tr>
      <w:tr w14:paraId="38EB26BC">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5693973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91" w:type="pct"/>
            <w:tcBorders>
              <w:top w:val="nil"/>
              <w:left w:val="nil"/>
              <w:bottom w:val="single" w:color="auto" w:sz="4" w:space="0"/>
              <w:right w:val="single" w:color="auto" w:sz="4" w:space="0"/>
            </w:tcBorders>
            <w:shd w:val="clear" w:color="auto" w:fill="auto"/>
            <w:noWrap/>
            <w:vAlign w:val="center"/>
          </w:tcPr>
          <w:p w14:paraId="771DEB0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52" w:type="dxa"/>
            <w:tcBorders>
              <w:top w:val="nil"/>
              <w:left w:val="nil"/>
              <w:bottom w:val="single" w:color="auto" w:sz="4" w:space="0"/>
              <w:right w:val="single" w:color="auto" w:sz="4" w:space="0"/>
            </w:tcBorders>
            <w:shd w:val="clear" w:color="auto" w:fill="auto"/>
            <w:noWrap/>
            <w:vAlign w:val="center"/>
          </w:tcPr>
          <w:p w14:paraId="51CF678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24,461</w:t>
            </w:r>
          </w:p>
        </w:tc>
        <w:tc>
          <w:tcPr>
            <w:tcW w:w="1346" w:type="dxa"/>
            <w:tcBorders>
              <w:top w:val="nil"/>
              <w:left w:val="nil"/>
              <w:bottom w:val="single" w:color="auto" w:sz="4" w:space="0"/>
              <w:right w:val="single" w:color="auto" w:sz="4" w:space="0"/>
            </w:tcBorders>
            <w:shd w:val="clear" w:color="auto" w:fill="auto"/>
            <w:noWrap/>
            <w:vAlign w:val="center"/>
          </w:tcPr>
          <w:p w14:paraId="1CC29D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30,546</w:t>
            </w:r>
          </w:p>
        </w:tc>
        <w:tc>
          <w:tcPr>
            <w:tcW w:w="1346" w:type="dxa"/>
            <w:tcBorders>
              <w:top w:val="nil"/>
              <w:left w:val="nil"/>
              <w:bottom w:val="single" w:color="auto" w:sz="4" w:space="0"/>
              <w:right w:val="single" w:color="auto" w:sz="4" w:space="0"/>
            </w:tcBorders>
            <w:shd w:val="clear" w:color="auto" w:fill="auto"/>
            <w:noWrap/>
            <w:vAlign w:val="center"/>
          </w:tcPr>
          <w:p w14:paraId="7124D95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33,966</w:t>
            </w:r>
          </w:p>
        </w:tc>
        <w:tc>
          <w:tcPr>
            <w:tcW w:w="1626" w:type="dxa"/>
            <w:tcBorders>
              <w:top w:val="nil"/>
              <w:left w:val="nil"/>
              <w:bottom w:val="single" w:color="auto" w:sz="4" w:space="0"/>
              <w:right w:val="single" w:color="auto" w:sz="4" w:space="0"/>
            </w:tcBorders>
            <w:shd w:val="clear" w:color="auto" w:fill="auto"/>
            <w:noWrap/>
            <w:vAlign w:val="center"/>
          </w:tcPr>
          <w:p w14:paraId="2DB2A1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29,658</w:t>
            </w:r>
          </w:p>
        </w:tc>
      </w:tr>
      <w:tr w14:paraId="10B7F2E9">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3039D5B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91" w:type="pct"/>
            <w:tcBorders>
              <w:top w:val="nil"/>
              <w:left w:val="nil"/>
              <w:bottom w:val="single" w:color="auto" w:sz="4" w:space="0"/>
              <w:right w:val="single" w:color="auto" w:sz="4" w:space="0"/>
            </w:tcBorders>
            <w:shd w:val="clear" w:color="auto" w:fill="auto"/>
            <w:noWrap/>
            <w:vAlign w:val="center"/>
          </w:tcPr>
          <w:p w14:paraId="35C871A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52" w:type="dxa"/>
            <w:tcBorders>
              <w:top w:val="nil"/>
              <w:left w:val="nil"/>
              <w:bottom w:val="single" w:color="auto" w:sz="4" w:space="0"/>
              <w:right w:val="single" w:color="auto" w:sz="4" w:space="0"/>
            </w:tcBorders>
            <w:shd w:val="clear" w:color="auto" w:fill="auto"/>
            <w:noWrap/>
            <w:vAlign w:val="center"/>
          </w:tcPr>
          <w:p w14:paraId="65BDA30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721</w:t>
            </w:r>
          </w:p>
        </w:tc>
        <w:tc>
          <w:tcPr>
            <w:tcW w:w="1346" w:type="dxa"/>
            <w:tcBorders>
              <w:top w:val="nil"/>
              <w:left w:val="nil"/>
              <w:bottom w:val="single" w:color="auto" w:sz="4" w:space="0"/>
              <w:right w:val="single" w:color="auto" w:sz="4" w:space="0"/>
            </w:tcBorders>
            <w:shd w:val="clear" w:color="auto" w:fill="auto"/>
            <w:noWrap/>
            <w:vAlign w:val="center"/>
          </w:tcPr>
          <w:p w14:paraId="37254C8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22,890</w:t>
            </w:r>
          </w:p>
        </w:tc>
        <w:tc>
          <w:tcPr>
            <w:tcW w:w="1346" w:type="dxa"/>
            <w:tcBorders>
              <w:top w:val="nil"/>
              <w:left w:val="nil"/>
              <w:bottom w:val="single" w:color="auto" w:sz="4" w:space="0"/>
              <w:right w:val="single" w:color="auto" w:sz="4" w:space="0"/>
            </w:tcBorders>
            <w:shd w:val="clear" w:color="auto" w:fill="auto"/>
            <w:noWrap/>
            <w:vAlign w:val="center"/>
          </w:tcPr>
          <w:p w14:paraId="2CF63F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21,499</w:t>
            </w:r>
          </w:p>
        </w:tc>
        <w:tc>
          <w:tcPr>
            <w:tcW w:w="1626" w:type="dxa"/>
            <w:tcBorders>
              <w:top w:val="nil"/>
              <w:left w:val="nil"/>
              <w:bottom w:val="single" w:color="auto" w:sz="4" w:space="0"/>
              <w:right w:val="single" w:color="auto" w:sz="4" w:space="0"/>
            </w:tcBorders>
            <w:shd w:val="clear" w:color="auto" w:fill="auto"/>
            <w:noWrap/>
            <w:vAlign w:val="center"/>
          </w:tcPr>
          <w:p w14:paraId="7DDC8A7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15,037</w:t>
            </w:r>
          </w:p>
        </w:tc>
      </w:tr>
      <w:tr w14:paraId="537B43ED">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7BEE90C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91" w:type="pct"/>
            <w:tcBorders>
              <w:top w:val="nil"/>
              <w:left w:val="nil"/>
              <w:bottom w:val="single" w:color="auto" w:sz="4" w:space="0"/>
              <w:right w:val="single" w:color="auto" w:sz="4" w:space="0"/>
            </w:tcBorders>
            <w:shd w:val="clear" w:color="auto" w:fill="auto"/>
            <w:noWrap/>
            <w:vAlign w:val="center"/>
          </w:tcPr>
          <w:p w14:paraId="0A364FE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52" w:type="dxa"/>
            <w:tcBorders>
              <w:top w:val="nil"/>
              <w:left w:val="nil"/>
              <w:bottom w:val="single" w:color="auto" w:sz="4" w:space="0"/>
              <w:right w:val="single" w:color="auto" w:sz="4" w:space="0"/>
            </w:tcBorders>
            <w:shd w:val="clear" w:color="auto" w:fill="auto"/>
            <w:noWrap/>
            <w:vAlign w:val="center"/>
          </w:tcPr>
          <w:p w14:paraId="60A54BAE">
            <w:pPr>
              <w:jc w:val="right"/>
              <w:rPr>
                <w:rFonts w:ascii="华文楷体" w:hAnsi="华文楷体" w:eastAsia="华文楷体" w:cs="宋体"/>
                <w:color w:val="000000"/>
                <w:sz w:val="18"/>
                <w:szCs w:val="18"/>
              </w:rPr>
            </w:pPr>
          </w:p>
        </w:tc>
        <w:tc>
          <w:tcPr>
            <w:tcW w:w="1346" w:type="dxa"/>
            <w:tcBorders>
              <w:top w:val="nil"/>
              <w:left w:val="nil"/>
              <w:bottom w:val="single" w:color="auto" w:sz="4" w:space="0"/>
              <w:right w:val="single" w:color="auto" w:sz="4" w:space="0"/>
            </w:tcBorders>
            <w:shd w:val="clear" w:color="auto" w:fill="auto"/>
            <w:noWrap/>
            <w:vAlign w:val="center"/>
          </w:tcPr>
          <w:p w14:paraId="40553378">
            <w:pPr>
              <w:jc w:val="right"/>
              <w:rPr>
                <w:rFonts w:ascii="华文楷体" w:hAnsi="华文楷体" w:eastAsia="华文楷体" w:cs="宋体"/>
                <w:color w:val="000000"/>
                <w:sz w:val="18"/>
                <w:szCs w:val="18"/>
              </w:rPr>
            </w:pPr>
          </w:p>
        </w:tc>
        <w:tc>
          <w:tcPr>
            <w:tcW w:w="1346" w:type="dxa"/>
            <w:tcBorders>
              <w:top w:val="nil"/>
              <w:left w:val="nil"/>
              <w:bottom w:val="single" w:color="auto" w:sz="4" w:space="0"/>
              <w:right w:val="single" w:color="auto" w:sz="4" w:space="0"/>
            </w:tcBorders>
            <w:shd w:val="clear" w:color="auto" w:fill="auto"/>
            <w:noWrap/>
            <w:vAlign w:val="center"/>
          </w:tcPr>
          <w:p w14:paraId="1FA45398">
            <w:pPr>
              <w:jc w:val="right"/>
              <w:rPr>
                <w:rFonts w:ascii="华文楷体" w:hAnsi="华文楷体" w:eastAsia="华文楷体" w:cs="宋体"/>
                <w:color w:val="000000"/>
                <w:sz w:val="18"/>
                <w:szCs w:val="18"/>
              </w:rPr>
            </w:pPr>
          </w:p>
        </w:tc>
        <w:tc>
          <w:tcPr>
            <w:tcW w:w="1626" w:type="dxa"/>
            <w:tcBorders>
              <w:top w:val="nil"/>
              <w:left w:val="nil"/>
              <w:bottom w:val="single" w:color="auto" w:sz="4" w:space="0"/>
              <w:right w:val="single" w:color="auto" w:sz="4" w:space="0"/>
            </w:tcBorders>
            <w:shd w:val="clear" w:color="auto" w:fill="auto"/>
            <w:noWrap/>
            <w:vAlign w:val="center"/>
          </w:tcPr>
          <w:p w14:paraId="7E27AF41">
            <w:pPr>
              <w:jc w:val="right"/>
              <w:rPr>
                <w:rFonts w:ascii="华文楷体" w:hAnsi="华文楷体" w:eastAsia="华文楷体" w:cs="宋体"/>
                <w:color w:val="000000"/>
                <w:sz w:val="18"/>
                <w:szCs w:val="18"/>
              </w:rPr>
            </w:pPr>
          </w:p>
        </w:tc>
      </w:tr>
      <w:tr w14:paraId="2F0ADEEF">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4F81BD"/>
            <w:noWrap/>
            <w:vAlign w:val="center"/>
          </w:tcPr>
          <w:p w14:paraId="3AE9C9EB">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91" w:type="pct"/>
            <w:tcBorders>
              <w:top w:val="nil"/>
              <w:left w:val="nil"/>
              <w:bottom w:val="single" w:color="auto" w:sz="4" w:space="0"/>
              <w:right w:val="single" w:color="auto" w:sz="4" w:space="0"/>
            </w:tcBorders>
            <w:shd w:val="clear" w:color="auto" w:fill="4F81BD"/>
            <w:noWrap/>
            <w:vAlign w:val="center"/>
          </w:tcPr>
          <w:p w14:paraId="35F408A6">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52" w:type="dxa"/>
            <w:tcBorders>
              <w:top w:val="nil"/>
              <w:left w:val="nil"/>
              <w:bottom w:val="single" w:color="auto" w:sz="4" w:space="0"/>
              <w:right w:val="single" w:color="auto" w:sz="4" w:space="0"/>
            </w:tcBorders>
            <w:shd w:val="clear" w:color="auto" w:fill="4F81BD"/>
            <w:noWrap/>
            <w:vAlign w:val="center"/>
          </w:tcPr>
          <w:p w14:paraId="6DFC9EB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0.72%</w:t>
            </w:r>
          </w:p>
        </w:tc>
        <w:tc>
          <w:tcPr>
            <w:tcW w:w="1346" w:type="dxa"/>
            <w:tcBorders>
              <w:top w:val="nil"/>
              <w:left w:val="nil"/>
              <w:bottom w:val="single" w:color="auto" w:sz="4" w:space="0"/>
              <w:right w:val="single" w:color="auto" w:sz="4" w:space="0"/>
            </w:tcBorders>
            <w:shd w:val="clear" w:color="auto" w:fill="4F81BD"/>
            <w:noWrap/>
            <w:vAlign w:val="center"/>
          </w:tcPr>
          <w:p w14:paraId="0F60FD11">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16.47%</w:t>
            </w:r>
          </w:p>
        </w:tc>
        <w:tc>
          <w:tcPr>
            <w:tcW w:w="1346" w:type="dxa"/>
            <w:tcBorders>
              <w:top w:val="nil"/>
              <w:left w:val="nil"/>
              <w:bottom w:val="single" w:color="auto" w:sz="4" w:space="0"/>
              <w:right w:val="single" w:color="auto" w:sz="4" w:space="0"/>
            </w:tcBorders>
            <w:shd w:val="clear" w:color="auto" w:fill="4F81BD"/>
            <w:noWrap/>
            <w:vAlign w:val="center"/>
          </w:tcPr>
          <w:p w14:paraId="16D925F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14.15%</w:t>
            </w:r>
          </w:p>
        </w:tc>
        <w:tc>
          <w:tcPr>
            <w:tcW w:w="1626" w:type="dxa"/>
            <w:tcBorders>
              <w:top w:val="nil"/>
              <w:left w:val="nil"/>
              <w:bottom w:val="single" w:color="auto" w:sz="4" w:space="0"/>
              <w:right w:val="single" w:color="auto" w:sz="4" w:space="0"/>
            </w:tcBorders>
            <w:shd w:val="clear" w:color="auto" w:fill="4F81BD"/>
            <w:noWrap/>
            <w:vAlign w:val="center"/>
          </w:tcPr>
          <w:p w14:paraId="2391E4F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11.55%</w:t>
            </w:r>
          </w:p>
        </w:tc>
      </w:tr>
    </w:tbl>
    <w:p w14:paraId="4F173790">
      <w:pPr>
        <w:snapToGrid w:val="0"/>
        <w:ind w:left="0"/>
        <w:rPr>
          <w:rFonts w:ascii="Arial" w:hAnsi="Arial" w:eastAsia="微软雅黑" w:cs="Arial"/>
          <w:b/>
          <w:bCs/>
          <w:color w:val="3F9C35"/>
          <w:sz w:val="28"/>
          <w:szCs w:val="22"/>
          <w:highlight w:val="yellow"/>
        </w:rPr>
      </w:pPr>
    </w:p>
    <w:p w14:paraId="48BB66C1">
      <w:pPr>
        <w:snapToGrid w:val="0"/>
        <w:ind w:left="0"/>
        <w:rPr>
          <w:rFonts w:ascii="Arial" w:hAnsi="Arial" w:eastAsia="微软雅黑" w:cs="Arial"/>
          <w:b/>
          <w:bCs/>
          <w:color w:val="3F9C35"/>
          <w:sz w:val="28"/>
          <w:szCs w:val="22"/>
          <w:highlight w:val="yellow"/>
        </w:rPr>
      </w:pPr>
    </w:p>
    <w:p w14:paraId="3BE7AAFF">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654"/>
        <w:gridCol w:w="1087"/>
        <w:gridCol w:w="1534"/>
        <w:gridCol w:w="1534"/>
        <w:gridCol w:w="1420"/>
        <w:gridCol w:w="1537"/>
      </w:tblGrid>
      <w:tr w14:paraId="74E8ECBA">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197BAE0">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13）Jokwang I.L.I Co.,Ltd.</w:t>
            </w:r>
          </w:p>
        </w:tc>
      </w:tr>
      <w:tr w14:paraId="5104D6A6">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000000" w:fill="C6D9F1"/>
            <w:noWrap/>
            <w:vAlign w:val="center"/>
          </w:tcPr>
          <w:p w14:paraId="26CE951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股票代码:044060</w:t>
            </w:r>
          </w:p>
        </w:tc>
        <w:tc>
          <w:tcPr>
            <w:tcW w:w="484" w:type="pct"/>
            <w:vMerge w:val="restart"/>
            <w:tcBorders>
              <w:top w:val="nil"/>
              <w:left w:val="single" w:color="auto" w:sz="4" w:space="0"/>
              <w:bottom w:val="single" w:color="auto" w:sz="4" w:space="0"/>
              <w:right w:val="single" w:color="auto" w:sz="4" w:space="0"/>
            </w:tcBorders>
            <w:shd w:val="clear" w:color="000000" w:fill="C6D9F1"/>
            <w:noWrap/>
            <w:vAlign w:val="center"/>
          </w:tcPr>
          <w:p w14:paraId="5E3AF84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1752F8CF">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651FE833">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55" w:type="pct"/>
            <w:vMerge w:val="restart"/>
            <w:tcBorders>
              <w:top w:val="nil"/>
              <w:left w:val="single" w:color="auto" w:sz="4" w:space="0"/>
              <w:bottom w:val="single" w:color="auto" w:sz="4" w:space="0"/>
              <w:right w:val="single" w:color="auto" w:sz="4" w:space="0"/>
            </w:tcBorders>
            <w:shd w:val="clear" w:color="000000" w:fill="C6D9F1"/>
            <w:noWrap/>
            <w:vAlign w:val="center"/>
          </w:tcPr>
          <w:p w14:paraId="141BE5E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0D4FFF6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307744B9">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000000" w:fill="C6D9F1"/>
            <w:noWrap/>
            <w:vAlign w:val="center"/>
          </w:tcPr>
          <w:p w14:paraId="41AB70C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484" w:type="pct"/>
            <w:vMerge w:val="continue"/>
            <w:tcBorders>
              <w:top w:val="nil"/>
              <w:left w:val="single" w:color="auto" w:sz="4" w:space="0"/>
              <w:bottom w:val="single" w:color="auto" w:sz="4" w:space="0"/>
              <w:right w:val="single" w:color="auto" w:sz="4" w:space="0"/>
            </w:tcBorders>
            <w:vAlign w:val="center"/>
          </w:tcPr>
          <w:p w14:paraId="691341C9">
            <w:pPr>
              <w:snapToGrid w:val="0"/>
              <w:spacing w:before="0" w:after="0"/>
              <w:ind w:left="0" w:right="0"/>
              <w:jc w:val="left"/>
              <w:rPr>
                <w:rFonts w:ascii="微软雅黑" w:hAnsi="微软雅黑" w:eastAsia="微软雅黑" w:cs="宋体"/>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22CFA9A4">
            <w:pPr>
              <w:snapToGrid w:val="0"/>
              <w:spacing w:before="0" w:after="0"/>
              <w:ind w:left="0" w:right="0"/>
              <w:jc w:val="left"/>
              <w:rPr>
                <w:rFonts w:ascii="Arial" w:hAnsi="Arial" w:eastAsia="等线" w:cs="Arial"/>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13ABC874">
            <w:pPr>
              <w:snapToGrid w:val="0"/>
              <w:spacing w:before="0" w:after="0"/>
              <w:ind w:left="0" w:right="0"/>
              <w:jc w:val="left"/>
              <w:rPr>
                <w:rFonts w:ascii="Arial" w:hAnsi="Arial" w:eastAsia="等线" w:cs="Arial"/>
                <w:b/>
                <w:bCs/>
                <w:sz w:val="18"/>
                <w:szCs w:val="18"/>
              </w:rPr>
            </w:pPr>
          </w:p>
        </w:tc>
        <w:tc>
          <w:tcPr>
            <w:tcW w:w="855" w:type="pct"/>
            <w:vMerge w:val="continue"/>
            <w:tcBorders>
              <w:top w:val="nil"/>
              <w:left w:val="single" w:color="auto" w:sz="4" w:space="0"/>
              <w:bottom w:val="single" w:color="auto" w:sz="4" w:space="0"/>
              <w:right w:val="single" w:color="auto" w:sz="4" w:space="0"/>
            </w:tcBorders>
            <w:vAlign w:val="center"/>
          </w:tcPr>
          <w:p w14:paraId="4035D5BE">
            <w:pPr>
              <w:snapToGrid w:val="0"/>
              <w:spacing w:before="0" w:after="0"/>
              <w:ind w:left="0" w:right="0"/>
              <w:jc w:val="left"/>
              <w:rPr>
                <w:rFonts w:ascii="Arial" w:hAnsi="Arial" w:eastAsia="等线" w:cs="Arial"/>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6C55BE6D">
            <w:pPr>
              <w:snapToGrid w:val="0"/>
              <w:spacing w:before="0" w:after="0"/>
              <w:ind w:left="0" w:right="0"/>
              <w:jc w:val="left"/>
              <w:rPr>
                <w:rFonts w:ascii="微软雅黑" w:hAnsi="微软雅黑" w:eastAsia="微软雅黑" w:cs="宋体"/>
                <w:b/>
                <w:bCs/>
                <w:sz w:val="18"/>
                <w:szCs w:val="18"/>
              </w:rPr>
            </w:pPr>
          </w:p>
        </w:tc>
      </w:tr>
      <w:tr w14:paraId="10C7AC10">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6A94410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484" w:type="pct"/>
            <w:tcBorders>
              <w:top w:val="nil"/>
              <w:left w:val="nil"/>
              <w:bottom w:val="single" w:color="auto" w:sz="4" w:space="0"/>
              <w:right w:val="single" w:color="auto" w:sz="4" w:space="0"/>
            </w:tcBorders>
            <w:shd w:val="clear" w:color="auto" w:fill="auto"/>
            <w:noWrap/>
            <w:vAlign w:val="center"/>
          </w:tcPr>
          <w:p w14:paraId="5490736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920" w:type="pct"/>
            <w:tcBorders>
              <w:top w:val="nil"/>
              <w:left w:val="nil"/>
              <w:bottom w:val="single" w:color="auto" w:sz="4" w:space="0"/>
              <w:right w:val="single" w:color="auto" w:sz="4" w:space="0"/>
            </w:tcBorders>
            <w:shd w:val="clear" w:color="auto" w:fill="auto"/>
            <w:noWrap/>
            <w:vAlign w:val="center"/>
          </w:tcPr>
          <w:p w14:paraId="44A71A0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31,462,800</w:t>
            </w:r>
          </w:p>
        </w:tc>
        <w:tc>
          <w:tcPr>
            <w:tcW w:w="920" w:type="pct"/>
            <w:tcBorders>
              <w:top w:val="nil"/>
              <w:left w:val="nil"/>
              <w:bottom w:val="single" w:color="auto" w:sz="4" w:space="0"/>
              <w:right w:val="single" w:color="auto" w:sz="4" w:space="0"/>
            </w:tcBorders>
            <w:shd w:val="clear" w:color="auto" w:fill="auto"/>
            <w:noWrap/>
            <w:vAlign w:val="center"/>
          </w:tcPr>
          <w:p w14:paraId="599EEE9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30,721,021</w:t>
            </w:r>
          </w:p>
        </w:tc>
        <w:tc>
          <w:tcPr>
            <w:tcW w:w="855" w:type="pct"/>
            <w:tcBorders>
              <w:top w:val="nil"/>
              <w:left w:val="nil"/>
              <w:bottom w:val="single" w:color="auto" w:sz="4" w:space="0"/>
              <w:right w:val="single" w:color="auto" w:sz="4" w:space="0"/>
            </w:tcBorders>
            <w:shd w:val="clear" w:color="auto" w:fill="auto"/>
            <w:noWrap/>
            <w:vAlign w:val="center"/>
          </w:tcPr>
          <w:p w14:paraId="4134D5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2301A2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31,091,911</w:t>
            </w:r>
          </w:p>
        </w:tc>
      </w:tr>
      <w:tr w14:paraId="79D2AA58">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5720AB8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484" w:type="pct"/>
            <w:tcBorders>
              <w:top w:val="nil"/>
              <w:left w:val="nil"/>
              <w:bottom w:val="single" w:color="auto" w:sz="4" w:space="0"/>
              <w:right w:val="single" w:color="auto" w:sz="4" w:space="0"/>
            </w:tcBorders>
            <w:shd w:val="clear" w:color="auto" w:fill="auto"/>
            <w:noWrap/>
            <w:vAlign w:val="center"/>
          </w:tcPr>
          <w:p w14:paraId="1B61C32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920" w:type="pct"/>
            <w:tcBorders>
              <w:top w:val="nil"/>
              <w:left w:val="nil"/>
              <w:bottom w:val="single" w:color="auto" w:sz="4" w:space="0"/>
              <w:right w:val="single" w:color="auto" w:sz="4" w:space="0"/>
            </w:tcBorders>
            <w:shd w:val="clear" w:color="auto" w:fill="auto"/>
            <w:noWrap/>
            <w:vAlign w:val="center"/>
          </w:tcPr>
          <w:p w14:paraId="10883F81">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18,715,700</w:t>
            </w:r>
          </w:p>
        </w:tc>
        <w:tc>
          <w:tcPr>
            <w:tcW w:w="920" w:type="pct"/>
            <w:tcBorders>
              <w:top w:val="nil"/>
              <w:left w:val="nil"/>
              <w:bottom w:val="single" w:color="auto" w:sz="4" w:space="0"/>
              <w:right w:val="single" w:color="auto" w:sz="4" w:space="0"/>
            </w:tcBorders>
            <w:shd w:val="clear" w:color="auto" w:fill="auto"/>
            <w:noWrap/>
            <w:vAlign w:val="center"/>
          </w:tcPr>
          <w:p w14:paraId="55F9024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19,849,321</w:t>
            </w:r>
          </w:p>
        </w:tc>
        <w:tc>
          <w:tcPr>
            <w:tcW w:w="855" w:type="pct"/>
            <w:tcBorders>
              <w:top w:val="nil"/>
              <w:left w:val="nil"/>
              <w:bottom w:val="single" w:color="auto" w:sz="4" w:space="0"/>
              <w:right w:val="single" w:color="auto" w:sz="4" w:space="0"/>
            </w:tcBorders>
            <w:shd w:val="clear" w:color="auto" w:fill="auto"/>
            <w:noWrap/>
          </w:tcPr>
          <w:p w14:paraId="4CD8D2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351821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19,282,511</w:t>
            </w:r>
          </w:p>
        </w:tc>
      </w:tr>
      <w:tr w14:paraId="7793CD0C">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21DDE0A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484" w:type="pct"/>
            <w:tcBorders>
              <w:top w:val="nil"/>
              <w:left w:val="nil"/>
              <w:bottom w:val="single" w:color="auto" w:sz="4" w:space="0"/>
              <w:right w:val="single" w:color="auto" w:sz="4" w:space="0"/>
            </w:tcBorders>
            <w:shd w:val="clear" w:color="auto" w:fill="auto"/>
            <w:noWrap/>
            <w:vAlign w:val="center"/>
          </w:tcPr>
          <w:p w14:paraId="57FFB1F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920" w:type="pct"/>
            <w:tcBorders>
              <w:top w:val="nil"/>
              <w:left w:val="nil"/>
              <w:bottom w:val="single" w:color="auto" w:sz="4" w:space="0"/>
              <w:right w:val="single" w:color="auto" w:sz="4" w:space="0"/>
            </w:tcBorders>
            <w:shd w:val="clear" w:color="auto" w:fill="auto"/>
            <w:noWrap/>
            <w:vAlign w:val="center"/>
          </w:tcPr>
          <w:p w14:paraId="075C42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12,747,100</w:t>
            </w:r>
          </w:p>
        </w:tc>
        <w:tc>
          <w:tcPr>
            <w:tcW w:w="920" w:type="pct"/>
            <w:tcBorders>
              <w:top w:val="nil"/>
              <w:left w:val="nil"/>
              <w:bottom w:val="single" w:color="auto" w:sz="4" w:space="0"/>
              <w:right w:val="single" w:color="auto" w:sz="4" w:space="0"/>
            </w:tcBorders>
            <w:shd w:val="clear" w:color="auto" w:fill="auto"/>
            <w:noWrap/>
            <w:vAlign w:val="center"/>
          </w:tcPr>
          <w:p w14:paraId="797E70E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10,871,700</w:t>
            </w:r>
          </w:p>
        </w:tc>
        <w:tc>
          <w:tcPr>
            <w:tcW w:w="855" w:type="pct"/>
            <w:tcBorders>
              <w:top w:val="nil"/>
              <w:left w:val="nil"/>
              <w:bottom w:val="single" w:color="auto" w:sz="4" w:space="0"/>
              <w:right w:val="single" w:color="auto" w:sz="4" w:space="0"/>
            </w:tcBorders>
            <w:shd w:val="clear" w:color="auto" w:fill="auto"/>
            <w:noWrap/>
          </w:tcPr>
          <w:p w14:paraId="02BE2C7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4BD27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11,809,400</w:t>
            </w:r>
          </w:p>
        </w:tc>
      </w:tr>
      <w:tr w14:paraId="264D0664">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7C2E39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484" w:type="pct"/>
            <w:tcBorders>
              <w:top w:val="nil"/>
              <w:left w:val="nil"/>
              <w:bottom w:val="single" w:color="auto" w:sz="4" w:space="0"/>
              <w:right w:val="single" w:color="auto" w:sz="4" w:space="0"/>
            </w:tcBorders>
            <w:shd w:val="clear" w:color="auto" w:fill="auto"/>
            <w:noWrap/>
            <w:vAlign w:val="center"/>
          </w:tcPr>
          <w:p w14:paraId="1471EB0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920" w:type="pct"/>
            <w:tcBorders>
              <w:top w:val="nil"/>
              <w:left w:val="nil"/>
              <w:bottom w:val="single" w:color="auto" w:sz="4" w:space="0"/>
              <w:right w:val="single" w:color="auto" w:sz="4" w:space="0"/>
            </w:tcBorders>
            <w:shd w:val="clear" w:color="auto" w:fill="auto"/>
            <w:noWrap/>
            <w:vAlign w:val="center"/>
          </w:tcPr>
          <w:p w14:paraId="71525DF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7,666,208</w:t>
            </w:r>
          </w:p>
        </w:tc>
        <w:tc>
          <w:tcPr>
            <w:tcW w:w="920" w:type="pct"/>
            <w:tcBorders>
              <w:top w:val="nil"/>
              <w:left w:val="nil"/>
              <w:bottom w:val="single" w:color="auto" w:sz="4" w:space="0"/>
              <w:right w:val="single" w:color="auto" w:sz="4" w:space="0"/>
            </w:tcBorders>
            <w:shd w:val="clear" w:color="auto" w:fill="auto"/>
            <w:noWrap/>
            <w:vAlign w:val="center"/>
          </w:tcPr>
          <w:p w14:paraId="7FEB67D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8,063,397</w:t>
            </w:r>
          </w:p>
        </w:tc>
        <w:tc>
          <w:tcPr>
            <w:tcW w:w="855" w:type="pct"/>
            <w:tcBorders>
              <w:top w:val="nil"/>
              <w:left w:val="nil"/>
              <w:bottom w:val="single" w:color="auto" w:sz="4" w:space="0"/>
              <w:right w:val="single" w:color="auto" w:sz="4" w:space="0"/>
            </w:tcBorders>
            <w:shd w:val="clear" w:color="auto" w:fill="auto"/>
            <w:noWrap/>
          </w:tcPr>
          <w:p w14:paraId="04FC0D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48FA8D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7,864,803</w:t>
            </w:r>
          </w:p>
        </w:tc>
      </w:tr>
      <w:tr w14:paraId="0095FF89">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73FAEC5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484" w:type="pct"/>
            <w:tcBorders>
              <w:top w:val="nil"/>
              <w:left w:val="nil"/>
              <w:bottom w:val="single" w:color="auto" w:sz="4" w:space="0"/>
              <w:right w:val="single" w:color="auto" w:sz="4" w:space="0"/>
            </w:tcBorders>
            <w:shd w:val="clear" w:color="auto" w:fill="auto"/>
            <w:noWrap/>
            <w:vAlign w:val="center"/>
          </w:tcPr>
          <w:p w14:paraId="7C49A06A">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920" w:type="pct"/>
            <w:tcBorders>
              <w:top w:val="nil"/>
              <w:left w:val="nil"/>
              <w:bottom w:val="single" w:color="auto" w:sz="4" w:space="0"/>
              <w:right w:val="single" w:color="auto" w:sz="4" w:space="0"/>
            </w:tcBorders>
            <w:shd w:val="clear" w:color="auto" w:fill="auto"/>
            <w:noWrap/>
            <w:vAlign w:val="center"/>
          </w:tcPr>
          <w:p w14:paraId="2F9C086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5,080,892</w:t>
            </w:r>
          </w:p>
        </w:tc>
        <w:tc>
          <w:tcPr>
            <w:tcW w:w="920" w:type="pct"/>
            <w:tcBorders>
              <w:top w:val="nil"/>
              <w:left w:val="nil"/>
              <w:bottom w:val="single" w:color="auto" w:sz="4" w:space="0"/>
              <w:right w:val="single" w:color="auto" w:sz="4" w:space="0"/>
            </w:tcBorders>
            <w:shd w:val="clear" w:color="auto" w:fill="auto"/>
            <w:noWrap/>
            <w:vAlign w:val="center"/>
          </w:tcPr>
          <w:p w14:paraId="0FFB480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2,808,303</w:t>
            </w:r>
          </w:p>
        </w:tc>
        <w:tc>
          <w:tcPr>
            <w:tcW w:w="855" w:type="pct"/>
            <w:tcBorders>
              <w:top w:val="nil"/>
              <w:left w:val="nil"/>
              <w:bottom w:val="single" w:color="auto" w:sz="4" w:space="0"/>
              <w:right w:val="single" w:color="auto" w:sz="4" w:space="0"/>
            </w:tcBorders>
            <w:shd w:val="clear" w:color="auto" w:fill="auto"/>
            <w:noWrap/>
          </w:tcPr>
          <w:p w14:paraId="36075B5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347B27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3,944,598</w:t>
            </w:r>
          </w:p>
        </w:tc>
      </w:tr>
      <w:tr w14:paraId="0FAD2205">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1578D3C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484" w:type="pct"/>
            <w:tcBorders>
              <w:top w:val="nil"/>
              <w:left w:val="nil"/>
              <w:bottom w:val="single" w:color="auto" w:sz="4" w:space="0"/>
              <w:right w:val="single" w:color="auto" w:sz="4" w:space="0"/>
            </w:tcBorders>
            <w:shd w:val="clear" w:color="auto" w:fill="auto"/>
            <w:noWrap/>
            <w:vAlign w:val="center"/>
          </w:tcPr>
          <w:p w14:paraId="57607AA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920" w:type="pct"/>
            <w:tcBorders>
              <w:top w:val="nil"/>
              <w:left w:val="nil"/>
              <w:bottom w:val="single" w:color="auto" w:sz="4" w:space="0"/>
              <w:right w:val="single" w:color="auto" w:sz="4" w:space="0"/>
            </w:tcBorders>
            <w:shd w:val="clear" w:color="auto" w:fill="auto"/>
            <w:noWrap/>
            <w:vAlign w:val="center"/>
          </w:tcPr>
          <w:p w14:paraId="2B4EB226">
            <w:pPr>
              <w:jc w:val="right"/>
              <w:rPr>
                <w:rFonts w:ascii="华文楷体" w:hAnsi="华文楷体" w:eastAsia="华文楷体" w:cs="宋体"/>
                <w:color w:val="000000"/>
                <w:sz w:val="18"/>
                <w:szCs w:val="18"/>
              </w:rPr>
            </w:pPr>
          </w:p>
        </w:tc>
        <w:tc>
          <w:tcPr>
            <w:tcW w:w="920" w:type="pct"/>
            <w:tcBorders>
              <w:top w:val="nil"/>
              <w:left w:val="nil"/>
              <w:bottom w:val="single" w:color="auto" w:sz="4" w:space="0"/>
              <w:right w:val="single" w:color="auto" w:sz="4" w:space="0"/>
            </w:tcBorders>
            <w:shd w:val="clear" w:color="auto" w:fill="auto"/>
            <w:noWrap/>
            <w:vAlign w:val="center"/>
          </w:tcPr>
          <w:p w14:paraId="05152AA2">
            <w:pPr>
              <w:jc w:val="right"/>
              <w:rPr>
                <w:rFonts w:ascii="华文楷体" w:hAnsi="华文楷体" w:eastAsia="华文楷体" w:cs="宋体"/>
                <w:color w:val="000000"/>
                <w:sz w:val="18"/>
                <w:szCs w:val="18"/>
              </w:rPr>
            </w:pPr>
          </w:p>
        </w:tc>
        <w:tc>
          <w:tcPr>
            <w:tcW w:w="855" w:type="pct"/>
            <w:tcBorders>
              <w:top w:val="nil"/>
              <w:left w:val="nil"/>
              <w:bottom w:val="single" w:color="auto" w:sz="4" w:space="0"/>
              <w:right w:val="single" w:color="auto" w:sz="4" w:space="0"/>
            </w:tcBorders>
            <w:shd w:val="clear" w:color="auto" w:fill="auto"/>
            <w:noWrap/>
            <w:vAlign w:val="center"/>
          </w:tcPr>
          <w:p w14:paraId="18113FA0">
            <w:pPr>
              <w:jc w:val="right"/>
              <w:rPr>
                <w:rFonts w:ascii="华文楷体" w:hAnsi="华文楷体" w:eastAsia="华文楷体" w:cs="宋体"/>
                <w:color w:val="000000"/>
                <w:sz w:val="18"/>
                <w:szCs w:val="18"/>
              </w:rPr>
            </w:pPr>
          </w:p>
        </w:tc>
        <w:tc>
          <w:tcPr>
            <w:tcW w:w="920" w:type="pct"/>
            <w:tcBorders>
              <w:top w:val="nil"/>
              <w:left w:val="nil"/>
              <w:bottom w:val="single" w:color="auto" w:sz="4" w:space="0"/>
              <w:right w:val="single" w:color="auto" w:sz="4" w:space="0"/>
            </w:tcBorders>
            <w:shd w:val="clear" w:color="auto" w:fill="auto"/>
            <w:noWrap/>
            <w:vAlign w:val="center"/>
          </w:tcPr>
          <w:p w14:paraId="68C2AE7F">
            <w:pPr>
              <w:jc w:val="right"/>
              <w:rPr>
                <w:rFonts w:ascii="华文楷体" w:hAnsi="华文楷体" w:eastAsia="华文楷体" w:cs="宋体"/>
                <w:color w:val="000000"/>
                <w:sz w:val="18"/>
                <w:szCs w:val="18"/>
              </w:rPr>
            </w:pPr>
          </w:p>
        </w:tc>
      </w:tr>
      <w:tr w14:paraId="68B0B5EC">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4F81BD"/>
            <w:noWrap/>
            <w:vAlign w:val="center"/>
          </w:tcPr>
          <w:p w14:paraId="7FFED229">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484" w:type="pct"/>
            <w:tcBorders>
              <w:top w:val="nil"/>
              <w:left w:val="nil"/>
              <w:bottom w:val="single" w:color="auto" w:sz="4" w:space="0"/>
              <w:right w:val="single" w:color="auto" w:sz="4" w:space="0"/>
            </w:tcBorders>
            <w:shd w:val="clear" w:color="auto" w:fill="4F81BD"/>
            <w:noWrap/>
            <w:vAlign w:val="center"/>
          </w:tcPr>
          <w:p w14:paraId="6DD15F8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920" w:type="pct"/>
            <w:tcBorders>
              <w:top w:val="nil"/>
              <w:left w:val="nil"/>
              <w:bottom w:val="single" w:color="auto" w:sz="4" w:space="0"/>
              <w:right w:val="single" w:color="auto" w:sz="4" w:space="0"/>
            </w:tcBorders>
            <w:shd w:val="clear" w:color="auto" w:fill="4F81BD"/>
            <w:noWrap/>
            <w:vAlign w:val="center"/>
          </w:tcPr>
          <w:p w14:paraId="1449FEB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19.26%</w:t>
            </w:r>
          </w:p>
        </w:tc>
        <w:tc>
          <w:tcPr>
            <w:tcW w:w="920" w:type="pct"/>
            <w:tcBorders>
              <w:top w:val="nil"/>
              <w:left w:val="nil"/>
              <w:bottom w:val="single" w:color="auto" w:sz="4" w:space="0"/>
              <w:right w:val="single" w:color="auto" w:sz="4" w:space="0"/>
            </w:tcBorders>
            <w:shd w:val="clear" w:color="auto" w:fill="4F81BD"/>
            <w:noWrap/>
            <w:vAlign w:val="center"/>
          </w:tcPr>
          <w:p w14:paraId="75BE133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10.06%</w:t>
            </w:r>
          </w:p>
        </w:tc>
        <w:tc>
          <w:tcPr>
            <w:tcW w:w="855" w:type="pct"/>
            <w:tcBorders>
              <w:top w:val="nil"/>
              <w:left w:val="nil"/>
              <w:bottom w:val="single" w:color="auto" w:sz="4" w:space="0"/>
              <w:right w:val="single" w:color="auto" w:sz="4" w:space="0"/>
            </w:tcBorders>
            <w:shd w:val="clear" w:color="auto" w:fill="4F81BD"/>
            <w:noWrap/>
            <w:vAlign w:val="center"/>
          </w:tcPr>
          <w:p w14:paraId="17F30EAD">
            <w:pPr>
              <w:jc w:val="right"/>
              <w:textAlignment w:val="center"/>
              <w:rPr>
                <w:rFonts w:ascii="Arial" w:hAnsi="Arial" w:eastAsia="等线" w:cs="Arial"/>
                <w:b/>
                <w:bCs/>
                <w:color w:val="FFFFFF"/>
                <w:sz w:val="18"/>
                <w:szCs w:val="18"/>
              </w:rPr>
            </w:pPr>
          </w:p>
        </w:tc>
        <w:tc>
          <w:tcPr>
            <w:tcW w:w="920" w:type="pct"/>
            <w:tcBorders>
              <w:top w:val="nil"/>
              <w:left w:val="nil"/>
              <w:bottom w:val="single" w:color="auto" w:sz="4" w:space="0"/>
              <w:right w:val="single" w:color="auto" w:sz="4" w:space="0"/>
            </w:tcBorders>
            <w:shd w:val="clear" w:color="auto" w:fill="4F81BD"/>
            <w:noWrap/>
            <w:vAlign w:val="center"/>
          </w:tcPr>
          <w:p w14:paraId="6286CE9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14.53%</w:t>
            </w:r>
          </w:p>
        </w:tc>
      </w:tr>
    </w:tbl>
    <w:tbl>
      <w:tblPr>
        <w:tblStyle w:val="29"/>
        <w:tblpPr w:leftFromText="180" w:rightFromText="180" w:vertAnchor="text" w:horzAnchor="margin" w:tblpY="969"/>
        <w:tblW w:w="5000" w:type="pct"/>
        <w:tblInd w:w="0" w:type="dxa"/>
        <w:tblLayout w:type="autofit"/>
        <w:tblCellMar>
          <w:top w:w="0" w:type="dxa"/>
          <w:left w:w="108" w:type="dxa"/>
          <w:bottom w:w="0" w:type="dxa"/>
          <w:right w:w="108" w:type="dxa"/>
        </w:tblCellMar>
      </w:tblPr>
      <w:tblGrid>
        <w:gridCol w:w="1709"/>
        <w:gridCol w:w="1115"/>
        <w:gridCol w:w="1474"/>
        <w:gridCol w:w="1474"/>
        <w:gridCol w:w="1476"/>
        <w:gridCol w:w="1518"/>
      </w:tblGrid>
      <w:tr w14:paraId="583E24EB">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E3FFF9D">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14）Enertork Ltd.</w:t>
            </w:r>
          </w:p>
        </w:tc>
      </w:tr>
      <w:tr w14:paraId="583C61BD">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000000" w:fill="C6D9F1"/>
            <w:noWrap/>
            <w:vAlign w:val="center"/>
          </w:tcPr>
          <w:p w14:paraId="631B210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股票代码:019990</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22CE6189">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6280786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75979A4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2" w:type="pct"/>
            <w:vMerge w:val="restart"/>
            <w:tcBorders>
              <w:top w:val="nil"/>
              <w:left w:val="single" w:color="auto" w:sz="4" w:space="0"/>
              <w:bottom w:val="single" w:color="auto" w:sz="4" w:space="0"/>
              <w:right w:val="single" w:color="auto" w:sz="4" w:space="0"/>
            </w:tcBorders>
            <w:shd w:val="clear" w:color="000000" w:fill="C6D9F1"/>
            <w:noWrap/>
            <w:vAlign w:val="center"/>
          </w:tcPr>
          <w:p w14:paraId="54074D1E">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37266D5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55AF9E3">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000000" w:fill="C6D9F1"/>
            <w:noWrap/>
            <w:vAlign w:val="center"/>
          </w:tcPr>
          <w:p w14:paraId="1F7E7B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5242C6E9">
            <w:pPr>
              <w:snapToGrid w:val="0"/>
              <w:spacing w:before="0" w:after="0"/>
              <w:ind w:left="0" w:right="0"/>
              <w:jc w:val="left"/>
              <w:rPr>
                <w:rFonts w:ascii="微软雅黑" w:hAnsi="微软雅黑" w:eastAsia="微软雅黑" w:cs="宋体"/>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66D5ACC9">
            <w:pPr>
              <w:snapToGrid w:val="0"/>
              <w:spacing w:before="0" w:after="0"/>
              <w:ind w:left="0" w:right="0"/>
              <w:jc w:val="left"/>
              <w:rPr>
                <w:rFonts w:ascii="Arial" w:hAnsi="Arial" w:eastAsia="等线" w:cs="Arial"/>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2E529A8D">
            <w:pPr>
              <w:snapToGrid w:val="0"/>
              <w:spacing w:before="0" w:after="0"/>
              <w:ind w:left="0" w:right="0"/>
              <w:jc w:val="left"/>
              <w:rPr>
                <w:rFonts w:ascii="Arial" w:hAnsi="Arial" w:eastAsia="等线" w:cs="Arial"/>
                <w:b/>
                <w:bCs/>
                <w:sz w:val="18"/>
                <w:szCs w:val="18"/>
              </w:rPr>
            </w:pPr>
          </w:p>
        </w:tc>
        <w:tc>
          <w:tcPr>
            <w:tcW w:w="842" w:type="pct"/>
            <w:vMerge w:val="continue"/>
            <w:tcBorders>
              <w:top w:val="nil"/>
              <w:left w:val="single" w:color="auto" w:sz="4" w:space="0"/>
              <w:bottom w:val="single" w:color="auto" w:sz="4" w:space="0"/>
              <w:right w:val="single" w:color="auto" w:sz="4" w:space="0"/>
            </w:tcBorders>
            <w:vAlign w:val="center"/>
          </w:tcPr>
          <w:p w14:paraId="31FFCC8B">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3D56C89D">
            <w:pPr>
              <w:snapToGrid w:val="0"/>
              <w:spacing w:before="0" w:after="0"/>
              <w:ind w:left="0" w:right="0"/>
              <w:jc w:val="left"/>
              <w:rPr>
                <w:rFonts w:ascii="微软雅黑" w:hAnsi="微软雅黑" w:eastAsia="微软雅黑" w:cs="宋体"/>
                <w:b/>
                <w:bCs/>
                <w:sz w:val="18"/>
                <w:szCs w:val="18"/>
              </w:rPr>
            </w:pPr>
          </w:p>
        </w:tc>
      </w:tr>
      <w:tr w14:paraId="4DE5EF29">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4E3164E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57F92A9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41" w:type="pct"/>
            <w:tcBorders>
              <w:top w:val="nil"/>
              <w:left w:val="nil"/>
              <w:bottom w:val="single" w:color="auto" w:sz="4" w:space="0"/>
              <w:right w:val="single" w:color="auto" w:sz="4" w:space="0"/>
            </w:tcBorders>
            <w:shd w:val="clear" w:color="auto" w:fill="auto"/>
            <w:noWrap/>
            <w:vAlign w:val="center"/>
          </w:tcPr>
          <w:p w14:paraId="0CE4BF6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22,574,208</w:t>
            </w:r>
          </w:p>
        </w:tc>
        <w:tc>
          <w:tcPr>
            <w:tcW w:w="841" w:type="pct"/>
            <w:tcBorders>
              <w:top w:val="nil"/>
              <w:left w:val="nil"/>
              <w:bottom w:val="single" w:color="auto" w:sz="4" w:space="0"/>
              <w:right w:val="single" w:color="auto" w:sz="4" w:space="0"/>
            </w:tcBorders>
            <w:shd w:val="clear" w:color="auto" w:fill="auto"/>
            <w:noWrap/>
            <w:vAlign w:val="center"/>
          </w:tcPr>
          <w:p w14:paraId="3E906BC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26,287,076</w:t>
            </w:r>
          </w:p>
        </w:tc>
        <w:tc>
          <w:tcPr>
            <w:tcW w:w="842" w:type="pct"/>
            <w:tcBorders>
              <w:top w:val="nil"/>
              <w:left w:val="nil"/>
              <w:bottom w:val="single" w:color="auto" w:sz="4" w:space="0"/>
              <w:right w:val="single" w:color="auto" w:sz="4" w:space="0"/>
            </w:tcBorders>
            <w:shd w:val="clear" w:color="auto" w:fill="auto"/>
            <w:noWrap/>
            <w:vAlign w:val="center"/>
          </w:tcPr>
          <w:p w14:paraId="4583671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26,943,912</w:t>
            </w:r>
          </w:p>
        </w:tc>
        <w:tc>
          <w:tcPr>
            <w:tcW w:w="865" w:type="pct"/>
            <w:tcBorders>
              <w:top w:val="nil"/>
              <w:left w:val="nil"/>
              <w:bottom w:val="single" w:color="auto" w:sz="4" w:space="0"/>
              <w:right w:val="single" w:color="auto" w:sz="4" w:space="0"/>
            </w:tcBorders>
            <w:shd w:val="clear" w:color="auto" w:fill="auto"/>
            <w:noWrap/>
            <w:vAlign w:val="center"/>
          </w:tcPr>
          <w:p w14:paraId="5D16C73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25,268,399</w:t>
            </w:r>
          </w:p>
        </w:tc>
      </w:tr>
      <w:tr w14:paraId="3185DD92">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914D1B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7EBEEAF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41" w:type="pct"/>
            <w:tcBorders>
              <w:top w:val="nil"/>
              <w:left w:val="nil"/>
              <w:bottom w:val="single" w:color="auto" w:sz="4" w:space="0"/>
              <w:right w:val="single" w:color="auto" w:sz="4" w:space="0"/>
            </w:tcBorders>
            <w:shd w:val="clear" w:color="auto" w:fill="auto"/>
            <w:noWrap/>
            <w:vAlign w:val="center"/>
          </w:tcPr>
          <w:p w14:paraId="7D49057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15,957,317</w:t>
            </w:r>
          </w:p>
        </w:tc>
        <w:tc>
          <w:tcPr>
            <w:tcW w:w="841" w:type="pct"/>
            <w:tcBorders>
              <w:top w:val="nil"/>
              <w:left w:val="nil"/>
              <w:bottom w:val="single" w:color="auto" w:sz="4" w:space="0"/>
              <w:right w:val="single" w:color="auto" w:sz="4" w:space="0"/>
            </w:tcBorders>
            <w:shd w:val="clear" w:color="auto" w:fill="auto"/>
            <w:noWrap/>
            <w:vAlign w:val="center"/>
          </w:tcPr>
          <w:p w14:paraId="7564345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18,437,432</w:t>
            </w:r>
          </w:p>
        </w:tc>
        <w:tc>
          <w:tcPr>
            <w:tcW w:w="842" w:type="pct"/>
            <w:tcBorders>
              <w:top w:val="nil"/>
              <w:left w:val="nil"/>
              <w:bottom w:val="single" w:color="auto" w:sz="4" w:space="0"/>
              <w:right w:val="single" w:color="auto" w:sz="4" w:space="0"/>
            </w:tcBorders>
            <w:shd w:val="clear" w:color="auto" w:fill="auto"/>
            <w:noWrap/>
            <w:vAlign w:val="center"/>
          </w:tcPr>
          <w:p w14:paraId="20390D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20,152,214</w:t>
            </w:r>
          </w:p>
        </w:tc>
        <w:tc>
          <w:tcPr>
            <w:tcW w:w="865" w:type="pct"/>
            <w:tcBorders>
              <w:top w:val="nil"/>
              <w:left w:val="nil"/>
              <w:bottom w:val="single" w:color="auto" w:sz="4" w:space="0"/>
              <w:right w:val="single" w:color="auto" w:sz="4" w:space="0"/>
            </w:tcBorders>
            <w:shd w:val="clear" w:color="auto" w:fill="auto"/>
            <w:noWrap/>
            <w:vAlign w:val="center"/>
          </w:tcPr>
          <w:p w14:paraId="47B979E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18,182,321</w:t>
            </w:r>
          </w:p>
        </w:tc>
      </w:tr>
      <w:tr w14:paraId="7051A1C9">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7791F74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35C8B62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1" w:type="pct"/>
            <w:tcBorders>
              <w:top w:val="nil"/>
              <w:left w:val="nil"/>
              <w:bottom w:val="single" w:color="auto" w:sz="4" w:space="0"/>
              <w:right w:val="single" w:color="auto" w:sz="4" w:space="0"/>
            </w:tcBorders>
            <w:shd w:val="clear" w:color="auto" w:fill="auto"/>
            <w:noWrap/>
            <w:vAlign w:val="center"/>
          </w:tcPr>
          <w:p w14:paraId="7000380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6,616,891</w:t>
            </w:r>
          </w:p>
        </w:tc>
        <w:tc>
          <w:tcPr>
            <w:tcW w:w="841" w:type="pct"/>
            <w:tcBorders>
              <w:top w:val="nil"/>
              <w:left w:val="nil"/>
              <w:bottom w:val="single" w:color="auto" w:sz="4" w:space="0"/>
              <w:right w:val="single" w:color="auto" w:sz="4" w:space="0"/>
            </w:tcBorders>
            <w:shd w:val="clear" w:color="auto" w:fill="auto"/>
            <w:noWrap/>
            <w:vAlign w:val="center"/>
          </w:tcPr>
          <w:p w14:paraId="537334A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7,849,644</w:t>
            </w:r>
          </w:p>
        </w:tc>
        <w:tc>
          <w:tcPr>
            <w:tcW w:w="842" w:type="pct"/>
            <w:tcBorders>
              <w:top w:val="nil"/>
              <w:left w:val="nil"/>
              <w:bottom w:val="single" w:color="auto" w:sz="4" w:space="0"/>
              <w:right w:val="single" w:color="auto" w:sz="4" w:space="0"/>
            </w:tcBorders>
            <w:shd w:val="clear" w:color="auto" w:fill="auto"/>
            <w:noWrap/>
            <w:vAlign w:val="center"/>
          </w:tcPr>
          <w:p w14:paraId="05B87E5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6,791,698</w:t>
            </w:r>
          </w:p>
        </w:tc>
        <w:tc>
          <w:tcPr>
            <w:tcW w:w="865" w:type="pct"/>
            <w:tcBorders>
              <w:top w:val="nil"/>
              <w:left w:val="nil"/>
              <w:bottom w:val="single" w:color="auto" w:sz="4" w:space="0"/>
              <w:right w:val="single" w:color="auto" w:sz="4" w:space="0"/>
            </w:tcBorders>
            <w:shd w:val="clear" w:color="auto" w:fill="auto"/>
            <w:noWrap/>
            <w:vAlign w:val="center"/>
          </w:tcPr>
          <w:p w14:paraId="11D340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7,086,078</w:t>
            </w:r>
          </w:p>
        </w:tc>
      </w:tr>
      <w:tr w14:paraId="4281F393">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6B8990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72D26DF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1" w:type="pct"/>
            <w:tcBorders>
              <w:top w:val="nil"/>
              <w:left w:val="nil"/>
              <w:bottom w:val="single" w:color="auto" w:sz="4" w:space="0"/>
              <w:right w:val="single" w:color="auto" w:sz="4" w:space="0"/>
            </w:tcBorders>
            <w:shd w:val="clear" w:color="auto" w:fill="auto"/>
            <w:noWrap/>
            <w:vAlign w:val="center"/>
          </w:tcPr>
          <w:p w14:paraId="0DD0815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5,199,370</w:t>
            </w:r>
          </w:p>
        </w:tc>
        <w:tc>
          <w:tcPr>
            <w:tcW w:w="841" w:type="pct"/>
            <w:tcBorders>
              <w:top w:val="nil"/>
              <w:left w:val="nil"/>
              <w:bottom w:val="single" w:color="auto" w:sz="4" w:space="0"/>
              <w:right w:val="single" w:color="auto" w:sz="4" w:space="0"/>
            </w:tcBorders>
            <w:shd w:val="clear" w:color="auto" w:fill="auto"/>
            <w:noWrap/>
            <w:vAlign w:val="center"/>
          </w:tcPr>
          <w:p w14:paraId="12FE58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6,837,934</w:t>
            </w:r>
          </w:p>
        </w:tc>
        <w:tc>
          <w:tcPr>
            <w:tcW w:w="842" w:type="pct"/>
            <w:tcBorders>
              <w:top w:val="nil"/>
              <w:left w:val="nil"/>
              <w:bottom w:val="single" w:color="auto" w:sz="4" w:space="0"/>
              <w:right w:val="single" w:color="auto" w:sz="4" w:space="0"/>
            </w:tcBorders>
            <w:shd w:val="clear" w:color="auto" w:fill="auto"/>
            <w:noWrap/>
            <w:vAlign w:val="center"/>
          </w:tcPr>
          <w:p w14:paraId="42885B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7,673,390</w:t>
            </w:r>
          </w:p>
        </w:tc>
        <w:tc>
          <w:tcPr>
            <w:tcW w:w="865" w:type="pct"/>
            <w:tcBorders>
              <w:top w:val="nil"/>
              <w:left w:val="nil"/>
              <w:bottom w:val="single" w:color="auto" w:sz="4" w:space="0"/>
              <w:right w:val="single" w:color="auto" w:sz="4" w:space="0"/>
            </w:tcBorders>
            <w:shd w:val="clear" w:color="auto" w:fill="auto"/>
            <w:noWrap/>
            <w:vAlign w:val="center"/>
          </w:tcPr>
          <w:p w14:paraId="041C089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6,570,231</w:t>
            </w:r>
          </w:p>
        </w:tc>
      </w:tr>
      <w:tr w14:paraId="1248770C">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E6A382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1BF808C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1" w:type="pct"/>
            <w:tcBorders>
              <w:top w:val="nil"/>
              <w:left w:val="nil"/>
              <w:bottom w:val="single" w:color="auto" w:sz="4" w:space="0"/>
              <w:right w:val="single" w:color="auto" w:sz="4" w:space="0"/>
            </w:tcBorders>
            <w:shd w:val="clear" w:color="auto" w:fill="auto"/>
            <w:noWrap/>
            <w:vAlign w:val="center"/>
          </w:tcPr>
          <w:p w14:paraId="15759C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1,417,521</w:t>
            </w:r>
          </w:p>
        </w:tc>
        <w:tc>
          <w:tcPr>
            <w:tcW w:w="841" w:type="pct"/>
            <w:tcBorders>
              <w:top w:val="nil"/>
              <w:left w:val="nil"/>
              <w:bottom w:val="single" w:color="auto" w:sz="4" w:space="0"/>
              <w:right w:val="single" w:color="auto" w:sz="4" w:space="0"/>
            </w:tcBorders>
            <w:shd w:val="clear" w:color="auto" w:fill="auto"/>
            <w:noWrap/>
            <w:vAlign w:val="center"/>
          </w:tcPr>
          <w:p w14:paraId="5BFCDFC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1,011,710</w:t>
            </w:r>
          </w:p>
        </w:tc>
        <w:tc>
          <w:tcPr>
            <w:tcW w:w="842" w:type="pct"/>
            <w:tcBorders>
              <w:top w:val="nil"/>
              <w:left w:val="nil"/>
              <w:bottom w:val="single" w:color="auto" w:sz="4" w:space="0"/>
              <w:right w:val="single" w:color="auto" w:sz="4" w:space="0"/>
            </w:tcBorders>
            <w:shd w:val="clear" w:color="auto" w:fill="auto"/>
            <w:noWrap/>
            <w:vAlign w:val="center"/>
          </w:tcPr>
          <w:p w14:paraId="0F2275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-881,692</w:t>
            </w:r>
          </w:p>
        </w:tc>
        <w:tc>
          <w:tcPr>
            <w:tcW w:w="865" w:type="pct"/>
            <w:tcBorders>
              <w:top w:val="nil"/>
              <w:left w:val="nil"/>
              <w:bottom w:val="single" w:color="auto" w:sz="4" w:space="0"/>
              <w:right w:val="single" w:color="auto" w:sz="4" w:space="0"/>
            </w:tcBorders>
            <w:shd w:val="clear" w:color="auto" w:fill="auto"/>
            <w:noWrap/>
            <w:vAlign w:val="center"/>
          </w:tcPr>
          <w:p w14:paraId="3804269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515,846</w:t>
            </w:r>
          </w:p>
        </w:tc>
      </w:tr>
      <w:tr w14:paraId="65AA0230">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10BD03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3D3EB08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41" w:type="pct"/>
            <w:tcBorders>
              <w:top w:val="nil"/>
              <w:left w:val="nil"/>
              <w:bottom w:val="single" w:color="auto" w:sz="4" w:space="0"/>
              <w:right w:val="single" w:color="auto" w:sz="4" w:space="0"/>
            </w:tcBorders>
            <w:shd w:val="clear" w:color="auto" w:fill="auto"/>
            <w:noWrap/>
            <w:vAlign w:val="center"/>
          </w:tcPr>
          <w:p w14:paraId="29081FBD">
            <w:pPr>
              <w:jc w:val="right"/>
              <w:rPr>
                <w:rFonts w:ascii="华文楷体" w:hAnsi="华文楷体" w:eastAsia="华文楷体" w:cs="宋体"/>
                <w:color w:val="000000"/>
                <w:sz w:val="18"/>
                <w:szCs w:val="18"/>
              </w:rPr>
            </w:pPr>
          </w:p>
        </w:tc>
        <w:tc>
          <w:tcPr>
            <w:tcW w:w="841" w:type="pct"/>
            <w:tcBorders>
              <w:top w:val="nil"/>
              <w:left w:val="nil"/>
              <w:bottom w:val="single" w:color="auto" w:sz="4" w:space="0"/>
              <w:right w:val="single" w:color="auto" w:sz="4" w:space="0"/>
            </w:tcBorders>
            <w:shd w:val="clear" w:color="auto" w:fill="auto"/>
            <w:noWrap/>
            <w:vAlign w:val="center"/>
          </w:tcPr>
          <w:p w14:paraId="37B66708">
            <w:pPr>
              <w:jc w:val="right"/>
              <w:rPr>
                <w:rFonts w:ascii="华文楷体" w:hAnsi="华文楷体" w:eastAsia="华文楷体" w:cs="宋体"/>
                <w:color w:val="000000"/>
                <w:sz w:val="18"/>
                <w:szCs w:val="18"/>
              </w:rPr>
            </w:pPr>
          </w:p>
        </w:tc>
        <w:tc>
          <w:tcPr>
            <w:tcW w:w="842" w:type="pct"/>
            <w:tcBorders>
              <w:top w:val="nil"/>
              <w:left w:val="nil"/>
              <w:bottom w:val="single" w:color="auto" w:sz="4" w:space="0"/>
              <w:right w:val="single" w:color="auto" w:sz="4" w:space="0"/>
            </w:tcBorders>
            <w:shd w:val="clear" w:color="auto" w:fill="auto"/>
            <w:noWrap/>
            <w:vAlign w:val="center"/>
          </w:tcPr>
          <w:p w14:paraId="6B9B81C9">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47CEDABB">
            <w:pPr>
              <w:jc w:val="right"/>
              <w:rPr>
                <w:rFonts w:ascii="华文楷体" w:hAnsi="华文楷体" w:eastAsia="华文楷体" w:cs="宋体"/>
                <w:color w:val="000000"/>
                <w:sz w:val="18"/>
                <w:szCs w:val="18"/>
              </w:rPr>
            </w:pPr>
          </w:p>
        </w:tc>
      </w:tr>
      <w:tr w14:paraId="36E9A689">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4F81BD"/>
            <w:noWrap/>
            <w:vAlign w:val="center"/>
          </w:tcPr>
          <w:p w14:paraId="4622C580">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3EFFA614">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41" w:type="pct"/>
            <w:tcBorders>
              <w:top w:val="nil"/>
              <w:left w:val="nil"/>
              <w:bottom w:val="single" w:color="auto" w:sz="4" w:space="0"/>
              <w:right w:val="single" w:color="auto" w:sz="4" w:space="0"/>
            </w:tcBorders>
            <w:shd w:val="clear" w:color="auto" w:fill="4F81BD"/>
            <w:noWrap/>
            <w:vAlign w:val="center"/>
          </w:tcPr>
          <w:p w14:paraId="70931A4A">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6.70%</w:t>
            </w:r>
          </w:p>
        </w:tc>
        <w:tc>
          <w:tcPr>
            <w:tcW w:w="841" w:type="pct"/>
            <w:tcBorders>
              <w:top w:val="nil"/>
              <w:left w:val="nil"/>
              <w:bottom w:val="single" w:color="auto" w:sz="4" w:space="0"/>
              <w:right w:val="single" w:color="auto" w:sz="4" w:space="0"/>
            </w:tcBorders>
            <w:shd w:val="clear" w:color="auto" w:fill="4F81BD"/>
            <w:noWrap/>
            <w:vAlign w:val="center"/>
          </w:tcPr>
          <w:p w14:paraId="56647E9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4.00%</w:t>
            </w:r>
          </w:p>
        </w:tc>
        <w:tc>
          <w:tcPr>
            <w:tcW w:w="842" w:type="pct"/>
            <w:tcBorders>
              <w:top w:val="nil"/>
              <w:left w:val="nil"/>
              <w:bottom w:val="single" w:color="auto" w:sz="4" w:space="0"/>
              <w:right w:val="single" w:color="auto" w:sz="4" w:space="0"/>
            </w:tcBorders>
            <w:shd w:val="clear" w:color="auto" w:fill="4F81BD"/>
            <w:noWrap/>
            <w:vAlign w:val="center"/>
          </w:tcPr>
          <w:p w14:paraId="685974D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-3.17%</w:t>
            </w:r>
          </w:p>
        </w:tc>
        <w:tc>
          <w:tcPr>
            <w:tcW w:w="865" w:type="pct"/>
            <w:tcBorders>
              <w:top w:val="nil"/>
              <w:left w:val="nil"/>
              <w:bottom w:val="single" w:color="auto" w:sz="4" w:space="0"/>
              <w:right w:val="single" w:color="auto" w:sz="4" w:space="0"/>
            </w:tcBorders>
            <w:shd w:val="clear" w:color="auto" w:fill="4F81BD"/>
            <w:noWrap/>
            <w:vAlign w:val="center"/>
          </w:tcPr>
          <w:p w14:paraId="4AE4645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2.08%</w:t>
            </w:r>
          </w:p>
        </w:tc>
      </w:tr>
    </w:tbl>
    <w:p w14:paraId="3CA69C34">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p w14:paraId="75FF6521">
      <w:pPr>
        <w:snapToGrid w:val="0"/>
        <w:ind w:left="0"/>
        <w:rPr>
          <w:rFonts w:ascii="Arial" w:hAnsi="Arial" w:eastAsia="微软雅黑" w:cs="Arial"/>
          <w:b/>
          <w:bCs/>
          <w:color w:val="3F9C35"/>
          <w:sz w:val="28"/>
          <w:szCs w:val="22"/>
          <w:highlight w:val="yellow"/>
        </w:rPr>
      </w:pPr>
    </w:p>
    <w:p w14:paraId="61D78C7C">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58"/>
        <w:gridCol w:w="1087"/>
        <w:gridCol w:w="1504"/>
        <w:gridCol w:w="1504"/>
        <w:gridCol w:w="1504"/>
        <w:gridCol w:w="1509"/>
      </w:tblGrid>
      <w:tr w14:paraId="0CD6867B">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53567A9">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15）Shri Balaji Valve Components Limited</w:t>
            </w:r>
          </w:p>
        </w:tc>
      </w:tr>
      <w:tr w14:paraId="09B97DE1">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1CF1C61F">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股票代码:544074</w:t>
            </w:r>
          </w:p>
        </w:tc>
        <w:tc>
          <w:tcPr>
            <w:tcW w:w="515" w:type="pct"/>
            <w:vMerge w:val="restart"/>
            <w:tcBorders>
              <w:top w:val="nil"/>
              <w:left w:val="single" w:color="auto" w:sz="4" w:space="0"/>
              <w:bottom w:val="single" w:color="auto" w:sz="4" w:space="0"/>
              <w:right w:val="single" w:color="auto" w:sz="4" w:space="0"/>
            </w:tcBorders>
            <w:shd w:val="clear" w:color="000000" w:fill="C6D9F1"/>
            <w:noWrap/>
            <w:vAlign w:val="center"/>
          </w:tcPr>
          <w:p w14:paraId="024A57E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791AD4B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155F593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05EF1ACF">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40E419AB">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E973902">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2C1EE28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15" w:type="pct"/>
            <w:vMerge w:val="continue"/>
            <w:tcBorders>
              <w:top w:val="nil"/>
              <w:left w:val="single" w:color="auto" w:sz="4" w:space="0"/>
              <w:bottom w:val="single" w:color="auto" w:sz="4" w:space="0"/>
              <w:right w:val="single" w:color="auto" w:sz="4" w:space="0"/>
            </w:tcBorders>
            <w:vAlign w:val="center"/>
          </w:tcPr>
          <w:p w14:paraId="37E51AF4">
            <w:pPr>
              <w:snapToGrid w:val="0"/>
              <w:spacing w:before="0" w:after="0"/>
              <w:ind w:left="0" w:right="0"/>
              <w:jc w:val="left"/>
              <w:rPr>
                <w:rFonts w:ascii="微软雅黑" w:hAnsi="微软雅黑" w:eastAsia="微软雅黑" w:cs="宋体"/>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6B47C82C">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BD72F67">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49426027">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126F9AED">
            <w:pPr>
              <w:snapToGrid w:val="0"/>
              <w:spacing w:before="0" w:after="0"/>
              <w:ind w:left="0" w:right="0"/>
              <w:jc w:val="left"/>
              <w:rPr>
                <w:rFonts w:ascii="微软雅黑" w:hAnsi="微软雅黑" w:eastAsia="微软雅黑" w:cs="宋体"/>
                <w:b/>
                <w:bCs/>
                <w:sz w:val="18"/>
                <w:szCs w:val="18"/>
              </w:rPr>
            </w:pPr>
          </w:p>
        </w:tc>
      </w:tr>
      <w:tr w14:paraId="7D48199F">
        <w:tblPrEx>
          <w:tblCellMar>
            <w:top w:w="0" w:type="dxa"/>
            <w:left w:w="108" w:type="dxa"/>
            <w:bottom w:w="0" w:type="dxa"/>
            <w:right w:w="108" w:type="dxa"/>
          </w:tblCellMar>
        </w:tblPrEx>
        <w:trPr>
          <w:trHeight w:val="397"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A72E36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15" w:type="pct"/>
            <w:tcBorders>
              <w:top w:val="nil"/>
              <w:left w:val="nil"/>
              <w:bottom w:val="single" w:color="auto" w:sz="4" w:space="0"/>
              <w:right w:val="single" w:color="auto" w:sz="4" w:space="0"/>
            </w:tcBorders>
            <w:shd w:val="clear" w:color="auto" w:fill="auto"/>
            <w:noWrap/>
            <w:vAlign w:val="center"/>
          </w:tcPr>
          <w:p w14:paraId="548BED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79" w:type="pct"/>
            <w:tcBorders>
              <w:top w:val="nil"/>
              <w:left w:val="nil"/>
              <w:bottom w:val="single" w:color="auto" w:sz="4" w:space="0"/>
              <w:right w:val="single" w:color="auto" w:sz="4" w:space="0"/>
            </w:tcBorders>
            <w:shd w:val="clear" w:color="auto" w:fill="auto"/>
            <w:noWrap/>
            <w:vAlign w:val="center"/>
          </w:tcPr>
          <w:p w14:paraId="172D6D3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354,200</w:t>
            </w:r>
          </w:p>
        </w:tc>
        <w:tc>
          <w:tcPr>
            <w:tcW w:w="879" w:type="pct"/>
            <w:tcBorders>
              <w:top w:val="nil"/>
              <w:left w:val="nil"/>
              <w:bottom w:val="single" w:color="auto" w:sz="4" w:space="0"/>
              <w:right w:val="single" w:color="auto" w:sz="4" w:space="0"/>
            </w:tcBorders>
            <w:shd w:val="clear" w:color="auto" w:fill="auto"/>
            <w:noWrap/>
            <w:vAlign w:val="center"/>
          </w:tcPr>
          <w:p w14:paraId="44C4B2B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565,061</w:t>
            </w:r>
          </w:p>
        </w:tc>
        <w:tc>
          <w:tcPr>
            <w:tcW w:w="879" w:type="pct"/>
            <w:tcBorders>
              <w:top w:val="nil"/>
              <w:left w:val="nil"/>
              <w:bottom w:val="single" w:color="auto" w:sz="4" w:space="0"/>
              <w:right w:val="single" w:color="auto" w:sz="4" w:space="0"/>
            </w:tcBorders>
            <w:shd w:val="clear" w:color="auto" w:fill="auto"/>
            <w:noWrap/>
            <w:vAlign w:val="center"/>
          </w:tcPr>
          <w:p w14:paraId="49093CD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715,407</w:t>
            </w:r>
          </w:p>
        </w:tc>
        <w:tc>
          <w:tcPr>
            <w:tcW w:w="879" w:type="pct"/>
            <w:tcBorders>
              <w:top w:val="nil"/>
              <w:left w:val="nil"/>
              <w:bottom w:val="single" w:color="auto" w:sz="4" w:space="0"/>
              <w:right w:val="single" w:color="auto" w:sz="4" w:space="0"/>
            </w:tcBorders>
            <w:shd w:val="clear" w:color="auto" w:fill="auto"/>
            <w:noWrap/>
            <w:vAlign w:val="center"/>
          </w:tcPr>
          <w:p w14:paraId="026F276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544,889</w:t>
            </w:r>
          </w:p>
        </w:tc>
      </w:tr>
      <w:tr w14:paraId="3DB98447">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520BDC3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15" w:type="pct"/>
            <w:tcBorders>
              <w:top w:val="nil"/>
              <w:left w:val="nil"/>
              <w:bottom w:val="single" w:color="auto" w:sz="4" w:space="0"/>
              <w:right w:val="single" w:color="auto" w:sz="4" w:space="0"/>
            </w:tcBorders>
            <w:shd w:val="clear" w:color="auto" w:fill="auto"/>
            <w:noWrap/>
            <w:vAlign w:val="center"/>
          </w:tcPr>
          <w:p w14:paraId="2C0C8A6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79" w:type="pct"/>
            <w:tcBorders>
              <w:top w:val="nil"/>
              <w:left w:val="nil"/>
              <w:bottom w:val="single" w:color="auto" w:sz="4" w:space="0"/>
              <w:right w:val="single" w:color="auto" w:sz="4" w:space="0"/>
            </w:tcBorders>
            <w:shd w:val="clear" w:color="auto" w:fill="auto"/>
            <w:noWrap/>
            <w:vAlign w:val="center"/>
          </w:tcPr>
          <w:p w14:paraId="7825F8B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240,794</w:t>
            </w:r>
          </w:p>
        </w:tc>
        <w:tc>
          <w:tcPr>
            <w:tcW w:w="879" w:type="pct"/>
            <w:tcBorders>
              <w:top w:val="nil"/>
              <w:left w:val="nil"/>
              <w:bottom w:val="single" w:color="auto" w:sz="4" w:space="0"/>
              <w:right w:val="single" w:color="auto" w:sz="4" w:space="0"/>
            </w:tcBorders>
            <w:shd w:val="clear" w:color="auto" w:fill="auto"/>
            <w:noWrap/>
            <w:vAlign w:val="center"/>
          </w:tcPr>
          <w:p w14:paraId="63C27A63">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369,652</w:t>
            </w:r>
          </w:p>
        </w:tc>
        <w:tc>
          <w:tcPr>
            <w:tcW w:w="879" w:type="pct"/>
            <w:tcBorders>
              <w:top w:val="nil"/>
              <w:left w:val="nil"/>
              <w:bottom w:val="single" w:color="auto" w:sz="4" w:space="0"/>
              <w:right w:val="single" w:color="auto" w:sz="4" w:space="0"/>
            </w:tcBorders>
            <w:shd w:val="clear" w:color="auto" w:fill="auto"/>
            <w:noWrap/>
            <w:vAlign w:val="center"/>
          </w:tcPr>
          <w:p w14:paraId="36DE0AF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500,675</w:t>
            </w:r>
          </w:p>
        </w:tc>
        <w:tc>
          <w:tcPr>
            <w:tcW w:w="879" w:type="pct"/>
            <w:tcBorders>
              <w:top w:val="nil"/>
              <w:left w:val="nil"/>
              <w:bottom w:val="single" w:color="auto" w:sz="4" w:space="0"/>
              <w:right w:val="single" w:color="auto" w:sz="4" w:space="0"/>
            </w:tcBorders>
            <w:shd w:val="clear" w:color="auto" w:fill="auto"/>
            <w:noWrap/>
            <w:vAlign w:val="center"/>
          </w:tcPr>
          <w:p w14:paraId="7F56BD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370,374</w:t>
            </w:r>
          </w:p>
        </w:tc>
      </w:tr>
      <w:tr w14:paraId="27C5B86B">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11146D7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15" w:type="pct"/>
            <w:tcBorders>
              <w:top w:val="nil"/>
              <w:left w:val="nil"/>
              <w:bottom w:val="single" w:color="auto" w:sz="4" w:space="0"/>
              <w:right w:val="single" w:color="auto" w:sz="4" w:space="0"/>
            </w:tcBorders>
            <w:shd w:val="clear" w:color="auto" w:fill="auto"/>
            <w:noWrap/>
            <w:vAlign w:val="center"/>
          </w:tcPr>
          <w:p w14:paraId="57B72C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79" w:type="pct"/>
            <w:tcBorders>
              <w:top w:val="nil"/>
              <w:left w:val="nil"/>
              <w:bottom w:val="single" w:color="auto" w:sz="4" w:space="0"/>
              <w:right w:val="single" w:color="auto" w:sz="4" w:space="0"/>
            </w:tcBorders>
            <w:shd w:val="clear" w:color="auto" w:fill="auto"/>
            <w:noWrap/>
            <w:vAlign w:val="center"/>
          </w:tcPr>
          <w:p w14:paraId="293D3532">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113,406</w:t>
            </w:r>
          </w:p>
        </w:tc>
        <w:tc>
          <w:tcPr>
            <w:tcW w:w="879" w:type="pct"/>
            <w:tcBorders>
              <w:top w:val="nil"/>
              <w:left w:val="nil"/>
              <w:bottom w:val="single" w:color="auto" w:sz="4" w:space="0"/>
              <w:right w:val="single" w:color="auto" w:sz="4" w:space="0"/>
            </w:tcBorders>
            <w:shd w:val="clear" w:color="auto" w:fill="auto"/>
            <w:noWrap/>
            <w:vAlign w:val="center"/>
          </w:tcPr>
          <w:p w14:paraId="2C2E786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195,409</w:t>
            </w:r>
          </w:p>
        </w:tc>
        <w:tc>
          <w:tcPr>
            <w:tcW w:w="879" w:type="pct"/>
            <w:tcBorders>
              <w:top w:val="nil"/>
              <w:left w:val="nil"/>
              <w:bottom w:val="single" w:color="auto" w:sz="4" w:space="0"/>
              <w:right w:val="single" w:color="auto" w:sz="4" w:space="0"/>
            </w:tcBorders>
            <w:shd w:val="clear" w:color="auto" w:fill="auto"/>
            <w:noWrap/>
            <w:vAlign w:val="center"/>
          </w:tcPr>
          <w:p w14:paraId="0DCE254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214,732</w:t>
            </w:r>
          </w:p>
        </w:tc>
        <w:tc>
          <w:tcPr>
            <w:tcW w:w="879" w:type="pct"/>
            <w:tcBorders>
              <w:top w:val="nil"/>
              <w:left w:val="nil"/>
              <w:bottom w:val="single" w:color="auto" w:sz="4" w:space="0"/>
              <w:right w:val="single" w:color="auto" w:sz="4" w:space="0"/>
            </w:tcBorders>
            <w:shd w:val="clear" w:color="auto" w:fill="auto"/>
            <w:noWrap/>
            <w:vAlign w:val="center"/>
          </w:tcPr>
          <w:p w14:paraId="38797D3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174,516</w:t>
            </w:r>
          </w:p>
        </w:tc>
      </w:tr>
      <w:tr w14:paraId="189D0B6A">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740AA0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15" w:type="pct"/>
            <w:tcBorders>
              <w:top w:val="nil"/>
              <w:left w:val="nil"/>
              <w:bottom w:val="single" w:color="auto" w:sz="4" w:space="0"/>
              <w:right w:val="single" w:color="auto" w:sz="4" w:space="0"/>
            </w:tcBorders>
            <w:shd w:val="clear" w:color="auto" w:fill="auto"/>
            <w:noWrap/>
            <w:vAlign w:val="center"/>
          </w:tcPr>
          <w:p w14:paraId="36C6A6A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79" w:type="pct"/>
            <w:tcBorders>
              <w:top w:val="nil"/>
              <w:left w:val="nil"/>
              <w:bottom w:val="single" w:color="auto" w:sz="4" w:space="0"/>
              <w:right w:val="single" w:color="auto" w:sz="4" w:space="0"/>
            </w:tcBorders>
            <w:shd w:val="clear" w:color="auto" w:fill="auto"/>
            <w:noWrap/>
            <w:vAlign w:val="center"/>
          </w:tcPr>
          <w:p w14:paraId="7DF346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124,664</w:t>
            </w:r>
          </w:p>
        </w:tc>
        <w:tc>
          <w:tcPr>
            <w:tcW w:w="879" w:type="pct"/>
            <w:tcBorders>
              <w:top w:val="nil"/>
              <w:left w:val="nil"/>
              <w:bottom w:val="single" w:color="auto" w:sz="4" w:space="0"/>
              <w:right w:val="single" w:color="auto" w:sz="4" w:space="0"/>
            </w:tcBorders>
            <w:shd w:val="clear" w:color="auto" w:fill="auto"/>
            <w:noWrap/>
            <w:vAlign w:val="center"/>
          </w:tcPr>
          <w:p w14:paraId="78D733E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159,785</w:t>
            </w:r>
          </w:p>
        </w:tc>
        <w:tc>
          <w:tcPr>
            <w:tcW w:w="879" w:type="pct"/>
            <w:tcBorders>
              <w:top w:val="nil"/>
              <w:left w:val="nil"/>
              <w:bottom w:val="single" w:color="auto" w:sz="4" w:space="0"/>
              <w:right w:val="single" w:color="auto" w:sz="4" w:space="0"/>
            </w:tcBorders>
            <w:shd w:val="clear" w:color="auto" w:fill="auto"/>
            <w:noWrap/>
            <w:vAlign w:val="center"/>
          </w:tcPr>
          <w:p w14:paraId="72F05C1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203,095</w:t>
            </w:r>
          </w:p>
        </w:tc>
        <w:tc>
          <w:tcPr>
            <w:tcW w:w="879" w:type="pct"/>
            <w:tcBorders>
              <w:top w:val="nil"/>
              <w:left w:val="nil"/>
              <w:bottom w:val="single" w:color="auto" w:sz="4" w:space="0"/>
              <w:right w:val="single" w:color="auto" w:sz="4" w:space="0"/>
            </w:tcBorders>
            <w:shd w:val="clear" w:color="auto" w:fill="auto"/>
            <w:noWrap/>
            <w:vAlign w:val="center"/>
          </w:tcPr>
          <w:p w14:paraId="0A090F4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162,515</w:t>
            </w:r>
          </w:p>
        </w:tc>
      </w:tr>
      <w:tr w14:paraId="52142C7C">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5BCBA07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15" w:type="pct"/>
            <w:tcBorders>
              <w:top w:val="nil"/>
              <w:left w:val="nil"/>
              <w:bottom w:val="single" w:color="auto" w:sz="4" w:space="0"/>
              <w:right w:val="single" w:color="auto" w:sz="4" w:space="0"/>
            </w:tcBorders>
            <w:shd w:val="clear" w:color="auto" w:fill="auto"/>
            <w:noWrap/>
            <w:vAlign w:val="center"/>
          </w:tcPr>
          <w:p w14:paraId="2DD7256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79" w:type="pct"/>
            <w:tcBorders>
              <w:top w:val="nil"/>
              <w:left w:val="nil"/>
              <w:bottom w:val="single" w:color="auto" w:sz="4" w:space="0"/>
              <w:right w:val="single" w:color="auto" w:sz="4" w:space="0"/>
            </w:tcBorders>
            <w:shd w:val="clear" w:color="auto" w:fill="auto"/>
            <w:noWrap/>
            <w:vAlign w:val="center"/>
          </w:tcPr>
          <w:p w14:paraId="31C3DC0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-11,258</w:t>
            </w:r>
          </w:p>
        </w:tc>
        <w:tc>
          <w:tcPr>
            <w:tcW w:w="879" w:type="pct"/>
            <w:tcBorders>
              <w:top w:val="nil"/>
              <w:left w:val="nil"/>
              <w:bottom w:val="single" w:color="auto" w:sz="4" w:space="0"/>
              <w:right w:val="single" w:color="auto" w:sz="4" w:space="0"/>
            </w:tcBorders>
            <w:shd w:val="clear" w:color="auto" w:fill="auto"/>
            <w:noWrap/>
            <w:vAlign w:val="center"/>
          </w:tcPr>
          <w:p w14:paraId="41DBF3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35,624</w:t>
            </w:r>
          </w:p>
        </w:tc>
        <w:tc>
          <w:tcPr>
            <w:tcW w:w="879" w:type="pct"/>
            <w:tcBorders>
              <w:top w:val="nil"/>
              <w:left w:val="nil"/>
              <w:bottom w:val="single" w:color="auto" w:sz="4" w:space="0"/>
              <w:right w:val="single" w:color="auto" w:sz="4" w:space="0"/>
            </w:tcBorders>
            <w:shd w:val="clear" w:color="auto" w:fill="auto"/>
            <w:noWrap/>
            <w:vAlign w:val="center"/>
          </w:tcPr>
          <w:p w14:paraId="2E1B0BE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11,637</w:t>
            </w:r>
          </w:p>
        </w:tc>
        <w:tc>
          <w:tcPr>
            <w:tcW w:w="879" w:type="pct"/>
            <w:tcBorders>
              <w:top w:val="nil"/>
              <w:left w:val="nil"/>
              <w:bottom w:val="single" w:color="auto" w:sz="4" w:space="0"/>
              <w:right w:val="single" w:color="auto" w:sz="4" w:space="0"/>
            </w:tcBorders>
            <w:shd w:val="clear" w:color="auto" w:fill="auto"/>
            <w:noWrap/>
            <w:vAlign w:val="center"/>
          </w:tcPr>
          <w:p w14:paraId="5EA3EEF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12,001</w:t>
            </w:r>
          </w:p>
        </w:tc>
      </w:tr>
      <w:tr w14:paraId="0D949AC5">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AFB834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15" w:type="pct"/>
            <w:tcBorders>
              <w:top w:val="nil"/>
              <w:left w:val="nil"/>
              <w:bottom w:val="single" w:color="auto" w:sz="4" w:space="0"/>
              <w:right w:val="single" w:color="auto" w:sz="4" w:space="0"/>
            </w:tcBorders>
            <w:shd w:val="clear" w:color="auto" w:fill="auto"/>
            <w:noWrap/>
            <w:vAlign w:val="center"/>
          </w:tcPr>
          <w:p w14:paraId="4DE96DF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79" w:type="pct"/>
            <w:tcBorders>
              <w:top w:val="nil"/>
              <w:left w:val="nil"/>
              <w:bottom w:val="single" w:color="auto" w:sz="4" w:space="0"/>
              <w:right w:val="single" w:color="auto" w:sz="4" w:space="0"/>
            </w:tcBorders>
            <w:shd w:val="clear" w:color="auto" w:fill="auto"/>
            <w:noWrap/>
            <w:vAlign w:val="center"/>
          </w:tcPr>
          <w:p w14:paraId="0F2CE877">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48DECC23">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264A2951">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61FD0A9">
            <w:pPr>
              <w:jc w:val="right"/>
              <w:rPr>
                <w:rFonts w:ascii="华文楷体" w:hAnsi="华文楷体" w:eastAsia="华文楷体" w:cs="宋体"/>
                <w:color w:val="000000"/>
                <w:sz w:val="18"/>
                <w:szCs w:val="18"/>
              </w:rPr>
            </w:pPr>
          </w:p>
        </w:tc>
      </w:tr>
      <w:tr w14:paraId="375E7EC7">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4F81BD"/>
            <w:noWrap/>
            <w:vAlign w:val="center"/>
          </w:tcPr>
          <w:p w14:paraId="190233F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15" w:type="pct"/>
            <w:tcBorders>
              <w:top w:val="nil"/>
              <w:left w:val="nil"/>
              <w:bottom w:val="single" w:color="auto" w:sz="4" w:space="0"/>
              <w:right w:val="single" w:color="auto" w:sz="4" w:space="0"/>
            </w:tcBorders>
            <w:shd w:val="clear" w:color="auto" w:fill="4F81BD"/>
            <w:noWrap/>
            <w:vAlign w:val="center"/>
          </w:tcPr>
          <w:p w14:paraId="0490274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79" w:type="pct"/>
            <w:tcBorders>
              <w:top w:val="nil"/>
              <w:left w:val="nil"/>
              <w:bottom w:val="single" w:color="auto" w:sz="4" w:space="0"/>
              <w:right w:val="single" w:color="auto" w:sz="4" w:space="0"/>
            </w:tcBorders>
            <w:shd w:val="clear" w:color="auto" w:fill="4F81BD"/>
            <w:noWrap/>
            <w:vAlign w:val="center"/>
          </w:tcPr>
          <w:p w14:paraId="293FB08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-3.08%</w:t>
            </w:r>
          </w:p>
        </w:tc>
        <w:tc>
          <w:tcPr>
            <w:tcW w:w="879" w:type="pct"/>
            <w:tcBorders>
              <w:top w:val="nil"/>
              <w:left w:val="nil"/>
              <w:bottom w:val="single" w:color="auto" w:sz="4" w:space="0"/>
              <w:right w:val="single" w:color="auto" w:sz="4" w:space="0"/>
            </w:tcBorders>
            <w:shd w:val="clear" w:color="auto" w:fill="4F81BD"/>
            <w:noWrap/>
            <w:vAlign w:val="center"/>
          </w:tcPr>
          <w:p w14:paraId="0B62F2F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6.73%</w:t>
            </w:r>
          </w:p>
        </w:tc>
        <w:tc>
          <w:tcPr>
            <w:tcW w:w="879" w:type="pct"/>
            <w:tcBorders>
              <w:top w:val="nil"/>
              <w:left w:val="nil"/>
              <w:bottom w:val="single" w:color="auto" w:sz="4" w:space="0"/>
              <w:right w:val="single" w:color="auto" w:sz="4" w:space="0"/>
            </w:tcBorders>
            <w:shd w:val="clear" w:color="auto" w:fill="4F81BD"/>
            <w:noWrap/>
            <w:vAlign w:val="center"/>
          </w:tcPr>
          <w:p w14:paraId="6E0EFC9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1.65%</w:t>
            </w:r>
          </w:p>
        </w:tc>
        <w:tc>
          <w:tcPr>
            <w:tcW w:w="879" w:type="pct"/>
            <w:tcBorders>
              <w:top w:val="nil"/>
              <w:left w:val="nil"/>
              <w:bottom w:val="single" w:color="auto" w:sz="4" w:space="0"/>
              <w:right w:val="single" w:color="auto" w:sz="4" w:space="0"/>
            </w:tcBorders>
            <w:shd w:val="clear" w:color="auto" w:fill="4F81BD"/>
            <w:noWrap/>
            <w:vAlign w:val="center"/>
          </w:tcPr>
          <w:p w14:paraId="4FFCFC0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2.25%</w:t>
            </w:r>
          </w:p>
        </w:tc>
      </w:tr>
    </w:tbl>
    <w:p w14:paraId="3F325C07">
      <w:pPr>
        <w:snapToGrid w:val="0"/>
        <w:ind w:left="0"/>
        <w:rPr>
          <w:rFonts w:ascii="Arial" w:hAnsi="Arial" w:eastAsia="微软雅黑" w:cs="Arial"/>
          <w:b/>
          <w:bCs/>
          <w:color w:val="3F9C35"/>
          <w:sz w:val="28"/>
          <w:szCs w:val="22"/>
          <w:highlight w:val="yellow"/>
        </w:rPr>
      </w:pPr>
    </w:p>
    <w:p w14:paraId="0A015A2E">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96"/>
        <w:gridCol w:w="1115"/>
        <w:gridCol w:w="1478"/>
        <w:gridCol w:w="1480"/>
        <w:gridCol w:w="1480"/>
        <w:gridCol w:w="1517"/>
      </w:tblGrid>
      <w:tr w14:paraId="58699A72">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0ED3DD2">
            <w:pPr>
              <w:snapToGrid w:val="0"/>
              <w:spacing w:before="0" w:after="0"/>
              <w:ind w:left="0" w:right="0"/>
              <w:jc w:val="left"/>
              <w:rPr>
                <w:rFonts w:ascii="Arial" w:hAnsi="Arial" w:eastAsia="等线" w:cs="Arial"/>
                <w:b/>
                <w:bCs/>
                <w:color w:val="FFFFFF"/>
                <w:sz w:val="18"/>
                <w:szCs w:val="18"/>
              </w:rPr>
            </w:pPr>
            <w:r>
              <w:rPr>
                <w:rFonts w:ascii="Arial" w:hAnsi="Arial" w:eastAsia="等线"/>
                <w:b/>
                <w:bCs/>
                <w:color w:val="FFFFFF"/>
                <w:sz w:val="18"/>
                <w:szCs w:val="18"/>
                <w:highlight w:val="none"/>
              </w:rPr>
              <w:t xml:space="preserve">16）Meson Valves India Limited</w:t>
            </w:r>
            <w:r>
              <w:rPr>
                <w:rFonts w:hint="eastAsia" w:ascii="Arial" w:hAnsi="Arial" w:eastAsia="等线"/>
                <w:b/>
                <w:bCs/>
                <w:color w:val="FFFFFF"/>
                <w:sz w:val="18"/>
                <w:szCs w:val="18"/>
              </w:rPr>
              <w:t/>
            </w:r>
            <w:r>
              <w:rPr>
                <w:rFonts w:ascii="Arial" w:hAnsi="Arial" w:eastAsia="等线"/>
                <w:b/>
                <w:bCs/>
                <w:color w:val="FFFFFF"/>
                <w:sz w:val="18"/>
                <w:szCs w:val="18"/>
                <w:highlight w:val="none"/>
              </w:rPr>
              <w:t/>
            </w:r>
          </w:p>
        </w:tc>
      </w:tr>
      <w:tr w14:paraId="0BC39021">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6656FCA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股票代码:543982</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32285CF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color w:val="auto"/>
                <w:sz w:val="18"/>
                <w:szCs w:val="18"/>
              </w:rPr>
              <w:t>公式</w:t>
            </w:r>
          </w:p>
        </w:tc>
        <w:tc>
          <w:tcPr>
            <w:tcW w:w="843" w:type="pct"/>
            <w:vMerge w:val="restart"/>
            <w:tcBorders>
              <w:top w:val="nil"/>
              <w:left w:val="single" w:color="auto" w:sz="4" w:space="0"/>
              <w:bottom w:val="single" w:color="auto" w:sz="4" w:space="0"/>
              <w:right w:val="single" w:color="auto" w:sz="4" w:space="0"/>
            </w:tcBorders>
            <w:shd w:val="clear" w:color="000000" w:fill="C6D9F1"/>
            <w:noWrap/>
            <w:vAlign w:val="center"/>
          </w:tcPr>
          <w:p w14:paraId="5182C9E4">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2021</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21881416">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2022</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7C7744D0">
            <w:pPr>
              <w:snapToGrid w:val="0"/>
              <w:spacing w:before="0" w:after="0"/>
              <w:ind w:left="0" w:right="0"/>
              <w:jc w:val="center"/>
              <w:rPr>
                <w:rFonts w:ascii="Arial" w:hAnsi="Arial" w:eastAsia="等线" w:cs="Arial"/>
                <w:b/>
                <w:bCs/>
                <w:sz w:val="18"/>
                <w:szCs w:val="18"/>
              </w:rPr>
            </w:pPr>
            <w:r>
              <w:rPr>
                <w:rFonts w:hint="eastAsia" w:ascii="微软雅黑" w:hAnsi="微软雅黑" w:eastAsia="微软雅黑" w:cs="宋体"/>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0697E1F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205E6D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687CF09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1C26D050">
            <w:pPr>
              <w:snapToGrid w:val="0"/>
              <w:spacing w:before="0" w:after="0"/>
              <w:ind w:left="0" w:right="0"/>
              <w:jc w:val="left"/>
              <w:rPr>
                <w:rFonts w:ascii="微软雅黑" w:hAnsi="微软雅黑" w:eastAsia="微软雅黑" w:cs="宋体"/>
                <w:b/>
                <w:bCs/>
                <w:sz w:val="18"/>
                <w:szCs w:val="18"/>
              </w:rPr>
            </w:pPr>
          </w:p>
        </w:tc>
        <w:tc>
          <w:tcPr>
            <w:tcW w:w="843" w:type="pct"/>
            <w:vMerge w:val="continue"/>
            <w:tcBorders>
              <w:top w:val="nil"/>
              <w:left w:val="single" w:color="auto" w:sz="4" w:space="0"/>
              <w:bottom w:val="single" w:color="auto" w:sz="4" w:space="0"/>
              <w:right w:val="single" w:color="auto" w:sz="4" w:space="0"/>
            </w:tcBorders>
            <w:vAlign w:val="center"/>
          </w:tcPr>
          <w:p w14:paraId="18123F6B">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0F17A1BF">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18A4E6DE">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09399B42">
            <w:pPr>
              <w:snapToGrid w:val="0"/>
              <w:spacing w:before="0" w:after="0"/>
              <w:ind w:left="0" w:right="0"/>
              <w:jc w:val="left"/>
              <w:rPr>
                <w:rFonts w:ascii="微软雅黑" w:hAnsi="微软雅黑" w:eastAsia="微软雅黑" w:cs="宋体"/>
                <w:b/>
                <w:bCs/>
                <w:sz w:val="18"/>
                <w:szCs w:val="18"/>
              </w:rPr>
            </w:pPr>
          </w:p>
        </w:tc>
      </w:tr>
      <w:tr w14:paraId="7D00F1B5">
        <w:tblPrEx>
          <w:tblCellMar>
            <w:top w:w="0" w:type="dxa"/>
            <w:left w:w="108" w:type="dxa"/>
            <w:bottom w:w="0" w:type="dxa"/>
            <w:right w:w="108" w:type="dxa"/>
          </w:tblCellMar>
        </w:tblPrEx>
        <w:trPr>
          <w:trHeight w:val="397"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3775212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23863369">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A</w:t>
            </w:r>
          </w:p>
        </w:tc>
        <w:tc>
          <w:tcPr>
            <w:tcW w:w="843" w:type="pct"/>
            <w:tcBorders>
              <w:top w:val="nil"/>
              <w:left w:val="nil"/>
              <w:bottom w:val="single" w:color="auto" w:sz="4" w:space="0"/>
              <w:right w:val="single" w:color="auto" w:sz="4" w:space="0"/>
            </w:tcBorders>
            <w:shd w:val="clear" w:color="auto" w:fill="auto"/>
            <w:noWrap/>
            <w:vAlign w:val="center"/>
          </w:tcPr>
          <w:p w14:paraId="6E6F03E1">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140,966</w:t>
            </w:r>
          </w:p>
        </w:tc>
        <w:tc>
          <w:tcPr>
            <w:tcW w:w="844" w:type="pct"/>
            <w:tcBorders>
              <w:top w:val="nil"/>
              <w:left w:val="nil"/>
              <w:bottom w:val="single" w:color="auto" w:sz="4" w:space="0"/>
              <w:right w:val="single" w:color="auto" w:sz="4" w:space="0"/>
            </w:tcBorders>
            <w:shd w:val="clear" w:color="auto" w:fill="auto"/>
            <w:noWrap/>
            <w:vAlign w:val="center"/>
          </w:tcPr>
          <w:p w14:paraId="33F4CC8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366,505</w:t>
            </w:r>
          </w:p>
        </w:tc>
        <w:tc>
          <w:tcPr>
            <w:tcW w:w="844" w:type="pct"/>
            <w:tcBorders>
              <w:top w:val="nil"/>
              <w:left w:val="nil"/>
              <w:bottom w:val="single" w:color="auto" w:sz="4" w:space="0"/>
              <w:right w:val="single" w:color="auto" w:sz="4" w:space="0"/>
            </w:tcBorders>
            <w:shd w:val="clear" w:color="auto" w:fill="auto"/>
            <w:noWrap/>
            <w:vAlign w:val="center"/>
          </w:tcPr>
          <w:p w14:paraId="5157C9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631,446</w:t>
            </w:r>
          </w:p>
        </w:tc>
        <w:tc>
          <w:tcPr>
            <w:tcW w:w="865" w:type="pct"/>
            <w:tcBorders>
              <w:top w:val="nil"/>
              <w:left w:val="nil"/>
              <w:bottom w:val="single" w:color="auto" w:sz="4" w:space="0"/>
              <w:right w:val="single" w:color="auto" w:sz="4" w:space="0"/>
            </w:tcBorders>
            <w:shd w:val="clear" w:color="auto" w:fill="auto"/>
            <w:noWrap/>
            <w:vAlign w:val="center"/>
          </w:tcPr>
          <w:p w14:paraId="2FD798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379,639</w:t>
            </w:r>
          </w:p>
        </w:tc>
      </w:tr>
      <w:tr w14:paraId="70039AF6">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28459CD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119F007C">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B</w:t>
            </w:r>
          </w:p>
        </w:tc>
        <w:tc>
          <w:tcPr>
            <w:tcW w:w="843" w:type="pct"/>
            <w:tcBorders>
              <w:top w:val="nil"/>
              <w:left w:val="nil"/>
              <w:bottom w:val="single" w:color="auto" w:sz="4" w:space="0"/>
              <w:right w:val="single" w:color="auto" w:sz="4" w:space="0"/>
            </w:tcBorders>
            <w:shd w:val="clear" w:color="auto" w:fill="auto"/>
            <w:noWrap/>
            <w:vAlign w:val="center"/>
          </w:tcPr>
          <w:p w14:paraId="1BE24BB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40,885</w:t>
            </w:r>
          </w:p>
        </w:tc>
        <w:tc>
          <w:tcPr>
            <w:tcW w:w="844" w:type="pct"/>
            <w:tcBorders>
              <w:top w:val="nil"/>
              <w:left w:val="nil"/>
              <w:bottom w:val="single" w:color="auto" w:sz="4" w:space="0"/>
              <w:right w:val="single" w:color="auto" w:sz="4" w:space="0"/>
            </w:tcBorders>
            <w:shd w:val="clear" w:color="auto" w:fill="auto"/>
            <w:noWrap/>
            <w:vAlign w:val="center"/>
          </w:tcPr>
          <w:p w14:paraId="5380A8CA">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243,223</w:t>
            </w:r>
          </w:p>
        </w:tc>
        <w:tc>
          <w:tcPr>
            <w:tcW w:w="844" w:type="pct"/>
            <w:tcBorders>
              <w:top w:val="nil"/>
              <w:left w:val="nil"/>
              <w:bottom w:val="single" w:color="auto" w:sz="4" w:space="0"/>
              <w:right w:val="single" w:color="auto" w:sz="4" w:space="0"/>
            </w:tcBorders>
            <w:shd w:val="clear" w:color="auto" w:fill="auto"/>
            <w:noWrap/>
            <w:vAlign w:val="center"/>
          </w:tcPr>
          <w:p w14:paraId="09D8356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380,668</w:t>
            </w:r>
          </w:p>
        </w:tc>
        <w:tc>
          <w:tcPr>
            <w:tcW w:w="865" w:type="pct"/>
            <w:tcBorders>
              <w:top w:val="nil"/>
              <w:left w:val="nil"/>
              <w:bottom w:val="single" w:color="auto" w:sz="4" w:space="0"/>
              <w:right w:val="single" w:color="auto" w:sz="4" w:space="0"/>
            </w:tcBorders>
            <w:shd w:val="clear" w:color="auto" w:fill="auto"/>
            <w:noWrap/>
            <w:vAlign w:val="center"/>
          </w:tcPr>
          <w:p w14:paraId="4684CE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221,592</w:t>
            </w:r>
          </w:p>
        </w:tc>
      </w:tr>
      <w:tr w14:paraId="60D28C44">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555CBE0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61F3440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3" w:type="pct"/>
            <w:tcBorders>
              <w:top w:val="nil"/>
              <w:left w:val="nil"/>
              <w:bottom w:val="single" w:color="auto" w:sz="4" w:space="0"/>
              <w:right w:val="single" w:color="auto" w:sz="4" w:space="0"/>
            </w:tcBorders>
            <w:shd w:val="clear" w:color="auto" w:fill="auto"/>
            <w:noWrap/>
            <w:vAlign w:val="center"/>
          </w:tcPr>
          <w:p w14:paraId="4C8665F6">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100,081</w:t>
            </w:r>
          </w:p>
        </w:tc>
        <w:tc>
          <w:tcPr>
            <w:tcW w:w="844" w:type="pct"/>
            <w:tcBorders>
              <w:top w:val="nil"/>
              <w:left w:val="nil"/>
              <w:bottom w:val="single" w:color="auto" w:sz="4" w:space="0"/>
              <w:right w:val="single" w:color="auto" w:sz="4" w:space="0"/>
            </w:tcBorders>
            <w:shd w:val="clear" w:color="auto" w:fill="auto"/>
            <w:noWrap/>
            <w:vAlign w:val="center"/>
          </w:tcPr>
          <w:p w14:paraId="5B0273E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123,282</w:t>
            </w:r>
          </w:p>
        </w:tc>
        <w:tc>
          <w:tcPr>
            <w:tcW w:w="844" w:type="pct"/>
            <w:tcBorders>
              <w:top w:val="nil"/>
              <w:left w:val="nil"/>
              <w:bottom w:val="single" w:color="auto" w:sz="4" w:space="0"/>
              <w:right w:val="single" w:color="auto" w:sz="4" w:space="0"/>
            </w:tcBorders>
            <w:shd w:val="clear" w:color="auto" w:fill="auto"/>
            <w:noWrap/>
            <w:vAlign w:val="center"/>
          </w:tcPr>
          <w:p w14:paraId="0824F6C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250,778</w:t>
            </w:r>
          </w:p>
        </w:tc>
        <w:tc>
          <w:tcPr>
            <w:tcW w:w="865" w:type="pct"/>
            <w:tcBorders>
              <w:top w:val="nil"/>
              <w:left w:val="nil"/>
              <w:bottom w:val="single" w:color="auto" w:sz="4" w:space="0"/>
              <w:right w:val="single" w:color="auto" w:sz="4" w:space="0"/>
            </w:tcBorders>
            <w:shd w:val="clear" w:color="auto" w:fill="auto"/>
            <w:noWrap/>
            <w:vAlign w:val="center"/>
          </w:tcPr>
          <w:p w14:paraId="0D1B06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158,047</w:t>
            </w:r>
          </w:p>
        </w:tc>
      </w:tr>
      <w:tr w14:paraId="1F4C9489">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085BF28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b w:val="0"/>
                <w:bCs w:val="0"/>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4A741F7A">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3" w:type="pct"/>
            <w:tcBorders>
              <w:top w:val="nil"/>
              <w:left w:val="nil"/>
              <w:bottom w:val="single" w:color="auto" w:sz="4" w:space="0"/>
              <w:right w:val="single" w:color="auto" w:sz="4" w:space="0"/>
            </w:tcBorders>
            <w:shd w:val="clear" w:color="auto" w:fill="auto"/>
            <w:noWrap/>
            <w:vAlign w:val="center"/>
          </w:tcPr>
          <w:p w14:paraId="63E85D8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66,553</w:t>
            </w:r>
          </w:p>
        </w:tc>
        <w:tc>
          <w:tcPr>
            <w:tcW w:w="844" w:type="pct"/>
            <w:tcBorders>
              <w:top w:val="nil"/>
              <w:left w:val="nil"/>
              <w:bottom w:val="single" w:color="auto" w:sz="4" w:space="0"/>
              <w:right w:val="single" w:color="auto" w:sz="4" w:space="0"/>
            </w:tcBorders>
            <w:shd w:val="clear" w:color="auto" w:fill="auto"/>
            <w:noWrap/>
            <w:vAlign w:val="center"/>
          </w:tcPr>
          <w:p w14:paraId="645874C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58,295</w:t>
            </w:r>
          </w:p>
        </w:tc>
        <w:tc>
          <w:tcPr>
            <w:tcW w:w="844" w:type="pct"/>
            <w:tcBorders>
              <w:top w:val="nil"/>
              <w:left w:val="nil"/>
              <w:bottom w:val="single" w:color="auto" w:sz="4" w:space="0"/>
              <w:right w:val="single" w:color="auto" w:sz="4" w:space="0"/>
            </w:tcBorders>
            <w:shd w:val="clear" w:color="auto" w:fill="auto"/>
            <w:noWrap/>
            <w:vAlign w:val="center"/>
          </w:tcPr>
          <w:p w14:paraId="30840E3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114,668</w:t>
            </w:r>
          </w:p>
        </w:tc>
        <w:tc>
          <w:tcPr>
            <w:tcW w:w="865" w:type="pct"/>
            <w:tcBorders>
              <w:top w:val="nil"/>
              <w:left w:val="nil"/>
              <w:bottom w:val="single" w:color="auto" w:sz="4" w:space="0"/>
              <w:right w:val="single" w:color="auto" w:sz="4" w:space="0"/>
            </w:tcBorders>
            <w:shd w:val="clear" w:color="auto" w:fill="auto"/>
            <w:noWrap/>
            <w:vAlign w:val="center"/>
          </w:tcPr>
          <w:p w14:paraId="552248B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79,839</w:t>
            </w:r>
          </w:p>
        </w:tc>
      </w:tr>
      <w:tr w14:paraId="5DCB7389">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57EB0F8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6FBEA97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3" w:type="pct"/>
            <w:tcBorders>
              <w:top w:val="nil"/>
              <w:left w:val="nil"/>
              <w:bottom w:val="single" w:color="auto" w:sz="4" w:space="0"/>
              <w:right w:val="single" w:color="auto" w:sz="4" w:space="0"/>
            </w:tcBorders>
            <w:shd w:val="clear" w:color="auto" w:fill="auto"/>
            <w:noWrap/>
            <w:vAlign w:val="center"/>
          </w:tcPr>
          <w:p w14:paraId="00793A9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33,528</w:t>
            </w:r>
          </w:p>
        </w:tc>
        <w:tc>
          <w:tcPr>
            <w:tcW w:w="844" w:type="pct"/>
            <w:tcBorders>
              <w:top w:val="nil"/>
              <w:left w:val="nil"/>
              <w:bottom w:val="single" w:color="auto" w:sz="4" w:space="0"/>
              <w:right w:val="single" w:color="auto" w:sz="4" w:space="0"/>
            </w:tcBorders>
            <w:shd w:val="clear" w:color="auto" w:fill="auto"/>
            <w:noWrap/>
            <w:vAlign w:val="center"/>
          </w:tcPr>
          <w:p w14:paraId="45CA6B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64,987</w:t>
            </w:r>
          </w:p>
        </w:tc>
        <w:tc>
          <w:tcPr>
            <w:tcW w:w="844" w:type="pct"/>
            <w:tcBorders>
              <w:top w:val="nil"/>
              <w:left w:val="nil"/>
              <w:bottom w:val="single" w:color="auto" w:sz="4" w:space="0"/>
              <w:right w:val="single" w:color="auto" w:sz="4" w:space="0"/>
            </w:tcBorders>
            <w:shd w:val="clear" w:color="auto" w:fill="auto"/>
            <w:noWrap/>
            <w:vAlign w:val="center"/>
          </w:tcPr>
          <w:p w14:paraId="019D58F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136,110</w:t>
            </w:r>
          </w:p>
        </w:tc>
        <w:tc>
          <w:tcPr>
            <w:tcW w:w="865" w:type="pct"/>
            <w:tcBorders>
              <w:top w:val="nil"/>
              <w:left w:val="nil"/>
              <w:bottom w:val="single" w:color="auto" w:sz="4" w:space="0"/>
              <w:right w:val="single" w:color="auto" w:sz="4" w:space="0"/>
            </w:tcBorders>
            <w:shd w:val="clear" w:color="auto" w:fill="auto"/>
            <w:noWrap/>
            <w:vAlign w:val="center"/>
          </w:tcPr>
          <w:p w14:paraId="0C6A1C4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78,208</w:t>
            </w:r>
          </w:p>
        </w:tc>
      </w:tr>
      <w:tr w14:paraId="21F8F1C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611C2665">
            <w:pPr>
              <w:snapToGrid w:val="0"/>
              <w:spacing w:before="0" w:after="0"/>
              <w:ind w:left="0" w:right="0"/>
              <w:jc w:val="right"/>
              <w:rPr>
                <w:rFonts w:ascii="华文楷体" w:hAnsi="华文楷体" w:eastAsia="华文楷体" w:cs="宋体"/>
                <w:color w:val="000000"/>
                <w:sz w:val="18"/>
                <w:szCs w:val="18"/>
              </w:rPr>
            </w:pPr>
          </w:p>
        </w:tc>
        <w:tc>
          <w:tcPr>
            <w:tcW w:w="636" w:type="pct"/>
            <w:tcBorders>
              <w:top w:val="nil"/>
              <w:left w:val="nil"/>
              <w:bottom w:val="single" w:color="auto" w:sz="4" w:space="0"/>
              <w:right w:val="single" w:color="auto" w:sz="4" w:space="0"/>
            </w:tcBorders>
            <w:shd w:val="clear" w:color="auto" w:fill="auto"/>
            <w:noWrap/>
            <w:vAlign w:val="center"/>
          </w:tcPr>
          <w:p w14:paraId="0FF9EE20">
            <w:pPr>
              <w:snapToGrid w:val="0"/>
              <w:spacing w:before="0" w:after="0"/>
              <w:ind w:left="0" w:right="0"/>
              <w:jc w:val="right"/>
              <w:rPr>
                <w:rFonts w:ascii="华文楷体" w:hAnsi="华文楷体" w:eastAsia="华文楷体" w:cs="宋体"/>
                <w:color w:val="000000"/>
                <w:sz w:val="18"/>
                <w:szCs w:val="18"/>
              </w:rPr>
            </w:pPr>
          </w:p>
        </w:tc>
        <w:tc>
          <w:tcPr>
            <w:tcW w:w="843" w:type="pct"/>
            <w:tcBorders>
              <w:top w:val="nil"/>
              <w:left w:val="nil"/>
              <w:bottom w:val="single" w:color="auto" w:sz="4" w:space="0"/>
              <w:right w:val="single" w:color="auto" w:sz="4" w:space="0"/>
            </w:tcBorders>
            <w:shd w:val="clear" w:color="auto" w:fill="auto"/>
            <w:noWrap/>
            <w:vAlign w:val="center"/>
          </w:tcPr>
          <w:p w14:paraId="0230F7A7">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2B9973B9">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38F94093">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4D2F1301">
            <w:pPr>
              <w:jc w:val="right"/>
              <w:rPr>
                <w:rFonts w:ascii="华文楷体" w:hAnsi="华文楷体" w:eastAsia="华文楷体" w:cs="宋体"/>
                <w:color w:val="000000"/>
                <w:sz w:val="18"/>
                <w:szCs w:val="18"/>
              </w:rPr>
            </w:pPr>
          </w:p>
        </w:tc>
      </w:tr>
      <w:tr w14:paraId="38566ED4">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4F81BD"/>
            <w:noWrap/>
            <w:vAlign w:val="center"/>
          </w:tcPr>
          <w:p w14:paraId="665FD553">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highlight w:val="none"/>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0587CB4A">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highlight w:val="none"/>
              </w:rPr>
              <w:t>F=E/(B+D)</w:t>
            </w:r>
          </w:p>
        </w:tc>
        <w:tc>
          <w:tcPr>
            <w:tcW w:w="843" w:type="pct"/>
            <w:tcBorders>
              <w:top w:val="nil"/>
              <w:left w:val="nil"/>
              <w:bottom w:val="single" w:color="auto" w:sz="4" w:space="0"/>
              <w:right w:val="single" w:color="auto" w:sz="4" w:space="0"/>
            </w:tcBorders>
            <w:shd w:val="clear" w:color="auto" w:fill="4F81BD"/>
            <w:noWrap/>
            <w:vAlign w:val="center"/>
          </w:tcPr>
          <w:p w14:paraId="458E8C3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31.21%</w:t>
            </w:r>
          </w:p>
        </w:tc>
        <w:tc>
          <w:tcPr>
            <w:tcW w:w="844" w:type="pct"/>
            <w:tcBorders>
              <w:top w:val="nil"/>
              <w:left w:val="nil"/>
              <w:bottom w:val="single" w:color="auto" w:sz="4" w:space="0"/>
              <w:right w:val="single" w:color="auto" w:sz="4" w:space="0"/>
            </w:tcBorders>
            <w:shd w:val="clear" w:color="auto" w:fill="4F81BD"/>
            <w:noWrap/>
            <w:vAlign w:val="center"/>
          </w:tcPr>
          <w:p w14:paraId="08A59B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21.55%</w:t>
            </w:r>
          </w:p>
        </w:tc>
        <w:tc>
          <w:tcPr>
            <w:tcW w:w="844" w:type="pct"/>
            <w:tcBorders>
              <w:top w:val="nil"/>
              <w:left w:val="nil"/>
              <w:bottom w:val="single" w:color="auto" w:sz="4" w:space="0"/>
              <w:right w:val="single" w:color="auto" w:sz="4" w:space="0"/>
            </w:tcBorders>
            <w:shd w:val="clear" w:color="auto" w:fill="4F81BD"/>
            <w:noWrap/>
            <w:vAlign w:val="center"/>
          </w:tcPr>
          <w:p w14:paraId="543F09F4">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27.48%</w:t>
            </w:r>
          </w:p>
        </w:tc>
        <w:tc>
          <w:tcPr>
            <w:tcW w:w="865" w:type="pct"/>
            <w:tcBorders>
              <w:top w:val="nil"/>
              <w:left w:val="nil"/>
              <w:bottom w:val="single" w:color="auto" w:sz="4" w:space="0"/>
              <w:right w:val="single" w:color="auto" w:sz="4" w:space="0"/>
            </w:tcBorders>
            <w:shd w:val="clear" w:color="auto" w:fill="4F81BD"/>
            <w:noWrap/>
            <w:vAlign w:val="center"/>
          </w:tcPr>
          <w:p w14:paraId="116DB21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25.95%</w:t>
            </w:r>
          </w:p>
        </w:tc>
      </w:tr>
    </w:tbl>
    <w:p w14:paraId="66E69D9F">
      <w:pPr>
        <w:snapToGrid w:val="0"/>
        <w:ind w:left="0"/>
        <w:rPr>
          <w:rFonts w:ascii="Arial" w:hAnsi="Arial" w:eastAsia="微软雅黑" w:cs="Arial"/>
          <w:b/>
          <w:bCs/>
          <w:color w:val="3F9C35"/>
          <w:sz w:val="28"/>
          <w:szCs w:val="22"/>
          <w:highlight w:val="yellow"/>
        </w:rPr>
      </w:pPr>
    </w:p>
    <w:p w14:paraId="3839B81A">
      <w:pPr>
        <w:snapToGrid w:val="0"/>
        <w:ind w:left="0"/>
        <w:rPr>
          <w:rFonts w:ascii="Arial" w:hAnsi="Arial" w:eastAsia="微软雅黑" w:cs="Arial"/>
          <w:b/>
          <w:bCs/>
          <w:color w:val="3F9C35"/>
          <w:sz w:val="28"/>
          <w:szCs w:val="22"/>
          <w:highlight w:val="yellow"/>
        </w:rPr>
      </w:pPr>
    </w:p>
    <w:p w14:paraId="19588109">
      <w:pPr>
        <w:snapToGrid w:val="0"/>
        <w:ind w:left="0"/>
        <w:rPr>
          <w:rFonts w:ascii="Arial" w:hAnsi="Arial" w:eastAsia="微软雅黑" w:cs="Arial"/>
          <w:b/>
          <w:bCs/>
          <w:color w:val="3F9C35"/>
          <w:sz w:val="28"/>
          <w:szCs w:val="22"/>
          <w:highlight w:val="yellow"/>
        </w:rPr>
      </w:pPr>
    </w:p>
    <w:p w14:paraId="735AE399">
      <w:pPr>
        <w:snapToGrid w:val="0"/>
        <w:ind w:left="0"/>
        <w:rPr>
          <w:rFonts w:ascii="Arial" w:hAnsi="Arial" w:eastAsia="微软雅黑" w:cs="Arial"/>
          <w:b/>
          <w:bCs/>
          <w:color w:val="3F9C35"/>
          <w:sz w:val="28"/>
          <w:szCs w:val="22"/>
          <w:highlight w:val="yellow"/>
        </w:rPr>
      </w:pPr>
    </w:p>
    <w:p w14:paraId="54BB2BCE">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96"/>
        <w:gridCol w:w="1115"/>
        <w:gridCol w:w="1478"/>
        <w:gridCol w:w="1480"/>
        <w:gridCol w:w="1480"/>
        <w:gridCol w:w="1517"/>
      </w:tblGrid>
      <w:tr w14:paraId="41740BD7">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B8C53B5">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17）Chemtech Industrial Valves Limited</w:t>
            </w:r>
          </w:p>
        </w:tc>
      </w:tr>
      <w:tr w14:paraId="7DDBF660">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1BF6FCB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股票代码:537326</w:t>
            </w:r>
            <w:r>
              <w:rPr>
                <w:rFonts w:ascii="微软雅黑" w:hAnsi="微软雅黑" w:eastAsia="微软雅黑" w:cs="宋体"/>
                <w:b/>
                <w:bCs/>
                <w:sz w:val="18"/>
                <w:szCs w:val="18"/>
              </w:rPr>
              <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6D49C88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color w:val="auto"/>
                <w:sz w:val="18"/>
                <w:szCs w:val="18"/>
              </w:rPr>
              <w:t>公式</w:t>
            </w:r>
          </w:p>
        </w:tc>
        <w:tc>
          <w:tcPr>
            <w:tcW w:w="843" w:type="pct"/>
            <w:vMerge w:val="restart"/>
            <w:tcBorders>
              <w:top w:val="nil"/>
              <w:left w:val="single" w:color="auto" w:sz="4" w:space="0"/>
              <w:bottom w:val="single" w:color="auto" w:sz="4" w:space="0"/>
              <w:right w:val="single" w:color="auto" w:sz="4" w:space="0"/>
            </w:tcBorders>
            <w:shd w:val="clear" w:color="000000" w:fill="C6D9F1"/>
            <w:noWrap/>
            <w:vAlign w:val="center"/>
          </w:tcPr>
          <w:p w14:paraId="429DD667">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2021</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3C3709A8">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2022</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267A3C83">
            <w:pPr>
              <w:snapToGrid w:val="0"/>
              <w:spacing w:before="0" w:after="0"/>
              <w:ind w:left="0" w:right="0"/>
              <w:jc w:val="center"/>
              <w:rPr>
                <w:rFonts w:ascii="Arial" w:hAnsi="Arial" w:eastAsia="等线" w:cs="Arial"/>
                <w:b/>
                <w:bCs/>
                <w:sz w:val="18"/>
                <w:szCs w:val="18"/>
              </w:rPr>
            </w:pPr>
            <w:r>
              <w:rPr>
                <w:rFonts w:hint="eastAsia" w:ascii="微软雅黑" w:hAnsi="微软雅黑" w:eastAsia="微软雅黑" w:cs="宋体"/>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3A703632">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12D9DAE">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7A87B56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43468230">
            <w:pPr>
              <w:snapToGrid w:val="0"/>
              <w:spacing w:before="0" w:after="0"/>
              <w:ind w:left="0" w:right="0"/>
              <w:jc w:val="left"/>
              <w:rPr>
                <w:rFonts w:ascii="微软雅黑" w:hAnsi="微软雅黑" w:eastAsia="微软雅黑" w:cs="宋体"/>
                <w:b/>
                <w:bCs/>
                <w:sz w:val="18"/>
                <w:szCs w:val="18"/>
              </w:rPr>
            </w:pPr>
          </w:p>
        </w:tc>
        <w:tc>
          <w:tcPr>
            <w:tcW w:w="843" w:type="pct"/>
            <w:vMerge w:val="continue"/>
            <w:tcBorders>
              <w:top w:val="nil"/>
              <w:left w:val="single" w:color="auto" w:sz="4" w:space="0"/>
              <w:bottom w:val="single" w:color="auto" w:sz="4" w:space="0"/>
              <w:right w:val="single" w:color="auto" w:sz="4" w:space="0"/>
            </w:tcBorders>
            <w:vAlign w:val="center"/>
          </w:tcPr>
          <w:p w14:paraId="02FD4295">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48F00B1F">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3BE7788F">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3A08DDB1">
            <w:pPr>
              <w:snapToGrid w:val="0"/>
              <w:spacing w:before="0" w:after="0"/>
              <w:ind w:left="0" w:right="0"/>
              <w:jc w:val="left"/>
              <w:rPr>
                <w:rFonts w:ascii="微软雅黑" w:hAnsi="微软雅黑" w:eastAsia="微软雅黑" w:cs="宋体"/>
                <w:b/>
                <w:bCs/>
                <w:sz w:val="18"/>
                <w:szCs w:val="18"/>
              </w:rPr>
            </w:pPr>
          </w:p>
        </w:tc>
      </w:tr>
      <w:tr w14:paraId="79A38794">
        <w:tblPrEx>
          <w:tblCellMar>
            <w:top w:w="0" w:type="dxa"/>
            <w:left w:w="108" w:type="dxa"/>
            <w:bottom w:w="0" w:type="dxa"/>
            <w:right w:w="108" w:type="dxa"/>
          </w:tblCellMar>
        </w:tblPrEx>
        <w:trPr>
          <w:trHeight w:val="397"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4E06CF8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7654A4DE">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A</w:t>
            </w:r>
          </w:p>
        </w:tc>
        <w:tc>
          <w:tcPr>
            <w:tcW w:w="843" w:type="pct"/>
            <w:tcBorders>
              <w:top w:val="nil"/>
              <w:left w:val="nil"/>
              <w:bottom w:val="single" w:color="auto" w:sz="4" w:space="0"/>
              <w:right w:val="single" w:color="auto" w:sz="4" w:space="0"/>
            </w:tcBorders>
            <w:shd w:val="clear" w:color="auto" w:fill="auto"/>
            <w:noWrap/>
            <w:vAlign w:val="center"/>
          </w:tcPr>
          <w:p w14:paraId="2845C5B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114,735</w:t>
            </w:r>
          </w:p>
        </w:tc>
        <w:tc>
          <w:tcPr>
            <w:tcW w:w="844" w:type="pct"/>
            <w:tcBorders>
              <w:top w:val="nil"/>
              <w:left w:val="nil"/>
              <w:bottom w:val="single" w:color="auto" w:sz="4" w:space="0"/>
              <w:right w:val="single" w:color="auto" w:sz="4" w:space="0"/>
            </w:tcBorders>
            <w:shd w:val="clear" w:color="auto" w:fill="auto"/>
            <w:noWrap/>
            <w:vAlign w:val="center"/>
          </w:tcPr>
          <w:p w14:paraId="17BFF5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204,183</w:t>
            </w:r>
          </w:p>
        </w:tc>
        <w:tc>
          <w:tcPr>
            <w:tcW w:w="844" w:type="pct"/>
            <w:tcBorders>
              <w:top w:val="nil"/>
              <w:left w:val="nil"/>
              <w:bottom w:val="single" w:color="auto" w:sz="4" w:space="0"/>
              <w:right w:val="single" w:color="auto" w:sz="4" w:space="0"/>
            </w:tcBorders>
            <w:shd w:val="clear" w:color="auto" w:fill="auto"/>
            <w:noWrap/>
            <w:vAlign w:val="center"/>
          </w:tcPr>
          <w:p w14:paraId="3A4747E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313,794</w:t>
            </w:r>
          </w:p>
        </w:tc>
        <w:tc>
          <w:tcPr>
            <w:tcW w:w="865" w:type="pct"/>
            <w:tcBorders>
              <w:top w:val="nil"/>
              <w:left w:val="nil"/>
              <w:bottom w:val="single" w:color="auto" w:sz="4" w:space="0"/>
              <w:right w:val="single" w:color="auto" w:sz="4" w:space="0"/>
            </w:tcBorders>
            <w:shd w:val="clear" w:color="auto" w:fill="auto"/>
            <w:noWrap/>
            <w:vAlign w:val="center"/>
          </w:tcPr>
          <w:p w14:paraId="5B9EE4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210,904</w:t>
            </w:r>
          </w:p>
        </w:tc>
      </w:tr>
      <w:tr w14:paraId="0E643BDD">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119529B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226CEE3A">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B</w:t>
            </w:r>
          </w:p>
        </w:tc>
        <w:tc>
          <w:tcPr>
            <w:tcW w:w="843" w:type="pct"/>
            <w:tcBorders>
              <w:top w:val="nil"/>
              <w:left w:val="nil"/>
              <w:bottom w:val="single" w:color="auto" w:sz="4" w:space="0"/>
              <w:right w:val="single" w:color="auto" w:sz="4" w:space="0"/>
            </w:tcBorders>
            <w:shd w:val="clear" w:color="auto" w:fill="auto"/>
            <w:noWrap/>
            <w:vAlign w:val="center"/>
          </w:tcPr>
          <w:p w14:paraId="47FBDDC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60,878</w:t>
            </w:r>
          </w:p>
        </w:tc>
        <w:tc>
          <w:tcPr>
            <w:tcW w:w="844" w:type="pct"/>
            <w:tcBorders>
              <w:top w:val="nil"/>
              <w:left w:val="nil"/>
              <w:bottom w:val="single" w:color="auto" w:sz="4" w:space="0"/>
              <w:right w:val="single" w:color="auto" w:sz="4" w:space="0"/>
            </w:tcBorders>
            <w:shd w:val="clear" w:color="auto" w:fill="auto"/>
            <w:noWrap/>
            <w:vAlign w:val="center"/>
          </w:tcPr>
          <w:p w14:paraId="247798F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111,957</w:t>
            </w:r>
          </w:p>
        </w:tc>
        <w:tc>
          <w:tcPr>
            <w:tcW w:w="844" w:type="pct"/>
            <w:tcBorders>
              <w:top w:val="nil"/>
              <w:left w:val="nil"/>
              <w:bottom w:val="single" w:color="auto" w:sz="4" w:space="0"/>
              <w:right w:val="single" w:color="auto" w:sz="4" w:space="0"/>
            </w:tcBorders>
            <w:shd w:val="clear" w:color="auto" w:fill="auto"/>
            <w:noWrap/>
            <w:vAlign w:val="center"/>
          </w:tcPr>
          <w:p w14:paraId="1B344A1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172,657</w:t>
            </w:r>
          </w:p>
        </w:tc>
        <w:tc>
          <w:tcPr>
            <w:tcW w:w="865" w:type="pct"/>
            <w:tcBorders>
              <w:top w:val="nil"/>
              <w:left w:val="nil"/>
              <w:bottom w:val="single" w:color="auto" w:sz="4" w:space="0"/>
              <w:right w:val="single" w:color="auto" w:sz="4" w:space="0"/>
            </w:tcBorders>
            <w:shd w:val="clear" w:color="auto" w:fill="auto"/>
            <w:noWrap/>
            <w:vAlign w:val="center"/>
          </w:tcPr>
          <w:p w14:paraId="400B590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115,164</w:t>
            </w:r>
          </w:p>
        </w:tc>
      </w:tr>
      <w:tr w14:paraId="3100763B">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3659559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1C35669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3" w:type="pct"/>
            <w:tcBorders>
              <w:top w:val="nil"/>
              <w:left w:val="nil"/>
              <w:bottom w:val="single" w:color="auto" w:sz="4" w:space="0"/>
              <w:right w:val="single" w:color="auto" w:sz="4" w:space="0"/>
            </w:tcBorders>
            <w:shd w:val="clear" w:color="auto" w:fill="auto"/>
            <w:noWrap/>
            <w:vAlign w:val="center"/>
          </w:tcPr>
          <w:p w14:paraId="47AC5A9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53,857</w:t>
            </w:r>
          </w:p>
        </w:tc>
        <w:tc>
          <w:tcPr>
            <w:tcW w:w="844" w:type="pct"/>
            <w:tcBorders>
              <w:top w:val="nil"/>
              <w:left w:val="nil"/>
              <w:bottom w:val="single" w:color="auto" w:sz="4" w:space="0"/>
              <w:right w:val="single" w:color="auto" w:sz="4" w:space="0"/>
            </w:tcBorders>
            <w:shd w:val="clear" w:color="auto" w:fill="auto"/>
            <w:noWrap/>
            <w:vAlign w:val="center"/>
          </w:tcPr>
          <w:p w14:paraId="3A1BEFC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92,226</w:t>
            </w:r>
          </w:p>
        </w:tc>
        <w:tc>
          <w:tcPr>
            <w:tcW w:w="844" w:type="pct"/>
            <w:tcBorders>
              <w:top w:val="nil"/>
              <w:left w:val="nil"/>
              <w:bottom w:val="single" w:color="auto" w:sz="4" w:space="0"/>
              <w:right w:val="single" w:color="auto" w:sz="4" w:space="0"/>
            </w:tcBorders>
            <w:shd w:val="clear" w:color="auto" w:fill="auto"/>
            <w:noWrap/>
            <w:vAlign w:val="center"/>
          </w:tcPr>
          <w:p w14:paraId="5CCA837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141,137</w:t>
            </w:r>
          </w:p>
        </w:tc>
        <w:tc>
          <w:tcPr>
            <w:tcW w:w="865" w:type="pct"/>
            <w:tcBorders>
              <w:top w:val="nil"/>
              <w:left w:val="nil"/>
              <w:bottom w:val="single" w:color="auto" w:sz="4" w:space="0"/>
              <w:right w:val="single" w:color="auto" w:sz="4" w:space="0"/>
            </w:tcBorders>
            <w:shd w:val="clear" w:color="auto" w:fill="auto"/>
            <w:noWrap/>
            <w:vAlign w:val="center"/>
          </w:tcPr>
          <w:p w14:paraId="6022C5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95,740</w:t>
            </w:r>
          </w:p>
        </w:tc>
      </w:tr>
      <w:tr w14:paraId="17397663">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79C4730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b w:val="0"/>
                <w:bCs w:val="0"/>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007D92D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3" w:type="pct"/>
            <w:tcBorders>
              <w:top w:val="nil"/>
              <w:left w:val="nil"/>
              <w:bottom w:val="single" w:color="auto" w:sz="4" w:space="0"/>
              <w:right w:val="single" w:color="auto" w:sz="4" w:space="0"/>
            </w:tcBorders>
            <w:shd w:val="clear" w:color="auto" w:fill="auto"/>
            <w:noWrap/>
            <w:vAlign w:val="center"/>
          </w:tcPr>
          <w:p w14:paraId="6C77C8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48,246</w:t>
            </w:r>
          </w:p>
        </w:tc>
        <w:tc>
          <w:tcPr>
            <w:tcW w:w="844" w:type="pct"/>
            <w:tcBorders>
              <w:top w:val="nil"/>
              <w:left w:val="nil"/>
              <w:bottom w:val="single" w:color="auto" w:sz="4" w:space="0"/>
              <w:right w:val="single" w:color="auto" w:sz="4" w:space="0"/>
            </w:tcBorders>
            <w:shd w:val="clear" w:color="auto" w:fill="auto"/>
            <w:noWrap/>
            <w:vAlign w:val="center"/>
          </w:tcPr>
          <w:p w14:paraId="4A457B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63,050</w:t>
            </w:r>
          </w:p>
        </w:tc>
        <w:tc>
          <w:tcPr>
            <w:tcW w:w="844" w:type="pct"/>
            <w:tcBorders>
              <w:top w:val="nil"/>
              <w:left w:val="nil"/>
              <w:bottom w:val="single" w:color="auto" w:sz="4" w:space="0"/>
              <w:right w:val="single" w:color="auto" w:sz="4" w:space="0"/>
            </w:tcBorders>
            <w:shd w:val="clear" w:color="auto" w:fill="auto"/>
            <w:noWrap/>
            <w:vAlign w:val="center"/>
          </w:tcPr>
          <w:p w14:paraId="669BBC2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92,743</w:t>
            </w:r>
          </w:p>
        </w:tc>
        <w:tc>
          <w:tcPr>
            <w:tcW w:w="865" w:type="pct"/>
            <w:tcBorders>
              <w:top w:val="nil"/>
              <w:left w:val="nil"/>
              <w:bottom w:val="single" w:color="auto" w:sz="4" w:space="0"/>
              <w:right w:val="single" w:color="auto" w:sz="4" w:space="0"/>
            </w:tcBorders>
            <w:shd w:val="clear" w:color="auto" w:fill="auto"/>
            <w:noWrap/>
            <w:vAlign w:val="center"/>
          </w:tcPr>
          <w:p w14:paraId="7F8E755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68,013</w:t>
            </w:r>
          </w:p>
        </w:tc>
      </w:tr>
      <w:tr w14:paraId="19F46027">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127F625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3BECB48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3" w:type="pct"/>
            <w:tcBorders>
              <w:top w:val="nil"/>
              <w:left w:val="nil"/>
              <w:bottom w:val="single" w:color="auto" w:sz="4" w:space="0"/>
              <w:right w:val="single" w:color="auto" w:sz="4" w:space="0"/>
            </w:tcBorders>
            <w:shd w:val="clear" w:color="auto" w:fill="auto"/>
            <w:noWrap/>
            <w:vAlign w:val="center"/>
          </w:tcPr>
          <w:p w14:paraId="02D6110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5,611</w:t>
            </w:r>
          </w:p>
        </w:tc>
        <w:tc>
          <w:tcPr>
            <w:tcW w:w="844" w:type="pct"/>
            <w:tcBorders>
              <w:top w:val="nil"/>
              <w:left w:val="nil"/>
              <w:bottom w:val="single" w:color="auto" w:sz="4" w:space="0"/>
              <w:right w:val="single" w:color="auto" w:sz="4" w:space="0"/>
            </w:tcBorders>
            <w:shd w:val="clear" w:color="auto" w:fill="auto"/>
            <w:noWrap/>
            <w:vAlign w:val="center"/>
          </w:tcPr>
          <w:p w14:paraId="69583B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29,176</w:t>
            </w:r>
          </w:p>
        </w:tc>
        <w:tc>
          <w:tcPr>
            <w:tcW w:w="844" w:type="pct"/>
            <w:tcBorders>
              <w:top w:val="nil"/>
              <w:left w:val="nil"/>
              <w:bottom w:val="single" w:color="auto" w:sz="4" w:space="0"/>
              <w:right w:val="single" w:color="auto" w:sz="4" w:space="0"/>
            </w:tcBorders>
            <w:shd w:val="clear" w:color="auto" w:fill="auto"/>
            <w:noWrap/>
            <w:vAlign w:val="center"/>
          </w:tcPr>
          <w:p w14:paraId="78DD03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48,394</w:t>
            </w:r>
          </w:p>
        </w:tc>
        <w:tc>
          <w:tcPr>
            <w:tcW w:w="865" w:type="pct"/>
            <w:tcBorders>
              <w:top w:val="nil"/>
              <w:left w:val="nil"/>
              <w:bottom w:val="single" w:color="auto" w:sz="4" w:space="0"/>
              <w:right w:val="single" w:color="auto" w:sz="4" w:space="0"/>
            </w:tcBorders>
            <w:shd w:val="clear" w:color="auto" w:fill="auto"/>
            <w:noWrap/>
            <w:vAlign w:val="center"/>
          </w:tcPr>
          <w:p w14:paraId="51EA05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27,727</w:t>
            </w:r>
          </w:p>
        </w:tc>
      </w:tr>
      <w:tr w14:paraId="2E31DB08">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4F197635">
            <w:pPr>
              <w:snapToGrid w:val="0"/>
              <w:spacing w:before="0" w:after="0"/>
              <w:ind w:left="0" w:right="0"/>
              <w:jc w:val="right"/>
              <w:rPr>
                <w:rFonts w:ascii="华文楷体" w:hAnsi="华文楷体" w:eastAsia="华文楷体" w:cs="宋体"/>
                <w:color w:val="000000"/>
                <w:sz w:val="18"/>
                <w:szCs w:val="18"/>
              </w:rPr>
            </w:pPr>
          </w:p>
        </w:tc>
        <w:tc>
          <w:tcPr>
            <w:tcW w:w="636" w:type="pct"/>
            <w:tcBorders>
              <w:top w:val="nil"/>
              <w:left w:val="nil"/>
              <w:bottom w:val="single" w:color="auto" w:sz="4" w:space="0"/>
              <w:right w:val="single" w:color="auto" w:sz="4" w:space="0"/>
            </w:tcBorders>
            <w:shd w:val="clear" w:color="auto" w:fill="auto"/>
            <w:noWrap/>
            <w:vAlign w:val="center"/>
          </w:tcPr>
          <w:p w14:paraId="1ED8B861">
            <w:pPr>
              <w:snapToGrid w:val="0"/>
              <w:spacing w:before="0" w:after="0"/>
              <w:ind w:left="0" w:right="0"/>
              <w:jc w:val="right"/>
              <w:rPr>
                <w:rFonts w:ascii="华文楷体" w:hAnsi="华文楷体" w:eastAsia="华文楷体" w:cs="宋体"/>
                <w:color w:val="000000"/>
                <w:sz w:val="18"/>
                <w:szCs w:val="18"/>
              </w:rPr>
            </w:pPr>
          </w:p>
        </w:tc>
        <w:tc>
          <w:tcPr>
            <w:tcW w:w="843" w:type="pct"/>
            <w:tcBorders>
              <w:top w:val="nil"/>
              <w:left w:val="nil"/>
              <w:bottom w:val="single" w:color="auto" w:sz="4" w:space="0"/>
              <w:right w:val="single" w:color="auto" w:sz="4" w:space="0"/>
            </w:tcBorders>
            <w:shd w:val="clear" w:color="auto" w:fill="auto"/>
            <w:noWrap/>
            <w:vAlign w:val="center"/>
          </w:tcPr>
          <w:p w14:paraId="7B263501">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03CC6A6B">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541B3282">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326D8270">
            <w:pPr>
              <w:jc w:val="right"/>
              <w:rPr>
                <w:rFonts w:ascii="华文楷体" w:hAnsi="华文楷体" w:eastAsia="华文楷体" w:cs="宋体"/>
                <w:color w:val="000000"/>
                <w:sz w:val="18"/>
                <w:szCs w:val="18"/>
              </w:rPr>
            </w:pPr>
          </w:p>
        </w:tc>
      </w:tr>
      <w:tr w14:paraId="0C5B6B0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4F81BD"/>
            <w:noWrap/>
            <w:vAlign w:val="center"/>
          </w:tcPr>
          <w:p w14:paraId="49AC7B4D">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highlight w:val="none"/>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7903180E">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highlight w:val="none"/>
              </w:rPr>
              <w:t>F=E/(B+D)</w:t>
            </w:r>
          </w:p>
        </w:tc>
        <w:tc>
          <w:tcPr>
            <w:tcW w:w="843" w:type="pct"/>
            <w:tcBorders>
              <w:top w:val="nil"/>
              <w:left w:val="nil"/>
              <w:bottom w:val="single" w:color="auto" w:sz="4" w:space="0"/>
              <w:right w:val="single" w:color="auto" w:sz="4" w:space="0"/>
            </w:tcBorders>
            <w:shd w:val="clear" w:color="auto" w:fill="4F81BD"/>
            <w:noWrap/>
            <w:vAlign w:val="center"/>
          </w:tcPr>
          <w:p w14:paraId="06BEBE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5.14%</w:t>
            </w:r>
          </w:p>
        </w:tc>
        <w:tc>
          <w:tcPr>
            <w:tcW w:w="844" w:type="pct"/>
            <w:tcBorders>
              <w:top w:val="nil"/>
              <w:left w:val="nil"/>
              <w:bottom w:val="single" w:color="auto" w:sz="4" w:space="0"/>
              <w:right w:val="single" w:color="auto" w:sz="4" w:space="0"/>
            </w:tcBorders>
            <w:shd w:val="clear" w:color="auto" w:fill="4F81BD"/>
            <w:noWrap/>
            <w:vAlign w:val="center"/>
          </w:tcPr>
          <w:p w14:paraId="5E92D68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16.67%</w:t>
            </w:r>
          </w:p>
        </w:tc>
        <w:tc>
          <w:tcPr>
            <w:tcW w:w="844" w:type="pct"/>
            <w:tcBorders>
              <w:top w:val="nil"/>
              <w:left w:val="nil"/>
              <w:bottom w:val="single" w:color="auto" w:sz="4" w:space="0"/>
              <w:right w:val="single" w:color="auto" w:sz="4" w:space="0"/>
            </w:tcBorders>
            <w:shd w:val="clear" w:color="auto" w:fill="4F81BD"/>
            <w:noWrap/>
            <w:vAlign w:val="center"/>
          </w:tcPr>
          <w:p w14:paraId="423D07D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18.23%</w:t>
            </w:r>
          </w:p>
        </w:tc>
        <w:tc>
          <w:tcPr>
            <w:tcW w:w="865" w:type="pct"/>
            <w:tcBorders>
              <w:top w:val="nil"/>
              <w:left w:val="nil"/>
              <w:bottom w:val="single" w:color="auto" w:sz="4" w:space="0"/>
              <w:right w:val="single" w:color="auto" w:sz="4" w:space="0"/>
            </w:tcBorders>
            <w:shd w:val="clear" w:color="auto" w:fill="4F81BD"/>
            <w:noWrap/>
            <w:vAlign w:val="center"/>
          </w:tcPr>
          <w:p w14:paraId="3A633E5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15.14%</w:t>
            </w:r>
          </w:p>
        </w:tc>
      </w:tr>
    </w:tbl>
    <w:p w14:paraId="2A25695F">
      <w:pPr>
        <w:ind w:left="0"/>
      </w:pPr>
    </w:p>
    <w:sectPr>
      <w:pgSz w:w="11906" w:h="16838"/>
      <w:pgMar w:top="1440" w:right="1797" w:bottom="1440" w:left="1559" w:header="851" w:footer="992" w:gutter="0"/>
      <w:pgNumType w:chapStyle="1"/>
      <w:cols w:space="425"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B93045CD-3418-4CB9-B8AA-5EACEC931FF2}"/>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Arial"/>
    <w:panose1 w:val="020B0604020202020204"/>
    <w:charset w:val="80"/>
    <w:family w:val="swiss"/>
    <w:pitch w:val="default"/>
    <w:sig w:usb0="00000000" w:usb1="00000000" w:usb2="0000003F" w:usb3="00000000" w:csb0="603F01FF" w:csb1="FFFF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embedRegular r:id="rId2" w:fontKey="{CA7FFC41-830A-41E2-AA17-789E37E651F9}"/>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Verdana">
    <w:panose1 w:val="020B0604030504040204"/>
    <w:charset w:val="00"/>
    <w:family w:val="swiss"/>
    <w:pitch w:val="default"/>
    <w:sig w:usb0="A00006FF" w:usb1="4000205B" w:usb2="00000010" w:usb3="00000000" w:csb0="2000019F" w:csb1="0000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Garamond">
    <w:panose1 w:val="02020404030301010803"/>
    <w:charset w:val="00"/>
    <w:family w:val="roman"/>
    <w:pitch w:val="default"/>
    <w:sig w:usb0="00000287" w:usb1="00000000" w:usb2="00000000" w:usb3="00000000" w:csb0="0000009F" w:csb1="DFD70000"/>
  </w:font>
  <w:font w:name="华文楷体">
    <w:panose1 w:val="02010600040101010101"/>
    <w:charset w:val="86"/>
    <w:family w:val="auto"/>
    <w:pitch w:val="default"/>
    <w:sig w:usb0="00000287" w:usb1="080F0000" w:usb2="00000000" w:usb3="00000000" w:csb0="0004009F" w:csb1="DFD70000"/>
    <w:embedRegular r:id="rId3" w:fontKey="{4BB34C23-1868-47CE-B706-9B3C62500BA9}"/>
  </w:font>
  <w:font w:name="Tahoma">
    <w:panose1 w:val="020B0604030504040204"/>
    <w:charset w:val="00"/>
    <w:family w:val="swiss"/>
    <w:pitch w:val="default"/>
    <w:sig w:usb0="E1002EFF" w:usb1="C000605B" w:usb2="00000029" w:usb3="00000000" w:csb0="200101FF" w:csb1="20280000"/>
  </w:font>
  <w:font w:name="Optima">
    <w:altName w:val="Calibri"/>
    <w:panose1 w:val="00000000000000000000"/>
    <w:charset w:val="00"/>
    <w:family w:val="auto"/>
    <w:pitch w:val="default"/>
    <w:sig w:usb0="00000000" w:usb1="00000000" w:usb2="00000000" w:usb3="00000000" w:csb0="00000001" w:csb1="00000000"/>
  </w:font>
  <w:font w:name="仿宋_GB2312">
    <w:altName w:val="仿宋"/>
    <w:panose1 w:val="02010609030101010101"/>
    <w:charset w:val="86"/>
    <w:family w:val="modern"/>
    <w:pitch w:val="default"/>
    <w:sig w:usb0="00000000" w:usb1="00000000" w:usb2="00000010" w:usb3="00000000" w:csb0="00040000" w:csb1="00000000"/>
    <w:embedRegular r:id="rId4" w:fontKey="{211C9D43-89E5-4A4A-8B9F-938800567AC7}"/>
  </w:font>
  <w:font w:name="仿宋">
    <w:panose1 w:val="02010609060101010101"/>
    <w:charset w:val="86"/>
    <w:family w:val="modern"/>
    <w:pitch w:val="default"/>
    <w:sig w:usb0="800002BF" w:usb1="38CF7CFA" w:usb2="00000016" w:usb3="00000000" w:csb0="00040001" w:csb1="00000000"/>
    <w:embedRegular r:id="rId5" w:fontKey="{4B866618-001F-4E62-8A22-8F848E637637}"/>
  </w:font>
  <w:font w:name="Arial Narrow">
    <w:panose1 w:val="020B0606020202030204"/>
    <w:charset w:val="00"/>
    <w:family w:val="swiss"/>
    <w:pitch w:val="default"/>
    <w:sig w:usb0="00000287" w:usb1="00000800" w:usb2="00000000" w:usb3="00000000" w:csb0="2000009F" w:csb1="DFD70000"/>
    <w:embedRegular r:id="rId6" w:fontKey="{3037D237-04E1-407D-BBCF-73905CDCB2D8}"/>
  </w:font>
  <w:font w:name="EYInterstate">
    <w:altName w:val="Segoe Print"/>
    <w:panose1 w:val="00000000000000000000"/>
    <w:charset w:val="00"/>
    <w:family w:val="auto"/>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EYInterstate Light">
    <w:altName w:val="Calibri"/>
    <w:panose1 w:val="00000000000000000000"/>
    <w:charset w:val="00"/>
    <w:family w:val="auto"/>
    <w:pitch w:val="default"/>
    <w:sig w:usb0="00000000" w:usb1="00000000" w:usb2="00000000" w:usb3="00000000" w:csb0="0000009F" w:csb1="00000000"/>
  </w:font>
  <w:font w:name="微软雅黑">
    <w:panose1 w:val="020B0503020204020204"/>
    <w:charset w:val="86"/>
    <w:family w:val="swiss"/>
    <w:pitch w:val="default"/>
    <w:sig w:usb0="80000287" w:usb1="2ACF3C50" w:usb2="00000016" w:usb3="00000000" w:csb0="0004001F" w:csb1="00000000"/>
    <w:embedRegular r:id="rId7" w:fontKey="{2C4367E0-13F8-41B4-AA6F-8913A8F77A2E}"/>
  </w:font>
  <w:font w:name="等线">
    <w:panose1 w:val="02010600030101010101"/>
    <w:charset w:val="86"/>
    <w:family w:val="auto"/>
    <w:pitch w:val="default"/>
    <w:sig w:usb0="A00002BF" w:usb1="38CF7CFA" w:usb2="00000016" w:usb3="00000000" w:csb0="0004000F" w:csb1="00000000"/>
    <w:embedRegular r:id="rId8" w:fontKey="{C37A7A04-AC64-482B-B8D9-89D212FD1D5A}"/>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3F9DD8">
    <w:pPr>
      <w:pStyle w:val="17"/>
      <w:ind w:right="420"/>
      <w:jc w:val="left"/>
      <w:rPr>
        <w:rFonts w:ascii="Arial" w:hAnsi="Arial" w:eastAsia="微软雅黑" w:cs="Arial"/>
        <w:sz w:val="14"/>
        <w:szCs w:val="1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973B07">
    <w:pPr>
      <w:pStyle w:val="17"/>
      <w:framePr w:wrap="around" w:vAnchor="text" w:hAnchor="margin" w:xAlign="center" w:y="1"/>
      <w:rPr>
        <w:rStyle w:val="34"/>
      </w:rPr>
    </w:pPr>
    <w:r>
      <w:rPr>
        <w:rStyle w:val="34"/>
      </w:rPr>
      <w:fldChar w:fldCharType="begin"/>
      <w:t xml:space="preserve"/>
    </w:r>
    <w:r>
      <w:rPr>
        <w:rStyle w:val="34"/>
      </w:rPr>
      <w:instrText xml:space="preserve">PAGE  </w:instrText>
    </w:r>
    <w:r>
      <w:rPr>
        <w:rStyle w:val="34"/>
      </w:rPr>
      <w:fldChar w:fldCharType="end"/>
    </w:r>
  </w:p>
  <w:p w14:paraId="36C03E28">
    <w:pPr>
      <w:pStyle w:val="17"/>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Arial" w:hAnsi="Arial" w:cs="Arial"/>
        <w:sz w:val="16"/>
        <w:szCs w:val="16"/>
      </w:rPr>
      <w:id w:val="289948131"/>
    </w:sdtPr>
    <w:sdtEndPr>
      <w:rPr>
        <w:rFonts w:ascii="Arial" w:hAnsi="Arial" w:cs="Arial"/>
        <w:sz w:val="16"/>
        <w:szCs w:val="16"/>
      </w:rPr>
    </w:sdtEndPr>
    <w:sdtContent>
      <w:p w14:paraId="2E49D010">
        <w:pPr>
          <w:pStyle w:val="17"/>
          <w:jc w:val="center"/>
          <w:rPr>
            <w:rFonts w:ascii="Arial" w:hAnsi="Arial" w:cs="Arial"/>
            <w:sz w:val="16"/>
            <w:szCs w:val="16"/>
          </w:rPr>
        </w:pPr>
        <w:r>
          <w:rPr>
            <w:rFonts w:ascii="Arial" w:hAnsi="Arial" w:cs="Arial"/>
            <w:sz w:val="14"/>
            <w:szCs w:val="16"/>
          </w:rPr>
          <w:fldChar w:fldCharType="begin"/>
        </w:r>
        <w:r>
          <w:rPr>
            <w:rFonts w:ascii="Arial" w:hAnsi="Arial" w:cs="Arial"/>
            <w:sz w:val="14"/>
            <w:szCs w:val="16"/>
          </w:rPr>
          <w:instrText xml:space="preserve">PAGE   \* MERGEFORMAT</w:instrText>
        </w:r>
        <w:r>
          <w:rPr>
            <w:rFonts w:ascii="Arial" w:hAnsi="Arial" w:cs="Arial"/>
            <w:sz w:val="14"/>
            <w:szCs w:val="16"/>
          </w:rPr>
          <w:fldChar w:fldCharType="separate"/>
        </w:r>
        <w:r>
          <w:rPr>
            <w:rFonts w:ascii="Arial" w:hAnsi="Arial" w:cs="Arial"/>
            <w:sz w:val="14"/>
            <w:szCs w:val="16"/>
            <w:lang w:val="zh-CN"/>
          </w:rPr>
          <w:t>II</w:t>
        </w:r>
        <w:r>
          <w:rPr>
            <w:rFonts w:ascii="Arial" w:hAnsi="Arial" w:cs="Arial"/>
            <w:sz w:val="14"/>
            <w:szCs w:val="16"/>
          </w:rPr>
          <w:fldChar w:fldCharType="end"/>
        </w:r>
      </w:p>
    </w:sdtContent>
  </w:sdt>
  <w:p w14:paraId="60BFB161">
    <w:pPr>
      <w:pStyle w:val="17"/>
      <w:ind w:right="420"/>
      <w:jc w:val="left"/>
      <w:rPr>
        <w:rFonts w:ascii="Arial" w:hAnsi="Arial" w:eastAsia="微软雅黑" w:cs="Arial"/>
        <w:sz w:val="14"/>
        <w:szCs w:val="14"/>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87583314"/>
    </w:sdtPr>
    <w:sdtContent>
      <w:p w14:paraId="4E1BE2E8">
        <w:pPr>
          <w:pStyle w:val="17"/>
          <w:jc w:val="center"/>
          <w:rPr>
            <w:rFonts w:ascii="楷体" w:hAnsi="楷体" w:eastAsia="楷体" w:cs="宋体"/>
            <w:sz w:val="15"/>
            <w:szCs w:val="15"/>
          </w:rPr>
        </w:pPr>
        <w:r>
          <w:rPr>
            <w:rFonts w:ascii="Arial Narrow" w:hAnsi="Arial Narrow" w:eastAsia="仿宋_GB2312" w:cs="Arial"/>
            <w:bCs/>
            <w:sz w:val="16"/>
            <w:szCs w:val="24"/>
          </w:rPr>
          <w:t xml:space="preserve"> </w:t>
        </w: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lang w:val="zh-CN"/>
          </w:rPr>
          <w:t>53</w:t>
        </w:r>
        <w:r>
          <w:rPr>
            <w:rFonts w:ascii="Arial Narrow" w:hAnsi="Arial Narrow"/>
            <w:sz w:val="16"/>
          </w:rP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2807475"/>
    </w:sdtPr>
    <w:sdtContent>
      <w:p w14:paraId="65C2D955">
        <w:pPr>
          <w:pStyle w:val="17"/>
          <w:jc w:val="center"/>
        </w:pP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lang w:val="zh-CN"/>
          </w:rPr>
          <w:t>62</w:t>
        </w:r>
        <w:r>
          <w:rPr>
            <w:rFonts w:ascii="Arial Narrow" w:hAnsi="Arial Narrow"/>
            <w:sz w:val="16"/>
          </w:rPr>
          <w:fldChar w:fldCharType="end"/>
        </w:r>
      </w:p>
    </w:sdtContent>
  </w:sdt>
  <w:p w14:paraId="7F188591">
    <w:pPr>
      <w:pStyle w:val="17"/>
      <w:ind w:right="420"/>
      <w:rPr>
        <w:rFonts w:ascii="楷体" w:hAnsi="楷体" w:eastAsia="楷体" w:cs="宋体"/>
        <w:sz w:val="15"/>
        <w:szCs w:val="15"/>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72">
    <w:p>
      <w:pPr>
        <w:spacing w:before="0" w:after="0"/>
      </w:pPr>
      <w:r>
        <w:separator/>
      </w:r>
    </w:p>
  </w:footnote>
  <w:footnote w:type="continuationSeparator" w:id="73">
    <w:p>
      <w:pPr>
        <w:spacing w:before="0" w:after="0"/>
      </w:pPr>
      <w:r>
        <w:continuationSeparator/>
      </w:r>
    </w:p>
  </w:footnote>
  <w:footnote w:id="0">
    <w:p w14:paraId="3C52979E">
      <w:pPr>
        <w:pStyle w:val="22"/>
        <w:adjustRightInd w:val="0"/>
        <w:spacing w:before="0" w:after="0"/>
        <w:rPr>
          <w:rFonts w:ascii="Arial" w:hAnsi="Arial" w:eastAsia="微软雅黑" w:cs="Arial"/>
          <w:color w:val="000000" w:themeColor="text1"/>
          <w:sz w:val="16"/>
          <w:szCs w:val="16"/>
          <w14:textFill>
            <w14:solidFill>
              <w14:schemeClr w14:val="tx1"/>
            </w14:solidFill>
          </w14:textFill>
        </w:rPr>
      </w:pPr>
      <w:r>
        <w:rPr>
          <w:rStyle w:val="38"/>
          <w:rFonts w:ascii="Arial" w:hAnsi="Arial" w:eastAsia="微软雅黑" w:cs="Arial"/>
          <w:color w:val="000000" w:themeColor="text1"/>
          <w:sz w:val="16"/>
          <w:szCs w:val="16"/>
          <w14:textFill>
            <w14:solidFill>
              <w14:schemeClr w14:val="tx1"/>
            </w14:solidFill>
          </w14:textFill>
        </w:rPr>
        <w:footnoteRef/>
      </w:r>
      <w:r>
        <w:rPr>
          <w:rFonts w:ascii="Arial" w:hAnsi="Arial" w:eastAsia="微软雅黑" w:cs="Arial"/>
          <w:color w:val="000000" w:themeColor="text1"/>
          <w:sz w:val="16"/>
          <w:szCs w:val="16"/>
          <w14:textFill>
            <w14:solidFill>
              <w14:schemeClr w14:val="tx1"/>
            </w14:solidFill>
          </w14:textFill>
        </w:rPr>
        <w:t xml:space="preserve"> 资料来源：斯必克流体集团官方网站，</w:t>
      </w:r>
      <w:r>
        <w:rPr>
          <w:rFonts w:ascii="Arial" w:hAnsi="Arial" w:eastAsia="微软雅黑" w:cs="Arial"/>
          <w:sz w:val="16"/>
          <w:szCs w:val="16"/>
        </w:rPr>
        <w:t>https://www.spxflow.com/about/our-company</w:t>
      </w:r>
    </w:p>
  </w:footnote>
  <w:footnote w:id="1">
    <w:p w14:paraId="478F5484">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2">
    <w:p w14:paraId="60AA2B7C">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3">
    <w:p w14:paraId="7B53249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4">
    <w:p w14:paraId="3FAF87F4">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资料来源：《OECD跨国企业与税务机关转让定价指南》，第V章，C部分，第5.22段落</w:t>
      </w:r>
    </w:p>
  </w:footnote>
  <w:footnote w:id="5">
    <w:p w14:paraId="4BFF600D">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资料来源：《2019年中国工业自动化设备行业主管部门、监管体制、主要法律法规及政策》，中国报告网，http://news.chinabaogao.com/jixie/201912/12164E1642019.html</w:t>
      </w:r>
    </w:p>
  </w:footnote>
  <w:footnote w:id="6">
    <w:p w14:paraId="1F14A658">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资料来源：《17条政策为工业经济“添薪蓄力” 力求2023年“开门稳”》中华人民共和国国家发展和改革委员会，https://www.ndrc.gov.cn/xwdt/ztzl/cjgyjjpwzz/zcfbhjd/202211/t20221129_1342542.html?state=123&amp;state=123&amp;state=123</w:t>
      </w:r>
    </w:p>
  </w:footnote>
  <w:footnote w:id="7">
    <w:p w14:paraId="763E4CB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资料来源：2025年度《世界经济形势与展望》报告</w:t>
      </w:r>
      <w:r>
        <w:rPr>
          <w:rFonts w:hint="eastAsia" w:ascii="Arial" w:hAnsi="Arial" w:eastAsia="微软雅黑" w:cs="Arial"/>
          <w:sz w:val="16"/>
          <w:szCs w:val="16"/>
        </w:rPr>
        <w:t>，</w:t>
      </w:r>
      <w:r>
        <w:rPr>
          <w:rFonts w:ascii="Arial" w:hAnsi="Arial" w:eastAsia="微软雅黑" w:cs="Arial"/>
          <w:sz w:val="16"/>
          <w:szCs w:val="16"/>
        </w:rPr>
        <w:t>https://desapublications.un.org/publications/world-economic-situation-and-prospects-2025</w:t>
      </w:r>
    </w:p>
  </w:footnote>
  <w:footnote w:id="8">
    <w:p w14:paraId="4F120503">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资料来源：中国物流与采购联合会</w:t>
      </w:r>
      <w:r>
        <w:rPr>
          <w:rFonts w:hint="eastAsia" w:ascii="Arial" w:hAnsi="Arial" w:eastAsia="微软雅黑" w:cs="Arial"/>
          <w:sz w:val="16"/>
          <w:szCs w:val="16"/>
        </w:rPr>
        <w:t>《指数持续上升，全球经济平稳收官》</w:t>
      </w:r>
      <w:r>
        <w:rPr>
          <w:rFonts w:ascii="Arial" w:hAnsi="Arial" w:eastAsia="微软雅黑" w:cs="Arial"/>
          <w:sz w:val="16"/>
          <w:szCs w:val="16"/>
        </w:rPr>
        <w:t>，</w:t>
      </w:r>
      <w:r>
        <w:t xml:space="preserve"> </w:t>
      </w:r>
      <w:r>
        <w:rPr>
          <w:rFonts w:ascii="Arial" w:hAnsi="Arial" w:eastAsia="微软雅黑" w:cs="Arial"/>
          <w:sz w:val="16"/>
          <w:szCs w:val="16"/>
        </w:rPr>
        <w:t>http://www.chinawuliu.com.cn/lhhzq/202501/06/643392.shtml</w:t>
      </w:r>
    </w:p>
  </w:footnote>
  <w:footnote w:id="9">
    <w:p w14:paraId="015719BD">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资料来源：MIR DATABANK</w:t>
      </w:r>
      <w:r>
        <w:rPr>
          <w:rFonts w:hint="eastAsia" w:ascii="Arial" w:hAnsi="Arial" w:eastAsia="微软雅黑" w:cs="Arial"/>
          <w:sz w:val="16"/>
          <w:szCs w:val="16"/>
        </w:rPr>
        <w:t>《2024 年中国自动化市场发展回顾与 2025 年展望》</w:t>
      </w:r>
      <w:r>
        <w:rPr>
          <w:rFonts w:ascii="Arial" w:hAnsi="Arial" w:eastAsia="微软雅黑" w:cs="Arial"/>
          <w:sz w:val="16"/>
          <w:szCs w:val="16"/>
        </w:rPr>
        <w:t xml:space="preserve">，https://www.mirdatabank.com/News/NewsDetail?id=1017067  </w:t>
      </w:r>
    </w:p>
  </w:footnote>
  <w:footnote w:id="10">
    <w:p w14:paraId="05830C61">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w:t>
      </w:r>
      <w:r>
        <w:rPr>
          <w:rFonts w:hint="eastAsia" w:ascii="Arial" w:hAnsi="Arial" w:eastAsia="微软雅黑" w:cs="Arial"/>
          <w:sz w:val="16"/>
          <w:szCs w:val="16"/>
        </w:rPr>
        <w:t>国家统计局《2024 年中国自动化市场发展回顾与 2025 年展望》</w:t>
      </w:r>
      <w:r>
        <w:rPr>
          <w:rFonts w:ascii="Arial" w:hAnsi="Arial" w:eastAsia="微软雅黑" w:cs="Arial"/>
          <w:sz w:val="16"/>
          <w:szCs w:val="16"/>
        </w:rPr>
        <w:t>，https://www.stats.gov.cn/sj/zxfb/202412/t20241231_1958118.html</w:t>
      </w:r>
    </w:p>
  </w:footnote>
  <w:footnote w:id="11">
    <w:p w14:paraId="0F7E98DE">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w:t>
      </w:r>
      <w:r>
        <w:rPr>
          <w:rFonts w:hint="eastAsia" w:ascii="Arial" w:hAnsi="Arial" w:eastAsia="微软雅黑" w:cs="Arial"/>
          <w:sz w:val="16"/>
          <w:szCs w:val="16"/>
        </w:rPr>
        <w:t>智研咨询</w:t>
      </w:r>
      <w:r>
        <w:rPr>
          <w:rFonts w:ascii="Arial" w:hAnsi="Arial" w:eastAsia="微软雅黑" w:cs="Arial"/>
          <w:sz w:val="16"/>
          <w:szCs w:val="16"/>
        </w:rPr>
        <w:t>《</w:t>
      </w:r>
      <w:r>
        <w:rPr>
          <w:rFonts w:hint="eastAsia" w:ascii="Arial" w:hAnsi="Arial" w:eastAsia="微软雅黑" w:cs="Arial"/>
          <w:sz w:val="16"/>
          <w:szCs w:val="16"/>
        </w:rPr>
        <w:t>2025-2031年中国乳制品行业市场运营态势及投资前景趋势报告</w:t>
      </w:r>
      <w:r>
        <w:rPr>
          <w:rFonts w:ascii="Arial" w:hAnsi="Arial" w:eastAsia="微软雅黑" w:cs="Arial"/>
          <w:sz w:val="16"/>
          <w:szCs w:val="16"/>
        </w:rPr>
        <w:t>》，https://www.chyxx.com/research/202011/906591.html</w:t>
      </w:r>
    </w:p>
  </w:footnote>
  <w:footnote w:id="12">
    <w:p w14:paraId="06BB4165">
      <w:pPr>
        <w:pStyle w:val="22"/>
      </w:pPr>
      <w:r>
        <w:rPr>
          <w:rStyle w:val="38"/>
        </w:rPr>
        <w:footnoteRef/>
      </w:r>
      <w:r>
        <w:t xml:space="preserve"> </w:t>
      </w:r>
      <w:r>
        <w:rPr>
          <w:rFonts w:hint="eastAsia"/>
        </w:rPr>
        <w:t>资料来源：国际货币基金组织 2025年4月《世界经济展望》:政策转变下的关键时刻</w:t>
      </w:r>
      <w:r>
        <w:t>https://www.imf.org/zh/Publications/WEO/Issues/2025/04/22/world-economic-outlook-april-2025</w:t>
      </w:r>
    </w:p>
  </w:footnote>
  <w:footnote w:id="13">
    <w:p w14:paraId="58C87180">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14">
    <w:p w14:paraId="1CB7152C">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15">
    <w:p w14:paraId="36B4049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16">
    <w:p w14:paraId="3320D2E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资料来源：斯必克流体技术2024年度审计报告及关联业务往来报告表</w:t>
      </w:r>
    </w:p>
  </w:footnote>
  <w:footnote w:id="17">
    <w:p w14:paraId="0D478452">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w:t>
      </w:r>
      <w:r>
        <w:rPr>
          <w:rFonts w:hint="eastAsia" w:ascii="Arial" w:hAnsi="Arial" w:eastAsia="微软雅黑" w:cs="Arial"/>
          <w:sz w:val="16"/>
          <w:szCs w:val="16"/>
        </w:rPr>
        <w:t>2024</w:t>
      </w:r>
      <w:r>
        <w:rPr>
          <w:rFonts w:ascii="Arial" w:hAnsi="Arial" w:eastAsia="微软雅黑" w:cs="Arial"/>
          <w:sz w:val="16"/>
          <w:szCs w:val="16"/>
        </w:rPr>
        <w:t>年度审计报告及关联业务往来报告表</w:t>
      </w:r>
    </w:p>
  </w:footnote>
  <w:footnote w:id="18">
    <w:p w14:paraId="0BABEB33">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《OECD 跨国企业与税务机关转让定价指南》，第 III 章，A 部分，第 3.9 段落</w:t>
      </w:r>
    </w:p>
  </w:footnote>
  <w:footnote w:id="19">
    <w:p w14:paraId="5D6AB9D9">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20">
    <w:p w14:paraId="6268AE1E">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资料来源：《联合国发展中国家转让定价操作手册》，第10章，第10.3.3.2段落</w:t>
      </w:r>
    </w:p>
  </w:footnote>
  <w:footnote w:id="21">
    <w:p w14:paraId="64ECB18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《2022/23国际工资报告》，https://www.ilo.org/sites/default/files/wcmsp5/groups/public/@asia/@ro-bangkok/@ilo-beijing/documents/publication/wcms_886275.pdf</w:t>
      </w:r>
    </w:p>
  </w:footnote>
  <w:footnote w:id="22">
    <w:p w14:paraId="67627E53">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bookmarkStart w:id="734" w:name="_Hlk169895110"/>
      <w:r>
        <w:rPr>
          <w:rFonts w:ascii="Arial" w:hAnsi="Arial" w:eastAsia="微软雅黑" w:cs="Arial"/>
          <w:sz w:val="16"/>
          <w:szCs w:val="16"/>
        </w:rPr>
        <w:t>资料来源：</w:t>
      </w:r>
      <w:r>
        <w:rPr>
          <w:rFonts w:hint="eastAsia" w:ascii="Arial" w:hAnsi="Arial" w:eastAsia="微软雅黑" w:cs="Arial"/>
          <w:sz w:val="16"/>
          <w:szCs w:val="16"/>
        </w:rPr>
        <w:t>《全国各省、自治区、直辖市最低工资标准情况（截至2025年1月1日）》</w:t>
      </w:r>
      <w:r>
        <w:rPr>
          <w:rFonts w:ascii="Arial" w:hAnsi="Arial" w:eastAsia="微软雅黑" w:cs="Arial"/>
          <w:sz w:val="16"/>
          <w:szCs w:val="16"/>
        </w:rPr>
        <w:t>，</w:t>
      </w:r>
      <w:bookmarkStart w:id="735" w:name="OLE_LINK3"/>
      <w:r>
        <w:rPr>
          <w:rFonts w:ascii="Arial" w:hAnsi="Arial" w:eastAsia="微软雅黑" w:cs="Arial"/>
          <w:sz w:val="16"/>
          <w:szCs w:val="16"/>
        </w:rPr>
        <w:t>https://www.mohrss.gov.cn/SYrlzyhshbzb/laodongguanxi_/fwyd/202501/t20250114_534601.html</w:t>
      </w:r>
      <w:bookmarkEnd w:id="734"/>
      <w:bookmarkEnd w:id="735"/>
    </w:p>
  </w:footnote>
  <w:footnote w:id="23">
    <w:p w14:paraId="48951589">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资料来源：国家统计局《2024年城镇单位就业人员年平均工资情况》，</w:t>
      </w:r>
      <w:bookmarkStart w:id="736" w:name="OLE_LINK5"/>
      <w:r>
        <w:rPr>
          <w:rFonts w:ascii="Arial" w:hAnsi="Arial" w:eastAsia="微软雅黑" w:cs="Arial"/>
          <w:sz w:val="16"/>
          <w:szCs w:val="16"/>
        </w:rPr>
        <w:t>https://www.stats.gov.cn/sj/zxfb/202505/t20250516_1959826.html</w:t>
      </w:r>
      <w:bookmarkEnd w:id="736"/>
    </w:p>
  </w:footnote>
  <w:footnote w:id="24">
    <w:p w14:paraId="1A680B61">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资料来源：国家统计局</w:t>
      </w:r>
      <w:r>
        <w:rPr>
          <w:rFonts w:hint="eastAsia" w:ascii="Arial" w:hAnsi="Arial" w:eastAsia="微软雅黑" w:cs="Arial"/>
          <w:sz w:val="16"/>
          <w:szCs w:val="16"/>
        </w:rPr>
        <w:t>《202</w:t>
      </w:r>
      <w:r>
        <w:rPr>
          <w:rFonts w:ascii="Arial" w:hAnsi="Arial" w:eastAsia="微软雅黑" w:cs="Arial"/>
          <w:sz w:val="16"/>
          <w:szCs w:val="16"/>
        </w:rPr>
        <w:t>4</w:t>
      </w:r>
      <w:r>
        <w:rPr>
          <w:rFonts w:hint="eastAsia" w:ascii="Arial" w:hAnsi="Arial" w:eastAsia="微软雅黑" w:cs="Arial"/>
          <w:sz w:val="16"/>
          <w:szCs w:val="16"/>
        </w:rPr>
        <w:t>年城镇单位就业人员年平均工资情况》</w:t>
      </w:r>
      <w:r>
        <w:rPr>
          <w:rFonts w:ascii="Arial" w:hAnsi="Arial" w:eastAsia="微软雅黑" w:cs="Arial"/>
          <w:sz w:val="16"/>
          <w:szCs w:val="16"/>
        </w:rPr>
        <w:t>，https://www.stats.gov.cn/sj/zxfb/202505/t20250516_1959826.html</w:t>
      </w:r>
    </w:p>
  </w:footnote>
  <w:footnote w:id="25">
    <w:p w14:paraId="24893D3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资料来源：《联合国发展中国家转让定价操作手册》，第10章，第10.3.3.3段落</w:t>
      </w:r>
    </w:p>
  </w:footnote>
  <w:footnote w:id="26">
    <w:p w14:paraId="3FFE2A9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资料来源：《OECD转让定价指南》2.11章</w:t>
      </w:r>
    </w:p>
  </w:footnote>
  <w:footnote w:id="27">
    <w:p w14:paraId="14B3D060">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《OECD转让定价指南》2.58章</w:t>
      </w:r>
    </w:p>
  </w:footnote>
  <w:footnote w:id="28">
    <w:p w14:paraId="514DA23B">
      <w:pPr>
        <w:pStyle w:val="22"/>
        <w:adjustRightInd w:val="0"/>
        <w:spacing w:before="0" w:after="0"/>
      </w:pPr>
      <w:r>
        <w:rPr>
          <w:rStyle w:val="38"/>
        </w:rPr>
        <w:footnoteRef/>
      </w:r>
      <w:r>
        <w:t xml:space="preserve"> </w:t>
      </w:r>
      <w:r>
        <w:rPr>
          <w:rFonts w:hint="eastAsia" w:ascii="Arial" w:hAnsi="Arial" w:eastAsia="微软雅黑" w:cs="Arial"/>
          <w:sz w:val="16"/>
          <w:szCs w:val="16"/>
        </w:rPr>
        <w:t>资料来源：斯必克流体技术关联业务往来报告表及管理层信息</w:t>
      </w:r>
    </w:p>
  </w:footnote>
  <w:footnote w:id="29">
    <w:p w14:paraId="2A55837B">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在2005年3月25日由国税总局发布的国税函[2005]239号文（“国家税务总局关于2005年度反避税工作的通知”）中，国税总局要求在进行反避税调查和纳税调整中，要积极利用Bureau van Dijk公司的数据库。</w:t>
      </w:r>
    </w:p>
  </w:footnote>
  <w:footnote w:id="30">
    <w:p w14:paraId="2DA1DB8E">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《OECD转让定价指南》3.76章</w:t>
      </w:r>
    </w:p>
  </w:footnote>
  <w:footnote w:id="31">
    <w:p w14:paraId="35709035">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《OECD转让定价指南》3.77章</w:t>
      </w:r>
    </w:p>
  </w:footnote>
  <w:footnote w:id="32">
    <w:p w14:paraId="3A590EE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《OECD转让定价指南》3.55章</w:t>
      </w:r>
    </w:p>
  </w:footnote>
  <w:footnote w:id="33">
    <w:p w14:paraId="059CAE79">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国家税务总局公告2017年第6号第25条提及“四分位法”的使用。四分位区间是指下四分位数至上四分位数之间的区间。</w:t>
      </w:r>
    </w:p>
  </w:footnote>
  <w:footnote w:id="34">
    <w:p w14:paraId="66DE1E8A">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中国人民银行公布的金融机构人民币贷款基准利率，</w:t>
      </w:r>
    </w:p>
    <w:p w14:paraId="72467204">
      <w:pPr>
        <w:pStyle w:val="22"/>
        <w:adjustRightInd w:val="0"/>
        <w:spacing w:before="0" w:after="0"/>
        <w:rPr>
          <w:rFonts w:ascii="Arial" w:hAnsi="Arial" w:eastAsia="微软雅黑" w:cs="Arial"/>
          <w:sz w:val="16"/>
          <w:szCs w:val="16"/>
        </w:rPr>
      </w:pPr>
      <w:r>
        <w:rPr>
          <w:rFonts w:ascii="Arial" w:hAnsi="Arial" w:eastAsia="微软雅黑" w:cs="Arial"/>
          <w:sz w:val="16"/>
          <w:szCs w:val="16"/>
        </w:rPr>
        <w:t>http://www.pbc.gov.cn/zhengcehuobisi/125207/125213/125440/125838/125888/2968985/index.html</w:t>
      </w:r>
    </w:p>
  </w:footnote>
  <w:footnote w:id="35">
    <w:p w14:paraId="1390F42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中国人民银行公布的金融机构人民币存款基准利率，</w:t>
      </w:r>
    </w:p>
    <w:p w14:paraId="3AF31079">
      <w:pPr>
        <w:pStyle w:val="22"/>
        <w:adjustRightInd w:val="0"/>
        <w:spacing w:before="0" w:after="0"/>
        <w:rPr>
          <w:rFonts w:ascii="Arial" w:hAnsi="Arial" w:eastAsia="微软雅黑" w:cs="Arial"/>
          <w:sz w:val="16"/>
          <w:szCs w:val="16"/>
        </w:rPr>
      </w:pPr>
      <w:r>
        <w:rPr>
          <w:rFonts w:ascii="Arial" w:hAnsi="Arial" w:eastAsia="微软雅黑" w:cs="Arial"/>
          <w:sz w:val="16"/>
          <w:szCs w:val="16"/>
        </w:rPr>
        <w:t>http://www.pbc.gov.cn/zhengcehuobisi/125207/125213/125440/125838/125888/2968982/index.html</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D280C2">
    <w:pPr>
      <w:pStyle w:val="18"/>
      <w:pBdr>
        <w:bottom w:val="none" w:color="auto" w:sz="0" w:space="0"/>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6869AF">
    <w:pPr>
      <w:pStyle w:val="18"/>
      <w:pBdr>
        <w:bottom w:val="none" w:color="auto" w:sz="0" w:space="0"/>
      </w:pBdr>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36C62C">
    <w:pPr>
      <w:pStyle w:val="18"/>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144492">
    <w:pPr>
      <w:pStyle w:val="18"/>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7B830E">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ascii="Arial" w:hAnsi="Arial" w:eastAsia="微软雅黑" w:cs="Arial"/>
        <w:sz w:val="16"/>
        <w:szCs w:val="16"/>
      </w:rPr>
      <w:t>{{清单模板-数据表-B1}}</w:t>
    </w:r>
  </w:p>
  <w:p w14:paraId="275F6B82">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ascii="Arial" w:hAnsi="Arial" w:eastAsia="微软雅黑" w:cs="Arial"/>
        <w:sz w:val="16"/>
        <w:szCs w:val="16"/>
      </w:rPr>
      <w:t>同期资料本地文档</w:t>
    </w:r>
  </w:p>
  <w:p w14:paraId="12AC0F47">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hint="eastAsia" w:ascii="Arial" w:hAnsi="Arial" w:eastAsia="微软雅黑" w:cs="Arial"/>
        <w:sz w:val="16"/>
        <w:szCs w:val="16"/>
      </w:rPr>
      <w:t xml:space="preserve">{{清单模板-数据表-B2}}</w:t>
    </w:r>
    <w:r>
      <w:rPr>
        <w:rFonts w:ascii="Arial" w:hAnsi="Arial" w:eastAsia="微软雅黑" w:cs="Arial"/>
        <w:sz w:val="16"/>
        <w:szCs w:val="16"/>
      </w:rPr>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065525">
    <w:pPr>
      <w:pStyle w:val="18"/>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89835A">
    <w:pPr>
      <w:pStyle w:val="18"/>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B4ACB2">
    <w:pPr>
      <w:pStyle w:val="18"/>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46594B">
    <w:pPr>
      <w:pStyle w:val="1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88C371"/>
    <w:multiLevelType w:val="multilevel"/>
    <w:tmpl w:val="A188C371"/>
    <w:lvl w:ilvl="0" w:tentative="0">
      <w:start w:val="1"/>
      <w:numFmt w:val="decimal"/>
      <w:lvlText w:val="%1."/>
      <w:lvlJc w:val="left"/>
      <w:pPr>
        <w:tabs>
          <w:tab w:val="left" w:pos="312"/>
        </w:tabs>
      </w:pPr>
    </w:lvl>
    <w:lvl w:ilvl="1" w:tentative="0">
      <w:start w:val="1"/>
      <w:numFmt w:val="decimal"/>
      <w:lvlText w:val="%1.%2."/>
      <w:lvlJc w:val="left"/>
      <w:pPr>
        <w:tabs>
          <w:tab w:val="left" w:pos="312"/>
        </w:tabs>
        <w:ind w:left="0" w:leftChars="0" w:firstLine="0" w:firstLineChars="0"/>
      </w:pPr>
      <w:rPr>
        <w:rFonts w:hint="default"/>
      </w:rPr>
    </w:lvl>
    <w:lvl w:ilvl="2" w:tentative="0">
      <w:start w:val="1"/>
      <w:numFmt w:val="decimal"/>
      <w:lvlText w:val="%1.%2.%3."/>
      <w:lvlJc w:val="left"/>
      <w:pPr>
        <w:tabs>
          <w:tab w:val="left" w:pos="312"/>
        </w:tabs>
        <w:ind w:left="0" w:leftChars="0" w:firstLine="0" w:firstLineChars="0"/>
      </w:pPr>
      <w:rPr>
        <w:rFonts w:hint="default"/>
      </w:rPr>
    </w:lvl>
    <w:lvl w:ilvl="3" w:tentative="0">
      <w:start w:val="1"/>
      <w:numFmt w:val="decimal"/>
      <w:lvlText w:val="%1.%2.%3.%4."/>
      <w:lvlJc w:val="left"/>
      <w:pPr>
        <w:tabs>
          <w:tab w:val="left" w:pos="312"/>
        </w:tabs>
        <w:ind w:left="0" w:leftChars="0" w:firstLine="0" w:firstLineChars="0"/>
      </w:pPr>
      <w:rPr>
        <w:rFonts w:hint="default"/>
      </w:rPr>
    </w:lvl>
    <w:lvl w:ilvl="4" w:tentative="0">
      <w:start w:val="1"/>
      <w:numFmt w:val="decimal"/>
      <w:lvlText w:val="%1.%2.%3.%4.%5."/>
      <w:lvlJc w:val="left"/>
      <w:pPr>
        <w:tabs>
          <w:tab w:val="left" w:pos="312"/>
        </w:tabs>
        <w:ind w:left="0" w:leftChars="0" w:firstLine="0" w:firstLineChars="0"/>
      </w:pPr>
      <w:rPr>
        <w:rFonts w:hint="default"/>
      </w:rPr>
    </w:lvl>
    <w:lvl w:ilvl="5" w:tentative="0">
      <w:start w:val="1"/>
      <w:numFmt w:val="decimal"/>
      <w:lvlText w:val="%1.%2.%3.%4.%5.%6."/>
      <w:lvlJc w:val="left"/>
      <w:pPr>
        <w:tabs>
          <w:tab w:val="left" w:pos="312"/>
        </w:tabs>
        <w:ind w:left="0" w:leftChars="0" w:firstLine="0" w:firstLineChars="0"/>
      </w:pPr>
      <w:rPr>
        <w:rFonts w:hint="default"/>
      </w:rPr>
    </w:lvl>
    <w:lvl w:ilvl="6" w:tentative="0">
      <w:start w:val="1"/>
      <w:numFmt w:val="decimal"/>
      <w:lvlText w:val="%1.%2.%3.%4.%5.%6.%7."/>
      <w:lvlJc w:val="left"/>
      <w:pPr>
        <w:tabs>
          <w:tab w:val="left" w:pos="312"/>
        </w:tabs>
        <w:ind w:left="0" w:leftChars="0" w:firstLine="0" w:firstLineChars="0"/>
      </w:pPr>
      <w:rPr>
        <w:rFonts w:hint="default"/>
      </w:rPr>
    </w:lvl>
    <w:lvl w:ilvl="7" w:tentative="0">
      <w:start w:val="1"/>
      <w:numFmt w:val="decimal"/>
      <w:lvlText w:val="%1.%2.%3.%4.%5.%6.%7.%8."/>
      <w:lvlJc w:val="left"/>
      <w:pPr>
        <w:tabs>
          <w:tab w:val="left" w:pos="312"/>
        </w:tabs>
        <w:ind w:left="0" w:leftChars="0" w:firstLine="0" w:firstLineChars="0"/>
      </w:pPr>
      <w:rPr>
        <w:rFonts w:hint="default"/>
      </w:rPr>
    </w:lvl>
    <w:lvl w:ilvl="8" w:tentative="0">
      <w:start w:val="1"/>
      <w:numFmt w:val="decimal"/>
      <w:lvlText w:val="%1.%2.%3.%4.%5.%6.%7.%8.%9."/>
      <w:lvlJc w:val="left"/>
      <w:pPr>
        <w:tabs>
          <w:tab w:val="left" w:pos="312"/>
        </w:tabs>
        <w:ind w:left="0" w:leftChars="0" w:firstLine="0" w:firstLineChars="0"/>
      </w:pPr>
      <w:rPr>
        <w:rFonts w:hint="default"/>
      </w:rPr>
    </w:lvl>
  </w:abstractNum>
  <w:abstractNum w:abstractNumId="1">
    <w:nsid w:val="01EE3987"/>
    <w:multiLevelType w:val="multilevel"/>
    <w:tmpl w:val="01EE3987"/>
    <w:lvl w:ilvl="0" w:tentative="0">
      <w:start w:val="1"/>
      <w:numFmt w:val="bullet"/>
      <w:pStyle w:val="157"/>
      <w:lvlText w:val="►"/>
      <w:lvlJc w:val="left"/>
      <w:pPr>
        <w:tabs>
          <w:tab w:val="left" w:pos="3061"/>
        </w:tabs>
        <w:ind w:left="3061" w:hanging="360"/>
      </w:pPr>
      <w:rPr>
        <w:rFonts w:hint="default" w:ascii="Arial" w:hAnsi="Arial"/>
        <w:snapToGrid/>
        <w:color w:val="FFCC00"/>
        <w:spacing w:val="0"/>
        <w:w w:val="100"/>
        <w:kern w:val="16"/>
        <w:position w:val="0"/>
        <w:sz w:val="20"/>
        <w:szCs w:val="14"/>
      </w:rPr>
    </w:lvl>
    <w:lvl w:ilvl="1" w:tentative="0">
      <w:start w:val="1"/>
      <w:numFmt w:val="bullet"/>
      <w:lvlText w:val="–"/>
      <w:lvlJc w:val="left"/>
      <w:pPr>
        <w:tabs>
          <w:tab w:val="left" w:pos="3061"/>
        </w:tabs>
        <w:ind w:left="3061" w:hanging="360"/>
      </w:pPr>
      <w:rPr>
        <w:rFonts w:hint="default" w:ascii="EYInterstate" w:hAnsi="EYInterstate"/>
        <w:snapToGrid/>
        <w:color w:val="auto"/>
        <w:spacing w:val="0"/>
        <w:w w:val="100"/>
        <w:kern w:val="16"/>
        <w:position w:val="0"/>
        <w:sz w:val="20"/>
        <w:szCs w:val="14"/>
      </w:rPr>
    </w:lvl>
    <w:lvl w:ilvl="2" w:tentative="0">
      <w:start w:val="1"/>
      <w:numFmt w:val="bullet"/>
      <w:lvlText w:val="•"/>
      <w:lvlJc w:val="left"/>
      <w:pPr>
        <w:tabs>
          <w:tab w:val="left" w:pos="4861"/>
        </w:tabs>
        <w:ind w:left="4861" w:hanging="360"/>
      </w:pPr>
      <w:rPr>
        <w:rFonts w:hint="default" w:ascii="Arial" w:hAnsi="Arial"/>
        <w:snapToGrid/>
        <w:color w:val="auto"/>
        <w:spacing w:val="0"/>
        <w:w w:val="100"/>
        <w:kern w:val="16"/>
        <w:position w:val="0"/>
        <w:sz w:val="20"/>
        <w:szCs w:val="14"/>
      </w:rPr>
    </w:lvl>
    <w:lvl w:ilvl="3" w:tentative="0">
      <w:start w:val="1"/>
      <w:numFmt w:val="bullet"/>
      <w:lvlText w:val=""/>
      <w:lvlJc w:val="left"/>
      <w:pPr>
        <w:tabs>
          <w:tab w:val="left" w:pos="5581"/>
        </w:tabs>
        <w:ind w:left="5581" w:hanging="360"/>
      </w:pPr>
      <w:rPr>
        <w:rFonts w:hint="default" w:ascii="Symbol" w:hAnsi="Symbol"/>
      </w:rPr>
    </w:lvl>
    <w:lvl w:ilvl="4" w:tentative="0">
      <w:start w:val="1"/>
      <w:numFmt w:val="bullet"/>
      <w:lvlText w:val="o"/>
      <w:lvlJc w:val="left"/>
      <w:pPr>
        <w:tabs>
          <w:tab w:val="left" w:pos="6301"/>
        </w:tabs>
        <w:ind w:left="6301" w:hanging="360"/>
      </w:pPr>
      <w:rPr>
        <w:rFonts w:hint="default" w:ascii="Courier New" w:hAnsi="Courier New" w:cs="Courier New"/>
      </w:rPr>
    </w:lvl>
    <w:lvl w:ilvl="5" w:tentative="0">
      <w:start w:val="1"/>
      <w:numFmt w:val="bullet"/>
      <w:lvlText w:val=""/>
      <w:lvlJc w:val="left"/>
      <w:pPr>
        <w:tabs>
          <w:tab w:val="left" w:pos="7021"/>
        </w:tabs>
        <w:ind w:left="7021" w:hanging="360"/>
      </w:pPr>
      <w:rPr>
        <w:rFonts w:hint="default" w:ascii="Wingdings" w:hAnsi="Wingdings"/>
      </w:rPr>
    </w:lvl>
    <w:lvl w:ilvl="6" w:tentative="0">
      <w:start w:val="1"/>
      <w:numFmt w:val="bullet"/>
      <w:lvlText w:val=""/>
      <w:lvlJc w:val="left"/>
      <w:pPr>
        <w:tabs>
          <w:tab w:val="left" w:pos="7741"/>
        </w:tabs>
        <w:ind w:left="7741" w:hanging="360"/>
      </w:pPr>
      <w:rPr>
        <w:rFonts w:hint="default" w:ascii="Symbol" w:hAnsi="Symbol"/>
      </w:rPr>
    </w:lvl>
    <w:lvl w:ilvl="7" w:tentative="0">
      <w:start w:val="1"/>
      <w:numFmt w:val="bullet"/>
      <w:lvlText w:val="o"/>
      <w:lvlJc w:val="left"/>
      <w:pPr>
        <w:tabs>
          <w:tab w:val="left" w:pos="8461"/>
        </w:tabs>
        <w:ind w:left="8461" w:hanging="360"/>
      </w:pPr>
      <w:rPr>
        <w:rFonts w:hint="default" w:ascii="Courier New" w:hAnsi="Courier New" w:cs="Courier New"/>
      </w:rPr>
    </w:lvl>
    <w:lvl w:ilvl="8" w:tentative="0">
      <w:start w:val="1"/>
      <w:numFmt w:val="bullet"/>
      <w:lvlText w:val=""/>
      <w:lvlJc w:val="left"/>
      <w:pPr>
        <w:tabs>
          <w:tab w:val="left" w:pos="9181"/>
        </w:tabs>
        <w:ind w:left="9181" w:hanging="360"/>
      </w:pPr>
      <w:rPr>
        <w:rFonts w:hint="default" w:ascii="Wingdings" w:hAnsi="Wingdings"/>
      </w:rPr>
    </w:lvl>
  </w:abstractNum>
  <w:abstractNum w:abstractNumId="2">
    <w:nsid w:val="04916E59"/>
    <w:multiLevelType w:val="multilevel"/>
    <w:tmpl w:val="04916E59"/>
    <w:lvl w:ilvl="0" w:tentative="0">
      <w:start w:val="1"/>
      <w:numFmt w:val="bullet"/>
      <w:lvlText w:val=""/>
      <w:lvlJc w:val="left"/>
      <w:pPr>
        <w:ind w:left="1014" w:hanging="420"/>
      </w:pPr>
      <w:rPr>
        <w:rFonts w:hint="default" w:ascii="Wingdings" w:hAnsi="Wingdings"/>
      </w:rPr>
    </w:lvl>
    <w:lvl w:ilvl="1" w:tentative="0">
      <w:start w:val="1"/>
      <w:numFmt w:val="bullet"/>
      <w:lvlText w:val=""/>
      <w:lvlJc w:val="left"/>
      <w:pPr>
        <w:ind w:left="1434" w:hanging="420"/>
      </w:pPr>
      <w:rPr>
        <w:rFonts w:hint="default" w:ascii="Wingdings" w:hAnsi="Wingdings"/>
      </w:rPr>
    </w:lvl>
    <w:lvl w:ilvl="2" w:tentative="0">
      <w:start w:val="1"/>
      <w:numFmt w:val="bullet"/>
      <w:lvlText w:val=""/>
      <w:lvlJc w:val="left"/>
      <w:pPr>
        <w:ind w:left="1854" w:hanging="420"/>
      </w:pPr>
      <w:rPr>
        <w:rFonts w:hint="default" w:ascii="Wingdings" w:hAnsi="Wingdings"/>
      </w:rPr>
    </w:lvl>
    <w:lvl w:ilvl="3" w:tentative="0">
      <w:start w:val="1"/>
      <w:numFmt w:val="bullet"/>
      <w:lvlText w:val=""/>
      <w:lvlJc w:val="left"/>
      <w:pPr>
        <w:ind w:left="2274" w:hanging="420"/>
      </w:pPr>
      <w:rPr>
        <w:rFonts w:hint="default" w:ascii="Wingdings" w:hAnsi="Wingdings"/>
      </w:rPr>
    </w:lvl>
    <w:lvl w:ilvl="4" w:tentative="0">
      <w:start w:val="1"/>
      <w:numFmt w:val="bullet"/>
      <w:lvlText w:val=""/>
      <w:lvlJc w:val="left"/>
      <w:pPr>
        <w:ind w:left="2694" w:hanging="420"/>
      </w:pPr>
      <w:rPr>
        <w:rFonts w:hint="default" w:ascii="Wingdings" w:hAnsi="Wingdings"/>
      </w:rPr>
    </w:lvl>
    <w:lvl w:ilvl="5" w:tentative="0">
      <w:start w:val="1"/>
      <w:numFmt w:val="bullet"/>
      <w:lvlText w:val=""/>
      <w:lvlJc w:val="left"/>
      <w:pPr>
        <w:ind w:left="3114" w:hanging="420"/>
      </w:pPr>
      <w:rPr>
        <w:rFonts w:hint="default" w:ascii="Wingdings" w:hAnsi="Wingdings"/>
      </w:rPr>
    </w:lvl>
    <w:lvl w:ilvl="6" w:tentative="0">
      <w:start w:val="1"/>
      <w:numFmt w:val="bullet"/>
      <w:lvlText w:val=""/>
      <w:lvlJc w:val="left"/>
      <w:pPr>
        <w:ind w:left="3534" w:hanging="420"/>
      </w:pPr>
      <w:rPr>
        <w:rFonts w:hint="default" w:ascii="Wingdings" w:hAnsi="Wingdings"/>
      </w:rPr>
    </w:lvl>
    <w:lvl w:ilvl="7" w:tentative="0">
      <w:start w:val="1"/>
      <w:numFmt w:val="bullet"/>
      <w:lvlText w:val=""/>
      <w:lvlJc w:val="left"/>
      <w:pPr>
        <w:ind w:left="3954" w:hanging="420"/>
      </w:pPr>
      <w:rPr>
        <w:rFonts w:hint="default" w:ascii="Wingdings" w:hAnsi="Wingdings"/>
      </w:rPr>
    </w:lvl>
    <w:lvl w:ilvl="8" w:tentative="0">
      <w:start w:val="1"/>
      <w:numFmt w:val="bullet"/>
      <w:lvlText w:val=""/>
      <w:lvlJc w:val="left"/>
      <w:pPr>
        <w:ind w:left="4374" w:hanging="420"/>
      </w:pPr>
      <w:rPr>
        <w:rFonts w:hint="default" w:ascii="Wingdings" w:hAnsi="Wingdings"/>
      </w:rPr>
    </w:lvl>
  </w:abstractNum>
  <w:abstractNum w:abstractNumId="3">
    <w:nsid w:val="04E040D2"/>
    <w:multiLevelType w:val="multilevel"/>
    <w:tmpl w:val="04E040D2"/>
    <w:lvl w:ilvl="0" w:tentative="0">
      <w:start w:val="1"/>
      <w:numFmt w:val="bullet"/>
      <w:lvlText w:val=""/>
      <w:lvlJc w:val="left"/>
      <w:pPr>
        <w:ind w:left="979" w:hanging="420"/>
      </w:pPr>
      <w:rPr>
        <w:rFonts w:hint="default" w:ascii="Wingdings" w:hAnsi="Wingdings"/>
        <w:sz w:val="13"/>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4">
    <w:nsid w:val="08112CE6"/>
    <w:multiLevelType w:val="multilevel"/>
    <w:tmpl w:val="08112CE6"/>
    <w:lvl w:ilvl="0" w:tentative="0">
      <w:start w:val="1"/>
      <w:numFmt w:val="decimal"/>
      <w:lvlText w:val="%1."/>
      <w:lvlJc w:val="left"/>
      <w:pPr>
        <w:ind w:left="516" w:hanging="360"/>
      </w:pPr>
    </w:lvl>
    <w:lvl w:ilvl="1" w:tentative="0">
      <w:start w:val="1"/>
      <w:numFmt w:val="lowerLetter"/>
      <w:lvlText w:val="%2."/>
      <w:lvlJc w:val="left"/>
      <w:pPr>
        <w:ind w:left="2356" w:hanging="360"/>
      </w:pPr>
    </w:lvl>
    <w:lvl w:ilvl="2" w:tentative="0">
      <w:start w:val="1"/>
      <w:numFmt w:val="lowerRoman"/>
      <w:lvlText w:val="%3."/>
      <w:lvlJc w:val="right"/>
      <w:pPr>
        <w:ind w:left="3076" w:hanging="180"/>
      </w:pPr>
    </w:lvl>
    <w:lvl w:ilvl="3" w:tentative="0">
      <w:start w:val="1"/>
      <w:numFmt w:val="decimal"/>
      <w:lvlText w:val="%4."/>
      <w:lvlJc w:val="left"/>
      <w:pPr>
        <w:ind w:left="3796" w:hanging="360"/>
      </w:pPr>
    </w:lvl>
    <w:lvl w:ilvl="4" w:tentative="0">
      <w:start w:val="1"/>
      <w:numFmt w:val="lowerLetter"/>
      <w:lvlText w:val="%5."/>
      <w:lvlJc w:val="left"/>
      <w:pPr>
        <w:ind w:left="4516" w:hanging="360"/>
      </w:pPr>
    </w:lvl>
    <w:lvl w:ilvl="5" w:tentative="0">
      <w:start w:val="1"/>
      <w:numFmt w:val="lowerRoman"/>
      <w:lvlText w:val="%6."/>
      <w:lvlJc w:val="right"/>
      <w:pPr>
        <w:ind w:left="5236" w:hanging="180"/>
      </w:pPr>
    </w:lvl>
    <w:lvl w:ilvl="6" w:tentative="0">
      <w:start w:val="1"/>
      <w:numFmt w:val="decimal"/>
      <w:lvlText w:val="%7."/>
      <w:lvlJc w:val="left"/>
      <w:pPr>
        <w:ind w:left="5956" w:hanging="360"/>
      </w:pPr>
    </w:lvl>
    <w:lvl w:ilvl="7" w:tentative="0">
      <w:start w:val="1"/>
      <w:numFmt w:val="lowerLetter"/>
      <w:lvlText w:val="%8."/>
      <w:lvlJc w:val="left"/>
      <w:pPr>
        <w:ind w:left="6676" w:hanging="360"/>
      </w:pPr>
    </w:lvl>
    <w:lvl w:ilvl="8" w:tentative="0">
      <w:start w:val="1"/>
      <w:numFmt w:val="lowerRoman"/>
      <w:lvlText w:val="%9."/>
      <w:lvlJc w:val="right"/>
      <w:pPr>
        <w:ind w:left="7396" w:hanging="180"/>
      </w:pPr>
    </w:lvl>
  </w:abstractNum>
  <w:abstractNum w:abstractNumId="5">
    <w:nsid w:val="0A6461D0"/>
    <w:multiLevelType w:val="multilevel"/>
    <w:tmpl w:val="0A6461D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12C00B40"/>
    <w:multiLevelType w:val="multilevel"/>
    <w:tmpl w:val="12C00B40"/>
    <w:lvl w:ilvl="0" w:tentative="0">
      <w:start w:val="1"/>
      <w:numFmt w:val="bullet"/>
      <w:lvlText w:val=""/>
      <w:lvlJc w:val="left"/>
      <w:pPr>
        <w:ind w:left="919" w:hanging="360"/>
      </w:pPr>
      <w:rPr>
        <w:rFonts w:hint="default" w:ascii="Symbol" w:hAnsi="Symbol"/>
      </w:rPr>
    </w:lvl>
    <w:lvl w:ilvl="1" w:tentative="0">
      <w:start w:val="1"/>
      <w:numFmt w:val="bullet"/>
      <w:lvlText w:val="o"/>
      <w:lvlJc w:val="left"/>
      <w:pPr>
        <w:ind w:left="1639" w:hanging="360"/>
      </w:pPr>
      <w:rPr>
        <w:rFonts w:hint="default" w:ascii="Courier New" w:hAnsi="Courier New" w:cs="Courier New"/>
      </w:rPr>
    </w:lvl>
    <w:lvl w:ilvl="2" w:tentative="0">
      <w:start w:val="1"/>
      <w:numFmt w:val="bullet"/>
      <w:lvlText w:val=""/>
      <w:lvlJc w:val="left"/>
      <w:pPr>
        <w:ind w:left="2359" w:hanging="360"/>
      </w:pPr>
      <w:rPr>
        <w:rFonts w:hint="default" w:ascii="Wingdings" w:hAnsi="Wingdings"/>
      </w:rPr>
    </w:lvl>
    <w:lvl w:ilvl="3" w:tentative="0">
      <w:start w:val="1"/>
      <w:numFmt w:val="bullet"/>
      <w:lvlText w:val=""/>
      <w:lvlJc w:val="left"/>
      <w:pPr>
        <w:ind w:left="3079" w:hanging="360"/>
      </w:pPr>
      <w:rPr>
        <w:rFonts w:hint="default" w:ascii="Symbol" w:hAnsi="Symbol"/>
      </w:rPr>
    </w:lvl>
    <w:lvl w:ilvl="4" w:tentative="0">
      <w:start w:val="1"/>
      <w:numFmt w:val="bullet"/>
      <w:lvlText w:val="o"/>
      <w:lvlJc w:val="left"/>
      <w:pPr>
        <w:ind w:left="3799" w:hanging="360"/>
      </w:pPr>
      <w:rPr>
        <w:rFonts w:hint="default" w:ascii="Courier New" w:hAnsi="Courier New" w:cs="Courier New"/>
      </w:rPr>
    </w:lvl>
    <w:lvl w:ilvl="5" w:tentative="0">
      <w:start w:val="1"/>
      <w:numFmt w:val="bullet"/>
      <w:lvlText w:val=""/>
      <w:lvlJc w:val="left"/>
      <w:pPr>
        <w:ind w:left="4519" w:hanging="360"/>
      </w:pPr>
      <w:rPr>
        <w:rFonts w:hint="default" w:ascii="Wingdings" w:hAnsi="Wingdings"/>
      </w:rPr>
    </w:lvl>
    <w:lvl w:ilvl="6" w:tentative="0">
      <w:start w:val="1"/>
      <w:numFmt w:val="bullet"/>
      <w:lvlText w:val=""/>
      <w:lvlJc w:val="left"/>
      <w:pPr>
        <w:ind w:left="5239" w:hanging="360"/>
      </w:pPr>
      <w:rPr>
        <w:rFonts w:hint="default" w:ascii="Symbol" w:hAnsi="Symbol"/>
      </w:rPr>
    </w:lvl>
    <w:lvl w:ilvl="7" w:tentative="0">
      <w:start w:val="1"/>
      <w:numFmt w:val="bullet"/>
      <w:lvlText w:val="o"/>
      <w:lvlJc w:val="left"/>
      <w:pPr>
        <w:ind w:left="5959" w:hanging="360"/>
      </w:pPr>
      <w:rPr>
        <w:rFonts w:hint="default" w:ascii="Courier New" w:hAnsi="Courier New" w:cs="Courier New"/>
      </w:rPr>
    </w:lvl>
    <w:lvl w:ilvl="8" w:tentative="0">
      <w:start w:val="1"/>
      <w:numFmt w:val="bullet"/>
      <w:lvlText w:val=""/>
      <w:lvlJc w:val="left"/>
      <w:pPr>
        <w:ind w:left="6679" w:hanging="360"/>
      </w:pPr>
      <w:rPr>
        <w:rFonts w:hint="default" w:ascii="Wingdings" w:hAnsi="Wingdings"/>
      </w:rPr>
    </w:lvl>
  </w:abstractNum>
  <w:abstractNum w:abstractNumId="7">
    <w:nsid w:val="159A7C55"/>
    <w:multiLevelType w:val="multilevel"/>
    <w:tmpl w:val="159A7C55"/>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162E2785"/>
    <w:multiLevelType w:val="multilevel"/>
    <w:tmpl w:val="162E2785"/>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1C9A74D7"/>
    <w:multiLevelType w:val="multilevel"/>
    <w:tmpl w:val="1C9A74D7"/>
    <w:lvl w:ilvl="0" w:tentative="0">
      <w:start w:val="1"/>
      <w:numFmt w:val="bullet"/>
      <w:lvlText w:val=""/>
      <w:lvlJc w:val="left"/>
      <w:pPr>
        <w:ind w:left="979" w:hanging="420"/>
      </w:pPr>
      <w:rPr>
        <w:rFonts w:hint="default" w:ascii="Wingdings" w:hAnsi="Wingdings"/>
        <w:sz w:val="13"/>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0">
    <w:nsid w:val="272F65D7"/>
    <w:multiLevelType w:val="multilevel"/>
    <w:tmpl w:val="272F65D7"/>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1">
    <w:nsid w:val="28586E63"/>
    <w:multiLevelType w:val="multilevel"/>
    <w:tmpl w:val="28586E63"/>
    <w:lvl w:ilvl="0" w:tentative="0">
      <w:start w:val="1"/>
      <w:numFmt w:val="decimal"/>
      <w:lvlText w:val="%1)"/>
      <w:lvlJc w:val="left"/>
      <w:pPr>
        <w:ind w:left="919" w:hanging="360"/>
      </w:pPr>
    </w:lvl>
    <w:lvl w:ilvl="1" w:tentative="0">
      <w:start w:val="1"/>
      <w:numFmt w:val="lowerLetter"/>
      <w:lvlText w:val="%2."/>
      <w:lvlJc w:val="left"/>
      <w:pPr>
        <w:ind w:left="1007" w:hanging="360"/>
      </w:pPr>
    </w:lvl>
    <w:lvl w:ilvl="2" w:tentative="0">
      <w:start w:val="1"/>
      <w:numFmt w:val="lowerRoman"/>
      <w:lvlText w:val="%3."/>
      <w:lvlJc w:val="right"/>
      <w:pPr>
        <w:ind w:left="1727" w:hanging="180"/>
      </w:pPr>
    </w:lvl>
    <w:lvl w:ilvl="3" w:tentative="0">
      <w:start w:val="1"/>
      <w:numFmt w:val="decimal"/>
      <w:lvlText w:val="%4."/>
      <w:lvlJc w:val="left"/>
      <w:pPr>
        <w:ind w:left="2447" w:hanging="360"/>
      </w:pPr>
    </w:lvl>
    <w:lvl w:ilvl="4" w:tentative="0">
      <w:start w:val="1"/>
      <w:numFmt w:val="lowerLetter"/>
      <w:lvlText w:val="%5."/>
      <w:lvlJc w:val="left"/>
      <w:pPr>
        <w:ind w:left="3167" w:hanging="360"/>
      </w:pPr>
    </w:lvl>
    <w:lvl w:ilvl="5" w:tentative="0">
      <w:start w:val="1"/>
      <w:numFmt w:val="lowerRoman"/>
      <w:lvlText w:val="%6."/>
      <w:lvlJc w:val="right"/>
      <w:pPr>
        <w:ind w:left="3887" w:hanging="180"/>
      </w:pPr>
    </w:lvl>
    <w:lvl w:ilvl="6" w:tentative="0">
      <w:start w:val="1"/>
      <w:numFmt w:val="decimal"/>
      <w:lvlText w:val="%7."/>
      <w:lvlJc w:val="left"/>
      <w:pPr>
        <w:ind w:left="4607" w:hanging="360"/>
      </w:pPr>
    </w:lvl>
    <w:lvl w:ilvl="7" w:tentative="0">
      <w:start w:val="1"/>
      <w:numFmt w:val="lowerLetter"/>
      <w:lvlText w:val="%8."/>
      <w:lvlJc w:val="left"/>
      <w:pPr>
        <w:ind w:left="5327" w:hanging="360"/>
      </w:pPr>
    </w:lvl>
    <w:lvl w:ilvl="8" w:tentative="0">
      <w:start w:val="1"/>
      <w:numFmt w:val="lowerRoman"/>
      <w:lvlText w:val="%9."/>
      <w:lvlJc w:val="right"/>
      <w:pPr>
        <w:ind w:left="6047" w:hanging="180"/>
      </w:pPr>
    </w:lvl>
  </w:abstractNum>
  <w:abstractNum w:abstractNumId="12">
    <w:nsid w:val="2A51122A"/>
    <w:multiLevelType w:val="multilevel"/>
    <w:tmpl w:val="2A51122A"/>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3">
    <w:nsid w:val="43E02858"/>
    <w:multiLevelType w:val="multilevel"/>
    <w:tmpl w:val="43E02858"/>
    <w:lvl w:ilvl="0" w:tentative="0">
      <w:start w:val="1"/>
      <w:numFmt w:val="decimal"/>
      <w:lvlText w:val="%1."/>
      <w:lvlJc w:val="left"/>
      <w:pPr>
        <w:ind w:left="720" w:hanging="360"/>
      </w:pPr>
    </w:lvl>
    <w:lvl w:ilvl="1" w:tentative="0">
      <w:start w:val="4"/>
      <w:numFmt w:val="decimal"/>
      <w:isLgl/>
      <w:lvlText w:val="%1.%2"/>
      <w:lvlJc w:val="left"/>
      <w:pPr>
        <w:ind w:left="1080" w:hanging="720"/>
      </w:pPr>
      <w:rPr>
        <w:rFonts w:hint="default"/>
      </w:rPr>
    </w:lvl>
    <w:lvl w:ilvl="2" w:tentative="0">
      <w:start w:val="1"/>
      <w:numFmt w:val="decimal"/>
      <w:isLgl/>
      <w:lvlText w:val="%1.%2.%3"/>
      <w:lvlJc w:val="left"/>
      <w:pPr>
        <w:ind w:left="1440" w:hanging="1080"/>
      </w:pPr>
      <w:rPr>
        <w:rFonts w:hint="default"/>
      </w:rPr>
    </w:lvl>
    <w:lvl w:ilvl="3" w:tentative="0">
      <w:start w:val="1"/>
      <w:numFmt w:val="decimal"/>
      <w:isLgl/>
      <w:lvlText w:val="%1.%2.%3.%4"/>
      <w:lvlJc w:val="left"/>
      <w:pPr>
        <w:ind w:left="1800" w:hanging="1440"/>
      </w:pPr>
      <w:rPr>
        <w:rFonts w:hint="default"/>
      </w:rPr>
    </w:lvl>
    <w:lvl w:ilvl="4" w:tentative="0">
      <w:start w:val="1"/>
      <w:numFmt w:val="decimal"/>
      <w:isLgl/>
      <w:lvlText w:val="%1.%2.%3.%4.%5"/>
      <w:lvlJc w:val="left"/>
      <w:pPr>
        <w:ind w:left="1800" w:hanging="1440"/>
      </w:pPr>
      <w:rPr>
        <w:rFonts w:hint="default"/>
      </w:rPr>
    </w:lvl>
    <w:lvl w:ilvl="5" w:tentative="0">
      <w:start w:val="1"/>
      <w:numFmt w:val="decimal"/>
      <w:isLgl/>
      <w:lvlText w:val="%1.%2.%3.%4.%5.%6"/>
      <w:lvlJc w:val="left"/>
      <w:pPr>
        <w:ind w:left="2160" w:hanging="1800"/>
      </w:pPr>
      <w:rPr>
        <w:rFonts w:hint="default"/>
      </w:rPr>
    </w:lvl>
    <w:lvl w:ilvl="6" w:tentative="0">
      <w:start w:val="1"/>
      <w:numFmt w:val="decimal"/>
      <w:isLgl/>
      <w:lvlText w:val="%1.%2.%3.%4.%5.%6.%7"/>
      <w:lvlJc w:val="left"/>
      <w:pPr>
        <w:ind w:left="2520" w:hanging="2160"/>
      </w:pPr>
      <w:rPr>
        <w:rFonts w:hint="default"/>
      </w:rPr>
    </w:lvl>
    <w:lvl w:ilvl="7" w:tentative="0">
      <w:start w:val="1"/>
      <w:numFmt w:val="decimal"/>
      <w:isLgl/>
      <w:lvlText w:val="%1.%2.%3.%4.%5.%6.%7.%8"/>
      <w:lvlJc w:val="left"/>
      <w:pPr>
        <w:ind w:left="2880" w:hanging="2520"/>
      </w:pPr>
      <w:rPr>
        <w:rFonts w:hint="default"/>
      </w:rPr>
    </w:lvl>
    <w:lvl w:ilvl="8" w:tentative="0">
      <w:start w:val="1"/>
      <w:numFmt w:val="decimal"/>
      <w:isLgl/>
      <w:lvlText w:val="%1.%2.%3.%4.%5.%6.%7.%8.%9"/>
      <w:lvlJc w:val="left"/>
      <w:pPr>
        <w:ind w:left="3240" w:hanging="2880"/>
      </w:pPr>
      <w:rPr>
        <w:rFonts w:hint="default"/>
      </w:rPr>
    </w:lvl>
  </w:abstractNum>
  <w:abstractNum w:abstractNumId="14">
    <w:nsid w:val="52CE60AC"/>
    <w:multiLevelType w:val="multilevel"/>
    <w:tmpl w:val="52CE60AC"/>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5">
    <w:nsid w:val="55091483"/>
    <w:multiLevelType w:val="multilevel"/>
    <w:tmpl w:val="55091483"/>
    <w:lvl w:ilvl="0" w:tentative="0">
      <w:start w:val="1"/>
      <w:numFmt w:val="bullet"/>
      <w:lvlText w:val=""/>
      <w:lvlJc w:val="left"/>
      <w:pPr>
        <w:ind w:left="979" w:hanging="420"/>
      </w:pPr>
      <w:rPr>
        <w:rFonts w:hint="default" w:ascii="Wingdings" w:hAnsi="Wingdings"/>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6">
    <w:nsid w:val="57DA03F9"/>
    <w:multiLevelType w:val="multilevel"/>
    <w:tmpl w:val="57DA03F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621B69D4"/>
    <w:multiLevelType w:val="multilevel"/>
    <w:tmpl w:val="621B69D4"/>
    <w:lvl w:ilvl="0" w:tentative="0">
      <w:start w:val="1"/>
      <w:numFmt w:val="bullet"/>
      <w:lvlText w:val=""/>
      <w:lvlJc w:val="left"/>
      <w:pPr>
        <w:ind w:left="919" w:hanging="360"/>
      </w:pPr>
      <w:rPr>
        <w:rFonts w:hint="default" w:ascii="Symbol" w:hAnsi="Symbol"/>
      </w:rPr>
    </w:lvl>
    <w:lvl w:ilvl="1" w:tentative="0">
      <w:start w:val="1"/>
      <w:numFmt w:val="bullet"/>
      <w:lvlText w:val="o"/>
      <w:lvlJc w:val="left"/>
      <w:pPr>
        <w:ind w:left="1639" w:hanging="360"/>
      </w:pPr>
      <w:rPr>
        <w:rFonts w:hint="default" w:ascii="Courier New" w:hAnsi="Courier New" w:cs="Courier New"/>
      </w:rPr>
    </w:lvl>
    <w:lvl w:ilvl="2" w:tentative="0">
      <w:start w:val="1"/>
      <w:numFmt w:val="bullet"/>
      <w:lvlText w:val=""/>
      <w:lvlJc w:val="left"/>
      <w:pPr>
        <w:ind w:left="2359" w:hanging="360"/>
      </w:pPr>
      <w:rPr>
        <w:rFonts w:hint="default" w:ascii="Wingdings" w:hAnsi="Wingdings"/>
      </w:rPr>
    </w:lvl>
    <w:lvl w:ilvl="3" w:tentative="0">
      <w:start w:val="1"/>
      <w:numFmt w:val="bullet"/>
      <w:lvlText w:val=""/>
      <w:lvlJc w:val="left"/>
      <w:pPr>
        <w:ind w:left="3079" w:hanging="360"/>
      </w:pPr>
      <w:rPr>
        <w:rFonts w:hint="default" w:ascii="Symbol" w:hAnsi="Symbol"/>
      </w:rPr>
    </w:lvl>
    <w:lvl w:ilvl="4" w:tentative="0">
      <w:start w:val="1"/>
      <w:numFmt w:val="bullet"/>
      <w:lvlText w:val="o"/>
      <w:lvlJc w:val="left"/>
      <w:pPr>
        <w:ind w:left="3799" w:hanging="360"/>
      </w:pPr>
      <w:rPr>
        <w:rFonts w:hint="default" w:ascii="Courier New" w:hAnsi="Courier New" w:cs="Courier New"/>
      </w:rPr>
    </w:lvl>
    <w:lvl w:ilvl="5" w:tentative="0">
      <w:start w:val="1"/>
      <w:numFmt w:val="bullet"/>
      <w:lvlText w:val=""/>
      <w:lvlJc w:val="left"/>
      <w:pPr>
        <w:ind w:left="4519" w:hanging="360"/>
      </w:pPr>
      <w:rPr>
        <w:rFonts w:hint="default" w:ascii="Wingdings" w:hAnsi="Wingdings"/>
      </w:rPr>
    </w:lvl>
    <w:lvl w:ilvl="6" w:tentative="0">
      <w:start w:val="1"/>
      <w:numFmt w:val="bullet"/>
      <w:lvlText w:val=""/>
      <w:lvlJc w:val="left"/>
      <w:pPr>
        <w:ind w:left="5239" w:hanging="360"/>
      </w:pPr>
      <w:rPr>
        <w:rFonts w:hint="default" w:ascii="Symbol" w:hAnsi="Symbol"/>
      </w:rPr>
    </w:lvl>
    <w:lvl w:ilvl="7" w:tentative="0">
      <w:start w:val="1"/>
      <w:numFmt w:val="bullet"/>
      <w:lvlText w:val="o"/>
      <w:lvlJc w:val="left"/>
      <w:pPr>
        <w:ind w:left="5959" w:hanging="360"/>
      </w:pPr>
      <w:rPr>
        <w:rFonts w:hint="default" w:ascii="Courier New" w:hAnsi="Courier New" w:cs="Courier New"/>
      </w:rPr>
    </w:lvl>
    <w:lvl w:ilvl="8" w:tentative="0">
      <w:start w:val="1"/>
      <w:numFmt w:val="bullet"/>
      <w:lvlText w:val=""/>
      <w:lvlJc w:val="left"/>
      <w:pPr>
        <w:ind w:left="6679" w:hanging="360"/>
      </w:pPr>
      <w:rPr>
        <w:rFonts w:hint="default" w:ascii="Wingdings" w:hAnsi="Wingdings"/>
      </w:rPr>
    </w:lvl>
  </w:abstractNum>
  <w:abstractNum w:abstractNumId="18">
    <w:nsid w:val="669B2150"/>
    <w:multiLevelType w:val="multilevel"/>
    <w:tmpl w:val="669B2150"/>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
    <w:nsid w:val="6F9B5E47"/>
    <w:multiLevelType w:val="multilevel"/>
    <w:tmpl w:val="6F9B5E47"/>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0">
    <w:nsid w:val="724468E4"/>
    <w:multiLevelType w:val="multilevel"/>
    <w:tmpl w:val="724468E4"/>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1">
    <w:nsid w:val="752A2A98"/>
    <w:multiLevelType w:val="multilevel"/>
    <w:tmpl w:val="752A2A98"/>
    <w:lvl w:ilvl="0" w:tentative="0">
      <w:start w:val="1"/>
      <w:numFmt w:val="decimal"/>
      <w:lvlText w:val="（%1）"/>
      <w:lvlJc w:val="left"/>
      <w:pPr>
        <w:ind w:left="1279" w:hanging="720"/>
      </w:pPr>
      <w:rPr>
        <w:rFonts w:hint="default"/>
      </w:rPr>
    </w:lvl>
    <w:lvl w:ilvl="1" w:tentative="0">
      <w:start w:val="1"/>
      <w:numFmt w:val="lowerLetter"/>
      <w:lvlText w:val="%2)"/>
      <w:lvlJc w:val="left"/>
      <w:pPr>
        <w:ind w:left="1399" w:hanging="420"/>
      </w:pPr>
    </w:lvl>
    <w:lvl w:ilvl="2" w:tentative="0">
      <w:start w:val="1"/>
      <w:numFmt w:val="lowerRoman"/>
      <w:lvlText w:val="%3."/>
      <w:lvlJc w:val="right"/>
      <w:pPr>
        <w:ind w:left="1819" w:hanging="420"/>
      </w:pPr>
    </w:lvl>
    <w:lvl w:ilvl="3" w:tentative="0">
      <w:start w:val="1"/>
      <w:numFmt w:val="decimal"/>
      <w:lvlText w:val="%4."/>
      <w:lvlJc w:val="left"/>
      <w:pPr>
        <w:ind w:left="2239" w:hanging="420"/>
      </w:pPr>
    </w:lvl>
    <w:lvl w:ilvl="4" w:tentative="0">
      <w:start w:val="1"/>
      <w:numFmt w:val="lowerLetter"/>
      <w:lvlText w:val="%5)"/>
      <w:lvlJc w:val="left"/>
      <w:pPr>
        <w:ind w:left="2659" w:hanging="420"/>
      </w:pPr>
    </w:lvl>
    <w:lvl w:ilvl="5" w:tentative="0">
      <w:start w:val="1"/>
      <w:numFmt w:val="lowerRoman"/>
      <w:lvlText w:val="%6."/>
      <w:lvlJc w:val="right"/>
      <w:pPr>
        <w:ind w:left="3079" w:hanging="420"/>
      </w:pPr>
    </w:lvl>
    <w:lvl w:ilvl="6" w:tentative="0">
      <w:start w:val="1"/>
      <w:numFmt w:val="decimal"/>
      <w:lvlText w:val="%7."/>
      <w:lvlJc w:val="left"/>
      <w:pPr>
        <w:ind w:left="3499" w:hanging="420"/>
      </w:pPr>
    </w:lvl>
    <w:lvl w:ilvl="7" w:tentative="0">
      <w:start w:val="1"/>
      <w:numFmt w:val="lowerLetter"/>
      <w:lvlText w:val="%8)"/>
      <w:lvlJc w:val="left"/>
      <w:pPr>
        <w:ind w:left="3919" w:hanging="420"/>
      </w:pPr>
    </w:lvl>
    <w:lvl w:ilvl="8" w:tentative="0">
      <w:start w:val="1"/>
      <w:numFmt w:val="lowerRoman"/>
      <w:lvlText w:val="%9."/>
      <w:lvlJc w:val="right"/>
      <w:pPr>
        <w:ind w:left="4339" w:hanging="420"/>
      </w:pPr>
    </w:lvl>
  </w:abstractNum>
  <w:abstractNum w:abstractNumId="22">
    <w:nsid w:val="7D7A1835"/>
    <w:multiLevelType w:val="multilevel"/>
    <w:tmpl w:val="7D7A1835"/>
    <w:lvl w:ilvl="0" w:tentative="0">
      <w:start w:val="1"/>
      <w:numFmt w:val="decimal"/>
      <w:lvlText w:val="%1."/>
      <w:lvlJc w:val="left"/>
      <w:pPr>
        <w:ind w:left="516" w:hanging="360"/>
      </w:pPr>
    </w:lvl>
    <w:lvl w:ilvl="1" w:tentative="0">
      <w:start w:val="1"/>
      <w:numFmt w:val="lowerLetter"/>
      <w:lvlText w:val="%2."/>
      <w:lvlJc w:val="left"/>
      <w:pPr>
        <w:ind w:left="2356" w:hanging="360"/>
      </w:pPr>
    </w:lvl>
    <w:lvl w:ilvl="2" w:tentative="0">
      <w:start w:val="1"/>
      <w:numFmt w:val="lowerRoman"/>
      <w:lvlText w:val="%3."/>
      <w:lvlJc w:val="right"/>
      <w:pPr>
        <w:ind w:left="3076" w:hanging="180"/>
      </w:pPr>
    </w:lvl>
    <w:lvl w:ilvl="3" w:tentative="0">
      <w:start w:val="1"/>
      <w:numFmt w:val="decimal"/>
      <w:lvlText w:val="%4."/>
      <w:lvlJc w:val="left"/>
      <w:pPr>
        <w:ind w:left="3796" w:hanging="360"/>
      </w:pPr>
    </w:lvl>
    <w:lvl w:ilvl="4" w:tentative="0">
      <w:start w:val="1"/>
      <w:numFmt w:val="lowerLetter"/>
      <w:lvlText w:val="%5."/>
      <w:lvlJc w:val="left"/>
      <w:pPr>
        <w:ind w:left="4516" w:hanging="360"/>
      </w:pPr>
    </w:lvl>
    <w:lvl w:ilvl="5" w:tentative="0">
      <w:start w:val="1"/>
      <w:numFmt w:val="lowerRoman"/>
      <w:lvlText w:val="%6."/>
      <w:lvlJc w:val="right"/>
      <w:pPr>
        <w:ind w:left="5236" w:hanging="180"/>
      </w:pPr>
    </w:lvl>
    <w:lvl w:ilvl="6" w:tentative="0">
      <w:start w:val="1"/>
      <w:numFmt w:val="decimal"/>
      <w:lvlText w:val="%7."/>
      <w:lvlJc w:val="left"/>
      <w:pPr>
        <w:ind w:left="5956" w:hanging="360"/>
      </w:pPr>
    </w:lvl>
    <w:lvl w:ilvl="7" w:tentative="0">
      <w:start w:val="1"/>
      <w:numFmt w:val="lowerLetter"/>
      <w:lvlText w:val="%8."/>
      <w:lvlJc w:val="left"/>
      <w:pPr>
        <w:ind w:left="6676" w:hanging="360"/>
      </w:pPr>
    </w:lvl>
    <w:lvl w:ilvl="8" w:tentative="0">
      <w:start w:val="1"/>
      <w:numFmt w:val="lowerRoman"/>
      <w:lvlText w:val="%9."/>
      <w:lvlJc w:val="right"/>
      <w:pPr>
        <w:ind w:left="7396" w:hanging="180"/>
      </w:pPr>
    </w:lvl>
  </w:abstractNum>
  <w:num w:numId="1">
    <w:abstractNumId w:val="1"/>
  </w:num>
  <w:num w:numId="2">
    <w:abstractNumId w:val="16"/>
  </w:num>
  <w:num w:numId="3">
    <w:abstractNumId w:val="13"/>
  </w:num>
  <w:num w:numId="4">
    <w:abstractNumId w:val="19"/>
  </w:num>
  <w:num w:numId="5">
    <w:abstractNumId w:val="20"/>
  </w:num>
  <w:num w:numId="6">
    <w:abstractNumId w:val="8"/>
  </w:num>
  <w:num w:numId="7">
    <w:abstractNumId w:val="18"/>
  </w:num>
  <w:num w:numId="8">
    <w:abstractNumId w:val="7"/>
  </w:num>
  <w:num w:numId="9">
    <w:abstractNumId w:val="4"/>
  </w:num>
  <w:num w:numId="10">
    <w:abstractNumId w:val="22"/>
  </w:num>
  <w:num w:numId="11">
    <w:abstractNumId w:val="0"/>
  </w:num>
  <w:num w:numId="12">
    <w:abstractNumId w:val="10"/>
  </w:num>
  <w:num w:numId="13">
    <w:abstractNumId w:val="14"/>
  </w:num>
  <w:num w:numId="14">
    <w:abstractNumId w:val="11"/>
  </w:num>
  <w:num w:numId="15">
    <w:abstractNumId w:val="15"/>
  </w:num>
  <w:num w:numId="16">
    <w:abstractNumId w:val="2"/>
  </w:num>
  <w:num w:numId="17">
    <w:abstractNumId w:val="9"/>
  </w:num>
  <w:num w:numId="18">
    <w:abstractNumId w:val="12"/>
  </w:num>
  <w:num w:numId="19">
    <w:abstractNumId w:val="6"/>
  </w:num>
  <w:num w:numId="20">
    <w:abstractNumId w:val="21"/>
  </w:num>
  <w:num w:numId="21">
    <w:abstractNumId w:val="3"/>
  </w:num>
  <w:num w:numId="22">
    <w:abstractNumId w:val="17"/>
  </w:num>
  <w:num w:numId="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TrueTypeFonts/>
  <w:saveSubsetFonts/>
  <w:bordersDoNotSurroundHeader w:val="1"/>
  <w:bordersDoNotSurroundFooter w:val="1"/>
  <w:hideSpellingErrors/>
  <w:doNotTrackFormatting/>
  <w:documentProtection w:enforcement="0"/>
  <w:defaultTabStop w:val="420"/>
  <w:drawingGridHorizontalSpacing w:val="120"/>
  <w:drawingGridVerticalSpacing w:val="163"/>
  <w:noPunctuationKerning w:val="1"/>
  <w:characterSpacingControl w:val="compressPunctuation"/>
  <w:footnotePr>
    <w:footnote w:id="72"/>
    <w:footnote w:id="73"/>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hlMzkwNGU3NjdlYzQ3ODhiNmQwNDViYWI2MWZlZDQifQ=="/>
  </w:docVars>
  <w:rsids>
    <w:rsidRoot w:val="00CE2ACC"/>
    <w:rsid w:val="00000749"/>
    <w:rsid w:val="0000133E"/>
    <w:rsid w:val="000018B6"/>
    <w:rsid w:val="000021DD"/>
    <w:rsid w:val="00002EE4"/>
    <w:rsid w:val="000039E7"/>
    <w:rsid w:val="00003A95"/>
    <w:rsid w:val="00005D89"/>
    <w:rsid w:val="0000600A"/>
    <w:rsid w:val="00006A7F"/>
    <w:rsid w:val="00006B5C"/>
    <w:rsid w:val="00006E17"/>
    <w:rsid w:val="00007151"/>
    <w:rsid w:val="000075E4"/>
    <w:rsid w:val="00007D82"/>
    <w:rsid w:val="00010405"/>
    <w:rsid w:val="00010751"/>
    <w:rsid w:val="00011521"/>
    <w:rsid w:val="00011780"/>
    <w:rsid w:val="00011883"/>
    <w:rsid w:val="00012045"/>
    <w:rsid w:val="00012273"/>
    <w:rsid w:val="00012370"/>
    <w:rsid w:val="0001258D"/>
    <w:rsid w:val="000138FE"/>
    <w:rsid w:val="00013CA3"/>
    <w:rsid w:val="00013E91"/>
    <w:rsid w:val="000141C5"/>
    <w:rsid w:val="000143B7"/>
    <w:rsid w:val="00014B05"/>
    <w:rsid w:val="00014DBD"/>
    <w:rsid w:val="00014F06"/>
    <w:rsid w:val="00014FB0"/>
    <w:rsid w:val="0001527F"/>
    <w:rsid w:val="000159E4"/>
    <w:rsid w:val="00015E30"/>
    <w:rsid w:val="0001600A"/>
    <w:rsid w:val="00016063"/>
    <w:rsid w:val="00017E7D"/>
    <w:rsid w:val="000201B1"/>
    <w:rsid w:val="00020482"/>
    <w:rsid w:val="000204C6"/>
    <w:rsid w:val="0002066E"/>
    <w:rsid w:val="000209B0"/>
    <w:rsid w:val="000211D9"/>
    <w:rsid w:val="000216D9"/>
    <w:rsid w:val="00021DEA"/>
    <w:rsid w:val="00022FB9"/>
    <w:rsid w:val="00023116"/>
    <w:rsid w:val="00023D31"/>
    <w:rsid w:val="00023D82"/>
    <w:rsid w:val="00024793"/>
    <w:rsid w:val="00024C10"/>
    <w:rsid w:val="00025225"/>
    <w:rsid w:val="00025ADB"/>
    <w:rsid w:val="00026570"/>
    <w:rsid w:val="00026DDD"/>
    <w:rsid w:val="00026F8B"/>
    <w:rsid w:val="0002781A"/>
    <w:rsid w:val="00027A62"/>
    <w:rsid w:val="00027DF1"/>
    <w:rsid w:val="00027F1C"/>
    <w:rsid w:val="0003015E"/>
    <w:rsid w:val="00030925"/>
    <w:rsid w:val="00030E96"/>
    <w:rsid w:val="00030EE3"/>
    <w:rsid w:val="000311DC"/>
    <w:rsid w:val="000311E7"/>
    <w:rsid w:val="00031E99"/>
    <w:rsid w:val="00031E9C"/>
    <w:rsid w:val="000323BC"/>
    <w:rsid w:val="00032A23"/>
    <w:rsid w:val="000335C8"/>
    <w:rsid w:val="0003398C"/>
    <w:rsid w:val="00033B7F"/>
    <w:rsid w:val="00033DBA"/>
    <w:rsid w:val="00033E54"/>
    <w:rsid w:val="00033FBF"/>
    <w:rsid w:val="000340A8"/>
    <w:rsid w:val="00034237"/>
    <w:rsid w:val="00034404"/>
    <w:rsid w:val="00034617"/>
    <w:rsid w:val="00034628"/>
    <w:rsid w:val="000346AE"/>
    <w:rsid w:val="00035FC1"/>
    <w:rsid w:val="00036554"/>
    <w:rsid w:val="0003676D"/>
    <w:rsid w:val="00037162"/>
    <w:rsid w:val="000372BF"/>
    <w:rsid w:val="00037B09"/>
    <w:rsid w:val="00037EDD"/>
    <w:rsid w:val="0004001B"/>
    <w:rsid w:val="00040BDB"/>
    <w:rsid w:val="00041270"/>
    <w:rsid w:val="00041608"/>
    <w:rsid w:val="00041A52"/>
    <w:rsid w:val="00041E01"/>
    <w:rsid w:val="00042218"/>
    <w:rsid w:val="000422B5"/>
    <w:rsid w:val="0004289E"/>
    <w:rsid w:val="000446C1"/>
    <w:rsid w:val="00044CD5"/>
    <w:rsid w:val="00044F0D"/>
    <w:rsid w:val="0004525E"/>
    <w:rsid w:val="00045FE1"/>
    <w:rsid w:val="00046D9C"/>
    <w:rsid w:val="00047A67"/>
    <w:rsid w:val="000503C7"/>
    <w:rsid w:val="000504E3"/>
    <w:rsid w:val="00050D47"/>
    <w:rsid w:val="000515B0"/>
    <w:rsid w:val="00051756"/>
    <w:rsid w:val="00051FA2"/>
    <w:rsid w:val="00051FCF"/>
    <w:rsid w:val="00052049"/>
    <w:rsid w:val="000522DB"/>
    <w:rsid w:val="0005269A"/>
    <w:rsid w:val="00052D82"/>
    <w:rsid w:val="00053A9A"/>
    <w:rsid w:val="00053F35"/>
    <w:rsid w:val="000543AA"/>
    <w:rsid w:val="000544B6"/>
    <w:rsid w:val="00055245"/>
    <w:rsid w:val="00055911"/>
    <w:rsid w:val="0005598C"/>
    <w:rsid w:val="00055F3B"/>
    <w:rsid w:val="0005689B"/>
    <w:rsid w:val="00056CC6"/>
    <w:rsid w:val="00057977"/>
    <w:rsid w:val="0006029C"/>
    <w:rsid w:val="0006072E"/>
    <w:rsid w:val="000607CD"/>
    <w:rsid w:val="00060C62"/>
    <w:rsid w:val="00061A82"/>
    <w:rsid w:val="00061B24"/>
    <w:rsid w:val="00061F16"/>
    <w:rsid w:val="000625BF"/>
    <w:rsid w:val="00062641"/>
    <w:rsid w:val="000629F1"/>
    <w:rsid w:val="00062A84"/>
    <w:rsid w:val="00062BC7"/>
    <w:rsid w:val="00062FDF"/>
    <w:rsid w:val="000632E3"/>
    <w:rsid w:val="00063910"/>
    <w:rsid w:val="00064132"/>
    <w:rsid w:val="0006422A"/>
    <w:rsid w:val="00065823"/>
    <w:rsid w:val="00065FE4"/>
    <w:rsid w:val="000667FD"/>
    <w:rsid w:val="0006716B"/>
    <w:rsid w:val="00067357"/>
    <w:rsid w:val="00067A8F"/>
    <w:rsid w:val="00067ADF"/>
    <w:rsid w:val="000700FD"/>
    <w:rsid w:val="0007022A"/>
    <w:rsid w:val="00070520"/>
    <w:rsid w:val="00070CB1"/>
    <w:rsid w:val="00071DFF"/>
    <w:rsid w:val="00071EAB"/>
    <w:rsid w:val="00072754"/>
    <w:rsid w:val="000733F6"/>
    <w:rsid w:val="0007341E"/>
    <w:rsid w:val="00073B20"/>
    <w:rsid w:val="00073BFA"/>
    <w:rsid w:val="00074864"/>
    <w:rsid w:val="00075226"/>
    <w:rsid w:val="0007546D"/>
    <w:rsid w:val="00075511"/>
    <w:rsid w:val="0007559A"/>
    <w:rsid w:val="00075879"/>
    <w:rsid w:val="00075929"/>
    <w:rsid w:val="000764EC"/>
    <w:rsid w:val="00076A48"/>
    <w:rsid w:val="00076DB2"/>
    <w:rsid w:val="00077DC9"/>
    <w:rsid w:val="00080150"/>
    <w:rsid w:val="00080CEA"/>
    <w:rsid w:val="00080E0F"/>
    <w:rsid w:val="00081857"/>
    <w:rsid w:val="000818BA"/>
    <w:rsid w:val="00081CC6"/>
    <w:rsid w:val="0008216F"/>
    <w:rsid w:val="0008231E"/>
    <w:rsid w:val="00082459"/>
    <w:rsid w:val="0008260F"/>
    <w:rsid w:val="000828CD"/>
    <w:rsid w:val="00082948"/>
    <w:rsid w:val="00082F4A"/>
    <w:rsid w:val="00083636"/>
    <w:rsid w:val="000836D7"/>
    <w:rsid w:val="00083A1B"/>
    <w:rsid w:val="00083EAC"/>
    <w:rsid w:val="00084541"/>
    <w:rsid w:val="000845F7"/>
    <w:rsid w:val="000849EE"/>
    <w:rsid w:val="00084CD9"/>
    <w:rsid w:val="00084DB4"/>
    <w:rsid w:val="00084DD9"/>
    <w:rsid w:val="00085355"/>
    <w:rsid w:val="00085446"/>
    <w:rsid w:val="000858F0"/>
    <w:rsid w:val="000864CA"/>
    <w:rsid w:val="00086752"/>
    <w:rsid w:val="00086BA6"/>
    <w:rsid w:val="000873AF"/>
    <w:rsid w:val="0008769F"/>
    <w:rsid w:val="00090502"/>
    <w:rsid w:val="00090557"/>
    <w:rsid w:val="00090B38"/>
    <w:rsid w:val="00090C00"/>
    <w:rsid w:val="00090CCB"/>
    <w:rsid w:val="00090E1F"/>
    <w:rsid w:val="00091650"/>
    <w:rsid w:val="00091730"/>
    <w:rsid w:val="0009215F"/>
    <w:rsid w:val="0009237A"/>
    <w:rsid w:val="00092804"/>
    <w:rsid w:val="00093853"/>
    <w:rsid w:val="00093AAB"/>
    <w:rsid w:val="00093CEE"/>
    <w:rsid w:val="0009430C"/>
    <w:rsid w:val="0009505C"/>
    <w:rsid w:val="000963D4"/>
    <w:rsid w:val="00096751"/>
    <w:rsid w:val="000972B2"/>
    <w:rsid w:val="00097E86"/>
    <w:rsid w:val="000A047B"/>
    <w:rsid w:val="000A0C70"/>
    <w:rsid w:val="000A12B7"/>
    <w:rsid w:val="000A1CC8"/>
    <w:rsid w:val="000A1F5E"/>
    <w:rsid w:val="000A225A"/>
    <w:rsid w:val="000A2731"/>
    <w:rsid w:val="000A2971"/>
    <w:rsid w:val="000A3422"/>
    <w:rsid w:val="000A3676"/>
    <w:rsid w:val="000A3BD9"/>
    <w:rsid w:val="000A5426"/>
    <w:rsid w:val="000A5575"/>
    <w:rsid w:val="000A5600"/>
    <w:rsid w:val="000A656B"/>
    <w:rsid w:val="000A729C"/>
    <w:rsid w:val="000A7C52"/>
    <w:rsid w:val="000B0172"/>
    <w:rsid w:val="000B0A59"/>
    <w:rsid w:val="000B0E40"/>
    <w:rsid w:val="000B1290"/>
    <w:rsid w:val="000B168C"/>
    <w:rsid w:val="000B1A75"/>
    <w:rsid w:val="000B2157"/>
    <w:rsid w:val="000B26DE"/>
    <w:rsid w:val="000B2A2A"/>
    <w:rsid w:val="000B2BAA"/>
    <w:rsid w:val="000B2DCF"/>
    <w:rsid w:val="000B3B01"/>
    <w:rsid w:val="000B3DBE"/>
    <w:rsid w:val="000B43E3"/>
    <w:rsid w:val="000B46AC"/>
    <w:rsid w:val="000B4737"/>
    <w:rsid w:val="000B487E"/>
    <w:rsid w:val="000B494F"/>
    <w:rsid w:val="000B4BC7"/>
    <w:rsid w:val="000B50A3"/>
    <w:rsid w:val="000B5232"/>
    <w:rsid w:val="000B6889"/>
    <w:rsid w:val="000B6C53"/>
    <w:rsid w:val="000B70BF"/>
    <w:rsid w:val="000B71E8"/>
    <w:rsid w:val="000B74E2"/>
    <w:rsid w:val="000B79B3"/>
    <w:rsid w:val="000C017E"/>
    <w:rsid w:val="000C05C2"/>
    <w:rsid w:val="000C0C7B"/>
    <w:rsid w:val="000C1629"/>
    <w:rsid w:val="000C16BA"/>
    <w:rsid w:val="000C18FC"/>
    <w:rsid w:val="000C1C15"/>
    <w:rsid w:val="000C1ED1"/>
    <w:rsid w:val="000C21F5"/>
    <w:rsid w:val="000C282F"/>
    <w:rsid w:val="000C4518"/>
    <w:rsid w:val="000C483F"/>
    <w:rsid w:val="000C48CA"/>
    <w:rsid w:val="000C49B5"/>
    <w:rsid w:val="000C4D19"/>
    <w:rsid w:val="000C5026"/>
    <w:rsid w:val="000C58FC"/>
    <w:rsid w:val="000C5D19"/>
    <w:rsid w:val="000C5FF2"/>
    <w:rsid w:val="000C624E"/>
    <w:rsid w:val="000C7047"/>
    <w:rsid w:val="000C7521"/>
    <w:rsid w:val="000C78EE"/>
    <w:rsid w:val="000D072C"/>
    <w:rsid w:val="000D08F3"/>
    <w:rsid w:val="000D0BE0"/>
    <w:rsid w:val="000D1C5D"/>
    <w:rsid w:val="000D2176"/>
    <w:rsid w:val="000D24C6"/>
    <w:rsid w:val="000D29E6"/>
    <w:rsid w:val="000D2DC4"/>
    <w:rsid w:val="000D300B"/>
    <w:rsid w:val="000D363B"/>
    <w:rsid w:val="000D53CB"/>
    <w:rsid w:val="000D5920"/>
    <w:rsid w:val="000D5A14"/>
    <w:rsid w:val="000D5F7C"/>
    <w:rsid w:val="000D6228"/>
    <w:rsid w:val="000D7DAD"/>
    <w:rsid w:val="000D7F6F"/>
    <w:rsid w:val="000E0826"/>
    <w:rsid w:val="000E0BEF"/>
    <w:rsid w:val="000E0FA0"/>
    <w:rsid w:val="000E1102"/>
    <w:rsid w:val="000E11F6"/>
    <w:rsid w:val="000E149D"/>
    <w:rsid w:val="000E1796"/>
    <w:rsid w:val="000E240A"/>
    <w:rsid w:val="000E341C"/>
    <w:rsid w:val="000E4315"/>
    <w:rsid w:val="000E4336"/>
    <w:rsid w:val="000E4E45"/>
    <w:rsid w:val="000E52F9"/>
    <w:rsid w:val="000E54AA"/>
    <w:rsid w:val="000E583B"/>
    <w:rsid w:val="000E598E"/>
    <w:rsid w:val="000E5DB8"/>
    <w:rsid w:val="000E5FAB"/>
    <w:rsid w:val="000E60EF"/>
    <w:rsid w:val="000E60F3"/>
    <w:rsid w:val="000E6111"/>
    <w:rsid w:val="000E6AE0"/>
    <w:rsid w:val="000E6EEC"/>
    <w:rsid w:val="000E700D"/>
    <w:rsid w:val="000E722D"/>
    <w:rsid w:val="000E7B56"/>
    <w:rsid w:val="000F016A"/>
    <w:rsid w:val="000F0AEF"/>
    <w:rsid w:val="000F1034"/>
    <w:rsid w:val="000F1448"/>
    <w:rsid w:val="000F304E"/>
    <w:rsid w:val="000F31BA"/>
    <w:rsid w:val="000F32FB"/>
    <w:rsid w:val="000F3891"/>
    <w:rsid w:val="000F3BE1"/>
    <w:rsid w:val="000F3D4F"/>
    <w:rsid w:val="000F4153"/>
    <w:rsid w:val="000F4E74"/>
    <w:rsid w:val="000F514B"/>
    <w:rsid w:val="000F54A2"/>
    <w:rsid w:val="000F63B9"/>
    <w:rsid w:val="000F6590"/>
    <w:rsid w:val="000F673F"/>
    <w:rsid w:val="000F71A5"/>
    <w:rsid w:val="000F78E3"/>
    <w:rsid w:val="000F7961"/>
    <w:rsid w:val="000F7BDD"/>
    <w:rsid w:val="000F7E70"/>
    <w:rsid w:val="000F7FBA"/>
    <w:rsid w:val="0010198C"/>
    <w:rsid w:val="00101A38"/>
    <w:rsid w:val="00101F60"/>
    <w:rsid w:val="00102438"/>
    <w:rsid w:val="00102464"/>
    <w:rsid w:val="001035E3"/>
    <w:rsid w:val="00103BDA"/>
    <w:rsid w:val="00103D33"/>
    <w:rsid w:val="00103DF2"/>
    <w:rsid w:val="0010471E"/>
    <w:rsid w:val="00104DD4"/>
    <w:rsid w:val="00104DEE"/>
    <w:rsid w:val="00105493"/>
    <w:rsid w:val="0010630C"/>
    <w:rsid w:val="00107301"/>
    <w:rsid w:val="001077A8"/>
    <w:rsid w:val="001079DD"/>
    <w:rsid w:val="00107BD0"/>
    <w:rsid w:val="00107C91"/>
    <w:rsid w:val="00110D99"/>
    <w:rsid w:val="00110F3B"/>
    <w:rsid w:val="001115A9"/>
    <w:rsid w:val="00112440"/>
    <w:rsid w:val="001127E4"/>
    <w:rsid w:val="00112AA7"/>
    <w:rsid w:val="00113030"/>
    <w:rsid w:val="001130E6"/>
    <w:rsid w:val="0011386A"/>
    <w:rsid w:val="00113C57"/>
    <w:rsid w:val="00113D9F"/>
    <w:rsid w:val="00114BFF"/>
    <w:rsid w:val="0011523D"/>
    <w:rsid w:val="0011567E"/>
    <w:rsid w:val="001162B0"/>
    <w:rsid w:val="001164ED"/>
    <w:rsid w:val="00116E06"/>
    <w:rsid w:val="00116E22"/>
    <w:rsid w:val="00117B2C"/>
    <w:rsid w:val="00117F0B"/>
    <w:rsid w:val="0012011D"/>
    <w:rsid w:val="001203AB"/>
    <w:rsid w:val="00120B56"/>
    <w:rsid w:val="001221D2"/>
    <w:rsid w:val="00122FD4"/>
    <w:rsid w:val="00123026"/>
    <w:rsid w:val="00123301"/>
    <w:rsid w:val="00123659"/>
    <w:rsid w:val="001239A7"/>
    <w:rsid w:val="00123AB5"/>
    <w:rsid w:val="00123CBE"/>
    <w:rsid w:val="00123FD2"/>
    <w:rsid w:val="00124A2D"/>
    <w:rsid w:val="001258E0"/>
    <w:rsid w:val="00125ECD"/>
    <w:rsid w:val="00127041"/>
    <w:rsid w:val="00127807"/>
    <w:rsid w:val="00127FEB"/>
    <w:rsid w:val="001301DE"/>
    <w:rsid w:val="0013032F"/>
    <w:rsid w:val="001306BF"/>
    <w:rsid w:val="0013147D"/>
    <w:rsid w:val="001314F9"/>
    <w:rsid w:val="001316C4"/>
    <w:rsid w:val="0013192F"/>
    <w:rsid w:val="00132068"/>
    <w:rsid w:val="001323CC"/>
    <w:rsid w:val="00132A33"/>
    <w:rsid w:val="00132F2E"/>
    <w:rsid w:val="00133190"/>
    <w:rsid w:val="001337D7"/>
    <w:rsid w:val="00133B57"/>
    <w:rsid w:val="00133BC5"/>
    <w:rsid w:val="00133C35"/>
    <w:rsid w:val="00133C7D"/>
    <w:rsid w:val="00133EF2"/>
    <w:rsid w:val="00134509"/>
    <w:rsid w:val="00134EDE"/>
    <w:rsid w:val="0013523D"/>
    <w:rsid w:val="001353C4"/>
    <w:rsid w:val="0013547A"/>
    <w:rsid w:val="00135632"/>
    <w:rsid w:val="0013587E"/>
    <w:rsid w:val="001358AF"/>
    <w:rsid w:val="00135B39"/>
    <w:rsid w:val="00135C09"/>
    <w:rsid w:val="00135E15"/>
    <w:rsid w:val="00135F63"/>
    <w:rsid w:val="00135FDF"/>
    <w:rsid w:val="00136A65"/>
    <w:rsid w:val="001371CD"/>
    <w:rsid w:val="00137264"/>
    <w:rsid w:val="00137A95"/>
    <w:rsid w:val="001401F0"/>
    <w:rsid w:val="00140211"/>
    <w:rsid w:val="00140C86"/>
    <w:rsid w:val="00140DBE"/>
    <w:rsid w:val="001410C9"/>
    <w:rsid w:val="0014115E"/>
    <w:rsid w:val="00141411"/>
    <w:rsid w:val="00141CB6"/>
    <w:rsid w:val="00141CD0"/>
    <w:rsid w:val="00141D31"/>
    <w:rsid w:val="0014265F"/>
    <w:rsid w:val="00142C4D"/>
    <w:rsid w:val="00143166"/>
    <w:rsid w:val="001435CD"/>
    <w:rsid w:val="001444FD"/>
    <w:rsid w:val="00145114"/>
    <w:rsid w:val="001454C4"/>
    <w:rsid w:val="001457DB"/>
    <w:rsid w:val="001462E9"/>
    <w:rsid w:val="00146329"/>
    <w:rsid w:val="00146E71"/>
    <w:rsid w:val="00146FE4"/>
    <w:rsid w:val="00147059"/>
    <w:rsid w:val="00147844"/>
    <w:rsid w:val="001478A1"/>
    <w:rsid w:val="001500AA"/>
    <w:rsid w:val="00150209"/>
    <w:rsid w:val="00150604"/>
    <w:rsid w:val="00150F6D"/>
    <w:rsid w:val="001510F5"/>
    <w:rsid w:val="00151239"/>
    <w:rsid w:val="00151259"/>
    <w:rsid w:val="001517C8"/>
    <w:rsid w:val="001519F2"/>
    <w:rsid w:val="00152113"/>
    <w:rsid w:val="0015224A"/>
    <w:rsid w:val="001527DA"/>
    <w:rsid w:val="00152DE4"/>
    <w:rsid w:val="0015312C"/>
    <w:rsid w:val="001532FE"/>
    <w:rsid w:val="00153774"/>
    <w:rsid w:val="001539EE"/>
    <w:rsid w:val="001542D9"/>
    <w:rsid w:val="001549EB"/>
    <w:rsid w:val="00155216"/>
    <w:rsid w:val="00155C4D"/>
    <w:rsid w:val="00156191"/>
    <w:rsid w:val="001565B7"/>
    <w:rsid w:val="00156F8F"/>
    <w:rsid w:val="00157DDE"/>
    <w:rsid w:val="0016028B"/>
    <w:rsid w:val="00160392"/>
    <w:rsid w:val="0016079B"/>
    <w:rsid w:val="00160816"/>
    <w:rsid w:val="00160C3D"/>
    <w:rsid w:val="00161499"/>
    <w:rsid w:val="001616DB"/>
    <w:rsid w:val="00162434"/>
    <w:rsid w:val="00162C3C"/>
    <w:rsid w:val="00162D5C"/>
    <w:rsid w:val="001633F0"/>
    <w:rsid w:val="0016346E"/>
    <w:rsid w:val="00164A1C"/>
    <w:rsid w:val="00164C1A"/>
    <w:rsid w:val="0016526D"/>
    <w:rsid w:val="0016575D"/>
    <w:rsid w:val="0016594F"/>
    <w:rsid w:val="00165B84"/>
    <w:rsid w:val="00166216"/>
    <w:rsid w:val="00166239"/>
    <w:rsid w:val="00166874"/>
    <w:rsid w:val="0016689B"/>
    <w:rsid w:val="00166C8E"/>
    <w:rsid w:val="00166D0B"/>
    <w:rsid w:val="0016703F"/>
    <w:rsid w:val="0016734B"/>
    <w:rsid w:val="00167D70"/>
    <w:rsid w:val="00167DAA"/>
    <w:rsid w:val="00167DF7"/>
    <w:rsid w:val="001709BC"/>
    <w:rsid w:val="00170A83"/>
    <w:rsid w:val="00170C8C"/>
    <w:rsid w:val="00171AB7"/>
    <w:rsid w:val="00172D37"/>
    <w:rsid w:val="001738A4"/>
    <w:rsid w:val="00173941"/>
    <w:rsid w:val="00173949"/>
    <w:rsid w:val="00174686"/>
    <w:rsid w:val="00174D2C"/>
    <w:rsid w:val="001756D8"/>
    <w:rsid w:val="00175D91"/>
    <w:rsid w:val="00176711"/>
    <w:rsid w:val="00176785"/>
    <w:rsid w:val="00177719"/>
    <w:rsid w:val="0017787B"/>
    <w:rsid w:val="00177BD7"/>
    <w:rsid w:val="001801F2"/>
    <w:rsid w:val="001802C8"/>
    <w:rsid w:val="00180393"/>
    <w:rsid w:val="00180ED2"/>
    <w:rsid w:val="001810B9"/>
    <w:rsid w:val="00181509"/>
    <w:rsid w:val="001830C8"/>
    <w:rsid w:val="001830E2"/>
    <w:rsid w:val="00183591"/>
    <w:rsid w:val="001837D1"/>
    <w:rsid w:val="00183A59"/>
    <w:rsid w:val="00183DB8"/>
    <w:rsid w:val="00184199"/>
    <w:rsid w:val="00184280"/>
    <w:rsid w:val="001845AF"/>
    <w:rsid w:val="00185D54"/>
    <w:rsid w:val="00185DD7"/>
    <w:rsid w:val="00186F39"/>
    <w:rsid w:val="00187DCA"/>
    <w:rsid w:val="00187FDD"/>
    <w:rsid w:val="0019013B"/>
    <w:rsid w:val="00190B34"/>
    <w:rsid w:val="00190FE0"/>
    <w:rsid w:val="001910DE"/>
    <w:rsid w:val="0019120D"/>
    <w:rsid w:val="00191AC1"/>
    <w:rsid w:val="00191BE2"/>
    <w:rsid w:val="00191D6E"/>
    <w:rsid w:val="001922C2"/>
    <w:rsid w:val="0019231E"/>
    <w:rsid w:val="00193014"/>
    <w:rsid w:val="001957A6"/>
    <w:rsid w:val="001957DD"/>
    <w:rsid w:val="001959C8"/>
    <w:rsid w:val="00195DEB"/>
    <w:rsid w:val="00196AA5"/>
    <w:rsid w:val="0019746C"/>
    <w:rsid w:val="001975B8"/>
    <w:rsid w:val="00197BD2"/>
    <w:rsid w:val="001A123F"/>
    <w:rsid w:val="001A1605"/>
    <w:rsid w:val="001A2410"/>
    <w:rsid w:val="001A28D4"/>
    <w:rsid w:val="001A2C9A"/>
    <w:rsid w:val="001A3329"/>
    <w:rsid w:val="001A3FA6"/>
    <w:rsid w:val="001A40DA"/>
    <w:rsid w:val="001A45CC"/>
    <w:rsid w:val="001A45D7"/>
    <w:rsid w:val="001A4823"/>
    <w:rsid w:val="001A550C"/>
    <w:rsid w:val="001A5778"/>
    <w:rsid w:val="001A57DE"/>
    <w:rsid w:val="001A6177"/>
    <w:rsid w:val="001A617F"/>
    <w:rsid w:val="001A6874"/>
    <w:rsid w:val="001A6A54"/>
    <w:rsid w:val="001A6B23"/>
    <w:rsid w:val="001A7137"/>
    <w:rsid w:val="001A7A77"/>
    <w:rsid w:val="001A7EF1"/>
    <w:rsid w:val="001B0B3E"/>
    <w:rsid w:val="001B147C"/>
    <w:rsid w:val="001B173E"/>
    <w:rsid w:val="001B19DC"/>
    <w:rsid w:val="001B1EB4"/>
    <w:rsid w:val="001B1EF9"/>
    <w:rsid w:val="001B2547"/>
    <w:rsid w:val="001B2604"/>
    <w:rsid w:val="001B2C09"/>
    <w:rsid w:val="001B2C35"/>
    <w:rsid w:val="001B2EB4"/>
    <w:rsid w:val="001B31D7"/>
    <w:rsid w:val="001B32DB"/>
    <w:rsid w:val="001B33E0"/>
    <w:rsid w:val="001B3941"/>
    <w:rsid w:val="001B3BAA"/>
    <w:rsid w:val="001B3E1A"/>
    <w:rsid w:val="001B4621"/>
    <w:rsid w:val="001B49B0"/>
    <w:rsid w:val="001B4DCE"/>
    <w:rsid w:val="001B5412"/>
    <w:rsid w:val="001B5FAC"/>
    <w:rsid w:val="001B638C"/>
    <w:rsid w:val="001B677C"/>
    <w:rsid w:val="001B6981"/>
    <w:rsid w:val="001B6A7F"/>
    <w:rsid w:val="001B7341"/>
    <w:rsid w:val="001B7355"/>
    <w:rsid w:val="001B7754"/>
    <w:rsid w:val="001B7A30"/>
    <w:rsid w:val="001C09E4"/>
    <w:rsid w:val="001C1ACF"/>
    <w:rsid w:val="001C28E7"/>
    <w:rsid w:val="001C30C8"/>
    <w:rsid w:val="001C485D"/>
    <w:rsid w:val="001C4AA6"/>
    <w:rsid w:val="001C4B76"/>
    <w:rsid w:val="001C4D44"/>
    <w:rsid w:val="001C4E00"/>
    <w:rsid w:val="001C556F"/>
    <w:rsid w:val="001C618B"/>
    <w:rsid w:val="001C6AF4"/>
    <w:rsid w:val="001C6B77"/>
    <w:rsid w:val="001C7056"/>
    <w:rsid w:val="001C74EE"/>
    <w:rsid w:val="001C7A25"/>
    <w:rsid w:val="001C7E09"/>
    <w:rsid w:val="001D0020"/>
    <w:rsid w:val="001D0246"/>
    <w:rsid w:val="001D057F"/>
    <w:rsid w:val="001D06DE"/>
    <w:rsid w:val="001D0BF0"/>
    <w:rsid w:val="001D20AC"/>
    <w:rsid w:val="001D21BD"/>
    <w:rsid w:val="001D2581"/>
    <w:rsid w:val="001D29BD"/>
    <w:rsid w:val="001D2B1A"/>
    <w:rsid w:val="001D326C"/>
    <w:rsid w:val="001D3D06"/>
    <w:rsid w:val="001D3E98"/>
    <w:rsid w:val="001D46AE"/>
    <w:rsid w:val="001D47C1"/>
    <w:rsid w:val="001D51C0"/>
    <w:rsid w:val="001D5581"/>
    <w:rsid w:val="001D6871"/>
    <w:rsid w:val="001D6D38"/>
    <w:rsid w:val="001D7202"/>
    <w:rsid w:val="001D747A"/>
    <w:rsid w:val="001D7509"/>
    <w:rsid w:val="001D7BF4"/>
    <w:rsid w:val="001E15A4"/>
    <w:rsid w:val="001E1786"/>
    <w:rsid w:val="001E17B0"/>
    <w:rsid w:val="001E17D3"/>
    <w:rsid w:val="001E1D27"/>
    <w:rsid w:val="001E2413"/>
    <w:rsid w:val="001E24D9"/>
    <w:rsid w:val="001E2D58"/>
    <w:rsid w:val="001E2DAF"/>
    <w:rsid w:val="001E52E8"/>
    <w:rsid w:val="001E53AA"/>
    <w:rsid w:val="001E60AC"/>
    <w:rsid w:val="001E6B9B"/>
    <w:rsid w:val="001F02F5"/>
    <w:rsid w:val="001F0674"/>
    <w:rsid w:val="001F0717"/>
    <w:rsid w:val="001F0CA1"/>
    <w:rsid w:val="001F0DB3"/>
    <w:rsid w:val="001F0FCC"/>
    <w:rsid w:val="001F15EE"/>
    <w:rsid w:val="001F1B26"/>
    <w:rsid w:val="001F1B89"/>
    <w:rsid w:val="001F1F22"/>
    <w:rsid w:val="001F2482"/>
    <w:rsid w:val="001F2BFC"/>
    <w:rsid w:val="001F2D0A"/>
    <w:rsid w:val="001F2E58"/>
    <w:rsid w:val="001F3146"/>
    <w:rsid w:val="001F3289"/>
    <w:rsid w:val="001F5234"/>
    <w:rsid w:val="001F5340"/>
    <w:rsid w:val="001F55A4"/>
    <w:rsid w:val="001F590C"/>
    <w:rsid w:val="001F6078"/>
    <w:rsid w:val="001F625E"/>
    <w:rsid w:val="001F6967"/>
    <w:rsid w:val="001F6D05"/>
    <w:rsid w:val="001F7D26"/>
    <w:rsid w:val="001F7EB8"/>
    <w:rsid w:val="001F7F6D"/>
    <w:rsid w:val="00200098"/>
    <w:rsid w:val="002000AC"/>
    <w:rsid w:val="002003BA"/>
    <w:rsid w:val="002004A6"/>
    <w:rsid w:val="00200AC2"/>
    <w:rsid w:val="00200CAC"/>
    <w:rsid w:val="00200D53"/>
    <w:rsid w:val="00201CA9"/>
    <w:rsid w:val="002020B7"/>
    <w:rsid w:val="00202412"/>
    <w:rsid w:val="0020290C"/>
    <w:rsid w:val="00202A5E"/>
    <w:rsid w:val="00202E6C"/>
    <w:rsid w:val="00203352"/>
    <w:rsid w:val="00203515"/>
    <w:rsid w:val="002035AC"/>
    <w:rsid w:val="00204258"/>
    <w:rsid w:val="00204472"/>
    <w:rsid w:val="002049D9"/>
    <w:rsid w:val="002054A7"/>
    <w:rsid w:val="00205D4A"/>
    <w:rsid w:val="00205F7A"/>
    <w:rsid w:val="00206400"/>
    <w:rsid w:val="00206A47"/>
    <w:rsid w:val="00207205"/>
    <w:rsid w:val="0020724A"/>
    <w:rsid w:val="00207379"/>
    <w:rsid w:val="0020764F"/>
    <w:rsid w:val="00207C9F"/>
    <w:rsid w:val="00207CC4"/>
    <w:rsid w:val="00207CF4"/>
    <w:rsid w:val="00210307"/>
    <w:rsid w:val="00210903"/>
    <w:rsid w:val="00210957"/>
    <w:rsid w:val="00210B48"/>
    <w:rsid w:val="00210D4E"/>
    <w:rsid w:val="0021118E"/>
    <w:rsid w:val="002128BD"/>
    <w:rsid w:val="002149D5"/>
    <w:rsid w:val="00214BBB"/>
    <w:rsid w:val="00214F4C"/>
    <w:rsid w:val="0021659E"/>
    <w:rsid w:val="0021665E"/>
    <w:rsid w:val="002168E4"/>
    <w:rsid w:val="00216DB3"/>
    <w:rsid w:val="00217002"/>
    <w:rsid w:val="00217411"/>
    <w:rsid w:val="002179BD"/>
    <w:rsid w:val="0022011B"/>
    <w:rsid w:val="002204AC"/>
    <w:rsid w:val="0022078C"/>
    <w:rsid w:val="00220A17"/>
    <w:rsid w:val="002212CB"/>
    <w:rsid w:val="00222036"/>
    <w:rsid w:val="0022261B"/>
    <w:rsid w:val="00222F9F"/>
    <w:rsid w:val="00223090"/>
    <w:rsid w:val="002230C8"/>
    <w:rsid w:val="002235E4"/>
    <w:rsid w:val="00223690"/>
    <w:rsid w:val="00224036"/>
    <w:rsid w:val="00224087"/>
    <w:rsid w:val="00224B16"/>
    <w:rsid w:val="00225042"/>
    <w:rsid w:val="00225309"/>
    <w:rsid w:val="00225976"/>
    <w:rsid w:val="00227C77"/>
    <w:rsid w:val="00230B47"/>
    <w:rsid w:val="00230DCA"/>
    <w:rsid w:val="00231234"/>
    <w:rsid w:val="002316E8"/>
    <w:rsid w:val="002326A1"/>
    <w:rsid w:val="002329F2"/>
    <w:rsid w:val="00232B18"/>
    <w:rsid w:val="00232B87"/>
    <w:rsid w:val="00232BAD"/>
    <w:rsid w:val="002332AF"/>
    <w:rsid w:val="00234517"/>
    <w:rsid w:val="00235053"/>
    <w:rsid w:val="002355DA"/>
    <w:rsid w:val="0023564F"/>
    <w:rsid w:val="0023571D"/>
    <w:rsid w:val="00235F66"/>
    <w:rsid w:val="00236692"/>
    <w:rsid w:val="00236A1A"/>
    <w:rsid w:val="00236E8A"/>
    <w:rsid w:val="00236F0A"/>
    <w:rsid w:val="00237418"/>
    <w:rsid w:val="002377C3"/>
    <w:rsid w:val="00237F60"/>
    <w:rsid w:val="00240065"/>
    <w:rsid w:val="002407A7"/>
    <w:rsid w:val="002408C5"/>
    <w:rsid w:val="0024165D"/>
    <w:rsid w:val="00241AD8"/>
    <w:rsid w:val="00241C72"/>
    <w:rsid w:val="0024202D"/>
    <w:rsid w:val="00242311"/>
    <w:rsid w:val="002427BB"/>
    <w:rsid w:val="00242F8F"/>
    <w:rsid w:val="00243B27"/>
    <w:rsid w:val="00244413"/>
    <w:rsid w:val="002446C4"/>
    <w:rsid w:val="00244787"/>
    <w:rsid w:val="00245725"/>
    <w:rsid w:val="00245770"/>
    <w:rsid w:val="00246440"/>
    <w:rsid w:val="00246C41"/>
    <w:rsid w:val="00246D0B"/>
    <w:rsid w:val="00246EBD"/>
    <w:rsid w:val="00246F59"/>
    <w:rsid w:val="002476EF"/>
    <w:rsid w:val="002477A9"/>
    <w:rsid w:val="0024799A"/>
    <w:rsid w:val="002479A8"/>
    <w:rsid w:val="00250045"/>
    <w:rsid w:val="002500A9"/>
    <w:rsid w:val="00250146"/>
    <w:rsid w:val="002513D9"/>
    <w:rsid w:val="002514EE"/>
    <w:rsid w:val="00251678"/>
    <w:rsid w:val="0025169F"/>
    <w:rsid w:val="002519F4"/>
    <w:rsid w:val="00252279"/>
    <w:rsid w:val="00252B32"/>
    <w:rsid w:val="00252BB1"/>
    <w:rsid w:val="00252F51"/>
    <w:rsid w:val="00253264"/>
    <w:rsid w:val="002538D3"/>
    <w:rsid w:val="00253EE3"/>
    <w:rsid w:val="00254049"/>
    <w:rsid w:val="0025465A"/>
    <w:rsid w:val="002548E6"/>
    <w:rsid w:val="00254C9F"/>
    <w:rsid w:val="0025555C"/>
    <w:rsid w:val="00255A91"/>
    <w:rsid w:val="0025649C"/>
    <w:rsid w:val="00256C08"/>
    <w:rsid w:val="002572BC"/>
    <w:rsid w:val="00257465"/>
    <w:rsid w:val="0025749B"/>
    <w:rsid w:val="002578E2"/>
    <w:rsid w:val="00260679"/>
    <w:rsid w:val="00260B05"/>
    <w:rsid w:val="00260BE8"/>
    <w:rsid w:val="00260DCD"/>
    <w:rsid w:val="00260FA0"/>
    <w:rsid w:val="00260FEE"/>
    <w:rsid w:val="002629AC"/>
    <w:rsid w:val="0026325A"/>
    <w:rsid w:val="002633D8"/>
    <w:rsid w:val="00264267"/>
    <w:rsid w:val="00264351"/>
    <w:rsid w:val="0026473B"/>
    <w:rsid w:val="00264D05"/>
    <w:rsid w:val="0026500B"/>
    <w:rsid w:val="00265610"/>
    <w:rsid w:val="00266AA8"/>
    <w:rsid w:val="00267260"/>
    <w:rsid w:val="0026730A"/>
    <w:rsid w:val="00267332"/>
    <w:rsid w:val="002677B2"/>
    <w:rsid w:val="002700B4"/>
    <w:rsid w:val="0027024B"/>
    <w:rsid w:val="002702FE"/>
    <w:rsid w:val="00270471"/>
    <w:rsid w:val="002711DB"/>
    <w:rsid w:val="00271353"/>
    <w:rsid w:val="00272035"/>
    <w:rsid w:val="0027242F"/>
    <w:rsid w:val="00273687"/>
    <w:rsid w:val="00273B90"/>
    <w:rsid w:val="00275F42"/>
    <w:rsid w:val="002760FB"/>
    <w:rsid w:val="00276175"/>
    <w:rsid w:val="00276ACD"/>
    <w:rsid w:val="00276BC7"/>
    <w:rsid w:val="0027728D"/>
    <w:rsid w:val="00277A1F"/>
    <w:rsid w:val="00277C2F"/>
    <w:rsid w:val="002804F8"/>
    <w:rsid w:val="00280588"/>
    <w:rsid w:val="0028103F"/>
    <w:rsid w:val="00281BF4"/>
    <w:rsid w:val="00281F12"/>
    <w:rsid w:val="002826D2"/>
    <w:rsid w:val="00282808"/>
    <w:rsid w:val="002835F8"/>
    <w:rsid w:val="00283957"/>
    <w:rsid w:val="00283E2D"/>
    <w:rsid w:val="002840B6"/>
    <w:rsid w:val="00284A10"/>
    <w:rsid w:val="00284A2B"/>
    <w:rsid w:val="00284AED"/>
    <w:rsid w:val="00285687"/>
    <w:rsid w:val="002860A6"/>
    <w:rsid w:val="00286566"/>
    <w:rsid w:val="002903FD"/>
    <w:rsid w:val="002905B6"/>
    <w:rsid w:val="0029117D"/>
    <w:rsid w:val="0029165A"/>
    <w:rsid w:val="00291B89"/>
    <w:rsid w:val="0029239A"/>
    <w:rsid w:val="00292495"/>
    <w:rsid w:val="0029297C"/>
    <w:rsid w:val="00293805"/>
    <w:rsid w:val="00293915"/>
    <w:rsid w:val="00293BA5"/>
    <w:rsid w:val="00293D85"/>
    <w:rsid w:val="0029478B"/>
    <w:rsid w:val="00295F54"/>
    <w:rsid w:val="00296684"/>
    <w:rsid w:val="002966CC"/>
    <w:rsid w:val="00296A36"/>
    <w:rsid w:val="00296F71"/>
    <w:rsid w:val="00297186"/>
    <w:rsid w:val="00297584"/>
    <w:rsid w:val="002976F3"/>
    <w:rsid w:val="00297A26"/>
    <w:rsid w:val="00297BBB"/>
    <w:rsid w:val="002A0636"/>
    <w:rsid w:val="002A0B8C"/>
    <w:rsid w:val="002A122E"/>
    <w:rsid w:val="002A190C"/>
    <w:rsid w:val="002A1947"/>
    <w:rsid w:val="002A1BB1"/>
    <w:rsid w:val="002A2963"/>
    <w:rsid w:val="002A366E"/>
    <w:rsid w:val="002A36D0"/>
    <w:rsid w:val="002A40B9"/>
    <w:rsid w:val="002A45C3"/>
    <w:rsid w:val="002A495B"/>
    <w:rsid w:val="002A49AF"/>
    <w:rsid w:val="002A4EB8"/>
    <w:rsid w:val="002A5003"/>
    <w:rsid w:val="002A5186"/>
    <w:rsid w:val="002A5577"/>
    <w:rsid w:val="002A5AAD"/>
    <w:rsid w:val="002A60BD"/>
    <w:rsid w:val="002A67A5"/>
    <w:rsid w:val="002A6C58"/>
    <w:rsid w:val="002A7A76"/>
    <w:rsid w:val="002B0040"/>
    <w:rsid w:val="002B0279"/>
    <w:rsid w:val="002B067A"/>
    <w:rsid w:val="002B072E"/>
    <w:rsid w:val="002B0738"/>
    <w:rsid w:val="002B0840"/>
    <w:rsid w:val="002B0945"/>
    <w:rsid w:val="002B0C3B"/>
    <w:rsid w:val="002B16D3"/>
    <w:rsid w:val="002B19DB"/>
    <w:rsid w:val="002B1CCB"/>
    <w:rsid w:val="002B2A5B"/>
    <w:rsid w:val="002B394B"/>
    <w:rsid w:val="002B3EC6"/>
    <w:rsid w:val="002B48C2"/>
    <w:rsid w:val="002B4EF1"/>
    <w:rsid w:val="002B5745"/>
    <w:rsid w:val="002B5C1C"/>
    <w:rsid w:val="002B5CA1"/>
    <w:rsid w:val="002B613F"/>
    <w:rsid w:val="002B61E2"/>
    <w:rsid w:val="002B67F0"/>
    <w:rsid w:val="002B7F3F"/>
    <w:rsid w:val="002C12C6"/>
    <w:rsid w:val="002C13E4"/>
    <w:rsid w:val="002C16D2"/>
    <w:rsid w:val="002C1A7C"/>
    <w:rsid w:val="002C1E3D"/>
    <w:rsid w:val="002C2281"/>
    <w:rsid w:val="002C399F"/>
    <w:rsid w:val="002C3F5F"/>
    <w:rsid w:val="002C40C8"/>
    <w:rsid w:val="002C432E"/>
    <w:rsid w:val="002C4792"/>
    <w:rsid w:val="002C4A49"/>
    <w:rsid w:val="002C508B"/>
    <w:rsid w:val="002C5092"/>
    <w:rsid w:val="002C5229"/>
    <w:rsid w:val="002C52FD"/>
    <w:rsid w:val="002C5B35"/>
    <w:rsid w:val="002C65D1"/>
    <w:rsid w:val="002C6721"/>
    <w:rsid w:val="002C6EF9"/>
    <w:rsid w:val="002C7A28"/>
    <w:rsid w:val="002D0119"/>
    <w:rsid w:val="002D06D4"/>
    <w:rsid w:val="002D078B"/>
    <w:rsid w:val="002D0CA8"/>
    <w:rsid w:val="002D0E5D"/>
    <w:rsid w:val="002D1389"/>
    <w:rsid w:val="002D15C7"/>
    <w:rsid w:val="002D1ED7"/>
    <w:rsid w:val="002D2662"/>
    <w:rsid w:val="002D2E1F"/>
    <w:rsid w:val="002D316D"/>
    <w:rsid w:val="002D3683"/>
    <w:rsid w:val="002D3C7F"/>
    <w:rsid w:val="002D4424"/>
    <w:rsid w:val="002D5273"/>
    <w:rsid w:val="002D58CE"/>
    <w:rsid w:val="002D6B24"/>
    <w:rsid w:val="002D7285"/>
    <w:rsid w:val="002D7903"/>
    <w:rsid w:val="002D7F4B"/>
    <w:rsid w:val="002E053C"/>
    <w:rsid w:val="002E0E6E"/>
    <w:rsid w:val="002E177C"/>
    <w:rsid w:val="002E1FF2"/>
    <w:rsid w:val="002E2575"/>
    <w:rsid w:val="002E3A60"/>
    <w:rsid w:val="002E3B6F"/>
    <w:rsid w:val="002E51EF"/>
    <w:rsid w:val="002E5B74"/>
    <w:rsid w:val="002E5F83"/>
    <w:rsid w:val="002E61CF"/>
    <w:rsid w:val="002F0320"/>
    <w:rsid w:val="002F0CD1"/>
    <w:rsid w:val="002F15D2"/>
    <w:rsid w:val="002F1F04"/>
    <w:rsid w:val="002F2A36"/>
    <w:rsid w:val="002F2D56"/>
    <w:rsid w:val="002F30C0"/>
    <w:rsid w:val="002F352B"/>
    <w:rsid w:val="002F37D0"/>
    <w:rsid w:val="002F47B7"/>
    <w:rsid w:val="002F4993"/>
    <w:rsid w:val="002F53F7"/>
    <w:rsid w:val="002F5692"/>
    <w:rsid w:val="002F5DFE"/>
    <w:rsid w:val="002F736D"/>
    <w:rsid w:val="002F7401"/>
    <w:rsid w:val="002F746C"/>
    <w:rsid w:val="00300C07"/>
    <w:rsid w:val="00301134"/>
    <w:rsid w:val="00301CD3"/>
    <w:rsid w:val="00302073"/>
    <w:rsid w:val="003021D3"/>
    <w:rsid w:val="00302718"/>
    <w:rsid w:val="00302A45"/>
    <w:rsid w:val="00303020"/>
    <w:rsid w:val="003039AA"/>
    <w:rsid w:val="00303F99"/>
    <w:rsid w:val="003042FB"/>
    <w:rsid w:val="003046E3"/>
    <w:rsid w:val="00304B6B"/>
    <w:rsid w:val="00304C07"/>
    <w:rsid w:val="0030528B"/>
    <w:rsid w:val="003056E4"/>
    <w:rsid w:val="003058B3"/>
    <w:rsid w:val="0030610E"/>
    <w:rsid w:val="003062FE"/>
    <w:rsid w:val="003064B2"/>
    <w:rsid w:val="0030677D"/>
    <w:rsid w:val="00306B0F"/>
    <w:rsid w:val="00307514"/>
    <w:rsid w:val="0030779D"/>
    <w:rsid w:val="00307E69"/>
    <w:rsid w:val="00311182"/>
    <w:rsid w:val="003120A0"/>
    <w:rsid w:val="0031256A"/>
    <w:rsid w:val="0031279B"/>
    <w:rsid w:val="00313671"/>
    <w:rsid w:val="00313EF8"/>
    <w:rsid w:val="003147CD"/>
    <w:rsid w:val="00315EC0"/>
    <w:rsid w:val="00316899"/>
    <w:rsid w:val="00316CEA"/>
    <w:rsid w:val="0031784C"/>
    <w:rsid w:val="003200BC"/>
    <w:rsid w:val="00320AAD"/>
    <w:rsid w:val="00320E19"/>
    <w:rsid w:val="003210B1"/>
    <w:rsid w:val="003218BD"/>
    <w:rsid w:val="0032193C"/>
    <w:rsid w:val="0032198E"/>
    <w:rsid w:val="00322939"/>
    <w:rsid w:val="00322C5C"/>
    <w:rsid w:val="00324744"/>
    <w:rsid w:val="00324C3A"/>
    <w:rsid w:val="0032511A"/>
    <w:rsid w:val="003255AE"/>
    <w:rsid w:val="003259EA"/>
    <w:rsid w:val="00325AD2"/>
    <w:rsid w:val="00325D60"/>
    <w:rsid w:val="003277A0"/>
    <w:rsid w:val="003277E8"/>
    <w:rsid w:val="003300DC"/>
    <w:rsid w:val="003304C6"/>
    <w:rsid w:val="003309C8"/>
    <w:rsid w:val="00330ED2"/>
    <w:rsid w:val="00330F2F"/>
    <w:rsid w:val="00331597"/>
    <w:rsid w:val="00331607"/>
    <w:rsid w:val="00331CB7"/>
    <w:rsid w:val="0033263F"/>
    <w:rsid w:val="0033402B"/>
    <w:rsid w:val="00334399"/>
    <w:rsid w:val="0033482D"/>
    <w:rsid w:val="00334D4E"/>
    <w:rsid w:val="00334F81"/>
    <w:rsid w:val="00334F99"/>
    <w:rsid w:val="00334FE3"/>
    <w:rsid w:val="00334FE4"/>
    <w:rsid w:val="00335BF8"/>
    <w:rsid w:val="003363E2"/>
    <w:rsid w:val="003367DC"/>
    <w:rsid w:val="0033732D"/>
    <w:rsid w:val="00337483"/>
    <w:rsid w:val="00340143"/>
    <w:rsid w:val="003403B5"/>
    <w:rsid w:val="00340750"/>
    <w:rsid w:val="003409B7"/>
    <w:rsid w:val="00340AF0"/>
    <w:rsid w:val="00340E87"/>
    <w:rsid w:val="00341877"/>
    <w:rsid w:val="003418D4"/>
    <w:rsid w:val="00341991"/>
    <w:rsid w:val="00341A26"/>
    <w:rsid w:val="00342067"/>
    <w:rsid w:val="00342768"/>
    <w:rsid w:val="00342800"/>
    <w:rsid w:val="00342B66"/>
    <w:rsid w:val="00343B83"/>
    <w:rsid w:val="00343FCD"/>
    <w:rsid w:val="003447A4"/>
    <w:rsid w:val="00344D36"/>
    <w:rsid w:val="0034527D"/>
    <w:rsid w:val="003453D4"/>
    <w:rsid w:val="00345FB3"/>
    <w:rsid w:val="00346089"/>
    <w:rsid w:val="0034693B"/>
    <w:rsid w:val="00346B3D"/>
    <w:rsid w:val="00346CA2"/>
    <w:rsid w:val="00347B5D"/>
    <w:rsid w:val="00347CC0"/>
    <w:rsid w:val="003514A3"/>
    <w:rsid w:val="0035198C"/>
    <w:rsid w:val="00351E57"/>
    <w:rsid w:val="003522EC"/>
    <w:rsid w:val="003526E3"/>
    <w:rsid w:val="0035281F"/>
    <w:rsid w:val="00352883"/>
    <w:rsid w:val="0035298E"/>
    <w:rsid w:val="00352E35"/>
    <w:rsid w:val="00353CCA"/>
    <w:rsid w:val="00353D2C"/>
    <w:rsid w:val="00354176"/>
    <w:rsid w:val="0035475D"/>
    <w:rsid w:val="00354A2A"/>
    <w:rsid w:val="0035526A"/>
    <w:rsid w:val="00355362"/>
    <w:rsid w:val="00355A14"/>
    <w:rsid w:val="00355BFC"/>
    <w:rsid w:val="00355F94"/>
    <w:rsid w:val="00356084"/>
    <w:rsid w:val="0035626F"/>
    <w:rsid w:val="00356C2A"/>
    <w:rsid w:val="00356D1C"/>
    <w:rsid w:val="00356E07"/>
    <w:rsid w:val="003574FB"/>
    <w:rsid w:val="00357B92"/>
    <w:rsid w:val="00360C54"/>
    <w:rsid w:val="003615E7"/>
    <w:rsid w:val="003615FB"/>
    <w:rsid w:val="00361A33"/>
    <w:rsid w:val="00361B47"/>
    <w:rsid w:val="00362079"/>
    <w:rsid w:val="00362210"/>
    <w:rsid w:val="00363501"/>
    <w:rsid w:val="00364541"/>
    <w:rsid w:val="00364964"/>
    <w:rsid w:val="003650CD"/>
    <w:rsid w:val="00365679"/>
    <w:rsid w:val="00365780"/>
    <w:rsid w:val="0036593D"/>
    <w:rsid w:val="00365964"/>
    <w:rsid w:val="003666AE"/>
    <w:rsid w:val="003673ED"/>
    <w:rsid w:val="00370755"/>
    <w:rsid w:val="00370A40"/>
    <w:rsid w:val="00370D32"/>
    <w:rsid w:val="00370F7F"/>
    <w:rsid w:val="003711B0"/>
    <w:rsid w:val="00371BBE"/>
    <w:rsid w:val="00371F2B"/>
    <w:rsid w:val="003726A8"/>
    <w:rsid w:val="0037280F"/>
    <w:rsid w:val="00373235"/>
    <w:rsid w:val="003733B8"/>
    <w:rsid w:val="0037371F"/>
    <w:rsid w:val="00373CA9"/>
    <w:rsid w:val="00373D6F"/>
    <w:rsid w:val="0037448C"/>
    <w:rsid w:val="003746E4"/>
    <w:rsid w:val="00374C41"/>
    <w:rsid w:val="00374F1B"/>
    <w:rsid w:val="0037529A"/>
    <w:rsid w:val="003756C8"/>
    <w:rsid w:val="003761B2"/>
    <w:rsid w:val="003765FA"/>
    <w:rsid w:val="003769DA"/>
    <w:rsid w:val="00376DD4"/>
    <w:rsid w:val="0037742C"/>
    <w:rsid w:val="0037744F"/>
    <w:rsid w:val="00380268"/>
    <w:rsid w:val="003804FC"/>
    <w:rsid w:val="00380851"/>
    <w:rsid w:val="00380F00"/>
    <w:rsid w:val="0038129C"/>
    <w:rsid w:val="003812D6"/>
    <w:rsid w:val="0038131D"/>
    <w:rsid w:val="00381321"/>
    <w:rsid w:val="003815E2"/>
    <w:rsid w:val="00382298"/>
    <w:rsid w:val="00382FB5"/>
    <w:rsid w:val="00383937"/>
    <w:rsid w:val="00384A8C"/>
    <w:rsid w:val="003856D2"/>
    <w:rsid w:val="00385C0C"/>
    <w:rsid w:val="00386E73"/>
    <w:rsid w:val="0038736D"/>
    <w:rsid w:val="00387AE4"/>
    <w:rsid w:val="00387B94"/>
    <w:rsid w:val="00387BBF"/>
    <w:rsid w:val="003901F6"/>
    <w:rsid w:val="0039053E"/>
    <w:rsid w:val="00390C9E"/>
    <w:rsid w:val="00391141"/>
    <w:rsid w:val="00391328"/>
    <w:rsid w:val="0039148F"/>
    <w:rsid w:val="00391B35"/>
    <w:rsid w:val="003922EE"/>
    <w:rsid w:val="00392CB1"/>
    <w:rsid w:val="00392E11"/>
    <w:rsid w:val="00392F84"/>
    <w:rsid w:val="00393045"/>
    <w:rsid w:val="0039341E"/>
    <w:rsid w:val="00393501"/>
    <w:rsid w:val="003940F7"/>
    <w:rsid w:val="00394D86"/>
    <w:rsid w:val="00394DAD"/>
    <w:rsid w:val="00394E94"/>
    <w:rsid w:val="003954ED"/>
    <w:rsid w:val="003955A1"/>
    <w:rsid w:val="00395D7E"/>
    <w:rsid w:val="00395F11"/>
    <w:rsid w:val="0039602B"/>
    <w:rsid w:val="003963CC"/>
    <w:rsid w:val="00396B47"/>
    <w:rsid w:val="00396D84"/>
    <w:rsid w:val="00396F58"/>
    <w:rsid w:val="003979FA"/>
    <w:rsid w:val="00397C90"/>
    <w:rsid w:val="003A0032"/>
    <w:rsid w:val="003A0D16"/>
    <w:rsid w:val="003A1113"/>
    <w:rsid w:val="003A144A"/>
    <w:rsid w:val="003A1855"/>
    <w:rsid w:val="003A19DF"/>
    <w:rsid w:val="003A2202"/>
    <w:rsid w:val="003A2417"/>
    <w:rsid w:val="003A29C8"/>
    <w:rsid w:val="003A2AEA"/>
    <w:rsid w:val="003A338D"/>
    <w:rsid w:val="003A44FF"/>
    <w:rsid w:val="003A4905"/>
    <w:rsid w:val="003A5061"/>
    <w:rsid w:val="003A5C58"/>
    <w:rsid w:val="003A5DA4"/>
    <w:rsid w:val="003A6FD3"/>
    <w:rsid w:val="003A79E2"/>
    <w:rsid w:val="003B05A3"/>
    <w:rsid w:val="003B1731"/>
    <w:rsid w:val="003B17AE"/>
    <w:rsid w:val="003B1E53"/>
    <w:rsid w:val="003B2EFD"/>
    <w:rsid w:val="003B35F2"/>
    <w:rsid w:val="003B3A30"/>
    <w:rsid w:val="003B3B50"/>
    <w:rsid w:val="003B3C47"/>
    <w:rsid w:val="003B3D05"/>
    <w:rsid w:val="003B4504"/>
    <w:rsid w:val="003B4508"/>
    <w:rsid w:val="003B453A"/>
    <w:rsid w:val="003B48B1"/>
    <w:rsid w:val="003B4960"/>
    <w:rsid w:val="003B4A7E"/>
    <w:rsid w:val="003B4D80"/>
    <w:rsid w:val="003B51BB"/>
    <w:rsid w:val="003B5B5E"/>
    <w:rsid w:val="003B6201"/>
    <w:rsid w:val="003B65C9"/>
    <w:rsid w:val="003B692F"/>
    <w:rsid w:val="003B6C4D"/>
    <w:rsid w:val="003B6CC6"/>
    <w:rsid w:val="003B7393"/>
    <w:rsid w:val="003B7645"/>
    <w:rsid w:val="003B7C2C"/>
    <w:rsid w:val="003B7D24"/>
    <w:rsid w:val="003C066C"/>
    <w:rsid w:val="003C1207"/>
    <w:rsid w:val="003C1459"/>
    <w:rsid w:val="003C148E"/>
    <w:rsid w:val="003C1A15"/>
    <w:rsid w:val="003C3079"/>
    <w:rsid w:val="003C3491"/>
    <w:rsid w:val="003C38D8"/>
    <w:rsid w:val="003C39B3"/>
    <w:rsid w:val="003C3AF3"/>
    <w:rsid w:val="003C4632"/>
    <w:rsid w:val="003C551E"/>
    <w:rsid w:val="003C5936"/>
    <w:rsid w:val="003C5A14"/>
    <w:rsid w:val="003C64F5"/>
    <w:rsid w:val="003C6863"/>
    <w:rsid w:val="003C68F5"/>
    <w:rsid w:val="003C70B6"/>
    <w:rsid w:val="003C727D"/>
    <w:rsid w:val="003D0A1A"/>
    <w:rsid w:val="003D12CC"/>
    <w:rsid w:val="003D1889"/>
    <w:rsid w:val="003D1C4D"/>
    <w:rsid w:val="003D1F10"/>
    <w:rsid w:val="003D2066"/>
    <w:rsid w:val="003D3072"/>
    <w:rsid w:val="003D3598"/>
    <w:rsid w:val="003D38BC"/>
    <w:rsid w:val="003D3D10"/>
    <w:rsid w:val="003D401E"/>
    <w:rsid w:val="003D488D"/>
    <w:rsid w:val="003D4C91"/>
    <w:rsid w:val="003D4CC0"/>
    <w:rsid w:val="003D5115"/>
    <w:rsid w:val="003D5F55"/>
    <w:rsid w:val="003D602B"/>
    <w:rsid w:val="003D6C0F"/>
    <w:rsid w:val="003D6C73"/>
    <w:rsid w:val="003D7083"/>
    <w:rsid w:val="003D713D"/>
    <w:rsid w:val="003D723C"/>
    <w:rsid w:val="003D7695"/>
    <w:rsid w:val="003D7B03"/>
    <w:rsid w:val="003E0129"/>
    <w:rsid w:val="003E029F"/>
    <w:rsid w:val="003E0928"/>
    <w:rsid w:val="003E14D5"/>
    <w:rsid w:val="003E2D57"/>
    <w:rsid w:val="003E3DD3"/>
    <w:rsid w:val="003E48EC"/>
    <w:rsid w:val="003E4A5B"/>
    <w:rsid w:val="003E4DB9"/>
    <w:rsid w:val="003E5755"/>
    <w:rsid w:val="003E6879"/>
    <w:rsid w:val="003E7058"/>
    <w:rsid w:val="003E71A3"/>
    <w:rsid w:val="003F0374"/>
    <w:rsid w:val="003F0A86"/>
    <w:rsid w:val="003F0DD0"/>
    <w:rsid w:val="003F120A"/>
    <w:rsid w:val="003F154A"/>
    <w:rsid w:val="003F1821"/>
    <w:rsid w:val="003F187F"/>
    <w:rsid w:val="003F2629"/>
    <w:rsid w:val="003F2D2B"/>
    <w:rsid w:val="003F2DDD"/>
    <w:rsid w:val="003F34EE"/>
    <w:rsid w:val="003F37A0"/>
    <w:rsid w:val="003F39CA"/>
    <w:rsid w:val="003F49CA"/>
    <w:rsid w:val="003F56AD"/>
    <w:rsid w:val="003F6317"/>
    <w:rsid w:val="003F63BC"/>
    <w:rsid w:val="003F6B6A"/>
    <w:rsid w:val="003F6E1B"/>
    <w:rsid w:val="003F74CA"/>
    <w:rsid w:val="003F7597"/>
    <w:rsid w:val="003F7632"/>
    <w:rsid w:val="00400627"/>
    <w:rsid w:val="0040137B"/>
    <w:rsid w:val="00401388"/>
    <w:rsid w:val="00401521"/>
    <w:rsid w:val="00401AFC"/>
    <w:rsid w:val="00401C7C"/>
    <w:rsid w:val="0040248B"/>
    <w:rsid w:val="004025E7"/>
    <w:rsid w:val="004026C5"/>
    <w:rsid w:val="00402D38"/>
    <w:rsid w:val="004038F5"/>
    <w:rsid w:val="00403FE8"/>
    <w:rsid w:val="004040C2"/>
    <w:rsid w:val="00404118"/>
    <w:rsid w:val="00404400"/>
    <w:rsid w:val="00404741"/>
    <w:rsid w:val="00404831"/>
    <w:rsid w:val="0040489F"/>
    <w:rsid w:val="00404991"/>
    <w:rsid w:val="00404CFF"/>
    <w:rsid w:val="004058D8"/>
    <w:rsid w:val="004065BF"/>
    <w:rsid w:val="004067DC"/>
    <w:rsid w:val="0040725C"/>
    <w:rsid w:val="00407828"/>
    <w:rsid w:val="0040785C"/>
    <w:rsid w:val="00407C76"/>
    <w:rsid w:val="00407E61"/>
    <w:rsid w:val="00407FAD"/>
    <w:rsid w:val="0041008A"/>
    <w:rsid w:val="00410679"/>
    <w:rsid w:val="00410694"/>
    <w:rsid w:val="00411A81"/>
    <w:rsid w:val="00411E09"/>
    <w:rsid w:val="00412665"/>
    <w:rsid w:val="00413E9A"/>
    <w:rsid w:val="00414625"/>
    <w:rsid w:val="00414766"/>
    <w:rsid w:val="0041504C"/>
    <w:rsid w:val="00415A02"/>
    <w:rsid w:val="004161A5"/>
    <w:rsid w:val="004162B7"/>
    <w:rsid w:val="00416653"/>
    <w:rsid w:val="0041666C"/>
    <w:rsid w:val="0041676B"/>
    <w:rsid w:val="00416CAE"/>
    <w:rsid w:val="00417264"/>
    <w:rsid w:val="00417483"/>
    <w:rsid w:val="004176AE"/>
    <w:rsid w:val="00417B2B"/>
    <w:rsid w:val="00417B76"/>
    <w:rsid w:val="004202F8"/>
    <w:rsid w:val="0042085D"/>
    <w:rsid w:val="00421EBC"/>
    <w:rsid w:val="004226E4"/>
    <w:rsid w:val="00422869"/>
    <w:rsid w:val="00422C39"/>
    <w:rsid w:val="00423283"/>
    <w:rsid w:val="00423EBC"/>
    <w:rsid w:val="00424432"/>
    <w:rsid w:val="0042492F"/>
    <w:rsid w:val="00424B04"/>
    <w:rsid w:val="00424FA6"/>
    <w:rsid w:val="00425089"/>
    <w:rsid w:val="004252BA"/>
    <w:rsid w:val="00425685"/>
    <w:rsid w:val="00425C52"/>
    <w:rsid w:val="00425E37"/>
    <w:rsid w:val="00425FE1"/>
    <w:rsid w:val="00426536"/>
    <w:rsid w:val="00426B29"/>
    <w:rsid w:val="00426DEA"/>
    <w:rsid w:val="00427547"/>
    <w:rsid w:val="0042776C"/>
    <w:rsid w:val="00427C39"/>
    <w:rsid w:val="00430179"/>
    <w:rsid w:val="00430851"/>
    <w:rsid w:val="00431662"/>
    <w:rsid w:val="00431697"/>
    <w:rsid w:val="004318CB"/>
    <w:rsid w:val="004319A1"/>
    <w:rsid w:val="0043263F"/>
    <w:rsid w:val="004326FC"/>
    <w:rsid w:val="00432F7A"/>
    <w:rsid w:val="00433746"/>
    <w:rsid w:val="004337CD"/>
    <w:rsid w:val="00433C85"/>
    <w:rsid w:val="004340B6"/>
    <w:rsid w:val="0043420F"/>
    <w:rsid w:val="004343F2"/>
    <w:rsid w:val="0043591F"/>
    <w:rsid w:val="00435A0B"/>
    <w:rsid w:val="00435CAF"/>
    <w:rsid w:val="004360FD"/>
    <w:rsid w:val="00436723"/>
    <w:rsid w:val="00436C7C"/>
    <w:rsid w:val="004373B3"/>
    <w:rsid w:val="00437545"/>
    <w:rsid w:val="00437A45"/>
    <w:rsid w:val="00437F36"/>
    <w:rsid w:val="004403E2"/>
    <w:rsid w:val="00440D77"/>
    <w:rsid w:val="0044126E"/>
    <w:rsid w:val="0044134B"/>
    <w:rsid w:val="004421B0"/>
    <w:rsid w:val="00442B78"/>
    <w:rsid w:val="00442BEB"/>
    <w:rsid w:val="00442E4F"/>
    <w:rsid w:val="0044322B"/>
    <w:rsid w:val="00443D39"/>
    <w:rsid w:val="00444220"/>
    <w:rsid w:val="00445A4F"/>
    <w:rsid w:val="00446B5C"/>
    <w:rsid w:val="00446DA3"/>
    <w:rsid w:val="00446DD5"/>
    <w:rsid w:val="0044710A"/>
    <w:rsid w:val="00447298"/>
    <w:rsid w:val="004472E6"/>
    <w:rsid w:val="00447910"/>
    <w:rsid w:val="00447CAE"/>
    <w:rsid w:val="00450261"/>
    <w:rsid w:val="00450887"/>
    <w:rsid w:val="004509DB"/>
    <w:rsid w:val="00450B50"/>
    <w:rsid w:val="00450E44"/>
    <w:rsid w:val="00450F24"/>
    <w:rsid w:val="00451EA3"/>
    <w:rsid w:val="00452101"/>
    <w:rsid w:val="00452AD1"/>
    <w:rsid w:val="00453517"/>
    <w:rsid w:val="0045362F"/>
    <w:rsid w:val="0045392E"/>
    <w:rsid w:val="00453F71"/>
    <w:rsid w:val="0045422D"/>
    <w:rsid w:val="00454BCC"/>
    <w:rsid w:val="00454D73"/>
    <w:rsid w:val="00454D97"/>
    <w:rsid w:val="004555FF"/>
    <w:rsid w:val="00456362"/>
    <w:rsid w:val="00456BA8"/>
    <w:rsid w:val="00456D03"/>
    <w:rsid w:val="00456FE0"/>
    <w:rsid w:val="00457361"/>
    <w:rsid w:val="00457962"/>
    <w:rsid w:val="00457F05"/>
    <w:rsid w:val="00460A86"/>
    <w:rsid w:val="00460AAF"/>
    <w:rsid w:val="00461143"/>
    <w:rsid w:val="004611C2"/>
    <w:rsid w:val="00461353"/>
    <w:rsid w:val="00461CA7"/>
    <w:rsid w:val="00462808"/>
    <w:rsid w:val="00462BB0"/>
    <w:rsid w:val="00463640"/>
    <w:rsid w:val="00463AD1"/>
    <w:rsid w:val="004640B7"/>
    <w:rsid w:val="004653F2"/>
    <w:rsid w:val="004660DC"/>
    <w:rsid w:val="00466C05"/>
    <w:rsid w:val="004673F8"/>
    <w:rsid w:val="0046793C"/>
    <w:rsid w:val="00467C24"/>
    <w:rsid w:val="00467FFB"/>
    <w:rsid w:val="0047048D"/>
    <w:rsid w:val="00470895"/>
    <w:rsid w:val="00470B58"/>
    <w:rsid w:val="00472357"/>
    <w:rsid w:val="00472604"/>
    <w:rsid w:val="00472F22"/>
    <w:rsid w:val="00472FA1"/>
    <w:rsid w:val="00472FE0"/>
    <w:rsid w:val="00473CDA"/>
    <w:rsid w:val="0047437C"/>
    <w:rsid w:val="004748EC"/>
    <w:rsid w:val="00474B80"/>
    <w:rsid w:val="00474F07"/>
    <w:rsid w:val="00474F93"/>
    <w:rsid w:val="00475EAA"/>
    <w:rsid w:val="004760A6"/>
    <w:rsid w:val="0047640A"/>
    <w:rsid w:val="00476555"/>
    <w:rsid w:val="004767CE"/>
    <w:rsid w:val="00476FB9"/>
    <w:rsid w:val="004801E7"/>
    <w:rsid w:val="004804B5"/>
    <w:rsid w:val="0048067B"/>
    <w:rsid w:val="00480A5E"/>
    <w:rsid w:val="00481BD0"/>
    <w:rsid w:val="00481EA2"/>
    <w:rsid w:val="004820A9"/>
    <w:rsid w:val="0048241C"/>
    <w:rsid w:val="004824B4"/>
    <w:rsid w:val="0048317B"/>
    <w:rsid w:val="00483402"/>
    <w:rsid w:val="004835DC"/>
    <w:rsid w:val="004836F7"/>
    <w:rsid w:val="00483A01"/>
    <w:rsid w:val="00483ED0"/>
    <w:rsid w:val="00484EA3"/>
    <w:rsid w:val="00485DC4"/>
    <w:rsid w:val="00490DCB"/>
    <w:rsid w:val="00491875"/>
    <w:rsid w:val="0049195D"/>
    <w:rsid w:val="00491F34"/>
    <w:rsid w:val="00492085"/>
    <w:rsid w:val="004934E0"/>
    <w:rsid w:val="0049478C"/>
    <w:rsid w:val="004958B8"/>
    <w:rsid w:val="00496F86"/>
    <w:rsid w:val="00496FE9"/>
    <w:rsid w:val="00497533"/>
    <w:rsid w:val="004976B4"/>
    <w:rsid w:val="00497876"/>
    <w:rsid w:val="004978AC"/>
    <w:rsid w:val="004978F5"/>
    <w:rsid w:val="00497C99"/>
    <w:rsid w:val="004A050E"/>
    <w:rsid w:val="004A0A06"/>
    <w:rsid w:val="004A0D3A"/>
    <w:rsid w:val="004A0F78"/>
    <w:rsid w:val="004A1196"/>
    <w:rsid w:val="004A214C"/>
    <w:rsid w:val="004A2B19"/>
    <w:rsid w:val="004A30AC"/>
    <w:rsid w:val="004A3AD9"/>
    <w:rsid w:val="004A3DA8"/>
    <w:rsid w:val="004A4077"/>
    <w:rsid w:val="004A41CA"/>
    <w:rsid w:val="004A496A"/>
    <w:rsid w:val="004A4AB5"/>
    <w:rsid w:val="004A4C78"/>
    <w:rsid w:val="004A5003"/>
    <w:rsid w:val="004A5292"/>
    <w:rsid w:val="004A53DC"/>
    <w:rsid w:val="004A5990"/>
    <w:rsid w:val="004A60C9"/>
    <w:rsid w:val="004A664D"/>
    <w:rsid w:val="004A6FA9"/>
    <w:rsid w:val="004A7064"/>
    <w:rsid w:val="004A74EC"/>
    <w:rsid w:val="004A7761"/>
    <w:rsid w:val="004A7E4D"/>
    <w:rsid w:val="004B0014"/>
    <w:rsid w:val="004B1093"/>
    <w:rsid w:val="004B1216"/>
    <w:rsid w:val="004B2279"/>
    <w:rsid w:val="004B2343"/>
    <w:rsid w:val="004B2A10"/>
    <w:rsid w:val="004B2C89"/>
    <w:rsid w:val="004B3B81"/>
    <w:rsid w:val="004B3EBF"/>
    <w:rsid w:val="004B45D2"/>
    <w:rsid w:val="004B4DAE"/>
    <w:rsid w:val="004B4F22"/>
    <w:rsid w:val="004B5579"/>
    <w:rsid w:val="004B56D0"/>
    <w:rsid w:val="004B5AC2"/>
    <w:rsid w:val="004B5D5F"/>
    <w:rsid w:val="004B71A9"/>
    <w:rsid w:val="004C00C6"/>
    <w:rsid w:val="004C1716"/>
    <w:rsid w:val="004C19AE"/>
    <w:rsid w:val="004C19E0"/>
    <w:rsid w:val="004C23E7"/>
    <w:rsid w:val="004C305F"/>
    <w:rsid w:val="004C30D9"/>
    <w:rsid w:val="004C3C59"/>
    <w:rsid w:val="004C3CAD"/>
    <w:rsid w:val="004C462E"/>
    <w:rsid w:val="004C5559"/>
    <w:rsid w:val="004C5B29"/>
    <w:rsid w:val="004C65BA"/>
    <w:rsid w:val="004C66D0"/>
    <w:rsid w:val="004D071D"/>
    <w:rsid w:val="004D0878"/>
    <w:rsid w:val="004D0E89"/>
    <w:rsid w:val="004D132F"/>
    <w:rsid w:val="004D1415"/>
    <w:rsid w:val="004D15E2"/>
    <w:rsid w:val="004D1D6A"/>
    <w:rsid w:val="004D31D9"/>
    <w:rsid w:val="004D3DB6"/>
    <w:rsid w:val="004D4313"/>
    <w:rsid w:val="004D49F4"/>
    <w:rsid w:val="004D4E7B"/>
    <w:rsid w:val="004D5657"/>
    <w:rsid w:val="004D599F"/>
    <w:rsid w:val="004D5B51"/>
    <w:rsid w:val="004D5C06"/>
    <w:rsid w:val="004D5DED"/>
    <w:rsid w:val="004D6359"/>
    <w:rsid w:val="004D6619"/>
    <w:rsid w:val="004D6A5E"/>
    <w:rsid w:val="004D6F9F"/>
    <w:rsid w:val="004E01B1"/>
    <w:rsid w:val="004E0A97"/>
    <w:rsid w:val="004E0FC2"/>
    <w:rsid w:val="004E17A7"/>
    <w:rsid w:val="004E19E8"/>
    <w:rsid w:val="004E1C47"/>
    <w:rsid w:val="004E1D56"/>
    <w:rsid w:val="004E3346"/>
    <w:rsid w:val="004E35CE"/>
    <w:rsid w:val="004E3D06"/>
    <w:rsid w:val="004E51A9"/>
    <w:rsid w:val="004E5546"/>
    <w:rsid w:val="004E55D1"/>
    <w:rsid w:val="004E55D9"/>
    <w:rsid w:val="004E5DE8"/>
    <w:rsid w:val="004E5FA7"/>
    <w:rsid w:val="004E67EA"/>
    <w:rsid w:val="004E6ACC"/>
    <w:rsid w:val="004E74A9"/>
    <w:rsid w:val="004E77A5"/>
    <w:rsid w:val="004E7E1C"/>
    <w:rsid w:val="004F045C"/>
    <w:rsid w:val="004F0A02"/>
    <w:rsid w:val="004F0EFA"/>
    <w:rsid w:val="004F1692"/>
    <w:rsid w:val="004F20F4"/>
    <w:rsid w:val="004F2573"/>
    <w:rsid w:val="004F2703"/>
    <w:rsid w:val="004F276D"/>
    <w:rsid w:val="004F2EEE"/>
    <w:rsid w:val="004F31C6"/>
    <w:rsid w:val="004F36B7"/>
    <w:rsid w:val="004F3742"/>
    <w:rsid w:val="004F3FC7"/>
    <w:rsid w:val="004F4203"/>
    <w:rsid w:val="004F42F7"/>
    <w:rsid w:val="004F4C6E"/>
    <w:rsid w:val="004F519E"/>
    <w:rsid w:val="004F54CA"/>
    <w:rsid w:val="004F635B"/>
    <w:rsid w:val="004F69CF"/>
    <w:rsid w:val="004F6A62"/>
    <w:rsid w:val="004F6D3F"/>
    <w:rsid w:val="004F6E1D"/>
    <w:rsid w:val="004F7B06"/>
    <w:rsid w:val="004F7C8D"/>
    <w:rsid w:val="00500A82"/>
    <w:rsid w:val="00500F23"/>
    <w:rsid w:val="00502F4E"/>
    <w:rsid w:val="00503395"/>
    <w:rsid w:val="00503AB2"/>
    <w:rsid w:val="00503B3B"/>
    <w:rsid w:val="005044B2"/>
    <w:rsid w:val="005049B5"/>
    <w:rsid w:val="005051F8"/>
    <w:rsid w:val="00505AB3"/>
    <w:rsid w:val="00506265"/>
    <w:rsid w:val="00506B68"/>
    <w:rsid w:val="00507550"/>
    <w:rsid w:val="00507758"/>
    <w:rsid w:val="00507EBF"/>
    <w:rsid w:val="00510639"/>
    <w:rsid w:val="00510640"/>
    <w:rsid w:val="00510D71"/>
    <w:rsid w:val="00510EEC"/>
    <w:rsid w:val="005116F3"/>
    <w:rsid w:val="00511B7C"/>
    <w:rsid w:val="00511BF8"/>
    <w:rsid w:val="0051210E"/>
    <w:rsid w:val="005128C3"/>
    <w:rsid w:val="005129CA"/>
    <w:rsid w:val="00512ACD"/>
    <w:rsid w:val="00512C74"/>
    <w:rsid w:val="00513997"/>
    <w:rsid w:val="00513EDB"/>
    <w:rsid w:val="00514384"/>
    <w:rsid w:val="00514598"/>
    <w:rsid w:val="00514A0F"/>
    <w:rsid w:val="00514A95"/>
    <w:rsid w:val="0051572B"/>
    <w:rsid w:val="00515BBC"/>
    <w:rsid w:val="005160B9"/>
    <w:rsid w:val="00521146"/>
    <w:rsid w:val="00521560"/>
    <w:rsid w:val="0052163C"/>
    <w:rsid w:val="00521D86"/>
    <w:rsid w:val="00521E2C"/>
    <w:rsid w:val="00522189"/>
    <w:rsid w:val="005227B4"/>
    <w:rsid w:val="00522E1C"/>
    <w:rsid w:val="00523106"/>
    <w:rsid w:val="00523825"/>
    <w:rsid w:val="00523AF4"/>
    <w:rsid w:val="00524618"/>
    <w:rsid w:val="005246E7"/>
    <w:rsid w:val="00525042"/>
    <w:rsid w:val="00525182"/>
    <w:rsid w:val="00525229"/>
    <w:rsid w:val="0052636E"/>
    <w:rsid w:val="005263E7"/>
    <w:rsid w:val="00526C2B"/>
    <w:rsid w:val="00527863"/>
    <w:rsid w:val="00527F2F"/>
    <w:rsid w:val="0053022E"/>
    <w:rsid w:val="005302DD"/>
    <w:rsid w:val="00530400"/>
    <w:rsid w:val="00530CC6"/>
    <w:rsid w:val="00530D79"/>
    <w:rsid w:val="00531A6A"/>
    <w:rsid w:val="00531E8F"/>
    <w:rsid w:val="00531F88"/>
    <w:rsid w:val="00532073"/>
    <w:rsid w:val="00532140"/>
    <w:rsid w:val="0053216F"/>
    <w:rsid w:val="005344F5"/>
    <w:rsid w:val="0053467F"/>
    <w:rsid w:val="00534EAF"/>
    <w:rsid w:val="005350CF"/>
    <w:rsid w:val="005351BA"/>
    <w:rsid w:val="00535543"/>
    <w:rsid w:val="00536062"/>
    <w:rsid w:val="0053611E"/>
    <w:rsid w:val="005361BE"/>
    <w:rsid w:val="00536212"/>
    <w:rsid w:val="005364EC"/>
    <w:rsid w:val="005365A4"/>
    <w:rsid w:val="00536B88"/>
    <w:rsid w:val="00536EAB"/>
    <w:rsid w:val="00536FD2"/>
    <w:rsid w:val="0053727D"/>
    <w:rsid w:val="00537945"/>
    <w:rsid w:val="00537AE9"/>
    <w:rsid w:val="0054025C"/>
    <w:rsid w:val="005419A9"/>
    <w:rsid w:val="00542489"/>
    <w:rsid w:val="005424FC"/>
    <w:rsid w:val="005427CA"/>
    <w:rsid w:val="005429AE"/>
    <w:rsid w:val="0054346E"/>
    <w:rsid w:val="00544611"/>
    <w:rsid w:val="00544C9B"/>
    <w:rsid w:val="00545A33"/>
    <w:rsid w:val="00545BB2"/>
    <w:rsid w:val="00545F71"/>
    <w:rsid w:val="00546270"/>
    <w:rsid w:val="00546B36"/>
    <w:rsid w:val="00546C11"/>
    <w:rsid w:val="00547C5F"/>
    <w:rsid w:val="005500D2"/>
    <w:rsid w:val="00550707"/>
    <w:rsid w:val="005511FF"/>
    <w:rsid w:val="0055147B"/>
    <w:rsid w:val="0055166F"/>
    <w:rsid w:val="00551874"/>
    <w:rsid w:val="00551A57"/>
    <w:rsid w:val="00551E56"/>
    <w:rsid w:val="00552A0D"/>
    <w:rsid w:val="00552A19"/>
    <w:rsid w:val="00552B82"/>
    <w:rsid w:val="00552D6F"/>
    <w:rsid w:val="00554068"/>
    <w:rsid w:val="00554262"/>
    <w:rsid w:val="005544F7"/>
    <w:rsid w:val="0055491D"/>
    <w:rsid w:val="00554E7D"/>
    <w:rsid w:val="00555240"/>
    <w:rsid w:val="005552BC"/>
    <w:rsid w:val="00555456"/>
    <w:rsid w:val="005555D1"/>
    <w:rsid w:val="00555A6A"/>
    <w:rsid w:val="00555B6B"/>
    <w:rsid w:val="00555BA6"/>
    <w:rsid w:val="00555F7B"/>
    <w:rsid w:val="005561C3"/>
    <w:rsid w:val="00556D15"/>
    <w:rsid w:val="00557414"/>
    <w:rsid w:val="005575E7"/>
    <w:rsid w:val="0055762D"/>
    <w:rsid w:val="00557669"/>
    <w:rsid w:val="00557B2D"/>
    <w:rsid w:val="005604D3"/>
    <w:rsid w:val="005612CA"/>
    <w:rsid w:val="005613BF"/>
    <w:rsid w:val="005620D8"/>
    <w:rsid w:val="00562819"/>
    <w:rsid w:val="00562C00"/>
    <w:rsid w:val="00562DAB"/>
    <w:rsid w:val="00563996"/>
    <w:rsid w:val="00563A62"/>
    <w:rsid w:val="00563B88"/>
    <w:rsid w:val="00563D44"/>
    <w:rsid w:val="00563E4C"/>
    <w:rsid w:val="00563ECE"/>
    <w:rsid w:val="00564078"/>
    <w:rsid w:val="00564E44"/>
    <w:rsid w:val="0056511A"/>
    <w:rsid w:val="00566904"/>
    <w:rsid w:val="00566D2E"/>
    <w:rsid w:val="0056760F"/>
    <w:rsid w:val="00567A99"/>
    <w:rsid w:val="00570158"/>
    <w:rsid w:val="005704FF"/>
    <w:rsid w:val="00570FCF"/>
    <w:rsid w:val="005711DE"/>
    <w:rsid w:val="0057127E"/>
    <w:rsid w:val="00571ACF"/>
    <w:rsid w:val="00571AF3"/>
    <w:rsid w:val="00571B69"/>
    <w:rsid w:val="00571C19"/>
    <w:rsid w:val="00571D18"/>
    <w:rsid w:val="00571DB3"/>
    <w:rsid w:val="0057290C"/>
    <w:rsid w:val="00572CD5"/>
    <w:rsid w:val="005732AB"/>
    <w:rsid w:val="005733B5"/>
    <w:rsid w:val="00573557"/>
    <w:rsid w:val="005739C6"/>
    <w:rsid w:val="00574503"/>
    <w:rsid w:val="0057496B"/>
    <w:rsid w:val="00574CA6"/>
    <w:rsid w:val="0057616E"/>
    <w:rsid w:val="0057621A"/>
    <w:rsid w:val="00576680"/>
    <w:rsid w:val="005767C2"/>
    <w:rsid w:val="00576C69"/>
    <w:rsid w:val="00576E17"/>
    <w:rsid w:val="00576E84"/>
    <w:rsid w:val="00576FFD"/>
    <w:rsid w:val="00577BA0"/>
    <w:rsid w:val="00580430"/>
    <w:rsid w:val="00580795"/>
    <w:rsid w:val="005807B2"/>
    <w:rsid w:val="00580F45"/>
    <w:rsid w:val="005814C3"/>
    <w:rsid w:val="00581B9D"/>
    <w:rsid w:val="00581CC6"/>
    <w:rsid w:val="005829DD"/>
    <w:rsid w:val="00582A49"/>
    <w:rsid w:val="00582AC8"/>
    <w:rsid w:val="00582EDA"/>
    <w:rsid w:val="00583A98"/>
    <w:rsid w:val="00583AD8"/>
    <w:rsid w:val="00583C7C"/>
    <w:rsid w:val="00584322"/>
    <w:rsid w:val="00584815"/>
    <w:rsid w:val="005849A3"/>
    <w:rsid w:val="00585189"/>
    <w:rsid w:val="00585D45"/>
    <w:rsid w:val="00585FCC"/>
    <w:rsid w:val="005860BF"/>
    <w:rsid w:val="005865E0"/>
    <w:rsid w:val="00586A77"/>
    <w:rsid w:val="00586E2D"/>
    <w:rsid w:val="00586FD2"/>
    <w:rsid w:val="00587253"/>
    <w:rsid w:val="005874CB"/>
    <w:rsid w:val="0058786F"/>
    <w:rsid w:val="00590D33"/>
    <w:rsid w:val="00590F2D"/>
    <w:rsid w:val="005910F2"/>
    <w:rsid w:val="005928C3"/>
    <w:rsid w:val="005929F8"/>
    <w:rsid w:val="00592B3F"/>
    <w:rsid w:val="0059305E"/>
    <w:rsid w:val="005939A2"/>
    <w:rsid w:val="00594738"/>
    <w:rsid w:val="00595017"/>
    <w:rsid w:val="0059507C"/>
    <w:rsid w:val="0059529D"/>
    <w:rsid w:val="00595471"/>
    <w:rsid w:val="00595A26"/>
    <w:rsid w:val="00595F64"/>
    <w:rsid w:val="005967DA"/>
    <w:rsid w:val="00596E8D"/>
    <w:rsid w:val="00596EF2"/>
    <w:rsid w:val="00596FE9"/>
    <w:rsid w:val="0059715B"/>
    <w:rsid w:val="00597F92"/>
    <w:rsid w:val="005A020A"/>
    <w:rsid w:val="005A0325"/>
    <w:rsid w:val="005A05C4"/>
    <w:rsid w:val="005A1312"/>
    <w:rsid w:val="005A15AB"/>
    <w:rsid w:val="005A2153"/>
    <w:rsid w:val="005A225E"/>
    <w:rsid w:val="005A2B5A"/>
    <w:rsid w:val="005A3652"/>
    <w:rsid w:val="005A418C"/>
    <w:rsid w:val="005A5141"/>
    <w:rsid w:val="005A5571"/>
    <w:rsid w:val="005A56A5"/>
    <w:rsid w:val="005A5B30"/>
    <w:rsid w:val="005A5C43"/>
    <w:rsid w:val="005A6B2F"/>
    <w:rsid w:val="005A75AF"/>
    <w:rsid w:val="005A7A27"/>
    <w:rsid w:val="005A7CC3"/>
    <w:rsid w:val="005B05FF"/>
    <w:rsid w:val="005B1323"/>
    <w:rsid w:val="005B1463"/>
    <w:rsid w:val="005B1CE9"/>
    <w:rsid w:val="005B1DC6"/>
    <w:rsid w:val="005B2240"/>
    <w:rsid w:val="005B2AD6"/>
    <w:rsid w:val="005B30FC"/>
    <w:rsid w:val="005B3470"/>
    <w:rsid w:val="005B361E"/>
    <w:rsid w:val="005B3DC2"/>
    <w:rsid w:val="005B412B"/>
    <w:rsid w:val="005B4902"/>
    <w:rsid w:val="005B4E0D"/>
    <w:rsid w:val="005B6CF6"/>
    <w:rsid w:val="005B7A46"/>
    <w:rsid w:val="005B7C23"/>
    <w:rsid w:val="005B7D65"/>
    <w:rsid w:val="005B7FF7"/>
    <w:rsid w:val="005C0506"/>
    <w:rsid w:val="005C0688"/>
    <w:rsid w:val="005C0B35"/>
    <w:rsid w:val="005C0F43"/>
    <w:rsid w:val="005C2787"/>
    <w:rsid w:val="005C33BE"/>
    <w:rsid w:val="005C3884"/>
    <w:rsid w:val="005C3908"/>
    <w:rsid w:val="005C394F"/>
    <w:rsid w:val="005C3A90"/>
    <w:rsid w:val="005C3EF4"/>
    <w:rsid w:val="005C4AC1"/>
    <w:rsid w:val="005C5519"/>
    <w:rsid w:val="005C57EC"/>
    <w:rsid w:val="005C5982"/>
    <w:rsid w:val="005C641D"/>
    <w:rsid w:val="005C674A"/>
    <w:rsid w:val="005C67C1"/>
    <w:rsid w:val="005C6BF9"/>
    <w:rsid w:val="005C6C04"/>
    <w:rsid w:val="005C737D"/>
    <w:rsid w:val="005C73E5"/>
    <w:rsid w:val="005D03B3"/>
    <w:rsid w:val="005D03D1"/>
    <w:rsid w:val="005D04F8"/>
    <w:rsid w:val="005D07C4"/>
    <w:rsid w:val="005D0950"/>
    <w:rsid w:val="005D0B47"/>
    <w:rsid w:val="005D124E"/>
    <w:rsid w:val="005D1A03"/>
    <w:rsid w:val="005D22A6"/>
    <w:rsid w:val="005D24F9"/>
    <w:rsid w:val="005D278D"/>
    <w:rsid w:val="005D2798"/>
    <w:rsid w:val="005D2BF9"/>
    <w:rsid w:val="005D30D5"/>
    <w:rsid w:val="005D3A54"/>
    <w:rsid w:val="005D3C98"/>
    <w:rsid w:val="005D4C0F"/>
    <w:rsid w:val="005D5F60"/>
    <w:rsid w:val="005D5FFB"/>
    <w:rsid w:val="005D6551"/>
    <w:rsid w:val="005D65F8"/>
    <w:rsid w:val="005D66D5"/>
    <w:rsid w:val="005D691B"/>
    <w:rsid w:val="005D6A69"/>
    <w:rsid w:val="005D6F4F"/>
    <w:rsid w:val="005D74CD"/>
    <w:rsid w:val="005D7835"/>
    <w:rsid w:val="005D7B3A"/>
    <w:rsid w:val="005E0104"/>
    <w:rsid w:val="005E0447"/>
    <w:rsid w:val="005E0484"/>
    <w:rsid w:val="005E0D49"/>
    <w:rsid w:val="005E146B"/>
    <w:rsid w:val="005E19CE"/>
    <w:rsid w:val="005E1E49"/>
    <w:rsid w:val="005E1FB7"/>
    <w:rsid w:val="005E28BD"/>
    <w:rsid w:val="005E2938"/>
    <w:rsid w:val="005E3180"/>
    <w:rsid w:val="005E3B06"/>
    <w:rsid w:val="005E41C6"/>
    <w:rsid w:val="005E4A58"/>
    <w:rsid w:val="005E509F"/>
    <w:rsid w:val="005E53C6"/>
    <w:rsid w:val="005E55FF"/>
    <w:rsid w:val="005E596C"/>
    <w:rsid w:val="005E5C0A"/>
    <w:rsid w:val="005E7028"/>
    <w:rsid w:val="005E724C"/>
    <w:rsid w:val="005E75B0"/>
    <w:rsid w:val="005E790C"/>
    <w:rsid w:val="005F005F"/>
    <w:rsid w:val="005F0606"/>
    <w:rsid w:val="005F0845"/>
    <w:rsid w:val="005F08FB"/>
    <w:rsid w:val="005F123B"/>
    <w:rsid w:val="005F14DD"/>
    <w:rsid w:val="005F1555"/>
    <w:rsid w:val="005F1AD9"/>
    <w:rsid w:val="005F1F95"/>
    <w:rsid w:val="005F2321"/>
    <w:rsid w:val="005F29F4"/>
    <w:rsid w:val="005F2B35"/>
    <w:rsid w:val="005F31AD"/>
    <w:rsid w:val="005F350D"/>
    <w:rsid w:val="005F373B"/>
    <w:rsid w:val="005F3F38"/>
    <w:rsid w:val="005F474B"/>
    <w:rsid w:val="005F4B6E"/>
    <w:rsid w:val="005F4C93"/>
    <w:rsid w:val="005F4D25"/>
    <w:rsid w:val="005F55EC"/>
    <w:rsid w:val="005F5796"/>
    <w:rsid w:val="005F6376"/>
    <w:rsid w:val="005F792A"/>
    <w:rsid w:val="005F7AC3"/>
    <w:rsid w:val="005F7EDF"/>
    <w:rsid w:val="006007A6"/>
    <w:rsid w:val="006007E5"/>
    <w:rsid w:val="00600CF5"/>
    <w:rsid w:val="00600E07"/>
    <w:rsid w:val="00600F88"/>
    <w:rsid w:val="0060118B"/>
    <w:rsid w:val="006018C4"/>
    <w:rsid w:val="00601C14"/>
    <w:rsid w:val="00601F12"/>
    <w:rsid w:val="00602119"/>
    <w:rsid w:val="00602492"/>
    <w:rsid w:val="006024AA"/>
    <w:rsid w:val="00602D8C"/>
    <w:rsid w:val="00602D93"/>
    <w:rsid w:val="00602D98"/>
    <w:rsid w:val="006041B8"/>
    <w:rsid w:val="00605088"/>
    <w:rsid w:val="00605288"/>
    <w:rsid w:val="00605FD5"/>
    <w:rsid w:val="0060634D"/>
    <w:rsid w:val="006064D8"/>
    <w:rsid w:val="00606A18"/>
    <w:rsid w:val="00606ADA"/>
    <w:rsid w:val="00607081"/>
    <w:rsid w:val="00607121"/>
    <w:rsid w:val="006073F6"/>
    <w:rsid w:val="00611389"/>
    <w:rsid w:val="0061161A"/>
    <w:rsid w:val="0061163C"/>
    <w:rsid w:val="00611834"/>
    <w:rsid w:val="00611ECC"/>
    <w:rsid w:val="006121B4"/>
    <w:rsid w:val="0061259F"/>
    <w:rsid w:val="006125CA"/>
    <w:rsid w:val="00612B64"/>
    <w:rsid w:val="00612DBF"/>
    <w:rsid w:val="00612FBB"/>
    <w:rsid w:val="00613267"/>
    <w:rsid w:val="006135B1"/>
    <w:rsid w:val="00613C57"/>
    <w:rsid w:val="0061413D"/>
    <w:rsid w:val="0061462C"/>
    <w:rsid w:val="00614B40"/>
    <w:rsid w:val="00615332"/>
    <w:rsid w:val="00615498"/>
    <w:rsid w:val="0061625D"/>
    <w:rsid w:val="006163B8"/>
    <w:rsid w:val="00616762"/>
    <w:rsid w:val="00616E3B"/>
    <w:rsid w:val="006179DD"/>
    <w:rsid w:val="006206F3"/>
    <w:rsid w:val="00620E42"/>
    <w:rsid w:val="00620E59"/>
    <w:rsid w:val="0062152E"/>
    <w:rsid w:val="0062248C"/>
    <w:rsid w:val="006224E0"/>
    <w:rsid w:val="00622953"/>
    <w:rsid w:val="00622B0D"/>
    <w:rsid w:val="006233BA"/>
    <w:rsid w:val="006234A4"/>
    <w:rsid w:val="006234B8"/>
    <w:rsid w:val="006238E7"/>
    <w:rsid w:val="00623C32"/>
    <w:rsid w:val="0062428B"/>
    <w:rsid w:val="006242AD"/>
    <w:rsid w:val="00624756"/>
    <w:rsid w:val="00624BAB"/>
    <w:rsid w:val="006252F7"/>
    <w:rsid w:val="00625428"/>
    <w:rsid w:val="0062651D"/>
    <w:rsid w:val="00626E9E"/>
    <w:rsid w:val="00627309"/>
    <w:rsid w:val="00627C04"/>
    <w:rsid w:val="006306B5"/>
    <w:rsid w:val="00630D4C"/>
    <w:rsid w:val="00630E64"/>
    <w:rsid w:val="006313CB"/>
    <w:rsid w:val="0063146A"/>
    <w:rsid w:val="0063256E"/>
    <w:rsid w:val="00632F92"/>
    <w:rsid w:val="00633A0D"/>
    <w:rsid w:val="00633BAC"/>
    <w:rsid w:val="00634127"/>
    <w:rsid w:val="006341FE"/>
    <w:rsid w:val="00634224"/>
    <w:rsid w:val="00634D34"/>
    <w:rsid w:val="00634F1D"/>
    <w:rsid w:val="00635633"/>
    <w:rsid w:val="00635AC1"/>
    <w:rsid w:val="00635BF6"/>
    <w:rsid w:val="00635D84"/>
    <w:rsid w:val="006361F9"/>
    <w:rsid w:val="00636201"/>
    <w:rsid w:val="00636961"/>
    <w:rsid w:val="00636DD6"/>
    <w:rsid w:val="00637AD3"/>
    <w:rsid w:val="00640113"/>
    <w:rsid w:val="0064047C"/>
    <w:rsid w:val="00640662"/>
    <w:rsid w:val="00640898"/>
    <w:rsid w:val="006408AE"/>
    <w:rsid w:val="00640D27"/>
    <w:rsid w:val="006419BA"/>
    <w:rsid w:val="00641FBB"/>
    <w:rsid w:val="00642994"/>
    <w:rsid w:val="00642B8E"/>
    <w:rsid w:val="0064354A"/>
    <w:rsid w:val="00643928"/>
    <w:rsid w:val="0064439E"/>
    <w:rsid w:val="006444C8"/>
    <w:rsid w:val="0064492F"/>
    <w:rsid w:val="00644954"/>
    <w:rsid w:val="00644BE4"/>
    <w:rsid w:val="00644C8A"/>
    <w:rsid w:val="00644D5A"/>
    <w:rsid w:val="00645890"/>
    <w:rsid w:val="00645A94"/>
    <w:rsid w:val="00645C6F"/>
    <w:rsid w:val="00646218"/>
    <w:rsid w:val="00646FDC"/>
    <w:rsid w:val="006470BB"/>
    <w:rsid w:val="00647867"/>
    <w:rsid w:val="00647F50"/>
    <w:rsid w:val="0065034F"/>
    <w:rsid w:val="00650439"/>
    <w:rsid w:val="00650C02"/>
    <w:rsid w:val="00650DC5"/>
    <w:rsid w:val="00651BE3"/>
    <w:rsid w:val="00651CD4"/>
    <w:rsid w:val="00652719"/>
    <w:rsid w:val="00652B1E"/>
    <w:rsid w:val="00653323"/>
    <w:rsid w:val="00653D41"/>
    <w:rsid w:val="00653FA6"/>
    <w:rsid w:val="0065563C"/>
    <w:rsid w:val="0065574F"/>
    <w:rsid w:val="00655755"/>
    <w:rsid w:val="0065599F"/>
    <w:rsid w:val="006560A9"/>
    <w:rsid w:val="006565DC"/>
    <w:rsid w:val="00656AD5"/>
    <w:rsid w:val="00657CB9"/>
    <w:rsid w:val="00657DDB"/>
    <w:rsid w:val="00660285"/>
    <w:rsid w:val="006603FF"/>
    <w:rsid w:val="00660A4F"/>
    <w:rsid w:val="00660A78"/>
    <w:rsid w:val="00660D02"/>
    <w:rsid w:val="00661B98"/>
    <w:rsid w:val="0066206E"/>
    <w:rsid w:val="006626F0"/>
    <w:rsid w:val="006627DB"/>
    <w:rsid w:val="00662B1C"/>
    <w:rsid w:val="00662D39"/>
    <w:rsid w:val="006631D9"/>
    <w:rsid w:val="00663667"/>
    <w:rsid w:val="006637B8"/>
    <w:rsid w:val="00663DFD"/>
    <w:rsid w:val="006646CF"/>
    <w:rsid w:val="00664FF2"/>
    <w:rsid w:val="0066509F"/>
    <w:rsid w:val="006653F2"/>
    <w:rsid w:val="00665ABF"/>
    <w:rsid w:val="006662CC"/>
    <w:rsid w:val="006663B9"/>
    <w:rsid w:val="0066665D"/>
    <w:rsid w:val="00667440"/>
    <w:rsid w:val="0066754A"/>
    <w:rsid w:val="0066760C"/>
    <w:rsid w:val="006679C1"/>
    <w:rsid w:val="00667E08"/>
    <w:rsid w:val="00670730"/>
    <w:rsid w:val="006708C5"/>
    <w:rsid w:val="006709C0"/>
    <w:rsid w:val="0067143E"/>
    <w:rsid w:val="00672F0B"/>
    <w:rsid w:val="00672F57"/>
    <w:rsid w:val="006733B3"/>
    <w:rsid w:val="006736FD"/>
    <w:rsid w:val="006741E3"/>
    <w:rsid w:val="006742D8"/>
    <w:rsid w:val="006745F6"/>
    <w:rsid w:val="00674773"/>
    <w:rsid w:val="00674C84"/>
    <w:rsid w:val="0067557E"/>
    <w:rsid w:val="00675C35"/>
    <w:rsid w:val="00676069"/>
    <w:rsid w:val="0067628E"/>
    <w:rsid w:val="00676558"/>
    <w:rsid w:val="006769EF"/>
    <w:rsid w:val="00676B6E"/>
    <w:rsid w:val="0067712B"/>
    <w:rsid w:val="00677561"/>
    <w:rsid w:val="0067768B"/>
    <w:rsid w:val="00677796"/>
    <w:rsid w:val="006779CA"/>
    <w:rsid w:val="00677FEB"/>
    <w:rsid w:val="00680578"/>
    <w:rsid w:val="0068078B"/>
    <w:rsid w:val="00681165"/>
    <w:rsid w:val="00681671"/>
    <w:rsid w:val="0068192E"/>
    <w:rsid w:val="00681ED1"/>
    <w:rsid w:val="00682A90"/>
    <w:rsid w:val="00682E2E"/>
    <w:rsid w:val="00683633"/>
    <w:rsid w:val="006836DD"/>
    <w:rsid w:val="006841C1"/>
    <w:rsid w:val="0068421F"/>
    <w:rsid w:val="00684B35"/>
    <w:rsid w:val="006855D7"/>
    <w:rsid w:val="00685F29"/>
    <w:rsid w:val="00686A19"/>
    <w:rsid w:val="006876A1"/>
    <w:rsid w:val="00687C67"/>
    <w:rsid w:val="00687F63"/>
    <w:rsid w:val="006907C9"/>
    <w:rsid w:val="006907F9"/>
    <w:rsid w:val="00690CBA"/>
    <w:rsid w:val="00691201"/>
    <w:rsid w:val="00691665"/>
    <w:rsid w:val="0069199C"/>
    <w:rsid w:val="00691EAF"/>
    <w:rsid w:val="0069210A"/>
    <w:rsid w:val="00692172"/>
    <w:rsid w:val="006921F1"/>
    <w:rsid w:val="00692713"/>
    <w:rsid w:val="00693416"/>
    <w:rsid w:val="00693428"/>
    <w:rsid w:val="00693793"/>
    <w:rsid w:val="006937F5"/>
    <w:rsid w:val="00693C4A"/>
    <w:rsid w:val="00694BA3"/>
    <w:rsid w:val="00694C6F"/>
    <w:rsid w:val="006951FA"/>
    <w:rsid w:val="0069557D"/>
    <w:rsid w:val="006955ED"/>
    <w:rsid w:val="00695C16"/>
    <w:rsid w:val="00695C9D"/>
    <w:rsid w:val="00695F53"/>
    <w:rsid w:val="00695F58"/>
    <w:rsid w:val="006963B8"/>
    <w:rsid w:val="00696D6A"/>
    <w:rsid w:val="00697058"/>
    <w:rsid w:val="006970A2"/>
    <w:rsid w:val="00697725"/>
    <w:rsid w:val="00697DAC"/>
    <w:rsid w:val="00697E69"/>
    <w:rsid w:val="006A04ED"/>
    <w:rsid w:val="006A04EE"/>
    <w:rsid w:val="006A0A81"/>
    <w:rsid w:val="006A1762"/>
    <w:rsid w:val="006A1927"/>
    <w:rsid w:val="006A19EF"/>
    <w:rsid w:val="006A1CF5"/>
    <w:rsid w:val="006A209C"/>
    <w:rsid w:val="006A2B49"/>
    <w:rsid w:val="006A3038"/>
    <w:rsid w:val="006A3BE4"/>
    <w:rsid w:val="006A3F26"/>
    <w:rsid w:val="006A42A2"/>
    <w:rsid w:val="006A470C"/>
    <w:rsid w:val="006A538E"/>
    <w:rsid w:val="006A7592"/>
    <w:rsid w:val="006B0318"/>
    <w:rsid w:val="006B03F7"/>
    <w:rsid w:val="006B0B88"/>
    <w:rsid w:val="006B0BEA"/>
    <w:rsid w:val="006B0CC1"/>
    <w:rsid w:val="006B10C9"/>
    <w:rsid w:val="006B118A"/>
    <w:rsid w:val="006B14FE"/>
    <w:rsid w:val="006B1914"/>
    <w:rsid w:val="006B22E3"/>
    <w:rsid w:val="006B2516"/>
    <w:rsid w:val="006B2656"/>
    <w:rsid w:val="006B3881"/>
    <w:rsid w:val="006B38D3"/>
    <w:rsid w:val="006B3953"/>
    <w:rsid w:val="006B3C5C"/>
    <w:rsid w:val="006B40A4"/>
    <w:rsid w:val="006B4A0D"/>
    <w:rsid w:val="006B4DE4"/>
    <w:rsid w:val="006B5AE5"/>
    <w:rsid w:val="006B5EBF"/>
    <w:rsid w:val="006B6C61"/>
    <w:rsid w:val="006B6DF6"/>
    <w:rsid w:val="006B7112"/>
    <w:rsid w:val="006B7114"/>
    <w:rsid w:val="006B72CC"/>
    <w:rsid w:val="006B72E2"/>
    <w:rsid w:val="006B75FF"/>
    <w:rsid w:val="006B7693"/>
    <w:rsid w:val="006B7A6A"/>
    <w:rsid w:val="006C09BF"/>
    <w:rsid w:val="006C17EE"/>
    <w:rsid w:val="006C1FA2"/>
    <w:rsid w:val="006C20A2"/>
    <w:rsid w:val="006C2402"/>
    <w:rsid w:val="006C26F8"/>
    <w:rsid w:val="006C2872"/>
    <w:rsid w:val="006C2D12"/>
    <w:rsid w:val="006C2D49"/>
    <w:rsid w:val="006C352C"/>
    <w:rsid w:val="006C379A"/>
    <w:rsid w:val="006C3D56"/>
    <w:rsid w:val="006C4729"/>
    <w:rsid w:val="006C4745"/>
    <w:rsid w:val="006C479C"/>
    <w:rsid w:val="006C5301"/>
    <w:rsid w:val="006C54F9"/>
    <w:rsid w:val="006C569B"/>
    <w:rsid w:val="006C5F5D"/>
    <w:rsid w:val="006C6078"/>
    <w:rsid w:val="006C6EB4"/>
    <w:rsid w:val="006C7546"/>
    <w:rsid w:val="006C7946"/>
    <w:rsid w:val="006C7C94"/>
    <w:rsid w:val="006C7D6A"/>
    <w:rsid w:val="006D03F6"/>
    <w:rsid w:val="006D0428"/>
    <w:rsid w:val="006D0468"/>
    <w:rsid w:val="006D080C"/>
    <w:rsid w:val="006D09C7"/>
    <w:rsid w:val="006D2026"/>
    <w:rsid w:val="006D2202"/>
    <w:rsid w:val="006D26C3"/>
    <w:rsid w:val="006D27E9"/>
    <w:rsid w:val="006D2CCC"/>
    <w:rsid w:val="006D34E8"/>
    <w:rsid w:val="006D357F"/>
    <w:rsid w:val="006D369A"/>
    <w:rsid w:val="006D44B3"/>
    <w:rsid w:val="006D46C0"/>
    <w:rsid w:val="006D4A12"/>
    <w:rsid w:val="006D4FEF"/>
    <w:rsid w:val="006D5812"/>
    <w:rsid w:val="006D7885"/>
    <w:rsid w:val="006E0304"/>
    <w:rsid w:val="006E0386"/>
    <w:rsid w:val="006E04F8"/>
    <w:rsid w:val="006E05CD"/>
    <w:rsid w:val="006E0CE3"/>
    <w:rsid w:val="006E1468"/>
    <w:rsid w:val="006E1EFF"/>
    <w:rsid w:val="006E25B4"/>
    <w:rsid w:val="006E283D"/>
    <w:rsid w:val="006E2A01"/>
    <w:rsid w:val="006E371D"/>
    <w:rsid w:val="006E379F"/>
    <w:rsid w:val="006E41C3"/>
    <w:rsid w:val="006E4EB3"/>
    <w:rsid w:val="006E5250"/>
    <w:rsid w:val="006E532A"/>
    <w:rsid w:val="006E5371"/>
    <w:rsid w:val="006E5857"/>
    <w:rsid w:val="006E5AFB"/>
    <w:rsid w:val="006E5B73"/>
    <w:rsid w:val="006E62EA"/>
    <w:rsid w:val="006E6B47"/>
    <w:rsid w:val="006E6C11"/>
    <w:rsid w:val="006E756B"/>
    <w:rsid w:val="006E799D"/>
    <w:rsid w:val="006E7E9C"/>
    <w:rsid w:val="006E7F38"/>
    <w:rsid w:val="006F09AD"/>
    <w:rsid w:val="006F0A41"/>
    <w:rsid w:val="006F0AB1"/>
    <w:rsid w:val="006F0C1A"/>
    <w:rsid w:val="006F105B"/>
    <w:rsid w:val="006F1AFE"/>
    <w:rsid w:val="006F1D07"/>
    <w:rsid w:val="006F29CB"/>
    <w:rsid w:val="006F2B96"/>
    <w:rsid w:val="006F3485"/>
    <w:rsid w:val="006F3CD1"/>
    <w:rsid w:val="006F4227"/>
    <w:rsid w:val="006F4567"/>
    <w:rsid w:val="006F62C6"/>
    <w:rsid w:val="006F6E7B"/>
    <w:rsid w:val="006F724E"/>
    <w:rsid w:val="006F758E"/>
    <w:rsid w:val="006F78CE"/>
    <w:rsid w:val="0070035F"/>
    <w:rsid w:val="007007E9"/>
    <w:rsid w:val="00701341"/>
    <w:rsid w:val="0070159D"/>
    <w:rsid w:val="0070160E"/>
    <w:rsid w:val="00701925"/>
    <w:rsid w:val="00702711"/>
    <w:rsid w:val="00703157"/>
    <w:rsid w:val="007031CE"/>
    <w:rsid w:val="0070382E"/>
    <w:rsid w:val="00703B8C"/>
    <w:rsid w:val="00703CAE"/>
    <w:rsid w:val="007043BA"/>
    <w:rsid w:val="007045FD"/>
    <w:rsid w:val="00704E05"/>
    <w:rsid w:val="0070594F"/>
    <w:rsid w:val="00705A03"/>
    <w:rsid w:val="00705E5F"/>
    <w:rsid w:val="00706020"/>
    <w:rsid w:val="00706468"/>
    <w:rsid w:val="00706779"/>
    <w:rsid w:val="0070684F"/>
    <w:rsid w:val="007069AA"/>
    <w:rsid w:val="00706C02"/>
    <w:rsid w:val="00706C60"/>
    <w:rsid w:val="007075CB"/>
    <w:rsid w:val="0070773A"/>
    <w:rsid w:val="007078F9"/>
    <w:rsid w:val="0070798F"/>
    <w:rsid w:val="0071006F"/>
    <w:rsid w:val="00710745"/>
    <w:rsid w:val="00711995"/>
    <w:rsid w:val="00711B99"/>
    <w:rsid w:val="00711BF8"/>
    <w:rsid w:val="00712B21"/>
    <w:rsid w:val="0071356B"/>
    <w:rsid w:val="00714398"/>
    <w:rsid w:val="00714963"/>
    <w:rsid w:val="00714F21"/>
    <w:rsid w:val="00714FF3"/>
    <w:rsid w:val="007150C4"/>
    <w:rsid w:val="00715535"/>
    <w:rsid w:val="0071577E"/>
    <w:rsid w:val="007171C4"/>
    <w:rsid w:val="0071782D"/>
    <w:rsid w:val="007207E9"/>
    <w:rsid w:val="00720E83"/>
    <w:rsid w:val="007216C2"/>
    <w:rsid w:val="00722175"/>
    <w:rsid w:val="00722184"/>
    <w:rsid w:val="0072232D"/>
    <w:rsid w:val="00722735"/>
    <w:rsid w:val="00722B94"/>
    <w:rsid w:val="00722E4B"/>
    <w:rsid w:val="007230B8"/>
    <w:rsid w:val="00723102"/>
    <w:rsid w:val="00723271"/>
    <w:rsid w:val="00723DDA"/>
    <w:rsid w:val="0072472E"/>
    <w:rsid w:val="00725371"/>
    <w:rsid w:val="007256A1"/>
    <w:rsid w:val="007256F6"/>
    <w:rsid w:val="00725BCA"/>
    <w:rsid w:val="00725DF3"/>
    <w:rsid w:val="007260B5"/>
    <w:rsid w:val="007265F6"/>
    <w:rsid w:val="00726626"/>
    <w:rsid w:val="00727394"/>
    <w:rsid w:val="00727E74"/>
    <w:rsid w:val="00730EED"/>
    <w:rsid w:val="00730F4B"/>
    <w:rsid w:val="00731056"/>
    <w:rsid w:val="00732362"/>
    <w:rsid w:val="00732A4B"/>
    <w:rsid w:val="00732A59"/>
    <w:rsid w:val="00732D31"/>
    <w:rsid w:val="007331E0"/>
    <w:rsid w:val="00733252"/>
    <w:rsid w:val="00733326"/>
    <w:rsid w:val="007336C6"/>
    <w:rsid w:val="00733D5B"/>
    <w:rsid w:val="00733D6B"/>
    <w:rsid w:val="0073423D"/>
    <w:rsid w:val="00734670"/>
    <w:rsid w:val="00734CC2"/>
    <w:rsid w:val="00735F18"/>
    <w:rsid w:val="00736158"/>
    <w:rsid w:val="007362F5"/>
    <w:rsid w:val="0073686A"/>
    <w:rsid w:val="007371EE"/>
    <w:rsid w:val="00737764"/>
    <w:rsid w:val="007379B1"/>
    <w:rsid w:val="00740204"/>
    <w:rsid w:val="007404F9"/>
    <w:rsid w:val="007407E2"/>
    <w:rsid w:val="0074081E"/>
    <w:rsid w:val="0074114B"/>
    <w:rsid w:val="00741B3C"/>
    <w:rsid w:val="00741C36"/>
    <w:rsid w:val="00741C6A"/>
    <w:rsid w:val="00742E46"/>
    <w:rsid w:val="00742FBE"/>
    <w:rsid w:val="00743FC4"/>
    <w:rsid w:val="00744019"/>
    <w:rsid w:val="00744025"/>
    <w:rsid w:val="007448DF"/>
    <w:rsid w:val="00744F80"/>
    <w:rsid w:val="00744FE2"/>
    <w:rsid w:val="00745585"/>
    <w:rsid w:val="00746397"/>
    <w:rsid w:val="00746473"/>
    <w:rsid w:val="007466FC"/>
    <w:rsid w:val="007469BD"/>
    <w:rsid w:val="00747EEB"/>
    <w:rsid w:val="00750768"/>
    <w:rsid w:val="007508A0"/>
    <w:rsid w:val="00750ACF"/>
    <w:rsid w:val="007513B5"/>
    <w:rsid w:val="007524D7"/>
    <w:rsid w:val="00752506"/>
    <w:rsid w:val="00753377"/>
    <w:rsid w:val="0075484B"/>
    <w:rsid w:val="00754DBE"/>
    <w:rsid w:val="00755064"/>
    <w:rsid w:val="00755A0D"/>
    <w:rsid w:val="00755A87"/>
    <w:rsid w:val="00755D33"/>
    <w:rsid w:val="00755FB8"/>
    <w:rsid w:val="0075650F"/>
    <w:rsid w:val="00756544"/>
    <w:rsid w:val="00756674"/>
    <w:rsid w:val="00756A96"/>
    <w:rsid w:val="00756C1E"/>
    <w:rsid w:val="00757760"/>
    <w:rsid w:val="00757921"/>
    <w:rsid w:val="0076082A"/>
    <w:rsid w:val="0076083E"/>
    <w:rsid w:val="00760BE2"/>
    <w:rsid w:val="0076141B"/>
    <w:rsid w:val="0076156A"/>
    <w:rsid w:val="00762BE6"/>
    <w:rsid w:val="00764342"/>
    <w:rsid w:val="00764651"/>
    <w:rsid w:val="00764C39"/>
    <w:rsid w:val="00765C95"/>
    <w:rsid w:val="00765E9F"/>
    <w:rsid w:val="007665DE"/>
    <w:rsid w:val="00766683"/>
    <w:rsid w:val="00767183"/>
    <w:rsid w:val="007674C6"/>
    <w:rsid w:val="007676A0"/>
    <w:rsid w:val="007677E6"/>
    <w:rsid w:val="00770663"/>
    <w:rsid w:val="00770E76"/>
    <w:rsid w:val="00771297"/>
    <w:rsid w:val="00771762"/>
    <w:rsid w:val="00771833"/>
    <w:rsid w:val="00771881"/>
    <w:rsid w:val="00771D79"/>
    <w:rsid w:val="00772904"/>
    <w:rsid w:val="00772DF5"/>
    <w:rsid w:val="00773549"/>
    <w:rsid w:val="00774151"/>
    <w:rsid w:val="00774A85"/>
    <w:rsid w:val="00774EFE"/>
    <w:rsid w:val="0077508F"/>
    <w:rsid w:val="00775644"/>
    <w:rsid w:val="00775C51"/>
    <w:rsid w:val="00775E65"/>
    <w:rsid w:val="007763D0"/>
    <w:rsid w:val="007767AD"/>
    <w:rsid w:val="00776AB2"/>
    <w:rsid w:val="00776B89"/>
    <w:rsid w:val="007772EA"/>
    <w:rsid w:val="00777E69"/>
    <w:rsid w:val="00777F83"/>
    <w:rsid w:val="00780233"/>
    <w:rsid w:val="0078033F"/>
    <w:rsid w:val="0078057F"/>
    <w:rsid w:val="0078167D"/>
    <w:rsid w:val="007817D5"/>
    <w:rsid w:val="00781813"/>
    <w:rsid w:val="00781A3C"/>
    <w:rsid w:val="00781EB1"/>
    <w:rsid w:val="00782035"/>
    <w:rsid w:val="00782411"/>
    <w:rsid w:val="007832C3"/>
    <w:rsid w:val="007833E2"/>
    <w:rsid w:val="00783440"/>
    <w:rsid w:val="00783CDE"/>
    <w:rsid w:val="007842EE"/>
    <w:rsid w:val="007845BE"/>
    <w:rsid w:val="00784F64"/>
    <w:rsid w:val="00785677"/>
    <w:rsid w:val="007858F2"/>
    <w:rsid w:val="0078596C"/>
    <w:rsid w:val="00785E15"/>
    <w:rsid w:val="007866B2"/>
    <w:rsid w:val="00786AF0"/>
    <w:rsid w:val="00787319"/>
    <w:rsid w:val="00787ABE"/>
    <w:rsid w:val="00787D55"/>
    <w:rsid w:val="00790020"/>
    <w:rsid w:val="0079032D"/>
    <w:rsid w:val="00790D40"/>
    <w:rsid w:val="00790F86"/>
    <w:rsid w:val="00791A21"/>
    <w:rsid w:val="00791E9D"/>
    <w:rsid w:val="00791F42"/>
    <w:rsid w:val="00791F55"/>
    <w:rsid w:val="00792FBB"/>
    <w:rsid w:val="007932C1"/>
    <w:rsid w:val="0079378C"/>
    <w:rsid w:val="00793855"/>
    <w:rsid w:val="0079483D"/>
    <w:rsid w:val="00794F70"/>
    <w:rsid w:val="0079516F"/>
    <w:rsid w:val="00795631"/>
    <w:rsid w:val="00795D01"/>
    <w:rsid w:val="00795D20"/>
    <w:rsid w:val="0079695F"/>
    <w:rsid w:val="00796A55"/>
    <w:rsid w:val="00796B23"/>
    <w:rsid w:val="00797091"/>
    <w:rsid w:val="0079724D"/>
    <w:rsid w:val="0079764B"/>
    <w:rsid w:val="00797E36"/>
    <w:rsid w:val="007A0524"/>
    <w:rsid w:val="007A070D"/>
    <w:rsid w:val="007A09B2"/>
    <w:rsid w:val="007A1FB5"/>
    <w:rsid w:val="007A2388"/>
    <w:rsid w:val="007A2458"/>
    <w:rsid w:val="007A263A"/>
    <w:rsid w:val="007A278E"/>
    <w:rsid w:val="007A2C41"/>
    <w:rsid w:val="007A2C91"/>
    <w:rsid w:val="007A3D4B"/>
    <w:rsid w:val="007A45B5"/>
    <w:rsid w:val="007A4AFC"/>
    <w:rsid w:val="007A4ECB"/>
    <w:rsid w:val="007A4F79"/>
    <w:rsid w:val="007A565F"/>
    <w:rsid w:val="007A59E2"/>
    <w:rsid w:val="007A6599"/>
    <w:rsid w:val="007A684A"/>
    <w:rsid w:val="007A7B28"/>
    <w:rsid w:val="007B0B58"/>
    <w:rsid w:val="007B12EC"/>
    <w:rsid w:val="007B3366"/>
    <w:rsid w:val="007B336E"/>
    <w:rsid w:val="007B3DFE"/>
    <w:rsid w:val="007B428A"/>
    <w:rsid w:val="007B5678"/>
    <w:rsid w:val="007B5870"/>
    <w:rsid w:val="007B5873"/>
    <w:rsid w:val="007B5E94"/>
    <w:rsid w:val="007B66D9"/>
    <w:rsid w:val="007B6F3F"/>
    <w:rsid w:val="007B74E2"/>
    <w:rsid w:val="007B76FF"/>
    <w:rsid w:val="007B7A40"/>
    <w:rsid w:val="007C12EC"/>
    <w:rsid w:val="007C214C"/>
    <w:rsid w:val="007C2733"/>
    <w:rsid w:val="007C2D57"/>
    <w:rsid w:val="007C3621"/>
    <w:rsid w:val="007C36B5"/>
    <w:rsid w:val="007C399F"/>
    <w:rsid w:val="007C39E4"/>
    <w:rsid w:val="007C403B"/>
    <w:rsid w:val="007C57C2"/>
    <w:rsid w:val="007C5F41"/>
    <w:rsid w:val="007C713C"/>
    <w:rsid w:val="007C7A07"/>
    <w:rsid w:val="007C7D5F"/>
    <w:rsid w:val="007D08FD"/>
    <w:rsid w:val="007D0B32"/>
    <w:rsid w:val="007D0D71"/>
    <w:rsid w:val="007D13F5"/>
    <w:rsid w:val="007D1418"/>
    <w:rsid w:val="007D173A"/>
    <w:rsid w:val="007D1A4A"/>
    <w:rsid w:val="007D1D8B"/>
    <w:rsid w:val="007D32F5"/>
    <w:rsid w:val="007D3343"/>
    <w:rsid w:val="007D3348"/>
    <w:rsid w:val="007D40BB"/>
    <w:rsid w:val="007D42DB"/>
    <w:rsid w:val="007D43E1"/>
    <w:rsid w:val="007D442B"/>
    <w:rsid w:val="007D4628"/>
    <w:rsid w:val="007D495B"/>
    <w:rsid w:val="007D4B38"/>
    <w:rsid w:val="007D6109"/>
    <w:rsid w:val="007D692D"/>
    <w:rsid w:val="007D773F"/>
    <w:rsid w:val="007D7D7F"/>
    <w:rsid w:val="007E09F7"/>
    <w:rsid w:val="007E0DE3"/>
    <w:rsid w:val="007E19C9"/>
    <w:rsid w:val="007E298C"/>
    <w:rsid w:val="007E2E59"/>
    <w:rsid w:val="007E3FE4"/>
    <w:rsid w:val="007E48D4"/>
    <w:rsid w:val="007E4AA4"/>
    <w:rsid w:val="007E55C6"/>
    <w:rsid w:val="007E6017"/>
    <w:rsid w:val="007E6ACF"/>
    <w:rsid w:val="007E6F9A"/>
    <w:rsid w:val="007E776B"/>
    <w:rsid w:val="007E7FB7"/>
    <w:rsid w:val="007F081E"/>
    <w:rsid w:val="007F092E"/>
    <w:rsid w:val="007F10FD"/>
    <w:rsid w:val="007F117B"/>
    <w:rsid w:val="007F12D5"/>
    <w:rsid w:val="007F1580"/>
    <w:rsid w:val="007F1D98"/>
    <w:rsid w:val="007F1E9C"/>
    <w:rsid w:val="007F2361"/>
    <w:rsid w:val="007F2648"/>
    <w:rsid w:val="007F2935"/>
    <w:rsid w:val="007F2A2D"/>
    <w:rsid w:val="007F2F45"/>
    <w:rsid w:val="007F3052"/>
    <w:rsid w:val="007F336D"/>
    <w:rsid w:val="007F39E9"/>
    <w:rsid w:val="007F4364"/>
    <w:rsid w:val="007F4575"/>
    <w:rsid w:val="007F4592"/>
    <w:rsid w:val="007F45F1"/>
    <w:rsid w:val="007F4855"/>
    <w:rsid w:val="007F4B4B"/>
    <w:rsid w:val="007F4B88"/>
    <w:rsid w:val="007F54D6"/>
    <w:rsid w:val="007F5EBC"/>
    <w:rsid w:val="007F6A81"/>
    <w:rsid w:val="007F6A8F"/>
    <w:rsid w:val="007F74CC"/>
    <w:rsid w:val="007F7DC8"/>
    <w:rsid w:val="00800FB3"/>
    <w:rsid w:val="0080134E"/>
    <w:rsid w:val="00801412"/>
    <w:rsid w:val="0080154D"/>
    <w:rsid w:val="008022A5"/>
    <w:rsid w:val="0080236D"/>
    <w:rsid w:val="00802D33"/>
    <w:rsid w:val="00802D5A"/>
    <w:rsid w:val="008035D9"/>
    <w:rsid w:val="008035E5"/>
    <w:rsid w:val="00803B97"/>
    <w:rsid w:val="0080464F"/>
    <w:rsid w:val="00804A67"/>
    <w:rsid w:val="00804CE1"/>
    <w:rsid w:val="0080592B"/>
    <w:rsid w:val="00805AC3"/>
    <w:rsid w:val="00805EF7"/>
    <w:rsid w:val="00807708"/>
    <w:rsid w:val="008078A7"/>
    <w:rsid w:val="00807908"/>
    <w:rsid w:val="00807D07"/>
    <w:rsid w:val="00810101"/>
    <w:rsid w:val="0081019E"/>
    <w:rsid w:val="00811464"/>
    <w:rsid w:val="00811873"/>
    <w:rsid w:val="00811B78"/>
    <w:rsid w:val="008123F6"/>
    <w:rsid w:val="00812841"/>
    <w:rsid w:val="00812CC9"/>
    <w:rsid w:val="00812F1E"/>
    <w:rsid w:val="008133A0"/>
    <w:rsid w:val="00814453"/>
    <w:rsid w:val="0081453F"/>
    <w:rsid w:val="00814F95"/>
    <w:rsid w:val="008151AD"/>
    <w:rsid w:val="008155BE"/>
    <w:rsid w:val="00815E3C"/>
    <w:rsid w:val="008167A5"/>
    <w:rsid w:val="008168C7"/>
    <w:rsid w:val="0081778F"/>
    <w:rsid w:val="008177FB"/>
    <w:rsid w:val="00817E1E"/>
    <w:rsid w:val="00817F22"/>
    <w:rsid w:val="008206F4"/>
    <w:rsid w:val="00820A8C"/>
    <w:rsid w:val="00820D5B"/>
    <w:rsid w:val="00821991"/>
    <w:rsid w:val="00821B38"/>
    <w:rsid w:val="00821D7C"/>
    <w:rsid w:val="00822003"/>
    <w:rsid w:val="00822F70"/>
    <w:rsid w:val="008231E6"/>
    <w:rsid w:val="00823495"/>
    <w:rsid w:val="008234FA"/>
    <w:rsid w:val="00823CD2"/>
    <w:rsid w:val="008241BA"/>
    <w:rsid w:val="008243AC"/>
    <w:rsid w:val="008244C2"/>
    <w:rsid w:val="008245D7"/>
    <w:rsid w:val="008249AD"/>
    <w:rsid w:val="008249D3"/>
    <w:rsid w:val="0082519D"/>
    <w:rsid w:val="0082526A"/>
    <w:rsid w:val="008262B6"/>
    <w:rsid w:val="00826BF3"/>
    <w:rsid w:val="00826C28"/>
    <w:rsid w:val="00827E91"/>
    <w:rsid w:val="008306B4"/>
    <w:rsid w:val="00831104"/>
    <w:rsid w:val="00831329"/>
    <w:rsid w:val="0083133F"/>
    <w:rsid w:val="00831B3D"/>
    <w:rsid w:val="008324A7"/>
    <w:rsid w:val="00832D19"/>
    <w:rsid w:val="008334FB"/>
    <w:rsid w:val="008335B6"/>
    <w:rsid w:val="00833A96"/>
    <w:rsid w:val="00833C55"/>
    <w:rsid w:val="00833C5C"/>
    <w:rsid w:val="008340DA"/>
    <w:rsid w:val="0083472D"/>
    <w:rsid w:val="0083480A"/>
    <w:rsid w:val="00834C86"/>
    <w:rsid w:val="00834E9D"/>
    <w:rsid w:val="00835527"/>
    <w:rsid w:val="00836160"/>
    <w:rsid w:val="00836254"/>
    <w:rsid w:val="0083625F"/>
    <w:rsid w:val="008363F7"/>
    <w:rsid w:val="00836A09"/>
    <w:rsid w:val="00840569"/>
    <w:rsid w:val="008405B6"/>
    <w:rsid w:val="008409B2"/>
    <w:rsid w:val="00841370"/>
    <w:rsid w:val="00841BCB"/>
    <w:rsid w:val="00842E30"/>
    <w:rsid w:val="00842F2A"/>
    <w:rsid w:val="008434F8"/>
    <w:rsid w:val="00843A0C"/>
    <w:rsid w:val="00843A1A"/>
    <w:rsid w:val="00843BEA"/>
    <w:rsid w:val="00843F69"/>
    <w:rsid w:val="00844818"/>
    <w:rsid w:val="00844BA7"/>
    <w:rsid w:val="00844C20"/>
    <w:rsid w:val="008450E2"/>
    <w:rsid w:val="00845335"/>
    <w:rsid w:val="00845AA1"/>
    <w:rsid w:val="00845AAF"/>
    <w:rsid w:val="00845B7A"/>
    <w:rsid w:val="00845EC0"/>
    <w:rsid w:val="008463C9"/>
    <w:rsid w:val="00846D39"/>
    <w:rsid w:val="008474C5"/>
    <w:rsid w:val="008475F2"/>
    <w:rsid w:val="00847B32"/>
    <w:rsid w:val="0085071A"/>
    <w:rsid w:val="00850E61"/>
    <w:rsid w:val="00851863"/>
    <w:rsid w:val="00851A25"/>
    <w:rsid w:val="00851AB8"/>
    <w:rsid w:val="00851B8B"/>
    <w:rsid w:val="008522D5"/>
    <w:rsid w:val="008528E3"/>
    <w:rsid w:val="00853053"/>
    <w:rsid w:val="008531CD"/>
    <w:rsid w:val="008533B3"/>
    <w:rsid w:val="008537E0"/>
    <w:rsid w:val="008539E9"/>
    <w:rsid w:val="00853A9B"/>
    <w:rsid w:val="008544B2"/>
    <w:rsid w:val="00854A80"/>
    <w:rsid w:val="00854DF8"/>
    <w:rsid w:val="00854E40"/>
    <w:rsid w:val="00855C03"/>
    <w:rsid w:val="0085649E"/>
    <w:rsid w:val="00856566"/>
    <w:rsid w:val="00856610"/>
    <w:rsid w:val="00856678"/>
    <w:rsid w:val="00856CEC"/>
    <w:rsid w:val="00857646"/>
    <w:rsid w:val="00857895"/>
    <w:rsid w:val="00857BAF"/>
    <w:rsid w:val="0086045C"/>
    <w:rsid w:val="008604FD"/>
    <w:rsid w:val="00860B2E"/>
    <w:rsid w:val="00860BB5"/>
    <w:rsid w:val="00860F01"/>
    <w:rsid w:val="00861585"/>
    <w:rsid w:val="00861DED"/>
    <w:rsid w:val="00861E73"/>
    <w:rsid w:val="00862454"/>
    <w:rsid w:val="00862C01"/>
    <w:rsid w:val="00862DE9"/>
    <w:rsid w:val="00863399"/>
    <w:rsid w:val="0086377D"/>
    <w:rsid w:val="00863A6F"/>
    <w:rsid w:val="00864425"/>
    <w:rsid w:val="00864D2D"/>
    <w:rsid w:val="0086527F"/>
    <w:rsid w:val="0086543D"/>
    <w:rsid w:val="008655AD"/>
    <w:rsid w:val="00865D4C"/>
    <w:rsid w:val="00866227"/>
    <w:rsid w:val="00866B6D"/>
    <w:rsid w:val="00867052"/>
    <w:rsid w:val="00867DEE"/>
    <w:rsid w:val="008701CA"/>
    <w:rsid w:val="008702C8"/>
    <w:rsid w:val="00870A6D"/>
    <w:rsid w:val="00870F6B"/>
    <w:rsid w:val="00871356"/>
    <w:rsid w:val="00871530"/>
    <w:rsid w:val="00871A80"/>
    <w:rsid w:val="00871BEA"/>
    <w:rsid w:val="00871D3C"/>
    <w:rsid w:val="00872412"/>
    <w:rsid w:val="00872943"/>
    <w:rsid w:val="00872AED"/>
    <w:rsid w:val="00873EBB"/>
    <w:rsid w:val="00873EF8"/>
    <w:rsid w:val="0087408B"/>
    <w:rsid w:val="00874EB6"/>
    <w:rsid w:val="0087524D"/>
    <w:rsid w:val="00875C8E"/>
    <w:rsid w:val="00875F24"/>
    <w:rsid w:val="0087606C"/>
    <w:rsid w:val="008760D8"/>
    <w:rsid w:val="00877C84"/>
    <w:rsid w:val="00880DC8"/>
    <w:rsid w:val="008812DC"/>
    <w:rsid w:val="00881567"/>
    <w:rsid w:val="008815FF"/>
    <w:rsid w:val="008818C0"/>
    <w:rsid w:val="00881B5D"/>
    <w:rsid w:val="00881FE8"/>
    <w:rsid w:val="00882887"/>
    <w:rsid w:val="0088323A"/>
    <w:rsid w:val="0088341B"/>
    <w:rsid w:val="00883E72"/>
    <w:rsid w:val="00884457"/>
    <w:rsid w:val="00884752"/>
    <w:rsid w:val="00884AF8"/>
    <w:rsid w:val="00884D2A"/>
    <w:rsid w:val="008850A3"/>
    <w:rsid w:val="008851FD"/>
    <w:rsid w:val="00885985"/>
    <w:rsid w:val="00885D4B"/>
    <w:rsid w:val="00885EDD"/>
    <w:rsid w:val="00885F3B"/>
    <w:rsid w:val="00885FB1"/>
    <w:rsid w:val="008866E4"/>
    <w:rsid w:val="00887224"/>
    <w:rsid w:val="00887353"/>
    <w:rsid w:val="008907A9"/>
    <w:rsid w:val="0089175A"/>
    <w:rsid w:val="008919CA"/>
    <w:rsid w:val="00891BEA"/>
    <w:rsid w:val="008928A3"/>
    <w:rsid w:val="00892A8A"/>
    <w:rsid w:val="00892CBD"/>
    <w:rsid w:val="00893B26"/>
    <w:rsid w:val="008945BD"/>
    <w:rsid w:val="00894740"/>
    <w:rsid w:val="00894B76"/>
    <w:rsid w:val="008953B0"/>
    <w:rsid w:val="008967F6"/>
    <w:rsid w:val="00897129"/>
    <w:rsid w:val="00897DEC"/>
    <w:rsid w:val="00897F33"/>
    <w:rsid w:val="008A0418"/>
    <w:rsid w:val="008A114C"/>
    <w:rsid w:val="008A14AA"/>
    <w:rsid w:val="008A1D93"/>
    <w:rsid w:val="008A24FC"/>
    <w:rsid w:val="008A27E7"/>
    <w:rsid w:val="008A2AF6"/>
    <w:rsid w:val="008A2B72"/>
    <w:rsid w:val="008A2B89"/>
    <w:rsid w:val="008A30A7"/>
    <w:rsid w:val="008A3A86"/>
    <w:rsid w:val="008A4DC2"/>
    <w:rsid w:val="008A54D0"/>
    <w:rsid w:val="008A61B0"/>
    <w:rsid w:val="008A61FE"/>
    <w:rsid w:val="008A6845"/>
    <w:rsid w:val="008B0CD1"/>
    <w:rsid w:val="008B108D"/>
    <w:rsid w:val="008B132E"/>
    <w:rsid w:val="008B16B0"/>
    <w:rsid w:val="008B2493"/>
    <w:rsid w:val="008B2ECA"/>
    <w:rsid w:val="008B3BB4"/>
    <w:rsid w:val="008B43D3"/>
    <w:rsid w:val="008B4C15"/>
    <w:rsid w:val="008B4F27"/>
    <w:rsid w:val="008B4FA2"/>
    <w:rsid w:val="008B562C"/>
    <w:rsid w:val="008B5B03"/>
    <w:rsid w:val="008B659B"/>
    <w:rsid w:val="008B6D88"/>
    <w:rsid w:val="008B73ED"/>
    <w:rsid w:val="008B7BA2"/>
    <w:rsid w:val="008C00E8"/>
    <w:rsid w:val="008C020F"/>
    <w:rsid w:val="008C0756"/>
    <w:rsid w:val="008C0B8F"/>
    <w:rsid w:val="008C1B3A"/>
    <w:rsid w:val="008C1C49"/>
    <w:rsid w:val="008C2825"/>
    <w:rsid w:val="008C2AE3"/>
    <w:rsid w:val="008C303B"/>
    <w:rsid w:val="008C3915"/>
    <w:rsid w:val="008C4E14"/>
    <w:rsid w:val="008C5096"/>
    <w:rsid w:val="008C5AC3"/>
    <w:rsid w:val="008C67D2"/>
    <w:rsid w:val="008C6A1A"/>
    <w:rsid w:val="008C741F"/>
    <w:rsid w:val="008C786D"/>
    <w:rsid w:val="008C7AC2"/>
    <w:rsid w:val="008C7B44"/>
    <w:rsid w:val="008C7BDE"/>
    <w:rsid w:val="008D01DE"/>
    <w:rsid w:val="008D032E"/>
    <w:rsid w:val="008D187B"/>
    <w:rsid w:val="008D19E2"/>
    <w:rsid w:val="008D1ABA"/>
    <w:rsid w:val="008D1CB4"/>
    <w:rsid w:val="008D226A"/>
    <w:rsid w:val="008D26BB"/>
    <w:rsid w:val="008D3632"/>
    <w:rsid w:val="008D3836"/>
    <w:rsid w:val="008D4AC1"/>
    <w:rsid w:val="008D5466"/>
    <w:rsid w:val="008D551A"/>
    <w:rsid w:val="008D5863"/>
    <w:rsid w:val="008D667C"/>
    <w:rsid w:val="008D6E0D"/>
    <w:rsid w:val="008D73D5"/>
    <w:rsid w:val="008D7A5B"/>
    <w:rsid w:val="008E0107"/>
    <w:rsid w:val="008E08CB"/>
    <w:rsid w:val="008E08FD"/>
    <w:rsid w:val="008E0963"/>
    <w:rsid w:val="008E0E6F"/>
    <w:rsid w:val="008E13C6"/>
    <w:rsid w:val="008E25E4"/>
    <w:rsid w:val="008E2C65"/>
    <w:rsid w:val="008E2CDA"/>
    <w:rsid w:val="008E396B"/>
    <w:rsid w:val="008E4F3E"/>
    <w:rsid w:val="008E634E"/>
    <w:rsid w:val="008E63D0"/>
    <w:rsid w:val="008E6653"/>
    <w:rsid w:val="008E68AB"/>
    <w:rsid w:val="008E6AC3"/>
    <w:rsid w:val="008E6BB9"/>
    <w:rsid w:val="008E7648"/>
    <w:rsid w:val="008E7750"/>
    <w:rsid w:val="008E79B6"/>
    <w:rsid w:val="008E7D9A"/>
    <w:rsid w:val="008E7F8A"/>
    <w:rsid w:val="008F01B6"/>
    <w:rsid w:val="008F03D3"/>
    <w:rsid w:val="008F0473"/>
    <w:rsid w:val="008F058E"/>
    <w:rsid w:val="008F10FF"/>
    <w:rsid w:val="008F18DA"/>
    <w:rsid w:val="008F2063"/>
    <w:rsid w:val="008F20DB"/>
    <w:rsid w:val="008F22A3"/>
    <w:rsid w:val="008F23D5"/>
    <w:rsid w:val="008F3499"/>
    <w:rsid w:val="008F3BB9"/>
    <w:rsid w:val="008F3E5D"/>
    <w:rsid w:val="008F44D7"/>
    <w:rsid w:val="008F485C"/>
    <w:rsid w:val="008F48D2"/>
    <w:rsid w:val="008F4FB9"/>
    <w:rsid w:val="008F5D24"/>
    <w:rsid w:val="008F616C"/>
    <w:rsid w:val="008F67E1"/>
    <w:rsid w:val="008F6CE6"/>
    <w:rsid w:val="008F6E29"/>
    <w:rsid w:val="008F6F76"/>
    <w:rsid w:val="008F727E"/>
    <w:rsid w:val="008F7F9C"/>
    <w:rsid w:val="0090028C"/>
    <w:rsid w:val="00900AEF"/>
    <w:rsid w:val="00900C63"/>
    <w:rsid w:val="0090177F"/>
    <w:rsid w:val="00901C03"/>
    <w:rsid w:val="00901DC7"/>
    <w:rsid w:val="00902335"/>
    <w:rsid w:val="009025E6"/>
    <w:rsid w:val="00902F36"/>
    <w:rsid w:val="00903C45"/>
    <w:rsid w:val="00903DAD"/>
    <w:rsid w:val="00903F55"/>
    <w:rsid w:val="00904201"/>
    <w:rsid w:val="00905329"/>
    <w:rsid w:val="0090643B"/>
    <w:rsid w:val="00906543"/>
    <w:rsid w:val="00906A82"/>
    <w:rsid w:val="00906B10"/>
    <w:rsid w:val="00906D89"/>
    <w:rsid w:val="00910032"/>
    <w:rsid w:val="009101E3"/>
    <w:rsid w:val="00910DED"/>
    <w:rsid w:val="00911423"/>
    <w:rsid w:val="00911C09"/>
    <w:rsid w:val="00912084"/>
    <w:rsid w:val="0091269D"/>
    <w:rsid w:val="009126DB"/>
    <w:rsid w:val="00913166"/>
    <w:rsid w:val="00913512"/>
    <w:rsid w:val="0091388C"/>
    <w:rsid w:val="00913D47"/>
    <w:rsid w:val="00913DD6"/>
    <w:rsid w:val="00913FB5"/>
    <w:rsid w:val="00914741"/>
    <w:rsid w:val="00915475"/>
    <w:rsid w:val="00916A38"/>
    <w:rsid w:val="00916B5B"/>
    <w:rsid w:val="009170A6"/>
    <w:rsid w:val="009178A8"/>
    <w:rsid w:val="00920044"/>
    <w:rsid w:val="009207CE"/>
    <w:rsid w:val="00920DB0"/>
    <w:rsid w:val="00920FB6"/>
    <w:rsid w:val="00921078"/>
    <w:rsid w:val="00921836"/>
    <w:rsid w:val="00921CE0"/>
    <w:rsid w:val="00921F5F"/>
    <w:rsid w:val="00922626"/>
    <w:rsid w:val="00922A04"/>
    <w:rsid w:val="00923F5D"/>
    <w:rsid w:val="00923F68"/>
    <w:rsid w:val="0092401E"/>
    <w:rsid w:val="00930184"/>
    <w:rsid w:val="00931B43"/>
    <w:rsid w:val="009329AB"/>
    <w:rsid w:val="00932B23"/>
    <w:rsid w:val="009335B5"/>
    <w:rsid w:val="009339C2"/>
    <w:rsid w:val="009345E7"/>
    <w:rsid w:val="00935156"/>
    <w:rsid w:val="0093539A"/>
    <w:rsid w:val="00935497"/>
    <w:rsid w:val="0093551C"/>
    <w:rsid w:val="00935A22"/>
    <w:rsid w:val="00935A4E"/>
    <w:rsid w:val="00935BEA"/>
    <w:rsid w:val="009365F5"/>
    <w:rsid w:val="00940E82"/>
    <w:rsid w:val="009412D9"/>
    <w:rsid w:val="009413B4"/>
    <w:rsid w:val="009418FC"/>
    <w:rsid w:val="00941FA1"/>
    <w:rsid w:val="00942177"/>
    <w:rsid w:val="009421AB"/>
    <w:rsid w:val="00942248"/>
    <w:rsid w:val="0094273B"/>
    <w:rsid w:val="00943682"/>
    <w:rsid w:val="00943FFF"/>
    <w:rsid w:val="00944329"/>
    <w:rsid w:val="009454B6"/>
    <w:rsid w:val="0094584D"/>
    <w:rsid w:val="00945EB7"/>
    <w:rsid w:val="0094647E"/>
    <w:rsid w:val="00947A5A"/>
    <w:rsid w:val="00947DE7"/>
    <w:rsid w:val="009507C1"/>
    <w:rsid w:val="0095095C"/>
    <w:rsid w:val="00950B24"/>
    <w:rsid w:val="0095158B"/>
    <w:rsid w:val="00951826"/>
    <w:rsid w:val="00951A2B"/>
    <w:rsid w:val="00951BE5"/>
    <w:rsid w:val="009522B1"/>
    <w:rsid w:val="00952BD9"/>
    <w:rsid w:val="00953289"/>
    <w:rsid w:val="0095384A"/>
    <w:rsid w:val="00953946"/>
    <w:rsid w:val="009548F5"/>
    <w:rsid w:val="00954A49"/>
    <w:rsid w:val="009555F5"/>
    <w:rsid w:val="00955ABA"/>
    <w:rsid w:val="009565CF"/>
    <w:rsid w:val="00956CC4"/>
    <w:rsid w:val="009570E4"/>
    <w:rsid w:val="00957BEB"/>
    <w:rsid w:val="00957C0A"/>
    <w:rsid w:val="0096008B"/>
    <w:rsid w:val="009601AF"/>
    <w:rsid w:val="009601B1"/>
    <w:rsid w:val="0096030A"/>
    <w:rsid w:val="0096070D"/>
    <w:rsid w:val="0096114C"/>
    <w:rsid w:val="0096199A"/>
    <w:rsid w:val="00962565"/>
    <w:rsid w:val="00962B5C"/>
    <w:rsid w:val="00963192"/>
    <w:rsid w:val="00963405"/>
    <w:rsid w:val="00963824"/>
    <w:rsid w:val="00964062"/>
    <w:rsid w:val="009645E0"/>
    <w:rsid w:val="0096489E"/>
    <w:rsid w:val="00964BD3"/>
    <w:rsid w:val="00966CFC"/>
    <w:rsid w:val="00967A8A"/>
    <w:rsid w:val="00967C01"/>
    <w:rsid w:val="00967EFC"/>
    <w:rsid w:val="00971616"/>
    <w:rsid w:val="009719C4"/>
    <w:rsid w:val="00972801"/>
    <w:rsid w:val="00972E82"/>
    <w:rsid w:val="009730CA"/>
    <w:rsid w:val="0097352C"/>
    <w:rsid w:val="009749BB"/>
    <w:rsid w:val="00975B26"/>
    <w:rsid w:val="00975BBE"/>
    <w:rsid w:val="00975E17"/>
    <w:rsid w:val="00975F1F"/>
    <w:rsid w:val="00976438"/>
    <w:rsid w:val="00977170"/>
    <w:rsid w:val="00977306"/>
    <w:rsid w:val="0097736D"/>
    <w:rsid w:val="00977887"/>
    <w:rsid w:val="0098099B"/>
    <w:rsid w:val="0098152C"/>
    <w:rsid w:val="00981B78"/>
    <w:rsid w:val="00981E25"/>
    <w:rsid w:val="00981E3C"/>
    <w:rsid w:val="009828BC"/>
    <w:rsid w:val="009829C1"/>
    <w:rsid w:val="009829C4"/>
    <w:rsid w:val="0098338C"/>
    <w:rsid w:val="009833D9"/>
    <w:rsid w:val="0098347C"/>
    <w:rsid w:val="00983AC3"/>
    <w:rsid w:val="00983B97"/>
    <w:rsid w:val="00983CB9"/>
    <w:rsid w:val="00983F56"/>
    <w:rsid w:val="00984224"/>
    <w:rsid w:val="009843A3"/>
    <w:rsid w:val="0098559E"/>
    <w:rsid w:val="00985840"/>
    <w:rsid w:val="009859CB"/>
    <w:rsid w:val="00985DF4"/>
    <w:rsid w:val="00986A16"/>
    <w:rsid w:val="00986E0C"/>
    <w:rsid w:val="00987E8C"/>
    <w:rsid w:val="009907C5"/>
    <w:rsid w:val="00990D27"/>
    <w:rsid w:val="00991F0F"/>
    <w:rsid w:val="00991F5B"/>
    <w:rsid w:val="00992174"/>
    <w:rsid w:val="00992954"/>
    <w:rsid w:val="00992F50"/>
    <w:rsid w:val="00993A22"/>
    <w:rsid w:val="00993DCA"/>
    <w:rsid w:val="00993F2D"/>
    <w:rsid w:val="009944B9"/>
    <w:rsid w:val="00996464"/>
    <w:rsid w:val="0099698B"/>
    <w:rsid w:val="00996F80"/>
    <w:rsid w:val="009971ED"/>
    <w:rsid w:val="009976E8"/>
    <w:rsid w:val="0099788D"/>
    <w:rsid w:val="00997AEF"/>
    <w:rsid w:val="009A08EA"/>
    <w:rsid w:val="009A0DF1"/>
    <w:rsid w:val="009A1250"/>
    <w:rsid w:val="009A1E92"/>
    <w:rsid w:val="009A1FA5"/>
    <w:rsid w:val="009A2F72"/>
    <w:rsid w:val="009A358A"/>
    <w:rsid w:val="009A3F7B"/>
    <w:rsid w:val="009A4F06"/>
    <w:rsid w:val="009A5C04"/>
    <w:rsid w:val="009A6793"/>
    <w:rsid w:val="009A68C3"/>
    <w:rsid w:val="009A6A64"/>
    <w:rsid w:val="009A7365"/>
    <w:rsid w:val="009A73CB"/>
    <w:rsid w:val="009A7B1A"/>
    <w:rsid w:val="009A7D0E"/>
    <w:rsid w:val="009B0093"/>
    <w:rsid w:val="009B0609"/>
    <w:rsid w:val="009B072B"/>
    <w:rsid w:val="009B0B59"/>
    <w:rsid w:val="009B0F47"/>
    <w:rsid w:val="009B121A"/>
    <w:rsid w:val="009B163A"/>
    <w:rsid w:val="009B1C8E"/>
    <w:rsid w:val="009B1FE9"/>
    <w:rsid w:val="009B2618"/>
    <w:rsid w:val="009B2D31"/>
    <w:rsid w:val="009B2E5D"/>
    <w:rsid w:val="009B2FE8"/>
    <w:rsid w:val="009B3343"/>
    <w:rsid w:val="009B349C"/>
    <w:rsid w:val="009B34B0"/>
    <w:rsid w:val="009B3A96"/>
    <w:rsid w:val="009B3CAF"/>
    <w:rsid w:val="009B4E05"/>
    <w:rsid w:val="009B4FC7"/>
    <w:rsid w:val="009B5A21"/>
    <w:rsid w:val="009B5B3F"/>
    <w:rsid w:val="009B5F9D"/>
    <w:rsid w:val="009B60A4"/>
    <w:rsid w:val="009B632A"/>
    <w:rsid w:val="009B64AC"/>
    <w:rsid w:val="009B653F"/>
    <w:rsid w:val="009B6939"/>
    <w:rsid w:val="009B69EB"/>
    <w:rsid w:val="009B6E93"/>
    <w:rsid w:val="009B6F01"/>
    <w:rsid w:val="009B6FF8"/>
    <w:rsid w:val="009B7071"/>
    <w:rsid w:val="009B70B8"/>
    <w:rsid w:val="009B7367"/>
    <w:rsid w:val="009B74E9"/>
    <w:rsid w:val="009C06A3"/>
    <w:rsid w:val="009C077C"/>
    <w:rsid w:val="009C0859"/>
    <w:rsid w:val="009C0964"/>
    <w:rsid w:val="009C0A45"/>
    <w:rsid w:val="009C0DE8"/>
    <w:rsid w:val="009C103F"/>
    <w:rsid w:val="009C1440"/>
    <w:rsid w:val="009C1720"/>
    <w:rsid w:val="009C22D6"/>
    <w:rsid w:val="009C2487"/>
    <w:rsid w:val="009C3214"/>
    <w:rsid w:val="009C3343"/>
    <w:rsid w:val="009C33F5"/>
    <w:rsid w:val="009C3497"/>
    <w:rsid w:val="009C35A3"/>
    <w:rsid w:val="009C39DC"/>
    <w:rsid w:val="009C57BD"/>
    <w:rsid w:val="009C57FA"/>
    <w:rsid w:val="009C5929"/>
    <w:rsid w:val="009C5E71"/>
    <w:rsid w:val="009C610B"/>
    <w:rsid w:val="009C6139"/>
    <w:rsid w:val="009C6358"/>
    <w:rsid w:val="009C6591"/>
    <w:rsid w:val="009C68F2"/>
    <w:rsid w:val="009C7C28"/>
    <w:rsid w:val="009D0029"/>
    <w:rsid w:val="009D03D4"/>
    <w:rsid w:val="009D0607"/>
    <w:rsid w:val="009D0964"/>
    <w:rsid w:val="009D09AC"/>
    <w:rsid w:val="009D2191"/>
    <w:rsid w:val="009D281B"/>
    <w:rsid w:val="009D29FB"/>
    <w:rsid w:val="009D2BFF"/>
    <w:rsid w:val="009D37C7"/>
    <w:rsid w:val="009D3A34"/>
    <w:rsid w:val="009D4252"/>
    <w:rsid w:val="009D435D"/>
    <w:rsid w:val="009D4609"/>
    <w:rsid w:val="009D46C6"/>
    <w:rsid w:val="009D4A94"/>
    <w:rsid w:val="009D4BA7"/>
    <w:rsid w:val="009D5561"/>
    <w:rsid w:val="009D5662"/>
    <w:rsid w:val="009D5D2D"/>
    <w:rsid w:val="009D66E8"/>
    <w:rsid w:val="009D7182"/>
    <w:rsid w:val="009D7549"/>
    <w:rsid w:val="009D7A04"/>
    <w:rsid w:val="009E01CA"/>
    <w:rsid w:val="009E0A40"/>
    <w:rsid w:val="009E172F"/>
    <w:rsid w:val="009E1C57"/>
    <w:rsid w:val="009E1DE8"/>
    <w:rsid w:val="009E214C"/>
    <w:rsid w:val="009E2536"/>
    <w:rsid w:val="009E25ED"/>
    <w:rsid w:val="009E2BDD"/>
    <w:rsid w:val="009E2EB0"/>
    <w:rsid w:val="009E392E"/>
    <w:rsid w:val="009E49EB"/>
    <w:rsid w:val="009E5224"/>
    <w:rsid w:val="009E537E"/>
    <w:rsid w:val="009E53ED"/>
    <w:rsid w:val="009E5847"/>
    <w:rsid w:val="009E59E8"/>
    <w:rsid w:val="009E6389"/>
    <w:rsid w:val="009E69A8"/>
    <w:rsid w:val="009E7636"/>
    <w:rsid w:val="009F00A4"/>
    <w:rsid w:val="009F0E27"/>
    <w:rsid w:val="009F122A"/>
    <w:rsid w:val="009F1747"/>
    <w:rsid w:val="009F176E"/>
    <w:rsid w:val="009F1B0B"/>
    <w:rsid w:val="009F1B58"/>
    <w:rsid w:val="009F1EC2"/>
    <w:rsid w:val="009F276F"/>
    <w:rsid w:val="009F2912"/>
    <w:rsid w:val="009F4820"/>
    <w:rsid w:val="009F4A89"/>
    <w:rsid w:val="009F5B3A"/>
    <w:rsid w:val="009F5B45"/>
    <w:rsid w:val="009F6276"/>
    <w:rsid w:val="009F6DF5"/>
    <w:rsid w:val="009F761E"/>
    <w:rsid w:val="009F799E"/>
    <w:rsid w:val="009F7D2A"/>
    <w:rsid w:val="00A000B1"/>
    <w:rsid w:val="00A00247"/>
    <w:rsid w:val="00A006D2"/>
    <w:rsid w:val="00A007CC"/>
    <w:rsid w:val="00A0102D"/>
    <w:rsid w:val="00A015F6"/>
    <w:rsid w:val="00A0257E"/>
    <w:rsid w:val="00A027BB"/>
    <w:rsid w:val="00A02998"/>
    <w:rsid w:val="00A032D9"/>
    <w:rsid w:val="00A039ED"/>
    <w:rsid w:val="00A03C64"/>
    <w:rsid w:val="00A03FF3"/>
    <w:rsid w:val="00A04541"/>
    <w:rsid w:val="00A045DF"/>
    <w:rsid w:val="00A04779"/>
    <w:rsid w:val="00A04FAE"/>
    <w:rsid w:val="00A05647"/>
    <w:rsid w:val="00A057B2"/>
    <w:rsid w:val="00A05BC1"/>
    <w:rsid w:val="00A05D0F"/>
    <w:rsid w:val="00A05E86"/>
    <w:rsid w:val="00A062A3"/>
    <w:rsid w:val="00A063E4"/>
    <w:rsid w:val="00A065D0"/>
    <w:rsid w:val="00A066E7"/>
    <w:rsid w:val="00A06B1D"/>
    <w:rsid w:val="00A06C42"/>
    <w:rsid w:val="00A1018B"/>
    <w:rsid w:val="00A10CB0"/>
    <w:rsid w:val="00A11A30"/>
    <w:rsid w:val="00A11A7E"/>
    <w:rsid w:val="00A1229B"/>
    <w:rsid w:val="00A1348D"/>
    <w:rsid w:val="00A143FD"/>
    <w:rsid w:val="00A14427"/>
    <w:rsid w:val="00A148D5"/>
    <w:rsid w:val="00A15140"/>
    <w:rsid w:val="00A154A2"/>
    <w:rsid w:val="00A161F5"/>
    <w:rsid w:val="00A16BD0"/>
    <w:rsid w:val="00A16C43"/>
    <w:rsid w:val="00A1734A"/>
    <w:rsid w:val="00A17AF4"/>
    <w:rsid w:val="00A207A8"/>
    <w:rsid w:val="00A207BC"/>
    <w:rsid w:val="00A20D26"/>
    <w:rsid w:val="00A2146F"/>
    <w:rsid w:val="00A21572"/>
    <w:rsid w:val="00A218AA"/>
    <w:rsid w:val="00A2197B"/>
    <w:rsid w:val="00A21A6A"/>
    <w:rsid w:val="00A21ED6"/>
    <w:rsid w:val="00A220DC"/>
    <w:rsid w:val="00A22342"/>
    <w:rsid w:val="00A224B1"/>
    <w:rsid w:val="00A232A3"/>
    <w:rsid w:val="00A2331D"/>
    <w:rsid w:val="00A234CC"/>
    <w:rsid w:val="00A23B09"/>
    <w:rsid w:val="00A23BFD"/>
    <w:rsid w:val="00A242C6"/>
    <w:rsid w:val="00A242CA"/>
    <w:rsid w:val="00A24B22"/>
    <w:rsid w:val="00A24B96"/>
    <w:rsid w:val="00A24C3F"/>
    <w:rsid w:val="00A24D73"/>
    <w:rsid w:val="00A25D80"/>
    <w:rsid w:val="00A26016"/>
    <w:rsid w:val="00A261BE"/>
    <w:rsid w:val="00A26758"/>
    <w:rsid w:val="00A26B0D"/>
    <w:rsid w:val="00A26C23"/>
    <w:rsid w:val="00A26DF9"/>
    <w:rsid w:val="00A2779D"/>
    <w:rsid w:val="00A279C8"/>
    <w:rsid w:val="00A27AA8"/>
    <w:rsid w:val="00A3039D"/>
    <w:rsid w:val="00A30BBA"/>
    <w:rsid w:val="00A30BE6"/>
    <w:rsid w:val="00A316CD"/>
    <w:rsid w:val="00A31B3C"/>
    <w:rsid w:val="00A31FE0"/>
    <w:rsid w:val="00A320E7"/>
    <w:rsid w:val="00A32174"/>
    <w:rsid w:val="00A322A3"/>
    <w:rsid w:val="00A324E5"/>
    <w:rsid w:val="00A32566"/>
    <w:rsid w:val="00A32948"/>
    <w:rsid w:val="00A32DCC"/>
    <w:rsid w:val="00A337D8"/>
    <w:rsid w:val="00A339F7"/>
    <w:rsid w:val="00A33C4B"/>
    <w:rsid w:val="00A34B64"/>
    <w:rsid w:val="00A350BF"/>
    <w:rsid w:val="00A353D9"/>
    <w:rsid w:val="00A365D1"/>
    <w:rsid w:val="00A36CC0"/>
    <w:rsid w:val="00A3716B"/>
    <w:rsid w:val="00A37202"/>
    <w:rsid w:val="00A37CEF"/>
    <w:rsid w:val="00A37F47"/>
    <w:rsid w:val="00A404B3"/>
    <w:rsid w:val="00A4086B"/>
    <w:rsid w:val="00A41323"/>
    <w:rsid w:val="00A4181B"/>
    <w:rsid w:val="00A41CF9"/>
    <w:rsid w:val="00A41E85"/>
    <w:rsid w:val="00A41EA3"/>
    <w:rsid w:val="00A41F48"/>
    <w:rsid w:val="00A42092"/>
    <w:rsid w:val="00A420F8"/>
    <w:rsid w:val="00A42700"/>
    <w:rsid w:val="00A42B38"/>
    <w:rsid w:val="00A42F6D"/>
    <w:rsid w:val="00A43128"/>
    <w:rsid w:val="00A4313B"/>
    <w:rsid w:val="00A43BAD"/>
    <w:rsid w:val="00A43C46"/>
    <w:rsid w:val="00A44631"/>
    <w:rsid w:val="00A446E4"/>
    <w:rsid w:val="00A44C5A"/>
    <w:rsid w:val="00A45CA7"/>
    <w:rsid w:val="00A45EE1"/>
    <w:rsid w:val="00A46301"/>
    <w:rsid w:val="00A468A6"/>
    <w:rsid w:val="00A4723F"/>
    <w:rsid w:val="00A479AD"/>
    <w:rsid w:val="00A47D5E"/>
    <w:rsid w:val="00A50FFF"/>
    <w:rsid w:val="00A51B21"/>
    <w:rsid w:val="00A51D53"/>
    <w:rsid w:val="00A528F3"/>
    <w:rsid w:val="00A52909"/>
    <w:rsid w:val="00A52A08"/>
    <w:rsid w:val="00A5398F"/>
    <w:rsid w:val="00A53A56"/>
    <w:rsid w:val="00A53B8B"/>
    <w:rsid w:val="00A53EB7"/>
    <w:rsid w:val="00A5446C"/>
    <w:rsid w:val="00A554B1"/>
    <w:rsid w:val="00A560BB"/>
    <w:rsid w:val="00A5610B"/>
    <w:rsid w:val="00A562CF"/>
    <w:rsid w:val="00A56F6F"/>
    <w:rsid w:val="00A56F86"/>
    <w:rsid w:val="00A57D57"/>
    <w:rsid w:val="00A57FA0"/>
    <w:rsid w:val="00A60147"/>
    <w:rsid w:val="00A604E4"/>
    <w:rsid w:val="00A611C8"/>
    <w:rsid w:val="00A615D1"/>
    <w:rsid w:val="00A62D16"/>
    <w:rsid w:val="00A631B7"/>
    <w:rsid w:val="00A63243"/>
    <w:rsid w:val="00A63C16"/>
    <w:rsid w:val="00A63D06"/>
    <w:rsid w:val="00A6474A"/>
    <w:rsid w:val="00A64FC9"/>
    <w:rsid w:val="00A64FEA"/>
    <w:rsid w:val="00A65D3F"/>
    <w:rsid w:val="00A65DCE"/>
    <w:rsid w:val="00A65E98"/>
    <w:rsid w:val="00A662E3"/>
    <w:rsid w:val="00A6672D"/>
    <w:rsid w:val="00A66C1B"/>
    <w:rsid w:val="00A6774F"/>
    <w:rsid w:val="00A67C4A"/>
    <w:rsid w:val="00A7083E"/>
    <w:rsid w:val="00A70BC6"/>
    <w:rsid w:val="00A70C28"/>
    <w:rsid w:val="00A70CE3"/>
    <w:rsid w:val="00A7199A"/>
    <w:rsid w:val="00A71F93"/>
    <w:rsid w:val="00A721EA"/>
    <w:rsid w:val="00A72381"/>
    <w:rsid w:val="00A72D96"/>
    <w:rsid w:val="00A72EF5"/>
    <w:rsid w:val="00A73C48"/>
    <w:rsid w:val="00A7419B"/>
    <w:rsid w:val="00A7420B"/>
    <w:rsid w:val="00A74440"/>
    <w:rsid w:val="00A745EF"/>
    <w:rsid w:val="00A7478F"/>
    <w:rsid w:val="00A74B8B"/>
    <w:rsid w:val="00A75756"/>
    <w:rsid w:val="00A75F89"/>
    <w:rsid w:val="00A762DD"/>
    <w:rsid w:val="00A77861"/>
    <w:rsid w:val="00A77E9E"/>
    <w:rsid w:val="00A805C7"/>
    <w:rsid w:val="00A814E4"/>
    <w:rsid w:val="00A82812"/>
    <w:rsid w:val="00A83877"/>
    <w:rsid w:val="00A83E90"/>
    <w:rsid w:val="00A83FF1"/>
    <w:rsid w:val="00A84214"/>
    <w:rsid w:val="00A84FDB"/>
    <w:rsid w:val="00A85494"/>
    <w:rsid w:val="00A85C6E"/>
    <w:rsid w:val="00A86315"/>
    <w:rsid w:val="00A8689E"/>
    <w:rsid w:val="00A868D3"/>
    <w:rsid w:val="00A86962"/>
    <w:rsid w:val="00A87312"/>
    <w:rsid w:val="00A873C4"/>
    <w:rsid w:val="00A877C1"/>
    <w:rsid w:val="00A87A78"/>
    <w:rsid w:val="00A87AF7"/>
    <w:rsid w:val="00A87D6A"/>
    <w:rsid w:val="00A9093C"/>
    <w:rsid w:val="00A90975"/>
    <w:rsid w:val="00A90B84"/>
    <w:rsid w:val="00A90D5A"/>
    <w:rsid w:val="00A90FC8"/>
    <w:rsid w:val="00A910C4"/>
    <w:rsid w:val="00A91467"/>
    <w:rsid w:val="00A9257F"/>
    <w:rsid w:val="00A93137"/>
    <w:rsid w:val="00A9330C"/>
    <w:rsid w:val="00A93432"/>
    <w:rsid w:val="00A93CBD"/>
    <w:rsid w:val="00A93CCE"/>
    <w:rsid w:val="00A93D50"/>
    <w:rsid w:val="00A9416B"/>
    <w:rsid w:val="00A94B03"/>
    <w:rsid w:val="00A94FDF"/>
    <w:rsid w:val="00A954C9"/>
    <w:rsid w:val="00A958AF"/>
    <w:rsid w:val="00A95BF7"/>
    <w:rsid w:val="00A96201"/>
    <w:rsid w:val="00A9667C"/>
    <w:rsid w:val="00A96778"/>
    <w:rsid w:val="00A976E2"/>
    <w:rsid w:val="00A979C4"/>
    <w:rsid w:val="00A97B15"/>
    <w:rsid w:val="00AA0255"/>
    <w:rsid w:val="00AA0487"/>
    <w:rsid w:val="00AA14D6"/>
    <w:rsid w:val="00AA1547"/>
    <w:rsid w:val="00AA1867"/>
    <w:rsid w:val="00AA1C45"/>
    <w:rsid w:val="00AA1CA7"/>
    <w:rsid w:val="00AA1D55"/>
    <w:rsid w:val="00AA2152"/>
    <w:rsid w:val="00AA2193"/>
    <w:rsid w:val="00AA2B60"/>
    <w:rsid w:val="00AA3348"/>
    <w:rsid w:val="00AA399C"/>
    <w:rsid w:val="00AA43C8"/>
    <w:rsid w:val="00AA43FA"/>
    <w:rsid w:val="00AA4974"/>
    <w:rsid w:val="00AA49ED"/>
    <w:rsid w:val="00AA4B3F"/>
    <w:rsid w:val="00AA505E"/>
    <w:rsid w:val="00AA5D51"/>
    <w:rsid w:val="00AA5EB9"/>
    <w:rsid w:val="00AA6058"/>
    <w:rsid w:val="00AA6068"/>
    <w:rsid w:val="00AA642E"/>
    <w:rsid w:val="00AA6498"/>
    <w:rsid w:val="00AA65FC"/>
    <w:rsid w:val="00AA6807"/>
    <w:rsid w:val="00AA76AF"/>
    <w:rsid w:val="00AB050F"/>
    <w:rsid w:val="00AB0AA6"/>
    <w:rsid w:val="00AB0F81"/>
    <w:rsid w:val="00AB12AE"/>
    <w:rsid w:val="00AB1496"/>
    <w:rsid w:val="00AB1724"/>
    <w:rsid w:val="00AB210A"/>
    <w:rsid w:val="00AB30EC"/>
    <w:rsid w:val="00AB3D85"/>
    <w:rsid w:val="00AB3F2F"/>
    <w:rsid w:val="00AB3FE8"/>
    <w:rsid w:val="00AB45C8"/>
    <w:rsid w:val="00AB461C"/>
    <w:rsid w:val="00AB4715"/>
    <w:rsid w:val="00AB4A7F"/>
    <w:rsid w:val="00AB5877"/>
    <w:rsid w:val="00AB5B7E"/>
    <w:rsid w:val="00AB5B8F"/>
    <w:rsid w:val="00AB5E98"/>
    <w:rsid w:val="00AB6131"/>
    <w:rsid w:val="00AB6E8E"/>
    <w:rsid w:val="00AB73F5"/>
    <w:rsid w:val="00AB78FF"/>
    <w:rsid w:val="00AB794E"/>
    <w:rsid w:val="00AB7C75"/>
    <w:rsid w:val="00AC04DE"/>
    <w:rsid w:val="00AC0AE9"/>
    <w:rsid w:val="00AC0E3C"/>
    <w:rsid w:val="00AC2776"/>
    <w:rsid w:val="00AC2FB8"/>
    <w:rsid w:val="00AC375B"/>
    <w:rsid w:val="00AC3D28"/>
    <w:rsid w:val="00AC3F8E"/>
    <w:rsid w:val="00AC42A8"/>
    <w:rsid w:val="00AC44A5"/>
    <w:rsid w:val="00AC4559"/>
    <w:rsid w:val="00AC45FC"/>
    <w:rsid w:val="00AC5080"/>
    <w:rsid w:val="00AC5304"/>
    <w:rsid w:val="00AC5EB4"/>
    <w:rsid w:val="00AC61A0"/>
    <w:rsid w:val="00AC66DA"/>
    <w:rsid w:val="00AC66DC"/>
    <w:rsid w:val="00AC6A88"/>
    <w:rsid w:val="00AC74A3"/>
    <w:rsid w:val="00AC7762"/>
    <w:rsid w:val="00AC77B2"/>
    <w:rsid w:val="00AC7A10"/>
    <w:rsid w:val="00AC7B28"/>
    <w:rsid w:val="00AD00B9"/>
    <w:rsid w:val="00AD014D"/>
    <w:rsid w:val="00AD022E"/>
    <w:rsid w:val="00AD0395"/>
    <w:rsid w:val="00AD0424"/>
    <w:rsid w:val="00AD066C"/>
    <w:rsid w:val="00AD0D8D"/>
    <w:rsid w:val="00AD17BB"/>
    <w:rsid w:val="00AD2DE2"/>
    <w:rsid w:val="00AD383E"/>
    <w:rsid w:val="00AD3F79"/>
    <w:rsid w:val="00AD4381"/>
    <w:rsid w:val="00AD4403"/>
    <w:rsid w:val="00AD4C5B"/>
    <w:rsid w:val="00AD4D03"/>
    <w:rsid w:val="00AD4D3F"/>
    <w:rsid w:val="00AD4D81"/>
    <w:rsid w:val="00AD510C"/>
    <w:rsid w:val="00AD53D9"/>
    <w:rsid w:val="00AD57AA"/>
    <w:rsid w:val="00AD5A74"/>
    <w:rsid w:val="00AD5C68"/>
    <w:rsid w:val="00AD6641"/>
    <w:rsid w:val="00AD7418"/>
    <w:rsid w:val="00AD748D"/>
    <w:rsid w:val="00AD7643"/>
    <w:rsid w:val="00AD773A"/>
    <w:rsid w:val="00AD7E80"/>
    <w:rsid w:val="00AE0391"/>
    <w:rsid w:val="00AE0455"/>
    <w:rsid w:val="00AE078F"/>
    <w:rsid w:val="00AE096A"/>
    <w:rsid w:val="00AE0A89"/>
    <w:rsid w:val="00AE0E0E"/>
    <w:rsid w:val="00AE0E97"/>
    <w:rsid w:val="00AE11DF"/>
    <w:rsid w:val="00AE1557"/>
    <w:rsid w:val="00AE1A74"/>
    <w:rsid w:val="00AE1D5A"/>
    <w:rsid w:val="00AE1EBC"/>
    <w:rsid w:val="00AE1F2D"/>
    <w:rsid w:val="00AE383C"/>
    <w:rsid w:val="00AE53EF"/>
    <w:rsid w:val="00AE566E"/>
    <w:rsid w:val="00AE573A"/>
    <w:rsid w:val="00AE5A4C"/>
    <w:rsid w:val="00AE5D15"/>
    <w:rsid w:val="00AE5E3E"/>
    <w:rsid w:val="00AE5E9D"/>
    <w:rsid w:val="00AE664F"/>
    <w:rsid w:val="00AE678B"/>
    <w:rsid w:val="00AE6DF5"/>
    <w:rsid w:val="00AE712F"/>
    <w:rsid w:val="00AE7AC7"/>
    <w:rsid w:val="00AE7AE6"/>
    <w:rsid w:val="00AE7FCC"/>
    <w:rsid w:val="00AF0406"/>
    <w:rsid w:val="00AF094D"/>
    <w:rsid w:val="00AF0BCF"/>
    <w:rsid w:val="00AF0DE5"/>
    <w:rsid w:val="00AF16DF"/>
    <w:rsid w:val="00AF171F"/>
    <w:rsid w:val="00AF23DA"/>
    <w:rsid w:val="00AF25A9"/>
    <w:rsid w:val="00AF2768"/>
    <w:rsid w:val="00AF2F4F"/>
    <w:rsid w:val="00AF2F6F"/>
    <w:rsid w:val="00AF3069"/>
    <w:rsid w:val="00AF36A9"/>
    <w:rsid w:val="00AF3BE8"/>
    <w:rsid w:val="00AF3DC8"/>
    <w:rsid w:val="00AF3F9E"/>
    <w:rsid w:val="00AF469F"/>
    <w:rsid w:val="00AF53EE"/>
    <w:rsid w:val="00AF5996"/>
    <w:rsid w:val="00AF6E2E"/>
    <w:rsid w:val="00AF7320"/>
    <w:rsid w:val="00AF7F4B"/>
    <w:rsid w:val="00AF7F7A"/>
    <w:rsid w:val="00B0052D"/>
    <w:rsid w:val="00B017EB"/>
    <w:rsid w:val="00B01D87"/>
    <w:rsid w:val="00B022EA"/>
    <w:rsid w:val="00B02301"/>
    <w:rsid w:val="00B02AED"/>
    <w:rsid w:val="00B02BCA"/>
    <w:rsid w:val="00B02F7E"/>
    <w:rsid w:val="00B02FF4"/>
    <w:rsid w:val="00B03CA3"/>
    <w:rsid w:val="00B03DCC"/>
    <w:rsid w:val="00B03E33"/>
    <w:rsid w:val="00B040A1"/>
    <w:rsid w:val="00B05CE2"/>
    <w:rsid w:val="00B06308"/>
    <w:rsid w:val="00B06A9E"/>
    <w:rsid w:val="00B10C11"/>
    <w:rsid w:val="00B12485"/>
    <w:rsid w:val="00B124B8"/>
    <w:rsid w:val="00B12526"/>
    <w:rsid w:val="00B12854"/>
    <w:rsid w:val="00B136D1"/>
    <w:rsid w:val="00B142F2"/>
    <w:rsid w:val="00B149AA"/>
    <w:rsid w:val="00B14BB4"/>
    <w:rsid w:val="00B1573F"/>
    <w:rsid w:val="00B159D7"/>
    <w:rsid w:val="00B1627C"/>
    <w:rsid w:val="00B165F2"/>
    <w:rsid w:val="00B16DA9"/>
    <w:rsid w:val="00B17A4A"/>
    <w:rsid w:val="00B17D48"/>
    <w:rsid w:val="00B20610"/>
    <w:rsid w:val="00B214D1"/>
    <w:rsid w:val="00B2269A"/>
    <w:rsid w:val="00B229EA"/>
    <w:rsid w:val="00B22EAC"/>
    <w:rsid w:val="00B23107"/>
    <w:rsid w:val="00B23E81"/>
    <w:rsid w:val="00B245AF"/>
    <w:rsid w:val="00B24669"/>
    <w:rsid w:val="00B24D6D"/>
    <w:rsid w:val="00B24FA7"/>
    <w:rsid w:val="00B25115"/>
    <w:rsid w:val="00B25A06"/>
    <w:rsid w:val="00B26627"/>
    <w:rsid w:val="00B26908"/>
    <w:rsid w:val="00B26E2E"/>
    <w:rsid w:val="00B26FB2"/>
    <w:rsid w:val="00B2722B"/>
    <w:rsid w:val="00B27683"/>
    <w:rsid w:val="00B279E0"/>
    <w:rsid w:val="00B300D7"/>
    <w:rsid w:val="00B3015B"/>
    <w:rsid w:val="00B302E8"/>
    <w:rsid w:val="00B3044A"/>
    <w:rsid w:val="00B3085A"/>
    <w:rsid w:val="00B30923"/>
    <w:rsid w:val="00B30AD2"/>
    <w:rsid w:val="00B30CC3"/>
    <w:rsid w:val="00B30CD1"/>
    <w:rsid w:val="00B318A6"/>
    <w:rsid w:val="00B31A89"/>
    <w:rsid w:val="00B31CDA"/>
    <w:rsid w:val="00B3249D"/>
    <w:rsid w:val="00B32502"/>
    <w:rsid w:val="00B3321C"/>
    <w:rsid w:val="00B332D3"/>
    <w:rsid w:val="00B334A8"/>
    <w:rsid w:val="00B33A13"/>
    <w:rsid w:val="00B33AA9"/>
    <w:rsid w:val="00B34284"/>
    <w:rsid w:val="00B3448E"/>
    <w:rsid w:val="00B349AF"/>
    <w:rsid w:val="00B35B65"/>
    <w:rsid w:val="00B36116"/>
    <w:rsid w:val="00B362D6"/>
    <w:rsid w:val="00B36C41"/>
    <w:rsid w:val="00B37181"/>
    <w:rsid w:val="00B37E6E"/>
    <w:rsid w:val="00B4094D"/>
    <w:rsid w:val="00B40EBC"/>
    <w:rsid w:val="00B414D8"/>
    <w:rsid w:val="00B418E5"/>
    <w:rsid w:val="00B41C44"/>
    <w:rsid w:val="00B4205A"/>
    <w:rsid w:val="00B42533"/>
    <w:rsid w:val="00B42B29"/>
    <w:rsid w:val="00B43070"/>
    <w:rsid w:val="00B43452"/>
    <w:rsid w:val="00B435CA"/>
    <w:rsid w:val="00B439E5"/>
    <w:rsid w:val="00B43D10"/>
    <w:rsid w:val="00B44B07"/>
    <w:rsid w:val="00B457E5"/>
    <w:rsid w:val="00B45833"/>
    <w:rsid w:val="00B45E8F"/>
    <w:rsid w:val="00B46098"/>
    <w:rsid w:val="00B460B7"/>
    <w:rsid w:val="00B46127"/>
    <w:rsid w:val="00B46BB1"/>
    <w:rsid w:val="00B46C37"/>
    <w:rsid w:val="00B472A6"/>
    <w:rsid w:val="00B50A04"/>
    <w:rsid w:val="00B50E81"/>
    <w:rsid w:val="00B50F4D"/>
    <w:rsid w:val="00B510AD"/>
    <w:rsid w:val="00B51294"/>
    <w:rsid w:val="00B51B00"/>
    <w:rsid w:val="00B51E3E"/>
    <w:rsid w:val="00B520B1"/>
    <w:rsid w:val="00B52A83"/>
    <w:rsid w:val="00B537C4"/>
    <w:rsid w:val="00B5383A"/>
    <w:rsid w:val="00B541C9"/>
    <w:rsid w:val="00B54383"/>
    <w:rsid w:val="00B546D4"/>
    <w:rsid w:val="00B54DB3"/>
    <w:rsid w:val="00B55344"/>
    <w:rsid w:val="00B55DD5"/>
    <w:rsid w:val="00B55F6E"/>
    <w:rsid w:val="00B56655"/>
    <w:rsid w:val="00B56C34"/>
    <w:rsid w:val="00B56EBB"/>
    <w:rsid w:val="00B571DD"/>
    <w:rsid w:val="00B57724"/>
    <w:rsid w:val="00B57991"/>
    <w:rsid w:val="00B57A82"/>
    <w:rsid w:val="00B57E25"/>
    <w:rsid w:val="00B604D8"/>
    <w:rsid w:val="00B60565"/>
    <w:rsid w:val="00B61FCE"/>
    <w:rsid w:val="00B621B3"/>
    <w:rsid w:val="00B622C7"/>
    <w:rsid w:val="00B626DF"/>
    <w:rsid w:val="00B62764"/>
    <w:rsid w:val="00B62BCC"/>
    <w:rsid w:val="00B62DE1"/>
    <w:rsid w:val="00B630D1"/>
    <w:rsid w:val="00B63284"/>
    <w:rsid w:val="00B635F6"/>
    <w:rsid w:val="00B63749"/>
    <w:rsid w:val="00B63D63"/>
    <w:rsid w:val="00B63E90"/>
    <w:rsid w:val="00B64B24"/>
    <w:rsid w:val="00B65A7D"/>
    <w:rsid w:val="00B6698A"/>
    <w:rsid w:val="00B669D9"/>
    <w:rsid w:val="00B66B10"/>
    <w:rsid w:val="00B66EFE"/>
    <w:rsid w:val="00B674C3"/>
    <w:rsid w:val="00B6757D"/>
    <w:rsid w:val="00B708E2"/>
    <w:rsid w:val="00B70943"/>
    <w:rsid w:val="00B70C35"/>
    <w:rsid w:val="00B70E9D"/>
    <w:rsid w:val="00B70F58"/>
    <w:rsid w:val="00B70FD3"/>
    <w:rsid w:val="00B71371"/>
    <w:rsid w:val="00B7159F"/>
    <w:rsid w:val="00B71766"/>
    <w:rsid w:val="00B71DE0"/>
    <w:rsid w:val="00B71FFF"/>
    <w:rsid w:val="00B738D0"/>
    <w:rsid w:val="00B73DDF"/>
    <w:rsid w:val="00B7403E"/>
    <w:rsid w:val="00B740A5"/>
    <w:rsid w:val="00B74479"/>
    <w:rsid w:val="00B74A5C"/>
    <w:rsid w:val="00B74BDB"/>
    <w:rsid w:val="00B758E8"/>
    <w:rsid w:val="00B75F1B"/>
    <w:rsid w:val="00B76548"/>
    <w:rsid w:val="00B76A57"/>
    <w:rsid w:val="00B770DD"/>
    <w:rsid w:val="00B77D7B"/>
    <w:rsid w:val="00B80BF4"/>
    <w:rsid w:val="00B81098"/>
    <w:rsid w:val="00B816E7"/>
    <w:rsid w:val="00B81DCD"/>
    <w:rsid w:val="00B81DEE"/>
    <w:rsid w:val="00B81E4A"/>
    <w:rsid w:val="00B8225B"/>
    <w:rsid w:val="00B8267A"/>
    <w:rsid w:val="00B82789"/>
    <w:rsid w:val="00B839E8"/>
    <w:rsid w:val="00B84324"/>
    <w:rsid w:val="00B8475E"/>
    <w:rsid w:val="00B84762"/>
    <w:rsid w:val="00B851A2"/>
    <w:rsid w:val="00B85463"/>
    <w:rsid w:val="00B86687"/>
    <w:rsid w:val="00B87887"/>
    <w:rsid w:val="00B903EB"/>
    <w:rsid w:val="00B908FF"/>
    <w:rsid w:val="00B90AC1"/>
    <w:rsid w:val="00B90E13"/>
    <w:rsid w:val="00B91E63"/>
    <w:rsid w:val="00B9280A"/>
    <w:rsid w:val="00B92D38"/>
    <w:rsid w:val="00B93166"/>
    <w:rsid w:val="00B93BA8"/>
    <w:rsid w:val="00B93EF9"/>
    <w:rsid w:val="00B940D3"/>
    <w:rsid w:val="00B942CA"/>
    <w:rsid w:val="00B94567"/>
    <w:rsid w:val="00B948FE"/>
    <w:rsid w:val="00B958B3"/>
    <w:rsid w:val="00B95955"/>
    <w:rsid w:val="00B95CB4"/>
    <w:rsid w:val="00B965B1"/>
    <w:rsid w:val="00B96B50"/>
    <w:rsid w:val="00B9786B"/>
    <w:rsid w:val="00B97C5A"/>
    <w:rsid w:val="00B97D81"/>
    <w:rsid w:val="00B97F0A"/>
    <w:rsid w:val="00BA03C3"/>
    <w:rsid w:val="00BA081E"/>
    <w:rsid w:val="00BA086E"/>
    <w:rsid w:val="00BA088B"/>
    <w:rsid w:val="00BA0963"/>
    <w:rsid w:val="00BA1479"/>
    <w:rsid w:val="00BA1C36"/>
    <w:rsid w:val="00BA1CCE"/>
    <w:rsid w:val="00BA2233"/>
    <w:rsid w:val="00BA2855"/>
    <w:rsid w:val="00BA372E"/>
    <w:rsid w:val="00BA377D"/>
    <w:rsid w:val="00BA393B"/>
    <w:rsid w:val="00BA437B"/>
    <w:rsid w:val="00BA491D"/>
    <w:rsid w:val="00BA4E07"/>
    <w:rsid w:val="00BA4E27"/>
    <w:rsid w:val="00BA50E2"/>
    <w:rsid w:val="00BA5931"/>
    <w:rsid w:val="00BA6334"/>
    <w:rsid w:val="00BA6F49"/>
    <w:rsid w:val="00BA7131"/>
    <w:rsid w:val="00BA7394"/>
    <w:rsid w:val="00BA7E91"/>
    <w:rsid w:val="00BA7FC6"/>
    <w:rsid w:val="00BB04B1"/>
    <w:rsid w:val="00BB1263"/>
    <w:rsid w:val="00BB15AE"/>
    <w:rsid w:val="00BB1801"/>
    <w:rsid w:val="00BB18BA"/>
    <w:rsid w:val="00BB1A94"/>
    <w:rsid w:val="00BB1E30"/>
    <w:rsid w:val="00BB22EE"/>
    <w:rsid w:val="00BB24F6"/>
    <w:rsid w:val="00BB26BB"/>
    <w:rsid w:val="00BB2987"/>
    <w:rsid w:val="00BB2DAB"/>
    <w:rsid w:val="00BB3130"/>
    <w:rsid w:val="00BB383E"/>
    <w:rsid w:val="00BB38D5"/>
    <w:rsid w:val="00BB3A9D"/>
    <w:rsid w:val="00BB3E8B"/>
    <w:rsid w:val="00BB4B1A"/>
    <w:rsid w:val="00BB4C11"/>
    <w:rsid w:val="00BB571B"/>
    <w:rsid w:val="00BB5779"/>
    <w:rsid w:val="00BB5848"/>
    <w:rsid w:val="00BB5BA0"/>
    <w:rsid w:val="00BB777A"/>
    <w:rsid w:val="00BB77D6"/>
    <w:rsid w:val="00BB7938"/>
    <w:rsid w:val="00BC0340"/>
    <w:rsid w:val="00BC17D2"/>
    <w:rsid w:val="00BC1C64"/>
    <w:rsid w:val="00BC1FFF"/>
    <w:rsid w:val="00BC244C"/>
    <w:rsid w:val="00BC25FE"/>
    <w:rsid w:val="00BC2688"/>
    <w:rsid w:val="00BC2AE4"/>
    <w:rsid w:val="00BC2F85"/>
    <w:rsid w:val="00BC32F4"/>
    <w:rsid w:val="00BC4134"/>
    <w:rsid w:val="00BC4264"/>
    <w:rsid w:val="00BC4A24"/>
    <w:rsid w:val="00BC4A5B"/>
    <w:rsid w:val="00BC5252"/>
    <w:rsid w:val="00BC5651"/>
    <w:rsid w:val="00BC5683"/>
    <w:rsid w:val="00BC5D05"/>
    <w:rsid w:val="00BC618C"/>
    <w:rsid w:val="00BC627E"/>
    <w:rsid w:val="00BC707F"/>
    <w:rsid w:val="00BC70B4"/>
    <w:rsid w:val="00BC7235"/>
    <w:rsid w:val="00BC7EFC"/>
    <w:rsid w:val="00BD04B8"/>
    <w:rsid w:val="00BD05BB"/>
    <w:rsid w:val="00BD0731"/>
    <w:rsid w:val="00BD0E35"/>
    <w:rsid w:val="00BD10DC"/>
    <w:rsid w:val="00BD1D3B"/>
    <w:rsid w:val="00BD1DBF"/>
    <w:rsid w:val="00BD2730"/>
    <w:rsid w:val="00BD3BEF"/>
    <w:rsid w:val="00BD3C0A"/>
    <w:rsid w:val="00BD416A"/>
    <w:rsid w:val="00BD4616"/>
    <w:rsid w:val="00BD4D0F"/>
    <w:rsid w:val="00BD4F6F"/>
    <w:rsid w:val="00BD5170"/>
    <w:rsid w:val="00BD52FD"/>
    <w:rsid w:val="00BD564E"/>
    <w:rsid w:val="00BD581F"/>
    <w:rsid w:val="00BD61C4"/>
    <w:rsid w:val="00BD623B"/>
    <w:rsid w:val="00BD6556"/>
    <w:rsid w:val="00BD671C"/>
    <w:rsid w:val="00BD6FAA"/>
    <w:rsid w:val="00BD7274"/>
    <w:rsid w:val="00BD7979"/>
    <w:rsid w:val="00BE0433"/>
    <w:rsid w:val="00BE0ADD"/>
    <w:rsid w:val="00BE0D6C"/>
    <w:rsid w:val="00BE11B6"/>
    <w:rsid w:val="00BE1967"/>
    <w:rsid w:val="00BE1EFA"/>
    <w:rsid w:val="00BE2012"/>
    <w:rsid w:val="00BE2024"/>
    <w:rsid w:val="00BE2909"/>
    <w:rsid w:val="00BE3C2B"/>
    <w:rsid w:val="00BE4482"/>
    <w:rsid w:val="00BE4891"/>
    <w:rsid w:val="00BE49CB"/>
    <w:rsid w:val="00BE4C9B"/>
    <w:rsid w:val="00BE5347"/>
    <w:rsid w:val="00BE590D"/>
    <w:rsid w:val="00BE5972"/>
    <w:rsid w:val="00BE64BD"/>
    <w:rsid w:val="00BE65E2"/>
    <w:rsid w:val="00BE6E6A"/>
    <w:rsid w:val="00BE704A"/>
    <w:rsid w:val="00BE740C"/>
    <w:rsid w:val="00BE79A5"/>
    <w:rsid w:val="00BE7C3E"/>
    <w:rsid w:val="00BF0620"/>
    <w:rsid w:val="00BF0628"/>
    <w:rsid w:val="00BF0CAE"/>
    <w:rsid w:val="00BF0EE0"/>
    <w:rsid w:val="00BF15B8"/>
    <w:rsid w:val="00BF1854"/>
    <w:rsid w:val="00BF1BE5"/>
    <w:rsid w:val="00BF289C"/>
    <w:rsid w:val="00BF2B2B"/>
    <w:rsid w:val="00BF2E66"/>
    <w:rsid w:val="00BF2F06"/>
    <w:rsid w:val="00BF3BFC"/>
    <w:rsid w:val="00BF3D5C"/>
    <w:rsid w:val="00BF4195"/>
    <w:rsid w:val="00BF41BB"/>
    <w:rsid w:val="00BF4E9D"/>
    <w:rsid w:val="00BF4F19"/>
    <w:rsid w:val="00BF5124"/>
    <w:rsid w:val="00BF534C"/>
    <w:rsid w:val="00BF5504"/>
    <w:rsid w:val="00BF5645"/>
    <w:rsid w:val="00BF5962"/>
    <w:rsid w:val="00BF59E3"/>
    <w:rsid w:val="00BF5F2A"/>
    <w:rsid w:val="00BF69C9"/>
    <w:rsid w:val="00BF70D5"/>
    <w:rsid w:val="00BF74D5"/>
    <w:rsid w:val="00C00DB7"/>
    <w:rsid w:val="00C01050"/>
    <w:rsid w:val="00C016AC"/>
    <w:rsid w:val="00C01EDF"/>
    <w:rsid w:val="00C0203B"/>
    <w:rsid w:val="00C020F1"/>
    <w:rsid w:val="00C02563"/>
    <w:rsid w:val="00C03FD8"/>
    <w:rsid w:val="00C04271"/>
    <w:rsid w:val="00C04AFE"/>
    <w:rsid w:val="00C05310"/>
    <w:rsid w:val="00C0664F"/>
    <w:rsid w:val="00C06802"/>
    <w:rsid w:val="00C07271"/>
    <w:rsid w:val="00C1027C"/>
    <w:rsid w:val="00C10746"/>
    <w:rsid w:val="00C10952"/>
    <w:rsid w:val="00C10A3C"/>
    <w:rsid w:val="00C11560"/>
    <w:rsid w:val="00C125CC"/>
    <w:rsid w:val="00C128C6"/>
    <w:rsid w:val="00C12EF3"/>
    <w:rsid w:val="00C13032"/>
    <w:rsid w:val="00C1307F"/>
    <w:rsid w:val="00C1399E"/>
    <w:rsid w:val="00C13EFE"/>
    <w:rsid w:val="00C13F36"/>
    <w:rsid w:val="00C14825"/>
    <w:rsid w:val="00C14EFF"/>
    <w:rsid w:val="00C15E8D"/>
    <w:rsid w:val="00C162D0"/>
    <w:rsid w:val="00C175A0"/>
    <w:rsid w:val="00C177A3"/>
    <w:rsid w:val="00C17C34"/>
    <w:rsid w:val="00C17D28"/>
    <w:rsid w:val="00C209E3"/>
    <w:rsid w:val="00C21407"/>
    <w:rsid w:val="00C214A1"/>
    <w:rsid w:val="00C22457"/>
    <w:rsid w:val="00C226D3"/>
    <w:rsid w:val="00C228D6"/>
    <w:rsid w:val="00C22BE8"/>
    <w:rsid w:val="00C2384E"/>
    <w:rsid w:val="00C23E28"/>
    <w:rsid w:val="00C23F7D"/>
    <w:rsid w:val="00C256C0"/>
    <w:rsid w:val="00C25AEB"/>
    <w:rsid w:val="00C26339"/>
    <w:rsid w:val="00C2664B"/>
    <w:rsid w:val="00C2777A"/>
    <w:rsid w:val="00C27AA0"/>
    <w:rsid w:val="00C302B5"/>
    <w:rsid w:val="00C3067A"/>
    <w:rsid w:val="00C30915"/>
    <w:rsid w:val="00C30A7F"/>
    <w:rsid w:val="00C3108E"/>
    <w:rsid w:val="00C31AFA"/>
    <w:rsid w:val="00C32863"/>
    <w:rsid w:val="00C331A5"/>
    <w:rsid w:val="00C33367"/>
    <w:rsid w:val="00C3390B"/>
    <w:rsid w:val="00C33D48"/>
    <w:rsid w:val="00C33DCF"/>
    <w:rsid w:val="00C340BA"/>
    <w:rsid w:val="00C340EA"/>
    <w:rsid w:val="00C3445B"/>
    <w:rsid w:val="00C348E4"/>
    <w:rsid w:val="00C34957"/>
    <w:rsid w:val="00C35171"/>
    <w:rsid w:val="00C3525C"/>
    <w:rsid w:val="00C35604"/>
    <w:rsid w:val="00C37882"/>
    <w:rsid w:val="00C37EA5"/>
    <w:rsid w:val="00C4028F"/>
    <w:rsid w:val="00C40664"/>
    <w:rsid w:val="00C40C4B"/>
    <w:rsid w:val="00C41247"/>
    <w:rsid w:val="00C41CD5"/>
    <w:rsid w:val="00C434AD"/>
    <w:rsid w:val="00C4354B"/>
    <w:rsid w:val="00C464C5"/>
    <w:rsid w:val="00C465D8"/>
    <w:rsid w:val="00C4729C"/>
    <w:rsid w:val="00C47487"/>
    <w:rsid w:val="00C47C32"/>
    <w:rsid w:val="00C508ED"/>
    <w:rsid w:val="00C50A7B"/>
    <w:rsid w:val="00C50ABB"/>
    <w:rsid w:val="00C50C45"/>
    <w:rsid w:val="00C50C93"/>
    <w:rsid w:val="00C50E65"/>
    <w:rsid w:val="00C51167"/>
    <w:rsid w:val="00C51637"/>
    <w:rsid w:val="00C5167B"/>
    <w:rsid w:val="00C51826"/>
    <w:rsid w:val="00C518EB"/>
    <w:rsid w:val="00C51F22"/>
    <w:rsid w:val="00C521DD"/>
    <w:rsid w:val="00C5394B"/>
    <w:rsid w:val="00C539D0"/>
    <w:rsid w:val="00C53DB3"/>
    <w:rsid w:val="00C54627"/>
    <w:rsid w:val="00C5562F"/>
    <w:rsid w:val="00C55649"/>
    <w:rsid w:val="00C55BF7"/>
    <w:rsid w:val="00C561DC"/>
    <w:rsid w:val="00C5643F"/>
    <w:rsid w:val="00C56708"/>
    <w:rsid w:val="00C56C99"/>
    <w:rsid w:val="00C57385"/>
    <w:rsid w:val="00C574EF"/>
    <w:rsid w:val="00C57EDE"/>
    <w:rsid w:val="00C57F59"/>
    <w:rsid w:val="00C60079"/>
    <w:rsid w:val="00C600C0"/>
    <w:rsid w:val="00C6059E"/>
    <w:rsid w:val="00C60757"/>
    <w:rsid w:val="00C610A9"/>
    <w:rsid w:val="00C614BA"/>
    <w:rsid w:val="00C619A4"/>
    <w:rsid w:val="00C61B55"/>
    <w:rsid w:val="00C62615"/>
    <w:rsid w:val="00C62C3D"/>
    <w:rsid w:val="00C63159"/>
    <w:rsid w:val="00C638B5"/>
    <w:rsid w:val="00C64822"/>
    <w:rsid w:val="00C64C0A"/>
    <w:rsid w:val="00C64CD6"/>
    <w:rsid w:val="00C6521B"/>
    <w:rsid w:val="00C6534D"/>
    <w:rsid w:val="00C658B1"/>
    <w:rsid w:val="00C65956"/>
    <w:rsid w:val="00C66C12"/>
    <w:rsid w:val="00C66C5A"/>
    <w:rsid w:val="00C66E78"/>
    <w:rsid w:val="00C67191"/>
    <w:rsid w:val="00C67263"/>
    <w:rsid w:val="00C67442"/>
    <w:rsid w:val="00C67C7B"/>
    <w:rsid w:val="00C704D3"/>
    <w:rsid w:val="00C70516"/>
    <w:rsid w:val="00C70EE6"/>
    <w:rsid w:val="00C714CB"/>
    <w:rsid w:val="00C71539"/>
    <w:rsid w:val="00C71F87"/>
    <w:rsid w:val="00C72345"/>
    <w:rsid w:val="00C72385"/>
    <w:rsid w:val="00C72A23"/>
    <w:rsid w:val="00C737C6"/>
    <w:rsid w:val="00C739B9"/>
    <w:rsid w:val="00C73A01"/>
    <w:rsid w:val="00C73A97"/>
    <w:rsid w:val="00C74908"/>
    <w:rsid w:val="00C74CC8"/>
    <w:rsid w:val="00C74E92"/>
    <w:rsid w:val="00C7508A"/>
    <w:rsid w:val="00C752FE"/>
    <w:rsid w:val="00C75826"/>
    <w:rsid w:val="00C76001"/>
    <w:rsid w:val="00C76559"/>
    <w:rsid w:val="00C76C39"/>
    <w:rsid w:val="00C772E8"/>
    <w:rsid w:val="00C77523"/>
    <w:rsid w:val="00C776AF"/>
    <w:rsid w:val="00C77A82"/>
    <w:rsid w:val="00C77BF0"/>
    <w:rsid w:val="00C77DF0"/>
    <w:rsid w:val="00C803D3"/>
    <w:rsid w:val="00C8054B"/>
    <w:rsid w:val="00C809A3"/>
    <w:rsid w:val="00C80B02"/>
    <w:rsid w:val="00C815E7"/>
    <w:rsid w:val="00C8213A"/>
    <w:rsid w:val="00C8213E"/>
    <w:rsid w:val="00C82232"/>
    <w:rsid w:val="00C824B8"/>
    <w:rsid w:val="00C82CA5"/>
    <w:rsid w:val="00C83752"/>
    <w:rsid w:val="00C84020"/>
    <w:rsid w:val="00C84246"/>
    <w:rsid w:val="00C84727"/>
    <w:rsid w:val="00C85034"/>
    <w:rsid w:val="00C85198"/>
    <w:rsid w:val="00C85281"/>
    <w:rsid w:val="00C85628"/>
    <w:rsid w:val="00C85DDC"/>
    <w:rsid w:val="00C86590"/>
    <w:rsid w:val="00C87911"/>
    <w:rsid w:val="00C87A97"/>
    <w:rsid w:val="00C87F42"/>
    <w:rsid w:val="00C901A9"/>
    <w:rsid w:val="00C90FFC"/>
    <w:rsid w:val="00C91E6E"/>
    <w:rsid w:val="00C921BE"/>
    <w:rsid w:val="00C92847"/>
    <w:rsid w:val="00C92B37"/>
    <w:rsid w:val="00C93289"/>
    <w:rsid w:val="00C93CAF"/>
    <w:rsid w:val="00C94321"/>
    <w:rsid w:val="00C95929"/>
    <w:rsid w:val="00C96574"/>
    <w:rsid w:val="00C9704B"/>
    <w:rsid w:val="00C97A67"/>
    <w:rsid w:val="00C97BED"/>
    <w:rsid w:val="00C97FB9"/>
    <w:rsid w:val="00CA0049"/>
    <w:rsid w:val="00CA049E"/>
    <w:rsid w:val="00CA06E8"/>
    <w:rsid w:val="00CA0EAA"/>
    <w:rsid w:val="00CA193F"/>
    <w:rsid w:val="00CA1ED3"/>
    <w:rsid w:val="00CA218E"/>
    <w:rsid w:val="00CA26C3"/>
    <w:rsid w:val="00CA2ABA"/>
    <w:rsid w:val="00CA31F7"/>
    <w:rsid w:val="00CA390E"/>
    <w:rsid w:val="00CA4574"/>
    <w:rsid w:val="00CA5119"/>
    <w:rsid w:val="00CA6164"/>
    <w:rsid w:val="00CA6EA7"/>
    <w:rsid w:val="00CA6FD2"/>
    <w:rsid w:val="00CA70B2"/>
    <w:rsid w:val="00CA71A8"/>
    <w:rsid w:val="00CA77AA"/>
    <w:rsid w:val="00CA7806"/>
    <w:rsid w:val="00CB0071"/>
    <w:rsid w:val="00CB06CF"/>
    <w:rsid w:val="00CB108B"/>
    <w:rsid w:val="00CB157F"/>
    <w:rsid w:val="00CB2205"/>
    <w:rsid w:val="00CB2216"/>
    <w:rsid w:val="00CB305E"/>
    <w:rsid w:val="00CB313A"/>
    <w:rsid w:val="00CB434C"/>
    <w:rsid w:val="00CB4506"/>
    <w:rsid w:val="00CB4B59"/>
    <w:rsid w:val="00CB4C0E"/>
    <w:rsid w:val="00CB5BDA"/>
    <w:rsid w:val="00CB6BA9"/>
    <w:rsid w:val="00CB6C17"/>
    <w:rsid w:val="00CB6FC1"/>
    <w:rsid w:val="00CB758C"/>
    <w:rsid w:val="00CB75D6"/>
    <w:rsid w:val="00CB75F8"/>
    <w:rsid w:val="00CB7875"/>
    <w:rsid w:val="00CB7DF7"/>
    <w:rsid w:val="00CC024F"/>
    <w:rsid w:val="00CC09F7"/>
    <w:rsid w:val="00CC0C23"/>
    <w:rsid w:val="00CC1AD4"/>
    <w:rsid w:val="00CC1BE5"/>
    <w:rsid w:val="00CC1F46"/>
    <w:rsid w:val="00CC252A"/>
    <w:rsid w:val="00CC3256"/>
    <w:rsid w:val="00CC3271"/>
    <w:rsid w:val="00CC32A2"/>
    <w:rsid w:val="00CC3A1B"/>
    <w:rsid w:val="00CC3EC7"/>
    <w:rsid w:val="00CC4030"/>
    <w:rsid w:val="00CC473B"/>
    <w:rsid w:val="00CC4C0E"/>
    <w:rsid w:val="00CC4D21"/>
    <w:rsid w:val="00CC4D59"/>
    <w:rsid w:val="00CC4F71"/>
    <w:rsid w:val="00CC4FF2"/>
    <w:rsid w:val="00CC5124"/>
    <w:rsid w:val="00CC5426"/>
    <w:rsid w:val="00CC5588"/>
    <w:rsid w:val="00CC55B1"/>
    <w:rsid w:val="00CC56DA"/>
    <w:rsid w:val="00CC57F8"/>
    <w:rsid w:val="00CC63CA"/>
    <w:rsid w:val="00CC6735"/>
    <w:rsid w:val="00CC6961"/>
    <w:rsid w:val="00CC6DAA"/>
    <w:rsid w:val="00CC7062"/>
    <w:rsid w:val="00CC7E88"/>
    <w:rsid w:val="00CD0840"/>
    <w:rsid w:val="00CD0E09"/>
    <w:rsid w:val="00CD1193"/>
    <w:rsid w:val="00CD1C9E"/>
    <w:rsid w:val="00CD2219"/>
    <w:rsid w:val="00CD2232"/>
    <w:rsid w:val="00CD23CC"/>
    <w:rsid w:val="00CD2C07"/>
    <w:rsid w:val="00CD2E01"/>
    <w:rsid w:val="00CD3336"/>
    <w:rsid w:val="00CD3425"/>
    <w:rsid w:val="00CD3B09"/>
    <w:rsid w:val="00CD3C41"/>
    <w:rsid w:val="00CD3EE8"/>
    <w:rsid w:val="00CD410D"/>
    <w:rsid w:val="00CD4297"/>
    <w:rsid w:val="00CD49E4"/>
    <w:rsid w:val="00CD4BCE"/>
    <w:rsid w:val="00CD52B3"/>
    <w:rsid w:val="00CD5376"/>
    <w:rsid w:val="00CD564D"/>
    <w:rsid w:val="00CD5B2F"/>
    <w:rsid w:val="00CD6746"/>
    <w:rsid w:val="00CD67D5"/>
    <w:rsid w:val="00CD6A51"/>
    <w:rsid w:val="00CD6E46"/>
    <w:rsid w:val="00CD76D2"/>
    <w:rsid w:val="00CE03E5"/>
    <w:rsid w:val="00CE0692"/>
    <w:rsid w:val="00CE08A9"/>
    <w:rsid w:val="00CE0C29"/>
    <w:rsid w:val="00CE0EE4"/>
    <w:rsid w:val="00CE0FAF"/>
    <w:rsid w:val="00CE15AF"/>
    <w:rsid w:val="00CE1699"/>
    <w:rsid w:val="00CE288B"/>
    <w:rsid w:val="00CE2ACC"/>
    <w:rsid w:val="00CE2BF4"/>
    <w:rsid w:val="00CE33C7"/>
    <w:rsid w:val="00CE364F"/>
    <w:rsid w:val="00CE3F35"/>
    <w:rsid w:val="00CE453F"/>
    <w:rsid w:val="00CE5252"/>
    <w:rsid w:val="00CE5475"/>
    <w:rsid w:val="00CE56E0"/>
    <w:rsid w:val="00CE632D"/>
    <w:rsid w:val="00CE63C2"/>
    <w:rsid w:val="00CE70B9"/>
    <w:rsid w:val="00CE7548"/>
    <w:rsid w:val="00CE7CC2"/>
    <w:rsid w:val="00CF01E9"/>
    <w:rsid w:val="00CF067A"/>
    <w:rsid w:val="00CF0925"/>
    <w:rsid w:val="00CF1010"/>
    <w:rsid w:val="00CF1033"/>
    <w:rsid w:val="00CF11EA"/>
    <w:rsid w:val="00CF18CE"/>
    <w:rsid w:val="00CF31BC"/>
    <w:rsid w:val="00CF331B"/>
    <w:rsid w:val="00CF373F"/>
    <w:rsid w:val="00CF3B8C"/>
    <w:rsid w:val="00CF3CFE"/>
    <w:rsid w:val="00CF3EF0"/>
    <w:rsid w:val="00CF474A"/>
    <w:rsid w:val="00CF48DF"/>
    <w:rsid w:val="00CF4A70"/>
    <w:rsid w:val="00CF4F97"/>
    <w:rsid w:val="00CF500B"/>
    <w:rsid w:val="00CF5CE7"/>
    <w:rsid w:val="00CF6A3B"/>
    <w:rsid w:val="00CF6C1A"/>
    <w:rsid w:val="00CF76B2"/>
    <w:rsid w:val="00CF77B1"/>
    <w:rsid w:val="00CF7DEE"/>
    <w:rsid w:val="00CF7E2A"/>
    <w:rsid w:val="00D001AF"/>
    <w:rsid w:val="00D00ABE"/>
    <w:rsid w:val="00D0218E"/>
    <w:rsid w:val="00D02966"/>
    <w:rsid w:val="00D02BC9"/>
    <w:rsid w:val="00D02F03"/>
    <w:rsid w:val="00D02FA4"/>
    <w:rsid w:val="00D03225"/>
    <w:rsid w:val="00D035F4"/>
    <w:rsid w:val="00D037FC"/>
    <w:rsid w:val="00D0416A"/>
    <w:rsid w:val="00D042C8"/>
    <w:rsid w:val="00D0453A"/>
    <w:rsid w:val="00D045DF"/>
    <w:rsid w:val="00D0466A"/>
    <w:rsid w:val="00D04BFC"/>
    <w:rsid w:val="00D05863"/>
    <w:rsid w:val="00D05865"/>
    <w:rsid w:val="00D05965"/>
    <w:rsid w:val="00D06022"/>
    <w:rsid w:val="00D0608F"/>
    <w:rsid w:val="00D067D3"/>
    <w:rsid w:val="00D069AB"/>
    <w:rsid w:val="00D07175"/>
    <w:rsid w:val="00D0718F"/>
    <w:rsid w:val="00D076DB"/>
    <w:rsid w:val="00D104BD"/>
    <w:rsid w:val="00D10855"/>
    <w:rsid w:val="00D118BB"/>
    <w:rsid w:val="00D11A35"/>
    <w:rsid w:val="00D11BDE"/>
    <w:rsid w:val="00D123B7"/>
    <w:rsid w:val="00D12659"/>
    <w:rsid w:val="00D129B9"/>
    <w:rsid w:val="00D12DF2"/>
    <w:rsid w:val="00D12DF6"/>
    <w:rsid w:val="00D12E5E"/>
    <w:rsid w:val="00D13051"/>
    <w:rsid w:val="00D134BE"/>
    <w:rsid w:val="00D13819"/>
    <w:rsid w:val="00D139E1"/>
    <w:rsid w:val="00D13B4D"/>
    <w:rsid w:val="00D14576"/>
    <w:rsid w:val="00D1674A"/>
    <w:rsid w:val="00D16808"/>
    <w:rsid w:val="00D16AEA"/>
    <w:rsid w:val="00D16F64"/>
    <w:rsid w:val="00D20928"/>
    <w:rsid w:val="00D20A4C"/>
    <w:rsid w:val="00D20A75"/>
    <w:rsid w:val="00D21875"/>
    <w:rsid w:val="00D22937"/>
    <w:rsid w:val="00D22AF3"/>
    <w:rsid w:val="00D23665"/>
    <w:rsid w:val="00D258DE"/>
    <w:rsid w:val="00D266D4"/>
    <w:rsid w:val="00D2696C"/>
    <w:rsid w:val="00D2794F"/>
    <w:rsid w:val="00D27BA0"/>
    <w:rsid w:val="00D30391"/>
    <w:rsid w:val="00D307CF"/>
    <w:rsid w:val="00D30B78"/>
    <w:rsid w:val="00D30BE5"/>
    <w:rsid w:val="00D30E0C"/>
    <w:rsid w:val="00D31C75"/>
    <w:rsid w:val="00D32777"/>
    <w:rsid w:val="00D331D6"/>
    <w:rsid w:val="00D332D6"/>
    <w:rsid w:val="00D3357E"/>
    <w:rsid w:val="00D336F8"/>
    <w:rsid w:val="00D33967"/>
    <w:rsid w:val="00D33B7C"/>
    <w:rsid w:val="00D3476F"/>
    <w:rsid w:val="00D3555D"/>
    <w:rsid w:val="00D35B44"/>
    <w:rsid w:val="00D366DE"/>
    <w:rsid w:val="00D36769"/>
    <w:rsid w:val="00D3771B"/>
    <w:rsid w:val="00D40D15"/>
    <w:rsid w:val="00D4178B"/>
    <w:rsid w:val="00D42EF6"/>
    <w:rsid w:val="00D43B5B"/>
    <w:rsid w:val="00D43CCC"/>
    <w:rsid w:val="00D43CEB"/>
    <w:rsid w:val="00D43F34"/>
    <w:rsid w:val="00D44487"/>
    <w:rsid w:val="00D44B82"/>
    <w:rsid w:val="00D44F55"/>
    <w:rsid w:val="00D451C5"/>
    <w:rsid w:val="00D452EB"/>
    <w:rsid w:val="00D456ED"/>
    <w:rsid w:val="00D4586F"/>
    <w:rsid w:val="00D460F6"/>
    <w:rsid w:val="00D4709B"/>
    <w:rsid w:val="00D478FC"/>
    <w:rsid w:val="00D47E35"/>
    <w:rsid w:val="00D47F21"/>
    <w:rsid w:val="00D500D7"/>
    <w:rsid w:val="00D50BAA"/>
    <w:rsid w:val="00D50CB3"/>
    <w:rsid w:val="00D50D84"/>
    <w:rsid w:val="00D5174E"/>
    <w:rsid w:val="00D51A68"/>
    <w:rsid w:val="00D5205C"/>
    <w:rsid w:val="00D5273C"/>
    <w:rsid w:val="00D5283D"/>
    <w:rsid w:val="00D53154"/>
    <w:rsid w:val="00D535D7"/>
    <w:rsid w:val="00D54369"/>
    <w:rsid w:val="00D5472C"/>
    <w:rsid w:val="00D54D6A"/>
    <w:rsid w:val="00D54E22"/>
    <w:rsid w:val="00D550C0"/>
    <w:rsid w:val="00D5524D"/>
    <w:rsid w:val="00D5597A"/>
    <w:rsid w:val="00D5605D"/>
    <w:rsid w:val="00D56083"/>
    <w:rsid w:val="00D56306"/>
    <w:rsid w:val="00D56E2F"/>
    <w:rsid w:val="00D57471"/>
    <w:rsid w:val="00D57E2A"/>
    <w:rsid w:val="00D600B2"/>
    <w:rsid w:val="00D603CB"/>
    <w:rsid w:val="00D6102B"/>
    <w:rsid w:val="00D613CF"/>
    <w:rsid w:val="00D62429"/>
    <w:rsid w:val="00D62737"/>
    <w:rsid w:val="00D6358E"/>
    <w:rsid w:val="00D640C6"/>
    <w:rsid w:val="00D644E3"/>
    <w:rsid w:val="00D65914"/>
    <w:rsid w:val="00D65A4D"/>
    <w:rsid w:val="00D66776"/>
    <w:rsid w:val="00D67AC8"/>
    <w:rsid w:val="00D7099A"/>
    <w:rsid w:val="00D70B35"/>
    <w:rsid w:val="00D715C6"/>
    <w:rsid w:val="00D71C36"/>
    <w:rsid w:val="00D7225C"/>
    <w:rsid w:val="00D73136"/>
    <w:rsid w:val="00D733F7"/>
    <w:rsid w:val="00D73844"/>
    <w:rsid w:val="00D73BD9"/>
    <w:rsid w:val="00D741BD"/>
    <w:rsid w:val="00D74350"/>
    <w:rsid w:val="00D750C9"/>
    <w:rsid w:val="00D75784"/>
    <w:rsid w:val="00D76430"/>
    <w:rsid w:val="00D774F6"/>
    <w:rsid w:val="00D7755F"/>
    <w:rsid w:val="00D8046C"/>
    <w:rsid w:val="00D8056F"/>
    <w:rsid w:val="00D80C18"/>
    <w:rsid w:val="00D80DA0"/>
    <w:rsid w:val="00D811E6"/>
    <w:rsid w:val="00D81D6B"/>
    <w:rsid w:val="00D81DE3"/>
    <w:rsid w:val="00D82BA8"/>
    <w:rsid w:val="00D82ED8"/>
    <w:rsid w:val="00D837AF"/>
    <w:rsid w:val="00D83942"/>
    <w:rsid w:val="00D843AD"/>
    <w:rsid w:val="00D845D1"/>
    <w:rsid w:val="00D84608"/>
    <w:rsid w:val="00D84701"/>
    <w:rsid w:val="00D84BF3"/>
    <w:rsid w:val="00D84DA4"/>
    <w:rsid w:val="00D868C8"/>
    <w:rsid w:val="00D86D8A"/>
    <w:rsid w:val="00D870D2"/>
    <w:rsid w:val="00D871A2"/>
    <w:rsid w:val="00D901C9"/>
    <w:rsid w:val="00D913C7"/>
    <w:rsid w:val="00D91416"/>
    <w:rsid w:val="00D91C84"/>
    <w:rsid w:val="00D91F6C"/>
    <w:rsid w:val="00D92CF3"/>
    <w:rsid w:val="00D93381"/>
    <w:rsid w:val="00D93F7A"/>
    <w:rsid w:val="00D94618"/>
    <w:rsid w:val="00D94D3E"/>
    <w:rsid w:val="00D9528C"/>
    <w:rsid w:val="00D95357"/>
    <w:rsid w:val="00D96554"/>
    <w:rsid w:val="00D97160"/>
    <w:rsid w:val="00D9793C"/>
    <w:rsid w:val="00D979D2"/>
    <w:rsid w:val="00D97B5E"/>
    <w:rsid w:val="00D97D87"/>
    <w:rsid w:val="00D97F4E"/>
    <w:rsid w:val="00DA001F"/>
    <w:rsid w:val="00DA0514"/>
    <w:rsid w:val="00DA05B3"/>
    <w:rsid w:val="00DA12A2"/>
    <w:rsid w:val="00DA1413"/>
    <w:rsid w:val="00DA1CB1"/>
    <w:rsid w:val="00DA26AD"/>
    <w:rsid w:val="00DA30FD"/>
    <w:rsid w:val="00DA3E69"/>
    <w:rsid w:val="00DA41A2"/>
    <w:rsid w:val="00DA45F2"/>
    <w:rsid w:val="00DA4658"/>
    <w:rsid w:val="00DA5140"/>
    <w:rsid w:val="00DA58F9"/>
    <w:rsid w:val="00DA6A55"/>
    <w:rsid w:val="00DA6A77"/>
    <w:rsid w:val="00DA7366"/>
    <w:rsid w:val="00DA77F5"/>
    <w:rsid w:val="00DA7D2B"/>
    <w:rsid w:val="00DB06B8"/>
    <w:rsid w:val="00DB0DB3"/>
    <w:rsid w:val="00DB147A"/>
    <w:rsid w:val="00DB1654"/>
    <w:rsid w:val="00DB19FB"/>
    <w:rsid w:val="00DB1B22"/>
    <w:rsid w:val="00DB1E78"/>
    <w:rsid w:val="00DB20D6"/>
    <w:rsid w:val="00DB32E3"/>
    <w:rsid w:val="00DB3550"/>
    <w:rsid w:val="00DB3639"/>
    <w:rsid w:val="00DB363A"/>
    <w:rsid w:val="00DB39E4"/>
    <w:rsid w:val="00DB3AB1"/>
    <w:rsid w:val="00DB3AE9"/>
    <w:rsid w:val="00DB4BDF"/>
    <w:rsid w:val="00DB5831"/>
    <w:rsid w:val="00DB5A27"/>
    <w:rsid w:val="00DB5D94"/>
    <w:rsid w:val="00DB64AA"/>
    <w:rsid w:val="00DB66DA"/>
    <w:rsid w:val="00DB6E66"/>
    <w:rsid w:val="00DB6FC5"/>
    <w:rsid w:val="00DB7236"/>
    <w:rsid w:val="00DB756F"/>
    <w:rsid w:val="00DB769D"/>
    <w:rsid w:val="00DB7743"/>
    <w:rsid w:val="00DB78F4"/>
    <w:rsid w:val="00DB7EC0"/>
    <w:rsid w:val="00DC03B6"/>
    <w:rsid w:val="00DC03CF"/>
    <w:rsid w:val="00DC0484"/>
    <w:rsid w:val="00DC070A"/>
    <w:rsid w:val="00DC072D"/>
    <w:rsid w:val="00DC0C7C"/>
    <w:rsid w:val="00DC125C"/>
    <w:rsid w:val="00DC183C"/>
    <w:rsid w:val="00DC1BD7"/>
    <w:rsid w:val="00DC238D"/>
    <w:rsid w:val="00DC3597"/>
    <w:rsid w:val="00DC3CF6"/>
    <w:rsid w:val="00DC3D4C"/>
    <w:rsid w:val="00DC3EA7"/>
    <w:rsid w:val="00DC45CD"/>
    <w:rsid w:val="00DC4E1C"/>
    <w:rsid w:val="00DC5028"/>
    <w:rsid w:val="00DC5C9B"/>
    <w:rsid w:val="00DC5CB7"/>
    <w:rsid w:val="00DC6049"/>
    <w:rsid w:val="00DC64DD"/>
    <w:rsid w:val="00DC68C6"/>
    <w:rsid w:val="00DC6FD1"/>
    <w:rsid w:val="00DC6FF6"/>
    <w:rsid w:val="00DC7339"/>
    <w:rsid w:val="00DC7D91"/>
    <w:rsid w:val="00DC7E03"/>
    <w:rsid w:val="00DC7E3C"/>
    <w:rsid w:val="00DD0128"/>
    <w:rsid w:val="00DD07A7"/>
    <w:rsid w:val="00DD0B3D"/>
    <w:rsid w:val="00DD0C03"/>
    <w:rsid w:val="00DD0E6B"/>
    <w:rsid w:val="00DD0E73"/>
    <w:rsid w:val="00DD0F69"/>
    <w:rsid w:val="00DD116E"/>
    <w:rsid w:val="00DD130F"/>
    <w:rsid w:val="00DD2BFC"/>
    <w:rsid w:val="00DD2DB9"/>
    <w:rsid w:val="00DD35A3"/>
    <w:rsid w:val="00DD3B33"/>
    <w:rsid w:val="00DD3C19"/>
    <w:rsid w:val="00DD4C41"/>
    <w:rsid w:val="00DD5070"/>
    <w:rsid w:val="00DD50D2"/>
    <w:rsid w:val="00DD65B7"/>
    <w:rsid w:val="00DD65F2"/>
    <w:rsid w:val="00DD6624"/>
    <w:rsid w:val="00DD6995"/>
    <w:rsid w:val="00DD72E9"/>
    <w:rsid w:val="00DD741A"/>
    <w:rsid w:val="00DD7734"/>
    <w:rsid w:val="00DD7EF5"/>
    <w:rsid w:val="00DE0908"/>
    <w:rsid w:val="00DE2161"/>
    <w:rsid w:val="00DE2967"/>
    <w:rsid w:val="00DE2D63"/>
    <w:rsid w:val="00DE2D93"/>
    <w:rsid w:val="00DE3348"/>
    <w:rsid w:val="00DE33C4"/>
    <w:rsid w:val="00DE36A1"/>
    <w:rsid w:val="00DE3738"/>
    <w:rsid w:val="00DE3B82"/>
    <w:rsid w:val="00DE3DBF"/>
    <w:rsid w:val="00DE4089"/>
    <w:rsid w:val="00DE5976"/>
    <w:rsid w:val="00DE5A48"/>
    <w:rsid w:val="00DE5D8B"/>
    <w:rsid w:val="00DE5DEE"/>
    <w:rsid w:val="00DE6272"/>
    <w:rsid w:val="00DE6893"/>
    <w:rsid w:val="00DE694E"/>
    <w:rsid w:val="00DE697D"/>
    <w:rsid w:val="00DE6FE2"/>
    <w:rsid w:val="00DE7EE6"/>
    <w:rsid w:val="00DF0B44"/>
    <w:rsid w:val="00DF1331"/>
    <w:rsid w:val="00DF1465"/>
    <w:rsid w:val="00DF163F"/>
    <w:rsid w:val="00DF2F62"/>
    <w:rsid w:val="00DF327E"/>
    <w:rsid w:val="00DF358E"/>
    <w:rsid w:val="00DF39EB"/>
    <w:rsid w:val="00DF3B24"/>
    <w:rsid w:val="00DF48C7"/>
    <w:rsid w:val="00DF4A5B"/>
    <w:rsid w:val="00DF5376"/>
    <w:rsid w:val="00DF599B"/>
    <w:rsid w:val="00DF5FC9"/>
    <w:rsid w:val="00DF60D6"/>
    <w:rsid w:val="00DF64BD"/>
    <w:rsid w:val="00DF673F"/>
    <w:rsid w:val="00DF677A"/>
    <w:rsid w:val="00DF6791"/>
    <w:rsid w:val="00DF6BFA"/>
    <w:rsid w:val="00DF6CBF"/>
    <w:rsid w:val="00DF72D5"/>
    <w:rsid w:val="00DF750B"/>
    <w:rsid w:val="00DF7C30"/>
    <w:rsid w:val="00E0020D"/>
    <w:rsid w:val="00E00836"/>
    <w:rsid w:val="00E01346"/>
    <w:rsid w:val="00E020F2"/>
    <w:rsid w:val="00E0308B"/>
    <w:rsid w:val="00E0315B"/>
    <w:rsid w:val="00E033A3"/>
    <w:rsid w:val="00E034ED"/>
    <w:rsid w:val="00E03F85"/>
    <w:rsid w:val="00E041B7"/>
    <w:rsid w:val="00E0454A"/>
    <w:rsid w:val="00E04AC9"/>
    <w:rsid w:val="00E04F7B"/>
    <w:rsid w:val="00E051A0"/>
    <w:rsid w:val="00E053AE"/>
    <w:rsid w:val="00E05630"/>
    <w:rsid w:val="00E05942"/>
    <w:rsid w:val="00E05B22"/>
    <w:rsid w:val="00E05BF4"/>
    <w:rsid w:val="00E0727F"/>
    <w:rsid w:val="00E072AA"/>
    <w:rsid w:val="00E077C9"/>
    <w:rsid w:val="00E077F2"/>
    <w:rsid w:val="00E103F6"/>
    <w:rsid w:val="00E1070E"/>
    <w:rsid w:val="00E108C3"/>
    <w:rsid w:val="00E11FEF"/>
    <w:rsid w:val="00E120AC"/>
    <w:rsid w:val="00E12296"/>
    <w:rsid w:val="00E12B1D"/>
    <w:rsid w:val="00E13210"/>
    <w:rsid w:val="00E13454"/>
    <w:rsid w:val="00E13ADC"/>
    <w:rsid w:val="00E13C0D"/>
    <w:rsid w:val="00E14095"/>
    <w:rsid w:val="00E143DB"/>
    <w:rsid w:val="00E14D4C"/>
    <w:rsid w:val="00E155FD"/>
    <w:rsid w:val="00E166FE"/>
    <w:rsid w:val="00E1730F"/>
    <w:rsid w:val="00E1734A"/>
    <w:rsid w:val="00E17648"/>
    <w:rsid w:val="00E17686"/>
    <w:rsid w:val="00E17C3C"/>
    <w:rsid w:val="00E20238"/>
    <w:rsid w:val="00E20DBD"/>
    <w:rsid w:val="00E20F67"/>
    <w:rsid w:val="00E2160C"/>
    <w:rsid w:val="00E21668"/>
    <w:rsid w:val="00E2172E"/>
    <w:rsid w:val="00E2174D"/>
    <w:rsid w:val="00E2183E"/>
    <w:rsid w:val="00E21AAE"/>
    <w:rsid w:val="00E225A0"/>
    <w:rsid w:val="00E22BED"/>
    <w:rsid w:val="00E22D9E"/>
    <w:rsid w:val="00E22F9D"/>
    <w:rsid w:val="00E2336A"/>
    <w:rsid w:val="00E2380E"/>
    <w:rsid w:val="00E23CEA"/>
    <w:rsid w:val="00E23DBB"/>
    <w:rsid w:val="00E23E86"/>
    <w:rsid w:val="00E24E1F"/>
    <w:rsid w:val="00E24FCF"/>
    <w:rsid w:val="00E25380"/>
    <w:rsid w:val="00E2628E"/>
    <w:rsid w:val="00E26607"/>
    <w:rsid w:val="00E26E40"/>
    <w:rsid w:val="00E270F9"/>
    <w:rsid w:val="00E275C7"/>
    <w:rsid w:val="00E277EE"/>
    <w:rsid w:val="00E27F28"/>
    <w:rsid w:val="00E30075"/>
    <w:rsid w:val="00E30477"/>
    <w:rsid w:val="00E30C46"/>
    <w:rsid w:val="00E30E86"/>
    <w:rsid w:val="00E31115"/>
    <w:rsid w:val="00E3125B"/>
    <w:rsid w:val="00E3176A"/>
    <w:rsid w:val="00E31B3A"/>
    <w:rsid w:val="00E31EF7"/>
    <w:rsid w:val="00E32AF5"/>
    <w:rsid w:val="00E32DBF"/>
    <w:rsid w:val="00E33171"/>
    <w:rsid w:val="00E335FF"/>
    <w:rsid w:val="00E33768"/>
    <w:rsid w:val="00E34223"/>
    <w:rsid w:val="00E342A2"/>
    <w:rsid w:val="00E34413"/>
    <w:rsid w:val="00E34683"/>
    <w:rsid w:val="00E34AFA"/>
    <w:rsid w:val="00E3549A"/>
    <w:rsid w:val="00E3582F"/>
    <w:rsid w:val="00E35AD7"/>
    <w:rsid w:val="00E35F95"/>
    <w:rsid w:val="00E3724E"/>
    <w:rsid w:val="00E3734A"/>
    <w:rsid w:val="00E37EB8"/>
    <w:rsid w:val="00E4071E"/>
    <w:rsid w:val="00E411C9"/>
    <w:rsid w:val="00E413E6"/>
    <w:rsid w:val="00E4165A"/>
    <w:rsid w:val="00E41F7F"/>
    <w:rsid w:val="00E42214"/>
    <w:rsid w:val="00E4229D"/>
    <w:rsid w:val="00E42350"/>
    <w:rsid w:val="00E4272E"/>
    <w:rsid w:val="00E42754"/>
    <w:rsid w:val="00E42960"/>
    <w:rsid w:val="00E42C80"/>
    <w:rsid w:val="00E43101"/>
    <w:rsid w:val="00E43259"/>
    <w:rsid w:val="00E4334A"/>
    <w:rsid w:val="00E435AB"/>
    <w:rsid w:val="00E44482"/>
    <w:rsid w:val="00E44D31"/>
    <w:rsid w:val="00E45393"/>
    <w:rsid w:val="00E455AC"/>
    <w:rsid w:val="00E45A1D"/>
    <w:rsid w:val="00E45D7C"/>
    <w:rsid w:val="00E4619E"/>
    <w:rsid w:val="00E463D5"/>
    <w:rsid w:val="00E46FC8"/>
    <w:rsid w:val="00E471BF"/>
    <w:rsid w:val="00E47574"/>
    <w:rsid w:val="00E479D2"/>
    <w:rsid w:val="00E47C5D"/>
    <w:rsid w:val="00E47F79"/>
    <w:rsid w:val="00E50154"/>
    <w:rsid w:val="00E509D3"/>
    <w:rsid w:val="00E50BF2"/>
    <w:rsid w:val="00E51D5A"/>
    <w:rsid w:val="00E52135"/>
    <w:rsid w:val="00E52B6F"/>
    <w:rsid w:val="00E52DEE"/>
    <w:rsid w:val="00E53622"/>
    <w:rsid w:val="00E54145"/>
    <w:rsid w:val="00E5415F"/>
    <w:rsid w:val="00E54526"/>
    <w:rsid w:val="00E54B6C"/>
    <w:rsid w:val="00E550A4"/>
    <w:rsid w:val="00E5514E"/>
    <w:rsid w:val="00E553CB"/>
    <w:rsid w:val="00E5590A"/>
    <w:rsid w:val="00E55F63"/>
    <w:rsid w:val="00E5603B"/>
    <w:rsid w:val="00E56236"/>
    <w:rsid w:val="00E56743"/>
    <w:rsid w:val="00E56951"/>
    <w:rsid w:val="00E56F01"/>
    <w:rsid w:val="00E5712E"/>
    <w:rsid w:val="00E5736F"/>
    <w:rsid w:val="00E602F4"/>
    <w:rsid w:val="00E60C31"/>
    <w:rsid w:val="00E6112B"/>
    <w:rsid w:val="00E6117D"/>
    <w:rsid w:val="00E61846"/>
    <w:rsid w:val="00E623E5"/>
    <w:rsid w:val="00E624C6"/>
    <w:rsid w:val="00E62787"/>
    <w:rsid w:val="00E62BD7"/>
    <w:rsid w:val="00E62C06"/>
    <w:rsid w:val="00E63041"/>
    <w:rsid w:val="00E637E0"/>
    <w:rsid w:val="00E63AFF"/>
    <w:rsid w:val="00E6408F"/>
    <w:rsid w:val="00E643CF"/>
    <w:rsid w:val="00E6521D"/>
    <w:rsid w:val="00E6551B"/>
    <w:rsid w:val="00E65534"/>
    <w:rsid w:val="00E65698"/>
    <w:rsid w:val="00E660EA"/>
    <w:rsid w:val="00E66160"/>
    <w:rsid w:val="00E663E3"/>
    <w:rsid w:val="00E66D99"/>
    <w:rsid w:val="00E672ED"/>
    <w:rsid w:val="00E676DA"/>
    <w:rsid w:val="00E7092D"/>
    <w:rsid w:val="00E7093F"/>
    <w:rsid w:val="00E70C6F"/>
    <w:rsid w:val="00E714F5"/>
    <w:rsid w:val="00E7168C"/>
    <w:rsid w:val="00E71A21"/>
    <w:rsid w:val="00E7209C"/>
    <w:rsid w:val="00E72CEC"/>
    <w:rsid w:val="00E72E77"/>
    <w:rsid w:val="00E736F8"/>
    <w:rsid w:val="00E73998"/>
    <w:rsid w:val="00E73CC6"/>
    <w:rsid w:val="00E74200"/>
    <w:rsid w:val="00E74821"/>
    <w:rsid w:val="00E7488C"/>
    <w:rsid w:val="00E75194"/>
    <w:rsid w:val="00E75412"/>
    <w:rsid w:val="00E75577"/>
    <w:rsid w:val="00E756F5"/>
    <w:rsid w:val="00E75DA2"/>
    <w:rsid w:val="00E7606D"/>
    <w:rsid w:val="00E764F5"/>
    <w:rsid w:val="00E76CD3"/>
    <w:rsid w:val="00E76D0F"/>
    <w:rsid w:val="00E76F05"/>
    <w:rsid w:val="00E77096"/>
    <w:rsid w:val="00E7739E"/>
    <w:rsid w:val="00E775FE"/>
    <w:rsid w:val="00E77C1E"/>
    <w:rsid w:val="00E77C50"/>
    <w:rsid w:val="00E77DDC"/>
    <w:rsid w:val="00E77DFF"/>
    <w:rsid w:val="00E805A7"/>
    <w:rsid w:val="00E80CF1"/>
    <w:rsid w:val="00E81498"/>
    <w:rsid w:val="00E816C8"/>
    <w:rsid w:val="00E81C47"/>
    <w:rsid w:val="00E81EB8"/>
    <w:rsid w:val="00E823E4"/>
    <w:rsid w:val="00E828C1"/>
    <w:rsid w:val="00E831EA"/>
    <w:rsid w:val="00E8356F"/>
    <w:rsid w:val="00E838A9"/>
    <w:rsid w:val="00E83978"/>
    <w:rsid w:val="00E84060"/>
    <w:rsid w:val="00E84E79"/>
    <w:rsid w:val="00E84EAF"/>
    <w:rsid w:val="00E85B48"/>
    <w:rsid w:val="00E8638B"/>
    <w:rsid w:val="00E86673"/>
    <w:rsid w:val="00E86927"/>
    <w:rsid w:val="00E86C67"/>
    <w:rsid w:val="00E8749B"/>
    <w:rsid w:val="00E87967"/>
    <w:rsid w:val="00E90007"/>
    <w:rsid w:val="00E911AB"/>
    <w:rsid w:val="00E92DC0"/>
    <w:rsid w:val="00E92E84"/>
    <w:rsid w:val="00E9303B"/>
    <w:rsid w:val="00E934B6"/>
    <w:rsid w:val="00E93591"/>
    <w:rsid w:val="00E939FF"/>
    <w:rsid w:val="00E943C8"/>
    <w:rsid w:val="00E94586"/>
    <w:rsid w:val="00E94ADE"/>
    <w:rsid w:val="00E94ED0"/>
    <w:rsid w:val="00E956F7"/>
    <w:rsid w:val="00E95DDA"/>
    <w:rsid w:val="00E96273"/>
    <w:rsid w:val="00E963EE"/>
    <w:rsid w:val="00E9674F"/>
    <w:rsid w:val="00E96A28"/>
    <w:rsid w:val="00E97137"/>
    <w:rsid w:val="00E97989"/>
    <w:rsid w:val="00E97AC2"/>
    <w:rsid w:val="00EA0015"/>
    <w:rsid w:val="00EA0DBF"/>
    <w:rsid w:val="00EA14EA"/>
    <w:rsid w:val="00EA165F"/>
    <w:rsid w:val="00EA17F2"/>
    <w:rsid w:val="00EA1959"/>
    <w:rsid w:val="00EA1D37"/>
    <w:rsid w:val="00EA2BEA"/>
    <w:rsid w:val="00EA2DBD"/>
    <w:rsid w:val="00EA2DC7"/>
    <w:rsid w:val="00EA2E31"/>
    <w:rsid w:val="00EA3295"/>
    <w:rsid w:val="00EA3328"/>
    <w:rsid w:val="00EA3356"/>
    <w:rsid w:val="00EA3577"/>
    <w:rsid w:val="00EA3F23"/>
    <w:rsid w:val="00EA43E9"/>
    <w:rsid w:val="00EA440A"/>
    <w:rsid w:val="00EA4624"/>
    <w:rsid w:val="00EA4C78"/>
    <w:rsid w:val="00EA53D2"/>
    <w:rsid w:val="00EA5465"/>
    <w:rsid w:val="00EA5557"/>
    <w:rsid w:val="00EA66D2"/>
    <w:rsid w:val="00EA6AF5"/>
    <w:rsid w:val="00EA6C37"/>
    <w:rsid w:val="00EA7CC2"/>
    <w:rsid w:val="00EB1098"/>
    <w:rsid w:val="00EB152D"/>
    <w:rsid w:val="00EB156B"/>
    <w:rsid w:val="00EB1AAD"/>
    <w:rsid w:val="00EB2825"/>
    <w:rsid w:val="00EB2884"/>
    <w:rsid w:val="00EB37A3"/>
    <w:rsid w:val="00EB3858"/>
    <w:rsid w:val="00EB3C3C"/>
    <w:rsid w:val="00EB41F1"/>
    <w:rsid w:val="00EB42E1"/>
    <w:rsid w:val="00EB4590"/>
    <w:rsid w:val="00EB46C5"/>
    <w:rsid w:val="00EB4ACF"/>
    <w:rsid w:val="00EB4C59"/>
    <w:rsid w:val="00EB5288"/>
    <w:rsid w:val="00EB55EE"/>
    <w:rsid w:val="00EB5946"/>
    <w:rsid w:val="00EB647B"/>
    <w:rsid w:val="00EB6CC7"/>
    <w:rsid w:val="00EB7089"/>
    <w:rsid w:val="00EB73F1"/>
    <w:rsid w:val="00EB7724"/>
    <w:rsid w:val="00EB7E21"/>
    <w:rsid w:val="00EC0465"/>
    <w:rsid w:val="00EC0993"/>
    <w:rsid w:val="00EC0F24"/>
    <w:rsid w:val="00EC1103"/>
    <w:rsid w:val="00EC1242"/>
    <w:rsid w:val="00EC1355"/>
    <w:rsid w:val="00EC16D3"/>
    <w:rsid w:val="00EC3298"/>
    <w:rsid w:val="00EC3364"/>
    <w:rsid w:val="00EC3571"/>
    <w:rsid w:val="00EC385F"/>
    <w:rsid w:val="00EC40D8"/>
    <w:rsid w:val="00EC52F9"/>
    <w:rsid w:val="00EC5A22"/>
    <w:rsid w:val="00EC656E"/>
    <w:rsid w:val="00EC6F7F"/>
    <w:rsid w:val="00EC7186"/>
    <w:rsid w:val="00ED0339"/>
    <w:rsid w:val="00ED08DA"/>
    <w:rsid w:val="00ED1869"/>
    <w:rsid w:val="00ED1B7D"/>
    <w:rsid w:val="00ED1FDB"/>
    <w:rsid w:val="00ED2107"/>
    <w:rsid w:val="00ED23DC"/>
    <w:rsid w:val="00ED30E7"/>
    <w:rsid w:val="00ED338D"/>
    <w:rsid w:val="00ED3B39"/>
    <w:rsid w:val="00ED3D31"/>
    <w:rsid w:val="00ED3D4F"/>
    <w:rsid w:val="00ED3FE4"/>
    <w:rsid w:val="00ED4516"/>
    <w:rsid w:val="00ED484C"/>
    <w:rsid w:val="00ED4B9F"/>
    <w:rsid w:val="00ED5011"/>
    <w:rsid w:val="00ED501C"/>
    <w:rsid w:val="00ED5717"/>
    <w:rsid w:val="00ED5D83"/>
    <w:rsid w:val="00ED5E35"/>
    <w:rsid w:val="00ED5F67"/>
    <w:rsid w:val="00ED60B6"/>
    <w:rsid w:val="00ED6E54"/>
    <w:rsid w:val="00ED6F5E"/>
    <w:rsid w:val="00ED7A83"/>
    <w:rsid w:val="00ED7A99"/>
    <w:rsid w:val="00ED7FC9"/>
    <w:rsid w:val="00EE0137"/>
    <w:rsid w:val="00EE03E8"/>
    <w:rsid w:val="00EE061C"/>
    <w:rsid w:val="00EE0AA0"/>
    <w:rsid w:val="00EE10E2"/>
    <w:rsid w:val="00EE13A7"/>
    <w:rsid w:val="00EE13ED"/>
    <w:rsid w:val="00EE202F"/>
    <w:rsid w:val="00EE2A3E"/>
    <w:rsid w:val="00EE39EE"/>
    <w:rsid w:val="00EE3E00"/>
    <w:rsid w:val="00EE45CF"/>
    <w:rsid w:val="00EE4613"/>
    <w:rsid w:val="00EE4D65"/>
    <w:rsid w:val="00EE4F44"/>
    <w:rsid w:val="00EE502B"/>
    <w:rsid w:val="00EE5662"/>
    <w:rsid w:val="00EE5BF7"/>
    <w:rsid w:val="00EE5E1D"/>
    <w:rsid w:val="00EE615E"/>
    <w:rsid w:val="00EE65A8"/>
    <w:rsid w:val="00EE68FB"/>
    <w:rsid w:val="00EE6CDE"/>
    <w:rsid w:val="00EE6D5C"/>
    <w:rsid w:val="00EE7435"/>
    <w:rsid w:val="00EE74A4"/>
    <w:rsid w:val="00EE7822"/>
    <w:rsid w:val="00EE7A4A"/>
    <w:rsid w:val="00EF071C"/>
    <w:rsid w:val="00EF18DE"/>
    <w:rsid w:val="00EF19D6"/>
    <w:rsid w:val="00EF1B48"/>
    <w:rsid w:val="00EF1B7C"/>
    <w:rsid w:val="00EF1DEC"/>
    <w:rsid w:val="00EF264F"/>
    <w:rsid w:val="00EF2846"/>
    <w:rsid w:val="00EF29BA"/>
    <w:rsid w:val="00EF3AD3"/>
    <w:rsid w:val="00EF4177"/>
    <w:rsid w:val="00EF45A9"/>
    <w:rsid w:val="00EF47EC"/>
    <w:rsid w:val="00EF48F3"/>
    <w:rsid w:val="00EF4AA1"/>
    <w:rsid w:val="00EF519E"/>
    <w:rsid w:val="00EF54F4"/>
    <w:rsid w:val="00EF5DF7"/>
    <w:rsid w:val="00EF626A"/>
    <w:rsid w:val="00EF65CE"/>
    <w:rsid w:val="00EF6E9B"/>
    <w:rsid w:val="00EF7301"/>
    <w:rsid w:val="00EF76B1"/>
    <w:rsid w:val="00EF7ADD"/>
    <w:rsid w:val="00EF7E62"/>
    <w:rsid w:val="00F00D33"/>
    <w:rsid w:val="00F01D96"/>
    <w:rsid w:val="00F0240B"/>
    <w:rsid w:val="00F02594"/>
    <w:rsid w:val="00F028F8"/>
    <w:rsid w:val="00F02CCE"/>
    <w:rsid w:val="00F02F8F"/>
    <w:rsid w:val="00F0305A"/>
    <w:rsid w:val="00F03242"/>
    <w:rsid w:val="00F0357C"/>
    <w:rsid w:val="00F03A97"/>
    <w:rsid w:val="00F03CD6"/>
    <w:rsid w:val="00F0481E"/>
    <w:rsid w:val="00F0516F"/>
    <w:rsid w:val="00F0539E"/>
    <w:rsid w:val="00F0566A"/>
    <w:rsid w:val="00F0583F"/>
    <w:rsid w:val="00F05D4C"/>
    <w:rsid w:val="00F062FF"/>
    <w:rsid w:val="00F063F0"/>
    <w:rsid w:val="00F064AA"/>
    <w:rsid w:val="00F06A50"/>
    <w:rsid w:val="00F06DC8"/>
    <w:rsid w:val="00F077E8"/>
    <w:rsid w:val="00F07D7B"/>
    <w:rsid w:val="00F104F1"/>
    <w:rsid w:val="00F10E42"/>
    <w:rsid w:val="00F11EA0"/>
    <w:rsid w:val="00F12DBD"/>
    <w:rsid w:val="00F13073"/>
    <w:rsid w:val="00F13110"/>
    <w:rsid w:val="00F13481"/>
    <w:rsid w:val="00F13799"/>
    <w:rsid w:val="00F13E52"/>
    <w:rsid w:val="00F146B3"/>
    <w:rsid w:val="00F1487D"/>
    <w:rsid w:val="00F151BF"/>
    <w:rsid w:val="00F15B5D"/>
    <w:rsid w:val="00F15D88"/>
    <w:rsid w:val="00F1625C"/>
    <w:rsid w:val="00F166CC"/>
    <w:rsid w:val="00F167D9"/>
    <w:rsid w:val="00F170A1"/>
    <w:rsid w:val="00F1717C"/>
    <w:rsid w:val="00F175C6"/>
    <w:rsid w:val="00F1778D"/>
    <w:rsid w:val="00F17854"/>
    <w:rsid w:val="00F2128C"/>
    <w:rsid w:val="00F21DC6"/>
    <w:rsid w:val="00F2228C"/>
    <w:rsid w:val="00F22515"/>
    <w:rsid w:val="00F226C7"/>
    <w:rsid w:val="00F22743"/>
    <w:rsid w:val="00F23AE2"/>
    <w:rsid w:val="00F24B94"/>
    <w:rsid w:val="00F24E88"/>
    <w:rsid w:val="00F24FAE"/>
    <w:rsid w:val="00F26166"/>
    <w:rsid w:val="00F264B3"/>
    <w:rsid w:val="00F267AC"/>
    <w:rsid w:val="00F273B7"/>
    <w:rsid w:val="00F27A43"/>
    <w:rsid w:val="00F305CF"/>
    <w:rsid w:val="00F30654"/>
    <w:rsid w:val="00F30A1F"/>
    <w:rsid w:val="00F30BB3"/>
    <w:rsid w:val="00F30C52"/>
    <w:rsid w:val="00F30DD2"/>
    <w:rsid w:val="00F311A1"/>
    <w:rsid w:val="00F319DD"/>
    <w:rsid w:val="00F31A36"/>
    <w:rsid w:val="00F31CD9"/>
    <w:rsid w:val="00F3204B"/>
    <w:rsid w:val="00F328F2"/>
    <w:rsid w:val="00F32912"/>
    <w:rsid w:val="00F32B52"/>
    <w:rsid w:val="00F3318B"/>
    <w:rsid w:val="00F33A37"/>
    <w:rsid w:val="00F34183"/>
    <w:rsid w:val="00F342CF"/>
    <w:rsid w:val="00F34BA7"/>
    <w:rsid w:val="00F34C41"/>
    <w:rsid w:val="00F3598C"/>
    <w:rsid w:val="00F359FA"/>
    <w:rsid w:val="00F36494"/>
    <w:rsid w:val="00F368A5"/>
    <w:rsid w:val="00F3765C"/>
    <w:rsid w:val="00F37B69"/>
    <w:rsid w:val="00F405BC"/>
    <w:rsid w:val="00F40F73"/>
    <w:rsid w:val="00F41175"/>
    <w:rsid w:val="00F4120A"/>
    <w:rsid w:val="00F4128F"/>
    <w:rsid w:val="00F41BC3"/>
    <w:rsid w:val="00F42242"/>
    <w:rsid w:val="00F428A1"/>
    <w:rsid w:val="00F43389"/>
    <w:rsid w:val="00F433A2"/>
    <w:rsid w:val="00F43486"/>
    <w:rsid w:val="00F43A56"/>
    <w:rsid w:val="00F43A8D"/>
    <w:rsid w:val="00F444B6"/>
    <w:rsid w:val="00F454A9"/>
    <w:rsid w:val="00F4575D"/>
    <w:rsid w:val="00F46EB4"/>
    <w:rsid w:val="00F47E25"/>
    <w:rsid w:val="00F509E5"/>
    <w:rsid w:val="00F51153"/>
    <w:rsid w:val="00F513C5"/>
    <w:rsid w:val="00F516C3"/>
    <w:rsid w:val="00F51D14"/>
    <w:rsid w:val="00F52648"/>
    <w:rsid w:val="00F52D0A"/>
    <w:rsid w:val="00F52E4B"/>
    <w:rsid w:val="00F52EC0"/>
    <w:rsid w:val="00F52F6E"/>
    <w:rsid w:val="00F53215"/>
    <w:rsid w:val="00F53889"/>
    <w:rsid w:val="00F53B5F"/>
    <w:rsid w:val="00F53D66"/>
    <w:rsid w:val="00F53E7E"/>
    <w:rsid w:val="00F53E93"/>
    <w:rsid w:val="00F54CE6"/>
    <w:rsid w:val="00F54DA6"/>
    <w:rsid w:val="00F54EF8"/>
    <w:rsid w:val="00F55A38"/>
    <w:rsid w:val="00F57DBC"/>
    <w:rsid w:val="00F6065F"/>
    <w:rsid w:val="00F60C5F"/>
    <w:rsid w:val="00F60E57"/>
    <w:rsid w:val="00F6127D"/>
    <w:rsid w:val="00F61354"/>
    <w:rsid w:val="00F61476"/>
    <w:rsid w:val="00F6191E"/>
    <w:rsid w:val="00F62565"/>
    <w:rsid w:val="00F6265A"/>
    <w:rsid w:val="00F636BE"/>
    <w:rsid w:val="00F63CEF"/>
    <w:rsid w:val="00F64A4E"/>
    <w:rsid w:val="00F64B58"/>
    <w:rsid w:val="00F65B28"/>
    <w:rsid w:val="00F65D59"/>
    <w:rsid w:val="00F66BA0"/>
    <w:rsid w:val="00F67241"/>
    <w:rsid w:val="00F70550"/>
    <w:rsid w:val="00F70D9F"/>
    <w:rsid w:val="00F71637"/>
    <w:rsid w:val="00F724FB"/>
    <w:rsid w:val="00F72E53"/>
    <w:rsid w:val="00F72FEC"/>
    <w:rsid w:val="00F739AB"/>
    <w:rsid w:val="00F741C5"/>
    <w:rsid w:val="00F75507"/>
    <w:rsid w:val="00F7550D"/>
    <w:rsid w:val="00F755C9"/>
    <w:rsid w:val="00F75A7B"/>
    <w:rsid w:val="00F75F4D"/>
    <w:rsid w:val="00F75FD7"/>
    <w:rsid w:val="00F76582"/>
    <w:rsid w:val="00F769A0"/>
    <w:rsid w:val="00F801D7"/>
    <w:rsid w:val="00F80381"/>
    <w:rsid w:val="00F80625"/>
    <w:rsid w:val="00F80A4D"/>
    <w:rsid w:val="00F811A5"/>
    <w:rsid w:val="00F819DE"/>
    <w:rsid w:val="00F81C27"/>
    <w:rsid w:val="00F822CC"/>
    <w:rsid w:val="00F82323"/>
    <w:rsid w:val="00F82A61"/>
    <w:rsid w:val="00F82D28"/>
    <w:rsid w:val="00F83643"/>
    <w:rsid w:val="00F83B58"/>
    <w:rsid w:val="00F83ED9"/>
    <w:rsid w:val="00F84379"/>
    <w:rsid w:val="00F84876"/>
    <w:rsid w:val="00F84B1A"/>
    <w:rsid w:val="00F84FF6"/>
    <w:rsid w:val="00F8584C"/>
    <w:rsid w:val="00F8608E"/>
    <w:rsid w:val="00F86203"/>
    <w:rsid w:val="00F871DB"/>
    <w:rsid w:val="00F900AB"/>
    <w:rsid w:val="00F9026F"/>
    <w:rsid w:val="00F91638"/>
    <w:rsid w:val="00F92571"/>
    <w:rsid w:val="00F925B0"/>
    <w:rsid w:val="00F92D4A"/>
    <w:rsid w:val="00F92F87"/>
    <w:rsid w:val="00F93361"/>
    <w:rsid w:val="00F933A8"/>
    <w:rsid w:val="00F93771"/>
    <w:rsid w:val="00F9379B"/>
    <w:rsid w:val="00F9416C"/>
    <w:rsid w:val="00F94E9F"/>
    <w:rsid w:val="00F94FF4"/>
    <w:rsid w:val="00F9524A"/>
    <w:rsid w:val="00F9546C"/>
    <w:rsid w:val="00F95B5A"/>
    <w:rsid w:val="00F96D56"/>
    <w:rsid w:val="00F96F8F"/>
    <w:rsid w:val="00F97269"/>
    <w:rsid w:val="00F97CDA"/>
    <w:rsid w:val="00FA0825"/>
    <w:rsid w:val="00FA0847"/>
    <w:rsid w:val="00FA0D24"/>
    <w:rsid w:val="00FA17D2"/>
    <w:rsid w:val="00FA1B4E"/>
    <w:rsid w:val="00FA2C0F"/>
    <w:rsid w:val="00FA2DFF"/>
    <w:rsid w:val="00FA3878"/>
    <w:rsid w:val="00FA38FD"/>
    <w:rsid w:val="00FA3D8B"/>
    <w:rsid w:val="00FA4B70"/>
    <w:rsid w:val="00FA52EA"/>
    <w:rsid w:val="00FA595C"/>
    <w:rsid w:val="00FA6094"/>
    <w:rsid w:val="00FA621C"/>
    <w:rsid w:val="00FA6526"/>
    <w:rsid w:val="00FA68D9"/>
    <w:rsid w:val="00FA6A21"/>
    <w:rsid w:val="00FA703E"/>
    <w:rsid w:val="00FA71A1"/>
    <w:rsid w:val="00FA7457"/>
    <w:rsid w:val="00FA76F4"/>
    <w:rsid w:val="00FA7DBE"/>
    <w:rsid w:val="00FB05FB"/>
    <w:rsid w:val="00FB0EA6"/>
    <w:rsid w:val="00FB195A"/>
    <w:rsid w:val="00FB1B31"/>
    <w:rsid w:val="00FB1C97"/>
    <w:rsid w:val="00FB1E97"/>
    <w:rsid w:val="00FB21CB"/>
    <w:rsid w:val="00FB24BB"/>
    <w:rsid w:val="00FB29CD"/>
    <w:rsid w:val="00FB2B4E"/>
    <w:rsid w:val="00FB31E2"/>
    <w:rsid w:val="00FB336F"/>
    <w:rsid w:val="00FB3385"/>
    <w:rsid w:val="00FB40A7"/>
    <w:rsid w:val="00FB4554"/>
    <w:rsid w:val="00FB46A9"/>
    <w:rsid w:val="00FB4C6A"/>
    <w:rsid w:val="00FB5118"/>
    <w:rsid w:val="00FB523E"/>
    <w:rsid w:val="00FB5575"/>
    <w:rsid w:val="00FB61E1"/>
    <w:rsid w:val="00FB6763"/>
    <w:rsid w:val="00FB6F90"/>
    <w:rsid w:val="00FB77B3"/>
    <w:rsid w:val="00FB78D3"/>
    <w:rsid w:val="00FC010C"/>
    <w:rsid w:val="00FC1629"/>
    <w:rsid w:val="00FC2510"/>
    <w:rsid w:val="00FC3380"/>
    <w:rsid w:val="00FC4B40"/>
    <w:rsid w:val="00FC4D6F"/>
    <w:rsid w:val="00FC5770"/>
    <w:rsid w:val="00FC58C0"/>
    <w:rsid w:val="00FC5995"/>
    <w:rsid w:val="00FC5AB9"/>
    <w:rsid w:val="00FC60FC"/>
    <w:rsid w:val="00FC6AA3"/>
    <w:rsid w:val="00FC6CD1"/>
    <w:rsid w:val="00FC6F2E"/>
    <w:rsid w:val="00FC736B"/>
    <w:rsid w:val="00FC7B0A"/>
    <w:rsid w:val="00FC7D60"/>
    <w:rsid w:val="00FD0362"/>
    <w:rsid w:val="00FD1899"/>
    <w:rsid w:val="00FD1B78"/>
    <w:rsid w:val="00FD1E66"/>
    <w:rsid w:val="00FD270B"/>
    <w:rsid w:val="00FD29D9"/>
    <w:rsid w:val="00FD31D4"/>
    <w:rsid w:val="00FD3585"/>
    <w:rsid w:val="00FD3650"/>
    <w:rsid w:val="00FD37EB"/>
    <w:rsid w:val="00FD3C07"/>
    <w:rsid w:val="00FD4759"/>
    <w:rsid w:val="00FD497A"/>
    <w:rsid w:val="00FD536E"/>
    <w:rsid w:val="00FD5811"/>
    <w:rsid w:val="00FD5D80"/>
    <w:rsid w:val="00FD6DB1"/>
    <w:rsid w:val="00FD7628"/>
    <w:rsid w:val="00FD7B4E"/>
    <w:rsid w:val="00FD7C57"/>
    <w:rsid w:val="00FE0005"/>
    <w:rsid w:val="00FE0371"/>
    <w:rsid w:val="00FE0631"/>
    <w:rsid w:val="00FE0CDC"/>
    <w:rsid w:val="00FE0F4A"/>
    <w:rsid w:val="00FE1549"/>
    <w:rsid w:val="00FE2054"/>
    <w:rsid w:val="00FE218C"/>
    <w:rsid w:val="00FE3CF0"/>
    <w:rsid w:val="00FE3DFF"/>
    <w:rsid w:val="00FE467B"/>
    <w:rsid w:val="00FE4801"/>
    <w:rsid w:val="00FE4957"/>
    <w:rsid w:val="00FE4B11"/>
    <w:rsid w:val="00FE5387"/>
    <w:rsid w:val="00FE5B21"/>
    <w:rsid w:val="00FE5CA4"/>
    <w:rsid w:val="00FE5EE8"/>
    <w:rsid w:val="00FE640F"/>
    <w:rsid w:val="00FE684B"/>
    <w:rsid w:val="00FE6C82"/>
    <w:rsid w:val="00FE6FB8"/>
    <w:rsid w:val="00FE759B"/>
    <w:rsid w:val="00FF020D"/>
    <w:rsid w:val="00FF030F"/>
    <w:rsid w:val="00FF0611"/>
    <w:rsid w:val="00FF09D4"/>
    <w:rsid w:val="00FF13F2"/>
    <w:rsid w:val="00FF2078"/>
    <w:rsid w:val="00FF244E"/>
    <w:rsid w:val="00FF2696"/>
    <w:rsid w:val="00FF2A79"/>
    <w:rsid w:val="00FF2E00"/>
    <w:rsid w:val="00FF2FD8"/>
    <w:rsid w:val="00FF3062"/>
    <w:rsid w:val="00FF325B"/>
    <w:rsid w:val="00FF37E1"/>
    <w:rsid w:val="00FF38BA"/>
    <w:rsid w:val="00FF49A6"/>
    <w:rsid w:val="00FF543C"/>
    <w:rsid w:val="00FF57FE"/>
    <w:rsid w:val="00FF5C2B"/>
    <w:rsid w:val="00FF5E01"/>
    <w:rsid w:val="00FF65CF"/>
    <w:rsid w:val="00FF6A3F"/>
    <w:rsid w:val="00FF6ACC"/>
    <w:rsid w:val="00FF6B64"/>
    <w:rsid w:val="00FF6F6D"/>
    <w:rsid w:val="00FF796B"/>
    <w:rsid w:val="00FF7F74"/>
    <w:rsid w:val="036363D4"/>
    <w:rsid w:val="041534AA"/>
    <w:rsid w:val="041E4505"/>
    <w:rsid w:val="05240F5F"/>
    <w:rsid w:val="055E1559"/>
    <w:rsid w:val="05A53C17"/>
    <w:rsid w:val="05B26E42"/>
    <w:rsid w:val="05D3560A"/>
    <w:rsid w:val="069A035E"/>
    <w:rsid w:val="077566D6"/>
    <w:rsid w:val="08202AE5"/>
    <w:rsid w:val="0853764E"/>
    <w:rsid w:val="09031D79"/>
    <w:rsid w:val="091F13BC"/>
    <w:rsid w:val="099926C5"/>
    <w:rsid w:val="0A635296"/>
    <w:rsid w:val="0AD43916"/>
    <w:rsid w:val="0BA50A65"/>
    <w:rsid w:val="0CA844BD"/>
    <w:rsid w:val="0D957225"/>
    <w:rsid w:val="0E1A5418"/>
    <w:rsid w:val="0E8E7389"/>
    <w:rsid w:val="0EEF3877"/>
    <w:rsid w:val="0F1B4006"/>
    <w:rsid w:val="0F2074B3"/>
    <w:rsid w:val="0F9D0FC2"/>
    <w:rsid w:val="0FE02217"/>
    <w:rsid w:val="0FED7A32"/>
    <w:rsid w:val="0FF705D0"/>
    <w:rsid w:val="10926F4B"/>
    <w:rsid w:val="111961E1"/>
    <w:rsid w:val="122E0B76"/>
    <w:rsid w:val="12BE5233"/>
    <w:rsid w:val="14635952"/>
    <w:rsid w:val="14736E54"/>
    <w:rsid w:val="15051734"/>
    <w:rsid w:val="151A2A36"/>
    <w:rsid w:val="156C169F"/>
    <w:rsid w:val="1653190C"/>
    <w:rsid w:val="16BF7AA7"/>
    <w:rsid w:val="16E876AB"/>
    <w:rsid w:val="1735378C"/>
    <w:rsid w:val="17513E4D"/>
    <w:rsid w:val="176947FE"/>
    <w:rsid w:val="17694DC3"/>
    <w:rsid w:val="181027EE"/>
    <w:rsid w:val="18EA3E5D"/>
    <w:rsid w:val="199D64BA"/>
    <w:rsid w:val="19C72378"/>
    <w:rsid w:val="1A444897"/>
    <w:rsid w:val="1A822DD8"/>
    <w:rsid w:val="1B132036"/>
    <w:rsid w:val="1B676306"/>
    <w:rsid w:val="1BC7796A"/>
    <w:rsid w:val="1C3B5CE8"/>
    <w:rsid w:val="1D130CC1"/>
    <w:rsid w:val="1DA8115B"/>
    <w:rsid w:val="1DBE47EF"/>
    <w:rsid w:val="1E012619"/>
    <w:rsid w:val="1E450CE4"/>
    <w:rsid w:val="1E957931"/>
    <w:rsid w:val="1F186ECD"/>
    <w:rsid w:val="1F3F6367"/>
    <w:rsid w:val="20275024"/>
    <w:rsid w:val="202D1DEC"/>
    <w:rsid w:val="20B147CB"/>
    <w:rsid w:val="20B839EE"/>
    <w:rsid w:val="215D2F71"/>
    <w:rsid w:val="219B4843"/>
    <w:rsid w:val="21E765AC"/>
    <w:rsid w:val="222070C7"/>
    <w:rsid w:val="22460F43"/>
    <w:rsid w:val="23536D44"/>
    <w:rsid w:val="239577B8"/>
    <w:rsid w:val="25B52667"/>
    <w:rsid w:val="26864004"/>
    <w:rsid w:val="27147861"/>
    <w:rsid w:val="272723B3"/>
    <w:rsid w:val="278816FB"/>
    <w:rsid w:val="279B3ADF"/>
    <w:rsid w:val="28924D82"/>
    <w:rsid w:val="2898508E"/>
    <w:rsid w:val="28DF4513"/>
    <w:rsid w:val="294E7855"/>
    <w:rsid w:val="29791BFE"/>
    <w:rsid w:val="297C5A29"/>
    <w:rsid w:val="29B166F2"/>
    <w:rsid w:val="29F97872"/>
    <w:rsid w:val="2A905933"/>
    <w:rsid w:val="2B2042C5"/>
    <w:rsid w:val="2B395AE8"/>
    <w:rsid w:val="2B5C440A"/>
    <w:rsid w:val="2C267E1B"/>
    <w:rsid w:val="2C9A25B7"/>
    <w:rsid w:val="2DC10B16"/>
    <w:rsid w:val="2E110657"/>
    <w:rsid w:val="2E3507E9"/>
    <w:rsid w:val="2E492A18"/>
    <w:rsid w:val="2EAC5A22"/>
    <w:rsid w:val="2F4076AC"/>
    <w:rsid w:val="2FAA47A0"/>
    <w:rsid w:val="300753CB"/>
    <w:rsid w:val="30E107B4"/>
    <w:rsid w:val="319B4E07"/>
    <w:rsid w:val="321F28F3"/>
    <w:rsid w:val="32621481"/>
    <w:rsid w:val="3307733D"/>
    <w:rsid w:val="33AD0E22"/>
    <w:rsid w:val="33F22E66"/>
    <w:rsid w:val="343A01EC"/>
    <w:rsid w:val="34865661"/>
    <w:rsid w:val="34E414F8"/>
    <w:rsid w:val="35076034"/>
    <w:rsid w:val="356E2A60"/>
    <w:rsid w:val="35CF1523"/>
    <w:rsid w:val="36095AB8"/>
    <w:rsid w:val="361B60AD"/>
    <w:rsid w:val="363338A4"/>
    <w:rsid w:val="36DA1F2E"/>
    <w:rsid w:val="36DB2090"/>
    <w:rsid w:val="37893EDF"/>
    <w:rsid w:val="37B74FFD"/>
    <w:rsid w:val="382117A3"/>
    <w:rsid w:val="38B62526"/>
    <w:rsid w:val="397523E2"/>
    <w:rsid w:val="397A79F8"/>
    <w:rsid w:val="39DC420F"/>
    <w:rsid w:val="3ACE5BF5"/>
    <w:rsid w:val="3AFD1EEE"/>
    <w:rsid w:val="3B527CBF"/>
    <w:rsid w:val="3B697D24"/>
    <w:rsid w:val="3B75452A"/>
    <w:rsid w:val="3BF0421A"/>
    <w:rsid w:val="3C76473A"/>
    <w:rsid w:val="3CDA0207"/>
    <w:rsid w:val="3D68383E"/>
    <w:rsid w:val="3E026B9E"/>
    <w:rsid w:val="3E0B50C2"/>
    <w:rsid w:val="3E6C7471"/>
    <w:rsid w:val="3E731C6B"/>
    <w:rsid w:val="3F6E7937"/>
    <w:rsid w:val="3F7378B5"/>
    <w:rsid w:val="3F7B3080"/>
    <w:rsid w:val="407D392A"/>
    <w:rsid w:val="40B375A8"/>
    <w:rsid w:val="410A6E38"/>
    <w:rsid w:val="4157061F"/>
    <w:rsid w:val="41FF0A9A"/>
    <w:rsid w:val="42055E54"/>
    <w:rsid w:val="4347073B"/>
    <w:rsid w:val="43B822B2"/>
    <w:rsid w:val="43E947EC"/>
    <w:rsid w:val="4409003F"/>
    <w:rsid w:val="44533872"/>
    <w:rsid w:val="44E45767"/>
    <w:rsid w:val="44F45B0A"/>
    <w:rsid w:val="45422E1B"/>
    <w:rsid w:val="45582831"/>
    <w:rsid w:val="455F44E4"/>
    <w:rsid w:val="457C565F"/>
    <w:rsid w:val="45AF7693"/>
    <w:rsid w:val="45E15EB9"/>
    <w:rsid w:val="469F0A9E"/>
    <w:rsid w:val="46F97B9C"/>
    <w:rsid w:val="470E3868"/>
    <w:rsid w:val="474B4782"/>
    <w:rsid w:val="47CE3A5F"/>
    <w:rsid w:val="4824775A"/>
    <w:rsid w:val="483671E0"/>
    <w:rsid w:val="483B65A4"/>
    <w:rsid w:val="494A609A"/>
    <w:rsid w:val="4994473F"/>
    <w:rsid w:val="4AE97A45"/>
    <w:rsid w:val="4B3C4CB1"/>
    <w:rsid w:val="4B513C4B"/>
    <w:rsid w:val="4B654546"/>
    <w:rsid w:val="4CC1157E"/>
    <w:rsid w:val="4D096115"/>
    <w:rsid w:val="4D156B5B"/>
    <w:rsid w:val="4D824305"/>
    <w:rsid w:val="4DA70238"/>
    <w:rsid w:val="4DD275A0"/>
    <w:rsid w:val="4E100D32"/>
    <w:rsid w:val="4E2B2C17"/>
    <w:rsid w:val="4EB36150"/>
    <w:rsid w:val="4EF143DE"/>
    <w:rsid w:val="4F3E060C"/>
    <w:rsid w:val="4FA2099C"/>
    <w:rsid w:val="508036EE"/>
    <w:rsid w:val="51742117"/>
    <w:rsid w:val="519F1952"/>
    <w:rsid w:val="52084953"/>
    <w:rsid w:val="523429E2"/>
    <w:rsid w:val="52927042"/>
    <w:rsid w:val="534627DB"/>
    <w:rsid w:val="54290479"/>
    <w:rsid w:val="54FC530D"/>
    <w:rsid w:val="55450A62"/>
    <w:rsid w:val="55F441AD"/>
    <w:rsid w:val="561C0690"/>
    <w:rsid w:val="564C210C"/>
    <w:rsid w:val="567C04B4"/>
    <w:rsid w:val="56F16C23"/>
    <w:rsid w:val="58045A58"/>
    <w:rsid w:val="58D55E87"/>
    <w:rsid w:val="59E7658C"/>
    <w:rsid w:val="5ACB7238"/>
    <w:rsid w:val="5B060C94"/>
    <w:rsid w:val="5B12588A"/>
    <w:rsid w:val="5B425472"/>
    <w:rsid w:val="5B5D09C7"/>
    <w:rsid w:val="5BAE5904"/>
    <w:rsid w:val="5BE10E3A"/>
    <w:rsid w:val="5C29597A"/>
    <w:rsid w:val="5C9522CF"/>
    <w:rsid w:val="5D50269A"/>
    <w:rsid w:val="5E8C32A6"/>
    <w:rsid w:val="5EC23124"/>
    <w:rsid w:val="5F335DCF"/>
    <w:rsid w:val="5F396641"/>
    <w:rsid w:val="5F3E122D"/>
    <w:rsid w:val="5FFD4D27"/>
    <w:rsid w:val="5FFEE06A"/>
    <w:rsid w:val="61560948"/>
    <w:rsid w:val="61E4019F"/>
    <w:rsid w:val="61F604E2"/>
    <w:rsid w:val="61F8163D"/>
    <w:rsid w:val="62643F4F"/>
    <w:rsid w:val="64073F41"/>
    <w:rsid w:val="641E2BAA"/>
    <w:rsid w:val="64E57A68"/>
    <w:rsid w:val="65206DF6"/>
    <w:rsid w:val="658F42CA"/>
    <w:rsid w:val="65902123"/>
    <w:rsid w:val="66756BF4"/>
    <w:rsid w:val="66D0491B"/>
    <w:rsid w:val="671038C5"/>
    <w:rsid w:val="671937E4"/>
    <w:rsid w:val="67784CC7"/>
    <w:rsid w:val="67C32652"/>
    <w:rsid w:val="67F029C9"/>
    <w:rsid w:val="689A2F87"/>
    <w:rsid w:val="693E78F4"/>
    <w:rsid w:val="694D4A04"/>
    <w:rsid w:val="6A3405EB"/>
    <w:rsid w:val="6AB239CD"/>
    <w:rsid w:val="6C5C4BB7"/>
    <w:rsid w:val="6DC155F7"/>
    <w:rsid w:val="6E4A2E20"/>
    <w:rsid w:val="6EBE06B3"/>
    <w:rsid w:val="6FC2026D"/>
    <w:rsid w:val="6FD9651F"/>
    <w:rsid w:val="6FF1273D"/>
    <w:rsid w:val="701B025E"/>
    <w:rsid w:val="704E5083"/>
    <w:rsid w:val="70AC59E2"/>
    <w:rsid w:val="71B56FC3"/>
    <w:rsid w:val="71CB0279"/>
    <w:rsid w:val="7205184D"/>
    <w:rsid w:val="72984C83"/>
    <w:rsid w:val="730B67BF"/>
    <w:rsid w:val="73261A7B"/>
    <w:rsid w:val="733E17AC"/>
    <w:rsid w:val="73610D05"/>
    <w:rsid w:val="7408534D"/>
    <w:rsid w:val="742772B0"/>
    <w:rsid w:val="755B3A4A"/>
    <w:rsid w:val="75752846"/>
    <w:rsid w:val="758B206A"/>
    <w:rsid w:val="76D8751A"/>
    <w:rsid w:val="783169D1"/>
    <w:rsid w:val="79E82CBF"/>
    <w:rsid w:val="7A327F3A"/>
    <w:rsid w:val="7A7909FF"/>
    <w:rsid w:val="7A994168"/>
    <w:rsid w:val="7A9F42EE"/>
    <w:rsid w:val="7AAD2097"/>
    <w:rsid w:val="7B8024AA"/>
    <w:rsid w:val="7BA95450"/>
    <w:rsid w:val="7BFD2B4D"/>
    <w:rsid w:val="7C0D627E"/>
    <w:rsid w:val="7C7DA243"/>
    <w:rsid w:val="7CB05962"/>
    <w:rsid w:val="7D1853E8"/>
    <w:rsid w:val="7D7F1004"/>
    <w:rsid w:val="7DF36B35"/>
    <w:rsid w:val="7F2D234E"/>
    <w:rsid w:val="7F797A56"/>
    <w:rsid w:val="7F8A417F"/>
    <w:rsid w:val="7FBD4DED"/>
    <w:rsid w:val="C7D8329F"/>
    <w:rsid w:val="CDF75BC4"/>
    <w:rsid w:val="DCFF2485"/>
    <w:rsid w:val="DF793C25"/>
    <w:rsid w:val="F77B5D56"/>
    <w:rsid w:val="FA758C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rotate="t"/>
      <v:stroke weight="1pt" color="#B2A1C7"/>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99"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99" w:semiHidden="0" w:name="FollowedHyperlink"/>
    <w:lsdException w:qFormat="1" w:unhideWhenUsed="0" w:uiPriority="22" w:semiHidden="0" w:name="Strong"/>
    <w:lsdException w:qFormat="1" w:unhideWhenUsed="0" w:uiPriority="0" w:semiHidden="0" w:name="Emphasis"/>
    <w:lsdException w:qFormat="1" w:unhideWhenUsed="0" w:uiPriority="99"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iPriority="0" w:name="HTML Sample"/>
    <w:lsdException w:unhideWhenUsed="0" w:uiPriority="0" w:semiHidden="0" w:name="HTML Typewriter"/>
    <w:lsdException w:uiPriority="0" w:name="HTML Variable"/>
    <w:lsdException w:qFormat="1"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ind w:left="119" w:right="113"/>
      <w:jc w:val="both"/>
    </w:pPr>
    <w:rPr>
      <w:rFonts w:ascii="Times New Roman" w:hAnsi="Times New Roman" w:eastAsia="Arial Unicode MS" w:cs="Times New Roman"/>
      <w:sz w:val="24"/>
      <w:szCs w:val="24"/>
      <w:lang w:val="en-US" w:eastAsia="zh-CN" w:bidi="ar-SA"/>
    </w:rPr>
  </w:style>
  <w:style w:type="paragraph" w:styleId="2">
    <w:name w:val="heading 1"/>
    <w:basedOn w:val="1"/>
    <w:next w:val="1"/>
    <w:link w:val="41"/>
    <w:qFormat/>
    <w:uiPriority w:val="9"/>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outlineLvl w:val="1"/>
    </w:pPr>
    <w:rPr>
      <w:rFonts w:eastAsia="Times New Roman"/>
      <w:bCs/>
      <w:sz w:val="22"/>
      <w:szCs w:val="32"/>
    </w:rPr>
  </w:style>
  <w:style w:type="paragraph" w:styleId="4">
    <w:name w:val="heading 3"/>
    <w:basedOn w:val="1"/>
    <w:next w:val="1"/>
    <w:link w:val="101"/>
    <w:unhideWhenUsed/>
    <w:qFormat/>
    <w:uiPriority w:val="0"/>
    <w:pPr>
      <w:keepNext/>
      <w:keepLines/>
      <w:spacing w:before="260" w:after="260" w:line="416" w:lineRule="auto"/>
      <w:outlineLvl w:val="2"/>
    </w:pPr>
    <w:rPr>
      <w:b/>
      <w:bCs/>
      <w:sz w:val="32"/>
      <w:szCs w:val="32"/>
    </w:rPr>
  </w:style>
  <w:style w:type="paragraph" w:styleId="5">
    <w:name w:val="heading 4"/>
    <w:basedOn w:val="1"/>
    <w:next w:val="1"/>
    <w:link w:val="159"/>
    <w:semiHidden/>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31">
    <w:name w:val="Default Paragraph Font"/>
    <w:semiHidden/>
    <w:unhideWhenUsed/>
    <w:qFormat/>
    <w:uiPriority w:val="1"/>
  </w:style>
  <w:style w:type="table" w:default="1" w:styleId="29">
    <w:name w:val="Normal Table"/>
    <w:semiHidden/>
    <w:unhideWhenUsed/>
    <w:qFormat/>
    <w:uiPriority w:val="99"/>
    <w:tblPr>
      <w:tblCellMar>
        <w:top w:w="0" w:type="dxa"/>
        <w:left w:w="108" w:type="dxa"/>
        <w:bottom w:w="0" w:type="dxa"/>
        <w:right w:w="108" w:type="dxa"/>
      </w:tblCellMar>
    </w:tblPr>
  </w:style>
  <w:style w:type="paragraph" w:styleId="6">
    <w:name w:val="toc 7"/>
    <w:basedOn w:val="1"/>
    <w:next w:val="1"/>
    <w:unhideWhenUsed/>
    <w:qFormat/>
    <w:uiPriority w:val="39"/>
    <w:pPr>
      <w:spacing w:before="0" w:after="0"/>
      <w:ind w:left="1440"/>
      <w:jc w:val="left"/>
    </w:pPr>
    <w:rPr>
      <w:rFonts w:asciiTheme="minorHAnsi" w:hAnsiTheme="minorHAnsi" w:cstheme="minorHAnsi"/>
      <w:sz w:val="20"/>
      <w:szCs w:val="20"/>
    </w:rPr>
  </w:style>
  <w:style w:type="paragraph" w:styleId="7">
    <w:name w:val="caption"/>
    <w:basedOn w:val="1"/>
    <w:next w:val="1"/>
    <w:unhideWhenUsed/>
    <w:qFormat/>
    <w:uiPriority w:val="35"/>
    <w:pPr>
      <w:spacing w:before="0" w:after="0"/>
      <w:ind w:left="0" w:right="0"/>
      <w:jc w:val="left"/>
    </w:pPr>
    <w:rPr>
      <w:rFonts w:eastAsia="宋体"/>
      <w:b/>
      <w:bCs/>
      <w:kern w:val="2"/>
      <w:sz w:val="20"/>
      <w:szCs w:val="20"/>
    </w:rPr>
  </w:style>
  <w:style w:type="paragraph" w:styleId="8">
    <w:name w:val="Document Map"/>
    <w:basedOn w:val="1"/>
    <w:link w:val="94"/>
    <w:qFormat/>
    <w:uiPriority w:val="99"/>
    <w:rPr>
      <w:rFonts w:ascii="宋体" w:eastAsia="宋体"/>
      <w:sz w:val="18"/>
      <w:szCs w:val="18"/>
    </w:rPr>
  </w:style>
  <w:style w:type="paragraph" w:styleId="9">
    <w:name w:val="annotation text"/>
    <w:basedOn w:val="1"/>
    <w:link w:val="126"/>
    <w:qFormat/>
    <w:uiPriority w:val="0"/>
    <w:rPr>
      <w:sz w:val="20"/>
      <w:szCs w:val="20"/>
    </w:rPr>
  </w:style>
  <w:style w:type="paragraph" w:styleId="10">
    <w:name w:val="Body Text"/>
    <w:basedOn w:val="1"/>
    <w:link w:val="100"/>
    <w:qFormat/>
    <w:uiPriority w:val="1"/>
    <w:pPr>
      <w:widowControl w:val="0"/>
      <w:autoSpaceDE w:val="0"/>
      <w:autoSpaceDN w:val="0"/>
    </w:pPr>
    <w:rPr>
      <w:rFonts w:ascii="宋体" w:hAnsi="宋体" w:eastAsia="宋体" w:cs="宋体"/>
      <w:sz w:val="22"/>
      <w:szCs w:val="22"/>
      <w:lang w:eastAsia="en-US"/>
    </w:rPr>
  </w:style>
  <w:style w:type="paragraph" w:styleId="11">
    <w:name w:val="toc 5"/>
    <w:basedOn w:val="1"/>
    <w:next w:val="1"/>
    <w:unhideWhenUsed/>
    <w:qFormat/>
    <w:uiPriority w:val="39"/>
    <w:pPr>
      <w:spacing w:before="0" w:after="0"/>
      <w:ind w:left="960"/>
      <w:jc w:val="left"/>
    </w:pPr>
    <w:rPr>
      <w:rFonts w:asciiTheme="minorHAnsi" w:hAnsiTheme="minorHAnsi" w:cstheme="minorHAnsi"/>
      <w:sz w:val="20"/>
      <w:szCs w:val="20"/>
    </w:rPr>
  </w:style>
  <w:style w:type="paragraph" w:styleId="12">
    <w:name w:val="toc 3"/>
    <w:basedOn w:val="1"/>
    <w:next w:val="1"/>
    <w:link w:val="140"/>
    <w:unhideWhenUsed/>
    <w:qFormat/>
    <w:uiPriority w:val="39"/>
    <w:pPr>
      <w:spacing w:before="0" w:after="0"/>
      <w:ind w:left="480"/>
      <w:jc w:val="left"/>
    </w:pPr>
    <w:rPr>
      <w:rFonts w:asciiTheme="minorHAnsi" w:hAnsiTheme="minorHAnsi" w:cstheme="minorHAnsi"/>
      <w:sz w:val="20"/>
      <w:szCs w:val="20"/>
    </w:rPr>
  </w:style>
  <w:style w:type="paragraph" w:styleId="13">
    <w:name w:val="toc 8"/>
    <w:basedOn w:val="1"/>
    <w:next w:val="1"/>
    <w:unhideWhenUsed/>
    <w:qFormat/>
    <w:uiPriority w:val="39"/>
    <w:pPr>
      <w:spacing w:before="0" w:after="0"/>
      <w:ind w:left="1680"/>
      <w:jc w:val="left"/>
    </w:pPr>
    <w:rPr>
      <w:rFonts w:asciiTheme="minorHAnsi" w:hAnsiTheme="minorHAnsi" w:cstheme="minorHAnsi"/>
      <w:sz w:val="20"/>
      <w:szCs w:val="20"/>
    </w:rPr>
  </w:style>
  <w:style w:type="paragraph" w:styleId="14">
    <w:name w:val="Date"/>
    <w:basedOn w:val="1"/>
    <w:next w:val="1"/>
    <w:link w:val="93"/>
    <w:qFormat/>
    <w:uiPriority w:val="0"/>
    <w:pPr>
      <w:ind w:left="100" w:leftChars="2500"/>
    </w:pPr>
  </w:style>
  <w:style w:type="paragraph" w:styleId="15">
    <w:name w:val="endnote text"/>
    <w:basedOn w:val="1"/>
    <w:link w:val="156"/>
    <w:qFormat/>
    <w:uiPriority w:val="0"/>
    <w:pPr>
      <w:snapToGrid w:val="0"/>
      <w:jc w:val="left"/>
    </w:pPr>
  </w:style>
  <w:style w:type="paragraph" w:styleId="16">
    <w:name w:val="Balloon Text"/>
    <w:basedOn w:val="1"/>
    <w:link w:val="127"/>
    <w:qFormat/>
    <w:uiPriority w:val="99"/>
    <w:rPr>
      <w:rFonts w:ascii="宋体" w:eastAsia="宋体"/>
      <w:sz w:val="18"/>
      <w:szCs w:val="18"/>
    </w:rPr>
  </w:style>
  <w:style w:type="paragraph" w:styleId="17">
    <w:name w:val="footer"/>
    <w:basedOn w:val="1"/>
    <w:link w:val="113"/>
    <w:qFormat/>
    <w:uiPriority w:val="99"/>
    <w:pPr>
      <w:tabs>
        <w:tab w:val="center" w:pos="4153"/>
        <w:tab w:val="right" w:pos="8306"/>
      </w:tabs>
      <w:snapToGrid w:val="0"/>
    </w:pPr>
    <w:rPr>
      <w:sz w:val="18"/>
      <w:szCs w:val="18"/>
    </w:rPr>
  </w:style>
  <w:style w:type="paragraph" w:styleId="18">
    <w:name w:val="header"/>
    <w:basedOn w:val="1"/>
    <w:link w:val="164"/>
    <w:qFormat/>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qFormat/>
    <w:uiPriority w:val="39"/>
    <w:pPr>
      <w:spacing w:before="240"/>
      <w:ind w:left="0"/>
      <w:jc w:val="left"/>
    </w:pPr>
    <w:rPr>
      <w:rFonts w:asciiTheme="minorHAnsi" w:hAnsiTheme="minorHAnsi" w:cstheme="minorHAnsi"/>
      <w:b/>
      <w:bCs/>
      <w:sz w:val="20"/>
      <w:szCs w:val="20"/>
    </w:rPr>
  </w:style>
  <w:style w:type="paragraph" w:styleId="20">
    <w:name w:val="toc 4"/>
    <w:basedOn w:val="1"/>
    <w:next w:val="1"/>
    <w:unhideWhenUsed/>
    <w:qFormat/>
    <w:uiPriority w:val="39"/>
    <w:pPr>
      <w:spacing w:before="0" w:after="0"/>
      <w:ind w:left="720"/>
      <w:jc w:val="left"/>
    </w:pPr>
    <w:rPr>
      <w:rFonts w:asciiTheme="minorHAnsi" w:hAnsiTheme="minorHAnsi" w:cstheme="minorHAnsi"/>
      <w:sz w:val="20"/>
      <w:szCs w:val="20"/>
    </w:rPr>
  </w:style>
  <w:style w:type="paragraph" w:styleId="21">
    <w:name w:val="Subtitle"/>
    <w:basedOn w:val="1"/>
    <w:next w:val="1"/>
    <w:link w:val="116"/>
    <w:qFormat/>
    <w:uiPriority w:val="11"/>
    <w:pPr>
      <w:spacing w:before="0" w:beforeLines="50" w:after="0" w:afterLines="50"/>
      <w:ind w:left="0" w:right="0"/>
      <w:jc w:val="left"/>
      <w:outlineLvl w:val="2"/>
    </w:pPr>
    <w:rPr>
      <w:rFonts w:ascii="楷体" w:hAnsi="楷体" w:eastAsia="楷体"/>
      <w:b/>
      <w:bCs/>
      <w:i/>
      <w:iCs/>
      <w:color w:val="17365D"/>
    </w:rPr>
  </w:style>
  <w:style w:type="paragraph" w:styleId="22">
    <w:name w:val="footnote text"/>
    <w:basedOn w:val="1"/>
    <w:link w:val="65"/>
    <w:qFormat/>
    <w:uiPriority w:val="0"/>
    <w:pPr>
      <w:widowControl w:val="0"/>
      <w:snapToGrid w:val="0"/>
    </w:pPr>
    <w:rPr>
      <w:rFonts w:eastAsia="宋体"/>
      <w:kern w:val="2"/>
      <w:sz w:val="18"/>
      <w:szCs w:val="18"/>
    </w:rPr>
  </w:style>
  <w:style w:type="paragraph" w:styleId="23">
    <w:name w:val="toc 6"/>
    <w:basedOn w:val="1"/>
    <w:next w:val="1"/>
    <w:unhideWhenUsed/>
    <w:qFormat/>
    <w:uiPriority w:val="39"/>
    <w:pPr>
      <w:spacing w:before="0" w:after="0"/>
      <w:ind w:left="1200"/>
      <w:jc w:val="left"/>
    </w:pPr>
    <w:rPr>
      <w:rFonts w:asciiTheme="minorHAnsi" w:hAnsiTheme="minorHAnsi" w:cstheme="minorHAnsi"/>
      <w:sz w:val="20"/>
      <w:szCs w:val="20"/>
    </w:rPr>
  </w:style>
  <w:style w:type="paragraph" w:styleId="24">
    <w:name w:val="toc 2"/>
    <w:basedOn w:val="1"/>
    <w:next w:val="1"/>
    <w:link w:val="143"/>
    <w:unhideWhenUsed/>
    <w:qFormat/>
    <w:uiPriority w:val="39"/>
    <w:pPr>
      <w:spacing w:after="0"/>
      <w:ind w:left="240"/>
      <w:jc w:val="left"/>
    </w:pPr>
    <w:rPr>
      <w:rFonts w:asciiTheme="minorHAnsi" w:hAnsiTheme="minorHAnsi" w:cstheme="minorHAnsi"/>
      <w:i/>
      <w:iCs/>
      <w:sz w:val="20"/>
      <w:szCs w:val="20"/>
    </w:rPr>
  </w:style>
  <w:style w:type="paragraph" w:styleId="25">
    <w:name w:val="toc 9"/>
    <w:basedOn w:val="1"/>
    <w:next w:val="1"/>
    <w:unhideWhenUsed/>
    <w:qFormat/>
    <w:uiPriority w:val="39"/>
    <w:pPr>
      <w:spacing w:before="0" w:after="0"/>
      <w:ind w:left="1920"/>
      <w:jc w:val="left"/>
    </w:pPr>
    <w:rPr>
      <w:rFonts w:asciiTheme="minorHAnsi" w:hAnsiTheme="minorHAnsi" w:cstheme="minorHAnsi"/>
      <w:sz w:val="20"/>
      <w:szCs w:val="20"/>
    </w:rPr>
  </w:style>
  <w:style w:type="paragraph" w:styleId="26">
    <w:name w:val="Normal (Web)"/>
    <w:basedOn w:val="1"/>
    <w:qFormat/>
    <w:uiPriority w:val="99"/>
    <w:pPr>
      <w:spacing w:before="100" w:beforeAutospacing="1" w:after="100" w:afterAutospacing="1"/>
    </w:pPr>
    <w:rPr>
      <w:rFonts w:ascii="宋体" w:hAnsi="宋体" w:eastAsia="宋体" w:cs="宋体"/>
      <w:color w:val="000000"/>
    </w:rPr>
  </w:style>
  <w:style w:type="paragraph" w:styleId="27">
    <w:name w:val="Title"/>
    <w:basedOn w:val="1"/>
    <w:next w:val="1"/>
    <w:link w:val="117"/>
    <w:qFormat/>
    <w:uiPriority w:val="10"/>
    <w:pPr>
      <w:spacing w:before="0" w:beforeLines="50" w:after="0" w:afterLines="50"/>
      <w:ind w:left="0" w:right="0"/>
      <w:jc w:val="left"/>
      <w:outlineLvl w:val="1"/>
    </w:pPr>
    <w:rPr>
      <w:rFonts w:ascii="楷体" w:hAnsi="楷体" w:eastAsia="楷体"/>
      <w:b/>
      <w:bCs/>
      <w:i/>
      <w:color w:val="17365D"/>
      <w:sz w:val="28"/>
      <w:szCs w:val="28"/>
    </w:rPr>
  </w:style>
  <w:style w:type="paragraph" w:styleId="28">
    <w:name w:val="annotation subject"/>
    <w:basedOn w:val="9"/>
    <w:next w:val="9"/>
    <w:link w:val="118"/>
    <w:qFormat/>
    <w:uiPriority w:val="99"/>
    <w:rPr>
      <w:b/>
      <w:bCs/>
    </w:rPr>
  </w:style>
  <w:style w:type="table" w:styleId="30">
    <w:name w:val="Table Grid"/>
    <w:basedOn w:val="29"/>
    <w:qFormat/>
    <w:uiPriority w:val="59"/>
    <w:pPr>
      <w:widowControl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2">
    <w:name w:val="Strong"/>
    <w:qFormat/>
    <w:uiPriority w:val="22"/>
    <w:rPr>
      <w:b/>
      <w:bCs/>
    </w:rPr>
  </w:style>
  <w:style w:type="character" w:styleId="33">
    <w:name w:val="endnote reference"/>
    <w:basedOn w:val="31"/>
    <w:qFormat/>
    <w:uiPriority w:val="0"/>
    <w:rPr>
      <w:vertAlign w:val="superscript"/>
    </w:rPr>
  </w:style>
  <w:style w:type="character" w:styleId="34">
    <w:name w:val="page number"/>
    <w:basedOn w:val="31"/>
    <w:qFormat/>
    <w:uiPriority w:val="99"/>
  </w:style>
  <w:style w:type="character" w:styleId="35">
    <w:name w:val="FollowedHyperlink"/>
    <w:qFormat/>
    <w:uiPriority w:val="99"/>
    <w:rPr>
      <w:color w:val="800080"/>
      <w:u w:val="single"/>
    </w:rPr>
  </w:style>
  <w:style w:type="character" w:styleId="36">
    <w:name w:val="Hyperlink"/>
    <w:qFormat/>
    <w:uiPriority w:val="99"/>
    <w:rPr>
      <w:color w:val="0000FF"/>
      <w:u w:val="single"/>
    </w:rPr>
  </w:style>
  <w:style w:type="character" w:styleId="37">
    <w:name w:val="annotation reference"/>
    <w:qFormat/>
    <w:uiPriority w:val="0"/>
    <w:rPr>
      <w:sz w:val="16"/>
      <w:szCs w:val="16"/>
    </w:rPr>
  </w:style>
  <w:style w:type="character" w:styleId="38">
    <w:name w:val="footnote reference"/>
    <w:qFormat/>
    <w:uiPriority w:val="0"/>
    <w:rPr>
      <w:vertAlign w:val="superscript"/>
    </w:rPr>
  </w:style>
  <w:style w:type="paragraph" w:customStyle="1" w:styleId="39">
    <w:name w:val="EY Body Text"/>
    <w:basedOn w:val="1"/>
    <w:link w:val="40"/>
    <w:qFormat/>
    <w:uiPriority w:val="0"/>
    <w:pPr>
      <w:overflowPunct w:val="0"/>
      <w:autoSpaceDE w:val="0"/>
      <w:autoSpaceDN w:val="0"/>
      <w:adjustRightInd w:val="0"/>
      <w:spacing w:line="280" w:lineRule="exact"/>
      <w:textAlignment w:val="baseline"/>
    </w:pPr>
    <w:rPr>
      <w:rFonts w:eastAsia="MS Mincho" w:cs="Arial"/>
      <w:bCs/>
      <w:sz w:val="22"/>
      <w:szCs w:val="20"/>
      <w:lang w:eastAsia="en-US"/>
    </w:rPr>
  </w:style>
  <w:style w:type="character" w:customStyle="1" w:styleId="40">
    <w:name w:val="EY Body Text Char"/>
    <w:link w:val="39"/>
    <w:qFormat/>
    <w:uiPriority w:val="0"/>
    <w:rPr>
      <w:rFonts w:eastAsia="MS Mincho" w:cs="Arial"/>
      <w:bCs/>
      <w:sz w:val="22"/>
      <w:lang w:val="en-US" w:eastAsia="en-US" w:bidi="ar-SA"/>
    </w:rPr>
  </w:style>
  <w:style w:type="character" w:customStyle="1" w:styleId="41">
    <w:name w:val="标题 1 字符"/>
    <w:link w:val="2"/>
    <w:qFormat/>
    <w:uiPriority w:val="9"/>
    <w:rPr>
      <w:rFonts w:eastAsia="Arial Unicode MS"/>
      <w:b/>
      <w:bCs/>
      <w:kern w:val="44"/>
      <w:sz w:val="44"/>
      <w:szCs w:val="44"/>
      <w:lang w:val="en-US" w:eastAsia="zh-CN" w:bidi="ar-SA"/>
    </w:rPr>
  </w:style>
  <w:style w:type="character" w:customStyle="1" w:styleId="42">
    <w:name w:val="blueten1"/>
    <w:qFormat/>
    <w:uiPriority w:val="0"/>
    <w:rPr>
      <w:rFonts w:hint="default" w:ascii="Verdana" w:hAnsi="Verdana"/>
      <w:color w:val="000000"/>
      <w:sz w:val="19"/>
      <w:szCs w:val="19"/>
    </w:rPr>
  </w:style>
  <w:style w:type="character" w:customStyle="1" w:styleId="43">
    <w:name w:val="a21"/>
    <w:qFormat/>
    <w:uiPriority w:val="0"/>
    <w:rPr>
      <w:sz w:val="18"/>
      <w:szCs w:val="18"/>
    </w:rPr>
  </w:style>
  <w:style w:type="character" w:customStyle="1" w:styleId="44">
    <w:name w:val="h1 chapter heading Char"/>
    <w:qFormat/>
    <w:uiPriority w:val="0"/>
    <w:rPr>
      <w:rFonts w:ascii="Arial" w:hAnsi="Arial" w:eastAsia="宋体" w:cs="Arial"/>
      <w:b/>
      <w:bCs/>
      <w:kern w:val="32"/>
      <w:sz w:val="32"/>
      <w:szCs w:val="32"/>
      <w:lang w:val="en-US" w:eastAsia="zh-CN" w:bidi="ar-SA"/>
    </w:rPr>
  </w:style>
  <w:style w:type="paragraph" w:customStyle="1" w:styleId="45">
    <w:name w:val="font1"/>
    <w:basedOn w:val="1"/>
    <w:qFormat/>
    <w:uiPriority w:val="0"/>
    <w:pPr>
      <w:spacing w:before="100" w:beforeAutospacing="1" w:after="100" w:afterAutospacing="1"/>
    </w:pPr>
    <w:rPr>
      <w:rFonts w:ascii="Arial" w:hAnsi="Arial" w:eastAsia="宋体" w:cs="Arial"/>
      <w:sz w:val="20"/>
      <w:szCs w:val="20"/>
    </w:rPr>
  </w:style>
  <w:style w:type="paragraph" w:customStyle="1" w:styleId="46">
    <w:name w:val="font5"/>
    <w:basedOn w:val="1"/>
    <w:qFormat/>
    <w:uiPriority w:val="0"/>
    <w:pPr>
      <w:spacing w:before="100" w:beforeAutospacing="1" w:after="100" w:afterAutospacing="1"/>
    </w:pPr>
    <w:rPr>
      <w:rFonts w:ascii="Arial" w:hAnsi="Arial" w:eastAsia="宋体" w:cs="Arial"/>
      <w:sz w:val="16"/>
      <w:szCs w:val="16"/>
    </w:rPr>
  </w:style>
  <w:style w:type="paragraph" w:customStyle="1" w:styleId="47">
    <w:name w:val="font6"/>
    <w:basedOn w:val="1"/>
    <w:qFormat/>
    <w:uiPriority w:val="0"/>
    <w:pPr>
      <w:spacing w:before="100" w:beforeAutospacing="1" w:after="100" w:afterAutospacing="1"/>
    </w:pPr>
    <w:rPr>
      <w:rFonts w:ascii="宋体" w:hAnsi="宋体" w:eastAsia="宋体" w:cs="宋体"/>
      <w:sz w:val="20"/>
      <w:szCs w:val="20"/>
    </w:rPr>
  </w:style>
  <w:style w:type="paragraph" w:customStyle="1" w:styleId="48">
    <w:name w:val="xl24"/>
    <w:basedOn w:val="1"/>
    <w:qFormat/>
    <w:uiPriority w:val="0"/>
    <w:pPr>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49">
    <w:name w:val="xl25"/>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50">
    <w:name w:val="xl26"/>
    <w:basedOn w:val="1"/>
    <w:qFormat/>
    <w:uiPriority w:val="0"/>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center"/>
      <w:textAlignment w:val="center"/>
    </w:pPr>
    <w:rPr>
      <w:rFonts w:ascii="宋体" w:hAnsi="宋体" w:eastAsia="宋体" w:cs="宋体"/>
      <w:b/>
      <w:bCs/>
    </w:rPr>
  </w:style>
  <w:style w:type="paragraph" w:customStyle="1" w:styleId="51">
    <w:name w:val="xl2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rPr>
  </w:style>
  <w:style w:type="paragraph" w:customStyle="1" w:styleId="52">
    <w:name w:val="xl2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53">
    <w:name w:val="xl2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eastAsia="宋体" w:cs="宋体"/>
    </w:rPr>
  </w:style>
  <w:style w:type="paragraph" w:customStyle="1" w:styleId="54">
    <w:name w:val="xl30"/>
    <w:basedOn w:val="1"/>
    <w:qFormat/>
    <w:uiPriority w:val="0"/>
    <w:pPr>
      <w:pBdr>
        <w:top w:val="single" w:color="auto" w:sz="4" w:space="0"/>
        <w:left w:val="single" w:color="auto" w:sz="4" w:space="0"/>
        <w:bottom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5">
    <w:name w:val="xl31"/>
    <w:basedOn w:val="1"/>
    <w:qFormat/>
    <w:uiPriority w:val="0"/>
    <w:pPr>
      <w:pBdr>
        <w:top w:val="single" w:color="auto" w:sz="4" w:space="0"/>
        <w:bottom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6">
    <w:name w:val="xl32"/>
    <w:basedOn w:val="1"/>
    <w:qFormat/>
    <w:uiPriority w:val="0"/>
    <w:pPr>
      <w:pBdr>
        <w:top w:val="single" w:color="auto" w:sz="4" w:space="0"/>
        <w:bottom w:val="single" w:color="auto" w:sz="4" w:space="0"/>
        <w:right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7">
    <w:name w:val="xl33"/>
    <w:basedOn w:val="1"/>
    <w:qFormat/>
    <w:uiPriority w:val="0"/>
    <w:pPr>
      <w:pBdr>
        <w:top w:val="single" w:color="auto" w:sz="4" w:space="0"/>
        <w:left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58">
    <w:name w:val="xl34"/>
    <w:basedOn w:val="1"/>
    <w:qFormat/>
    <w:uiPriority w:val="0"/>
    <w:pPr>
      <w:pBdr>
        <w:top w:val="single" w:color="auto" w:sz="4" w:space="0"/>
        <w:left w:val="single" w:color="auto" w:sz="4" w:space="0"/>
        <w:bottom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59">
    <w:name w:val="xl35"/>
    <w:basedOn w:val="1"/>
    <w:qFormat/>
    <w:uiPriority w:val="0"/>
    <w:pPr>
      <w:pBdr>
        <w:top w:val="single" w:color="auto" w:sz="4" w:space="0"/>
        <w:bottom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0">
    <w:name w:val="xl36"/>
    <w:basedOn w:val="1"/>
    <w:qFormat/>
    <w:uiPriority w:val="0"/>
    <w:pPr>
      <w:pBdr>
        <w:top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1">
    <w:name w:val="xl37"/>
    <w:basedOn w:val="1"/>
    <w:qFormat/>
    <w:uiPriority w:val="0"/>
    <w:pPr>
      <w:pBdr>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2">
    <w:name w:val="xl38"/>
    <w:basedOn w:val="1"/>
    <w:qFormat/>
    <w:uiPriority w:val="0"/>
    <w:pPr>
      <w:pBdr>
        <w:top w:val="single" w:color="auto" w:sz="4" w:space="0"/>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3">
    <w:name w:val="xl3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rPr>
  </w:style>
  <w:style w:type="paragraph" w:customStyle="1" w:styleId="64">
    <w:name w:val="xl40"/>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rFonts w:ascii="宋体" w:hAnsi="宋体" w:eastAsia="宋体" w:cs="宋体"/>
    </w:rPr>
  </w:style>
  <w:style w:type="character" w:customStyle="1" w:styleId="65">
    <w:name w:val="脚注文本 字符"/>
    <w:link w:val="22"/>
    <w:qFormat/>
    <w:uiPriority w:val="0"/>
    <w:rPr>
      <w:rFonts w:eastAsia="宋体"/>
      <w:kern w:val="2"/>
      <w:sz w:val="18"/>
      <w:szCs w:val="18"/>
      <w:lang w:val="en-US" w:eastAsia="zh-CN" w:bidi="ar-SA"/>
    </w:rPr>
  </w:style>
  <w:style w:type="paragraph" w:customStyle="1" w:styleId="66">
    <w:name w:val="xl41"/>
    <w:basedOn w:val="1"/>
    <w:qFormat/>
    <w:uiPriority w:val="0"/>
    <w:pPr>
      <w:pBdr>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7">
    <w:name w:val="Disclaimer"/>
    <w:basedOn w:val="1"/>
    <w:next w:val="1"/>
    <w:qFormat/>
    <w:uiPriority w:val="0"/>
    <w:pPr>
      <w:autoSpaceDE w:val="0"/>
      <w:autoSpaceDN w:val="0"/>
      <w:adjustRightInd w:val="0"/>
    </w:pPr>
    <w:rPr>
      <w:rFonts w:ascii="Arial" w:hAnsi="Arial" w:eastAsia="PMingLiU"/>
      <w:lang w:val="en-GB"/>
    </w:rPr>
  </w:style>
  <w:style w:type="character" w:customStyle="1" w:styleId="68">
    <w:name w:val="px141"/>
    <w:qFormat/>
    <w:uiPriority w:val="0"/>
    <w:rPr>
      <w:spacing w:val="300"/>
      <w:sz w:val="21"/>
      <w:szCs w:val="21"/>
    </w:rPr>
  </w:style>
  <w:style w:type="paragraph" w:customStyle="1" w:styleId="69">
    <w:name w:val="xl66"/>
    <w:basedOn w:val="1"/>
    <w:qFormat/>
    <w:uiPriority w:val="0"/>
    <w:pPr>
      <w:spacing w:before="100" w:beforeAutospacing="1" w:after="100" w:afterAutospacing="1"/>
      <w:textAlignment w:val="center"/>
    </w:pPr>
    <w:rPr>
      <w:rFonts w:ascii="宋体" w:hAnsi="宋体" w:eastAsia="宋体" w:cs="宋体"/>
    </w:rPr>
  </w:style>
  <w:style w:type="paragraph" w:customStyle="1" w:styleId="70">
    <w:name w:val="xl6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rPr>
  </w:style>
  <w:style w:type="paragraph" w:customStyle="1" w:styleId="71">
    <w:name w:val="xl6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eastAsia="宋体" w:cs="宋体"/>
    </w:rPr>
  </w:style>
  <w:style w:type="paragraph" w:customStyle="1" w:styleId="72">
    <w:name w:val="xl6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3">
    <w:name w:val="xl70"/>
    <w:basedOn w:val="1"/>
    <w:qFormat/>
    <w:uiPriority w:val="0"/>
    <w:pPr>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4">
    <w:name w:val="xl71"/>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75">
    <w:name w:val="xl72"/>
    <w:basedOn w:val="1"/>
    <w:qFormat/>
    <w:uiPriority w:val="0"/>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center"/>
      <w:textAlignment w:val="center"/>
    </w:pPr>
    <w:rPr>
      <w:rFonts w:ascii="宋体" w:hAnsi="宋体" w:eastAsia="宋体" w:cs="宋体"/>
      <w:b/>
      <w:bCs/>
    </w:rPr>
  </w:style>
  <w:style w:type="paragraph" w:customStyle="1" w:styleId="76">
    <w:name w:val="xl73"/>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7">
    <w:name w:val="xl74"/>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78">
    <w:name w:val="xl75"/>
    <w:basedOn w:val="1"/>
    <w:qFormat/>
    <w:uiPriority w:val="0"/>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79">
    <w:name w:val="xl76"/>
    <w:basedOn w:val="1"/>
    <w:qFormat/>
    <w:uiPriority w:val="0"/>
    <w:pPr>
      <w:pBdr>
        <w:top w:val="single" w:color="auto" w:sz="4" w:space="0"/>
        <w:left w:val="single" w:color="auto" w:sz="4" w:space="0"/>
        <w:bottom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0">
    <w:name w:val="xl77"/>
    <w:basedOn w:val="1"/>
    <w:qFormat/>
    <w:uiPriority w:val="0"/>
    <w:pPr>
      <w:pBdr>
        <w:top w:val="single" w:color="auto" w:sz="4" w:space="0"/>
        <w:bottom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1">
    <w:name w:val="xl78"/>
    <w:basedOn w:val="1"/>
    <w:qFormat/>
    <w:uiPriority w:val="0"/>
    <w:pPr>
      <w:pBdr>
        <w:top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2">
    <w:name w:val="xl79"/>
    <w:basedOn w:val="1"/>
    <w:qFormat/>
    <w:uiPriority w:val="0"/>
    <w:pPr>
      <w:pBdr>
        <w:top w:val="single" w:color="auto" w:sz="4" w:space="0"/>
        <w:left w:val="single" w:color="auto" w:sz="4" w:space="0"/>
        <w:bottom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3">
    <w:name w:val="xl80"/>
    <w:basedOn w:val="1"/>
    <w:qFormat/>
    <w:uiPriority w:val="0"/>
    <w:pPr>
      <w:pBdr>
        <w:top w:val="single" w:color="auto" w:sz="4" w:space="0"/>
        <w:bottom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4">
    <w:name w:val="xl81"/>
    <w:basedOn w:val="1"/>
    <w:qFormat/>
    <w:uiPriority w:val="0"/>
    <w:pPr>
      <w:pBdr>
        <w:top w:val="single" w:color="auto" w:sz="4" w:space="0"/>
        <w:bottom w:val="single" w:color="auto" w:sz="4" w:space="0"/>
        <w:right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5">
    <w:name w:val="xl82"/>
    <w:basedOn w:val="1"/>
    <w:qFormat/>
    <w:uiPriority w:val="0"/>
    <w:pPr>
      <w:pBdr>
        <w:top w:val="single" w:color="auto" w:sz="4" w:space="0"/>
        <w:left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6">
    <w:name w:val="xl83"/>
    <w:basedOn w:val="1"/>
    <w:qFormat/>
    <w:uiPriority w:val="0"/>
    <w:pPr>
      <w:pBdr>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7">
    <w:name w:val="列出段落1"/>
    <w:basedOn w:val="1"/>
    <w:qFormat/>
    <w:uiPriority w:val="34"/>
    <w:pPr>
      <w:ind w:firstLine="420" w:firstLineChars="200"/>
    </w:pPr>
  </w:style>
  <w:style w:type="character" w:customStyle="1" w:styleId="88">
    <w:name w:val="wiki1"/>
    <w:qFormat/>
    <w:uiPriority w:val="0"/>
    <w:rPr>
      <w:sz w:val="21"/>
      <w:szCs w:val="21"/>
      <w:u w:val="single"/>
    </w:rPr>
  </w:style>
  <w:style w:type="paragraph" w:customStyle="1" w:styleId="89">
    <w:name w:val="修订1"/>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character" w:customStyle="1" w:styleId="90">
    <w:name w:val="goog_qs-tidbit-0"/>
    <w:basedOn w:val="31"/>
    <w:qFormat/>
    <w:uiPriority w:val="0"/>
  </w:style>
  <w:style w:type="character" w:customStyle="1" w:styleId="91">
    <w:name w:val="goog_qs-tidbit1"/>
    <w:qFormat/>
    <w:uiPriority w:val="0"/>
  </w:style>
  <w:style w:type="character" w:customStyle="1" w:styleId="92">
    <w:name w:val="short_text"/>
    <w:basedOn w:val="31"/>
    <w:qFormat/>
    <w:uiPriority w:val="0"/>
  </w:style>
  <w:style w:type="character" w:customStyle="1" w:styleId="93">
    <w:name w:val="日期 字符"/>
    <w:link w:val="14"/>
    <w:qFormat/>
    <w:uiPriority w:val="0"/>
    <w:rPr>
      <w:rFonts w:eastAsia="Arial Unicode MS"/>
      <w:sz w:val="24"/>
      <w:szCs w:val="24"/>
    </w:rPr>
  </w:style>
  <w:style w:type="character" w:customStyle="1" w:styleId="94">
    <w:name w:val="文档结构图 字符"/>
    <w:link w:val="8"/>
    <w:qFormat/>
    <w:uiPriority w:val="99"/>
    <w:rPr>
      <w:rFonts w:ascii="宋体"/>
      <w:sz w:val="18"/>
      <w:szCs w:val="18"/>
    </w:rPr>
  </w:style>
  <w:style w:type="paragraph" w:customStyle="1" w:styleId="95">
    <w:name w:val="Default"/>
    <w:qFormat/>
    <w:uiPriority w:val="0"/>
    <w:pPr>
      <w:widowControl w:val="0"/>
      <w:autoSpaceDE w:val="0"/>
      <w:autoSpaceDN w:val="0"/>
      <w:adjustRightInd w:val="0"/>
      <w:spacing w:before="120" w:after="120"/>
      <w:ind w:left="119" w:right="113"/>
      <w:jc w:val="both"/>
    </w:pPr>
    <w:rPr>
      <w:rFonts w:ascii="Garamond" w:hAnsi="Garamond" w:eastAsia="宋体" w:cs="Garamond"/>
      <w:color w:val="000000"/>
      <w:sz w:val="24"/>
      <w:szCs w:val="24"/>
      <w:lang w:val="en-US" w:eastAsia="zh-CN" w:bidi="ar-SA"/>
    </w:rPr>
  </w:style>
  <w:style w:type="paragraph" w:customStyle="1" w:styleId="96">
    <w:name w:val="Table Paragraph"/>
    <w:basedOn w:val="1"/>
    <w:qFormat/>
    <w:uiPriority w:val="1"/>
    <w:pPr>
      <w:widowControl w:val="0"/>
      <w:autoSpaceDE w:val="0"/>
      <w:autoSpaceDN w:val="0"/>
      <w:spacing w:before="21"/>
      <w:jc w:val="center"/>
    </w:pPr>
    <w:rPr>
      <w:rFonts w:ascii="Arial" w:hAnsi="Arial" w:eastAsia="Arial" w:cs="Arial"/>
      <w:sz w:val="22"/>
      <w:szCs w:val="22"/>
      <w:lang w:eastAsia="en-US"/>
    </w:rPr>
  </w:style>
  <w:style w:type="table" w:customStyle="1" w:styleId="97">
    <w:name w:val="Table Normal1"/>
    <w:basedOn w:val="29"/>
    <w:semiHidden/>
    <w:qFormat/>
    <w:uiPriority w:val="2"/>
    <w:pPr>
      <w:widowControl w:val="0"/>
      <w:autoSpaceDE w:val="0"/>
      <w:autoSpaceDN w:val="0"/>
    </w:pPr>
    <w:rPr>
      <w:rFonts w:eastAsia="Times New Roman" w:asciiTheme="minorHAnsi" w:hAnsiTheme="minorHAnsi" w:cstheme="minorBidi"/>
      <w:sz w:val="22"/>
      <w:szCs w:val="22"/>
      <w:lang w:eastAsia="en-US"/>
    </w:rPr>
    <w:tblPr>
      <w:tblCellMar>
        <w:left w:w="0" w:type="dxa"/>
        <w:right w:w="0" w:type="dxa"/>
      </w:tblCellMar>
    </w:tblPr>
  </w:style>
  <w:style w:type="paragraph" w:customStyle="1" w:styleId="98">
    <w:name w:val="List Paragraph1"/>
    <w:basedOn w:val="1"/>
    <w:qFormat/>
    <w:uiPriority w:val="34"/>
    <w:pPr>
      <w:ind w:firstLine="420" w:firstLineChars="200"/>
    </w:pPr>
  </w:style>
  <w:style w:type="paragraph" w:customStyle="1" w:styleId="99">
    <w:name w:val="Revision1"/>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character" w:customStyle="1" w:styleId="100">
    <w:name w:val="正文文本 字符"/>
    <w:basedOn w:val="31"/>
    <w:link w:val="10"/>
    <w:qFormat/>
    <w:uiPriority w:val="1"/>
    <w:rPr>
      <w:rFonts w:ascii="宋体" w:hAnsi="宋体" w:cs="宋体"/>
      <w:sz w:val="22"/>
      <w:szCs w:val="22"/>
      <w:lang w:eastAsia="en-US"/>
    </w:rPr>
  </w:style>
  <w:style w:type="character" w:customStyle="1" w:styleId="101">
    <w:name w:val="标题 3 字符"/>
    <w:basedOn w:val="31"/>
    <w:link w:val="4"/>
    <w:semiHidden/>
    <w:qFormat/>
    <w:uiPriority w:val="0"/>
    <w:rPr>
      <w:rFonts w:eastAsia="Arial Unicode MS"/>
      <w:b/>
      <w:bCs/>
      <w:sz w:val="32"/>
      <w:szCs w:val="32"/>
    </w:rPr>
  </w:style>
  <w:style w:type="paragraph" w:customStyle="1" w:styleId="102">
    <w:name w:val="TOC Heading1"/>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103">
    <w:name w:val="Body Text Char"/>
    <w:basedOn w:val="31"/>
    <w:qFormat/>
    <w:uiPriority w:val="1"/>
    <w:rPr>
      <w:rFonts w:hint="eastAsia" w:ascii="华文楷体" w:hAnsi="华文楷体" w:eastAsia="华文楷体" w:cs="华文楷体"/>
      <w:sz w:val="24"/>
      <w:szCs w:val="24"/>
    </w:rPr>
  </w:style>
  <w:style w:type="character" w:customStyle="1" w:styleId="104">
    <w:name w:val="Heading 2 Char"/>
    <w:basedOn w:val="31"/>
    <w:qFormat/>
    <w:uiPriority w:val="0"/>
    <w:rPr>
      <w:rFonts w:hint="eastAsia" w:ascii="华文楷体" w:hAnsi="华文楷体" w:eastAsia="华文楷体" w:cs="华文楷体"/>
      <w:sz w:val="32"/>
      <w:szCs w:val="32"/>
    </w:rPr>
  </w:style>
  <w:style w:type="character" w:customStyle="1" w:styleId="105">
    <w:name w:val="Heading 3 Char"/>
    <w:basedOn w:val="31"/>
    <w:qFormat/>
    <w:uiPriority w:val="0"/>
    <w:rPr>
      <w:rFonts w:hint="eastAsia" w:ascii="华文楷体" w:hAnsi="华文楷体" w:eastAsia="华文楷体" w:cs="华文楷体"/>
      <w:sz w:val="28"/>
      <w:szCs w:val="28"/>
    </w:rPr>
  </w:style>
  <w:style w:type="paragraph" w:customStyle="1" w:styleId="106">
    <w:name w:val="msolistparagraph"/>
    <w:basedOn w:val="1"/>
    <w:qFormat/>
    <w:uiPriority w:val="0"/>
    <w:pPr>
      <w:widowControl w:val="0"/>
      <w:autoSpaceDE w:val="0"/>
      <w:autoSpaceDN w:val="0"/>
      <w:spacing w:before="267"/>
      <w:ind w:left="820" w:hanging="720"/>
    </w:pPr>
    <w:rPr>
      <w:rFonts w:hint="eastAsia" w:ascii="华文楷体" w:hAnsi="华文楷体" w:eastAsia="华文楷体"/>
      <w:sz w:val="22"/>
      <w:szCs w:val="22"/>
    </w:rPr>
  </w:style>
  <w:style w:type="paragraph" w:customStyle="1" w:styleId="107">
    <w:name w:val="List Paragraph2"/>
    <w:basedOn w:val="1"/>
    <w:qFormat/>
    <w:uiPriority w:val="99"/>
    <w:pPr>
      <w:ind w:firstLine="420" w:firstLineChars="200"/>
    </w:pPr>
  </w:style>
  <w:style w:type="table" w:customStyle="1" w:styleId="108">
    <w:name w:val="Table Normal2"/>
    <w:basedOn w:val="29"/>
    <w:semiHidden/>
    <w:qFormat/>
    <w:uiPriority w:val="0"/>
    <w:rPr>
      <w:rFonts w:cs="Calibri"/>
    </w:rPr>
  </w:style>
  <w:style w:type="paragraph" w:customStyle="1" w:styleId="109">
    <w:name w:val="Revision2"/>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paragraph" w:styleId="110">
    <w:name w:val="List Paragraph"/>
    <w:basedOn w:val="1"/>
    <w:link w:val="160"/>
    <w:qFormat/>
    <w:uiPriority w:val="99"/>
    <w:pPr>
      <w:ind w:firstLine="420" w:firstLineChars="200"/>
    </w:pPr>
  </w:style>
  <w:style w:type="paragraph" w:customStyle="1" w:styleId="111">
    <w:name w:val="修订2"/>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paragraph" w:customStyle="1" w:styleId="112">
    <w:name w:val="TOC 标题1"/>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113">
    <w:name w:val="页脚 字符"/>
    <w:basedOn w:val="31"/>
    <w:link w:val="17"/>
    <w:qFormat/>
    <w:uiPriority w:val="99"/>
    <w:rPr>
      <w:rFonts w:ascii="Times New Roman" w:hAnsi="Times New Roman" w:eastAsia="Arial Unicode MS"/>
      <w:sz w:val="18"/>
      <w:szCs w:val="18"/>
    </w:rPr>
  </w:style>
  <w:style w:type="table" w:customStyle="1" w:styleId="114">
    <w:name w:val="网格型1"/>
    <w:basedOn w:val="29"/>
    <w:qFormat/>
    <w:uiPriority w:val="59"/>
    <w:pPr>
      <w:widowControl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5">
    <w:name w:val="Table Normal3"/>
    <w:semiHidden/>
    <w:unhideWhenUsed/>
    <w:qFormat/>
    <w:uiPriority w:val="2"/>
    <w:pPr>
      <w:widowControl w:val="0"/>
      <w:autoSpaceDE w:val="0"/>
      <w:autoSpaceDN w:val="0"/>
    </w:pPr>
    <w:rPr>
      <w:rFonts w:asciiTheme="minorHAnsi" w:hAnsiTheme="minorHAnsi" w:eastAsiaTheme="minorEastAsia" w:cstheme="minorBidi"/>
      <w:sz w:val="22"/>
      <w:szCs w:val="22"/>
      <w:lang w:eastAsia="en-US"/>
    </w:rPr>
    <w:tblPr>
      <w:tblCellMar>
        <w:top w:w="0" w:type="dxa"/>
        <w:left w:w="0" w:type="dxa"/>
        <w:bottom w:w="0" w:type="dxa"/>
        <w:right w:w="0" w:type="dxa"/>
      </w:tblCellMar>
    </w:tblPr>
  </w:style>
  <w:style w:type="character" w:customStyle="1" w:styleId="116">
    <w:name w:val="副标题 字符"/>
    <w:basedOn w:val="31"/>
    <w:link w:val="21"/>
    <w:qFormat/>
    <w:uiPriority w:val="11"/>
    <w:rPr>
      <w:rFonts w:ascii="楷体" w:hAnsi="楷体" w:eastAsia="楷体"/>
      <w:b/>
      <w:bCs/>
      <w:i/>
      <w:iCs/>
      <w:color w:val="17365D"/>
      <w:sz w:val="24"/>
      <w:szCs w:val="24"/>
    </w:rPr>
  </w:style>
  <w:style w:type="character" w:customStyle="1" w:styleId="117">
    <w:name w:val="标题 字符"/>
    <w:basedOn w:val="31"/>
    <w:link w:val="27"/>
    <w:qFormat/>
    <w:uiPriority w:val="10"/>
    <w:rPr>
      <w:rFonts w:ascii="楷体" w:hAnsi="楷体" w:eastAsia="楷体"/>
      <w:b/>
      <w:bCs/>
      <w:i/>
      <w:color w:val="17365D"/>
      <w:sz w:val="28"/>
      <w:szCs w:val="28"/>
    </w:rPr>
  </w:style>
  <w:style w:type="character" w:customStyle="1" w:styleId="118">
    <w:name w:val="批注主题 字符"/>
    <w:link w:val="28"/>
    <w:qFormat/>
    <w:uiPriority w:val="99"/>
    <w:rPr>
      <w:rFonts w:ascii="Times New Roman" w:hAnsi="Times New Roman" w:eastAsia="Arial Unicode MS"/>
      <w:b/>
      <w:bCs/>
    </w:rPr>
  </w:style>
  <w:style w:type="character" w:customStyle="1" w:styleId="119">
    <w:name w:val="font61"/>
    <w:qFormat/>
    <w:uiPriority w:val="0"/>
    <w:rPr>
      <w:rFonts w:hint="default" w:ascii="Tahoma" w:hAnsi="Tahoma" w:eastAsia="Tahoma" w:cs="Tahoma"/>
      <w:b/>
      <w:color w:val="003366"/>
      <w:sz w:val="22"/>
      <w:szCs w:val="22"/>
      <w:u w:val="none"/>
    </w:rPr>
  </w:style>
  <w:style w:type="character" w:customStyle="1" w:styleId="120">
    <w:name w:val="font41"/>
    <w:qFormat/>
    <w:uiPriority w:val="0"/>
    <w:rPr>
      <w:rFonts w:hint="eastAsia" w:ascii="宋体" w:hAnsi="宋体" w:eastAsia="宋体" w:cs="宋体"/>
      <w:b/>
      <w:color w:val="003366"/>
      <w:sz w:val="22"/>
      <w:szCs w:val="22"/>
      <w:u w:val="none"/>
    </w:rPr>
  </w:style>
  <w:style w:type="character" w:customStyle="1" w:styleId="121">
    <w:name w:val="标题1"/>
    <w:qFormat/>
    <w:uiPriority w:val="0"/>
  </w:style>
  <w:style w:type="character" w:customStyle="1" w:styleId="122">
    <w:name w:val="font31"/>
    <w:qFormat/>
    <w:uiPriority w:val="0"/>
    <w:rPr>
      <w:rFonts w:ascii="Arial" w:hAnsi="Arial" w:cs="Arial"/>
      <w:color w:val="000000"/>
      <w:sz w:val="20"/>
      <w:szCs w:val="20"/>
      <w:u w:val="none"/>
    </w:rPr>
  </w:style>
  <w:style w:type="character" w:customStyle="1" w:styleId="123">
    <w:name w:val="hrefstyle"/>
    <w:qFormat/>
    <w:uiPriority w:val="0"/>
  </w:style>
  <w:style w:type="character" w:customStyle="1" w:styleId="124">
    <w:name w:val="font51"/>
    <w:qFormat/>
    <w:uiPriority w:val="0"/>
    <w:rPr>
      <w:rFonts w:hint="default" w:ascii="Tahoma" w:hAnsi="Tahoma" w:eastAsia="Tahoma" w:cs="Tahoma"/>
      <w:b/>
      <w:color w:val="003366"/>
      <w:sz w:val="22"/>
      <w:szCs w:val="22"/>
      <w:u w:val="none"/>
    </w:rPr>
  </w:style>
  <w:style w:type="character" w:customStyle="1" w:styleId="125">
    <w:name w:val="_Style 1"/>
    <w:qFormat/>
    <w:uiPriority w:val="19"/>
    <w:rPr>
      <w:rFonts w:ascii="楷体" w:hAnsi="楷体" w:eastAsia="楷体" w:cs="楷体"/>
      <w:bCs/>
      <w:i/>
      <w:color w:val="365F91"/>
    </w:rPr>
  </w:style>
  <w:style w:type="character" w:customStyle="1" w:styleId="126">
    <w:name w:val="批注文字 字符"/>
    <w:link w:val="9"/>
    <w:qFormat/>
    <w:uiPriority w:val="0"/>
    <w:rPr>
      <w:rFonts w:ascii="Times New Roman" w:hAnsi="Times New Roman" w:eastAsia="Arial Unicode MS"/>
    </w:rPr>
  </w:style>
  <w:style w:type="character" w:customStyle="1" w:styleId="127">
    <w:name w:val="批注框文本 字符"/>
    <w:link w:val="16"/>
    <w:qFormat/>
    <w:uiPriority w:val="99"/>
    <w:rPr>
      <w:rFonts w:ascii="宋体" w:hAnsi="Times New Roman"/>
      <w:sz w:val="18"/>
      <w:szCs w:val="18"/>
    </w:rPr>
  </w:style>
  <w:style w:type="character" w:customStyle="1" w:styleId="128">
    <w:name w:val="无格式表格 31"/>
    <w:qFormat/>
    <w:uiPriority w:val="19"/>
    <w:rPr>
      <w:rFonts w:ascii="楷体" w:hAnsi="楷体" w:eastAsia="楷体" w:cs="楷体"/>
      <w:bCs/>
      <w:i/>
      <w:color w:val="365F91"/>
    </w:rPr>
  </w:style>
  <w:style w:type="character" w:customStyle="1" w:styleId="129">
    <w:name w:val="font21"/>
    <w:qFormat/>
    <w:uiPriority w:val="0"/>
    <w:rPr>
      <w:rFonts w:hint="default" w:ascii="Arial" w:hAnsi="Arial" w:cs="Arial"/>
      <w:color w:val="000000"/>
      <w:sz w:val="20"/>
      <w:szCs w:val="20"/>
      <w:u w:val="none"/>
    </w:rPr>
  </w:style>
  <w:style w:type="paragraph" w:customStyle="1" w:styleId="130">
    <w:name w:val="LogoPage2"/>
    <w:basedOn w:val="1"/>
    <w:qFormat/>
    <w:uiPriority w:val="0"/>
    <w:pPr>
      <w:spacing w:before="20" w:after="0"/>
      <w:ind w:left="0" w:right="0"/>
      <w:jc w:val="left"/>
    </w:pPr>
    <w:rPr>
      <w:rFonts w:ascii="Calibri" w:hAnsi="Calibri" w:eastAsia="宋体"/>
    </w:rPr>
  </w:style>
  <w:style w:type="paragraph" w:customStyle="1" w:styleId="131">
    <w:name w:val="title1"/>
    <w:basedOn w:val="1"/>
    <w:qFormat/>
    <w:uiPriority w:val="0"/>
    <w:pPr>
      <w:spacing w:before="100" w:beforeAutospacing="1" w:after="100" w:afterAutospacing="1"/>
      <w:ind w:left="0" w:right="0"/>
      <w:jc w:val="left"/>
    </w:pPr>
    <w:rPr>
      <w:rFonts w:ascii="宋体" w:hAnsi="宋体" w:eastAsia="宋体" w:cs="宋体"/>
    </w:rPr>
  </w:style>
  <w:style w:type="paragraph" w:customStyle="1" w:styleId="132">
    <w:name w:val="SenderBullet"/>
    <w:basedOn w:val="1"/>
    <w:qFormat/>
    <w:uiPriority w:val="0"/>
    <w:pPr>
      <w:spacing w:before="0" w:after="0" w:line="180" w:lineRule="exact"/>
      <w:ind w:left="0" w:right="0"/>
      <w:jc w:val="left"/>
    </w:pPr>
    <w:rPr>
      <w:rFonts w:ascii="Wingdings" w:hAnsi="Wingdings" w:eastAsia="宋体"/>
      <w:i/>
      <w:sz w:val="12"/>
    </w:rPr>
  </w:style>
  <w:style w:type="paragraph" w:customStyle="1" w:styleId="133">
    <w:name w:val="PageNumber"/>
    <w:basedOn w:val="1"/>
    <w:qFormat/>
    <w:uiPriority w:val="0"/>
    <w:pPr>
      <w:spacing w:before="80" w:after="0"/>
      <w:ind w:left="0" w:right="0"/>
      <w:jc w:val="right"/>
    </w:pPr>
    <w:rPr>
      <w:rFonts w:ascii="Calibri" w:hAnsi="Calibri" w:eastAsia="宋体"/>
      <w:i/>
    </w:rPr>
  </w:style>
  <w:style w:type="paragraph" w:customStyle="1" w:styleId="134">
    <w:name w:val="CompFooter"/>
    <w:basedOn w:val="135"/>
    <w:qFormat/>
    <w:uiPriority w:val="0"/>
  </w:style>
  <w:style w:type="paragraph" w:customStyle="1" w:styleId="135">
    <w:name w:val="Sender"/>
    <w:basedOn w:val="1"/>
    <w:qFormat/>
    <w:uiPriority w:val="0"/>
    <w:pPr>
      <w:spacing w:before="0" w:after="0" w:line="180" w:lineRule="exact"/>
      <w:ind w:left="0" w:right="0"/>
      <w:jc w:val="left"/>
    </w:pPr>
    <w:rPr>
      <w:rFonts w:ascii="Optima" w:hAnsi="Optima" w:eastAsia="宋体"/>
      <w:sz w:val="16"/>
    </w:rPr>
  </w:style>
  <w:style w:type="paragraph" w:customStyle="1" w:styleId="136">
    <w:name w:val="网格表 31"/>
    <w:basedOn w:val="2"/>
    <w:next w:val="1"/>
    <w:qFormat/>
    <w:uiPriority w:val="39"/>
    <w:pPr>
      <w:keepNext w:val="0"/>
      <w:keepLines w:val="0"/>
      <w:spacing w:before="480" w:after="0" w:line="276" w:lineRule="auto"/>
      <w:ind w:left="0" w:right="0"/>
      <w:jc w:val="left"/>
      <w:outlineLvl w:val="9"/>
    </w:pPr>
    <w:rPr>
      <w:rFonts w:ascii="Cambria" w:hAnsi="Cambria" w:eastAsia="宋体"/>
      <w:i/>
      <w:color w:val="365F91"/>
      <w:kern w:val="0"/>
      <w:sz w:val="28"/>
      <w:szCs w:val="28"/>
    </w:rPr>
  </w:style>
  <w:style w:type="paragraph" w:customStyle="1" w:styleId="137">
    <w:name w:val="彩色底纹 - 着色 11"/>
    <w:unhideWhenUsed/>
    <w:qFormat/>
    <w:uiPriority w:val="99"/>
    <w:rPr>
      <w:rFonts w:ascii="Calibri" w:hAnsi="Calibri" w:eastAsia="宋体" w:cs="Times New Roman"/>
      <w:kern w:val="2"/>
      <w:sz w:val="21"/>
      <w:lang w:val="en-US" w:eastAsia="zh-CN" w:bidi="ar-SA"/>
    </w:rPr>
  </w:style>
  <w:style w:type="paragraph" w:customStyle="1" w:styleId="138">
    <w:name w:val="样式1"/>
    <w:basedOn w:val="12"/>
    <w:link w:val="141"/>
    <w:qFormat/>
    <w:uiPriority w:val="0"/>
    <w:pPr>
      <w:tabs>
        <w:tab w:val="right" w:leader="dot" w:pos="8296"/>
      </w:tabs>
    </w:pPr>
    <w:rPr>
      <w:rFonts w:ascii="仿宋_GB2312" w:eastAsia="仿宋_GB2312" w:cs="楷体"/>
    </w:rPr>
  </w:style>
  <w:style w:type="paragraph" w:customStyle="1" w:styleId="139">
    <w:name w:val="样式2"/>
    <w:basedOn w:val="24"/>
    <w:link w:val="144"/>
    <w:qFormat/>
    <w:uiPriority w:val="0"/>
    <w:pPr>
      <w:tabs>
        <w:tab w:val="right" w:leader="dot" w:pos="8296"/>
      </w:tabs>
    </w:pPr>
    <w:rPr>
      <w:rFonts w:ascii="仿宋_GB2312" w:eastAsia="仿宋_GB2312" w:cs="楷体"/>
      <w:i w:val="0"/>
    </w:rPr>
  </w:style>
  <w:style w:type="character" w:customStyle="1" w:styleId="140">
    <w:name w:val="TOC 3 字符"/>
    <w:basedOn w:val="31"/>
    <w:link w:val="12"/>
    <w:qFormat/>
    <w:uiPriority w:val="39"/>
    <w:rPr>
      <w:rFonts w:eastAsia="Arial Unicode MS" w:asciiTheme="minorHAnsi" w:hAnsiTheme="minorHAnsi" w:cstheme="minorHAnsi"/>
    </w:rPr>
  </w:style>
  <w:style w:type="character" w:customStyle="1" w:styleId="141">
    <w:name w:val="样式1 字符"/>
    <w:basedOn w:val="140"/>
    <w:link w:val="138"/>
    <w:qFormat/>
    <w:uiPriority w:val="0"/>
    <w:rPr>
      <w:rFonts w:ascii="仿宋_GB2312" w:eastAsia="仿宋_GB2312" w:cs="楷体" w:hAnsiTheme="minorHAnsi"/>
    </w:rPr>
  </w:style>
  <w:style w:type="paragraph" w:customStyle="1" w:styleId="142">
    <w:name w:val="样式3"/>
    <w:basedOn w:val="24"/>
    <w:link w:val="146"/>
    <w:qFormat/>
    <w:uiPriority w:val="0"/>
    <w:pPr>
      <w:tabs>
        <w:tab w:val="right" w:leader="dot" w:pos="8296"/>
      </w:tabs>
    </w:pPr>
    <w:rPr>
      <w:i w:val="0"/>
    </w:rPr>
  </w:style>
  <w:style w:type="character" w:customStyle="1" w:styleId="143">
    <w:name w:val="TOC 2 字符"/>
    <w:basedOn w:val="31"/>
    <w:link w:val="24"/>
    <w:qFormat/>
    <w:uiPriority w:val="39"/>
    <w:rPr>
      <w:rFonts w:eastAsia="Arial Unicode MS" w:asciiTheme="minorHAnsi" w:hAnsiTheme="minorHAnsi" w:cstheme="minorHAnsi"/>
      <w:i/>
      <w:iCs/>
    </w:rPr>
  </w:style>
  <w:style w:type="character" w:customStyle="1" w:styleId="144">
    <w:name w:val="样式2 字符"/>
    <w:basedOn w:val="143"/>
    <w:link w:val="139"/>
    <w:qFormat/>
    <w:uiPriority w:val="0"/>
    <w:rPr>
      <w:rFonts w:ascii="仿宋_GB2312" w:eastAsia="仿宋_GB2312" w:cs="楷体" w:hAnsiTheme="minorHAnsi"/>
      <w:i w:val="0"/>
    </w:rPr>
  </w:style>
  <w:style w:type="paragraph" w:customStyle="1" w:styleId="145">
    <w:name w:val="样式4"/>
    <w:basedOn w:val="24"/>
    <w:link w:val="148"/>
    <w:qFormat/>
    <w:uiPriority w:val="0"/>
    <w:pPr>
      <w:tabs>
        <w:tab w:val="right" w:leader="dot" w:pos="8296"/>
      </w:tabs>
    </w:pPr>
    <w:rPr>
      <w:i w:val="0"/>
    </w:rPr>
  </w:style>
  <w:style w:type="character" w:customStyle="1" w:styleId="146">
    <w:name w:val="样式3 字符"/>
    <w:basedOn w:val="143"/>
    <w:link w:val="142"/>
    <w:qFormat/>
    <w:uiPriority w:val="0"/>
    <w:rPr>
      <w:rFonts w:eastAsia="Arial Unicode MS" w:asciiTheme="minorHAnsi" w:hAnsiTheme="minorHAnsi" w:cstheme="minorHAnsi"/>
      <w:i w:val="0"/>
    </w:rPr>
  </w:style>
  <w:style w:type="paragraph" w:customStyle="1" w:styleId="147">
    <w:name w:val="样式5"/>
    <w:basedOn w:val="24"/>
    <w:link w:val="150"/>
    <w:qFormat/>
    <w:uiPriority w:val="0"/>
    <w:pPr>
      <w:tabs>
        <w:tab w:val="right" w:leader="dot" w:pos="8296"/>
      </w:tabs>
    </w:pPr>
    <w:rPr>
      <w:rFonts w:ascii="仿宋_GB2312" w:hAnsi="Arial Narrow" w:eastAsia="仿宋_GB2312" w:cs="Arial"/>
      <w:b/>
      <w:i w:val="0"/>
      <w:caps/>
    </w:rPr>
  </w:style>
  <w:style w:type="character" w:customStyle="1" w:styleId="148">
    <w:name w:val="样式4 字符"/>
    <w:basedOn w:val="143"/>
    <w:link w:val="145"/>
    <w:qFormat/>
    <w:uiPriority w:val="0"/>
    <w:rPr>
      <w:rFonts w:eastAsia="Arial Unicode MS" w:asciiTheme="minorHAnsi" w:hAnsiTheme="minorHAnsi" w:cstheme="minorHAnsi"/>
      <w:i w:val="0"/>
    </w:rPr>
  </w:style>
  <w:style w:type="paragraph" w:customStyle="1" w:styleId="149">
    <w:name w:val="样式6"/>
    <w:basedOn w:val="147"/>
    <w:link w:val="152"/>
    <w:qFormat/>
    <w:uiPriority w:val="0"/>
    <w:rPr>
      <w:caps w:val="0"/>
    </w:rPr>
  </w:style>
  <w:style w:type="character" w:customStyle="1" w:styleId="150">
    <w:name w:val="样式5 字符"/>
    <w:basedOn w:val="143"/>
    <w:link w:val="147"/>
    <w:qFormat/>
    <w:uiPriority w:val="0"/>
    <w:rPr>
      <w:rFonts w:ascii="仿宋_GB2312" w:hAnsi="Arial Narrow" w:eastAsia="仿宋_GB2312" w:cs="Arial"/>
      <w:b/>
      <w:i w:val="0"/>
      <w:caps/>
    </w:rPr>
  </w:style>
  <w:style w:type="paragraph" w:customStyle="1" w:styleId="151">
    <w:name w:val="样式7"/>
    <w:basedOn w:val="24"/>
    <w:link w:val="154"/>
    <w:qFormat/>
    <w:uiPriority w:val="0"/>
    <w:pPr>
      <w:tabs>
        <w:tab w:val="right" w:leader="dot" w:pos="8296"/>
      </w:tabs>
    </w:pPr>
    <w:rPr>
      <w:rFonts w:ascii="仿宋_GB2312" w:eastAsia="仿宋_GB2312" w:cs="楷体"/>
      <w:i w:val="0"/>
    </w:rPr>
  </w:style>
  <w:style w:type="character" w:customStyle="1" w:styleId="152">
    <w:name w:val="样式6 字符"/>
    <w:basedOn w:val="150"/>
    <w:link w:val="149"/>
    <w:qFormat/>
    <w:uiPriority w:val="0"/>
    <w:rPr>
      <w:rFonts w:ascii="仿宋_GB2312" w:hAnsi="Arial Narrow" w:eastAsia="仿宋_GB2312" w:cs="Arial"/>
      <w:caps w:val="0"/>
    </w:rPr>
  </w:style>
  <w:style w:type="paragraph" w:customStyle="1" w:styleId="153">
    <w:name w:val="样式8"/>
    <w:basedOn w:val="24"/>
    <w:link w:val="155"/>
    <w:qFormat/>
    <w:uiPriority w:val="0"/>
    <w:pPr>
      <w:tabs>
        <w:tab w:val="right" w:leader="dot" w:pos="8296"/>
      </w:tabs>
    </w:pPr>
    <w:rPr>
      <w:i w:val="0"/>
    </w:rPr>
  </w:style>
  <w:style w:type="character" w:customStyle="1" w:styleId="154">
    <w:name w:val="样式7 字符"/>
    <w:basedOn w:val="143"/>
    <w:link w:val="151"/>
    <w:qFormat/>
    <w:uiPriority w:val="0"/>
    <w:rPr>
      <w:rFonts w:ascii="仿宋_GB2312" w:eastAsia="仿宋_GB2312" w:cs="楷体" w:hAnsiTheme="minorHAnsi"/>
      <w:i w:val="0"/>
    </w:rPr>
  </w:style>
  <w:style w:type="character" w:customStyle="1" w:styleId="155">
    <w:name w:val="样式8 字符"/>
    <w:basedOn w:val="143"/>
    <w:link w:val="153"/>
    <w:qFormat/>
    <w:uiPriority w:val="0"/>
    <w:rPr>
      <w:rFonts w:eastAsia="Arial Unicode MS" w:asciiTheme="minorHAnsi" w:hAnsiTheme="minorHAnsi" w:cstheme="minorHAnsi"/>
      <w:i w:val="0"/>
    </w:rPr>
  </w:style>
  <w:style w:type="character" w:customStyle="1" w:styleId="156">
    <w:name w:val="尾注文本 字符"/>
    <w:basedOn w:val="31"/>
    <w:link w:val="15"/>
    <w:qFormat/>
    <w:uiPriority w:val="0"/>
    <w:rPr>
      <w:rFonts w:ascii="Times New Roman" w:hAnsi="Times New Roman" w:eastAsia="Arial Unicode MS"/>
      <w:sz w:val="24"/>
      <w:szCs w:val="24"/>
    </w:rPr>
  </w:style>
  <w:style w:type="paragraph" w:customStyle="1" w:styleId="157">
    <w:name w:val="Bullet EY"/>
    <w:basedOn w:val="1"/>
    <w:next w:val="1"/>
    <w:qFormat/>
    <w:uiPriority w:val="0"/>
    <w:pPr>
      <w:numPr>
        <w:ilvl w:val="0"/>
        <w:numId w:val="1"/>
      </w:numPr>
      <w:spacing w:after="240" w:line="360" w:lineRule="auto"/>
      <w:ind w:right="0"/>
      <w:jc w:val="left"/>
    </w:pPr>
    <w:rPr>
      <w:rFonts w:ascii="EYInterstate Light" w:hAnsi="EYInterstate Light" w:eastAsia="宋体" w:cs="Arial"/>
      <w:kern w:val="24"/>
      <w:sz w:val="20"/>
      <w:szCs w:val="18"/>
      <w:lang w:eastAsia="en-US"/>
    </w:rPr>
  </w:style>
  <w:style w:type="table" w:customStyle="1" w:styleId="158">
    <w:name w:val="网格表 4 - 着色 41"/>
    <w:basedOn w:val="29"/>
    <w:qFormat/>
    <w:uiPriority w:val="49"/>
    <w:rPr>
      <w:rFonts w:ascii="Arial" w:hAnsi="Arial"/>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14:textFill>
          <w14:solidFill>
            <w14:schemeClr w14:val="bg1"/>
          </w14:solidFill>
        </w14:textFill>
      </w:r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cPr>
        <w:tcBorders>
          <w:top w:val="double" w:color="8064A2" w:themeColor="accent4" w:sz="4" w:space="0"/>
        </w:tcBorders>
      </w:tc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character" w:customStyle="1" w:styleId="159">
    <w:name w:val="标题 4 字符"/>
    <w:basedOn w:val="31"/>
    <w:link w:val="5"/>
    <w:semiHidden/>
    <w:qFormat/>
    <w:uiPriority w:val="0"/>
    <w:rPr>
      <w:rFonts w:asciiTheme="majorHAnsi" w:hAnsiTheme="majorHAnsi" w:eastAsiaTheme="majorEastAsia" w:cstheme="majorBidi"/>
      <w:b/>
      <w:bCs/>
      <w:sz w:val="28"/>
      <w:szCs w:val="28"/>
    </w:rPr>
  </w:style>
  <w:style w:type="character" w:customStyle="1" w:styleId="160">
    <w:name w:val="列表段落 字符1"/>
    <w:basedOn w:val="31"/>
    <w:link w:val="110"/>
    <w:qFormat/>
    <w:uiPriority w:val="99"/>
    <w:rPr>
      <w:rFonts w:ascii="Times New Roman" w:hAnsi="Times New Roman" w:eastAsia="Arial Unicode MS"/>
      <w:sz w:val="24"/>
      <w:szCs w:val="24"/>
    </w:rPr>
  </w:style>
  <w:style w:type="table" w:customStyle="1" w:styleId="161">
    <w:name w:val="网格表 4 - 着色 42"/>
    <w:basedOn w:val="29"/>
    <w:qFormat/>
    <w:uiPriority w:val="49"/>
    <w:rPr>
      <w:rFonts w:ascii="Arial" w:hAnsi="Arial"/>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14:textFill>
          <w14:solidFill>
            <w14:schemeClr w14:val="bg1"/>
          </w14:solidFill>
        </w14:textFill>
      </w:r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cPr>
        <w:tcBorders>
          <w:top w:val="double" w:color="8064A2" w:themeColor="accent4" w:sz="4" w:space="0"/>
        </w:tcBorders>
      </w:tc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paragraph" w:customStyle="1" w:styleId="162">
    <w:name w:val="Table Text"/>
    <w:basedOn w:val="1"/>
    <w:link w:val="163"/>
    <w:qFormat/>
    <w:uiPriority w:val="0"/>
    <w:pPr>
      <w:spacing w:before="20" w:after="20" w:line="240" w:lineRule="atLeast"/>
      <w:ind w:left="0" w:right="0"/>
      <w:jc w:val="left"/>
    </w:pPr>
    <w:rPr>
      <w:rFonts w:ascii="Arial" w:hAnsi="Arial" w:eastAsia="华文楷体"/>
      <w:sz w:val="22"/>
      <w:szCs w:val="18"/>
      <w:lang w:val="en-GB" w:eastAsia="en-US"/>
    </w:rPr>
  </w:style>
  <w:style w:type="character" w:customStyle="1" w:styleId="163">
    <w:name w:val="Table Text Char"/>
    <w:link w:val="162"/>
    <w:qFormat/>
    <w:uiPriority w:val="0"/>
    <w:rPr>
      <w:rFonts w:ascii="Arial" w:hAnsi="Arial" w:eastAsia="华文楷体"/>
      <w:sz w:val="22"/>
      <w:szCs w:val="18"/>
      <w:lang w:val="en-GB" w:eastAsia="en-US"/>
    </w:rPr>
  </w:style>
  <w:style w:type="character" w:customStyle="1" w:styleId="164">
    <w:name w:val="页眉 字符"/>
    <w:basedOn w:val="31"/>
    <w:link w:val="18"/>
    <w:qFormat/>
    <w:uiPriority w:val="0"/>
    <w:rPr>
      <w:rFonts w:ascii="Times New Roman" w:hAnsi="Times New Roman" w:eastAsia="Arial Unicode MS"/>
      <w:sz w:val="18"/>
      <w:szCs w:val="18"/>
    </w:rPr>
  </w:style>
  <w:style w:type="paragraph" w:customStyle="1" w:styleId="165">
    <w:name w:val="F中文正文"/>
    <w:basedOn w:val="1"/>
    <w:link w:val="166"/>
    <w:qFormat/>
    <w:uiPriority w:val="0"/>
    <w:pPr>
      <w:spacing w:line="360" w:lineRule="auto"/>
      <w:ind w:left="0" w:right="0" w:firstLine="432"/>
    </w:pPr>
    <w:rPr>
      <w:rFonts w:eastAsia="宋体"/>
      <w:sz w:val="22"/>
      <w:szCs w:val="22"/>
      <w:lang w:eastAsia="en-US"/>
    </w:rPr>
  </w:style>
  <w:style w:type="character" w:customStyle="1" w:styleId="166">
    <w:name w:val="F中文正文 Char"/>
    <w:link w:val="165"/>
    <w:qFormat/>
    <w:uiPriority w:val="0"/>
    <w:rPr>
      <w:rFonts w:ascii="Times New Roman" w:hAnsi="Times New Roman"/>
      <w:sz w:val="22"/>
      <w:szCs w:val="22"/>
      <w:lang w:eastAsia="en-US"/>
    </w:rPr>
  </w:style>
  <w:style w:type="paragraph" w:customStyle="1" w:styleId="167">
    <w:name w:val="列出段落2"/>
    <w:basedOn w:val="1"/>
    <w:link w:val="168"/>
    <w:qFormat/>
    <w:uiPriority w:val="99"/>
    <w:pPr>
      <w:ind w:firstLine="420" w:firstLineChars="200"/>
    </w:pPr>
  </w:style>
  <w:style w:type="character" w:customStyle="1" w:styleId="168">
    <w:name w:val="列表段落 字符"/>
    <w:basedOn w:val="31"/>
    <w:link w:val="167"/>
    <w:qFormat/>
    <w:uiPriority w:val="99"/>
    <w:rPr>
      <w:rFonts w:ascii="Times New Roman" w:hAnsi="Times New Roman" w:eastAsia="Arial Unicode MS"/>
      <w:sz w:val="24"/>
      <w:szCs w:val="24"/>
    </w:rPr>
  </w:style>
  <w:style w:type="character" w:customStyle="1" w:styleId="169">
    <w:name w:val="Unresolved Mention1"/>
    <w:basedOn w:val="31"/>
    <w:semiHidden/>
    <w:unhideWhenUsed/>
    <w:qFormat/>
    <w:uiPriority w:val="99"/>
    <w:rPr>
      <w:color w:val="605E5C"/>
      <w:shd w:val="clear" w:color="auto" w:fill="E1DFDD"/>
    </w:rPr>
  </w:style>
  <w:style w:type="paragraph" w:customStyle="1" w:styleId="170">
    <w:name w:val="修订3"/>
    <w:hidden/>
    <w:semiHidden/>
    <w:qFormat/>
    <w:uiPriority w:val="99"/>
    <w:rPr>
      <w:rFonts w:ascii="Times New Roman" w:hAnsi="Times New Roman" w:eastAsia="Arial Unicode MS" w:cs="Times New Roman"/>
      <w:sz w:val="24"/>
      <w:szCs w:val="24"/>
      <w:lang w:val="en-US" w:eastAsia="zh-CN" w:bidi="ar-SA"/>
    </w:rPr>
  </w:style>
  <w:style w:type="paragraph" w:customStyle="1" w:styleId="171">
    <w:name w:val="修订4"/>
    <w:hidden/>
    <w:semiHidden/>
    <w:qFormat/>
    <w:uiPriority w:val="99"/>
    <w:rPr>
      <w:rFonts w:ascii="Times New Roman" w:hAnsi="Times New Roman" w:eastAsia="Arial Unicode MS" w:cs="Times New Roman"/>
      <w:sz w:val="24"/>
      <w:szCs w:val="24"/>
      <w:lang w:val="en-US" w:eastAsia="zh-CN" w:bidi="ar-SA"/>
    </w:rPr>
  </w:style>
  <w:style w:type="character" w:customStyle="1" w:styleId="172">
    <w:name w:val="未处理的提及1"/>
    <w:basedOn w:val="31"/>
    <w:semiHidden/>
    <w:unhideWhenUsed/>
    <w:qFormat/>
    <w:uiPriority w:val="99"/>
    <w:rPr>
      <w:color w:val="605E5C"/>
      <w:shd w:val="clear" w:color="auto" w:fill="E1DFDD"/>
    </w:rPr>
  </w:style>
  <w:style w:type="character" w:customStyle="1" w:styleId="173">
    <w:name w:val="未处理的提及2"/>
    <w:basedOn w:val="31"/>
    <w:semiHidden/>
    <w:unhideWhenUsed/>
    <w:qFormat/>
    <w:uiPriority w:val="99"/>
    <w:rPr>
      <w:color w:val="605E5C"/>
      <w:shd w:val="clear" w:color="auto" w:fill="E1DFDD"/>
    </w:rPr>
  </w:style>
  <w:style w:type="character" w:customStyle="1" w:styleId="174">
    <w:name w:val="未处理的提及3"/>
    <w:basedOn w:val="31"/>
    <w:semiHidden/>
    <w:unhideWhenUsed/>
    <w:qFormat/>
    <w:uiPriority w:val="99"/>
    <w:rPr>
      <w:color w:val="605E5C"/>
      <w:shd w:val="clear" w:color="auto" w:fill="E1DFDD"/>
    </w:rPr>
  </w:style>
  <w:style w:type="paragraph" w:customStyle="1" w:styleId="175">
    <w:name w:val="样式9"/>
    <w:basedOn w:val="21"/>
    <w:link w:val="176"/>
    <w:qFormat/>
    <w:uiPriority w:val="0"/>
    <w:pPr>
      <w:keepNext/>
      <w:snapToGrid w:val="0"/>
      <w:spacing w:before="163" w:after="163"/>
      <w:outlineLvl w:val="3"/>
    </w:pPr>
    <w:rPr>
      <w:rFonts w:ascii="Arial" w:hAnsi="Arial" w:eastAsia="微软雅黑" w:cs="Arial"/>
      <w:b w:val="0"/>
      <w:i w:val="0"/>
      <w:color w:val="4F81BD" w:themeColor="accent1"/>
      <w:sz w:val="22"/>
      <w:szCs w:val="22"/>
      <w14:textFill>
        <w14:solidFill>
          <w14:schemeClr w14:val="accent1"/>
        </w14:solidFill>
      </w14:textFill>
    </w:rPr>
  </w:style>
  <w:style w:type="character" w:customStyle="1" w:styleId="176">
    <w:name w:val="样式9 字符"/>
    <w:basedOn w:val="116"/>
    <w:link w:val="175"/>
    <w:qFormat/>
    <w:uiPriority w:val="0"/>
    <w:rPr>
      <w:rFonts w:ascii="Arial" w:hAnsi="Arial" w:eastAsia="微软雅黑" w:cs="Arial"/>
      <w:b w:val="0"/>
      <w:i w:val="0"/>
      <w:color w:val="4F81BD" w:themeColor="accent1"/>
      <w:sz w:val="22"/>
      <w:szCs w:val="22"/>
      <w14:textFill>
        <w14:solidFill>
          <w14:schemeClr w14:val="accent1"/>
        </w14:solidFill>
      </w14:textFill>
    </w:rPr>
  </w:style>
  <w:style w:type="paragraph" w:customStyle="1" w:styleId="177">
    <w:name w:val="修订5"/>
    <w:hidden/>
    <w:unhideWhenUsed/>
    <w:qFormat/>
    <w:uiPriority w:val="99"/>
    <w:rPr>
      <w:rFonts w:ascii="Times New Roman" w:hAnsi="Times New Roman" w:eastAsia="Arial Unicode MS" w:cs="Times New Roman"/>
      <w:sz w:val="24"/>
      <w:szCs w:val="24"/>
      <w:lang w:val="en-US" w:eastAsia="zh-CN" w:bidi="ar-SA"/>
    </w:rPr>
  </w:style>
  <w:style w:type="paragraph" w:customStyle="1" w:styleId="178">
    <w:name w:val="TOC 标题2"/>
    <w:basedOn w:val="2"/>
    <w:next w:val="1"/>
    <w:unhideWhenUsed/>
    <w:qFormat/>
    <w:uiPriority w:val="39"/>
    <w:pPr>
      <w:spacing w:before="240" w:after="0" w:line="259" w:lineRule="auto"/>
      <w:ind w:left="0" w:right="0"/>
      <w:jc w:val="left"/>
      <w:outlineLvl w:val="9"/>
    </w:pPr>
    <w:rPr>
      <w:rFonts w:asciiTheme="majorHAnsi" w:hAnsiTheme="majorHAnsi" w:eastAsiaTheme="majorEastAsia" w:cstheme="majorBidi"/>
      <w:b w:val="0"/>
      <w:bCs w:val="0"/>
      <w:color w:val="376092" w:themeColor="accent1" w:themeShade="BF"/>
      <w:kern w:val="0"/>
      <w:sz w:val="32"/>
      <w:szCs w:val="32"/>
    </w:rPr>
  </w:style>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footer3.xml" Type="http://schemas.openxmlformats.org/officeDocument/2006/relationships/footer"/><Relationship Id="rId11" Target="header5.xml" Type="http://schemas.openxmlformats.org/officeDocument/2006/relationships/header"/><Relationship Id="rId12" Target="header6.xml" Type="http://schemas.openxmlformats.org/officeDocument/2006/relationships/header"/><Relationship Id="rId13" Target="header7.xml" Type="http://schemas.openxmlformats.org/officeDocument/2006/relationships/header"/><Relationship Id="rId14" Target="footer4.xml" Type="http://schemas.openxmlformats.org/officeDocument/2006/relationships/footer"/><Relationship Id="rId15" Target="header8.xml" Type="http://schemas.openxmlformats.org/officeDocument/2006/relationships/header"/><Relationship Id="rId16" Target="header9.xml" Type="http://schemas.openxmlformats.org/officeDocument/2006/relationships/header"/><Relationship Id="rId17" Target="footer5.xml" Type="http://schemas.openxmlformats.org/officeDocument/2006/relationships/footer"/><Relationship Id="rId18" Target="theme/theme1.xml" Type="http://schemas.openxmlformats.org/officeDocument/2006/relationships/theme"/><Relationship Id="rId19" Target="media/image1.png" Type="http://schemas.openxmlformats.org/officeDocument/2006/relationships/image"/><Relationship Id="rId2" Target="settings.xml" Type="http://schemas.openxmlformats.org/officeDocument/2006/relationships/settings"/><Relationship Id="rId20" Target="media/image2.png" Type="http://schemas.openxmlformats.org/officeDocument/2006/relationships/image"/><Relationship Id="rId21" Target="media/image3.png" Type="http://schemas.openxmlformats.org/officeDocument/2006/relationships/image"/><Relationship Id="rId22" Target="media/image4.png" Type="http://schemas.openxmlformats.org/officeDocument/2006/relationships/image"/><Relationship Id="rId23" Target="media/image5.png" Type="http://schemas.openxmlformats.org/officeDocument/2006/relationships/image"/><Relationship Id="rId24" Target="media/image6.png" Type="http://schemas.openxmlformats.org/officeDocument/2006/relationships/image"/><Relationship Id="rId25" Target="media/image7.png" Type="http://schemas.openxmlformats.org/officeDocument/2006/relationships/image"/><Relationship Id="rId26" Target="media/image8.png" Type="http://schemas.openxmlformats.org/officeDocument/2006/relationships/image"/><Relationship Id="rId27" Target="../customXml/item1.xml" Type="http://schemas.openxmlformats.org/officeDocument/2006/relationships/customXml"/><Relationship Id="rId28" Target="numbering.xml" Type="http://schemas.openxmlformats.org/officeDocument/2006/relationships/numbering"/><Relationship Id="rId29" Target="../customXml/item2.xml" Type="http://schemas.openxmlformats.org/officeDocument/2006/relationships/customXml"/><Relationship Id="rId3" Target="footnotes.xml" Type="http://schemas.openxmlformats.org/officeDocument/2006/relationships/footnotes"/><Relationship Id="rId30" Target="fontTable.xml" Type="http://schemas.openxmlformats.org/officeDocument/2006/relationships/fontTable"/><Relationship Id="rId4" Target="header1.xml" Type="http://schemas.openxmlformats.org/officeDocument/2006/relationships/header"/><Relationship Id="rId5" Target="footer1.xml" Type="http://schemas.openxmlformats.org/officeDocument/2006/relationships/footer"/><Relationship Id="rId6" Target="footer2.xml" Type="http://schemas.openxmlformats.org/officeDocument/2006/relationships/footer"/><Relationship Id="rId7" Target="header2.xml" Type="http://schemas.openxmlformats.org/officeDocument/2006/relationships/header"/><Relationship Id="rId8" Target="header3.xml" Type="http://schemas.openxmlformats.org/officeDocument/2006/relationships/header"/><Relationship Id="rId9" Target="header4.xml" Type="http://schemas.openxmlformats.org/officeDocument/2006/relationships/header"/></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 Id="rId7" Target="fonts/font7.odttf" Type="http://schemas.openxmlformats.org/officeDocument/2006/relationships/font"/><Relationship Id="rId8" Target="fonts/font8.odttf" Type="http://schemas.openxmlformats.org/officeDocument/2006/relationships/font"/></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_rels/item2.xml.rels><?xml version="1.0" encoding="UTF-8" standalone="yes"?><Relationships xmlns="http://schemas.openxmlformats.org/package/2006/relationships"><Relationship Id="rId1" Target="itemProps2.xml" Type="http://schemas.openxmlformats.org/officeDocument/2006/relationships/customXmlProps"/></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4F8A5A6-DAF5-4A5A-9D86-AE02DF0BF218}">
  <ds:schemaRefs/>
</ds:datastoreItem>
</file>

<file path=docProps/app.xml><?xml version="1.0" encoding="utf-8"?>
<Properties xmlns="http://schemas.openxmlformats.org/officeDocument/2006/extended-properties" xmlns:vt="http://schemas.openxmlformats.org/officeDocument/2006/docPropsVTypes">
  <Template>Normal</Template>
  <Company>致同</Company>
  <Pages>73</Pages>
  <Words>3377</Words>
  <Characters>3828</Characters>
  <Lines>462</Lines>
  <Paragraphs>130</Paragraphs>
  <TotalTime>81</TotalTime>
  <ScaleCrop>false</ScaleCrop>
  <LinksUpToDate>false</LinksUpToDate>
  <CharactersWithSpaces>4112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2024-06-10T20:11:00Z</dcterms:created>
  <dc:creator>Administrator</dc:creator>
  <cp:lastModifiedBy>Allen</cp:lastModifiedBy>
  <cp:lastPrinted>2025-07-07T16:30:00Z</cp:lastPrinted>
  <dcterms:modified xsi:type="dcterms:W3CDTF">2026-01-07T06:44:52Z</dcterms:modified>
  <cp:revision>67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KSOProductBuildVer">
    <vt:lpwstr>2052-12.1.0.24034</vt:lpwstr>
  </property>
  <property fmtid="{D5CDD505-2E9C-101B-9397-08002B2CF9AE}" pid="4" name="ContentTypeId">
    <vt:lpwstr>0x010100E840E00689DBE64ABA4ECF7903E41C7D</vt:lpwstr>
  </property>
  <property fmtid="{D5CDD505-2E9C-101B-9397-08002B2CF9AE}" pid="5" name="ICV">
    <vt:lpwstr>932D49A1F26A5989A3386E68A65B3634_43</vt:lpwstr>
  </property>
  <property fmtid="{D5CDD505-2E9C-101B-9397-08002B2CF9AE}" pid="6" name="KSOTemplateDocerSaveRecord">
    <vt:lpwstr>eyJoZGlkIjoiNjliMmJjYzlmM2MxNGNiNDlmODgwOGY0NDE2NjRjNTgiLCJ1c2VySWQiOiIyNzUyNzMyMDQifQ==</vt:lpwstr>
  </property>
</Properties>
</file>