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 xml:space="preserve">{{BVD数据模板-数据表-B1}}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{{清单模板-1_组织结构及管理架构}}</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
            </w: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{{清单模板-关联交易汇总表}}</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{{_tpl_清单模板-4_供应商关联采购明细}} {{_row_group}}</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{{_col_供应商名称}}</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{{_tpl_清单模板-4_供应商关联采购明细}} {{_row_data}} {{_col_供应商名称}}</w:t>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{{_tpl_清单模板-4_供应商关联采购明细}} {{_row_subtotal}} {{_col_供应商名称}}</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{{_col_占关联采购总金额比例}}</w:t>
            </w:r>
          </w:p>
        </w:tc>
      </w:tr>
      <w:tr w14:paraId="7C5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531" w:type="dxa"/>
            <w:gridSpan w:val="2"/>
            <w:shd w:val="clear" w:color="auto" w:fill="auto"/>
            <w:vAlign w:val="center"/>
          </w:tcPr>
          <w:p w14:paraId="5AFC67A9">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{{_tpl_清单模板-4_供应商关联采购明细}} {{_row_subtotal}} {{_col_供应商名称}}</w:t>
            </w:r>
            <w:r>
              <w:rPr>
                <w:rFonts w:ascii="Arial" w:hAnsi="Arial" w:eastAsia="微软雅黑" w:cs="Arial"/>
                <w:b/>
                <w:color w:val="000000"/>
                <w:sz w:val="18"/>
                <w:szCs w:val="18"/>
              </w:rPr>
              <w:t/>
            </w:r>
          </w:p>
        </w:tc>
        <w:tc>
          <w:tcPr>
            <w:tcW w:w="1985" w:type="dxa"/>
            <w:shd w:val="clear" w:color="auto" w:fill="auto"/>
            <w:vAlign w:val="center"/>
          </w:tcPr>
          <w:p w14:paraId="2021AE90">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{{_col_金额（人民币）}}</w:t>
            </w:r>
          </w:p>
        </w:tc>
        <w:tc>
          <w:tcPr>
            <w:tcW w:w="1780" w:type="dxa"/>
            <w:shd w:val="clear" w:color="auto" w:fill="auto"/>
            <w:vAlign w:val="center"/>
          </w:tcPr>
          <w:p w14:paraId="4732A0E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{{_col_占关联采购总金额比例}}</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{{_tpl_清单模板-5_客户关联销售明细}} {{_row_group}}</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{{_tpl_清单模板-5_客户关联销售明细}} {{_row_data}} {{_col_客户名称}}</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{{_tpl_清单模板-5_客户关联销售明细}} {{_row_subtotal}} {{_col_客户名称}}</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{{_col_占营业收入比例}}</w:t>
            </w:r>
          </w:p>
        </w:tc>
      </w:tr>
      <w:tr w14:paraId="7BFB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4531" w:type="dxa"/>
            <w:gridSpan w:val="2"/>
            <w:shd w:val="clear" w:color="auto" w:fill="auto"/>
            <w:vAlign w:val="center"/>
          </w:tcPr>
          <w:p w14:paraId="16BE1820">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{{_tpl_清单模板-5_客户关联销售明细}} {{_row_subtotal}} {{_col_客户名称}}</w:t>
            </w:r>
            <w:r>
              <w:rPr>
                <w:rFonts w:ascii="Arial" w:hAnsi="Arial" w:eastAsia="微软雅黑" w:cs="Arial"/>
                <w:b/>
                <w:color w:val="000000"/>
                <w:sz w:val="18"/>
                <w:szCs w:val="18"/>
              </w:rPr>
              <w:t/>
            </w:r>
          </w:p>
        </w:tc>
        <w:tc>
          <w:tcPr>
            <w:tcW w:w="1985" w:type="dxa"/>
            <w:shd w:val="clear" w:color="auto" w:fill="auto"/>
            <w:vAlign w:val="center"/>
          </w:tcPr>
          <w:p w14:paraId="15B0512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848" w:type="dxa"/>
            <w:shd w:val="clear" w:color="auto" w:fill="auto"/>
            <w:vAlign w:val="center"/>
          </w:tcPr>
          <w:p w14:paraId="2827051D">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{{_col_占营业收入比例}}</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{{_tpl_清单模板-6_劳务支出明细}} {{_row_group}}</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{{_col_关联方名称}}</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{{_col_占总经营成本费用比重（%）}}</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{{_tpl_清单模板-6_劳务支出明细}} {{_row_data}} {{_col_关联方名称}}</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{{_col_占总经营成本费用比重（%）}}</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{{_tpl_清单模板-6_劳务支出明细}} {{_row_subtotal}} {{_col_关联方名称}}</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{{_col_交易金额}}</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{{_col_占总经营成本费用比重（%）}}</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{{_tpl_清单模板-6_劳务支出明细}} {{_row_subtotal}} {{_col_关联方名称}}</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{{_col_占总经营成本费用比重（%）}}</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{{_tpl_清单模板-6_劳务收入明细}} {{_row_group}}</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{{_col_关联方名称}}</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{{_col_占营业收入比重（%）}}</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{{_tpl_清单模板-6_劳务收入明细}} {{_row_data}} {{_col_关联方名称}}</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{{_col_占营业收入比重（%）}}</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{{_tpl_清单模板-6_劳务收入明细}} {{_row_subtotal}} {{_col_关联方名称}}</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{{_col_占营业收入比重（%）}}</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{{_tpl_清单模板-6_劳务收入明细}} {{_row_subtotal}} {{_col_关联方名称}}</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{{_col_占营业收入比重（%）}}</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关联销售</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非关联销售</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r w14:paraId="7F6FC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tcBorders>
              <w:top w:val="single" w:color="auto" w:sz="4" w:space="0"/>
            </w:tcBorders>
            <w:shd w:val="clear" w:color="auto" w:fill="auto"/>
            <w:vAlign w:val="center"/>
          </w:tcPr>
          <w:p w14:paraId="03C03B88">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主营业务收入</w:t>
            </w:r>
          </w:p>
        </w:tc>
        <w:tc>
          <w:tcPr>
            <w:tcW w:w="1417" w:type="dxa"/>
            <w:tcBorders>
              <w:top w:val="single" w:color="auto" w:sz="4" w:space="0"/>
            </w:tcBorders>
            <w:shd w:val="clear" w:color="auto" w:fill="auto"/>
            <w:vAlign w:val="center"/>
          </w:tcPr>
          <w:p w14:paraId="00B88DC7">
            <w:pPr>
              <w:snapToGrid w:val="0"/>
              <w:spacing w:before="60" w:after="60"/>
              <w:jc w:val="center"/>
              <w:rPr>
                <w:rFonts w:ascii="Arial" w:hAnsi="Arial" w:eastAsia="微软雅黑" w:cs="Arial"/>
                <w:b/>
                <w:sz w:val="18"/>
                <w:szCs w:val="18"/>
              </w:rPr>
            </w:pPr>
            <w:r>
              <w:rPr>
                <w:rFonts w:ascii="Arial" w:hAnsi="Arial" w:eastAsia="微软雅黑" w:cs="Arial"/>
                <w:color w:val="000000"/>
                <w:sz w:val="18"/>
                <w:szCs w:val="18"/>
              </w:rPr>
              <w:t>a</w:t>
            </w:r>
          </w:p>
        </w:tc>
        <w:tc>
          <w:tcPr>
            <w:tcW w:w="1985" w:type="dxa"/>
            <w:tcBorders>
              <w:top w:val="single" w:color="auto" w:sz="4" w:space="0"/>
            </w:tcBorders>
            <w:shd w:val="clear" w:color="auto" w:fill="auto"/>
            <w:vAlign w:val="center"/>
          </w:tcPr>
          <w:p w14:paraId="4323B5B4">
            <w:pPr>
              <w:snapToGrid w:val="0"/>
              <w:spacing w:before="60" w:after="60"/>
              <w:jc w:val="right"/>
              <w:rPr>
                <w:rFonts w:ascii="Arial" w:hAnsi="Arial" w:cs="Arial"/>
                <w:sz w:val="18"/>
                <w:szCs w:val="18"/>
              </w:rPr>
            </w:pPr>
            <w:r>
              <w:rPr>
                <w:rFonts w:hint="eastAsia" w:ascii="Arial" w:hAnsi="Arial" w:cs="Arial"/>
                <w:sz w:val="18"/>
                <w:szCs w:val="18"/>
              </w:rPr>
              <w:t xml:space="preserve"> 341,662,755.87 </w:t>
            </w:r>
          </w:p>
        </w:tc>
        <w:tc>
          <w:tcPr>
            <w:tcW w:w="1984" w:type="dxa"/>
            <w:tcBorders>
              <w:top w:val="single" w:color="auto" w:sz="4" w:space="0"/>
            </w:tcBorders>
            <w:shd w:val="clear" w:color="auto" w:fill="auto"/>
            <w:vAlign w:val="center"/>
          </w:tcPr>
          <w:p w14:paraId="4BFE8CE3">
            <w:pPr>
              <w:snapToGrid w:val="0"/>
              <w:spacing w:before="60" w:after="60"/>
              <w:jc w:val="right"/>
              <w:rPr>
                <w:rFonts w:ascii="Arial" w:hAnsi="Arial" w:cs="Arial"/>
                <w:sz w:val="18"/>
                <w:szCs w:val="18"/>
              </w:rPr>
            </w:pPr>
            <w:r>
              <w:rPr>
                <w:rFonts w:hint="eastAsia" w:ascii="Arial" w:hAnsi="Arial" w:cs="Arial"/>
                <w:sz w:val="18"/>
                <w:szCs w:val="18"/>
              </w:rPr>
              <w:t xml:space="preserve"> 1,025,800,777.35 </w:t>
            </w:r>
          </w:p>
        </w:tc>
      </w:tr>
      <w:tr w14:paraId="0C39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DEEC11F">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 xml:space="preserve">减：主营业务成本</w:t>
            </w:r>
            <w:r>
              <w:rPr>
                <w:rFonts w:ascii="Arial" w:hAnsi="Arial" w:eastAsia="微软雅黑" w:cs="Arial"/>
                <w:b w:val="0"/>
                <w:bCs/>
                <w:color w:val="000000"/>
                <w:sz w:val="18"/>
                <w:szCs w:val="18"/>
              </w:rPr>
              <w:t/>
            </w:r>
          </w:p>
        </w:tc>
        <w:tc>
          <w:tcPr>
            <w:tcW w:w="1417" w:type="dxa"/>
            <w:shd w:val="clear" w:color="auto" w:fill="auto"/>
            <w:vAlign w:val="center"/>
          </w:tcPr>
          <w:p w14:paraId="4B73CE27">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b</w:t>
            </w:r>
          </w:p>
        </w:tc>
        <w:tc>
          <w:tcPr>
            <w:tcW w:w="1985" w:type="dxa"/>
            <w:shd w:val="clear" w:color="auto" w:fill="auto"/>
            <w:vAlign w:val="center"/>
          </w:tcPr>
          <w:p w14:paraId="34B88CC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 214,592,971.85</w:t>
            </w:r>
          </w:p>
        </w:tc>
        <w:tc>
          <w:tcPr>
            <w:tcW w:w="1984" w:type="dxa"/>
            <w:shd w:val="clear" w:color="auto" w:fill="auto"/>
            <w:vAlign w:val="center"/>
          </w:tcPr>
          <w:p w14:paraId="26FE7E20">
            <w:pPr>
              <w:snapToGrid w:val="0"/>
              <w:spacing w:before="60" w:after="60"/>
              <w:jc w:val="right"/>
              <w:rPr>
                <w:rFonts w:ascii="Arial" w:hAnsi="Arial" w:eastAsia="微软雅黑" w:cs="Arial"/>
                <w:color w:val="000000"/>
                <w:sz w:val="18"/>
                <w:szCs w:val="18"/>
              </w:rPr>
            </w:pPr>
            <w:r>
              <w:rPr>
                <w:rFonts w:ascii="Arial" w:hAnsi="Arial" w:cs="Arial"/>
                <w:sz w:val="18"/>
                <w:szCs w:val="18"/>
              </w:rPr>
              <w:t>644,289,240.05</w:t>
            </w:r>
          </w:p>
        </w:tc>
      </w:tr>
      <w:tr w14:paraId="35F7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0CC3809F">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主营业务税金及附加</w:t>
            </w:r>
          </w:p>
        </w:tc>
        <w:tc>
          <w:tcPr>
            <w:tcW w:w="1417" w:type="dxa"/>
            <w:shd w:val="clear" w:color="auto" w:fill="auto"/>
            <w:vAlign w:val="center"/>
          </w:tcPr>
          <w:p w14:paraId="4329FDF2">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c</w:t>
            </w:r>
          </w:p>
        </w:tc>
        <w:tc>
          <w:tcPr>
            <w:tcW w:w="1985" w:type="dxa"/>
            <w:shd w:val="clear" w:color="auto" w:fill="auto"/>
            <w:vAlign w:val="center"/>
          </w:tcPr>
          <w:p w14:paraId="3D0010D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0.00</w:t>
            </w:r>
            <w:r>
              <w:rPr>
                <w:rFonts w:hint="eastAsia" w:ascii="Arial" w:hAnsi="Arial" w:cs="Arial"/>
                <w:sz w:val="18"/>
                <w:szCs w:val="18"/>
              </w:rPr>
              <w:t/>
            </w:r>
            <w:r>
              <w:rPr>
                <w:rFonts w:ascii="Arial" w:hAnsi="Arial" w:cs="Arial"/>
                <w:sz w:val="18"/>
                <w:szCs w:val="18"/>
              </w:rPr>
              <w:t/>
            </w:r>
          </w:p>
        </w:tc>
        <w:tc>
          <w:tcPr>
            <w:tcW w:w="1984" w:type="dxa"/>
            <w:shd w:val="clear" w:color="auto" w:fill="auto"/>
            <w:vAlign w:val="center"/>
          </w:tcPr>
          <w:p w14:paraId="4693FA53">
            <w:pPr>
              <w:snapToGrid w:val="0"/>
              <w:spacing w:before="60" w:after="60"/>
              <w:jc w:val="right"/>
              <w:rPr>
                <w:rFonts w:ascii="Arial" w:hAnsi="Arial" w:eastAsia="微软雅黑" w:cs="Arial"/>
                <w:color w:val="000000"/>
                <w:sz w:val="18"/>
                <w:szCs w:val="18"/>
              </w:rPr>
            </w:pPr>
            <w:r>
              <w:rPr>
                <w:rFonts w:ascii="Arial" w:hAnsi="Arial" w:cs="Arial"/>
                <w:sz w:val="18"/>
                <w:szCs w:val="18"/>
              </w:rPr>
              <w:t>8,926,363.51</w:t>
            </w:r>
          </w:p>
        </w:tc>
      </w:tr>
      <w:tr w14:paraId="3BCA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66C570BE">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主营业务利润</w:t>
            </w:r>
          </w:p>
        </w:tc>
        <w:tc>
          <w:tcPr>
            <w:tcW w:w="0" w:type="dxa"/>
            <w:shd w:val="clear" w:color="auto" w:fill="auto"/>
            <w:vAlign w:val="center"/>
          </w:tcPr>
          <w:p w14:paraId="3F830C14">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d = a-b-c</w:t>
            </w:r>
          </w:p>
        </w:tc>
        <w:tc>
          <w:tcPr>
            <w:tcW w:w="0" w:type="dxa"/>
            <w:shd w:val="clear" w:color="auto" w:fill="auto"/>
            <w:vAlign w:val="center"/>
          </w:tcPr>
          <w:p w14:paraId="21733A0D">
            <w:pPr>
              <w:snapToGrid w:val="0"/>
              <w:spacing w:before="60" w:after="60"/>
              <w:jc w:val="right"/>
              <w:rPr>
                <w:rFonts w:ascii="Arial" w:hAnsi="Arial" w:cs="Arial"/>
                <w:sz w:val="18"/>
                <w:szCs w:val="18"/>
              </w:rPr>
            </w:pPr>
            <w:r>
              <w:rPr>
                <w:rFonts w:ascii="Arial" w:hAnsi="Arial" w:cs="Arial"/>
                <w:sz w:val="18"/>
                <w:szCs w:val="18"/>
              </w:rPr>
              <w:t xml:space="preserve"> 127,069,784.02 </w:t>
            </w:r>
          </w:p>
        </w:tc>
        <w:tc>
          <w:tcPr>
            <w:tcW w:w="0" w:type="dxa"/>
            <w:shd w:val="clear" w:color="auto" w:fill="auto"/>
            <w:vAlign w:val="center"/>
          </w:tcPr>
          <w:p w14:paraId="5C86D5F2">
            <w:pPr>
              <w:snapToGrid w:val="0"/>
              <w:spacing w:before="60" w:after="60"/>
              <w:jc w:val="right"/>
              <w:rPr>
                <w:rFonts w:ascii="Arial" w:hAnsi="Arial" w:cs="Arial"/>
                <w:sz w:val="18"/>
                <w:szCs w:val="18"/>
              </w:rPr>
            </w:pPr>
            <w:r>
              <w:rPr>
                <w:rFonts w:ascii="Arial" w:hAnsi="Arial" w:cs="Arial"/>
                <w:sz w:val="18"/>
                <w:szCs w:val="18"/>
              </w:rPr>
              <w:t xml:space="preserve"> 372,585,173.79 </w:t>
            </w:r>
          </w:p>
        </w:tc>
      </w:tr>
      <w:tr w14:paraId="60517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61D80A82">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减：营业费用</w:t>
            </w:r>
          </w:p>
        </w:tc>
        <w:tc>
          <w:tcPr>
            <w:tcW w:w="1417" w:type="dxa"/>
            <w:shd w:val="clear" w:color="auto" w:fill="auto"/>
            <w:vAlign w:val="center"/>
          </w:tcPr>
          <w:p w14:paraId="38180D18">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e</w:t>
            </w:r>
          </w:p>
        </w:tc>
        <w:tc>
          <w:tcPr>
            <w:tcW w:w="1985" w:type="dxa"/>
            <w:shd w:val="clear" w:color="auto" w:fill="auto"/>
            <w:vAlign w:val="center"/>
          </w:tcPr>
          <w:p w14:paraId="0DBB32D4">
            <w:pPr>
              <w:snapToGrid w:val="0"/>
              <w:spacing w:before="60" w:after="60"/>
              <w:jc w:val="right"/>
              <w:rPr>
                <w:rFonts w:ascii="Arial" w:hAnsi="Arial" w:eastAsia="微软雅黑" w:cs="Arial"/>
                <w:color w:val="000000"/>
                <w:sz w:val="18"/>
                <w:szCs w:val="18"/>
              </w:rPr>
            </w:pPr>
            <w:r>
              <w:rPr>
                <w:rFonts w:ascii="Arial" w:hAnsi="Arial" w:cs="Arial"/>
                <w:sz w:val="18"/>
                <w:szCs w:val="18"/>
              </w:rPr>
              <w:t>18,605,596.97</w:t>
            </w:r>
          </w:p>
        </w:tc>
        <w:tc>
          <w:tcPr>
            <w:tcW w:w="1984" w:type="dxa"/>
            <w:shd w:val="clear" w:color="auto" w:fill="auto"/>
            <w:vAlign w:val="center"/>
          </w:tcPr>
          <w:p w14:paraId="6199B213">
            <w:pPr>
              <w:snapToGrid w:val="0"/>
              <w:spacing w:before="60" w:after="60"/>
              <w:jc w:val="right"/>
              <w:rPr>
                <w:rFonts w:ascii="Arial" w:hAnsi="Arial" w:eastAsia="微软雅黑" w:cs="Arial"/>
                <w:color w:val="000000"/>
                <w:sz w:val="18"/>
                <w:szCs w:val="18"/>
              </w:rPr>
            </w:pPr>
            <w:r>
              <w:rPr>
                <w:rFonts w:ascii="Arial" w:hAnsi="Arial" w:cs="Arial"/>
                <w:sz w:val="18"/>
                <w:szCs w:val="18"/>
              </w:rPr>
              <w:t>55,861,036.98</w:t>
            </w:r>
          </w:p>
        </w:tc>
      </w:tr>
      <w:tr w14:paraId="5C2C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2FA43110">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管理费用</w:t>
            </w:r>
          </w:p>
        </w:tc>
        <w:tc>
          <w:tcPr>
            <w:tcW w:w="1417" w:type="dxa"/>
            <w:shd w:val="clear" w:color="auto" w:fill="auto"/>
            <w:vAlign w:val="center"/>
          </w:tcPr>
          <w:p w14:paraId="48FB023C">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f</w:t>
            </w:r>
          </w:p>
        </w:tc>
        <w:tc>
          <w:tcPr>
            <w:tcW w:w="1985" w:type="dxa"/>
            <w:shd w:val="clear" w:color="auto" w:fill="auto"/>
            <w:vAlign w:val="center"/>
          </w:tcPr>
          <w:p w14:paraId="6091A650">
            <w:pPr>
              <w:snapToGrid w:val="0"/>
              <w:spacing w:before="60" w:after="60"/>
              <w:jc w:val="right"/>
              <w:rPr>
                <w:rFonts w:ascii="Arial" w:hAnsi="Arial" w:eastAsia="微软雅黑" w:cs="Arial"/>
                <w:color w:val="000000"/>
                <w:sz w:val="18"/>
                <w:szCs w:val="18"/>
              </w:rPr>
            </w:pPr>
            <w:r>
              <w:rPr>
                <w:rFonts w:ascii="Arial" w:hAnsi="Arial" w:cs="Arial"/>
                <w:sz w:val="18"/>
                <w:szCs w:val="18"/>
              </w:rPr>
              <w:t>44,739,956.95</w:t>
            </w:r>
          </w:p>
        </w:tc>
        <w:tc>
          <w:tcPr>
            <w:tcW w:w="1984" w:type="dxa"/>
            <w:shd w:val="clear" w:color="auto" w:fill="auto"/>
            <w:vAlign w:val="center"/>
          </w:tcPr>
          <w:p w14:paraId="4EA64831">
            <w:pPr>
              <w:snapToGrid w:val="0"/>
              <w:spacing w:before="60" w:after="60"/>
              <w:jc w:val="right"/>
              <w:rPr>
                <w:rFonts w:ascii="Arial" w:hAnsi="Arial" w:eastAsia="微软雅黑" w:cs="Arial"/>
                <w:color w:val="000000"/>
                <w:sz w:val="18"/>
                <w:szCs w:val="18"/>
              </w:rPr>
            </w:pPr>
            <w:r>
              <w:rPr>
                <w:rFonts w:ascii="Arial" w:hAnsi="Arial" w:cs="Arial"/>
                <w:sz w:val="18"/>
                <w:szCs w:val="18"/>
              </w:rPr>
              <w:t>134,326,267.16</w:t>
            </w:r>
          </w:p>
        </w:tc>
      </w:tr>
      <w:tr w14:paraId="0B3E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2E6BE3C0">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息税前利润</w:t>
            </w:r>
          </w:p>
        </w:tc>
        <w:tc>
          <w:tcPr>
            <w:tcW w:w="0" w:type="dxa"/>
            <w:shd w:val="clear" w:color="auto" w:fill="auto"/>
            <w:vAlign w:val="center"/>
          </w:tcPr>
          <w:p w14:paraId="7C0CFB9D">
            <w:pPr>
              <w:snapToGrid w:val="0"/>
              <w:spacing w:before="60" w:after="60"/>
              <w:jc w:val="center"/>
              <w:rPr>
                <w:rFonts w:ascii="Arial" w:hAnsi="Arial" w:eastAsia="微软雅黑" w:cs="Arial"/>
                <w:sz w:val="18"/>
                <w:szCs w:val="18"/>
              </w:rPr>
            </w:pPr>
            <w:r>
              <w:rPr>
                <w:rFonts w:ascii="Arial" w:hAnsi="Arial" w:eastAsia="微软雅黑" w:cs="Arial"/>
                <w:sz w:val="18"/>
                <w:szCs w:val="18"/>
              </w:rPr>
              <w:t>g = d-e-f</w:t>
            </w:r>
          </w:p>
        </w:tc>
        <w:tc>
          <w:tcPr>
            <w:tcW w:w="0" w:type="dxa"/>
            <w:shd w:val="clear" w:color="auto" w:fill="auto"/>
            <w:vAlign w:val="center"/>
          </w:tcPr>
          <w:p w14:paraId="191D9F16">
            <w:pPr>
              <w:snapToGrid w:val="0"/>
              <w:spacing w:before="60" w:after="60"/>
              <w:jc w:val="right"/>
              <w:rPr>
                <w:rFonts w:ascii="Arial" w:hAnsi="Arial" w:cs="Arial"/>
                <w:sz w:val="18"/>
                <w:szCs w:val="18"/>
              </w:rPr>
            </w:pPr>
            <w:r>
              <w:rPr>
                <w:rFonts w:ascii="Arial" w:hAnsi="Arial" w:cs="Arial"/>
                <w:sz w:val="18"/>
                <w:szCs w:val="18"/>
              </w:rPr>
              <w:t xml:space="preserve"> 63,724,230.10 </w:t>
            </w:r>
          </w:p>
        </w:tc>
        <w:tc>
          <w:tcPr>
            <w:tcW w:w="0" w:type="dxa"/>
            <w:shd w:val="clear" w:color="auto" w:fill="auto"/>
            <w:vAlign w:val="center"/>
          </w:tcPr>
          <w:p w14:paraId="206CDBF2">
            <w:pPr>
              <w:snapToGrid w:val="0"/>
              <w:spacing w:before="60" w:after="60"/>
              <w:jc w:val="right"/>
              <w:rPr>
                <w:rFonts w:ascii="Arial" w:hAnsi="Arial" w:cs="Arial"/>
                <w:sz w:val="18"/>
                <w:szCs w:val="18"/>
              </w:rPr>
            </w:pPr>
            <w:r>
              <w:rPr>
                <w:rFonts w:ascii="Arial" w:hAnsi="Arial" w:cs="Arial"/>
                <w:sz w:val="18"/>
                <w:szCs w:val="18"/>
              </w:rPr>
              <w:t xml:space="preserve"> 182,397,869.65 </w:t>
            </w:r>
          </w:p>
        </w:tc>
      </w:tr>
      <w:tr w14:paraId="545A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BD877EA">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主营业务成本及费用</w:t>
            </w:r>
          </w:p>
        </w:tc>
        <w:tc>
          <w:tcPr>
            <w:tcW w:w="1417" w:type="dxa"/>
            <w:shd w:val="clear" w:color="auto" w:fill="auto"/>
            <w:vAlign w:val="center"/>
          </w:tcPr>
          <w:p w14:paraId="3A7D4CE3">
            <w:pPr>
              <w:snapToGrid w:val="0"/>
              <w:spacing w:before="60" w:after="60"/>
              <w:jc w:val="center"/>
              <w:rPr>
                <w:rFonts w:ascii="Arial" w:hAnsi="Arial" w:eastAsia="微软雅黑" w:cs="Arial"/>
                <w:sz w:val="18"/>
                <w:szCs w:val="18"/>
              </w:rPr>
            </w:pPr>
            <w:r>
              <w:rPr>
                <w:rFonts w:ascii="Arial" w:hAnsi="Arial" w:eastAsia="微软雅黑" w:cs="Arial"/>
                <w:sz w:val="18"/>
                <w:szCs w:val="18"/>
              </w:rPr>
              <w:t>h = b+c+e+f</w:t>
            </w:r>
          </w:p>
        </w:tc>
        <w:tc>
          <w:tcPr>
            <w:tcW w:w="1985" w:type="dxa"/>
            <w:shd w:val="clear" w:color="auto" w:fill="auto"/>
            <w:vAlign w:val="center"/>
          </w:tcPr>
          <w:p w14:paraId="73FB641F">
            <w:pPr>
              <w:snapToGrid w:val="0"/>
              <w:spacing w:before="60" w:after="60"/>
              <w:jc w:val="right"/>
              <w:rPr>
                <w:rFonts w:ascii="Arial" w:hAnsi="Arial" w:eastAsia="微软雅黑" w:cs="Arial"/>
                <w:color w:val="000000"/>
                <w:sz w:val="18"/>
                <w:szCs w:val="18"/>
              </w:rPr>
            </w:pPr>
            <w:r>
              <w:rPr>
                <w:rFonts w:ascii="Arial" w:hAnsi="Arial" w:cs="Arial"/>
                <w:sz w:val="18"/>
                <w:szCs w:val="18"/>
              </w:rPr>
              <w:t>277,938,525.78</w:t>
            </w:r>
          </w:p>
        </w:tc>
        <w:tc>
          <w:tcPr>
            <w:tcW w:w="1984" w:type="dxa"/>
            <w:shd w:val="clear" w:color="auto" w:fill="auto"/>
            <w:vAlign w:val="center"/>
          </w:tcPr>
          <w:p w14:paraId="0E3CFA4B">
            <w:pPr>
              <w:snapToGrid w:val="0"/>
              <w:spacing w:before="60" w:after="60"/>
              <w:jc w:val="right"/>
              <w:rPr>
                <w:rFonts w:ascii="Arial" w:hAnsi="Arial" w:eastAsia="微软雅黑" w:cs="Arial"/>
                <w:color w:val="000000"/>
                <w:sz w:val="18"/>
                <w:szCs w:val="18"/>
              </w:rPr>
            </w:pPr>
            <w:r>
              <w:rPr>
                <w:rFonts w:ascii="Arial" w:hAnsi="Arial" w:cs="Arial"/>
                <w:sz w:val="18"/>
                <w:szCs w:val="18"/>
              </w:rPr>
              <w:t>843,402,907.69</w:t>
            </w:r>
          </w:p>
        </w:tc>
      </w:tr>
      <w:tr w14:paraId="63FB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37B692D9">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完全成本加成率</w:t>
            </w:r>
          </w:p>
        </w:tc>
        <w:tc>
          <w:tcPr>
            <w:tcW w:w="1417" w:type="dxa"/>
            <w:shd w:val="clear" w:color="auto" w:fill="auto"/>
            <w:vAlign w:val="center"/>
          </w:tcPr>
          <w:p w14:paraId="722C58EF">
            <w:pPr>
              <w:snapToGrid w:val="0"/>
              <w:spacing w:before="60" w:after="60"/>
              <w:jc w:val="center"/>
              <w:rPr>
                <w:rFonts w:ascii="Arial" w:hAnsi="Arial" w:eastAsia="微软雅黑" w:cs="Arial"/>
                <w:sz w:val="18"/>
                <w:szCs w:val="18"/>
              </w:rPr>
            </w:pPr>
            <w:r>
              <w:rPr>
                <w:rFonts w:ascii="Arial" w:hAnsi="Arial" w:eastAsia="微软雅黑" w:cs="Arial"/>
                <w:sz w:val="18"/>
                <w:szCs w:val="18"/>
              </w:rPr>
              <w:t>i = g/h</w:t>
            </w:r>
          </w:p>
        </w:tc>
        <w:tc>
          <w:tcPr>
            <w:tcW w:w="1985" w:type="dxa"/>
            <w:shd w:val="clear" w:color="auto" w:fill="auto"/>
            <w:vAlign w:val="center"/>
          </w:tcPr>
          <w:p w14:paraId="2A5CBB51">
            <w:pPr>
              <w:snapToGrid w:val="0"/>
              <w:spacing w:before="60" w:after="60"/>
              <w:jc w:val="right"/>
              <w:rPr>
                <w:rFonts w:ascii="Arial" w:hAnsi="Arial" w:eastAsia="微软雅黑" w:cs="Arial"/>
                <w:color w:val="000000"/>
                <w:sz w:val="18"/>
                <w:szCs w:val="18"/>
              </w:rPr>
            </w:pPr>
            <w:r>
              <w:rPr>
                <w:rFonts w:ascii="Arial" w:hAnsi="Arial" w:cs="Arial"/>
                <w:sz w:val="18"/>
                <w:szCs w:val="18"/>
              </w:rPr>
              <w:t>22.93%</w:t>
            </w:r>
          </w:p>
        </w:tc>
        <w:tc>
          <w:tcPr>
            <w:tcW w:w="1984" w:type="dxa"/>
            <w:shd w:val="clear" w:color="auto" w:fill="auto"/>
            <w:vAlign w:val="center"/>
          </w:tcPr>
          <w:p w14:paraId="428ADAE2">
            <w:pPr>
              <w:snapToGrid w:val="0"/>
              <w:spacing w:before="60" w:after="60"/>
              <w:jc w:val="right"/>
              <w:rPr>
                <w:rFonts w:ascii="Arial" w:hAnsi="Arial" w:eastAsia="微软雅黑" w:cs="Arial"/>
                <w:color w:val="000000"/>
                <w:sz w:val="18"/>
                <w:szCs w:val="18"/>
              </w:rPr>
            </w:pPr>
            <w:r>
              <w:rPr>
                <w:rFonts w:ascii="Arial" w:hAnsi="Arial" w:cs="Arial"/>
                <w:sz w:val="18"/>
                <w:szCs w:val="18"/>
              </w:rPr>
              <w:t>21.63%</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{{清单模板-2_关联公司信息}}</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项目</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境外关联交易</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境外非关联交易</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境内关联交易</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境内非关联交易</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合计</w:t>
            </w:r>
            <w:r>
              <w:rPr>
                <w:rFonts w:ascii="Arial" w:hAnsi="Arial" w:eastAsia="微软雅黑" w:cs="Arial"/>
                <w:b/>
                <w:color w:val="FFFFFF" w:themeColor="background1"/>
                <w:sz w:val="18"/>
                <w:szCs w:val="18"/>
                <w14:textFill>
                  <w14:solidFill>
                    <w14:schemeClr w14:val="bg1"/>
                  </w14:solidFill>
                </w14:textFill>
              </w:rPr>
              <w:t/>
            </w:r>
          </w:p>
        </w:tc>
      </w:tr>
      <w:tr w14:paraId="458E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A084C22">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一、营业收入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5DA1A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358,641,785.75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101D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96,443,327.60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55E9E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FBBF4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980,334,917.28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E5D7A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1,435,420,030.63 </w:t>
            </w:r>
          </w:p>
        </w:tc>
      </w:tr>
      <w:tr w14:paraId="487B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05E331">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9966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341,662,755.87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3CEC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91,877,450.99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50863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3985A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933,923,326.36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CA49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1,367,463,533.22 </w:t>
            </w:r>
          </w:p>
        </w:tc>
      </w:tr>
      <w:tr w14:paraId="06C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4D0A6507">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D2907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219,116,190.69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FDE82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58,923,124.41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0B4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E7ED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598,946,528.85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D04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876,985,843.96 </w:t>
            </w:r>
          </w:p>
        </w:tc>
      </w:tr>
      <w:tr w14:paraId="3226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E495F09">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CFDF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214,592,971.85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C85A0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57,706,773.46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320FF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9A44C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586,582,466.59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4D50E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858,882,211.90 </w:t>
            </w:r>
          </w:p>
        </w:tc>
      </w:tr>
      <w:tr w14:paraId="16EF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11629D8">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4FF2F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291A7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E83A2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B4F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03DAD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p>
        </w:tc>
      </w:tr>
      <w:tr w14:paraId="0E04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22055B">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34246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64C9E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A15D0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AE0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0D5F0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p>
        </w:tc>
      </w:tr>
      <w:tr w14:paraId="2E1F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1CFAE2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5853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18,605,596.97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96861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5,003,281.14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A26E9A">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79F2C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50,857,755.83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364D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74,466,633.95 </w:t>
            </w:r>
          </w:p>
        </w:tc>
      </w:tr>
      <w:tr w14:paraId="2A644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1C3E5B84">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管理费用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4994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44,739,956.95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DFFDA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12,031,142.21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2F20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C6BE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122,295,124.95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2584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179,066,224.11 </w:t>
            </w:r>
          </w:p>
        </w:tc>
      </w:tr>
      <w:tr w14:paraId="1E2E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3F62AA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财务费用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CF7A9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70,064.03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A00ED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18,841.11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50E8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AA6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191,517.60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BF68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280,422.74 </w:t>
            </w:r>
          </w:p>
        </w:tc>
      </w:tr>
      <w:tr w14:paraId="6A082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3356B51">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资产减值损失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63037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884AE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DC6D2">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B156C1">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5A1C9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3B347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3690" w:type="dxa"/>
            <w:shd w:val="clear" w:color="auto" w:fill="auto"/>
            <w:vAlign w:val="center"/>
          </w:tcPr>
          <w:p w14:paraId="56F6E17B">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加：公允价值变动收益（损失以“-”号填列）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35021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9D7D4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DCCA1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429DE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B0081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7DE4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660EB3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投资收益（损失以“-”号填列）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2CE8F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F102F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0CD93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F6C28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381,815.11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91151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381,815.11 </w:t>
            </w:r>
          </w:p>
        </w:tc>
      </w:tr>
      <w:tr w14:paraId="2CCC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8FA3A3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其中：对联营企业和合营企业的投资收益</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97C5DD">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8E9B7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EFA29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3E2E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FAAE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66FC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2A26FB5">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二、营业利润（亏损以“-”号填列）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452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76,109,977.10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2CB3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20,466,938.73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69EE05">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DCF9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199,499,441.64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71778">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296,076,357.47 </w:t>
            </w:r>
          </w:p>
        </w:tc>
      </w:tr>
      <w:tr w14:paraId="789DB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02C0E6A">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加：营业外收入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31DAE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A723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03712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19005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5,202,824.73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F10A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5,202,824.73 </w:t>
            </w:r>
          </w:p>
        </w:tc>
      </w:tr>
      <w:tr w14:paraId="6EE3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479B77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减：营业外支出</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7FA71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3A284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27D62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E7B8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720,091.53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E5546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720,091.53 </w:t>
            </w:r>
          </w:p>
        </w:tc>
      </w:tr>
      <w:tr w14:paraId="23FB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202FB62A">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其中：非流动资产处置损失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C311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A506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026A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C5E26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C3C8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r>
      <w:tr w14:paraId="4A0D5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A72C09F">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三、利润总额</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5447E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76,109,977.10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579F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20,466,938.73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953DD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72F9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203,982,174.84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D9FEB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300,559,090.67 </w:t>
            </w:r>
          </w:p>
        </w:tc>
      </w:tr>
      <w:tr w14:paraId="7970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DFC25F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减：所得税费用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92FA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8,515,691.44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4DE4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2,289,977.50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FF2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C344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23,277,348.02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75EE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34,083,016.96 </w:t>
            </w:r>
          </w:p>
        </w:tc>
      </w:tr>
      <w:tr w14:paraId="541D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1FEDA86">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四、净利润</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12349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67,594,285.66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78BD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18,176,961.23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0700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B9266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180,704,826.82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042572">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266,476,073.71 </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序号</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公司名</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国家</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业务描述</w:t>
            </w:r>
          </w:p>
        </w:tc>
      </w:tr>
      <w:tr w14:paraId="5A60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CD81A3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3370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Noritz Corporation</w:t>
            </w:r>
          </w:p>
        </w:tc>
        <w:tc>
          <w:tcPr>
            <w:tcW w:w="1275" w:type="dxa"/>
            <w:vAlign w:val="center"/>
          </w:tcPr>
          <w:p w14:paraId="4413E3F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A1D1FF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该公司主要从事热水空调设备、住房系统、厨房设备、新能源设备以及相关零部件的生产和销售。</w:t>
            </w:r>
          </w:p>
        </w:tc>
      </w:tr>
      <w:tr w14:paraId="0259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C235E43">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2</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4041C">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Kitz Corporati ON</w:t>
            </w:r>
          </w:p>
        </w:tc>
        <w:tc>
          <w:tcPr>
            <w:tcW w:w="1275" w:type="dxa"/>
            <w:vAlign w:val="center"/>
          </w:tcPr>
          <w:p w14:paraId="4D7E82D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6EFFDA">
            <w:pPr>
              <w:widowControl w:val="0"/>
              <w:snapToGrid w:val="0"/>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 xml:space="preserve">该公司主要从事开发和销售水、空气、石油和天然气等流体的阀门产品。</w:t>
            </w:r>
            <w:r>
              <w:rPr>
                <w:rFonts w:hint="eastAsia" w:ascii="微软雅黑" w:hAnsi="微软雅黑" w:eastAsia="微软雅黑" w:cs="Arial"/>
                <w:b/>
                <w:bCs/>
                <w:i/>
                <w:iCs/>
                <w:color w:val="000000"/>
                <w:sz w:val="18"/>
                <w:szCs w:val="18"/>
              </w:rPr>
              <w:t/>
            </w:r>
          </w:p>
        </w:tc>
      </w:tr>
      <w:tr w14:paraId="1E16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174FB5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3</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BFE2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Wuxi Smart Auto-Control Engineering Co., Ltd.</w:t>
            </w:r>
          </w:p>
        </w:tc>
        <w:tc>
          <w:tcPr>
            <w:tcW w:w="1275" w:type="dxa"/>
            <w:vAlign w:val="center"/>
          </w:tcPr>
          <w:p w14:paraId="05B2B13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3345F6B5">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该公司主要生产角阀、自动阀、球阀、压缩气瓶阀等阀门。</w:t>
            </w:r>
          </w:p>
        </w:tc>
      </w:tr>
      <w:tr w14:paraId="5F6FE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6F518E0">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4</w:t>
            </w:r>
          </w:p>
        </w:tc>
        <w:tc>
          <w:tcPr>
            <w:tcW w:w="4820" w:type="dxa"/>
            <w:vAlign w:val="center"/>
          </w:tcPr>
          <w:p w14:paraId="13C83E7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Founder Valve Group Co., LTD</w:t>
            </w:r>
          </w:p>
        </w:tc>
        <w:tc>
          <w:tcPr>
            <w:tcW w:w="1275" w:type="dxa"/>
            <w:vAlign w:val="center"/>
          </w:tcPr>
          <w:p w14:paraId="04121795">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451F5E4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该公司主要生产球阀、闸阀、截止阀、止回阀、蝶阀、插板阀、特种阀及低温、高温和高压阀门等。</w:t>
            </w:r>
          </w:p>
        </w:tc>
      </w:tr>
      <w:tr w14:paraId="47D7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3F669E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5</w:t>
            </w:r>
          </w:p>
        </w:tc>
        <w:tc>
          <w:tcPr>
            <w:tcW w:w="4820" w:type="dxa"/>
            <w:vAlign w:val="center"/>
          </w:tcPr>
          <w:p w14:paraId="7F4A14D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HS Valve Co.,Ltd.</w:t>
            </w:r>
          </w:p>
        </w:tc>
        <w:tc>
          <w:tcPr>
            <w:tcW w:w="1275" w:type="dxa"/>
            <w:vAlign w:val="center"/>
          </w:tcPr>
          <w:p w14:paraId="580F60D7">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6102EA00">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该公司主要生产球阀、闸阀、截止阀、止回阀，以及液化石油气阀、螺纹球阀、法兰端球阀、隔热型阀门、地下球阀等。</w:t>
            </w:r>
          </w:p>
        </w:tc>
      </w:tr>
      <w:tr w14:paraId="1DD6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2A557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6</w:t>
            </w:r>
          </w:p>
        </w:tc>
        <w:tc>
          <w:tcPr>
            <w:tcW w:w="4820" w:type="dxa"/>
            <w:vAlign w:val="center"/>
          </w:tcPr>
          <w:p w14:paraId="6D1DCFD5">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Okumura Engineering Corp.</w:t>
            </w:r>
          </w:p>
        </w:tc>
        <w:tc>
          <w:tcPr>
            <w:tcW w:w="1275" w:type="dxa"/>
            <w:vAlign w:val="center"/>
          </w:tcPr>
          <w:p w14:paraId="2BBB0628">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0E7F60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该公司总部位于日本，从事一系列工业阀门的生产。</w:t>
            </w:r>
          </w:p>
        </w:tc>
      </w:tr>
      <w:tr w14:paraId="3B58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CA0844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7</w:t>
            </w:r>
          </w:p>
        </w:tc>
        <w:tc>
          <w:tcPr>
            <w:tcW w:w="4820" w:type="dxa"/>
            <w:vAlign w:val="center"/>
          </w:tcPr>
          <w:p w14:paraId="4500474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Yoshitake Inc.</w:t>
            </w:r>
          </w:p>
        </w:tc>
        <w:tc>
          <w:tcPr>
            <w:tcW w:w="1275" w:type="dxa"/>
            <w:vAlign w:val="center"/>
          </w:tcPr>
          <w:p w14:paraId="36BA54D1">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2554A55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该公司总部位于日本名古屋，主要从事液体自动压力调节阀及过滤器、膨胀管接头、流量指示器等相关产品的制造和销售。它还生产减压阀、安全阀和电磁阀。</w:t>
            </w:r>
          </w:p>
        </w:tc>
      </w:tr>
      <w:tr w14:paraId="4C771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16C2F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8</w:t>
            </w:r>
          </w:p>
        </w:tc>
        <w:tc>
          <w:tcPr>
            <w:tcW w:w="4820" w:type="dxa"/>
            <w:vAlign w:val="center"/>
          </w:tcPr>
          <w:p w14:paraId="7E423E3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Nepon Inc.</w:t>
            </w:r>
          </w:p>
        </w:tc>
        <w:tc>
          <w:tcPr>
            <w:tcW w:w="1275" w:type="dxa"/>
            <w:vAlign w:val="center"/>
          </w:tcPr>
          <w:p w14:paraId="4E5AB96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884977">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该公司主要从事空气加热设备、地热加热设备、热泵和水锅炉的生产和销售。</w:t>
            </w:r>
          </w:p>
        </w:tc>
      </w:tr>
      <w:tr w14:paraId="44C4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09D302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9</w:t>
            </w:r>
          </w:p>
        </w:tc>
        <w:tc>
          <w:tcPr>
            <w:tcW w:w="4820" w:type="dxa"/>
            <w:vAlign w:val="center"/>
          </w:tcPr>
          <w:p w14:paraId="794DE8CA">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MIE Corporation Co., LTD</w:t>
            </w:r>
          </w:p>
        </w:tc>
        <w:tc>
          <w:tcPr>
            <w:tcW w:w="1275" w:type="dxa"/>
            <w:vAlign w:val="center"/>
          </w:tcPr>
          <w:p w14:paraId="3CE8814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3EB51A7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该公司从事加工金属产品的制造和销售，包括不锈钢管接头、工业接头、建筑接头、法兰和螺纹焊接接头，以及预制加工产品。</w:t>
            </w:r>
          </w:p>
        </w:tc>
      </w:tr>
      <w:tr w14:paraId="52BF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15A382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10</w:t>
            </w:r>
            <w:r>
              <w:rPr>
                <w:rFonts w:ascii="Arial" w:hAnsi="Arial" w:eastAsia="等线" w:cs="Arial"/>
                <w:color w:val="333333"/>
                <w:sz w:val="18"/>
                <w:szCs w:val="18"/>
              </w:rPr>
              <w:t/>
            </w:r>
          </w:p>
        </w:tc>
        <w:tc>
          <w:tcPr>
            <w:tcW w:w="4820" w:type="dxa"/>
            <w:vAlign w:val="center"/>
          </w:tcPr>
          <w:p w14:paraId="3D2997D9">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JDV Control Valves Co., Ltd.</w:t>
            </w:r>
          </w:p>
        </w:tc>
        <w:tc>
          <w:tcPr>
            <w:tcW w:w="1275" w:type="dxa"/>
            <w:vAlign w:val="center"/>
          </w:tcPr>
          <w:p w14:paraId="7FB32B95">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中国台湾</w:t>
            </w:r>
          </w:p>
        </w:tc>
        <w:tc>
          <w:tcPr>
            <w:tcW w:w="7149" w:type="dxa"/>
            <w:vAlign w:val="center"/>
          </w:tcPr>
          <w:p w14:paraId="179BE57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该公司主要生产球阀、蝶阀、控制阀、闸阀、截止阀、止回阀，以及配件与执行器等高端工业阀门。</w:t>
            </w:r>
          </w:p>
        </w:tc>
      </w:tr>
      <w:tr w14:paraId="75B9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67A959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11</w:t>
            </w:r>
            <w:r>
              <w:rPr>
                <w:rFonts w:ascii="Arial" w:hAnsi="Arial" w:eastAsia="等线" w:cs="Arial"/>
                <w:color w:val="333333"/>
                <w:sz w:val="18"/>
                <w:szCs w:val="18"/>
              </w:rPr>
              <w:t/>
            </w:r>
          </w:p>
        </w:tc>
        <w:tc>
          <w:tcPr>
            <w:tcW w:w="4820" w:type="dxa"/>
            <w:vAlign w:val="center"/>
          </w:tcPr>
          <w:p w14:paraId="27C9428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Wuhu Jinmao Liquid Science &amp; Technology Co.,Ltd.</w:t>
            </w:r>
          </w:p>
        </w:tc>
        <w:tc>
          <w:tcPr>
            <w:tcW w:w="1275" w:type="dxa"/>
            <w:vAlign w:val="center"/>
          </w:tcPr>
          <w:p w14:paraId="6F0A273B">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738FFBBD">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该公司主要从事球墨铸铁、特种材质金属管件、快速连接器、阀门等各类流体工程产品及轨道交通关键零部件的研发、生产、销售。</w:t>
            </w:r>
          </w:p>
        </w:tc>
      </w:tr>
      <w:tr w14:paraId="5095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92AC7D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12</w:t>
            </w:r>
            <w:r>
              <w:rPr>
                <w:rFonts w:ascii="Arial" w:hAnsi="Arial" w:eastAsia="等线" w:cs="Arial"/>
                <w:color w:val="333333"/>
                <w:sz w:val="18"/>
                <w:szCs w:val="18"/>
              </w:rPr>
              <w:t/>
            </w:r>
          </w:p>
        </w:tc>
        <w:tc>
          <w:tcPr>
            <w:tcW w:w="4820" w:type="dxa"/>
            <w:vAlign w:val="center"/>
          </w:tcPr>
          <w:p w14:paraId="294217F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Kunshan Visa Valve Co., LTD</w:t>
            </w:r>
          </w:p>
        </w:tc>
        <w:tc>
          <w:tcPr>
            <w:tcW w:w="1275" w:type="dxa"/>
            <w:vAlign w:val="center"/>
          </w:tcPr>
          <w:p w14:paraId="679E3EC9">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w:t>
            </w:r>
          </w:p>
        </w:tc>
        <w:tc>
          <w:tcPr>
            <w:tcW w:w="7149" w:type="dxa"/>
            <w:vAlign w:val="center"/>
          </w:tcPr>
          <w:p w14:paraId="3CDB9FF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该公司主要生产高中低压球阀、浮动球阀与支座式球阀，以及铸钢和锻钢球阀。</w:t>
            </w:r>
          </w:p>
        </w:tc>
      </w:tr>
      <w:tr w14:paraId="31E7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28A674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13</w:t>
            </w:r>
            <w:r>
              <w:rPr>
                <w:rFonts w:ascii="Arial" w:hAnsi="Arial" w:eastAsia="等线" w:cs="Arial"/>
                <w:color w:val="333333"/>
                <w:sz w:val="18"/>
                <w:szCs w:val="18"/>
              </w:rPr>
              <w:t/>
            </w:r>
          </w:p>
        </w:tc>
        <w:tc>
          <w:tcPr>
            <w:tcW w:w="4820" w:type="dxa"/>
            <w:vAlign w:val="center"/>
          </w:tcPr>
          <w:p w14:paraId="12A90F8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Jokwang I.L.I Co.,Ltd.</w:t>
            </w:r>
          </w:p>
        </w:tc>
        <w:tc>
          <w:tcPr>
            <w:tcW w:w="1275" w:type="dxa"/>
            <w:vAlign w:val="center"/>
          </w:tcPr>
          <w:p w14:paraId="7AC53D67">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韩国</w:t>
            </w:r>
          </w:p>
        </w:tc>
        <w:tc>
          <w:tcPr>
            <w:tcW w:w="7149" w:type="dxa"/>
            <w:vAlign w:val="center"/>
          </w:tcPr>
          <w:p w14:paraId="7BD1925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该公司从事阀门的生产和批发销售。</w:t>
            </w:r>
          </w:p>
        </w:tc>
      </w:tr>
      <w:tr w14:paraId="7A1F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59BE5D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14</w:t>
            </w:r>
            <w:r>
              <w:rPr>
                <w:rFonts w:ascii="Arial" w:hAnsi="Arial" w:eastAsia="等线" w:cs="Arial"/>
                <w:color w:val="333333"/>
                <w:sz w:val="18"/>
                <w:szCs w:val="18"/>
              </w:rPr>
              <w:t/>
            </w:r>
          </w:p>
        </w:tc>
        <w:tc>
          <w:tcPr>
            <w:tcW w:w="4820" w:type="dxa"/>
            <w:vAlign w:val="center"/>
          </w:tcPr>
          <w:p w14:paraId="18CD6770">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Enertork Ltd.</w:t>
            </w:r>
          </w:p>
        </w:tc>
        <w:tc>
          <w:tcPr>
            <w:tcW w:w="1275" w:type="dxa"/>
            <w:vAlign w:val="center"/>
          </w:tcPr>
          <w:p w14:paraId="1B05F09B">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4DEC37A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该公司主要生产电动执行器与减速器，包括多回转执行器、四分之一次回转执行器、蜗杆减速器、用于球阀、蝶阀、闸阀、截止阀、插板阀及风门等的系列产品。</w:t>
            </w:r>
          </w:p>
        </w:tc>
      </w:tr>
      <w:tr w14:paraId="2B11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91108F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15</w:t>
            </w:r>
            <w:r>
              <w:rPr>
                <w:rFonts w:ascii="Arial" w:hAnsi="Arial" w:eastAsia="等线" w:cs="Arial"/>
                <w:color w:val="333333"/>
                <w:sz w:val="18"/>
                <w:szCs w:val="18"/>
              </w:rPr>
              <w:t/>
            </w:r>
          </w:p>
        </w:tc>
        <w:tc>
          <w:tcPr>
            <w:tcW w:w="4820" w:type="dxa"/>
            <w:vAlign w:val="center"/>
          </w:tcPr>
          <w:p w14:paraId="3D91EEA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Shri Balaji Valve Components Limited</w:t>
            </w:r>
          </w:p>
        </w:tc>
        <w:tc>
          <w:tcPr>
            <w:tcW w:w="1275" w:type="dxa"/>
            <w:vAlign w:val="center"/>
          </w:tcPr>
          <w:p w14:paraId="227C7CD8">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印度</w:t>
            </w:r>
          </w:p>
        </w:tc>
        <w:tc>
          <w:tcPr>
            <w:tcW w:w="7149" w:type="dxa"/>
            <w:vAlign w:val="center"/>
          </w:tcPr>
          <w:p w14:paraId="1CCE229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该公司主要生产球阀组件、蝶阀组件、截止阀组件、闸阀组件及其他阀门精密零部件，并承接定制加工与组装。</w:t>
            </w:r>
          </w:p>
        </w:tc>
      </w:tr>
      <w:tr w14:paraId="2A091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6615F1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16</w:t>
            </w:r>
            <w:r>
              <w:rPr>
                <w:rFonts w:ascii="Arial" w:hAnsi="Arial" w:eastAsia="等线" w:cs="Arial"/>
                <w:color w:val="333333"/>
                <w:sz w:val="18"/>
                <w:szCs w:val="18"/>
              </w:rPr>
              <w:t/>
            </w:r>
          </w:p>
        </w:tc>
        <w:tc>
          <w:tcPr>
            <w:tcW w:w="4820" w:type="dxa"/>
            <w:vAlign w:val="center"/>
          </w:tcPr>
          <w:p w14:paraId="408A4DE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Meson Valves India Limited</w:t>
            </w:r>
          </w:p>
        </w:tc>
        <w:tc>
          <w:tcPr>
            <w:tcW w:w="1275" w:type="dxa"/>
            <w:vAlign w:val="center"/>
          </w:tcPr>
          <w:p w14:paraId="14DB482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3B6B9A3E">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该公司主要从事工业阀门以及供水工程和供水系统阀门的制造。</w:t>
            </w:r>
          </w:p>
        </w:tc>
      </w:tr>
      <w:tr w14:paraId="4F8C2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AE2317E">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17</w:t>
            </w:r>
            <w:r>
              <w:rPr>
                <w:rFonts w:ascii="Arial" w:hAnsi="Arial" w:eastAsia="等线" w:cs="Arial"/>
                <w:color w:val="333333"/>
                <w:sz w:val="18"/>
                <w:szCs w:val="18"/>
              </w:rPr>
              <w:t/>
            </w:r>
          </w:p>
        </w:tc>
        <w:tc>
          <w:tcPr>
            <w:tcW w:w="4820" w:type="dxa"/>
            <w:vAlign w:val="center"/>
          </w:tcPr>
          <w:p w14:paraId="12917117">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Chemtech Industrial Valves Limited</w:t>
            </w:r>
          </w:p>
        </w:tc>
        <w:tc>
          <w:tcPr>
            <w:tcW w:w="1275" w:type="dxa"/>
            <w:vAlign w:val="center"/>
          </w:tcPr>
          <w:p w14:paraId="70AC2950">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17B9D77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该公司是一家从事阀门及工程配套产品生产的实体。</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