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word/footer5.xml" ContentType="application/vnd.openxmlformats-officedocument.wordprocessingml.foot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header8.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Override PartName="/word/header5.xml" ContentType="application/vnd.openxmlformats-officedocument.wordprocessingml.header+xml"/>
  <Override PartName="/word/numbering.xml" ContentType="application/vnd.openxmlformats-officedocument.wordprocessingml.numbering+xml"/>
  <Override PartName="/docProps/custom.xml" ContentType="application/vnd.openxmlformats-officedocument.custom-properties+xml"/>
  <Override PartName="/word/header9.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theme/theme1.xml" ContentType="application/vnd.openxmlformats-officedocument.theme+xml"/>
  <Override PartName="/word/endnotes.xml" ContentType="application/vnd.openxmlformats-officedocument.wordprocessingml.endnotes+xml"/>
  <Override PartName="/word/fontTable.xml" ContentType="application/vnd.openxmlformats-officedocument.wordprocessingml.fontTable+xml"/>
  <Override PartName="/word/webSettings.xml" ContentType="application/vnd.openxmlformats-officedocument.wordprocessingml.webSettings+xml"/>
  <Override PartName="/word/header3.xml" ContentType="application/vnd.openxmlformats-officedocument.wordprocessingml.header+xml"/>
  <Override PartName="/word/header7.xml" ContentType="application/vnd.openxmlformats-officedocument.wordprocessingml.header+xml"/>
  <Override PartName="/word/settings.xml" ContentType="application/vnd.openxmlformats-officedocument.wordprocessingml.settings+xml"/>
  <Override PartName="/word/document.xml" ContentType="application/vnd.openxmlformats-officedocument.wordprocessingml.document.main+xml"/>
  <Override PartName="/customXml/itemProps2.xml" ContentType="application/vnd.openxmlformats-officedocument.customXmlProperties+xml"/>
  <Override PartName="/customXml/itemProps1.xml" ContentType="application/vnd.openxmlformats-officedocument.customXmlProperties+xml"/>
  <Override PartName="/word/footnotes.xml" ContentType="application/vnd.openxmlformats-officedocument.wordprocessingml.footnote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widowControl w:val="false"/>
        <w:pBdr/>
        <w:spacing/>
        <w:ind w:right="-1044" w:left="134"/>
        <w:rPr>
          <w:rFonts w:ascii="仿宋" w:hAnsi="仿宋" w:eastAsia="仿宋" w:cs="仿宋"/>
          <w:b/>
          <w:sz w:val="48"/>
          <w:szCs w:val="22"/>
        </w:rPr>
      </w:pPr>
      <w:r>
        <w:rPr>
          <w:rFonts w:ascii="仿宋" w:hAnsi="仿宋" w:eastAsia="仿宋" w:cs="仿宋"/>
          <w:b/>
          <w:sz w:val="48"/>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62336" behindDoc="1" locked="0" layoutInCell="1" allowOverlap="1">
                <wp:simplePos x="0" y="0"/>
                <wp:positionH relativeFrom="column">
                  <wp:posOffset>4148455</wp:posOffset>
                </wp:positionH>
                <wp:positionV relativeFrom="paragraph">
                  <wp:posOffset>69850</wp:posOffset>
                </wp:positionV>
                <wp:extent cx="1061085" cy="494030"/>
                <wp:effectExtent l="0" t="0" r="5715" b="1270"/>
                <wp:wrapNone/>
                <wp:docPr id="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r/>
                      </pic:nvPicPr>
                      <pic:blipFill>
                        <a:blip r:embed="rId25"/>
                        <a:stretch/>
                      </pic:blipFill>
                      <pic:spPr bwMode="auto">
                        <a:xfrm>
                          <a:off x="0" y="0"/>
                          <a:ext cx="1061085" cy="49403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text;margin-left:326.65pt;mso-position-horizontal:absolute;mso-position-vertical-relative:text;margin-top:5.50pt;mso-position-vertical:absolute;width:83.55pt;height:38.90pt;mso-wrap-distance-left:9.00pt;mso-wrap-distance-top:0.00pt;mso-wrap-distance-right:9.00pt;mso-wrap-distance-bottom:0.00pt;z-index:1;" stroked="false">
                <v:imagedata r:id="rId25" o:title=""/>
                <o:lock v:ext="edit" rotation="t"/>
              </v:shape>
            </w:pict>
          </mc:Fallback>
        </mc:AlternateContent>
      </w:r>
      <w:r>
        <w:t xml:space="preserve">{{清单模板-4_供应商关联采购明细}}</w:t>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134"/>
        <w:rPr>
          <w:rFonts w:ascii="仿宋" w:hAnsi="仿宋" w:eastAsia="仿宋" w:cs="仿宋"/>
          <w:b/>
          <w:sz w:val="48"/>
          <w:szCs w:val="22"/>
        </w:rPr>
      </w:pPr>
      <w:r>
        <w:rPr>
          <w:rFonts w:ascii="仿宋" w:hAnsi="仿宋" w:eastAsia="仿宋" w:cs="仿宋"/>
          <w:b/>
          <w:sz w:val="48"/>
          <w:szCs w:val="22"/>
        </w:rPr>
      </w:r>
      <w:r>
        <w:rPr>
          <w:rFonts w:ascii="仿宋" w:hAnsi="仿宋" w:eastAsia="仿宋" w:cs="仿宋"/>
          <w:b/>
          <w:sz w:val="48"/>
          <w:szCs w:val="22"/>
        </w:rPr>
      </w:r>
    </w:p>
    <w:p>
      <w:pPr>
        <w:widowControl w:val="false"/>
        <w:pBdr/>
        <w:spacing/>
        <w:ind w:right="-1044" w:left="854"/>
        <w:rPr>
          <w:rFonts w:ascii="Arial" w:hAnsi="Arial" w:eastAsia="微软雅黑" w:cs="Arial"/>
          <w:b/>
          <w:color w:val="c75b12"/>
          <w:sz w:val="52"/>
          <w:szCs w:val="22"/>
        </w:rPr>
      </w:pPr>
      <w:r>
        <w:rPr>
          <w:rFonts w:ascii="Arial" w:hAnsi="Arial" w:eastAsia="微软雅黑" w:cs="Arial"/>
          <w:b/>
          <w:sz w:val="48"/>
          <w:szCs w:val="22"/>
        </w:rPr>
        <w:t xml:space="preserve">{{清单模板-数据表-B1}}</w:t>
      </w:r>
      <w:r>
        <w:rPr>
          <w:rFonts w:ascii="Arial" w:hAnsi="Arial" w:eastAsia="微软雅黑" w:cs="Arial"/>
          <w:b/>
          <w:color w:val="c75b12"/>
          <w:sz w:val="52"/>
          <w:szCs w:val="22"/>
        </w:rPr>
      </w:r>
    </w:p>
    <w:p>
      <w:pPr>
        <w:widowControl w:val="false"/>
        <w:pBdr/>
        <w:spacing/>
        <w:ind w:left="720"/>
        <w:rPr>
          <w:rFonts w:ascii="Arial" w:hAnsi="Arial" w:eastAsia="微软雅黑" w:cs="Arial"/>
          <w:color w:val="000000"/>
          <w:sz w:val="32"/>
          <w:szCs w:val="32"/>
        </w:rPr>
      </w:pPr>
      <w:r>
        <w:rPr>
          <w:rFonts w:ascii="Arial" w:hAnsi="Arial" w:eastAsia="微软雅黑" w:cs="Arial"/>
          <w:color w:val="000000"/>
          <w:sz w:val="32"/>
          <w:szCs w:val="32"/>
        </w:rPr>
      </w:r>
      <w:r>
        <w:rPr>
          <w:rFonts w:ascii="Arial" w:hAnsi="Arial" w:eastAsia="微软雅黑" w:cs="Arial"/>
          <w:color w:val="000000"/>
          <w:sz w:val="32"/>
          <w:szCs w:val="32"/>
        </w:rPr>
      </w:r>
    </w:p>
    <w:p>
      <w:pPr>
        <w:widowControl w:val="false"/>
        <w:pBdr/>
        <w:spacing/>
        <w:ind w:left="854"/>
        <w:rPr>
          <w:rFonts w:ascii="Arial" w:hAnsi="Arial" w:eastAsia="微软雅黑" w:cs="Arial"/>
          <w:b/>
          <w:bCs/>
          <w:color w:val="000000"/>
          <w:sz w:val="32"/>
          <w:szCs w:val="32"/>
        </w:rPr>
      </w:pPr>
      <w:r>
        <w:rPr>
          <w:rFonts w:ascii="Arial" w:hAnsi="Arial" w:eastAsia="微软雅黑" w:cs="Arial"/>
          <w:b/>
          <w:bCs/>
          <w:color w:val="000000"/>
          <w:sz w:val="32"/>
          <w:szCs w:val="32"/>
        </w:rPr>
        <w:t xml:space="preserve">转让定价同期资料本地文档</w:t>
      </w:r>
      <w:r>
        <w:rPr>
          <w:rFonts w:ascii="Arial" w:hAnsi="Arial" w:eastAsia="微软雅黑" w:cs="Arial"/>
          <w:b/>
          <w:bCs/>
          <w:color w:val="000000"/>
          <w:sz w:val="32"/>
          <w:szCs w:val="32"/>
        </w:rPr>
      </w:r>
    </w:p>
    <w:p>
      <w:pPr>
        <w:widowControl w:val="false"/>
        <w:pBdr/>
        <w:spacing/>
        <w:ind w:left="854"/>
        <w:rPr>
          <w:rFonts w:ascii="Arial Narrow" w:hAnsi="Arial Narrow" w:eastAsia="仿宋" w:cs="Arial Narrow"/>
          <w:b/>
          <w:bCs/>
          <w:color w:val="000000"/>
          <w:sz w:val="32"/>
          <w:szCs w:val="32"/>
        </w:rPr>
      </w:pPr>
      <w:r>
        <w:rPr>
          <w:rFonts w:hint="eastAsia" w:ascii="Arial" w:hAnsi="Arial" w:eastAsia="微软雅黑" w:cs="Arial"/>
          <w:b/>
          <w:bCs/>
          <w:color w:val="000000"/>
          <w:sz w:val="32"/>
          <w:szCs w:val="32"/>
        </w:rPr>
        <w:t xml:space="preserve">{{清单模板-数据表-B2}}（截至{{清单模板-数据表-B2}}12月31日）</w:t>
      </w:r>
      <w:r>
        <w:rPr>
          <w:rFonts w:ascii="Arial" w:hAnsi="Arial" w:eastAsia="微软雅黑" w:cs="Arial"/>
          <w:b/>
          <w:bCs/>
          <w:color w:val="000000"/>
          <w:sz w:val="32"/>
          <w:szCs w:val="32"/>
        </w:rPr>
      </w:r>
      <w:r>
        <w:rPr>
          <w:rFonts w:ascii="Arial Narrow" w:hAnsi="Arial Narrow" w:eastAsia="仿宋" w:cs="Arial Narrow"/>
          <w:b/>
          <w:bCs/>
          <w:color w:val="000000"/>
          <w:sz w:val="32"/>
          <w:szCs w:val="32"/>
        </w:rPr>
      </w:r>
    </w:p>
    <w:p>
      <w:pPr>
        <w:widowControl w:val="false"/>
        <w:pBdr/>
        <w:spacing/>
        <w:ind/>
        <w:rPr>
          <w:rFonts w:ascii="仿宋" w:hAnsi="仿宋" w:eastAsia="仿宋" w:cs="仿宋"/>
          <w:color w:val="000000"/>
          <w:sz w:val="28"/>
          <w:szCs w:val="22"/>
        </w:rPr>
      </w:pPr>
      <w:r>
        <w:rPr>
          <w:rFonts w:ascii="仿宋" w:hAnsi="仿宋" w:eastAsia="仿宋" w:cs="仿宋"/>
          <w:color w:val="000000"/>
          <w:sz w:val="28"/>
          <w:szCs w:val="22"/>
        </w:rPr>
      </w:r>
      <w:r>
        <w:rPr>
          <w:rFonts w:ascii="仿宋" w:hAnsi="仿宋" w:eastAsia="仿宋" w:cs="仿宋"/>
          <w:color w:val="000000"/>
          <w:sz w:val="28"/>
          <w:szCs w:val="22"/>
        </w:rPr>
      </w:r>
    </w:p>
    <w:p>
      <w:pPr>
        <w:pBdr/>
        <w:spacing/>
        <w:ind/>
        <w:rPr/>
      </w:pPr>
      <w:r/>
      <w:r/>
    </w:p>
    <w:p>
      <w:pPr>
        <w:widowControl w:val="false"/>
        <w:pBdr/>
        <w:spacing/>
        <w:ind/>
        <w:rPr>
          <w:rFonts w:ascii="Arial" w:hAnsi="Arial" w:eastAsia="微软雅黑" w:cs="Arial"/>
          <w:sz w:val="21"/>
          <w:szCs w:val="22"/>
        </w:rPr>
      </w:pPr>
      <w:r>
        <w:rPr>
          <w:rFonts w:ascii="Arial" w:hAnsi="Arial" w:eastAsia="微软雅黑" w:cs="Arial"/>
          <w:sz w:val="21"/>
          <w:szCs w:val="22"/>
        </w:rPr>
      </w:r>
      <w:r>
        <w:rPr>
          <w:rFonts w:ascii="Arial" w:hAnsi="Arial" w:eastAsia="微软雅黑" w:cs="Arial"/>
          <w:sz w:val="21"/>
          <w:szCs w:val="22"/>
        </w:rPr>
      </w:r>
    </w:p>
    <w:p>
      <w:pPr>
        <w:pBdr/>
        <w:spacing/>
        <w:ind/>
        <w:rPr>
          <w:rFonts w:ascii="Arial" w:hAnsi="Arial" w:eastAsia="微软雅黑" w:cs="Arial"/>
          <w:sz w:val="22"/>
          <w:szCs w:val="22"/>
        </w:rPr>
        <w:sectPr>
          <w:headerReference w:type="default" r:id="rId9"/>
          <w:footerReference w:type="default" r:id="rId18"/>
          <w:footerReference w:type="even" r:id="rId19"/>
          <w:footnotePr/>
          <w:endnotePr/>
          <w:type w:val="nextPage"/>
          <w:pgSz w:h="16838" w:orient="portrait" w:w="11906"/>
          <w:pgMar w:top="1440" w:right="1797" w:bottom="1440" w:left="1797" w:header="567" w:footer="567" w:gutter="0"/>
          <w:cols w:num="1" w:sep="0" w:space="425" w:equalWidth="1"/>
        </w:sectPr>
      </w:pPr>
      <w:r>
        <w:rPr>
          <w:rFonts w:ascii="Arial" w:hAnsi="Arial" w:eastAsia="微软雅黑" w:cs="Arial"/>
          <w:sz w:val="21"/>
          <w:szCs w:val="22"/>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column">
                  <wp:posOffset>-704215</wp:posOffset>
                </wp:positionH>
                <wp:positionV relativeFrom="paragraph">
                  <wp:posOffset>7322185</wp:posOffset>
                </wp:positionV>
                <wp:extent cx="3291840" cy="1952625"/>
                <wp:effectExtent l="0" t="0" r="0" b="4445"/>
                <wp:wrapNone/>
                <wp:docPr id="2" name="Rectangle 3"/>
                <wp:cNvGraphicFramePr/>
                <a:graphic xmlns:a="http://schemas.openxmlformats.org/drawingml/2006/main">
                  <a:graphicData uri="http://schemas.microsoft.com/office/word/2010/wordprocessingShape">
                    <wps:wsp>
                      <wps:cNvPr id="0" name=""/>
                      <wps:cNvSpPr>
                        <a:spLocks noChangeArrowheads="1"/>
                      </wps:cNvSpPr>
                      <wps:spPr bwMode="auto">
                        <a:xfrm>
                          <a:off x="0" y="0"/>
                          <a:ext cx="3291840" cy="1952625"/>
                        </a:xfrm>
                        <a:prstGeom prst="rect">
                          <a:avLst/>
                        </a:prstGeom>
                        <a:solidFill>
                          <a:srgbClr val="FFFFFF"/>
                        </a:solidFill>
                        <a:ln>
                          <a:noFill/>
                        </a:ln>
                      </wps:spPr>
                      <wps:bodyPr rot="0">
                        <a:prstTxWarp prst="textNoShape">
                          <a:avLst/>
                        </a:prstTxWarp>
                        <a:noAutofit/>
                      </wps:bodyPr>
                    </wps:wsp>
                  </a:graphicData>
                </a:graphic>
              </wp:anchor>
            </w:drawing>
          </mc:Choice>
          <mc:Fallback>
            <w:pict>
              <v:shape id="shape 1" o:spid="_x0000_s1" o:spt="1" type="#_x0000_t1" style="position:absolute;z-index:251659264;o:allowoverlap:true;o:allowincell:true;mso-position-horizontal-relative:text;margin-left:-55.45pt;mso-position-horizontal:absolute;mso-position-vertical-relative:text;margin-top:576.55pt;mso-position-vertical:absolute;width:259.20pt;height:153.75pt;mso-wrap-distance-left:9.00pt;mso-wrap-distance-top:0.00pt;mso-wrap-distance-right:9.00pt;mso-wrap-distance-bottom:0.00pt;visibility:visible;" fillcolor="#FFFFFF" stroked="f"/>
            </w:pict>
          </mc:Fallback>
        </mc:AlternateContent>
      </w:r>
      <w:r>
        <w:rPr>
          <w:rFonts w:ascii="Arial" w:hAnsi="Arial" w:eastAsia="微软雅黑" w:cs="Arial"/>
          <w:sz w:val="22"/>
          <w:szCs w:val="22"/>
        </w:rPr>
      </w:r>
    </w:p>
    <w:p>
      <w:pPr>
        <w:pBdr/>
        <w:spacing w:before="240"/>
        <w:ind/>
        <w:jc w:val="center"/>
        <w:rPr>
          <w:rFonts w:ascii="Arial" w:hAnsi="Arial" w:eastAsia="微软雅黑" w:cs="Arial"/>
          <w:sz w:val="22"/>
          <w:szCs w:val="22"/>
        </w:rPr>
      </w:pPr>
      <w:r>
        <w:rPr>
          <w:rFonts w:ascii="Arial" w:hAnsi="Arial" w:eastAsia="微软雅黑" w:cs="Arial"/>
          <w:b/>
          <w:sz w:val="28"/>
          <w:szCs w:val="22"/>
        </w:rPr>
        <w:t xml:space="preserve">{{清单模板-数据表-B1}}声明</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本公司根据以下规定准备{{清单模板-数据表-B2}}同期资料的本地文档（以下简称“本报告”）：</w:t>
      </w:r>
      <w:r>
        <w:rPr>
          <w:rFonts w:ascii="Arial" w:hAnsi="Arial" w:eastAsia="微软雅黑" w:cs="Arial"/>
          <w:sz w:val="22"/>
          <w:szCs w:val="22"/>
        </w:rPr>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根据《中华人民共和国企业所得税法》及其实施条例以及《关于完善关联申报和同期资料管理有关事项的公告》的规定，符合一定条件的企业应按纳税年度准备、保存、并按税务机关要求提供其关联交易的同期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本报告的目的在于从中国特别纳税调整税制的角度，分析本公司{{清单模板-数据表-B2}}与关联方之间关联交易定价的合理性。为此，本公司按以下规定以及程序准备本报告：</w:t>
      </w:r>
      <w:r>
        <w:rPr>
          <w:rFonts w:ascii="Arial" w:hAnsi="Arial" w:eastAsia="微软雅黑" w:cs="Arial"/>
          <w:sz w:val="22"/>
          <w:szCs w:val="22"/>
        </w:rPr>
      </w:r>
      <w:r>
        <w:rPr>
          <w:rFonts w:ascii="Arial" w:hAnsi="Arial" w:eastAsia="微软雅黑" w:cs="Arial"/>
          <w:sz w:val="22"/>
          <w:szCs w:val="22"/>
        </w:rPr>
      </w:r>
    </w:p>
    <w:p>
      <w:pPr>
        <w:pBdr/>
        <w:spacing/>
        <w:ind w:right="0" w:left="0"/>
        <w:jc w:val="left"/>
        <w:rPr>
          <w:rFonts w:ascii="Arial" w:hAnsi="Arial" w:eastAsia="微软雅黑" w:cs="Arial"/>
          <w:sz w:val="22"/>
          <w:szCs w:val="22"/>
        </w:rPr>
      </w:pPr>
      <w:r>
        <w:rPr>
          <w:rFonts w:ascii="Arial" w:hAnsi="Arial" w:eastAsia="微软雅黑" w:cs="Arial"/>
          <w:sz w:val="22"/>
          <w:szCs w:val="22"/>
        </w:rPr>
        <w:t xml:space="preserve">一、本公司保证根据下列政策法规及实施办法制作本报告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1、《中华人民共和国企业所得税法》及其实施条例；</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2、《中华人民共和国税收征收管理法》及其实施细则；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3、《国家税务总局关于完善关联申报和同期资料管理有关事项的公告》（国家税务总局2016年第42号公告，以下简称“[2016] 42号公告”）；</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4、《国家税务总局关于发布&lt;特别纳税调查调整及相互协商程序管理办法&gt;的公告》（国家税务总局2017年第6号公告，以下简称“[2017]6号公告”）；</w:t>
      </w:r>
      <w:r>
        <w:rPr>
          <w:rFonts w:ascii="Arial" w:hAnsi="Arial" w:eastAsia="微软雅黑" w:cs="Arial"/>
          <w:sz w:val="22"/>
          <w:szCs w:val="22"/>
        </w:rPr>
      </w:r>
    </w:p>
    <w:p>
      <w:pPr>
        <w:pBdr/>
        <w:spacing/>
        <w:ind w:right="0" w:left="0"/>
        <w:rPr>
          <w:rFonts w:ascii="Arial" w:hAnsi="Arial" w:eastAsia="微软雅黑" w:cs="Arial"/>
          <w:sz w:val="22"/>
          <w:szCs w:val="22"/>
        </w:rPr>
      </w:pPr>
      <w:r>
        <w:rPr>
          <w:rFonts w:ascii="Arial" w:hAnsi="Arial" w:eastAsia="微软雅黑" w:cs="Arial"/>
          <w:sz w:val="22"/>
          <w:szCs w:val="22"/>
        </w:rPr>
        <w:t xml:space="preserve">二、本公司保证实施以下程序，并保证提供任何与同期资料有关的数据及资料</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1、整理本公司基本资料信息，包括公司及所属集团的组织结构、企业生产经营情况、以及企业所处的行业分析等；</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2、整理本公司关联交易的资料，包括关联交易情况、关联交易业务流程、与关联公司签订的合同、关联交易的定价情况及其他相关信息；</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3、分析本公司和关联公司在关联业务往来中各自承担的功能和风险；</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4、比较分析并选择适当的关联交易转让定价方法，用以分析和验证本公司与关联公司交易定价的合理性；</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5、选取可比企业，说明可比信息来源、可比企业选择过程，实施经济分析；</w:t>
      </w:r>
      <w:r>
        <w:rPr>
          <w:rFonts w:ascii="Arial" w:hAnsi="Arial" w:eastAsia="微软雅黑" w:cs="Arial"/>
          <w:sz w:val="22"/>
          <w:szCs w:val="22"/>
        </w:rPr>
      </w:r>
    </w:p>
    <w:p>
      <w:pPr>
        <w:pBdr/>
        <w:spacing/>
        <w:ind w:right="0" w:firstLine="440" w:left="0"/>
        <w:rPr>
          <w:rFonts w:ascii="Arial" w:hAnsi="Arial" w:eastAsia="微软雅黑" w:cs="Arial"/>
          <w:sz w:val="22"/>
          <w:szCs w:val="22"/>
        </w:rPr>
      </w:pPr>
      <w:r>
        <w:rPr>
          <w:rFonts w:ascii="Arial" w:hAnsi="Arial" w:eastAsia="微软雅黑" w:cs="Arial"/>
          <w:sz w:val="22"/>
          <w:szCs w:val="22"/>
        </w:rPr>
        <w:t xml:space="preserve">6、运用合理的转让定价方法和可比性分析结果，确定可比非关联交易利润，确定正常情况下本公司与关联公司关联交易定价的合理范围；</w:t>
      </w:r>
      <w:r>
        <w:rPr>
          <w:rFonts w:ascii="Arial" w:hAnsi="Arial" w:eastAsia="微软雅黑" w:cs="Arial"/>
          <w:sz w:val="22"/>
          <w:szCs w:val="22"/>
        </w:rPr>
      </w:r>
    </w:p>
    <w:p>
      <w:pPr>
        <w:pBdr/>
        <w:spacing/>
        <w:ind w:right="0" w:firstLine="440" w:left="0"/>
        <w:rPr>
          <w:rFonts w:ascii="Arial" w:hAnsi="Arial" w:eastAsia="微软雅黑" w:cs="Arial"/>
          <w:sz w:val="18"/>
        </w:rPr>
      </w:pPr>
      <w:r>
        <w:rPr>
          <w:rFonts w:ascii="Arial" w:hAnsi="Arial" w:eastAsia="微软雅黑" w:cs="Arial"/>
          <w:sz w:val="22"/>
          <w:szCs w:val="22"/>
        </w:rPr>
        <w:t xml:space="preserve">7、根据以上实施程序，制作本报告。</w:t>
      </w:r>
      <w:r>
        <w:rPr>
          <w:rFonts w:ascii="Arial" w:hAnsi="Arial" w:eastAsia="微软雅黑" w:cs="Arial"/>
          <w:sz w:val="18"/>
        </w:rPr>
      </w:r>
    </w:p>
    <w:p>
      <w:pPr>
        <w:pBdr/>
        <w:spacing/>
        <w:ind w:firstLine="420" w:left="359"/>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headerReference w:type="default" r:id="rId10"/>
          <w:headerReference w:type="even" r:id="rId11"/>
          <w:headerReference w:type="first" r:id="rId12"/>
          <w:footerReference w:type="default" r:id="rId20"/>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Bdr/>
        <w:spacing/>
        <w:ind w:firstLine="420" w:left="359"/>
        <w:rPr>
          <w:rFonts w:ascii="Arial" w:hAnsi="Arial" w:eastAsia="微软雅黑" w:cs="Arial"/>
          <w:sz w:val="22"/>
          <w:szCs w:val="22"/>
        </w:rPr>
      </w:pPr>
      <w:r>
        <w:rPr>
          <w:rFonts w:ascii="Arial" w:hAnsi="Arial" w:eastAsia="微软雅黑" w:cs="Arial"/>
          <w:sz w:val="22"/>
          <w:szCs w:val="22"/>
        </w:rPr>
        <w:t xml:space="preserve">地址：                                 邮编：</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s>
        <w:spacing/>
        <w:ind w:firstLine="660"/>
        <w:rPr>
          <w:rFonts w:ascii="Arial" w:hAnsi="Arial" w:eastAsia="微软雅黑" w:cs="Arial"/>
          <w:sz w:val="22"/>
          <w:szCs w:val="22"/>
        </w:rPr>
      </w:pPr>
      <w:r>
        <w:rPr>
          <w:rFonts w:ascii="Arial" w:hAnsi="Arial" w:eastAsia="微软雅黑" w:cs="Arial"/>
          <w:sz w:val="22"/>
          <w:szCs w:val="22"/>
        </w:rPr>
        <w:t xml:space="preserve">电话：传真：</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spacing/>
        <w:ind w:firstLine="660" w:left="113"/>
        <w:rPr>
          <w:rFonts w:ascii="Arial" w:hAnsi="Arial" w:eastAsia="微软雅黑" w:cs="Arial"/>
          <w:sz w:val="22"/>
          <w:szCs w:val="22"/>
        </w:rPr>
      </w:pPr>
      <w:r>
        <w:rPr>
          <w:rFonts w:ascii="Arial" w:hAnsi="Arial" w:eastAsia="微软雅黑" w:cs="Arial"/>
          <w:sz w:val="22"/>
          <w:szCs w:val="22"/>
        </w:rPr>
        <w:t xml:space="preserve">电子邮箱：</w:t>
      </w:r>
      <w:r>
        <w:rPr>
          <w:rFonts w:ascii="Arial" w:hAnsi="Arial" w:eastAsia="微软雅黑" w:cs="Arial"/>
          <w:sz w:val="22"/>
          <w:szCs w:val="22"/>
        </w:rPr>
      </w:r>
    </w:p>
    <w:p>
      <w:pPr>
        <w:widowControl w:val="false"/>
        <w:pBdr/>
        <w:spacing w:before="8"/>
        <w:ind/>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5320"/>
          <w:tab w:val="left" w:leader="none" w:pos="5381"/>
          <w:tab w:val="left" w:leader="none" w:pos="5861"/>
          <w:tab w:val="left" w:leader="none" w:pos="6341"/>
        </w:tabs>
        <w:spacing/>
        <w:ind w:firstLine="660" w:left="118"/>
        <w:rPr>
          <w:rFonts w:ascii="Arial" w:hAnsi="Arial" w:eastAsia="微软雅黑" w:cs="Arial"/>
          <w:sz w:val="22"/>
          <w:szCs w:val="22"/>
        </w:rPr>
      </w:pPr>
      <w:r>
        <w:rPr>
          <w:rFonts w:ascii="Arial" w:hAnsi="Arial" w:eastAsia="微软雅黑" w:cs="Arial"/>
          <w:sz w:val="22"/>
          <w:szCs w:val="22"/>
        </w:rPr>
        <w:t xml:space="preserve">声明单位（盖章）：法定代表人（签字）：</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widowControl w:val="false"/>
        <w:pBdr/>
        <w:tabs>
          <w:tab w:val="left" w:leader="none" w:pos="4205"/>
          <w:tab w:val="left" w:leader="none" w:pos="5381"/>
          <w:tab w:val="left" w:leader="none" w:pos="5861"/>
          <w:tab w:val="left" w:leader="none" w:pos="6341"/>
        </w:tabs>
        <w:spacing/>
        <w:ind w:left="102"/>
        <w:rPr>
          <w:rFonts w:ascii="Arial" w:hAnsi="Arial" w:eastAsia="微软雅黑" w:cs="Arial"/>
          <w:sz w:val="22"/>
          <w:szCs w:val="22"/>
        </w:rPr>
      </w:pPr>
      <w:r>
        <w:rPr>
          <w:rFonts w:ascii="Arial" w:hAnsi="Arial" w:eastAsia="微软雅黑" w:cs="Arial"/>
          <w:sz w:val="22"/>
          <w:szCs w:val="22"/>
        </w:rPr>
        <w:tab/>
        <w:t xml:space="preserve">          日期：    年   月   日</w:t>
      </w:r>
      <w:r>
        <w:rPr>
          <w:rFonts w:ascii="Arial" w:hAnsi="Arial" w:eastAsia="微软雅黑" w:cs="Arial"/>
          <w:sz w:val="22"/>
          <w:szCs w:val="22"/>
        </w:rPr>
        <w:tab/>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sectPr>
          <w:footnotePr/>
          <w:endnotePr/>
          <w:type w:val="nextPage"/>
          <w:pgSz w:h="16838" w:orient="portrait" w:w="11906"/>
          <w:pgMar w:top="1440" w:right="1800" w:bottom="1440" w:left="1800" w:header="567" w:footer="567" w:gutter="0"/>
          <w:cols w:num="1" w:sep="0" w:space="720" w:equalWidth="1"/>
        </w:sectPr>
      </w:pPr>
      <w:r>
        <w:rPr>
          <w:rFonts w:ascii="Arial" w:hAnsi="Arial" w:eastAsia="微软雅黑" w:cs="Arial"/>
          <w:sz w:val="22"/>
          <w:szCs w:val="22"/>
        </w:rPr>
        <w:br w:type="page" w:clear="all"/>
      </w:r>
      <w:r>
        <w:rPr>
          <w:rFonts w:ascii="Arial" w:hAnsi="Arial" w:eastAsia="微软雅黑" w:cs="Arial"/>
          <w:sz w:val="22"/>
          <w:szCs w:val="22"/>
        </w:rPr>
      </w:r>
    </w:p>
    <w:sdt>
      <w:sdtPr>
        <w15:appearance w15:val="boundingBox"/>
        <w:id w:val="-1"/>
        <w:docPartObj>
          <w:docPartGallery w:val="Table of Contents"/>
          <w:docPartUnique w:val="true"/>
        </w:docPartObj>
        <w:rPr>
          <w:rFonts w:ascii="Arial" w:hAnsi="Arial" w:eastAsia="微软雅黑" w:cs="Arial"/>
          <w:b/>
          <w:color w:val="auto"/>
          <w:sz w:val="24"/>
          <w:szCs w:val="24"/>
          <w:lang w:val="zh-CN"/>
        </w:rPr>
      </w:sdtPr>
      <w:sdtContent>
        <w:p>
          <w:pPr>
            <w:pStyle w:val="1398"/>
            <w:pBdr/>
            <w:spacing w:before="0" w:line="240" w:lineRule="auto"/>
            <w:ind w:left="0"/>
            <w:jc w:val="center"/>
            <w:rPr>
              <w:rFonts w:ascii="Arial" w:hAnsi="Arial" w:eastAsia="微软雅黑" w:cs="Arial"/>
              <w:color w:val="0d0d0d" w:themeColor="text1" w:themeTint="F2"/>
              <w14:textFill>
                <w14:solidFill>
                  <w14:schemeClr w14:val="tx1">
                    <w14:lumMod w14:val="95000"/>
                    <w14:lumOff w14:val="5000"/>
                  </w14:schemeClr>
                </w14:solidFill>
              </w14:textFill>
            </w:rPr>
          </w:pPr>
          <w:r>
            <w:rPr>
              <w:rFonts w:ascii="Arial" w:hAnsi="Arial" w:eastAsia="微软雅黑" w:cs="Arial"/>
              <w:b/>
              <w:color w:val="0d0d0d" w:themeColor="text1" w:themeTint="F2"/>
              <w:lang w:val="zh-CN"/>
              <w14:textFill>
                <w14:solidFill>
                  <w14:schemeClr w14:val="tx1">
                    <w14:lumMod w14:val="95000"/>
                    <w14:lumOff w14:val="5000"/>
                  </w14:schemeClr>
                </w14:solidFill>
              </w14:textFill>
            </w:rPr>
            <w:t xml:space="preserve">目录</w:t>
          </w:r>
          <w:r>
            <w:rPr>
              <w:rFonts w:ascii="Arial" w:hAnsi="Arial" w:eastAsia="微软雅黑" w:cs="Arial"/>
              <w:color w:val="0d0d0d" w:themeColor="text1" w:themeTint="F2"/>
              <w14:textFill>
                <w14:solidFill>
                  <w14:schemeClr w14:val="tx1">
                    <w14:lumMod w14:val="95000"/>
                    <w14:lumOff w14:val="5000"/>
                  </w14:schemeClr>
                </w14:solidFill>
              </w14:textFill>
            </w:rPr>
          </w:r>
        </w:p>
        <w:p>
          <w:pPr>
            <w:pStyle w:val="1312"/>
            <w:pBdr/>
            <w:tabs>
              <w:tab w:val="right" w:leader="dot" w:pos="8296"/>
            </w:tabs>
            <w:spacing w:before="0"/>
            <w:ind/>
            <w:rPr>
              <w:rFonts w:eastAsiaTheme="minorEastAsia" w:cstheme="minorBidi"/>
              <w:i w:val="0"/>
              <w:iCs w:val="0"/>
              <w:sz w:val="21"/>
              <w:szCs w:val="22"/>
            </w:rPr>
          </w:pPr>
          <w:r>
            <w:rPr>
              <w:rFonts w:ascii="Arial" w:hAnsi="Arial" w:eastAsia="微软雅黑" w:cs="Arial"/>
              <w:b/>
              <w:bCs/>
              <w:sz w:val="21"/>
              <w:szCs w:val="21"/>
              <w:lang w:val="zh-CN"/>
            </w:rPr>
            <w:fldChar w:fldCharType="begin"/>
          </w:r>
          <w:r>
            <w:rPr>
              <w:rFonts w:ascii="Arial" w:hAnsi="Arial" w:eastAsia="微软雅黑" w:cs="Arial"/>
              <w:b/>
              <w:bCs/>
              <w:sz w:val="21"/>
              <w:szCs w:val="21"/>
              <w:lang w:val="zh-CN"/>
            </w:rPr>
            <w:instrText xml:space="preserve"> TOC \o "1-3" \h \z \u </w:instrText>
          </w:r>
          <w:r>
            <w:rPr>
              <w:rFonts w:ascii="Arial" w:hAnsi="Arial" w:eastAsia="微软雅黑" w:cs="Arial"/>
              <w:b/>
              <w:bCs/>
              <w:sz w:val="21"/>
              <w:szCs w:val="21"/>
              <w:lang w:val="zh-CN"/>
            </w:rPr>
            <w:fldChar w:fldCharType="separate"/>
          </w:r>
          <w:r>
            <w:rPr>
              <w:rStyle w:val="1322"/>
            </w:rPr>
            <w:fldChar w:fldCharType="begin"/>
          </w:r>
          <w:r>
            <w:rPr>
              <w:rStyle w:val="1322"/>
            </w:rPr>
            <w:instrText xml:space="preserve"> </w:instrText>
          </w:r>
          <w:r>
            <w:instrText xml:space="preserve">HYPERLINK \l "_Toc202797540"</w:instrText>
          </w:r>
          <w:r>
            <w:rPr>
              <w:rStyle w:val="1322"/>
            </w:rPr>
            <w:instrText xml:space="preserve"> </w:instrText>
          </w:r>
          <w:r>
            <w:rPr>
              <w:rStyle w:val="1322"/>
            </w:rPr>
            <w:fldChar w:fldCharType="separate"/>
          </w:r>
          <w:r>
            <w:rPr>
              <w:rStyle w:val="1322"/>
              <w:rFonts w:ascii="Arial" w:hAnsi="Arial" w:eastAsia="微软雅黑" w:cs="Arial"/>
              <w:b/>
              <w:caps/>
            </w:rPr>
            <w:t xml:space="preserve">同期资料本地文档对照表</w:t>
          </w:r>
          <w:r>
            <w:tab/>
          </w:r>
          <w:r>
            <w:fldChar w:fldCharType="begin"/>
          </w:r>
          <w:r>
            <w:instrText xml:space="preserve"> PAGEREF _Toc202797540 \h </w:instrText>
          </w:r>
          <w:r>
            <w:fldChar w:fldCharType="separate"/>
          </w:r>
          <w:r>
            <w:t xml:space="preserve">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left="238"/>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"_Toc202797541"</w:instrText>
          </w:r>
          <w:r>
            <w:rPr>
              <w:rStyle w:val="1322"/>
            </w:rPr>
            <w:instrText xml:space="preserve"> </w:instrText>
          </w:r>
          <w:r>
            <w:rPr>
              <w:rStyle w:val="1322"/>
            </w:rPr>
            <w:fldChar w:fldCharType="separate"/>
          </w:r>
          <w:r>
            <w:rPr>
              <w:rStyle w:val="1322"/>
              <w:rFonts w:ascii="Arial" w:hAnsi="Arial" w:eastAsia="微软雅黑" w:cs="Arial"/>
              <w:b/>
              <w:caps/>
            </w:rPr>
            <w:t xml:space="preserve">缩略语索引表</w:t>
          </w:r>
          <w:r>
            <w:tab/>
          </w:r>
          <w:r>
            <w:fldChar w:fldCharType="begin"/>
          </w:r>
          <w:r>
            <w:instrText xml:space="preserve"> PAGEREF _Toc202797541 \h </w:instrText>
          </w:r>
          <w:r>
            <w:fldChar w:fldCharType="separate"/>
          </w:r>
          <w:r>
            <w:t xml:space="preserve">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"_Toc202797542"</w:instrText>
          </w:r>
          <w:r>
            <w:rPr>
              <w:rStyle w:val="1322"/>
            </w:rPr>
            <w:instrText xml:space="preserve"> </w:instrText>
          </w:r>
          <w:r>
            <w:rPr>
              <w:rStyle w:val="1322"/>
            </w:rPr>
            <w:fldChar w:fldCharType="separate"/>
          </w:r>
          <w:r>
            <w:rPr>
              <w:rStyle w:val="1322"/>
              <w:rFonts w:ascii="Arial" w:hAnsi="Arial" w:eastAsia="微软雅黑" w:cs="Arial"/>
            </w:rPr>
            <w:t xml:space="preserve">1.报告摘要</w:t>
          </w:r>
          <w:r>
            <w:tab/>
          </w:r>
          <w:r>
            <w:fldChar w:fldCharType="begin"/>
          </w:r>
          <w:r>
            <w:instrText xml:space="preserve"> PAGEREF _Toc202797542 \h </w:instrText>
          </w:r>
          <w:r>
            <w:fldChar w:fldCharType="separate"/>
          </w:r>
          <w:r>
            <w:t xml:space="preserve">7</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"_Toc202797543"</w:instrText>
          </w:r>
          <w:r>
            <w:rPr>
              <w:rStyle w:val="1322"/>
            </w:rPr>
            <w:instrText xml:space="preserve"> </w:instrText>
          </w:r>
          <w:r>
            <w:rPr>
              <w:rStyle w:val="1322"/>
            </w:rPr>
            <w:fldChar w:fldCharType="separate"/>
          </w:r>
          <w:r>
            <w:rPr>
              <w:rStyle w:val="1322"/>
              <w:rFonts w:ascii="Arial" w:hAnsi="Arial" w:eastAsia="微软雅黑" w:cs="Arial"/>
            </w:rPr>
            <w:t xml:space="preserve">1.1.范围和目的</w:t>
          </w:r>
          <w:r>
            <w:tab/>
          </w:r>
          <w:r>
            <w:fldChar w:fldCharType="begin"/>
          </w:r>
          <w:r>
            <w:instrText xml:space="preserve"> PAGEREF _Toc202797543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"_Toc202797544"</w:instrText>
          </w:r>
          <w:r>
            <w:rPr>
              <w:rStyle w:val="1322"/>
            </w:rPr>
            <w:instrText xml:space="preserve"> </w:instrText>
          </w:r>
          <w:r>
            <w:rPr>
              <w:rStyle w:val="1322"/>
            </w:rPr>
            <w:fldChar w:fldCharType="separate"/>
          </w:r>
          <w:r>
            <w:rPr>
              <w:rStyle w:val="1322"/>
              <w:rFonts w:ascii="Arial" w:hAnsi="Arial" w:eastAsia="微软雅黑" w:cs="Arial"/>
            </w:rPr>
            <w:t xml:space="preserve">1.2.受测关联交易</w:t>
          </w:r>
          <w:r>
            <w:tab/>
          </w:r>
          <w:r>
            <w:fldChar w:fldCharType="begin"/>
          </w:r>
          <w:r>
            <w:instrText xml:space="preserve"> PAGEREF _Toc202797544 \h </w:instrText>
          </w:r>
          <w:r>
            <w:fldChar w:fldCharType="separate"/>
          </w:r>
          <w:r>
            <w:t xml:space="preserve">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"_Toc202797545"</w:instrText>
          </w:r>
          <w:r>
            <w:rPr>
              <w:rStyle w:val="1322"/>
            </w:rPr>
            <w:instrText xml:space="preserve"> </w:instrText>
          </w:r>
          <w:r>
            <w:rPr>
              <w:rStyle w:val="1322"/>
            </w:rPr>
            <w:fldChar w:fldCharType="separate"/>
          </w:r>
          <w:r>
            <w:rPr>
              <w:rStyle w:val="1322"/>
              <w:rFonts w:ascii="Arial" w:hAnsi="Arial" w:eastAsia="微软雅黑" w:cs="Arial"/>
            </w:rPr>
            <w:t xml:space="preserve">1.3.功能和风险分析及价值链分析总结</w:t>
          </w:r>
          <w:r>
            <w:tab/>
          </w:r>
          <w:r>
            <w:fldChar w:fldCharType="begin"/>
          </w:r>
          <w:r>
            <w:instrText xml:space="preserve"> PAGEREF _Toc202797545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"_Toc202797546"</w:instrText>
          </w:r>
          <w:r>
            <w:rPr>
              <w:rStyle w:val="1322"/>
            </w:rPr>
            <w:instrText xml:space="preserve"> </w:instrText>
          </w:r>
          <w:r>
            <w:rPr>
              <w:rStyle w:val="1322"/>
            </w:rPr>
            <w:fldChar w:fldCharType="separate"/>
          </w:r>
          <w:r>
            <w:rPr>
              <w:rStyle w:val="1322"/>
              <w:rFonts w:ascii="Arial" w:hAnsi="Arial" w:eastAsia="微软雅黑" w:cs="Arial"/>
            </w:rPr>
            <w:t xml:space="preserve">1.4.经济分析总结 —— 对受测关联交易的分析</w:t>
          </w:r>
          <w:r>
            <w:tab/>
          </w:r>
          <w:r>
            <w:fldChar w:fldCharType="begin"/>
          </w:r>
          <w:r>
            <w:instrText xml:space="preserve"> PAGEREF _Toc202797546 \h </w:instrText>
          </w:r>
          <w:r>
            <w:fldChar w:fldCharType="separate"/>
          </w:r>
          <w:r>
            <w:t xml:space="preserve">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"_Toc202797547"</w:instrText>
          </w:r>
          <w:r>
            <w:rPr>
              <w:rStyle w:val="1322"/>
            </w:rPr>
            <w:instrText xml:space="preserve"> </w:instrText>
          </w:r>
          <w:r>
            <w:rPr>
              <w:rStyle w:val="1322"/>
            </w:rPr>
            <w:fldChar w:fldCharType="separate"/>
          </w:r>
          <w:r>
            <w:rPr>
              <w:rStyle w:val="1322"/>
              <w:rFonts w:ascii="Arial" w:hAnsi="Arial" w:eastAsia="微软雅黑" w:cs="Arial"/>
            </w:rPr>
            <w:t xml:space="preserve">1.5.局限性</w:t>
          </w:r>
          <w:r>
            <w:tab/>
          </w:r>
          <w:r>
            <w:fldChar w:fldCharType="begin"/>
          </w:r>
          <w:r>
            <w:instrText xml:space="preserve"> PAGEREF _Toc202797547 \h </w:instrText>
          </w:r>
          <w:r>
            <w:fldChar w:fldCharType="separate"/>
          </w:r>
          <w:r>
            <w:t xml:space="preserve">9</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"_Toc202797548"</w:instrText>
          </w:r>
          <w:r>
            <w:rPr>
              <w:rStyle w:val="1322"/>
            </w:rPr>
            <w:instrText xml:space="preserve"> </w:instrText>
          </w:r>
          <w:r>
            <w:rPr>
              <w:rStyle w:val="1322"/>
            </w:rPr>
            <w:fldChar w:fldCharType="separate"/>
          </w:r>
          <w:r>
            <w:rPr>
              <w:rStyle w:val="1322"/>
              <w:rFonts w:ascii="Arial" w:hAnsi="Arial" w:eastAsia="微软雅黑" w:cs="Arial"/>
            </w:rPr>
            <w:t xml:space="preserve">2.企业概况</w:t>
          </w:r>
          <w:r>
            <w:tab/>
          </w:r>
          <w:r>
            <w:fldChar w:fldCharType="begin"/>
          </w:r>
          <w:r>
            <w:instrText xml:space="preserve"> PAGEREF _Toc202797548 \h </w:instrText>
          </w:r>
          <w:r>
            <w:fldChar w:fldCharType="separate"/>
          </w:r>
          <w:r>
            <w:t xml:space="preserve">10</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"_Toc202797549"</w:instrText>
          </w:r>
          <w:r>
            <w:rPr>
              <w:rStyle w:val="1322"/>
            </w:rPr>
            <w:instrText xml:space="preserve"> </w:instrText>
          </w:r>
          <w:r>
            <w:rPr>
              <w:rStyle w:val="1322"/>
            </w:rPr>
            <w:fldChar w:fldCharType="separate"/>
          </w:r>
          <w:r>
            <w:rPr>
              <w:rStyle w:val="1322"/>
              <w:rFonts w:ascii="Arial" w:hAnsi="Arial" w:eastAsia="微软雅黑" w:cs="Arial"/>
            </w:rPr>
            <w:t xml:space="preserve">2.1.集团概况</w:t>
          </w:r>
          <w:r>
            <w:tab/>
          </w:r>
          <w:r>
            <w:fldChar w:fldCharType="begin"/>
          </w:r>
          <w:r>
            <w:instrText xml:space="preserve"> PAGEREF _Toc202797549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"_Toc202797550"</w:instrText>
          </w:r>
          <w:r>
            <w:rPr>
              <w:rStyle w:val="1322"/>
            </w:rPr>
            <w:instrText xml:space="preserve"> </w:instrText>
          </w:r>
          <w:r>
            <w:rPr>
              <w:rStyle w:val="1322"/>
            </w:rPr>
            <w:fldChar w:fldCharType="separate"/>
          </w:r>
          <w:r>
            <w:rPr>
              <w:rStyle w:val="1322"/>
              <w:rFonts w:ascii="Arial" w:hAnsi="Arial" w:eastAsia="微软雅黑" w:cs="Arial"/>
            </w:rPr>
            <w:t xml:space="preserve">2.2.公司概况</w:t>
          </w:r>
          <w:r>
            <w:tab/>
          </w:r>
          <w:r>
            <w:fldChar w:fldCharType="begin"/>
          </w:r>
          <w:r>
            <w:instrText xml:space="preserve"> PAGEREF _Toc202797550 \h </w:instrText>
          </w:r>
          <w:r>
            <w:fldChar w:fldCharType="separate"/>
          </w:r>
          <w:r>
            <w:t xml:space="preserve">10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"_Toc202797551"</w:instrText>
          </w:r>
          <w:r>
            <w:rPr>
              <w:rStyle w:val="1322"/>
            </w:rPr>
            <w:instrText xml:space="preserve"> </w:instrText>
          </w:r>
          <w:r>
            <w:rPr>
              <w:rStyle w:val="1322"/>
            </w:rPr>
            <w:fldChar w:fldCharType="separate"/>
          </w:r>
          <w:r>
            <w:rPr>
              <w:rStyle w:val="1322"/>
              <w:rFonts w:ascii="Arial" w:hAnsi="Arial" w:eastAsia="微软雅黑" w:cs="Arial"/>
            </w:rPr>
            <w:t xml:space="preserve">2.2.1.公司基本信息</w:t>
          </w:r>
          <w:r>
            <w:tab/>
          </w:r>
          <w:r>
            <w:fldChar w:fldCharType="begin"/>
          </w:r>
          <w:r>
            <w:instrText xml:space="preserve"> PAGEREF _Toc202797551 \h </w:instrText>
          </w:r>
          <w:r>
            <w:fldChar w:fldCharType="separate"/>
          </w:r>
          <w:r>
            <w:t xml:space="preserve">10</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"_Toc202797552"</w:instrText>
          </w:r>
          <w:r>
            <w:rPr>
              <w:rStyle w:val="1322"/>
            </w:rPr>
            <w:instrText xml:space="preserve"> </w:instrText>
          </w:r>
          <w:r>
            <w:rPr>
              <w:rStyle w:val="1322"/>
            </w:rPr>
            <w:fldChar w:fldCharType="separate"/>
          </w:r>
          <w:r>
            <w:rPr>
              <w:rStyle w:val="1322"/>
              <w:rFonts w:ascii="Arial" w:hAnsi="Arial" w:eastAsia="微软雅黑" w:cs="Arial"/>
            </w:rPr>
            <w:t xml:space="preserve">2.2.2.公司组织结构图和主要部门</w:t>
          </w:r>
          <w:r>
            <w:tab/>
          </w:r>
          <w:r>
            <w:fldChar w:fldCharType="begin"/>
          </w:r>
          <w:r>
            <w:instrText xml:space="preserve"> PAGEREF _Toc202797552 \h </w:instrText>
          </w:r>
          <w:r>
            <w:fldChar w:fldCharType="separate"/>
          </w:r>
          <w:r>
            <w:t xml:space="preserve">11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"_Toc202797553"</w:instrText>
          </w:r>
          <w:r>
            <w:rPr>
              <w:rStyle w:val="1322"/>
            </w:rPr>
            <w:instrText xml:space="preserve"> </w:instrText>
          </w:r>
          <w:r>
            <w:rPr>
              <w:rStyle w:val="1322"/>
            </w:rPr>
            <w:fldChar w:fldCharType="separate"/>
          </w:r>
          <w:r>
            <w:rPr>
              <w:rStyle w:val="1322"/>
              <w:rFonts w:ascii="Arial" w:hAnsi="Arial" w:eastAsia="微软雅黑" w:cs="Arial"/>
            </w:rPr>
            <w:t xml:space="preserve">2.3.主营业务及财务状况</w:t>
          </w:r>
          <w:r>
            <w:tab/>
          </w:r>
          <w:r>
            <w:fldChar w:fldCharType="begin"/>
          </w:r>
          <w:r>
            <w:instrText xml:space="preserve"> PAGEREF _Toc202797553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"_Toc202797554"</w:instrText>
          </w:r>
          <w:r>
            <w:rPr>
              <w:rStyle w:val="1322"/>
            </w:rPr>
            <w:instrText xml:space="preserve"> </w:instrText>
          </w:r>
          <w:r>
            <w:rPr>
              <w:rStyle w:val="1322"/>
            </w:rPr>
            <w:fldChar w:fldCharType="separate"/>
          </w:r>
          <w:r>
            <w:rPr>
              <w:rStyle w:val="1322"/>
              <w:rFonts w:ascii="Arial" w:hAnsi="Arial" w:eastAsia="微软雅黑" w:cs="Arial"/>
            </w:rPr>
            <w:t xml:space="preserve">2.4.本年度重大变化事项</w:t>
          </w:r>
          <w:r>
            <w:tab/>
          </w:r>
          <w:r>
            <w:fldChar w:fldCharType="begin"/>
          </w:r>
          <w:r>
            <w:instrText xml:space="preserve"> PAGEREF _Toc202797554 \h </w:instrText>
          </w:r>
          <w:r>
            <w:fldChar w:fldCharType="separate"/>
          </w:r>
          <w:r>
            <w:t xml:space="preserve">12</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"_Toc202797555"</w:instrText>
          </w:r>
          <w:r>
            <w:rPr>
              <w:rStyle w:val="1322"/>
            </w:rPr>
            <w:instrText xml:space="preserve"> </w:instrText>
          </w:r>
          <w:r>
            <w:rPr>
              <w:rStyle w:val="1322"/>
            </w:rPr>
            <w:fldChar w:fldCharType="separate"/>
          </w:r>
          <w:r>
            <w:rPr>
              <w:rStyle w:val="1322"/>
              <w:rFonts w:ascii="Arial" w:hAnsi="Arial" w:eastAsia="微软雅黑" w:cs="Arial"/>
            </w:rPr>
            <w:t xml:space="preserve">3.行业分析</w:t>
          </w:r>
          <w:r>
            <w:tab/>
          </w:r>
          <w:r>
            <w:fldChar w:fldCharType="begin"/>
          </w:r>
          <w:r>
            <w:instrText xml:space="preserve"> PAGEREF _Toc202797555 \h </w:instrText>
          </w:r>
          <w:r>
            <w:fldChar w:fldCharType="separate"/>
          </w:r>
          <w:r>
            <w:t xml:space="preserve">14</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"_Toc202797556"</w:instrText>
          </w:r>
          <w:r>
            <w:rPr>
              <w:rStyle w:val="1322"/>
            </w:rPr>
            <w:instrText xml:space="preserve"> </w:instrText>
          </w:r>
          <w:r>
            <w:rPr>
              <w:rStyle w:val="1322"/>
            </w:rPr>
            <w:fldChar w:fldCharType="separate"/>
          </w:r>
          <w:r>
            <w:rPr>
              <w:rStyle w:val="1322"/>
              <w:rFonts w:ascii="Arial" w:hAnsi="Arial" w:eastAsia="微软雅黑" w:cs="Arial"/>
            </w:rPr>
            <w:t xml:space="preserve">3.1.行业概述</w:t>
          </w:r>
          <w:r>
            <w:tab/>
          </w:r>
          <w:r>
            <w:fldChar w:fldCharType="begin"/>
          </w:r>
          <w:r>
            <w:instrText xml:space="preserve"> PAGEREF _Toc202797556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"_Toc202797557"</w:instrText>
          </w:r>
          <w:r>
            <w:rPr>
              <w:rStyle w:val="1322"/>
            </w:rPr>
            <w:instrText xml:space="preserve"> </w:instrText>
          </w:r>
          <w:r>
            <w:rPr>
              <w:rStyle w:val="1322"/>
            </w:rPr>
            <w:fldChar w:fldCharType="separate"/>
          </w:r>
          <w:r>
            <w:rPr>
              <w:rStyle w:val="1322"/>
              <w:rFonts w:ascii="Arial" w:hAnsi="Arial" w:eastAsia="微软雅黑" w:cs="Arial"/>
            </w:rPr>
            <w:t xml:space="preserve">3.2. 行业政策描述</w:t>
          </w:r>
          <w:r>
            <w:tab/>
          </w:r>
          <w:r>
            <w:fldChar w:fldCharType="begin"/>
          </w:r>
          <w:r>
            <w:instrText xml:space="preserve"> PAGEREF _Toc202797557 \h </w:instrText>
          </w:r>
          <w:r>
            <w:fldChar w:fldCharType="separate"/>
          </w:r>
          <w:r>
            <w:t xml:space="preserve">14</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"_Toc202797558"</w:instrText>
          </w:r>
          <w:r>
            <w:rPr>
              <w:rStyle w:val="1322"/>
            </w:rPr>
            <w:instrText xml:space="preserve"> </w:instrText>
          </w:r>
          <w:r>
            <w:rPr>
              <w:rStyle w:val="1322"/>
            </w:rPr>
            <w:fldChar w:fldCharType="separate"/>
          </w:r>
          <w:r>
            <w:rPr>
              <w:rStyle w:val="1322"/>
              <w:rFonts w:ascii="Arial" w:hAnsi="Arial" w:eastAsia="微软雅黑" w:cs="Arial"/>
            </w:rPr>
            <w:t xml:space="preserve">3.3.全球及中国市场情况描述</w:t>
          </w:r>
          <w:r>
            <w:tab/>
          </w:r>
          <w:r>
            <w:fldChar w:fldCharType="begin"/>
          </w:r>
          <w:r>
            <w:instrText xml:space="preserve"> PAGEREF _Toc202797558 \h </w:instrText>
          </w:r>
          <w:r>
            <w:fldChar w:fldCharType="separate"/>
          </w:r>
          <w:r>
            <w:t xml:space="preserve">15</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"_Toc202797559"</w:instrText>
          </w:r>
          <w:r>
            <w:rPr>
              <w:rStyle w:val="1322"/>
            </w:rPr>
            <w:instrText xml:space="preserve"> </w:instrText>
          </w:r>
          <w:r>
            <w:rPr>
              <w:rStyle w:val="1322"/>
            </w:rPr>
            <w:fldChar w:fldCharType="separate"/>
          </w:r>
          <w:r>
            <w:rPr>
              <w:rStyle w:val="1322"/>
              <w:rFonts w:ascii="Arial" w:hAnsi="Arial" w:eastAsia="微软雅黑" w:cs="Arial"/>
            </w:rPr>
            <w:t xml:space="preserve">3.3.1.全球市场</w:t>
          </w:r>
          <w:r>
            <w:tab/>
          </w:r>
          <w:r>
            <w:fldChar w:fldCharType="begin"/>
          </w:r>
          <w:r>
            <w:instrText xml:space="preserve"> PAGEREF _Toc202797559 \h </w:instrText>
          </w:r>
          <w:r>
            <w:fldChar w:fldCharType="separate"/>
          </w:r>
          <w:r>
            <w:t xml:space="preserve">15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"_Toc202797560"</w:instrText>
          </w:r>
          <w:r>
            <w:rPr>
              <w:rStyle w:val="1322"/>
            </w:rPr>
            <w:instrText xml:space="preserve"> </w:instrText>
          </w:r>
          <w:r>
            <w:rPr>
              <w:rStyle w:val="1322"/>
            </w:rPr>
            <w:fldChar w:fldCharType="separate"/>
          </w:r>
          <w:r>
            <w:rPr>
              <w:rStyle w:val="1322"/>
              <w:rFonts w:ascii="Arial" w:hAnsi="Arial" w:eastAsia="微软雅黑" w:cs="Arial"/>
            </w:rPr>
            <w:t xml:space="preserve">3.3.2.中国市场</w:t>
          </w:r>
          <w:r>
            <w:tab/>
          </w:r>
          <w:r>
            <w:fldChar w:fldCharType="begin"/>
          </w:r>
          <w:r>
            <w:instrText xml:space="preserve"> PAGEREF _Toc202797560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"_Toc202797561"</w:instrText>
          </w:r>
          <w:r>
            <w:rPr>
              <w:rStyle w:val="1322"/>
            </w:rPr>
            <w:instrText xml:space="preserve"> </w:instrText>
          </w:r>
          <w:r>
            <w:rPr>
              <w:rStyle w:val="1322"/>
            </w:rPr>
            <w:fldChar w:fldCharType="separate"/>
          </w:r>
          <w:r>
            <w:rPr>
              <w:rStyle w:val="1322"/>
              <w:rFonts w:ascii="Arial" w:hAnsi="Arial" w:eastAsia="微软雅黑" w:cs="Arial"/>
            </w:rPr>
            <w:t xml:space="preserve">3.4.行业发展趋势</w:t>
          </w:r>
          <w:r>
            <w:tab/>
          </w:r>
          <w:r>
            <w:fldChar w:fldCharType="begin"/>
          </w:r>
          <w:r>
            <w:instrText xml:space="preserve"> PAGEREF _Toc202797561 \h </w:instrText>
          </w:r>
          <w:r>
            <w:fldChar w:fldCharType="separate"/>
          </w:r>
          <w:r>
            <w:t xml:space="preserve">16</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"_Toc202797562"</w:instrText>
          </w:r>
          <w:r>
            <w:rPr>
              <w:rStyle w:val="1322"/>
            </w:rPr>
            <w:instrText xml:space="preserve"> </w:instrText>
          </w:r>
          <w:r>
            <w:rPr>
              <w:rStyle w:val="1322"/>
            </w:rPr>
            <w:fldChar w:fldCharType="separate"/>
          </w:r>
          <w:r>
            <w:rPr>
              <w:rStyle w:val="1322"/>
              <w:rFonts w:ascii="Arial" w:hAnsi="Arial" w:eastAsia="微软雅黑" w:cs="Arial"/>
            </w:rPr>
            <w:t xml:space="preserve">3.4.1.乳制品行业发展趋势</w:t>
          </w:r>
          <w:r>
            <w:tab/>
          </w:r>
          <w:r>
            <w:fldChar w:fldCharType="begin"/>
          </w:r>
          <w:r>
            <w:instrText xml:space="preserve"> PAGEREF _Toc202797562 \h </w:instrText>
          </w:r>
          <w:r>
            <w:fldChar w:fldCharType="separate"/>
          </w:r>
          <w:r>
            <w:t xml:space="preserve">16</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"_Toc202797563"</w:instrText>
          </w:r>
          <w:r>
            <w:rPr>
              <w:rStyle w:val="1322"/>
            </w:rPr>
            <w:instrText xml:space="preserve"> </w:instrText>
          </w:r>
          <w:r>
            <w:rPr>
              <w:rStyle w:val="1322"/>
            </w:rPr>
            <w:fldChar w:fldCharType="separate"/>
          </w:r>
          <w:r>
            <w:rPr>
              <w:rStyle w:val="1322"/>
              <w:rFonts w:ascii="Arial" w:hAnsi="Arial" w:eastAsia="微软雅黑" w:cs="Arial"/>
            </w:rPr>
            <w:t xml:space="preserve">3.4.2.工业行业发展趋势</w:t>
          </w:r>
          <w:r>
            <w:tab/>
          </w:r>
          <w:r>
            <w:fldChar w:fldCharType="begin"/>
          </w:r>
          <w:r>
            <w:instrText xml:space="preserve"> PAGEREF _Toc202797563 \h </w:instrText>
          </w:r>
          <w:r>
            <w:fldChar w:fldCharType="separate"/>
          </w:r>
          <w:r>
            <w:t xml:space="preserve">17</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"_Toc202797564"</w:instrText>
          </w:r>
          <w:r>
            <w:rPr>
              <w:rStyle w:val="1322"/>
            </w:rPr>
            <w:instrText xml:space="preserve"> </w:instrText>
          </w:r>
          <w:r>
            <w:rPr>
              <w:rStyle w:val="1322"/>
            </w:rPr>
            <w:fldChar w:fldCharType="separate"/>
          </w:r>
          <w:r>
            <w:rPr>
              <w:rStyle w:val="1322"/>
              <w:rFonts w:ascii="Arial" w:hAnsi="Arial" w:eastAsia="微软雅黑" w:cs="Arial"/>
            </w:rPr>
            <w:t xml:space="preserve">3.5.结论</w:t>
          </w:r>
          <w:r>
            <w:tab/>
          </w:r>
          <w:r>
            <w:fldChar w:fldCharType="begin"/>
          </w:r>
          <w:r>
            <w:instrText xml:space="preserve"> PAGEREF _Toc202797564 \h </w:instrText>
          </w:r>
          <w:r>
            <w:fldChar w:fldCharType="separate"/>
          </w:r>
          <w:r>
            <w:t xml:space="preserve">18</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"_Toc202797565"</w:instrText>
          </w:r>
          <w:r>
            <w:rPr>
              <w:rStyle w:val="1322"/>
            </w:rPr>
            <w:instrText xml:space="preserve"> </w:instrText>
          </w:r>
          <w:r>
            <w:rPr>
              <w:rStyle w:val="1322"/>
            </w:rPr>
            <w:fldChar w:fldCharType="separate"/>
          </w:r>
          <w:r>
            <w:rPr>
              <w:rStyle w:val="1322"/>
              <w:rFonts w:ascii="Arial" w:hAnsi="Arial" w:eastAsia="微软雅黑" w:cs="Arial"/>
            </w:rPr>
            <w:t xml:space="preserve">4.关联交易</w:t>
          </w:r>
          <w:r>
            <w:tab/>
          </w:r>
          <w:r>
            <w:fldChar w:fldCharType="begin"/>
          </w:r>
          <w:r>
            <w:instrText xml:space="preserve"> PAGEREF _Toc202797565 \h </w:instrText>
          </w:r>
          <w:r>
            <w:fldChar w:fldCharType="separate"/>
          </w:r>
          <w:r>
            <w:t xml:space="preserve">19</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"_Toc202797566"</w:instrText>
          </w:r>
          <w:r>
            <w:rPr>
              <w:rStyle w:val="1322"/>
            </w:rPr>
            <w:instrText xml:space="preserve"> </w:instrText>
          </w:r>
          <w:r>
            <w:rPr>
              <w:rStyle w:val="1322"/>
            </w:rPr>
            <w:fldChar w:fldCharType="separate"/>
          </w:r>
          <w:r>
            <w:rPr>
              <w:rStyle w:val="1322"/>
              <w:rFonts w:ascii="Arial" w:hAnsi="Arial" w:eastAsia="微软雅黑" w:cs="Arial"/>
            </w:rPr>
            <w:t xml:space="preserve">4.1.关联方信息</w:t>
          </w:r>
          <w:r>
            <w:tab/>
          </w:r>
          <w:r>
            <w:fldChar w:fldCharType="begin"/>
          </w:r>
          <w:r>
            <w:instrText xml:space="preserve"> PAGEREF _Toc202797566 \h </w:instrText>
          </w:r>
          <w:r>
            <w:fldChar w:fldCharType="separate"/>
          </w:r>
          <w:r>
            <w:t xml:space="preserve">19</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"_Toc202797567"</w:instrText>
          </w:r>
          <w:r>
            <w:rPr>
              <w:rStyle w:val="1322"/>
            </w:rPr>
            <w:instrText xml:space="preserve"> </w:instrText>
          </w:r>
          <w:r>
            <w:rPr>
              <w:rStyle w:val="1322"/>
            </w:rPr>
            <w:fldChar w:fldCharType="separate"/>
          </w:r>
          <w:r>
            <w:rPr>
              <w:rStyle w:val="1322"/>
              <w:rFonts w:ascii="Arial" w:hAnsi="Arial" w:eastAsia="微软雅黑" w:cs="Arial"/>
            </w:rPr>
            <w:t xml:space="preserve">4.2.主要关联交易</w:t>
          </w:r>
          <w:r>
            <w:tab/>
          </w:r>
          <w:r>
            <w:fldChar w:fldCharType="begin"/>
          </w:r>
          <w:r>
            <w:instrText xml:space="preserve"> PAGEREF _Toc202797567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"_Toc202797568"</w:instrText>
          </w:r>
          <w:r>
            <w:rPr>
              <w:rStyle w:val="1322"/>
            </w:rPr>
            <w:instrText xml:space="preserve"> </w:instrText>
          </w:r>
          <w:r>
            <w:rPr>
              <w:rStyle w:val="1322"/>
            </w:rPr>
            <w:fldChar w:fldCharType="separate"/>
          </w:r>
          <w:r>
            <w:rPr>
              <w:rStyle w:val="1322"/>
              <w:rFonts w:ascii="Arial" w:hAnsi="Arial" w:eastAsia="微软雅黑" w:cs="Arial"/>
            </w:rPr>
            <w:t xml:space="preserve">4.3.关联购销</w:t>
          </w:r>
          <w:r>
            <w:tab/>
          </w:r>
          <w:r>
            <w:fldChar w:fldCharType="begin"/>
          </w:r>
          <w:r>
            <w:instrText xml:space="preserve"> PAGEREF _Toc202797568 \h </w:instrText>
          </w:r>
          <w:r>
            <w:fldChar w:fldCharType="separate"/>
          </w:r>
          <w:r>
            <w:t xml:space="preserve">20</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"_Toc202797569"</w:instrText>
          </w:r>
          <w:r>
            <w:rPr>
              <w:rStyle w:val="1322"/>
            </w:rPr>
            <w:instrText xml:space="preserve"> </w:instrText>
          </w:r>
          <w:r>
            <w:rPr>
              <w:rStyle w:val="1322"/>
            </w:rPr>
            <w:fldChar w:fldCharType="separate"/>
          </w:r>
          <w:r>
            <w:rPr>
              <w:rStyle w:val="1322"/>
              <w:rFonts w:ascii="Arial" w:hAnsi="Arial" w:eastAsia="微软雅黑" w:cs="Arial"/>
            </w:rPr>
            <w:t xml:space="preserve">4.3.1.交易流程</w:t>
          </w:r>
          <w:r>
            <w:tab/>
          </w:r>
          <w:r>
            <w:fldChar w:fldCharType="begin"/>
          </w:r>
          <w:r>
            <w:instrText xml:space="preserve"> PAGEREF _Toc202797569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"_Toc202797570"</w:instrText>
          </w:r>
          <w:r>
            <w:rPr>
              <w:rStyle w:val="1322"/>
            </w:rPr>
            <w:instrText xml:space="preserve"> </w:instrText>
          </w:r>
          <w:r>
            <w:rPr>
              <w:rStyle w:val="1322"/>
            </w:rPr>
            <w:fldChar w:fldCharType="separate"/>
          </w:r>
          <w:r>
            <w:rPr>
              <w:rStyle w:val="1322"/>
              <w:rFonts w:ascii="Arial" w:hAnsi="Arial" w:eastAsia="微软雅黑" w:cs="Arial"/>
            </w:rPr>
            <w:t xml:space="preserve">4.3.2.交易明细</w:t>
          </w:r>
          <w:r>
            <w:tab/>
          </w:r>
          <w:r>
            <w:fldChar w:fldCharType="begin"/>
          </w:r>
          <w:r>
            <w:instrText xml:space="preserve"> PAGEREF _Toc202797570 \h </w:instrText>
          </w:r>
          <w:r>
            <w:fldChar w:fldCharType="separate"/>
          </w:r>
          <w:r>
            <w:t xml:space="preserve">21</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"_Toc202797571"</w:instrText>
          </w:r>
          <w:r>
            <w:rPr>
              <w:rStyle w:val="1322"/>
            </w:rPr>
            <w:instrText xml:space="preserve"> </w:instrText>
          </w:r>
          <w:r>
            <w:rPr>
              <w:rStyle w:val="1322"/>
            </w:rPr>
            <w:fldChar w:fldCharType="separate"/>
          </w:r>
          <w:r>
            <w:rPr>
              <w:rStyle w:val="1322"/>
              <w:rFonts w:ascii="Arial" w:hAnsi="Arial" w:eastAsia="微软雅黑" w:cs="Arial"/>
            </w:rPr>
            <w:t xml:space="preserve">4.3.3.交易定价政策</w:t>
          </w:r>
          <w:r>
            <w:tab/>
          </w:r>
          <w:r>
            <w:fldChar w:fldCharType="begin"/>
          </w:r>
          <w:r>
            <w:instrText xml:space="preserve"> PAGEREF _Toc202797571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"_Toc202797572"</w:instrText>
          </w:r>
          <w:r>
            <w:rPr>
              <w:rStyle w:val="1322"/>
            </w:rPr>
            <w:instrText xml:space="preserve"> </w:instrText>
          </w:r>
          <w:r>
            <w:rPr>
              <w:rStyle w:val="1322"/>
            </w:rPr>
            <w:fldChar w:fldCharType="separate"/>
          </w:r>
          <w:r>
            <w:rPr>
              <w:rStyle w:val="1322"/>
              <w:rFonts w:ascii="Arial" w:hAnsi="Arial" w:eastAsia="微软雅黑" w:cs="Arial"/>
            </w:rPr>
            <w:t xml:space="preserve">4.4.关联劳务</w:t>
          </w:r>
          <w:r>
            <w:tab/>
          </w:r>
          <w:r>
            <w:fldChar w:fldCharType="begin"/>
          </w:r>
          <w:r>
            <w:instrText xml:space="preserve"> PAGEREF _Toc202797572 \h </w:instrText>
          </w:r>
          <w:r>
            <w:fldChar w:fldCharType="separate"/>
          </w:r>
          <w:r>
            <w:t xml:space="preserve">22</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"_Toc202797573"</w:instrText>
          </w:r>
          <w:r>
            <w:rPr>
              <w:rStyle w:val="1322"/>
            </w:rPr>
            <w:instrText xml:space="preserve"> </w:instrText>
          </w:r>
          <w:r>
            <w:rPr>
              <w:rStyle w:val="1322"/>
            </w:rPr>
            <w:fldChar w:fldCharType="separate"/>
          </w:r>
          <w:r>
            <w:rPr>
              <w:rStyle w:val="1322"/>
              <w:rFonts w:ascii="Arial" w:hAnsi="Arial" w:eastAsia="微软雅黑" w:cs="Arial"/>
            </w:rPr>
            <w:t xml:space="preserve">4.4.1.交易流程</w:t>
          </w:r>
          <w:r>
            <w:tab/>
          </w:r>
          <w:r>
            <w:fldChar w:fldCharType="begin"/>
          </w:r>
          <w:r>
            <w:instrText xml:space="preserve"> PAGEREF _Toc202797573 \h </w:instrText>
          </w:r>
          <w:r>
            <w:fldChar w:fldCharType="separate"/>
          </w:r>
          <w:r>
            <w:t xml:space="preserve">22</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"_Toc202797574"</w:instrText>
          </w:r>
          <w:r>
            <w:rPr>
              <w:rStyle w:val="1322"/>
            </w:rPr>
            <w:instrText xml:space="preserve"> </w:instrText>
          </w:r>
          <w:r>
            <w:rPr>
              <w:rStyle w:val="1322"/>
            </w:rPr>
            <w:fldChar w:fldCharType="separate"/>
          </w:r>
          <w:r>
            <w:rPr>
              <w:rStyle w:val="1322"/>
              <w:rFonts w:ascii="Arial" w:hAnsi="Arial" w:eastAsia="微软雅黑" w:cs="Arial"/>
            </w:rPr>
            <w:t xml:space="preserve">4.4.2.交易明细</w:t>
          </w:r>
          <w:r>
            <w:tab/>
          </w:r>
          <w:r>
            <w:fldChar w:fldCharType="begin"/>
          </w:r>
          <w:r>
            <w:instrText xml:space="preserve"> PAGEREF _Toc202797574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"_Toc202797575"</w:instrText>
          </w:r>
          <w:r>
            <w:rPr>
              <w:rStyle w:val="1322"/>
            </w:rPr>
            <w:instrText xml:space="preserve"> </w:instrText>
          </w:r>
          <w:r>
            <w:rPr>
              <w:rStyle w:val="1322"/>
            </w:rPr>
            <w:fldChar w:fldCharType="separate"/>
          </w:r>
          <w:r>
            <w:rPr>
              <w:rStyle w:val="1322"/>
              <w:rFonts w:ascii="Arial" w:hAnsi="Arial" w:eastAsia="微软雅黑" w:cs="Arial"/>
            </w:rPr>
            <w:t xml:space="preserve">4.4.3.服务接受的受益性分析</w:t>
          </w:r>
          <w:r>
            <w:tab/>
          </w:r>
          <w:r>
            <w:fldChar w:fldCharType="begin"/>
          </w:r>
          <w:r>
            <w:instrText xml:space="preserve"> PAGEREF _Toc202797575 \h </w:instrText>
          </w:r>
          <w:r>
            <w:fldChar w:fldCharType="separate"/>
          </w:r>
          <w:r>
            <w:t xml:space="preserve">23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"_Toc202797576"</w:instrText>
          </w:r>
          <w:r>
            <w:rPr>
              <w:rStyle w:val="1322"/>
            </w:rPr>
            <w:instrText xml:space="preserve"> </w:instrText>
          </w:r>
          <w:r>
            <w:rPr>
              <w:rStyle w:val="1322"/>
            </w:rPr>
            <w:fldChar w:fldCharType="separate"/>
          </w:r>
          <w:r>
            <w:rPr>
              <w:rStyle w:val="1322"/>
              <w:rFonts w:ascii="Arial" w:hAnsi="Arial" w:eastAsia="微软雅黑" w:cs="Arial"/>
            </w:rPr>
            <w:t xml:space="preserve">4.4.4.交易定价政策</w:t>
          </w:r>
          <w:r>
            <w:tab/>
          </w:r>
          <w:r>
            <w:fldChar w:fldCharType="begin"/>
          </w:r>
          <w:r>
            <w:instrText xml:space="preserve"> PAGEREF _Toc202797576 \h </w:instrText>
          </w:r>
          <w:r>
            <w:fldChar w:fldCharType="separate"/>
          </w:r>
          <w:r>
            <w:t xml:space="preserve">25</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"_Toc202797577"</w:instrText>
          </w:r>
          <w:r>
            <w:rPr>
              <w:rStyle w:val="1322"/>
            </w:rPr>
            <w:instrText xml:space="preserve"> </w:instrText>
          </w:r>
          <w:r>
            <w:rPr>
              <w:rStyle w:val="1322"/>
            </w:rPr>
            <w:fldChar w:fldCharType="separate"/>
          </w:r>
          <w:r>
            <w:rPr>
              <w:rStyle w:val="1322"/>
              <w:rFonts w:ascii="Arial" w:hAnsi="Arial" w:eastAsia="微软雅黑" w:cs="Arial"/>
            </w:rPr>
            <w:t xml:space="preserve">4.5.关联借贷</w:t>
          </w:r>
          <w:r>
            <w:tab/>
          </w:r>
          <w:r>
            <w:fldChar w:fldCharType="begin"/>
          </w:r>
          <w:r>
            <w:instrText xml:space="preserve"> PAGEREF _Toc202797577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"_Toc202797578"</w:instrText>
          </w:r>
          <w:r>
            <w:rPr>
              <w:rStyle w:val="1322"/>
            </w:rPr>
            <w:instrText xml:space="preserve"> </w:instrText>
          </w:r>
          <w:r>
            <w:rPr>
              <w:rStyle w:val="1322"/>
            </w:rPr>
            <w:fldChar w:fldCharType="separate"/>
          </w:r>
          <w:r>
            <w:rPr>
              <w:rStyle w:val="1322"/>
              <w:rFonts w:ascii="Arial" w:hAnsi="Arial" w:eastAsia="微软雅黑" w:cs="Arial"/>
            </w:rPr>
            <w:t xml:space="preserve">4.6.关联交易合同及执行汇总</w:t>
          </w:r>
          <w:r>
            <w:tab/>
          </w:r>
          <w:r>
            <w:fldChar w:fldCharType="begin"/>
          </w:r>
          <w:r>
            <w:instrText xml:space="preserve"> PAGEREF _Toc202797578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"_Toc202797579"</w:instrText>
          </w:r>
          <w:r>
            <w:rPr>
              <w:rStyle w:val="1322"/>
            </w:rPr>
            <w:instrText xml:space="preserve"> </w:instrText>
          </w:r>
          <w:r>
            <w:rPr>
              <w:rStyle w:val="1322"/>
            </w:rPr>
            <w:fldChar w:fldCharType="separate"/>
          </w:r>
          <w:r>
            <w:rPr>
              <w:rStyle w:val="1322"/>
              <w:rFonts w:ascii="Arial" w:hAnsi="Arial" w:eastAsia="微软雅黑" w:cs="Arial"/>
            </w:rPr>
            <w:t xml:space="preserve">4.7.与企业关联交易直接相关的预约定价安排和其他税收裁定</w:t>
          </w:r>
          <w:r>
            <w:tab/>
          </w:r>
          <w:r>
            <w:fldChar w:fldCharType="begin"/>
          </w:r>
          <w:r>
            <w:instrText xml:space="preserve"> PAGEREF _Toc202797579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"_Toc202797580"</w:instrText>
          </w:r>
          <w:r>
            <w:rPr>
              <w:rStyle w:val="1322"/>
            </w:rPr>
            <w:instrText xml:space="preserve"> </w:instrText>
          </w:r>
          <w:r>
            <w:rPr>
              <w:rStyle w:val="1322"/>
            </w:rPr>
            <w:fldChar w:fldCharType="separate"/>
          </w:r>
          <w:r>
            <w:rPr>
              <w:rStyle w:val="1322"/>
              <w:rFonts w:ascii="Arial" w:hAnsi="Arial" w:eastAsia="微软雅黑" w:cs="Arial"/>
            </w:rPr>
            <w:t xml:space="preserve">4.8.关联交易财务状况</w:t>
          </w:r>
          <w:r>
            <w:tab/>
          </w:r>
          <w:r>
            <w:fldChar w:fldCharType="begin"/>
          </w:r>
          <w:r>
            <w:instrText xml:space="preserve"> PAGEREF _Toc202797580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"_Toc202797581"</w:instrText>
          </w:r>
          <w:r>
            <w:rPr>
              <w:rStyle w:val="1322"/>
            </w:rPr>
            <w:instrText xml:space="preserve"> </w:instrText>
          </w:r>
          <w:r>
            <w:rPr>
              <w:rStyle w:val="1322"/>
            </w:rPr>
            <w:fldChar w:fldCharType="separate"/>
          </w:r>
          <w:r>
            <w:rPr>
              <w:rStyle w:val="1322"/>
              <w:rFonts w:ascii="Arial" w:hAnsi="Arial" w:eastAsia="微软雅黑" w:cs="Arial"/>
            </w:rPr>
            <w:t xml:space="preserve">4.9.小结</w:t>
          </w:r>
          <w:r>
            <w:tab/>
          </w:r>
          <w:r>
            <w:fldChar w:fldCharType="begin"/>
          </w:r>
          <w:r>
            <w:instrText xml:space="preserve"> PAGEREF _Toc202797581 \h </w:instrText>
          </w:r>
          <w:r>
            <w:fldChar w:fldCharType="separate"/>
          </w:r>
          <w:r>
            <w:t xml:space="preserve">26</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"_Toc202797582"</w:instrText>
          </w:r>
          <w:r>
            <w:rPr>
              <w:rStyle w:val="1322"/>
            </w:rPr>
            <w:instrText xml:space="preserve"> </w:instrText>
          </w:r>
          <w:r>
            <w:rPr>
              <w:rStyle w:val="1322"/>
            </w:rPr>
            <w:fldChar w:fldCharType="separate"/>
          </w:r>
          <w:r>
            <w:rPr>
              <w:rStyle w:val="1322"/>
              <w:rFonts w:ascii="Arial" w:hAnsi="Arial" w:eastAsia="微软雅黑" w:cs="Arial"/>
            </w:rPr>
            <w:t xml:space="preserve">5.功能和风险分析</w:t>
          </w:r>
          <w:r>
            <w:tab/>
          </w:r>
          <w:r>
            <w:fldChar w:fldCharType="begin"/>
          </w:r>
          <w:r>
            <w:instrText xml:space="preserve"> PAGEREF _Toc202797582 \h </w:instrText>
          </w:r>
          <w:r>
            <w:fldChar w:fldCharType="separate"/>
          </w:r>
          <w:r>
            <w:t xml:space="preserve">28</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"_Toc202797583"</w:instrText>
          </w:r>
          <w:r>
            <w:rPr>
              <w:rStyle w:val="1322"/>
            </w:rPr>
            <w:instrText xml:space="preserve"> </w:instrText>
          </w:r>
          <w:r>
            <w:rPr>
              <w:rStyle w:val="1322"/>
            </w:rPr>
            <w:fldChar w:fldCharType="separate"/>
          </w:r>
          <w:r>
            <w:rPr>
              <w:rStyle w:val="1322"/>
              <w:rFonts w:ascii="Arial" w:hAnsi="Arial" w:eastAsia="微软雅黑" w:cs="Arial"/>
            </w:rPr>
            <w:t xml:space="preserve">5.1.简介</w:t>
          </w:r>
          <w:r>
            <w:tab/>
          </w:r>
          <w:r>
            <w:fldChar w:fldCharType="begin"/>
          </w:r>
          <w:r>
            <w:instrText xml:space="preserve"> PAGEREF _Toc202797583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"_Toc202797584"</w:instrText>
          </w:r>
          <w:r>
            <w:rPr>
              <w:rStyle w:val="1322"/>
            </w:rPr>
            <w:instrText xml:space="preserve"> </w:instrText>
          </w:r>
          <w:r>
            <w:rPr>
              <w:rStyle w:val="1322"/>
            </w:rPr>
            <w:fldChar w:fldCharType="separate"/>
          </w:r>
          <w:r>
            <w:rPr>
              <w:rStyle w:val="1322"/>
              <w:rFonts w:ascii="Arial" w:hAnsi="Arial" w:eastAsia="微软雅黑" w:cs="Arial"/>
            </w:rPr>
            <w:t xml:space="preserve">5.2.功能及风险分析</w:t>
          </w:r>
          <w:r>
            <w:tab/>
          </w:r>
          <w:r>
            <w:fldChar w:fldCharType="begin"/>
          </w:r>
          <w:r>
            <w:instrText xml:space="preserve"> PAGEREF _Toc202797584 \h </w:instrText>
          </w:r>
          <w:r>
            <w:fldChar w:fldCharType="separate"/>
          </w:r>
          <w:r>
            <w:t xml:space="preserve">28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"_Toc202797585"</w:instrText>
          </w:r>
          <w:r>
            <w:rPr>
              <w:rStyle w:val="1322"/>
            </w:rPr>
            <w:instrText xml:space="preserve"> </w:instrText>
          </w:r>
          <w:r>
            <w:rPr>
              <w:rStyle w:val="1322"/>
            </w:rPr>
            <w:fldChar w:fldCharType="separate"/>
          </w:r>
          <w:r>
            <w:rPr>
              <w:rStyle w:val="1322"/>
              <w:rFonts w:ascii="Arial" w:hAnsi="Arial" w:eastAsia="微软雅黑" w:cs="Arial"/>
            </w:rPr>
            <w:t xml:space="preserve">5.2.1.功能分析</w:t>
          </w:r>
          <w:r>
            <w:tab/>
          </w:r>
          <w:r>
            <w:fldChar w:fldCharType="begin"/>
          </w:r>
          <w:r>
            <w:instrText xml:space="preserve"> PAGEREF _Toc202797585 \h </w:instrText>
          </w:r>
          <w:r>
            <w:fldChar w:fldCharType="separate"/>
          </w:r>
          <w:r>
            <w:t xml:space="preserve">28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"_Toc202797586"</w:instrText>
          </w:r>
          <w:r>
            <w:rPr>
              <w:rStyle w:val="1322"/>
            </w:rPr>
            <w:instrText xml:space="preserve"> </w:instrText>
          </w:r>
          <w:r>
            <w:rPr>
              <w:rStyle w:val="1322"/>
            </w:rPr>
            <w:fldChar w:fldCharType="separate"/>
          </w:r>
          <w:r>
            <w:rPr>
              <w:rStyle w:val="1322"/>
              <w:rFonts w:ascii="Arial" w:hAnsi="Arial" w:eastAsia="微软雅黑" w:cs="Arial"/>
            </w:rPr>
            <w:t xml:space="preserve">5.2.2.风险分析</w:t>
          </w:r>
          <w:r>
            <w:tab/>
          </w:r>
          <w:r>
            <w:fldChar w:fldCharType="begin"/>
          </w:r>
          <w:r>
            <w:instrText xml:space="preserve"> PAGEREF _Toc202797586 \h </w:instrText>
          </w:r>
          <w:r>
            <w:fldChar w:fldCharType="separate"/>
          </w:r>
          <w:r>
            <w:t xml:space="preserve">31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"_Toc202797587"</w:instrText>
          </w:r>
          <w:r>
            <w:rPr>
              <w:rStyle w:val="1322"/>
            </w:rPr>
            <w:instrText xml:space="preserve"> </w:instrText>
          </w:r>
          <w:r>
            <w:rPr>
              <w:rStyle w:val="1322"/>
            </w:rPr>
            <w:fldChar w:fldCharType="separate"/>
          </w:r>
          <w:r>
            <w:rPr>
              <w:rStyle w:val="1322"/>
              <w:rFonts w:ascii="Arial" w:hAnsi="Arial" w:eastAsia="微软雅黑" w:cs="Arial"/>
            </w:rPr>
            <w:t xml:space="preserve">5.3.资产分析</w:t>
          </w:r>
          <w:r>
            <w:tab/>
          </w:r>
          <w:r>
            <w:fldChar w:fldCharType="begin"/>
          </w:r>
          <w:r>
            <w:instrText xml:space="preserve"> PAGEREF _Toc202797587 \h </w:instrText>
          </w:r>
          <w:r>
            <w:fldChar w:fldCharType="separate"/>
          </w:r>
          <w:r>
            <w:t xml:space="preserve">33</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"_Toc202797588"</w:instrText>
          </w:r>
          <w:r>
            <w:rPr>
              <w:rStyle w:val="1322"/>
            </w:rPr>
            <w:instrText xml:space="preserve"> </w:instrText>
          </w:r>
          <w:r>
            <w:rPr>
              <w:rStyle w:val="1322"/>
            </w:rPr>
            <w:fldChar w:fldCharType="separate"/>
          </w:r>
          <w:r>
            <w:rPr>
              <w:rStyle w:val="1322"/>
              <w:rFonts w:ascii="Arial" w:hAnsi="Arial" w:eastAsia="微软雅黑" w:cs="Arial"/>
            </w:rPr>
            <w:t xml:space="preserve">5.3.1.有形资产</w:t>
          </w:r>
          <w:r>
            <w:tab/>
          </w:r>
          <w:r>
            <w:fldChar w:fldCharType="begin"/>
          </w:r>
          <w:r>
            <w:instrText xml:space="preserve"> PAGEREF _Toc202797588 \h </w:instrText>
          </w:r>
          <w:r>
            <w:fldChar w:fldCharType="separate"/>
          </w:r>
          <w:r>
            <w:t xml:space="preserve">33</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"_Toc202797589"</w:instrText>
          </w:r>
          <w:r>
            <w:rPr>
              <w:rStyle w:val="1322"/>
            </w:rPr>
            <w:instrText xml:space="preserve"> </w:instrText>
          </w:r>
          <w:r>
            <w:rPr>
              <w:rStyle w:val="1322"/>
            </w:rPr>
            <w:fldChar w:fldCharType="separate"/>
          </w:r>
          <w:r>
            <w:rPr>
              <w:rStyle w:val="1322"/>
              <w:rFonts w:ascii="Arial" w:hAnsi="Arial" w:eastAsia="微软雅黑" w:cs="Arial"/>
            </w:rPr>
            <w:t xml:space="preserve">5.3.2.无形资产</w:t>
          </w:r>
          <w:r>
            <w:tab/>
          </w:r>
          <w:r>
            <w:fldChar w:fldCharType="begin"/>
          </w:r>
          <w:r>
            <w:instrText xml:space="preserve"> PAGEREF _Toc202797589 \h </w:instrText>
          </w:r>
          <w:r>
            <w:fldChar w:fldCharType="separate"/>
          </w:r>
          <w:r>
            <w:t xml:space="preserve">34</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"_Toc202797590"</w:instrText>
          </w:r>
          <w:r>
            <w:rPr>
              <w:rStyle w:val="1322"/>
            </w:rPr>
            <w:instrText xml:space="preserve"> </w:instrText>
          </w:r>
          <w:r>
            <w:rPr>
              <w:rStyle w:val="1322"/>
            </w:rPr>
            <w:fldChar w:fldCharType="separate"/>
          </w:r>
          <w:r>
            <w:rPr>
              <w:rStyle w:val="1322"/>
              <w:rFonts w:ascii="Arial" w:hAnsi="Arial" w:eastAsia="微软雅黑" w:cs="Arial"/>
            </w:rPr>
            <w:t xml:space="preserve">5.4.小结</w:t>
          </w:r>
          <w:r>
            <w:tab/>
          </w:r>
          <w:r>
            <w:fldChar w:fldCharType="begin"/>
          </w:r>
          <w:r>
            <w:instrText xml:space="preserve"> PAGEREF _Toc202797590 \h </w:instrText>
          </w:r>
          <w:r>
            <w:fldChar w:fldCharType="separate"/>
          </w:r>
          <w:r>
            <w:t xml:space="preserve">34</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"_Toc202797591"</w:instrText>
          </w:r>
          <w:r>
            <w:rPr>
              <w:rStyle w:val="1322"/>
            </w:rPr>
            <w:instrText xml:space="preserve"> </w:instrText>
          </w:r>
          <w:r>
            <w:rPr>
              <w:rStyle w:val="1322"/>
            </w:rPr>
            <w:fldChar w:fldCharType="separate"/>
          </w:r>
          <w:r>
            <w:rPr>
              <w:rStyle w:val="1322"/>
              <w:rFonts w:ascii="Arial" w:hAnsi="Arial" w:eastAsia="微软雅黑" w:cs="Arial"/>
            </w:rPr>
            <w:t xml:space="preserve">6.价值链分析</w:t>
          </w:r>
          <w:r>
            <w:tab/>
          </w:r>
          <w:r>
            <w:fldChar w:fldCharType="begin"/>
          </w:r>
          <w:r>
            <w:instrText xml:space="preserve"> PAGEREF _Toc202797591 \h </w:instrText>
          </w:r>
          <w:r>
            <w:fldChar w:fldCharType="separate"/>
          </w:r>
          <w:r>
            <w:t xml:space="preserve">36</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"_Toc202797592"</w:instrText>
          </w:r>
          <w:r>
            <w:rPr>
              <w:rStyle w:val="1322"/>
            </w:rPr>
            <w:instrText xml:space="preserve"> </w:instrText>
          </w:r>
          <w:r>
            <w:rPr>
              <w:rStyle w:val="1322"/>
            </w:rPr>
            <w:fldChar w:fldCharType="separate"/>
          </w:r>
          <w:r>
            <w:rPr>
              <w:rStyle w:val="1322"/>
              <w:rFonts w:ascii="Arial" w:hAnsi="Arial" w:eastAsia="微软雅黑" w:cs="Arial"/>
            </w:rPr>
            <w:t xml:space="preserve">6.1.确定关键价值驱动因素</w:t>
          </w:r>
          <w:r>
            <w:tab/>
          </w:r>
          <w:r>
            <w:fldChar w:fldCharType="begin"/>
          </w:r>
          <w:r>
            <w:instrText xml:space="preserve"> PAGEREF _Toc202797592 \h </w:instrText>
          </w:r>
          <w:r>
            <w:fldChar w:fldCharType="separate"/>
          </w:r>
          <w:r>
            <w:t xml:space="preserve">36</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"_Toc202797593"</w:instrText>
          </w:r>
          <w:r>
            <w:rPr>
              <w:rStyle w:val="1322"/>
            </w:rPr>
            <w:instrText xml:space="preserve"> </w:instrText>
          </w:r>
          <w:r>
            <w:rPr>
              <w:rStyle w:val="1322"/>
            </w:rPr>
            <w:fldChar w:fldCharType="separate"/>
          </w:r>
          <w:r>
            <w:rPr>
              <w:rStyle w:val="1322"/>
              <w:rFonts w:ascii="Arial" w:hAnsi="Arial" w:eastAsia="微软雅黑" w:cs="Arial"/>
            </w:rPr>
            <w:t xml:space="preserve">6.2.集团价值链</w:t>
          </w:r>
          <w:r>
            <w:tab/>
          </w:r>
          <w:r>
            <w:fldChar w:fldCharType="begin"/>
          </w:r>
          <w:r>
            <w:instrText xml:space="preserve"> PAGEREF _Toc202797593 \h </w:instrText>
          </w:r>
          <w:r>
            <w:fldChar w:fldCharType="separate"/>
          </w:r>
          <w:r>
            <w:t xml:space="preserve">37</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"_Toc202797594"</w:instrText>
          </w:r>
          <w:r>
            <w:rPr>
              <w:rStyle w:val="1322"/>
            </w:rPr>
            <w:instrText xml:space="preserve"> </w:instrText>
          </w:r>
          <w:r>
            <w:rPr>
              <w:rStyle w:val="1322"/>
            </w:rPr>
            <w:fldChar w:fldCharType="separate"/>
          </w:r>
          <w:r>
            <w:rPr>
              <w:rStyle w:val="1322"/>
              <w:rFonts w:ascii="Arial" w:hAnsi="Arial" w:eastAsia="微软雅黑" w:cs="Arial"/>
            </w:rPr>
            <w:t xml:space="preserve">6.3.交易定价影响要素</w:t>
          </w:r>
          <w:r>
            <w:tab/>
          </w:r>
          <w:r>
            <w:fldChar w:fldCharType="begin"/>
          </w:r>
          <w:r>
            <w:instrText xml:space="preserve"> PAGEREF _Toc202797594 \h </w:instrText>
          </w:r>
          <w:r>
            <w:fldChar w:fldCharType="separate"/>
          </w:r>
          <w:r>
            <w:t xml:space="preserve">38</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"_Toc202797595"</w:instrText>
          </w:r>
          <w:r>
            <w:rPr>
              <w:rStyle w:val="1322"/>
            </w:rPr>
            <w:instrText xml:space="preserve"> </w:instrText>
          </w:r>
          <w:r>
            <w:rPr>
              <w:rStyle w:val="1322"/>
            </w:rPr>
            <w:fldChar w:fldCharType="separate"/>
          </w:r>
          <w:r>
            <w:rPr>
              <w:rStyle w:val="1322"/>
              <w:rFonts w:ascii="Arial" w:hAnsi="Arial" w:eastAsia="微软雅黑" w:cs="Arial"/>
            </w:rPr>
            <w:t xml:space="preserve">6.3.1.地域成本节约</w:t>
          </w:r>
          <w:r>
            <w:tab/>
          </w:r>
          <w:r>
            <w:fldChar w:fldCharType="begin"/>
          </w:r>
          <w:r>
            <w:instrText xml:space="preserve"> PAGEREF _Toc202797595 \h </w:instrText>
          </w:r>
          <w:r>
            <w:fldChar w:fldCharType="separate"/>
          </w:r>
          <w:r>
            <w:t xml:space="preserve">38</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"_Toc202797596"</w:instrText>
          </w:r>
          <w:r>
            <w:rPr>
              <w:rStyle w:val="1322"/>
            </w:rPr>
            <w:instrText xml:space="preserve"> </w:instrText>
          </w:r>
          <w:r>
            <w:rPr>
              <w:rStyle w:val="1322"/>
            </w:rPr>
            <w:fldChar w:fldCharType="separate"/>
          </w:r>
          <w:r>
            <w:rPr>
              <w:rStyle w:val="1322"/>
              <w:rFonts w:ascii="Arial" w:hAnsi="Arial" w:eastAsia="微软雅黑" w:cs="Arial"/>
            </w:rPr>
            <w:t xml:space="preserve">6.3.2.市场溢价</w:t>
          </w:r>
          <w:r>
            <w:tab/>
          </w:r>
          <w:r>
            <w:fldChar w:fldCharType="begin"/>
          </w:r>
          <w:r>
            <w:instrText xml:space="preserve"> PAGEREF _Toc202797596 \h </w:instrText>
          </w:r>
          <w:r>
            <w:fldChar w:fldCharType="separate"/>
          </w:r>
          <w:r>
            <w:t xml:space="preserve">41</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"_Toc202797597"</w:instrText>
          </w:r>
          <w:r>
            <w:rPr>
              <w:rStyle w:val="1322"/>
            </w:rPr>
            <w:instrText xml:space="preserve"> </w:instrText>
          </w:r>
          <w:r>
            <w:rPr>
              <w:rStyle w:val="1322"/>
            </w:rPr>
            <w:fldChar w:fldCharType="separate"/>
          </w:r>
          <w:r>
            <w:rPr>
              <w:rStyle w:val="1322"/>
              <w:rFonts w:ascii="Arial" w:hAnsi="Arial" w:eastAsia="微软雅黑" w:cs="Arial"/>
            </w:rPr>
            <w:t xml:space="preserve">6.4.价值链各参与方财务报表</w:t>
          </w:r>
          <w:r>
            <w:tab/>
          </w:r>
          <w:r>
            <w:fldChar w:fldCharType="begin"/>
          </w:r>
          <w:r>
            <w:instrText xml:space="preserve"> PAGEREF _Toc202797597 \h </w:instrText>
          </w:r>
          <w:r>
            <w:fldChar w:fldCharType="separate"/>
          </w:r>
          <w:r>
            <w:t xml:space="preserve">41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"_Toc202797598"</w:instrText>
          </w:r>
          <w:r>
            <w:rPr>
              <w:rStyle w:val="1322"/>
            </w:rPr>
            <w:instrText xml:space="preserve"> </w:instrText>
          </w:r>
          <w:r>
            <w:rPr>
              <w:rStyle w:val="1322"/>
            </w:rPr>
            <w:fldChar w:fldCharType="separate"/>
          </w:r>
          <w:r>
            <w:rPr>
              <w:rStyle w:val="1322"/>
              <w:rFonts w:ascii="Arial" w:hAnsi="Arial" w:eastAsia="微软雅黑" w:cs="Arial"/>
            </w:rPr>
            <w:t xml:space="preserve">7.可比性分析</w:t>
          </w:r>
          <w:r>
            <w:tab/>
          </w:r>
          <w:r>
            <w:fldChar w:fldCharType="begin"/>
          </w:r>
          <w:r>
            <w:instrText xml:space="preserve"> PAGEREF _Toc202797598 \h </w:instrText>
          </w:r>
          <w:r>
            <w:fldChar w:fldCharType="separate"/>
          </w:r>
          <w:r>
            <w:t xml:space="preserve">42</w:t>
          </w:r>
          <w:r>
            <w:fldChar w:fldCharType="end"/>
          </w:r>
          <w:r>
            <w:rPr>
              <w:rStyle w:val="1322"/>
            </w:rPr>
            <w:fldChar w:fldCharType="end"/>
          </w:r>
          <w:r>
            <w:rPr>
              <w:rFonts w:eastAsiaTheme="minorEastAsia" w:cstheme="minorBidi"/>
              <w:b w:val="0"/>
              <w:b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"_Toc202797599"</w:instrText>
          </w:r>
          <w:r>
            <w:rPr>
              <w:rStyle w:val="1322"/>
            </w:rPr>
            <w:instrText xml:space="preserve"> </w:instrText>
          </w:r>
          <w:r>
            <w:rPr>
              <w:rStyle w:val="1322"/>
            </w:rPr>
            <w:fldChar w:fldCharType="separate"/>
          </w:r>
          <w:r>
            <w:rPr>
              <w:rStyle w:val="1322"/>
              <w:rFonts w:ascii="Arial" w:hAnsi="Arial" w:eastAsia="微软雅黑" w:cs="Arial"/>
            </w:rPr>
            <w:t xml:space="preserve">7.1.简介</w:t>
          </w:r>
          <w:r>
            <w:tab/>
          </w:r>
          <w:r>
            <w:fldChar w:fldCharType="begin"/>
          </w:r>
          <w:r>
            <w:instrText xml:space="preserve"> PAGEREF _Toc202797599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"_Toc202797600"</w:instrText>
          </w:r>
          <w:r>
            <w:rPr>
              <w:rStyle w:val="1322"/>
            </w:rPr>
            <w:instrText xml:space="preserve"> </w:instrText>
          </w:r>
          <w:r>
            <w:rPr>
              <w:rStyle w:val="1322"/>
            </w:rPr>
            <w:fldChar w:fldCharType="separate"/>
          </w:r>
          <w:r>
            <w:rPr>
              <w:rStyle w:val="1322"/>
              <w:rFonts w:ascii="Arial" w:hAnsi="Arial" w:eastAsia="微软雅黑" w:cs="Arial"/>
            </w:rPr>
            <w:t xml:space="preserve">7.2.转让定价方法的选择</w:t>
          </w:r>
          <w:r>
            <w:tab/>
          </w:r>
          <w:r>
            <w:fldChar w:fldCharType="begin"/>
          </w:r>
          <w:r>
            <w:instrText xml:space="preserve"> PAGEREF _Toc202797600 \h </w:instrText>
          </w:r>
          <w:r>
            <w:fldChar w:fldCharType="separate"/>
          </w:r>
          <w:r>
            <w:t xml:space="preserve">42</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"_Toc202797601"</w:instrText>
          </w:r>
          <w:r>
            <w:rPr>
              <w:rStyle w:val="1322"/>
            </w:rPr>
            <w:instrText xml:space="preserve"> </w:instrText>
          </w:r>
          <w:r>
            <w:rPr>
              <w:rStyle w:val="1322"/>
            </w:rPr>
            <w:fldChar w:fldCharType="separate"/>
          </w:r>
          <w:r>
            <w:rPr>
              <w:rStyle w:val="1322"/>
              <w:rFonts w:ascii="Arial" w:hAnsi="Arial" w:eastAsia="微软雅黑" w:cs="Arial"/>
            </w:rPr>
            <w:t xml:space="preserve">7.3.验证对象的选择</w:t>
          </w:r>
          <w:r>
            <w:tab/>
          </w:r>
          <w:r>
            <w:fldChar w:fldCharType="begin"/>
          </w:r>
          <w:r>
            <w:instrText xml:space="preserve"> PAGEREF _Toc202797601 \h </w:instrText>
          </w:r>
          <w:r>
            <w:fldChar w:fldCharType="separate"/>
          </w:r>
          <w:r>
            <w:t xml:space="preserve">43</w:t>
          </w:r>
          <w:r>
            <w:fldChar w:fldCharType="end"/>
          </w:r>
          <w:r>
            <w:rPr>
              <w:rStyle w:val="1322"/>
            </w:rPr>
            <w:fldChar w:fldCharType="end"/>
          </w:r>
          <w:r>
            <w:rPr>
              <w:rFonts w:eastAsiaTheme="minorEastAsia" w:cstheme="minorBidi"/>
              <w:i w:val="0"/>
              <w:iCs w:val="0"/>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"_Toc202797602"</w:instrText>
          </w:r>
          <w:r>
            <w:rPr>
              <w:rStyle w:val="1322"/>
            </w:rPr>
            <w:instrText xml:space="preserve"> </w:instrText>
          </w:r>
          <w:r>
            <w:rPr>
              <w:rStyle w:val="1322"/>
            </w:rPr>
            <w:fldChar w:fldCharType="separate"/>
          </w:r>
          <w:r>
            <w:rPr>
              <w:rStyle w:val="1322"/>
              <w:rFonts w:ascii="Arial" w:hAnsi="Arial" w:eastAsia="微软雅黑" w:cs="Arial"/>
            </w:rPr>
            <w:t xml:space="preserve">7.4.转让定价方法的应用</w:t>
          </w:r>
          <w:r>
            <w:tab/>
          </w:r>
          <w:r>
            <w:fldChar w:fldCharType="begin"/>
          </w:r>
          <w:r>
            <w:instrText xml:space="preserve"> PAGEREF _Toc202797602 \h </w:instrText>
          </w:r>
          <w:r>
            <w:fldChar w:fldCharType="separate"/>
          </w:r>
          <w:r>
            <w:t xml:space="preserve">44</w:t>
          </w:r>
          <w:r>
            <w:fldChar w:fldCharType="end"/>
          </w:r>
          <w:r>
            <w:rPr>
              <w:rStyle w:val="1322"/>
            </w:rPr>
            <w:fldChar w:fldCharType="end"/>
          </w:r>
          <w:r>
            <w:rPr>
              <w:rFonts w:eastAsiaTheme="minorEastAsia" w:cstheme="minorBidi"/>
              <w:i w:val="0"/>
              <w:iCs w:val="0"/>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"_Toc202797603"</w:instrText>
          </w:r>
          <w:r>
            <w:rPr>
              <w:rStyle w:val="1322"/>
            </w:rPr>
            <w:instrText xml:space="preserve"> </w:instrText>
          </w:r>
          <w:r>
            <w:rPr>
              <w:rStyle w:val="1322"/>
            </w:rPr>
            <w:fldChar w:fldCharType="separate"/>
          </w:r>
          <w:r>
            <w:rPr>
              <w:rStyle w:val="1322"/>
              <w:rFonts w:ascii="Arial" w:hAnsi="Arial" w:eastAsia="微软雅黑" w:cs="Arial"/>
            </w:rPr>
            <w:t xml:space="preserve">7.4.1.概述</w:t>
          </w:r>
          <w:r>
            <w:tab/>
          </w:r>
          <w:r>
            <w:fldChar w:fldCharType="begin"/>
          </w:r>
          <w:r>
            <w:instrText xml:space="preserve"> PAGEREF _Toc202797603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"_Toc202797604"</w:instrText>
          </w:r>
          <w:r>
            <w:rPr>
              <w:rStyle w:val="1322"/>
            </w:rPr>
            <w:instrText xml:space="preserve"> </w:instrText>
          </w:r>
          <w:r>
            <w:rPr>
              <w:rStyle w:val="1322"/>
            </w:rPr>
            <w:fldChar w:fldCharType="separate"/>
          </w:r>
          <w:r>
            <w:rPr>
              <w:rStyle w:val="1322"/>
              <w:rFonts w:ascii="Arial" w:hAnsi="Arial" w:eastAsia="微软雅黑" w:cs="Arial"/>
            </w:rPr>
            <w:t xml:space="preserve">7.4.2.确定与受测关联交易相关的财务数据</w:t>
          </w:r>
          <w:r>
            <w:tab/>
          </w:r>
          <w:r>
            <w:fldChar w:fldCharType="begin"/>
          </w:r>
          <w:r>
            <w:instrText xml:space="preserve"> PAGEREF _Toc202797604 \h </w:instrText>
          </w:r>
          <w:r>
            <w:fldChar w:fldCharType="separate"/>
          </w:r>
          <w:r>
            <w:t xml:space="preserve">44</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"_Toc202797605"</w:instrText>
          </w:r>
          <w:r>
            <w:rPr>
              <w:rStyle w:val="1322"/>
            </w:rPr>
            <w:instrText xml:space="preserve"> </w:instrText>
          </w:r>
          <w:r>
            <w:rPr>
              <w:rStyle w:val="1322"/>
            </w:rPr>
            <w:fldChar w:fldCharType="separate"/>
          </w:r>
          <w:r>
            <w:rPr>
              <w:rStyle w:val="1322"/>
              <w:rFonts w:ascii="Arial" w:hAnsi="Arial" w:eastAsia="微软雅黑" w:cs="Arial"/>
            </w:rPr>
            <w:t xml:space="preserve">7.4.3.搜寻外部可比公司</w:t>
          </w:r>
          <w:r>
            <w:tab/>
          </w:r>
          <w:r>
            <w:fldChar w:fldCharType="begin"/>
          </w:r>
          <w:r>
            <w:instrText xml:space="preserve"> PAGEREF _Toc202797605 \h </w:instrText>
          </w:r>
          <w:r>
            <w:fldChar w:fldCharType="separate"/>
          </w:r>
          <w:r>
            <w:t xml:space="preserve">45</w:t>
          </w:r>
          <w:r>
            <w:fldChar w:fldCharType="end"/>
          </w:r>
          <w:r>
            <w:rPr>
              <w:rStyle w:val="1322"/>
            </w:rPr>
            <w:fldChar w:fldCharType="end"/>
          </w:r>
          <w:r>
            <w:rPr>
              <w:rFonts w:eastAsiaTheme="minorEastAsia" w:cstheme="minorBidi"/>
              <w:sz w:val="21"/>
              <w:szCs w:val="22"/>
            </w:rPr>
          </w:r>
        </w:p>
        <w:p>
          <w:pPr>
            <w:pStyle w:val="1300"/>
            <w:pBdr/>
            <w:tabs>
              <w:tab w:val="right" w:leader="dot" w:pos="8296"/>
            </w:tabs>
            <w:spacing/>
            <w:ind/>
            <w:rPr>
              <w:rFonts w:eastAsiaTheme="minorEastAsia" w:cstheme="minorBidi"/>
              <w:sz w:val="21"/>
              <w:szCs w:val="22"/>
            </w:rPr>
          </w:pPr>
          <w:r>
            <w:rPr>
              <w:rStyle w:val="1322"/>
            </w:rPr>
            <w:fldChar w:fldCharType="begin"/>
          </w:r>
          <w:r>
            <w:rPr>
              <w:rStyle w:val="1322"/>
            </w:rPr>
            <w:instrText xml:space="preserve"> </w:instrText>
          </w:r>
          <w:r>
            <w:instrText xml:space="preserve">HYPERLINK \l "_Toc202797606"</w:instrText>
          </w:r>
          <w:r>
            <w:rPr>
              <w:rStyle w:val="1322"/>
            </w:rPr>
            <w:instrText xml:space="preserve"> </w:instrText>
          </w:r>
          <w:r>
            <w:rPr>
              <w:rStyle w:val="1322"/>
            </w:rPr>
            <w:fldChar w:fldCharType="separate"/>
          </w:r>
          <w:r>
            <w:rPr>
              <w:rStyle w:val="1322"/>
              <w:rFonts w:ascii="Arial" w:hAnsi="Arial" w:eastAsia="微软雅黑" w:cs="Arial"/>
            </w:rPr>
            <w:t xml:space="preserve">7.4.4.可比公司利润水平</w:t>
          </w:r>
          <w:r>
            <w:tab/>
          </w:r>
          <w:r>
            <w:fldChar w:fldCharType="begin"/>
          </w:r>
          <w:r>
            <w:instrText xml:space="preserve"> PAGEREF _Toc202797606 \h </w:instrText>
          </w:r>
          <w:r>
            <w:fldChar w:fldCharType="separate"/>
          </w:r>
          <w:r>
            <w:t xml:space="preserve">48</w:t>
          </w:r>
          <w:r>
            <w:fldChar w:fldCharType="end"/>
          </w:r>
          <w:r>
            <w:rPr>
              <w:rStyle w:val="1322"/>
            </w:rPr>
            <w:fldChar w:fldCharType="end"/>
          </w:r>
          <w:r>
            <w:rPr>
              <w:rFonts w:eastAsiaTheme="minorEastAsia" w:cstheme="minorBidi"/>
              <w:sz w:val="21"/>
              <w:szCs w:val="22"/>
            </w:rPr>
          </w:r>
        </w:p>
        <w:p>
          <w:pPr>
            <w:pStyle w:val="1312"/>
            <w:pBdr/>
            <w:tabs>
              <w:tab w:val="right" w:leader="dot" w:pos="8296"/>
            </w:tabs>
            <w:spacing w:before="0"/>
            <w:ind/>
            <w:rPr>
              <w:rFonts w:eastAsiaTheme="minorEastAsia" w:cstheme="minorBidi"/>
              <w:i w:val="0"/>
              <w:iCs w:val="0"/>
              <w:sz w:val="21"/>
              <w:szCs w:val="22"/>
            </w:rPr>
          </w:pPr>
          <w:r>
            <w:rPr>
              <w:rStyle w:val="1322"/>
            </w:rPr>
            <w:fldChar w:fldCharType="begin"/>
          </w:r>
          <w:r>
            <w:rPr>
              <w:rStyle w:val="1322"/>
            </w:rPr>
            <w:instrText xml:space="preserve"> </w:instrText>
          </w:r>
          <w:r>
            <w:instrText xml:space="preserve">HYPERLINK \l "_Toc202797607"</w:instrText>
          </w:r>
          <w:r>
            <w:rPr>
              <w:rStyle w:val="1322"/>
            </w:rPr>
            <w:instrText xml:space="preserve"> </w:instrText>
          </w:r>
          <w:r>
            <w:rPr>
              <w:rStyle w:val="1322"/>
            </w:rPr>
            <w:fldChar w:fldCharType="separate"/>
          </w:r>
          <w:r>
            <w:rPr>
              <w:rStyle w:val="1322"/>
              <w:rFonts w:ascii="Arial" w:hAnsi="Arial" w:eastAsia="微软雅黑" w:cs="Arial"/>
            </w:rPr>
            <w:t xml:space="preserve">7.5.集团资金融通</w:t>
          </w:r>
          <w:r>
            <w:tab/>
          </w:r>
          <w:r>
            <w:fldChar w:fldCharType="begin"/>
          </w:r>
          <w:r>
            <w:instrText xml:space="preserve"> PAGEREF _Toc202797607 \h </w:instrText>
          </w:r>
          <w:r>
            <w:fldChar w:fldCharType="separate"/>
          </w:r>
          <w:r>
            <w:t xml:space="preserve">51</w:t>
          </w:r>
          <w:r>
            <w:fldChar w:fldCharType="end"/>
          </w:r>
          <w:r>
            <w:rPr>
              <w:rStyle w:val="1322"/>
            </w:rPr>
            <w:fldChar w:fldCharType="end"/>
          </w:r>
          <w:r>
            <w:rPr>
              <w:rFonts w:eastAsiaTheme="minorEastAsia" w:cstheme="minorBidi"/>
              <w:i w:val="0"/>
              <w:i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"_Toc202797608"</w:instrText>
          </w:r>
          <w:r>
            <w:rPr>
              <w:rStyle w:val="1322"/>
            </w:rPr>
            <w:instrText xml:space="preserve"> </w:instrText>
          </w:r>
          <w:r>
            <w:rPr>
              <w:rStyle w:val="1322"/>
            </w:rPr>
            <w:fldChar w:fldCharType="separate"/>
          </w:r>
          <w:r>
            <w:rPr>
              <w:rStyle w:val="1322"/>
              <w:rFonts w:ascii="Arial" w:hAnsi="Arial" w:eastAsia="微软雅黑" w:cs="Arial"/>
            </w:rPr>
            <w:t xml:space="preserve">8.结论</w:t>
          </w:r>
          <w:r>
            <w:tab/>
          </w:r>
          <w:r>
            <w:fldChar w:fldCharType="begin"/>
          </w:r>
          <w:r>
            <w:instrText xml:space="preserve"> PAGEREF _Toc202797608 \h </w:instrText>
          </w:r>
          <w:r>
            <w:fldChar w:fldCharType="separate"/>
          </w:r>
          <w:r>
            <w:t xml:space="preserve">53</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"_Toc202797609"</w:instrText>
          </w:r>
          <w:r>
            <w:rPr>
              <w:rStyle w:val="1322"/>
            </w:rPr>
            <w:instrText xml:space="preserve"> </w:instrText>
          </w:r>
          <w:r>
            <w:rPr>
              <w:rStyle w:val="1322"/>
            </w:rPr>
            <w:fldChar w:fldCharType="separate"/>
          </w:r>
          <w:r>
            <w:rPr>
              <w:rStyle w:val="1322"/>
              <w:rFonts w:ascii="Arial" w:hAnsi="Arial" w:eastAsia="微软雅黑" w:cs="Arial"/>
            </w:rPr>
            <w:t xml:space="preserve">附件列表</w:t>
          </w:r>
          <w:r>
            <w:tab/>
          </w:r>
          <w:r>
            <w:fldChar w:fldCharType="begin"/>
          </w:r>
          <w:r>
            <w:instrText xml:space="preserve"> PAGEREF _Toc202797609 \h </w:instrText>
          </w:r>
          <w:r>
            <w:fldChar w:fldCharType="separate"/>
          </w:r>
          <w:r>
            <w:t xml:space="preserve">54</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"_Toc202797610"</w:instrText>
          </w:r>
          <w:r>
            <w:rPr>
              <w:rStyle w:val="1322"/>
            </w:rPr>
            <w:instrText xml:space="preserve"> </w:instrText>
          </w:r>
          <w:r>
            <w:rPr>
              <w:rStyle w:val="1322"/>
            </w:rPr>
            <w:fldChar w:fldCharType="separate"/>
          </w:r>
          <w:r>
            <w:rPr>
              <w:rStyle w:val="1322"/>
              <w:rFonts w:ascii="Arial" w:hAnsi="Arial" w:eastAsia="微软雅黑" w:cs="Arial"/>
            </w:rPr>
            <w:t xml:space="preserve">附件1转让定价方法简介</w:t>
          </w:r>
          <w:r>
            <w:tab/>
          </w:r>
          <w:r>
            <w:fldChar w:fldCharType="begin"/>
          </w:r>
          <w:r>
            <w:instrText xml:space="preserve"> PAGEREF _Toc202797610 \h </w:instrText>
          </w:r>
          <w:r>
            <w:fldChar w:fldCharType="separate"/>
          </w:r>
          <w:r>
            <w:t xml:space="preserve">55</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"_Toc202797611"</w:instrText>
          </w:r>
          <w:r>
            <w:rPr>
              <w:rStyle w:val="1322"/>
            </w:rPr>
            <w:instrText xml:space="preserve"> </w:instrText>
          </w:r>
          <w:r>
            <w:rPr>
              <w:rStyle w:val="1322"/>
            </w:rPr>
            <w:fldChar w:fldCharType="separate"/>
          </w:r>
          <w:r>
            <w:rPr>
              <w:rStyle w:val="1322"/>
              <w:rFonts w:ascii="Arial" w:hAnsi="Arial" w:eastAsia="微软雅黑" w:cs="Arial"/>
            </w:rPr>
            <w:t xml:space="preserve">附件2企业年度关联交易财务状况分析表</w:t>
          </w:r>
          <w:r>
            <w:tab/>
          </w:r>
          <w:r>
            <w:fldChar w:fldCharType="begin"/>
          </w:r>
          <w:r>
            <w:instrText xml:space="preserve"> PAGEREF _Toc202797611 \h </w:instrText>
          </w:r>
          <w:r>
            <w:fldChar w:fldCharType="separate"/>
          </w:r>
          <w:r>
            <w:t xml:space="preserve">58</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"_Toc202797612"</w:instrText>
          </w:r>
          <w:r>
            <w:rPr>
              <w:rStyle w:val="1322"/>
            </w:rPr>
            <w:instrText xml:space="preserve"> </w:instrText>
          </w:r>
          <w:r>
            <w:rPr>
              <w:rStyle w:val="1322"/>
            </w:rPr>
            <w:fldChar w:fldCharType="separate"/>
          </w:r>
          <w:r>
            <w:rPr>
              <w:rStyle w:val="1322"/>
              <w:rFonts w:ascii="Arial" w:hAnsi="Arial" w:eastAsia="微软雅黑" w:cs="Arial"/>
            </w:rPr>
            <w:t xml:space="preserve">附件3可比公司业务描述</w:t>
          </w:r>
          <w:r>
            <w:tab/>
          </w:r>
          <w:r>
            <w:fldChar w:fldCharType="begin"/>
          </w:r>
          <w:r>
            <w:instrText xml:space="preserve"> PAGEREF _Toc202797612 \h </w:instrText>
          </w:r>
          <w:r>
            <w:fldChar w:fldCharType="separate"/>
          </w:r>
          <w:r>
            <w:t xml:space="preserve">60</w:t>
          </w:r>
          <w:r>
            <w:fldChar w:fldCharType="end"/>
          </w:r>
          <w:r>
            <w:rPr>
              <w:rStyle w:val="1322"/>
            </w:rPr>
            <w:fldChar w:fldCharType="end"/>
          </w:r>
          <w:r>
            <w:rPr>
              <w:rFonts w:eastAsiaTheme="minorEastAsia" w:cstheme="minorBidi"/>
              <w:b w:val="0"/>
              <w:bCs w:val="0"/>
              <w:sz w:val="21"/>
              <w:szCs w:val="22"/>
            </w:rPr>
          </w:r>
        </w:p>
        <w:p>
          <w:pPr>
            <w:pStyle w:val="1307"/>
            <w:pBdr/>
            <w:tabs>
              <w:tab w:val="right" w:leader="dot" w:pos="8296"/>
            </w:tabs>
            <w:spacing w:after="0" w:before="0"/>
            <w:ind/>
            <w:rPr>
              <w:rFonts w:eastAsiaTheme="minorEastAsia" w:cstheme="minorBidi"/>
              <w:b w:val="0"/>
              <w:bCs w:val="0"/>
              <w:sz w:val="21"/>
              <w:szCs w:val="22"/>
            </w:rPr>
          </w:pPr>
          <w:r>
            <w:rPr>
              <w:rStyle w:val="1322"/>
            </w:rPr>
            <w:fldChar w:fldCharType="begin"/>
          </w:r>
          <w:r>
            <w:rPr>
              <w:rStyle w:val="1322"/>
            </w:rPr>
            <w:instrText xml:space="preserve"> </w:instrText>
          </w:r>
          <w:r>
            <w:instrText xml:space="preserve">HYPERLINK \l "_Toc202797613"</w:instrText>
          </w:r>
          <w:r>
            <w:rPr>
              <w:rStyle w:val="1322"/>
            </w:rPr>
            <w:instrText xml:space="preserve"> </w:instrText>
          </w:r>
          <w:r>
            <w:rPr>
              <w:rStyle w:val="1322"/>
            </w:rPr>
            <w:fldChar w:fldCharType="separate"/>
          </w:r>
          <w:r>
            <w:rPr>
              <w:rStyle w:val="1322"/>
              <w:rFonts w:ascii="Arial" w:hAnsi="Arial" w:eastAsia="微软雅黑" w:cs="Arial"/>
            </w:rPr>
            <w:t xml:space="preserve">附件4可比公司财务信息</w:t>
          </w:r>
          <w:r>
            <w:tab/>
          </w:r>
          <w:r>
            <w:fldChar w:fldCharType="begin"/>
          </w:r>
          <w:r>
            <w:instrText xml:space="preserve"> PAGEREF _Toc202797613 \h </w:instrText>
          </w:r>
          <w:r>
            <w:fldChar w:fldCharType="separate"/>
          </w:r>
          <w:r>
            <w:t xml:space="preserve">62</w:t>
          </w:r>
          <w:r>
            <w:fldChar w:fldCharType="end"/>
          </w:r>
          <w:r>
            <w:rPr>
              <w:rStyle w:val="1322"/>
            </w:rPr>
            <w:fldChar w:fldCharType="end"/>
          </w:r>
          <w:r>
            <w:rPr>
              <w:rFonts w:eastAsiaTheme="minorEastAsia" w:cstheme="minorBidi"/>
              <w:b w:val="0"/>
              <w:bCs w:val="0"/>
              <w:sz w:val="21"/>
              <w:szCs w:val="22"/>
            </w:rPr>
          </w:r>
        </w:p>
        <w:p>
          <w:pPr>
            <w:pBdr/>
            <w:spacing w:after="0" w:before="0"/>
            <w:ind w:right="0" w:left="0"/>
            <w:rPr>
              <w:rFonts w:ascii="Arial" w:hAnsi="Arial" w:eastAsia="微软雅黑" w:cs="Arial"/>
              <w:b/>
              <w:bCs/>
              <w:lang w:val="zh-CN"/>
            </w:rPr>
          </w:pPr>
          <w:r>
            <w:rPr>
              <w:rFonts w:ascii="Arial" w:hAnsi="Arial" w:eastAsia="微软雅黑" w:cs="Arial"/>
              <w:b/>
              <w:bCs/>
              <w:sz w:val="21"/>
              <w:szCs w:val="21"/>
              <w:lang w:val="zh-CN"/>
            </w:rPr>
            <w:fldChar w:fldCharType="end"/>
          </w:r>
          <w:r>
            <w:rPr>
              <w:rFonts w:ascii="Arial" w:hAnsi="Arial" w:eastAsia="微软雅黑" w:cs="Arial"/>
              <w:b/>
              <w:bCs/>
              <w:lang w:val="zh-CN"/>
            </w:rPr>
          </w:r>
        </w:p>
      </w:sdtContent>
    </w:sdt>
    <w:p>
      <w:pPr>
        <w:pBdr/>
        <w:spacing w:after="0" w:before="0"/>
        <w:ind w:right="0" w:left="0"/>
        <w:jc w:val="left"/>
        <w:rPr>
          <w:rFonts w:ascii="Arial" w:hAnsi="Arial" w:eastAsia="微软雅黑" w:cs="Arial"/>
          <w:b/>
          <w:bCs/>
          <w:caps/>
          <w:sz w:val="28"/>
          <w:szCs w:val="28"/>
        </w:rPr>
      </w:pPr>
      <w:r/>
      <w:bookmarkStart w:id="0" w:name="_Toc47699996"/>
      <w:r/>
      <w:bookmarkStart w:id="1" w:name="OLE_LINK2"/>
      <w:r>
        <w:rPr>
          <w:rFonts w:ascii="Arial" w:hAnsi="Arial" w:eastAsia="微软雅黑" w:cs="Arial"/>
          <w:b/>
          <w:bCs/>
          <w:caps/>
          <w:sz w:val="28"/>
          <w:szCs w:val="28"/>
        </w:rPr>
        <w:br w:type="page" w:clear="all"/>
      </w:r>
      <w:r>
        <w:rPr>
          <w:rFonts w:ascii="Arial" w:hAnsi="Arial" w:eastAsia="微软雅黑" w:cs="Arial"/>
          <w:b/>
          <w:bCs/>
          <w:caps/>
          <w:sz w:val="28"/>
          <w:szCs w:val="28"/>
        </w:rPr>
      </w:r>
    </w:p>
    <w:p>
      <w:pPr>
        <w:pStyle w:val="1289"/>
        <w:pBdr/>
        <w:spacing w:after="326" w:before="0"/>
        <w:ind w:right="0" w:left="0"/>
        <w:jc w:val="left"/>
        <w:rPr>
          <w:rFonts w:ascii="Arial" w:hAnsi="Arial" w:eastAsia="微软雅黑" w:cs="Arial"/>
          <w:b/>
          <w:bCs w:val="0"/>
          <w:caps/>
          <w:sz w:val="28"/>
          <w:szCs w:val="28"/>
        </w:rPr>
      </w:pPr>
      <w:r/>
      <w:bookmarkStart w:id="2" w:name="_Toc202797540"/>
      <w:r>
        <w:rPr>
          <w:rFonts w:ascii="Arial" w:hAnsi="Arial" w:eastAsia="微软雅黑" w:cs="Arial"/>
          <w:b/>
          <w:bCs w:val="0"/>
          <w:caps/>
          <w:sz w:val="28"/>
          <w:szCs w:val="28"/>
        </w:rPr>
        <w:t xml:space="preserve">同期资料本地文档对照表</w:t>
      </w:r>
      <w:bookmarkEnd w:id="0"/>
      <w:r/>
      <w:bookmarkEnd w:id="2"/>
      <w:r/>
      <w:r>
        <w:rPr>
          <w:rFonts w:ascii="Arial" w:hAnsi="Arial" w:eastAsia="微软雅黑" w:cs="Arial"/>
          <w:b/>
          <w:bCs w:val="0"/>
          <w:caps/>
          <w:sz w:val="28"/>
          <w:szCs w:val="28"/>
        </w:rPr>
      </w:r>
    </w:p>
    <w:p>
      <w:pPr>
        <w:pBdr/>
        <w:spacing w:after="163" w:before="163"/>
        <w:ind w:firstLine="476"/>
        <w:jc w:val="left"/>
        <w:rPr>
          <w:rFonts w:ascii="Arial" w:hAnsi="Arial" w:eastAsia="微软雅黑" w:cs="Arial"/>
          <w:b/>
          <w:color w:val="0000ff"/>
          <w:sz w:val="22"/>
          <w:szCs w:val="22"/>
        </w:rPr>
      </w:pPr>
      <w:r>
        <w:rPr>
          <w:rFonts w:ascii="Arial" w:hAnsi="Arial" w:eastAsia="微软雅黑" w:cs="Arial"/>
          <w:sz w:val="22"/>
          <w:szCs w:val="22"/>
        </w:rPr>
        <w:t xml:space="preserve">以下是{{清单模板-数据表-B1}}{{清单模板-数据表-B2}}关联交易同期资料本地文档报告内容与[2016]42号公告第十四条规定的本地文档内容对照表。</w:t>
      </w:r>
      <w:r>
        <w:rPr>
          <w:rFonts w:ascii="Arial" w:hAnsi="Arial" w:eastAsia="微软雅黑" w:cs="Arial"/>
          <w:sz w:val="22"/>
          <w:szCs w:val="22"/>
        </w:rPr>
      </w:r>
      <w:r>
        <w:rPr>
          <w:rFonts w:ascii="Arial" w:hAnsi="Arial" w:eastAsia="微软雅黑" w:cs="Arial"/>
          <w:b/>
          <w:color w:val="0000ff"/>
          <w:sz w:val="22"/>
          <w:szCs w:val="22"/>
        </w:rPr>
      </w:r>
    </w:p>
    <w:tbl>
      <w:tblPr>
        <w:tblStyle w:val="1444"/>
        <w:tblW w:w="8217" w:type="dxa"/>
        <w:tblInd w:w="0" w:type="dxa"/>
        <w:tblBorders>
          <w:top w:val="single" w:color="00a7e1" w:sz="4" w:space="0"/>
          <w:left w:val="single" w:color="00a7e1" w:sz="4" w:space="0"/>
          <w:bottom w:val="single" w:color="00a7e1" w:sz="4" w:space="0"/>
          <w:right w:val="single" w:color="00a7e1" w:sz="4" w:space="0"/>
          <w:insideH w:val="single" w:color="00a7e1" w:sz="4" w:space="0"/>
          <w:insideV w:val="single" w:color="00a7e1" w:sz="4" w:space="0"/>
        </w:tblBorders>
        <w:tblLayout w:type="autofit"/>
        <w:tblCellMar>
          <w:left w:w="108" w:type="dxa"/>
          <w:top w:w="0" w:type="dxa"/>
          <w:right w:w="108" w:type="dxa"/>
          <w:bottom w:w="0" w:type="dxa"/>
        </w:tblCellMar>
        <w:tblLook w:val="04A0" w:firstRow="1" w:lastRow="0" w:firstColumn="1" w:lastColumn="0" w:noHBand="0" w:noVBand="1"/>
      </w:tblPr>
      <w:tblGrid>
        <w:gridCol w:w="1134"/>
        <w:gridCol w:w="6096"/>
        <w:gridCol w:w="987"/>
      </w:tblGrid>
      <w:tr>
        <w:trPr>
          <w:trHeight w:val="42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条文</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6096"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法规要求</w:t>
            </w:r>
            <w:r>
              <w:rPr>
                <w:rFonts w:ascii="Arial" w:hAnsi="Arial" w:eastAsia="微软雅黑" w:cs="Arial"/>
                <w:b w:val="0"/>
                <w:bCs w:val="0"/>
                <w:color w:val="ffffff" w:themeColor="background1"/>
                <w:sz w:val="18"/>
                <w:szCs w:val="18"/>
                <w:lang w:eastAsia="zh-CN"/>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87" w:type="dxa"/>
            <w:vAlign w:val="center"/>
            <w:textDirection w:val="lrTb"/>
            <w:noWrap w:val="false"/>
          </w:tcPr>
          <w:p>
            <w:pPr>
              <w:pStyle w:val="1451"/>
              <w:pBdr/>
              <w:spacing w:after="0" w:before="0" w:line="240" w:lineRule="auto"/>
              <w:ind w:firstLine="0"/>
              <w:jc w:val="center"/>
              <w:rPr>
                <w:rFonts w:ascii="Arial" w:hAnsi="Arial" w:eastAsia="微软雅黑" w:cs="Arial"/>
                <w:b w:val="0"/>
                <w:bCs w:val="0"/>
                <w:color w:val="ffffff" w:themeColor="background1"/>
                <w:sz w:val="18"/>
                <w:szCs w:val="18"/>
                <w:lang w:eastAsia="zh-CN"/>
                <w14:textFill>
                  <w14:solidFill>
                    <w14:schemeClr w14:val="bg1"/>
                  </w14:solidFill>
                </w14:textFill>
              </w:rPr>
            </w:pPr>
            <w:r>
              <w:rPr>
                <w:rFonts w:ascii="Arial" w:hAnsi="Arial" w:eastAsia="微软雅黑" w:cs="Arial"/>
                <w:b/>
                <w:bCs/>
                <w:color w:val="ffffff" w:themeColor="background1"/>
                <w:sz w:val="18"/>
                <w:szCs w:val="18"/>
                <w:lang w:eastAsia="zh-CN"/>
                <w14:textFill>
                  <w14:solidFill>
                    <w14:schemeClr w14:val="bg1"/>
                  </w14:solidFill>
                </w14:textFill>
              </w:rPr>
              <w:t xml:space="preserve">报告索引</w:t>
            </w:r>
            <w:r>
              <w:rPr>
                <w:rFonts w:ascii="Arial" w:hAnsi="Arial" w:eastAsia="微软雅黑" w:cs="Arial"/>
                <w:b w:val="0"/>
                <w:bCs w:val="0"/>
                <w:color w:val="ffffff" w:themeColor="background1"/>
                <w:sz w:val="18"/>
                <w:szCs w:val="18"/>
                <w:lang w:eastAsia="zh-CN"/>
                <w14:textFill>
                  <w14:solidFill>
                    <w14:schemeClr w14:val="bg1"/>
                  </w14:solidFill>
                </w14:textFill>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（一）企业概况</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组织结构，包括企业各职能部门的设置、职责范围和雇员数量等；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管理架构，包括企业各级管理层的汇报对象以及汇报对象主要办公所在地等；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2.2.2</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业务描述，包括企业所属行业的发展概况、产业政策、行业限制等影响企业和行业的主要经济和法律问题，主要竞争者等；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3</w:t>
            </w:r>
            <w:r>
              <w:rPr>
                <w:rFonts w:ascii="Arial" w:hAnsi="Arial" w:eastAsia="微软雅黑" w:cs="Arial"/>
                <w:sz w:val="18"/>
                <w:szCs w:val="18"/>
                <w:lang w:eastAsia="zh-CN"/>
              </w:rPr>
            </w:r>
          </w:p>
        </w:tc>
      </w:tr>
      <w:tr>
        <w:trPr>
          <w:trHeight w:val="854"/>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经营策略，包括企业各部门、各环节的业务流程，运营模式，价值贡献因素等；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2.2.1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财务数据，包括企业不同类型业务及产品的收入、成本、费用及利润；</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2.3</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2"/>
              </w:numPr>
              <w:pBdr/>
              <w:spacing w:after="0" w:before="0" w:line="240" w:lineRule="auto"/>
              <w:ind w:hanging="426" w:left="583"/>
              <w:jc w:val="left"/>
              <w:rPr>
                <w:rFonts w:ascii="Arial" w:hAnsi="Arial" w:eastAsia="微软雅黑" w:cs="Arial"/>
                <w:sz w:val="18"/>
                <w:szCs w:val="18"/>
                <w:lang w:eastAsia="zh-CN"/>
              </w:rPr>
            </w:pPr>
            <w:r>
              <w:rPr>
                <w:rFonts w:ascii="Arial" w:hAnsi="Arial" w:eastAsia="微软雅黑" w:cs="Arial"/>
                <w:sz w:val="18"/>
                <w:szCs w:val="18"/>
                <w:lang w:eastAsia="zh-CN"/>
              </w:rPr>
              <w:t xml:space="preserve">涉及本企业或者对本企业产生影响的重组或者无形资产转让情况，以及对本企业的影响分析；</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（二）关联关系</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方信息，包括直接或者间接拥有企业股权的关联方，以及与企业发生交易的关联方，内容涵盖关联方名称、法定代表人、高级管理人员的构成情况、注册地址、实际经营地址，以及关联个人的姓名、国籍、居住地等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上述关联方适用的具有所得税性质的税种、税率及相应可享受的税收优惠。</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3"/>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本会计年度内企业关联关系的变化情况。</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keepNext w:val="true"/>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4.1</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1.关联交易概况</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描述和明细，包括关联交易相关合同或者协议副本及其执行情况的说明，交易标的的特性，关联交易的类型、参与方、时间、金额、结算货币、交易条件、贸易形式，以及关联交易与非关联交易业务的异同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关联交易流程，包括关联交易的信息流、物流和资金流，与非关联交易业务流程的异同；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功能风险描述，包括企业及其关联方在各类关联交易中执行的功能、承担的风险和使用的资产；</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4.3.3</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4.4.4</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4"/>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关联交易数据，包括各关联方、各类关联交易涉及的交易金额。分别披露关联交易和非关联交易的收入、成本、费用和利润，不能直接归集的，按照合理比例划分，并说明该划分比例的依据。</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4.3.2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4.8</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附件2</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2.价值链分析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上述各环节参与方最近会计年度的财务报表；</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待税局要求后配合提供</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地域特殊因素对企业创造价值贡献的计量及其归属；</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5"/>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企业集团利润在全球价值链条中的分配原则和分配结果；</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6</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3.对外投资</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对外投资基本信息，包括对外投资项目的投资地区、金额、主营业务及战略规划。</w:t>
            </w:r>
            <w:r>
              <w:rPr>
                <w:rFonts w:ascii="Arial" w:hAnsi="Arial" w:eastAsia="微软雅黑" w:cs="Arial"/>
                <w:sz w:val="18"/>
                <w:szCs w:val="18"/>
                <w:lang w:eastAsia="zh-CN"/>
              </w:rPr>
            </w:r>
          </w:p>
        </w:tc>
        <w:tc>
          <w:tcPr>
            <w:shd w:val="clear" w:color="auto" w:fill="auto"/>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对外投资项目概况，包括对外投资项目的股权架构、组织结构，高级管理人员的雇佣方式，项目决策权限的归属。</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6"/>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color w:val="000000"/>
                <w:sz w:val="18"/>
                <w:szCs w:val="18"/>
                <w:lang w:eastAsia="zh-CN"/>
              </w:rPr>
              <w:t xml:space="preserve">对外投资项目数据，包括对外投资项目的营运数据。</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4.关联股权转让</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股权转让概况，包括转让背景、参与方、时间、价格、支付方式，以及影响股权转让的其他因素。</w:t>
            </w:r>
            <w:r>
              <w:rPr>
                <w:rFonts w:ascii="Arial" w:hAnsi="Arial" w:eastAsia="微软雅黑" w:cs="Arial"/>
                <w:sz w:val="18"/>
                <w:szCs w:val="18"/>
                <w:lang w:eastAsia="zh-CN"/>
              </w:rPr>
            </w:r>
          </w:p>
        </w:tc>
        <w:tc>
          <w:tcPr>
            <w:shd w:val="clear" w:color="auto" w:fill="ddebf7"/>
            <w:tcBorders/>
            <w:tcW w:w="987" w:type="dxa"/>
            <w:vAlign w:val="center"/>
            <w:vMerge w:val="restart"/>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2.4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股权转让标的的相关信息，包括股权转让标的所在地，出让方获取该股权的时间、方式和成本，股权转让收益等信息。</w:t>
            </w:r>
            <w:r>
              <w:rPr>
                <w:rFonts w:ascii="Arial" w:hAnsi="Arial" w:eastAsia="微软雅黑" w:cs="Arial"/>
                <w:sz w:val="18"/>
                <w:szCs w:val="18"/>
                <w:lang w:eastAsia="zh-CN"/>
              </w:rPr>
            </w:r>
          </w:p>
        </w:tc>
        <w:tc>
          <w:tcPr>
            <w:shd w:val="clear" w:color="auto" w:fill="auto"/>
            <w:tcBorders/>
            <w:tcW w:w="987" w:type="dxa"/>
            <w:vAlign w:val="center"/>
            <w:vMerge w:val="continue"/>
            <w:textDirection w:val="lrTb"/>
            <w:noWrap w:val="false"/>
          </w:tcPr>
          <w:p>
            <w:pPr>
              <w:pStyle w:val="1451"/>
              <w:pBdr/>
              <w:spacing w:after="60" w:before="60" w:line="240" w:lineRule="auto"/>
              <w:ind/>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7"/>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尽职调查报告或者资产评估报告等与股权转让相关的其他信息。</w:t>
            </w:r>
            <w:r>
              <w:rPr>
                <w:rFonts w:ascii="Arial" w:hAnsi="Arial" w:eastAsia="微软雅黑" w:cs="Arial"/>
                <w:sz w:val="18"/>
                <w:szCs w:val="18"/>
                <w:lang w:eastAsia="zh-CN"/>
              </w:rPr>
            </w:r>
          </w:p>
        </w:tc>
        <w:tc>
          <w:tcPr>
            <w:shd w:val="clear" w:color="auto" w:fill="ddebf7"/>
            <w:tcBorders/>
            <w:tcW w:w="987" w:type="dxa"/>
            <w:vAlign w:val="center"/>
            <w:vMerge w:val="continue"/>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5.关联劳务</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关联劳务概况，包括劳务提供方和接受方，劳务的具体内容、特性、开展方式、定价原则、支付形式，以及劳务发生后各方受益情况等。</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劳务成本费用的归集方法、项目、金额、分配标准、计算过程及结果等。</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8"/>
              </w:numPr>
              <w:pBdr/>
              <w:spacing w:after="0" w:before="0" w:line="240" w:lineRule="auto"/>
              <w:ind w:hanging="425" w:left="600"/>
              <w:jc w:val="left"/>
              <w:rPr>
                <w:rFonts w:ascii="Arial" w:hAnsi="Arial" w:eastAsia="微软雅黑" w:cs="Arial"/>
                <w:sz w:val="18"/>
                <w:szCs w:val="18"/>
                <w:lang w:eastAsia="zh-CN"/>
              </w:rPr>
            </w:pPr>
            <w:r>
              <w:rPr>
                <w:rFonts w:ascii="Arial" w:hAnsi="Arial" w:eastAsia="微软雅黑" w:cs="Arial"/>
                <w:sz w:val="18"/>
                <w:szCs w:val="18"/>
                <w:lang w:eastAsia="zh-CN"/>
              </w:rPr>
              <w:t xml:space="preserve">企业及其所属企业集团与非关联方存在相同或者类似劳务交易的，还应当详细说明关联劳务与非关联劳务在定价原则和交易结果上的异同。</w:t>
            </w:r>
            <w:r>
              <w:rPr>
                <w:rFonts w:ascii="Arial" w:hAnsi="Arial" w:eastAsia="微软雅黑" w:cs="Arial"/>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4.4.3</w:t>
            </w:r>
            <w:r>
              <w:rPr>
                <w:rFonts w:ascii="Arial" w:hAnsi="Arial" w:eastAsia="微软雅黑" w:cs="Arial"/>
                <w:sz w:val="18"/>
                <w:szCs w:val="18"/>
                <w:lang w:eastAsia="zh-CN"/>
              </w:rPr>
            </w:r>
          </w:p>
        </w:tc>
      </w:tr>
      <w:tr>
        <w:trPr>
          <w:trHeight w:val="1263"/>
        </w:trPr>
        <w:tc>
          <w:tcPr>
            <w:shd w:val="clear" w:color="auto" w:fill="ddebf7"/>
            <w:tcBorders/>
            <w:tcW w:w="1134" w:type="dxa"/>
            <w:vAlign w:val="center"/>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（三）关联交易</w:t>
            </w:r>
            <w:r>
              <w:rPr>
                <w:rFonts w:ascii="Arial" w:hAnsi="Arial" w:eastAsia="微软雅黑" w:cs="Arial"/>
                <w:b w:val="0"/>
                <w:bCs w:val="0"/>
                <w:sz w:val="18"/>
                <w:szCs w:val="18"/>
                <w:lang w:eastAsia="zh-CN"/>
              </w:rPr>
            </w:r>
          </w:p>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6.预约定价安排和作出的其他税收裁定</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pBdr/>
              <w:spacing w:after="0" w:before="0" w:line="240" w:lineRule="auto"/>
              <w:ind w:firstLine="0"/>
              <w:jc w:val="left"/>
              <w:rPr>
                <w:rFonts w:ascii="Arial" w:hAnsi="Arial" w:eastAsia="微软雅黑" w:cs="Arial"/>
                <w:sz w:val="18"/>
                <w:szCs w:val="18"/>
                <w:lang w:eastAsia="zh-CN"/>
              </w:rPr>
            </w:pPr>
            <w:r>
              <w:rPr>
                <w:rFonts w:ascii="Arial" w:hAnsi="Arial" w:eastAsia="微软雅黑" w:cs="Arial"/>
                <w:sz w:val="18"/>
                <w:szCs w:val="18"/>
                <w:lang w:eastAsia="zh-CN"/>
              </w:rPr>
              <w:t xml:space="preserve">与企业关联交易直接相关的，中国以外其他国家税务主管当局签订的预约定价安排和作出的其他税收裁定</w:t>
            </w:r>
            <w:r>
              <w:rPr>
                <w:rFonts w:ascii="Arial" w:hAnsi="Arial" w:eastAsia="微软雅黑" w:cs="Arial"/>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4.7</w:t>
            </w:r>
            <w:r>
              <w:rPr>
                <w:rFonts w:ascii="Arial" w:hAnsi="Arial" w:eastAsia="微软雅黑" w:cs="Arial"/>
                <w:sz w:val="18"/>
                <w:szCs w:val="18"/>
                <w:lang w:eastAsia="zh-CN"/>
              </w:rPr>
            </w:r>
          </w:p>
        </w:tc>
      </w:tr>
      <w:tr>
        <w:trPr/>
        <w:tc>
          <w:tcPr>
            <w:shd w:val="clear" w:color="auto" w:fill="auto"/>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（四）可比性分析</w:t>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可比性分析考虑的因素，包括交易资产或者劳务特性，交易各方功能、风险和资产，合同条款，经济环境，经营策略等。</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可比企业执行的功能、承担的风险以及使用的资产等相关信息。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5</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可比对象搜索方法、信息来源、选择条件及理由。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w:t>
            </w:r>
            <w:r>
              <w:rPr>
                <w:rFonts w:ascii="Arial" w:hAnsi="Arial" w:eastAsia="微软雅黑" w:cs="Arial"/>
                <w:sz w:val="18"/>
                <w:szCs w:val="18"/>
                <w:lang w:eastAsia="zh-CN"/>
              </w:rPr>
            </w:r>
          </w:p>
        </w:tc>
      </w:tr>
      <w:tr>
        <w:trPr>
          <w:trHeight w:val="381"/>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所选取的内部或者外部可比非受控交易信息和可比企业的财务信息。</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9"/>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可比数据的差异调整及理由。</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7.4.2</w:t>
            </w:r>
            <w:r>
              <w:rPr>
                <w:rFonts w:ascii="Arial" w:hAnsi="Arial" w:eastAsia="微软雅黑" w:cs="Arial"/>
                <w:sz w:val="18"/>
                <w:szCs w:val="18"/>
                <w:lang w:eastAsia="zh-CN"/>
              </w:rPr>
            </w:r>
          </w:p>
        </w:tc>
      </w:tr>
      <w:tr>
        <w:trPr/>
        <w:tc>
          <w:tcPr>
            <w:shd w:val="clear" w:color="auto" w:fill="ddebf7"/>
            <w:tcBorders/>
            <w:tcW w:w="1134" w:type="dxa"/>
            <w:vAlign w:val="center"/>
            <w:vMerge w:val="restart"/>
            <w:textDirection w:val="lrTb"/>
            <w:noWrap w:val="false"/>
          </w:tcPr>
          <w:p>
            <w:pPr>
              <w:pStyle w:val="1451"/>
              <w:pBdr/>
              <w:spacing w:after="0" w:before="0" w:line="240" w:lineRule="auto"/>
              <w:ind w:firstLine="0"/>
              <w:jc w:val="center"/>
              <w:rPr>
                <w:rFonts w:ascii="Arial" w:hAnsi="Arial" w:eastAsia="微软雅黑" w:cs="Arial"/>
                <w:b w:val="0"/>
                <w:bCs w:val="0"/>
                <w:sz w:val="18"/>
                <w:szCs w:val="18"/>
                <w:lang w:eastAsia="zh-CN"/>
              </w:rPr>
            </w:pPr>
            <w:r>
              <w:rPr>
                <w:rFonts w:ascii="Arial" w:hAnsi="Arial" w:eastAsia="微软雅黑" w:cs="Arial"/>
                <w:b/>
                <w:bCs/>
                <w:sz w:val="18"/>
                <w:szCs w:val="18"/>
                <w:lang w:eastAsia="zh-CN"/>
              </w:rPr>
              <w:t xml:space="preserve">（五）转让定价方法的选择和适用</w:t>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被测试方的选择及理由。</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7.3</w:t>
            </w:r>
            <w:r>
              <w:rPr>
                <w:rFonts w:hint="eastAsia" w:ascii="Arial" w:hAnsi="Arial" w:eastAsia="微软雅黑" w:cs="Arial"/>
                <w:sz w:val="18"/>
                <w:szCs w:val="18"/>
                <w:lang w:eastAsia="zh-CN"/>
              </w:rPr>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转让定价方法的选用及理由，无论选择何种转让定价方法，均须说明企业对集团整体利润或者剩余利润所做的贡献。</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7.2</w:t>
            </w:r>
            <w:r>
              <w:rPr>
                <w:rFonts w:ascii="Arial" w:hAnsi="Arial" w:eastAsia="微软雅黑" w:cs="Arial"/>
                <w:sz w:val="18"/>
                <w:szCs w:val="18"/>
                <w:lang w:eastAsia="zh-CN"/>
              </w:rPr>
            </w:r>
          </w:p>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附件1</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确定可比非关联交易价格或者利润的过程中所做的假设和判断。</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运用合理的转让定价方法和可比性分析结果，确定可比非关联交易价格或者利润。</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7.4.4</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ddebf7"/>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其他支持所选用转让定价方法的资料。</w:t>
            </w:r>
            <w:r>
              <w:rPr>
                <w:rFonts w:ascii="Arial" w:hAnsi="Arial" w:eastAsia="微软雅黑" w:cs="Arial"/>
                <w:color w:val="000000"/>
                <w:sz w:val="18"/>
                <w:szCs w:val="18"/>
                <w:lang w:eastAsia="zh-CN"/>
              </w:rPr>
            </w:r>
          </w:p>
        </w:tc>
        <w:tc>
          <w:tcPr>
            <w:shd w:val="clear" w:color="auto" w:fill="ddebf7"/>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不适用</w:t>
            </w:r>
            <w:r>
              <w:rPr>
                <w:rFonts w:ascii="Arial" w:hAnsi="Arial" w:eastAsia="微软雅黑" w:cs="Arial"/>
                <w:sz w:val="18"/>
                <w:szCs w:val="18"/>
                <w:lang w:eastAsia="zh-CN"/>
              </w:rPr>
            </w:r>
          </w:p>
        </w:tc>
      </w:tr>
      <w:tr>
        <w:trPr/>
        <w:tc>
          <w:tcPr>
            <w:shd w:val="clear" w:color="auto" w:fill="auto"/>
            <w:tcBorders/>
            <w:tcW w:w="1134" w:type="dxa"/>
            <w:vAlign w:val="center"/>
            <w:vMerge w:val="continue"/>
            <w:textDirection w:val="lrTb"/>
            <w:noWrap w:val="false"/>
          </w:tcPr>
          <w:p>
            <w:pPr>
              <w:pStyle w:val="1451"/>
              <w:pBdr/>
              <w:spacing w:after="0" w:before="0" w:line="240" w:lineRule="auto"/>
              <w:ind w:firstLine="0"/>
              <w:jc w:val="left"/>
              <w:rPr>
                <w:rFonts w:ascii="Arial" w:hAnsi="Arial" w:eastAsia="微软雅黑" w:cs="Arial"/>
                <w:b w:val="0"/>
                <w:bCs w:val="0"/>
                <w:sz w:val="18"/>
                <w:szCs w:val="18"/>
                <w:lang w:eastAsia="zh-CN"/>
              </w:rPr>
            </w:pPr>
            <w:r>
              <w:rPr>
                <w:rFonts w:ascii="Arial" w:hAnsi="Arial" w:eastAsia="微软雅黑" w:cs="Arial"/>
                <w:b w:val="0"/>
                <w:bCs w:val="0"/>
                <w:sz w:val="18"/>
                <w:szCs w:val="18"/>
                <w:lang w:eastAsia="zh-CN"/>
              </w:rPr>
            </w:r>
            <w:r>
              <w:rPr>
                <w:rFonts w:ascii="Arial" w:hAnsi="Arial" w:eastAsia="微软雅黑" w:cs="Arial"/>
                <w:b w:val="0"/>
                <w:bCs w:val="0"/>
                <w:sz w:val="18"/>
                <w:szCs w:val="18"/>
                <w:lang w:eastAsia="zh-CN"/>
              </w:rPr>
            </w:r>
          </w:p>
        </w:tc>
        <w:tc>
          <w:tcPr>
            <w:shd w:val="clear" w:color="auto" w:fill="auto"/>
            <w:tcBorders/>
            <w:tcW w:w="6096" w:type="dxa"/>
            <w:vAlign w:val="center"/>
            <w:textDirection w:val="lrTb"/>
            <w:noWrap w:val="false"/>
          </w:tcPr>
          <w:p>
            <w:pPr>
              <w:pStyle w:val="1451"/>
              <w:numPr>
                <w:ilvl w:val="0"/>
                <w:numId w:val="10"/>
              </w:numPr>
              <w:pBdr/>
              <w:spacing w:after="0" w:before="0" w:line="240" w:lineRule="auto"/>
              <w:ind w:hanging="270" w:left="496"/>
              <w:jc w:val="left"/>
              <w:rPr>
                <w:rFonts w:ascii="Arial" w:hAnsi="Arial" w:eastAsia="微软雅黑" w:cs="Arial"/>
                <w:color w:val="000000"/>
                <w:sz w:val="18"/>
                <w:szCs w:val="18"/>
                <w:lang w:eastAsia="zh-CN"/>
              </w:rPr>
            </w:pPr>
            <w:r>
              <w:rPr>
                <w:rFonts w:ascii="Arial" w:hAnsi="Arial" w:eastAsia="微软雅黑" w:cs="Arial"/>
                <w:color w:val="000000"/>
                <w:sz w:val="18"/>
                <w:szCs w:val="18"/>
                <w:lang w:eastAsia="zh-CN"/>
              </w:rPr>
              <w:t xml:space="preserve">关联交易定价是否符合独立交易原则的分析及结论。</w:t>
            </w:r>
            <w:r>
              <w:rPr>
                <w:rFonts w:ascii="Arial" w:hAnsi="Arial" w:eastAsia="微软雅黑" w:cs="Arial"/>
                <w:color w:val="000000"/>
                <w:sz w:val="18"/>
                <w:szCs w:val="18"/>
                <w:lang w:eastAsia="zh-CN"/>
              </w:rPr>
            </w:r>
          </w:p>
        </w:tc>
        <w:tc>
          <w:tcPr>
            <w:shd w:val="clear" w:color="auto" w:fill="auto"/>
            <w:tcBorders/>
            <w:tcW w:w="987" w:type="dxa"/>
            <w:vAlign w:val="center"/>
            <w:textDirection w:val="lrTb"/>
            <w:noWrap w:val="false"/>
          </w:tcPr>
          <w:p>
            <w:pPr>
              <w:pStyle w:val="1451"/>
              <w:pBdr/>
              <w:spacing w:after="60" w:before="60" w:line="240" w:lineRule="auto"/>
              <w:ind w:firstLine="0"/>
              <w:jc w:val="center"/>
              <w:rPr>
                <w:rFonts w:ascii="Arial" w:hAnsi="Arial" w:eastAsia="微软雅黑" w:cs="Arial"/>
                <w:sz w:val="18"/>
                <w:szCs w:val="18"/>
                <w:lang w:eastAsia="zh-CN"/>
              </w:rPr>
            </w:pPr>
            <w:r>
              <w:rPr>
                <w:rFonts w:ascii="Arial" w:hAnsi="Arial" w:eastAsia="微软雅黑" w:cs="Arial"/>
                <w:sz w:val="18"/>
                <w:szCs w:val="18"/>
                <w:lang w:eastAsia="zh-CN"/>
              </w:rPr>
              <w:t xml:space="preserve">8</w:t>
            </w:r>
            <w:r>
              <w:rPr>
                <w:rFonts w:ascii="Arial" w:hAnsi="Arial" w:eastAsia="微软雅黑" w:cs="Arial"/>
                <w:sz w:val="18"/>
                <w:szCs w:val="18"/>
                <w:lang w:eastAsia="zh-CN"/>
              </w:rPr>
            </w:r>
          </w:p>
        </w:tc>
      </w:tr>
    </w:tbl>
    <w:p>
      <w:pPr>
        <w:pBdr/>
        <w:spacing/>
        <w:ind/>
        <w:rPr>
          <w:rFonts w:ascii="Arial" w:hAnsi="Arial" w:eastAsia="微软雅黑" w:cs="Arial"/>
          <w:b/>
          <w:caps/>
          <w:sz w:val="28"/>
          <w:szCs w:val="28"/>
        </w:rPr>
      </w:pPr>
      <w:r>
        <w:rPr>
          <w:rFonts w:ascii="Arial" w:hAnsi="Arial" w:eastAsia="微软雅黑" w:cs="Arial"/>
          <w:b/>
          <w:bCs/>
          <w:caps/>
          <w:sz w:val="28"/>
          <w:szCs w:val="28"/>
        </w:rPr>
        <w:br w:type="page" w:clear="all"/>
      </w:r>
      <w:r>
        <w:rPr>
          <w:rFonts w:ascii="Arial" w:hAnsi="Arial" w:eastAsia="微软雅黑" w:cs="Arial"/>
          <w:b/>
          <w:caps/>
          <w:sz w:val="28"/>
          <w:szCs w:val="28"/>
        </w:rPr>
      </w:r>
    </w:p>
    <w:p>
      <w:pPr>
        <w:pStyle w:val="1289"/>
        <w:pBdr/>
        <w:spacing w:after="326" w:before="0"/>
        <w:ind w:right="0" w:left="0"/>
        <w:jc w:val="left"/>
        <w:rPr>
          <w:rFonts w:ascii="Arial" w:hAnsi="Arial" w:eastAsia="微软雅黑" w:cs="Arial"/>
          <w:szCs w:val="22"/>
        </w:rPr>
      </w:pPr>
      <w:r/>
      <w:bookmarkStart w:id="3" w:name="_Toc202797541"/>
      <w:r/>
      <w:bookmarkStart w:id="4" w:name="_Toc28389"/>
      <w:r/>
      <w:bookmarkStart w:id="5" w:name="_Toc47699997"/>
      <w:r/>
      <w:bookmarkStart w:id="6" w:name="_Toc5357"/>
      <w:r/>
      <w:bookmarkStart w:id="7" w:name="_Toc76668366"/>
      <w:r>
        <w:rPr>
          <w:rFonts w:ascii="Arial" w:hAnsi="Arial" w:eastAsia="微软雅黑" w:cs="Arial"/>
          <w:b/>
          <w:bCs w:val="0"/>
          <w:caps/>
          <w:sz w:val="28"/>
          <w:szCs w:val="28"/>
        </w:rPr>
        <w:t xml:space="preserve">缩略语索引表</w:t>
      </w:r>
      <w:bookmarkEnd w:id="3"/>
      <w:r/>
      <w:bookmarkEnd w:id="4"/>
      <w:r/>
      <w:bookmarkEnd w:id="5"/>
      <w:r/>
      <w:bookmarkEnd w:id="6"/>
      <w:r/>
      <w:bookmarkEnd w:id="7"/>
      <w:r/>
      <w:r>
        <w:rPr>
          <w:rFonts w:ascii="Arial" w:hAnsi="Arial" w:eastAsia="微软雅黑" w:cs="Arial"/>
          <w:szCs w:val="22"/>
        </w:rPr>
      </w:r>
    </w:p>
    <w:tbl>
      <w:tblPr>
        <w:tblStyle w:val="1400"/>
        <w:tblW w:w="836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983"/>
        <w:gridCol w:w="5380"/>
      </w:tblGrid>
      <w:tr>
        <w:trPr>
          <w:trHeight w:val="397"/>
        </w:trPr>
        <w:tc>
          <w:tcPr>
            <w:shd w:val="clear" w:color="auto" w:fill="auto"/>
            <w:tcBorders/>
            <w:tcW w:w="2983"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缩略语</w:t>
            </w:r>
            <w:r>
              <w:rPr>
                <w:rFonts w:ascii="Arial" w:hAnsi="Arial" w:eastAsia="微软雅黑" w:cs="Arial"/>
                <w:b/>
                <w:sz w:val="18"/>
                <w:szCs w:val="18"/>
              </w:rPr>
            </w:r>
          </w:p>
        </w:tc>
        <w:tc>
          <w:tcPr>
            <w:shd w:val="clear" w:color="auto" w:fill="auto"/>
            <w:tcBorders/>
            <w:tcW w:w="5380" w:type="dxa"/>
            <w:vAlign w:val="center"/>
            <w:textDirection w:val="lrTb"/>
            <w:noWrap w:val="false"/>
          </w:tcPr>
          <w:p>
            <w:pPr>
              <w:widowControl w:val="false"/>
              <w:pBdr/>
              <w:spacing w:after="0" w:before="0"/>
              <w:ind/>
              <w:jc w:val="center"/>
              <w:rPr>
                <w:rFonts w:ascii="Arial" w:hAnsi="Arial" w:eastAsia="微软雅黑" w:cs="Arial"/>
                <w:b/>
                <w:sz w:val="18"/>
                <w:szCs w:val="18"/>
              </w:rPr>
            </w:pPr>
            <w:r>
              <w:rPr>
                <w:rFonts w:ascii="Arial" w:hAnsi="Arial" w:eastAsia="微软雅黑" w:cs="Arial"/>
                <w:b/>
                <w:sz w:val="18"/>
                <w:szCs w:val="18"/>
              </w:rPr>
              <w:t xml:space="preserve">全称</w:t>
            </w:r>
            <w:r>
              <w:rPr>
                <w:rFonts w:ascii="Arial" w:hAnsi="Arial" w:eastAsia="微软雅黑" w:cs="Arial"/>
                <w:b/>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立信或我们</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{{清单模板-数据表-B3}}</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{{清单模板-数据表-B5}}或本公司</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{{清单模板-数据表-B1}}</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斯必克（中国）投资有限公司</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评估期间或{{清单模板-数据表-B2}}</w:t>
            </w:r>
            <w:r>
              <w:rPr>
                <w:rFonts w:ascii="Arial" w:hAnsi="Arial" w:eastAsia="微软雅黑" w:cs="Arial"/>
                <w:sz w:val="18"/>
                <w:szCs w:val="18"/>
              </w:rPr>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{{清单模板-数据表-B2}}1月1日至{{清单模板-数据表-B2}}12月31日</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国税总局</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中华人民共和国国家税务总局</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企业所得税法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税收征管法</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《中华人民共和国税收征收管理法》及其实施细则</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[2016]42号公告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国家税务总局公告2016年第42号《关于完善关联申报和同期资料管理有关事项的公告》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[2017]6号公告</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国家税务总局公告2017年第6号关于发布《特别纳税调查调整及相互协商程序管理办法》的公告</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 </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经济合作与发展组织</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OECD转让定价指南</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2022年版《OECD跨国企业与税务机关转让定价指南》</w:t>
            </w:r>
            <w:r>
              <w:rPr>
                <w:rFonts w:ascii="Arial" w:hAnsi="Arial" w:eastAsia="微软雅黑" w:cs="Arial"/>
                <w:sz w:val="18"/>
                <w:szCs w:val="18"/>
              </w:rPr>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中国转让定价法律、法规</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w:hAnsi="Arial" w:eastAsia="微软雅黑" w:cs="Arial"/>
                <w:sz w:val="18"/>
                <w:szCs w:val="18"/>
              </w:rPr>
            </w:r>
          </w:p>
        </w:tc>
      </w:tr>
      <w:tr>
        <w:trPr>
          <w:trHeight w:val="397"/>
        </w:trPr>
        <w:tc>
          <w:tcPr>
            <w:tcBorders/>
            <w:tcW w:w="2983"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SIC代码</w:t>
            </w:r>
            <w:r>
              <w:rPr>
                <w:rFonts w:ascii="Arial" w:hAnsi="Arial" w:eastAsia="微软雅黑" w:cs="Arial"/>
                <w:sz w:val="18"/>
                <w:szCs w:val="18"/>
              </w:rPr>
            </w:r>
          </w:p>
        </w:tc>
        <w:tc>
          <w:tcPr>
            <w:tcBorders/>
            <w:tcW w:w="5380" w:type="dxa"/>
            <w:vAlign w:val="center"/>
            <w:textDirection w:val="lrTb"/>
            <w:noWrap w:val="false"/>
          </w:tcPr>
          <w:p>
            <w:pPr>
              <w:widowControl w:val="false"/>
              <w:pBdr/>
              <w:spacing w:after="0" w:before="0"/>
              <w:ind w:right="0" w:left="0"/>
              <w:rPr>
                <w:rFonts w:ascii="Arial" w:hAnsi="Arial" w:eastAsia="微软雅黑" w:cs="Arial"/>
                <w:sz w:val="18"/>
                <w:szCs w:val="18"/>
              </w:rPr>
            </w:pPr>
            <w:r>
              <w:rPr>
                <w:rFonts w:ascii="Arial" w:hAnsi="Arial" w:eastAsia="微软雅黑" w:cs="Arial"/>
                <w:sz w:val="18"/>
                <w:szCs w:val="18"/>
              </w:rPr>
              <w:t xml:space="preserve">美国标准行业分类代码</w:t>
            </w:r>
            <w:bookmarkEnd w:id="1"/>
            <w:r>
              <w:rPr>
                <w:rFonts w:ascii="Arial" w:hAnsi="Arial" w:eastAsia="微软雅黑" w:cs="Arial"/>
                <w:sz w:val="18"/>
                <w:szCs w:val="18"/>
              </w:rPr>
            </w:r>
          </w:p>
        </w:tc>
      </w:tr>
    </w:tbl>
    <w:p>
      <w:pPr>
        <w:pBdr/>
        <w:spacing/>
        <w:ind w:left="0"/>
        <w:rPr>
          <w:rFonts w:ascii="Arial" w:hAnsi="Arial" w:eastAsia="微软雅黑" w:cs="Arial"/>
          <w:sz w:val="22"/>
          <w:szCs w:val="22"/>
        </w:rPr>
        <w:sectPr>
          <w:headerReference w:type="default" r:id="rId13"/>
          <w:headerReference w:type="even" r:id="rId14"/>
          <w:headerReference w:type="first" r:id="rId15"/>
          <w:footerReference w:type="default" r:id="rId21"/>
          <w:footnotePr/>
          <w:endnotePr/>
          <w:type w:val="nextPage"/>
          <w:pgSz w:h="16838" w:orient="portrait" w:w="11906"/>
          <w:pgMar w:top="1440" w:right="1800" w:bottom="1440" w:left="1800" w:header="567" w:footer="567" w:gutter="0"/>
          <w:pgNumType w:start="1"/>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8" w:name="_Toc47699998"/>
      <w:r/>
      <w:bookmarkStart w:id="9" w:name="_Toc6913"/>
      <w:r/>
      <w:bookmarkStart w:id="10" w:name="_Toc522015180"/>
      <w:r/>
      <w:bookmarkStart w:id="11" w:name="_Toc76668367"/>
      <w:r/>
      <w:bookmarkStart w:id="12" w:name="_Toc22397"/>
      <w:r/>
      <w:bookmarkStart w:id="13" w:name="_Toc202797542"/>
      <w:r>
        <w:rPr>
          <w:rFonts w:ascii="Arial" w:hAnsi="Arial" w:eastAsia="微软雅黑" w:cs="Arial"/>
          <w:color w:val="4f81bd"/>
          <w:sz w:val="28"/>
          <w:szCs w:val="22"/>
        </w:rPr>
        <w:t xml:space="preserve">报告摘要</w:t>
      </w:r>
      <w:bookmarkEnd w:id="8"/>
      <w:r/>
      <w:bookmarkEnd w:id="9"/>
      <w:r/>
      <w:bookmarkEnd w:id="10"/>
      <w:r/>
      <w:bookmarkEnd w:id="11"/>
      <w:r/>
      <w:bookmarkEnd w:id="12"/>
      <w:r/>
      <w:bookmarkEnd w:id="13"/>
      <w:r/>
      <w:r>
        <w:rPr>
          <w:rFonts w:ascii="Arial" w:hAnsi="Arial" w:eastAsia="微软雅黑" w:cs="Arial"/>
          <w:color w:val="4f81bd"/>
          <w:sz w:val="28"/>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14" w:name="_Toc47699999"/>
      <w:r/>
      <w:bookmarkStart w:id="15" w:name="_Toc533"/>
      <w:r/>
      <w:bookmarkStart w:id="16" w:name="_Toc522015181"/>
      <w:r/>
      <w:bookmarkStart w:id="17" w:name="_Toc5446"/>
      <w:r/>
      <w:bookmarkStart w:id="18" w:name="_Toc202797543"/>
      <w:r/>
      <w:bookmarkStart w:id="19" w:name="_Toc76668368"/>
      <w:r/>
      <w:bookmarkStart w:id="20" w:name="_Toc19385"/>
      <w:r>
        <w:rPr>
          <w:rFonts w:ascii="Arial" w:hAnsi="Arial" w:eastAsia="微软雅黑" w:cs="Arial"/>
          <w:b w:val="0"/>
          <w:bCs w:val="0"/>
          <w:i w:val="0"/>
          <w:color w:val="4f81bd"/>
          <w:sz w:val="22"/>
          <w:szCs w:val="22"/>
        </w:rPr>
        <w:t xml:space="preserve">范围和目的</w:t>
      </w:r>
      <w:bookmarkEnd w:id="14"/>
      <w:r/>
      <w:bookmarkEnd w:id="15"/>
      <w:r/>
      <w:bookmarkEnd w:id="16"/>
      <w:r/>
      <w:bookmarkEnd w:id="17"/>
      <w:r/>
      <w:bookmarkEnd w:id="18"/>
      <w:r/>
      <w:bookmarkEnd w:id="19"/>
      <w:r/>
      <w:bookmarkEnd w:id="20"/>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bookmarkStart w:id="21" w:name="_Toc9378"/>
      <w:r>
        <w:rPr>
          <w:rFonts w:ascii="Arial" w:hAnsi="Arial" w:eastAsia="微软雅黑" w:cs="Arial"/>
          <w:sz w:val="22"/>
          <w:szCs w:val="22"/>
        </w:rPr>
        <w:t xml:space="preserve">{{清单模板-数据表-B3}}（以下简称“立信”或“我们”）接受{{清单模板-数据表-B1}}（以下简称“{{清单模板-数据表-B5}}”或“本公司”）的委托，协助准备{{清单模板-数据表-B2}}（以下简称“评估期间”或“{{清单模板-数据表-B2}}”）的关联交易同期资料的本地文档报告（以下简称“本报告”）。</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{{清单模板-数据表-B2}}，{{清单模板-数据表-B5}}和其境内外关联方（以下合称“关</w:t>
      </w:r>
      <w:r>
        <w:rPr>
          <w:rFonts w:hint="eastAsia" w:ascii="Arial" w:hAnsi="Arial" w:eastAsia="微软雅黑" w:cs="Arial"/>
          <w:sz w:val="22"/>
          <w:szCs w:val="22"/>
        </w:rPr>
        <w:t xml:space="preserve">联企业”）进行了一系列关联交易，交易内容包括关联购销、关联劳务以及关联资金融通。由于{{清单模板-数据表-B5}}与关联方之间的购销交易合计金额为461,460,873.88元，关联劳务交易合计金额为57,061,901.88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依照[2016]42号公告第14条的相关规定，本报告将作为{{清单模板-数据表-B5}}{{清单模板-数据表-B2}}的同期资料，旨在对其与其关联方在截至{{清单模板-数据表-B2}}12月31日前发生的受测关联交易进行分析和说明。</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2" w:name="_Toc23456"/>
      <w:r/>
      <w:bookmarkStart w:id="23" w:name="_Toc202797544"/>
      <w:r/>
      <w:bookmarkStart w:id="24" w:name="_Toc9314"/>
      <w:r/>
      <w:bookmarkStart w:id="25" w:name="_Toc76668369"/>
      <w:r/>
      <w:bookmarkStart w:id="26" w:name="_Toc522015182"/>
      <w:r/>
      <w:bookmarkStart w:id="27" w:name="_Toc47700000"/>
      <w:r>
        <w:rPr>
          <w:rFonts w:ascii="Arial" w:hAnsi="Arial" w:eastAsia="微软雅黑" w:cs="Arial"/>
          <w:b w:val="0"/>
          <w:bCs w:val="0"/>
          <w:i w:val="0"/>
          <w:color w:val="4f81bd"/>
          <w:sz w:val="22"/>
          <w:szCs w:val="22"/>
        </w:rPr>
        <w:t xml:space="preserve">受测关联交易</w:t>
      </w:r>
      <w:bookmarkEnd w:id="21"/>
      <w:r/>
      <w:bookmarkEnd w:id="22"/>
      <w:r/>
      <w:bookmarkEnd w:id="23"/>
      <w:r/>
      <w:bookmarkEnd w:id="24"/>
      <w:r/>
      <w:bookmarkEnd w:id="25"/>
      <w:r/>
      <w:bookmarkEnd w:id="26"/>
      <w:r/>
      <w:bookmarkEnd w:id="2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评估期间，{{清单模板-数据表-B5}}的主要关联交易为：</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{{清单模板-数据表-B5}}从关联方采购以及向关联方销售货物；</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{{清单模板-数据表-B5}}从关联方接受服务以及向关联方提供服务； </w:t>
      </w:r>
      <w:r>
        <w:rPr>
          <w:rFonts w:ascii="Arial" w:hAnsi="Arial" w:eastAsia="微软雅黑" w:cs="Arial"/>
          <w:sz w:val="22"/>
          <w:szCs w:val="22"/>
        </w:rPr>
      </w:r>
    </w:p>
    <w:p>
      <w:pPr>
        <w:pStyle w:val="1396"/>
        <w:numPr>
          <w:ilvl w:val="0"/>
          <w:numId w:val="12"/>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{{清单模板-数据表-B5}}参与集团现金池。</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上述关联交易，以下简称“受测关联交易”。其他任何涉及{{清单模板-数据表-B5}}和其他关联公司或分支机构的关联交易不在本报告的分析范围内。</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28" w:name="_Toc76668370"/>
      <w:r/>
      <w:bookmarkStart w:id="29" w:name="_Toc11376"/>
      <w:r/>
      <w:bookmarkStart w:id="30" w:name="_Toc202797545"/>
      <w:r/>
      <w:bookmarkStart w:id="31" w:name="_Toc47700001"/>
      <w:r/>
      <w:bookmarkStart w:id="32" w:name="_Toc5702"/>
      <w:r>
        <w:rPr>
          <w:rFonts w:ascii="Arial" w:hAnsi="Arial" w:eastAsia="微软雅黑" w:cs="Arial"/>
          <w:b w:val="0"/>
          <w:bCs w:val="0"/>
          <w:i w:val="0"/>
          <w:color w:val="4f81bd"/>
          <w:sz w:val="22"/>
          <w:szCs w:val="22"/>
        </w:rPr>
        <w:t xml:space="preserve">功能和风险分析及价值链分析总结</w:t>
      </w:r>
      <w:bookmarkEnd w:id="28"/>
      <w:r/>
      <w:bookmarkEnd w:id="29"/>
      <w:r/>
      <w:bookmarkEnd w:id="30"/>
      <w:r/>
      <w:bookmarkEnd w:id="31"/>
      <w:r/>
      <w:bookmarkEnd w:id="3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从功能和风险角度判断，{{清单模板-数据表-B5}}在关联销售中主要承担有限的研发功能、采购功能、生产功能、质量控制功能、存货管理功能以及一般行政管理功能；{{清单模板-数据表-B5}}主要承担有限的市场风险、有限的研发风险、有限的生产风险、有限的存货风险、产品责任风险以及汇率风险。因此，在关联销售中，{{清单模板-数据表-B5}}承担一定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第三方销售中，{{清单模板-数据表-B5}}承担了相对更多的功能风险，履行的功能包括市场营销和销售、工程设计、售后服务以及付款请求和回收，同时承担主要的市场风险和债权回收风险。{{清单模板-数据表-B5}}并不拥有非常规营销类无形资产和由其境外关联方创造的非常规制造类无形资产的所有权。评估期间，{{清单模板-数据表-B5}}进行产品的本地化技术改良以及设计工作，并且拥有与产品本地化相关的技术。因此，在非关联销售中，{{清单模板-数据表-B5}}承担较多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在整个集团经营活动中，{{清单模板-数据表-B5}}作为履行上述功能并且承担上述风险的生产制造商，利润水平和其承担的功能风险相匹配。</w:t>
      </w:r>
      <w:r>
        <w:rPr>
          <w:rFonts w:ascii="Arial" w:hAnsi="Arial" w:eastAsia="微软雅黑" w:cs="Arial"/>
          <w:sz w:val="22"/>
          <w:szCs w:val="22"/>
        </w:rPr>
      </w:r>
    </w:p>
    <w:p>
      <w:pPr>
        <w:pStyle w:val="1315"/>
        <w:numPr>
          <w:ilvl w:val="1"/>
          <w:numId w:val="11"/>
        </w:numPr>
        <w:pBdr/>
        <w:spacing w:after="163" w:before="163"/>
        <w:ind/>
        <w:rPr>
          <w:rFonts w:ascii="Arial" w:hAnsi="Arial" w:eastAsia="微软雅黑" w:cs="Arial"/>
          <w:b w:val="0"/>
          <w:bCs w:val="0"/>
          <w:i w:val="0"/>
          <w:color w:val="4f81bd"/>
          <w:sz w:val="22"/>
          <w:szCs w:val="22"/>
        </w:rPr>
      </w:pPr>
      <w:r/>
      <w:bookmarkStart w:id="33" w:name="_Toc435807828"/>
      <w:r/>
      <w:bookmarkStart w:id="34" w:name="_Toc16820"/>
      <w:r/>
      <w:bookmarkStart w:id="35" w:name="_Toc447817170"/>
      <w:r/>
      <w:bookmarkStart w:id="36" w:name="_Toc202797546"/>
      <w:r/>
      <w:bookmarkStart w:id="37" w:name="_Toc30121"/>
      <w:r/>
      <w:bookmarkStart w:id="38" w:name="_Toc47700002"/>
      <w:r/>
      <w:bookmarkStart w:id="39" w:name="_Toc2006"/>
      <w:r/>
      <w:bookmarkStart w:id="40" w:name="_Toc76668371"/>
      <w:r/>
      <w:bookmarkStart w:id="41" w:name="_Toc522015183"/>
      <w:r>
        <w:rPr>
          <w:rFonts w:ascii="Arial" w:hAnsi="Arial" w:eastAsia="微软雅黑" w:cs="Arial"/>
          <w:b w:val="0"/>
          <w:bCs w:val="0"/>
          <w:i w:val="0"/>
          <w:color w:val="4f81bd"/>
          <w:sz w:val="22"/>
          <w:szCs w:val="22"/>
        </w:rPr>
        <w:t xml:space="preserve">经济分析总结 —— 对受测关联交易的分析</w:t>
      </w:r>
      <w:bookmarkEnd w:id="33"/>
      <w:r/>
      <w:bookmarkEnd w:id="34"/>
      <w:r/>
      <w:bookmarkEnd w:id="35"/>
      <w:r>
        <w:rPr>
          <w:rFonts w:ascii="Arial" w:hAnsi="Arial" w:eastAsia="微软雅黑" w:cs="Arial"/>
          <w:b w:val="0"/>
          <w:bCs w:val="0"/>
          <w:i w:val="0"/>
          <w:color w:val="4f81bd"/>
          <w:sz w:val="22"/>
          <w:szCs w:val="22"/>
        </w:rPr>
      </w:r>
      <w:bookmarkStart w:id="42" w:name="_Toc447817171"/>
      <w:r/>
      <w:bookmarkStart w:id="43" w:name="_Toc15689"/>
      <w:r/>
      <w:bookmarkStart w:id="44" w:name="_Toc435807829"/>
      <w:r>
        <w:rPr>
          <w:rFonts w:ascii="Arial" w:hAnsi="Arial" w:eastAsia="微软雅黑" w:cs="Arial"/>
          <w:b w:val="0"/>
          <w:bCs w:val="0"/>
          <w:i w:val="0"/>
          <w:color w:val="4f81bd"/>
          <w:sz w:val="22"/>
          <w:szCs w:val="22"/>
        </w:rPr>
      </w:r>
      <w:bookmarkEnd w:id="36"/>
      <w:r/>
      <w:bookmarkEnd w:id="37"/>
      <w:r/>
      <w:bookmarkEnd w:id="38"/>
      <w:r/>
      <w:bookmarkEnd w:id="39"/>
      <w:r/>
      <w:bookmarkEnd w:id="40"/>
      <w:r/>
      <w:bookmarkEnd w:id="41"/>
      <w:r/>
      <w:bookmarkEnd w:id="42"/>
      <w:r/>
      <w:bookmarkEnd w:id="43"/>
      <w:r/>
      <w:bookmarkEnd w:id="44"/>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45" w:name="OLE_LINK1"/>
      <w:r>
        <w:rPr>
          <w:rFonts w:ascii="Arial" w:hAnsi="Arial" w:eastAsia="微软雅黑" w:cs="Arial"/>
          <w:sz w:val="22"/>
          <w:szCs w:val="22"/>
        </w:rPr>
      </w:r>
      <w:bookmarkEnd w:id="45"/>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本报告的被验证对象从而分析其完全成本加成率。原因如下：1）{{清单模板-数据表-B5}}相对于关联方承担相对简单的制造相关的功能和风险；2）在关联交易中，相对于关联方，{{清单模板-数据表-B5}}的利润水平可以被更为有效地确定。因此，我们选择{{清单模板-数据表-B5}}作为本报告的被验证对象。我们通过选取与{{清单模板-数据表-B5}}在受测关联交易中从事相似业务的非受控公司，分析其财务数据，建立了一组符合独立交易原则的利润率区间。</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选取的可比非受控公司样本在2021到2023财务年度（“财年”）实现的加权平均完全成本加成率水平总结如下：</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图表1：完全成本加成率的独立交易区间（2021财年到2023财年）</w:t>
      </w:r>
      <w:r>
        <w:rPr>
          <w:rFonts w:ascii="Arial" w:hAnsi="Arial" w:eastAsia="微软雅黑" w:cs="Arial"/>
          <w:bCs w:val="0"/>
          <w:sz w:val="18"/>
          <w:szCs w:val="18"/>
        </w:rPr>
      </w:r>
    </w:p>
    <w:tbl>
      <w:tblPr>
        <w:tblStyle w:val="1293"/>
        <w:tblW w:w="63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3123"/>
      </w:tblGrid>
      <w:tr>
        <w:trPr>
          <w:jc w:val="center"/>
          <w:trHeight w:val="340"/>
          <w:tblHeader/>
        </w:trPr>
        <w:tc>
          <w:tcPr>
            <w:shd w:val="clear" w:color="auto" w:fill="4f81bd"/>
            <w:tcBorders/>
            <w:tcW w:w="3256"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四分位区间</w:t>
            </w:r>
            <w:r>
              <w:rPr>
                <w:rFonts w:ascii="Arial" w:hAnsi="Arial" w:eastAsia="微软雅黑" w:cs="Arial"/>
                <w:b/>
                <w:color w:val="ffffff"/>
                <w:sz w:val="18"/>
                <w:szCs w:val="18"/>
                <w:lang w:bidi="ar"/>
              </w:rPr>
            </w:r>
          </w:p>
        </w:tc>
        <w:tc>
          <w:tcPr>
            <w:shd w:val="clear" w:color="auto" w:fill="4f81bd"/>
            <w:tcBorders/>
            <w:tcW w:w="3123" w:type="dxa"/>
            <w:vAlign w:val="center"/>
            <w:textDirection w:val="lrTb"/>
            <w:noWrap w:val="false"/>
          </w:tcPr>
          <w:p>
            <w:pPr>
              <w:pStyle w:val="1314"/>
              <w:widowControl w:val="false"/>
              <w:pBdr/>
              <w:spacing w:after="0" w:afterAutospacing="0" w:before="0" w:beforeAutospacing="0"/>
              <w:ind w:right="0" w:left="0"/>
              <w:jc w:val="center"/>
              <w:rPr>
                <w:rFonts w:ascii="Arial" w:hAnsi="Arial" w:eastAsia="微软雅黑" w:cs="Arial"/>
                <w:b/>
                <w:color w:val="ffffff"/>
                <w:sz w:val="18"/>
                <w:szCs w:val="18"/>
                <w:lang w:bidi="ar"/>
              </w:rPr>
            </w:pPr>
            <w:r>
              <w:rPr>
                <w:rFonts w:ascii="Arial" w:hAnsi="Arial" w:eastAsia="微软雅黑" w:cs="Arial"/>
                <w:b/>
                <w:color w:val="ffffff"/>
                <w:sz w:val="18"/>
                <w:szCs w:val="18"/>
                <w:lang w:bidi="ar"/>
              </w:rPr>
              <w:t xml:space="preserve">加权平均完全成本加成率</w:t>
            </w:r>
            <w:r>
              <w:rPr>
                <w:rFonts w:ascii="Arial" w:hAnsi="Arial" w:eastAsia="微软雅黑" w:cs="Arial"/>
                <w:b/>
                <w:color w:val="ffffff"/>
                <w:sz w:val="18"/>
                <w:szCs w:val="18"/>
                <w:lang w:bidi="ar"/>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可比公司数量</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{{BVD数据模板-数据表-B1}}</w:t>
            </w:r>
            <w:r>
              <w:rPr>
                <w:rFonts w:ascii="Arial" w:hAnsi="Arial" w:eastAsia="微软雅黑" w:cs="Arial"/>
                <w:color w:val="000000"/>
                <w:sz w:val="18"/>
                <w:szCs w:val="18"/>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上四分位数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{{BVD数据模板-数据表-B2}}</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中位值</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{{BVD数据模板-数据表-B3}}</w:t>
            </w:r>
            <w:r>
              <w:rPr>
                <w:rFonts w:ascii="Arial" w:hAnsi="Arial" w:eastAsia="微软雅黑" w:cs="Arial"/>
                <w:color w:val="000000"/>
                <w:sz w:val="18"/>
                <w:szCs w:val="18"/>
                <w:highlight w:val="yellow"/>
              </w:rPr>
            </w:r>
          </w:p>
        </w:tc>
      </w:tr>
      <w:tr>
        <w:trPr>
          <w:jc w:val="center"/>
          <w:trHeight w:val="315"/>
        </w:trPr>
        <w:tc>
          <w:tcPr>
            <w:tcBorders/>
            <w:tcW w:w="3256"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color w:val="000000"/>
                <w:sz w:val="18"/>
                <w:szCs w:val="18"/>
              </w:rPr>
              <w:t xml:space="preserve">下四分位数</w:t>
            </w:r>
            <w:r>
              <w:rPr>
                <w:rFonts w:ascii="Arial" w:hAnsi="Arial" w:eastAsia="微软雅黑" w:cs="Arial"/>
                <w:color w:val="000000"/>
                <w:sz w:val="18"/>
                <w:szCs w:val="18"/>
              </w:rPr>
            </w:r>
          </w:p>
        </w:tc>
        <w:tc>
          <w:tcPr>
            <w:tcBorders/>
            <w:tcW w:w="3123" w:type="dxa"/>
            <w:vAlign w:val="center"/>
            <w:textDirection w:val="lrTb"/>
            <w:noWrap w:val="false"/>
          </w:tcPr>
          <w:p>
            <w:pPr>
              <w:pBdr/>
              <w:spacing w:after="0" w:before="0"/>
              <w:ind w:right="0" w:left="0"/>
              <w:jc w:val="center"/>
              <w:rPr>
                <w:rFonts w:ascii="Arial" w:hAnsi="Arial" w:eastAsia="微软雅黑" w:cs="Arial"/>
                <w:color w:val="000000"/>
                <w:sz w:val="18"/>
                <w:szCs w:val="18"/>
                <w:highlight w:val="yellow"/>
              </w:rPr>
            </w:pPr>
            <w:r>
              <w:rPr>
                <w:rFonts w:ascii="Arial" w:hAnsi="Arial" w:eastAsia="微软雅黑" w:cs="Arial"/>
                <w:color w:val="000000"/>
                <w:sz w:val="18"/>
                <w:szCs w:val="18"/>
              </w:rPr>
              <w:t xml:space="preserve">{{BVD数据模板-数据表-B4}}</w:t>
            </w:r>
            <w:r>
              <w:rPr>
                <w:rFonts w:ascii="Arial" w:hAnsi="Arial" w:eastAsia="微软雅黑" w:cs="Arial"/>
                <w:color w:val="000000"/>
                <w:sz w:val="18"/>
                <w:szCs w:val="18"/>
                <w:highlight w:val="yellow"/>
              </w:rPr>
            </w:r>
          </w:p>
        </w:tc>
      </w:tr>
    </w:tbl>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如上</w:t>
      </w:r>
      <w:r>
        <w:rPr>
          <w:rFonts w:ascii="Arial" w:hAnsi="Arial" w:eastAsia="微软雅黑" w:cs="Arial"/>
          <w:sz w:val="22"/>
          <w:szCs w:val="22"/>
        </w:rPr>
        <w:t xml:space="preserve">图表所示，2021到2023财年加权平均完全成本加成率独立交易四分位区间为3.00%到12.74%，中位值为8.41%。{{清单模板-数据表-B5}}在{{清单模板-数据表-B2}}关联销售交易和非关联销售交易中取得的完全成本加成率分别为22.93%和21.63%，均高于可比非受控公司在2021到2023财年三年加权平均完全成本加成率的独立交易区间的中位值。因此，从中国转让定价角度，{{清单模板-数据表-B5}}在{{清单模板-数据表-B2}}受测关联交易中的转让定价安排未减少其应申报的应纳税收入或所得额。</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46" w:name="_Toc6564"/>
      <w:r/>
      <w:bookmarkStart w:id="47" w:name="_Toc16429"/>
      <w:r/>
      <w:bookmarkStart w:id="48" w:name="_Toc47700003"/>
      <w:r/>
      <w:bookmarkStart w:id="49" w:name="_Toc76668372"/>
      <w:r/>
      <w:bookmarkStart w:id="50" w:name="_Toc12567"/>
      <w:r/>
      <w:bookmarkStart w:id="51" w:name="_Toc202797547"/>
      <w:r/>
      <w:bookmarkStart w:id="52" w:name="_Toc522015184"/>
      <w:r>
        <w:rPr>
          <w:rFonts w:ascii="Arial" w:hAnsi="Arial" w:eastAsia="微软雅黑" w:cs="Arial"/>
          <w:b w:val="0"/>
          <w:bCs w:val="0"/>
          <w:i w:val="0"/>
          <w:color w:val="4f81bd"/>
          <w:sz w:val="22"/>
          <w:szCs w:val="22"/>
        </w:rPr>
        <w:t xml:space="preserve">局限性</w:t>
      </w:r>
      <w:bookmarkEnd w:id="46"/>
      <w:r/>
      <w:bookmarkEnd w:id="47"/>
      <w:r/>
      <w:bookmarkEnd w:id="48"/>
      <w:r/>
      <w:bookmarkEnd w:id="49"/>
      <w:r/>
      <w:bookmarkEnd w:id="50"/>
      <w:r/>
      <w:bookmarkEnd w:id="51"/>
      <w:r/>
      <w:bookmarkEnd w:id="52"/>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本报告中的转让定价分析是遵照中国转让定价法规的有关规定进行的，但其分析意见及结论仅代表我们对中国现行转</w:t>
      </w:r>
      <w:r>
        <w:rPr>
          <w:rFonts w:ascii="Arial" w:hAnsi="Arial" w:eastAsia="微软雅黑" w:cs="Arial"/>
          <w:sz w:val="22"/>
          <w:szCs w:val="22"/>
        </w:rPr>
        <w:t xml:space="preserve">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在本报告中，我们并未对任何消费税、增值税或其他国家及地方税的纳税义务（无论该纳税义务是否由我们的转让定价分析意见所引起）进行审查。</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本报告是由立信根据截止于报告提交日由{{清单模板-数据表-B5}</w:t>
      </w:r>
      <w:r>
        <w:rPr>
          <w:rFonts w:ascii="Arial" w:hAnsi="Arial" w:eastAsia="微软雅黑" w:cs="Arial"/>
          <w:sz w:val="22"/>
          <w:szCs w:val="22"/>
        </w:rPr>
        <w:t xml:space="preserve">}公司提供的相关事实而准备的。本报告以特定的事实和情况为基础，可能不适用于{{清单模板-数据表-B5}}公司之外的第三方。我们在准备本报告时仅从与{{清单模板-数据表-B5}}公司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本报告是依照[2016]42号公告第14条对同期资料的相关规定而准备，{{清单模板-数据表-B5}}公司可以在中国税务机关要求的情况下将本报告提交给中国税务机关。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任何包括在我们的服务合同中的限制性条款将同样适用于本报告。</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53" w:name="_Toc522015185"/>
      <w:r/>
      <w:bookmarkStart w:id="54" w:name="_Toc8839"/>
      <w:r/>
      <w:bookmarkStart w:id="55" w:name="_Toc15402"/>
      <w:r/>
      <w:bookmarkStart w:id="56" w:name="_Toc76668373"/>
      <w:r/>
      <w:bookmarkStart w:id="57" w:name="_Toc47700004"/>
      <w:r/>
      <w:bookmarkStart w:id="58" w:name="_Toc202797548"/>
      <w:r>
        <w:rPr>
          <w:rFonts w:ascii="Arial" w:hAnsi="Arial" w:eastAsia="微软雅黑" w:cs="Arial"/>
          <w:color w:val="4f81bd"/>
          <w:sz w:val="28"/>
          <w:szCs w:val="22"/>
        </w:rPr>
        <w:t xml:space="preserve">企业概况</w:t>
      </w:r>
      <w:bookmarkEnd w:id="53"/>
      <w:r/>
      <w:bookmarkEnd w:id="54"/>
      <w:r/>
      <w:bookmarkEnd w:id="55"/>
      <w:r/>
      <w:bookmarkEnd w:id="56"/>
      <w:r/>
      <w:bookmarkEnd w:id="57"/>
      <w:r/>
      <w:bookmarkEnd w:id="58"/>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59" w:name="_Toc16634"/>
      <w:r/>
      <w:bookmarkStart w:id="60" w:name="_Toc505"/>
      <w:r/>
      <w:bookmarkStart w:id="61" w:name="_Toc202797549"/>
      <w:r/>
      <w:bookmarkStart w:id="62" w:name="_Toc47700005"/>
      <w:r/>
      <w:bookmarkStart w:id="63" w:name="_Toc76668374"/>
      <w:r/>
      <w:bookmarkStart w:id="64" w:name="_Toc522015187"/>
      <w:r/>
      <w:bookmarkStart w:id="65" w:name="_Toc23219"/>
      <w:r>
        <w:rPr>
          <w:rFonts w:ascii="Arial" w:hAnsi="Arial" w:eastAsia="微软雅黑" w:cs="Arial"/>
          <w:b w:val="0"/>
          <w:bCs w:val="0"/>
          <w:i w:val="0"/>
          <w:color w:val="4f81bd"/>
          <w:sz w:val="22"/>
          <w:szCs w:val="22"/>
        </w:rPr>
        <w:t xml:space="preserve">集团概况</w:t>
      </w:r>
      <w:bookmarkEnd w:id="59"/>
      <w:r/>
      <w:bookmarkEnd w:id="60"/>
      <w:r/>
      <w:bookmarkEnd w:id="61"/>
      <w:r/>
      <w:bookmarkEnd w:id="62"/>
      <w:r/>
      <w:bookmarkEnd w:id="63"/>
      <w:r/>
      <w:r>
        <w:rPr>
          <w:rFonts w:ascii="Arial" w:hAnsi="Arial" w:eastAsia="微软雅黑" w:cs="Arial"/>
          <w:b w:val="0"/>
          <w:bCs w:val="0"/>
          <w:i w:val="0"/>
          <w:color w:val="4f81bd"/>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SPX FLOW, Inc.（以下简称“斯必克流体集团”）是一家提供高度专业化和工程化解决方案的全球供应商，总部位于美国北卡罗来纳州的夏洛特市。在超过30个国家拥有分支机构，产品行销全球140多个国家。 </w:t>
      </w:r>
      <w:r>
        <w:rPr>
          <w:rStyle w:val="1324"/>
          <w:rFonts w:ascii="Arial" w:hAnsi="Arial" w:eastAsia="微软雅黑" w:cs="Arial"/>
          <w:sz w:val="22"/>
          <w:szCs w:val="22"/>
        </w:rPr>
        <w:footnoteReference w:id="2"/>
      </w:r>
      <w:r>
        <w:rPr>
          <w:rFonts w:ascii="Arial" w:hAnsi="Arial" w:eastAsia="微软雅黑" w:cs="Arial"/>
          <w:sz w:val="22"/>
          <w:szCs w:val="22"/>
        </w:rPr>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服务于食品饮料、能源电力和一般工业三大终端市场，广泛的产品线涵盖：泵、阀门、搅拌机、过滤器、干燥机、液压工具、均质机、分离机、板式换热器以及相关售后市场的备件和服务，为全球的食品饮料、油气、发电（包括核电和传统电厂）、化工处理、压缩空气以及采矿等领域提供技术支持。</w:t>
      </w:r>
      <w:r>
        <w:rPr>
          <w:rFonts w:ascii="Arial" w:hAnsi="Arial" w:eastAsia="微软雅黑" w:cs="Arial"/>
          <w:sz w:val="22"/>
          <w:szCs w:val="22"/>
        </w:rPr>
      </w:r>
    </w:p>
    <w:p>
      <w:pPr>
        <w:pBdr/>
        <w:spacing w:after="163" w:before="163"/>
        <w:ind w:firstLine="440" w:left="0"/>
        <w:rPr>
          <w:rFonts w:ascii="Arial" w:hAnsi="Arial" w:eastAsia="微软雅黑" w:cs="Arial"/>
          <w:sz w:val="22"/>
          <w:szCs w:val="22"/>
        </w:rPr>
      </w:pPr>
      <w:r>
        <w:rPr>
          <w:rFonts w:ascii="Arial" w:hAnsi="Arial" w:eastAsia="微软雅黑" w:cs="Arial"/>
          <w:sz w:val="22"/>
          <w:szCs w:val="22"/>
        </w:rPr>
        <w:t xml:space="preserve">斯必克流体集团与客户共同创新，持续为世界提供技术并致力于改善世界。 </w:t>
      </w:r>
      <w:bookmarkEnd w:id="64"/>
      <w:bookmarkEnd w:id="65"/>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66" w:name="_Toc20692"/>
      <w:r/>
      <w:bookmarkStart w:id="67" w:name="_Toc47700006"/>
      <w:r/>
      <w:bookmarkStart w:id="68" w:name="_Toc11155"/>
      <w:r/>
      <w:bookmarkStart w:id="69" w:name="_Toc202797550"/>
      <w:r/>
      <w:bookmarkStart w:id="70" w:name="_Toc76668375"/>
      <w:r>
        <w:rPr>
          <w:rFonts w:ascii="Arial" w:hAnsi="Arial" w:eastAsia="微软雅黑" w:cs="Arial"/>
          <w:b w:val="0"/>
          <w:bCs w:val="0"/>
          <w:i w:val="0"/>
          <w:color w:val="4f81bd"/>
          <w:sz w:val="22"/>
          <w:szCs w:val="22"/>
        </w:rPr>
        <w:t xml:space="preserve">公司概况</w:t>
      </w:r>
      <w:bookmarkEnd w:id="66"/>
      <w:r/>
      <w:bookmarkEnd w:id="67"/>
      <w:r/>
      <w:bookmarkEnd w:id="68"/>
      <w:r/>
      <w:bookmarkEnd w:id="69"/>
      <w:r/>
      <w:bookmarkEnd w:id="70"/>
      <w:r/>
      <w:r>
        <w:rPr>
          <w:rFonts w:ascii="Arial" w:hAnsi="Arial" w:eastAsia="微软雅黑" w:cs="Arial"/>
          <w:b w:val="0"/>
          <w:bCs w:val="0"/>
          <w:i w:val="0"/>
          <w:color w:val="4f81bd"/>
          <w:sz w:val="22"/>
          <w:szCs w:val="22"/>
        </w:rPr>
      </w:r>
    </w:p>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1" w:name="_Toc1191"/>
      <w:r/>
      <w:bookmarkStart w:id="72" w:name="_Toc23576"/>
      <w:r/>
      <w:bookmarkStart w:id="73" w:name="_Toc76668376"/>
      <w:r/>
      <w:bookmarkStart w:id="74" w:name="_Toc47700007"/>
      <w:r/>
      <w:bookmarkStart w:id="75" w:name="_Toc202797551"/>
      <w:r>
        <w:rPr>
          <w:rFonts w:ascii="Arial" w:hAnsi="Arial" w:eastAsia="微软雅黑" w:cs="Arial"/>
          <w:b w:val="0"/>
          <w:i w:val="0"/>
          <w:color w:val="4f81bd"/>
          <w:sz w:val="22"/>
          <w:szCs w:val="22"/>
        </w:rPr>
        <w:t xml:space="preserve">公司基本信息</w:t>
      </w:r>
      <w:bookmarkEnd w:id="71"/>
      <w:r/>
      <w:bookmarkEnd w:id="72"/>
      <w:r/>
      <w:bookmarkEnd w:id="73"/>
      <w:r/>
      <w:bookmarkEnd w:id="74"/>
      <w:r>
        <w:rPr>
          <w:rStyle w:val="1324"/>
          <w:rFonts w:ascii="Arial" w:hAnsi="Arial" w:eastAsia="微软雅黑" w:cs="Arial"/>
          <w:bCs w:val="0"/>
          <w:color w:val="4f81bd"/>
          <w:sz w:val="18"/>
          <w:szCs w:val="15"/>
        </w:rPr>
        <w:footnoteReference w:id="3"/>
      </w:r>
      <w:bookmarkEnd w:id="75"/>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成立于2006年1月17日，经营期限为20年。公司主要从事研究、开发、生产、组装食品机械和饮料机械及其配套设备，销售公司自产产品并提供产品的售后服务。经过一系列合并、增资事项后，评估期间，公司注册资本为美元1,600万元。</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{{清单模板-数据表-B5}}的基本信息详见下表。</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图表2：{{清单模板-数据表-B5}}基本信息</w:t>
      </w:r>
      <w:r>
        <w:rPr>
          <w:rFonts w:ascii="Arial" w:hAnsi="Arial" w:eastAsia="微软雅黑" w:cs="Arial"/>
          <w:bCs w:val="0"/>
          <w:sz w:val="18"/>
          <w:szCs w:val="18"/>
        </w:rPr>
      </w:r>
    </w:p>
    <w:tbl>
      <w:tblPr>
        <w:tblStyle w:val="1293"/>
        <w:tblW w:w="818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155"/>
        <w:gridCol w:w="6029"/>
      </w:tblGrid>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{{清单模板-数据表-B1}}</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经营地址</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上海市奉贤区南桥镇奉金路666号、668号1-4幢</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成立日期</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2006年1月17日</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公司类型</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有限责任公司（外国法人独资）</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投资方</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斯必克（中国）投资有限公司</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经营期限</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20年</w:t>
            </w:r>
            <w:r>
              <w:rPr>
                <w:rFonts w:ascii="Arial" w:hAnsi="Arial" w:eastAsia="微软雅黑" w:cs="Arial"/>
                <w:color w:val="000000"/>
                <w:sz w:val="18"/>
                <w:szCs w:val="18"/>
              </w:rPr>
            </w:r>
          </w:p>
        </w:tc>
      </w:tr>
      <w:tr>
        <w:trPr>
          <w:trHeight w:val="45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注册资本</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1600万美元</w:t>
            </w:r>
            <w:r>
              <w:rPr>
                <w:rFonts w:ascii="Arial" w:hAnsi="Arial" w:eastAsia="微软雅黑" w:cs="Arial"/>
                <w:color w:val="000000"/>
                <w:sz w:val="18"/>
                <w:szCs w:val="18"/>
              </w:rPr>
            </w:r>
          </w:p>
        </w:tc>
      </w:tr>
      <w:tr>
        <w:trPr>
          <w:trHeight w:val="3005"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主要经营活动</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研究、开发、生产、组装、检查和维修食品机械和饮料机械及其配套设备、</w:t>
            </w:r>
            <w:r>
              <w:rPr>
                <w:rFonts w:ascii="Arial" w:hAnsi="Arial" w:eastAsia="微软雅黑" w:cs="Arial"/>
                <w:color w:val="000000"/>
                <w:sz w:val="18"/>
                <w:szCs w:val="18"/>
              </w:rPr>
              <w:t xml:space="preserve">流体搅拌机及配部件、浓度变送器及配部件、液压设备及配部件、举升设备及配部件、碾磨机及配部件、热交换器及配部件、过滤器、阀门及泵、仪器仪表、干燥、过滤和蒸发系统、设备及其配部件、电子测试、监控和检查设备及其配部件；销售公司自产产品；上述同类产品以及测试、测量系统级检测分析仪器、安全售检票系统及设备的批发、佣金代理（除拍卖外）、进出口业务，并提供产品的售后服务及相关技术咨询服务（不涉及国营贸易管理商品，涉及配额、许可证管理的商品，按国家有关规定办理申请）。【依法须经批准的项目，经相关部门批准后方可开展经营活动】</w:t>
            </w:r>
            <w:r>
              <w:rPr>
                <w:rFonts w:ascii="Arial" w:hAnsi="Arial" w:eastAsia="微软雅黑" w:cs="Arial"/>
                <w:color w:val="000000"/>
                <w:sz w:val="18"/>
                <w:szCs w:val="18"/>
              </w:rPr>
            </w:r>
          </w:p>
        </w:tc>
      </w:tr>
      <w:tr>
        <w:trPr>
          <w:trHeight w:val="704" w:hRule="exact"/>
        </w:trPr>
        <w:tc>
          <w:tcPr>
            <w:shd w:val="clear" w:color="auto" w:fill="4f81bd"/>
            <w:tcBorders/>
            <w:tcW w:w="2155" w:type="dxa"/>
            <w:vAlign w:val="center"/>
            <w:textDirection w:val="lrTb"/>
            <w:noWrap w:val="false"/>
          </w:tcPr>
          <w:p>
            <w:pPr>
              <w:widowControl w:val="false"/>
              <w:pBdr/>
              <w:spacing w:after="0" w:before="0"/>
              <w:ind w:right="0" w:left="0"/>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{{清单模板-数据表-B2}}适用的企业所得税率</w:t>
            </w:r>
            <w:r>
              <w:rPr>
                <w:rFonts w:ascii="Arial" w:hAnsi="Arial" w:eastAsia="微软雅黑" w:cs="Arial"/>
                <w:b/>
                <w:color w:val="ffffff" w:themeColor="background1"/>
                <w:sz w:val="18"/>
                <w:szCs w:val="18"/>
                <w14:textFill>
                  <w14:solidFill>
                    <w14:schemeClr w14:val="bg1"/>
                  </w14:solidFill>
                </w14:textFill>
              </w:rPr>
            </w:r>
          </w:p>
        </w:tc>
        <w:tc>
          <w:tcPr>
            <w:tcBorders/>
            <w:tcW w:w="6029"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15%（高新技术企业）</w:t>
            </w:r>
            <w:r>
              <w:rPr>
                <w:rFonts w:ascii="Arial" w:hAnsi="Arial" w:eastAsia="微软雅黑" w:cs="Arial"/>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sz w:val="22"/>
          <w:szCs w:val="22"/>
        </w:rPr>
      </w:pPr>
      <w:r/>
      <w:bookmarkStart w:id="76" w:name="_Toc2243"/>
      <w:r/>
      <w:bookmarkStart w:id="77" w:name="_Toc11960"/>
      <w:r/>
      <w:bookmarkStart w:id="78" w:name="_Toc47700008"/>
      <w:r/>
      <w:bookmarkStart w:id="79" w:name="_Toc76668377"/>
      <w:r/>
      <w:bookmarkStart w:id="80" w:name="_Toc202797552"/>
      <w:r>
        <w:rPr>
          <w:rFonts w:ascii="Arial" w:hAnsi="Arial" w:eastAsia="微软雅黑" w:cs="Arial"/>
          <w:b w:val="0"/>
          <w:i w:val="0"/>
          <w:color w:val="4f81bd"/>
          <w:sz w:val="22"/>
          <w:szCs w:val="22"/>
        </w:rPr>
        <w:t xml:space="preserve">公司组织结构图和主要部门</w:t>
      </w:r>
      <w:bookmarkEnd w:id="76"/>
      <w:r/>
      <w:bookmarkEnd w:id="77"/>
      <w:r/>
      <w:bookmarkEnd w:id="78"/>
      <w:r/>
      <w:bookmarkEnd w:id="79"/>
      <w:r>
        <w:rPr>
          <w:rFonts w:ascii="Arial" w:hAnsi="Arial" w:cs="Arial"/>
          <w:b w:val="0"/>
          <w:i w:val="0"/>
          <w:color w:val="4f81bd"/>
          <w:sz w:val="22"/>
          <w:szCs w:val="22"/>
          <w:vertAlign w:val="superscript"/>
        </w:rPr>
        <w:footnoteReference w:id="4"/>
      </w:r>
      <w:bookmarkEnd w:id="80"/>
      <w:r/>
      <w:r>
        <w:rPr>
          <w:rFonts w:ascii="Arial" w:hAnsi="Arial" w:eastAsia="微软雅黑" w:cs="Arial"/>
          <w:b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截至{{清单模板-数据表-B2}}12月31日，{{清单模板-数据表-B5}}的管理组织结构显示如下：</w:t>
      </w:r>
      <w:r>
        <w:rPr>
          <w:rFonts w:ascii="Arial" w:hAnsi="Arial" w:eastAsia="微软雅黑" w:cs="Arial"/>
          <w:sz w:val="22"/>
          <w:szCs w:val="22"/>
        </w:rPr>
      </w:r>
    </w:p>
    <w:p>
      <w:pPr>
        <w:pStyle w:val="1295"/>
        <w:pBdr/>
        <w:spacing w:after="163"/>
        <w:ind/>
        <w:jc w:val="center"/>
        <w:rPr>
          <w:rFonts w:ascii="Arial" w:hAnsi="Arial" w:eastAsia="微软雅黑" w:cs="Arial"/>
          <w:bCs w:val="0"/>
          <w:sz w:val="18"/>
          <w:szCs w:val="15"/>
        </w:rPr>
      </w:pPr>
      <w:r/>
      <w:bookmarkStart w:id="81" w:name="_Toc12286303"/>
      <w:r>
        <w:rPr>
          <w:rFonts w:ascii="Arial" w:hAnsi="Arial" w:eastAsia="微软雅黑" w:cs="Arial"/>
          <w:bCs w:val="0"/>
          <w:sz w:val="18"/>
          <w:szCs w:val="15"/>
        </w:rPr>
        <w:t xml:space="preserve">图表3：{{清单模板-数据表-B5}}的组织结构图</w:t>
      </w:r>
      <w:bookmarkEnd w:id="81"/>
      <w:r/>
      <w:r>
        <w:rPr>
          <w:rFonts w:ascii="Arial" w:hAnsi="Arial" w:eastAsia="微软雅黑" w:cs="Arial"/>
          <w:bCs w:val="0"/>
          <w:sz w:val="18"/>
          <w:szCs w:val="15"/>
        </w:rPr>
      </w:r>
    </w:p>
    <w:p>
      <w:pPr>
        <w:widowControl w:val="false"/>
        <w:pBdr/>
        <w:spacing w:after="0" w:before="0"/>
        <w:ind w:right="0" w:left="0"/>
        <w:jc w:val="center"/>
        <w:rPr>
          <w:rFonts w:ascii="Arial" w:hAnsi="Arial" w:eastAsia="微软雅黑" w:cs="Arial"/>
          <w:i/>
          <w:iCs/>
          <w:sz w:val="16"/>
          <w:szCs w:val="16"/>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5429885" cy="2390140"/>
                <wp:effectExtent l="0" t="0" r="0" b="0"/>
                <wp:docPr id="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r/>
                      </pic:nvPicPr>
                      <pic:blipFill>
                        <a:blip r:embed="rId26"/>
                        <a:stretch/>
                      </pic:blipFill>
                      <pic:spPr bwMode="auto">
                        <a:xfrm>
                          <a:off x="0" y="0"/>
                          <a:ext cx="5468931" cy="240774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7.55pt;height:188.20pt;mso-wrap-distance-left:0.00pt;mso-wrap-distance-top:0.00pt;mso-wrap-distance-right:0.00pt;mso-wrap-distance-bottom:0.00pt;z-index:1;" stroked="false">
                <v:imagedata r:id="rId26" o:title=""/>
                <o:lock v:ext="edit" rotation="t"/>
              </v:shape>
            </w:pict>
          </mc:Fallback>
        </mc:AlternateContent>
      </w:r>
      <w:r>
        <w:rPr>
          <w:rFonts w:ascii="Arial" w:hAnsi="Arial" w:eastAsia="微软雅黑" w:cs="Arial"/>
          <w:i/>
          <w:iCs/>
          <w:sz w:val="16"/>
          <w:szCs w:val="16"/>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截至{{清单模板-数据表-B2}}12月31日，{{清单模板-数据表-B5}}的主要业务部门和职责范围显示如下，各部门负责人汇报的对象均为位于上海的工厂厂长办公室：</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bookmarkStart w:id="82" w:name="_Toc12286290"/>
      <w:r>
        <w:rPr>
          <w:rFonts w:ascii="Arial" w:hAnsi="Arial" w:eastAsia="微软雅黑" w:cs="Arial"/>
          <w:bCs w:val="0"/>
          <w:sz w:val="18"/>
          <w:szCs w:val="18"/>
        </w:rPr>
        <w:t xml:space="preserve">图表4：{{清单模板-数据表-B5}}部门结构</w:t>
      </w:r>
      <w:bookmarkEnd w:id="82"/>
      <w:r/>
      <w:r>
        <w:rPr>
          <w:rFonts w:ascii="Arial" w:hAnsi="Arial" w:eastAsia="微软雅黑" w:cs="Arial"/>
          <w:bCs w:val="0"/>
          <w:sz w:val="18"/>
          <w:szCs w:val="18"/>
        </w:rPr>
      </w:r>
    </w:p>
    <w:tbl>
      <w:tblPr>
        <w:tblStyle w:val="14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402"/>
        <w:gridCol w:w="919"/>
        <w:gridCol w:w="5975"/>
      </w:tblGrid>
      <w:tr>
        <w:trPr>
          <w:trHeight w:val="397"/>
          <w:tblHeader/>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402" w:type="dxa"/>
            <w:vAlign w:val="center"/>
            <w:textDirection w:val="lrTb"/>
            <w:noWrap w:val="false"/>
          </w:tcPr>
          <w:p>
            <w:pPr>
              <w:pBdr/>
              <w:spacing w:after="0" w:before="0"/>
              <w:ind w:right="0" w:left="0"/>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t xml:space="preserve">{{清单模板-1_组织结构及管理架构}}</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919"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5975" w:type="dxa"/>
            <w:vAlign w:val="center"/>
            <w:textDirection w:val="lrTb"/>
            <w:noWrap w:val="false"/>
          </w:tcPr>
          <w:p>
            <w:pPr>
              <w:pBdr/>
              <w:spacing w:after="0" w:before="0"/>
              <w:ind w:right="0" w:left="0"/>
              <w:jc w:val="center"/>
              <w:rPr>
                <w:rFonts w:ascii="Arial" w:hAnsi="Arial" w:eastAsia="微软雅黑" w:cs="Arial"/>
                <w:b w:val="0"/>
                <w:bCs/>
                <w:color w:val="ffffff" w:themeColor="background1"/>
                <w:sz w:val="18"/>
                <w:szCs w:val="18"/>
                <w14:textFill>
                  <w14:solidFill>
                    <w14:schemeClr w14:val="bg1"/>
                  </w14:solidFill>
                </w14:textFill>
              </w:rPr>
            </w:pPr>
            <w:r>
              <w:rPr>
                <w:rFonts w:ascii="Arial" w:hAnsi="Arial" w:eastAsia="微软雅黑" w:cs="Arial"/>
                <w:b/>
                <w:bCs w:val="0"/>
                <w:color w:val="ffffff" w:themeColor="background1"/>
                <w:sz w:val="18"/>
                <w:szCs w:val="18"/>
                <w14:textFill>
                  <w14:solidFill>
                    <w14:schemeClr w14:val="bg1"/>
                  </w14:solidFill>
                </w14:textFill>
              </w:rPr>
            </w:r>
            <w:r>
              <w:rPr>
                <w:rFonts w:ascii="Arial" w:hAnsi="Arial" w:eastAsia="微软雅黑" w:cs="Arial"/>
                <w:b w:val="0"/>
                <w:bCs/>
                <w:color w:val="ffffff" w:themeColor="background1"/>
                <w:sz w:val="18"/>
                <w:szCs w:val="18"/>
                <w14:textFill>
                  <w14:solidFill>
                    <w14:schemeClr w14:val="bg1"/>
                  </w14:solidFill>
                </w14:textFill>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3" w:name="_Toc202797553"/>
      <w:r/>
      <w:bookmarkStart w:id="84" w:name="_Toc76668378"/>
      <w:r/>
      <w:bookmarkStart w:id="85" w:name="_Toc11213"/>
      <w:r/>
      <w:bookmarkStart w:id="86" w:name="_Toc23182"/>
      <w:r/>
      <w:bookmarkStart w:id="87" w:name="_Toc47700009"/>
      <w:r>
        <w:rPr>
          <w:rFonts w:ascii="Arial" w:hAnsi="Arial" w:eastAsia="微软雅黑" w:cs="Arial"/>
          <w:b w:val="0"/>
          <w:bCs w:val="0"/>
          <w:i w:val="0"/>
          <w:color w:val="4f81bd"/>
          <w:sz w:val="22"/>
          <w:szCs w:val="22"/>
        </w:rPr>
        <w:t xml:space="preserve">主营业务及财务状况</w:t>
      </w:r>
      <w:bookmarkEnd w:id="83"/>
      <w:r/>
      <w:bookmarkEnd w:id="84"/>
      <w:r/>
      <w:bookmarkEnd w:id="85"/>
      <w:r/>
      <w:bookmarkEnd w:id="86"/>
      <w:r/>
      <w:bookmarkEnd w:id="87"/>
      <w:r/>
      <w:r>
        <w:rPr>
          <w:rFonts w:ascii="Arial" w:hAnsi="Arial" w:eastAsia="微软雅黑" w:cs="Arial"/>
          <w:b w:val="0"/>
          <w:bCs w:val="0"/>
          <w:i w:val="0"/>
          <w:color w:val="4f81bd"/>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从事生产业务。下表列示了{{清单模板-数据表-B2}}{{清单模板-数据表-B5}}的具体财务状况。由于{{清单模板-数据表-B5}}主要从事生产业务，因此并不存在财务数据需要在不同类型的业务中拆分的情况：</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sz w:val="18"/>
          <w:szCs w:val="18"/>
        </w:rPr>
        <w:t xml:space="preserve">图表5：{{清单模板-数据表-B5}}财务状况</w:t>
      </w:r>
      <w:r>
        <w:rPr>
          <w:rStyle w:val="1324"/>
          <w:rFonts w:ascii="Arial" w:hAnsi="Arial" w:eastAsia="微软雅黑" w:cs="Arial"/>
          <w:bCs w:val="0"/>
          <w:sz w:val="18"/>
          <w:szCs w:val="18"/>
        </w:rPr>
        <w:footnoteReference w:id="5"/>
      </w:r>
      <w:r>
        <w:rPr>
          <w:rFonts w:ascii="Arial" w:hAnsi="Arial" w:eastAsia="微软雅黑" w:cs="Arial"/>
          <w:bCs w:val="0"/>
          <w:sz w:val="18"/>
          <w:szCs w:val="18"/>
        </w:rPr>
      </w:r>
    </w:p>
    <w:tbl>
      <w:tblPr>
        <w:tblStyle w:val="1293"/>
        <w:tblW w:w="5000" w:type="pct"/>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left w:w="0" w:type="dxa"/>
          <w:top w:w="0" w:type="dxa"/>
          <w:right w:w="0" w:type="dxa"/>
          <w:bottom w:w="0" w:type="dxa"/>
        </w:tblCellMar>
        <w:tblLook w:val="04A0" w:firstRow="1" w:lastRow="0" w:firstColumn="1" w:lastColumn="0" w:noHBand="0" w:noVBand="1"/>
      </w:tblPr>
      <w:tblGrid>
        <w:gridCol w:w="2703"/>
        <w:gridCol w:w="2562"/>
        <w:gridCol w:w="3071"/>
      </w:tblGrid>
      <w:tr>
        <w:trPr>
          <w:trHeight w:val="360"/>
          <w:tblHeader/>
        </w:trPr>
        <w:tc>
          <w:tcPr>
            <w:shd w:val="clear" w:color="auto" w:fill="4f81bd"/>
            <w:tcBorders/>
            <w:tcMar>
              <w:left w:w="15" w:type="dxa"/>
              <w:top w:w="15" w:type="dxa"/>
              <w:right w:w="15" w:type="dxa"/>
              <w:bottom w:w="0" w:type="dxa"/>
            </w:tcMar>
            <w:tcW w:w="1621"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{{清单模板-PL}}</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537"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Mar>
              <w:left w:w="15" w:type="dxa"/>
              <w:top w:w="15" w:type="dxa"/>
              <w:right w:w="15" w:type="dxa"/>
              <w:bottom w:w="0" w:type="dxa"/>
            </w:tcMar>
            <w:tcW w:w="1842" w:type="pct"/>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bl>
    <w:p>
      <w:pPr>
        <w:pStyle w:val="1315"/>
        <w:numPr>
          <w:ilvl w:val="1"/>
          <w:numId w:val="11"/>
        </w:numPr>
        <w:pBdr/>
        <w:spacing w:after="163" w:before="163"/>
        <w:ind w:firstLine="0" w:left="0"/>
        <w:rPr>
          <w:rFonts w:ascii="Arial" w:hAnsi="Arial" w:eastAsia="微软雅黑" w:cs="Arial"/>
          <w:b w:val="0"/>
          <w:bCs w:val="0"/>
          <w:i w:val="0"/>
          <w:color w:val="4f81bd"/>
          <w:sz w:val="22"/>
          <w:szCs w:val="22"/>
        </w:rPr>
      </w:pPr>
      <w:r/>
      <w:bookmarkStart w:id="88" w:name="_Toc202797554"/>
      <w:r/>
      <w:bookmarkStart w:id="89" w:name="_Toc76668379"/>
      <w:r/>
      <w:bookmarkStart w:id="90" w:name="_Toc47700010"/>
      <w:r/>
      <w:bookmarkStart w:id="91" w:name="_Toc21562"/>
      <w:r/>
      <w:bookmarkStart w:id="92" w:name="_Toc12578"/>
      <w:r>
        <w:rPr>
          <w:rFonts w:ascii="Arial" w:hAnsi="Arial" w:eastAsia="微软雅黑" w:cs="Arial"/>
          <w:b w:val="0"/>
          <w:bCs w:val="0"/>
          <w:i w:val="0"/>
          <w:color w:val="4f81bd"/>
          <w:sz w:val="22"/>
          <w:szCs w:val="22"/>
        </w:rPr>
        <w:t xml:space="preserve">本年度重大变化事项</w:t>
      </w:r>
      <w:bookmarkEnd w:id="88"/>
      <w:r/>
      <w:bookmarkEnd w:id="89"/>
      <w:r/>
      <w:bookmarkEnd w:id="90"/>
      <w:r/>
      <w:bookmarkEnd w:id="91"/>
      <w:r/>
      <w:bookmarkEnd w:id="92"/>
      <w:r/>
      <w:r>
        <w:rPr>
          <w:rFonts w:ascii="Arial" w:hAnsi="Arial" w:eastAsia="微软雅黑" w:cs="Arial"/>
          <w:b w:val="0"/>
          <w:bCs w:val="0"/>
          <w:i w:val="0"/>
          <w:color w:val="4f81bd"/>
          <w:sz w:val="22"/>
          <w:szCs w:val="22"/>
        </w:rPr>
      </w:r>
    </w:p>
    <w:p>
      <w:pPr>
        <w:widowControl w:val="false"/>
        <w:pBdr/>
        <w:spacing w:after="163" w:before="163"/>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bookmarkStart w:id="93" w:name="_Toc522015193"/>
      <w:r>
        <w:rPr>
          <w:rFonts w:ascii="Arial" w:hAnsi="Arial" w:eastAsia="微软雅黑" w:cs="Arial"/>
          <w:sz w:val="22"/>
          <w:szCs w:val="22"/>
        </w:rPr>
        <w:t xml:space="preserve">评估期间，{{清单模板-数据表-B5}}未发生重组和无形资产转让的情况，无重大对外投资，也无关联股权转让。企业的经营状况未受到重大影响。</w:t>
      </w:r>
      <w:bookmarkEnd w:id="93"/>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94" w:name="_Toc453929653"/>
      <w:r/>
      <w:bookmarkStart w:id="95" w:name="_Toc202797555"/>
      <w:r/>
      <w:bookmarkStart w:id="96" w:name="_Toc47700011"/>
      <w:r/>
      <w:bookmarkStart w:id="97" w:name="_Toc76668380"/>
      <w:r/>
      <w:bookmarkStart w:id="98" w:name="_Toc8211"/>
      <w:r/>
      <w:bookmarkStart w:id="99" w:name="_Toc522015194"/>
      <w:r/>
      <w:bookmarkStart w:id="100" w:name="_Toc30392"/>
      <w:r>
        <w:rPr>
          <w:rFonts w:ascii="Arial" w:hAnsi="Arial" w:eastAsia="微软雅黑" w:cs="Arial"/>
          <w:color w:val="4f81bd"/>
          <w:sz w:val="28"/>
          <w:szCs w:val="22"/>
        </w:rPr>
        <w:t xml:space="preserve">行业分析</w:t>
      </w:r>
      <w:bookmarkEnd w:id="94"/>
      <w:r/>
      <w:bookmarkEnd w:id="95"/>
      <w:r/>
      <w:bookmarkEnd w:id="96"/>
      <w:r/>
      <w:bookmarkEnd w:id="97"/>
      <w:r/>
      <w:bookmarkEnd w:id="98"/>
      <w:r/>
      <w:bookmarkEnd w:id="99"/>
      <w:r/>
      <w:bookmarkEnd w:id="100"/>
      <w:r/>
      <w:r>
        <w:rPr>
          <w:rFonts w:ascii="Arial" w:hAnsi="Arial" w:eastAsia="微软雅黑" w:cs="Arial"/>
          <w:color w:val="4f81bd"/>
          <w:sz w:val="28"/>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Style w:val="1324"/>
          <w:rFonts w:ascii="Arial" w:hAnsi="Arial" w:eastAsia="微软雅黑" w:cs="Arial"/>
          <w:sz w:val="22"/>
          <w:szCs w:val="22"/>
        </w:rPr>
        <w:footnoteReference w:id="6"/>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因此，我们将对{{清单模板-数据表-B5}}相关的行业领域，即工业自动化设备制造业，进行分析。分析的具体方面如下：</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行业概述；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行业政策描述；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全球及中国市场情况描述；</w:t>
      </w:r>
      <w:r>
        <w:rPr>
          <w:rFonts w:ascii="Arial" w:hAnsi="Arial" w:eastAsia="微软雅黑" w:cs="Arial"/>
          <w:sz w:val="22"/>
          <w:szCs w:val="22"/>
        </w:rPr>
      </w:r>
    </w:p>
    <w:p>
      <w:pPr>
        <w:pStyle w:val="1396"/>
        <w:numPr>
          <w:ilvl w:val="0"/>
          <w:numId w:val="13"/>
        </w:numPr>
        <w:pBdr/>
        <w:spacing w:after="156" w:before="156"/>
        <w:ind/>
        <w:rPr>
          <w:rFonts w:ascii="Arial" w:hAnsi="Arial" w:eastAsia="微软雅黑" w:cs="Arial"/>
          <w:sz w:val="22"/>
          <w:szCs w:val="22"/>
        </w:rPr>
      </w:pPr>
      <w:r>
        <w:rPr>
          <w:rFonts w:ascii="Arial" w:hAnsi="Arial" w:eastAsia="微软雅黑" w:cs="Arial"/>
          <w:sz w:val="22"/>
          <w:szCs w:val="22"/>
        </w:rPr>
        <w:t xml:space="preserve">行业发展趋势及竞争环境。</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1" w:name="_Toc14434"/>
      <w:r/>
      <w:bookmarkStart w:id="102" w:name="_Toc2730"/>
      <w:r/>
      <w:bookmarkStart w:id="103" w:name="_Toc202797556"/>
      <w:r>
        <w:rPr>
          <w:rFonts w:ascii="Arial" w:hAnsi="Arial" w:eastAsia="微软雅黑" w:cs="Arial"/>
          <w:b w:val="0"/>
          <w:i w:val="0"/>
          <w:color w:val="4f81bd"/>
          <w:sz w:val="22"/>
          <w:szCs w:val="22"/>
        </w:rPr>
        <w:t xml:space="preserve">行业概述</w:t>
      </w:r>
      <w:bookmarkEnd w:id="101"/>
      <w:r/>
      <w:bookmarkEnd w:id="102"/>
      <w:r/>
      <w:bookmarkEnd w:id="103"/>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{{清单模板-数据表-B5}}生产公司总部位于美国北卡罗来纳州的夏洛特市，该公司的产品主要集中于在食品、饮料和工业市场的旋转、制动和液压技术以及自动化处理系统。{{清单模板-数据</w:t>
      </w:r>
      <w:r>
        <w:rPr>
          <w:rFonts w:ascii="Arial" w:hAnsi="Arial" w:eastAsia="微软雅黑" w:cs="Arial"/>
          <w:sz w:val="22"/>
          <w:szCs w:val="22"/>
        </w:rPr>
        <w:t xml:space="preserve">表-B5}}生产的主要产品为板式换热器、均质机、泵、搅拌机和阀门以及工艺工程解决方案，因此{{清单模板-数据表-B5}}处于自动化设备制造业。自动化设备是指机器或装置在无人干预的情况下按规定的程序或指令自动进行操作或控制的过程。自动化是工业、农业、国防和科学技术现代化的重要条件和显著标志。自动化设备制造业是生产、装配自动化设备的行业。如果按照应用领域的细分，工业自动化设备制造业可以分为港口、电力、汽车、轻工、食品、饮料等领域。{{清单模板-数据表-B5}}生产的产品主要应用于饮料、乳品、船舶以及工业等行业。</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04" w:name="_Toc23105"/>
      <w:r/>
      <w:bookmarkStart w:id="105" w:name="_Toc202797557"/>
      <w:r/>
      <w:bookmarkStart w:id="106" w:name="_Toc7874"/>
      <w:r>
        <w:rPr>
          <w:rFonts w:ascii="Arial" w:hAnsi="Arial" w:eastAsia="微软雅黑" w:cs="Arial"/>
          <w:b w:val="0"/>
          <w:i w:val="0"/>
          <w:color w:val="4f81bd"/>
          <w:sz w:val="22"/>
          <w:szCs w:val="22"/>
        </w:rPr>
        <w:t xml:space="preserve">行业政策描述</w:t>
      </w:r>
      <w:r>
        <w:rPr>
          <w:rStyle w:val="1324"/>
          <w:rFonts w:ascii="Arial" w:hAnsi="Arial" w:eastAsia="微软雅黑" w:cs="Arial"/>
          <w:b w:val="0"/>
          <w:i w:val="0"/>
          <w:color w:val="4f81bd"/>
          <w:sz w:val="22"/>
          <w:szCs w:val="22"/>
        </w:rPr>
        <w:footnoteReference w:id="7"/>
      </w:r>
      <w:bookmarkEnd w:id="104"/>
      <w:r/>
      <w:bookmarkEnd w:id="105"/>
      <w:r/>
      <w:bookmarkEnd w:id="10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近年来，我国对于智能制造的发展高度重视，一系列发展规划与相关政策推动着行业的高质量发展。</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2019年11月国家发改委、工信部等15个机关发布《关于推动先进制造业和现代服务业深度融合发展的实施意见》提出，到2025年，形成一批创新活跃、效益显著、质量卓越、带动效应突出的深度融合发展企业、平台和示范区，企业生产性服务投入逐步提高，产业生态不断完善，两业融合成为推动制造业高质量发展的重要支撑。</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贯彻落实《中华人民共和国国民经济和社会发展第十四个五年规划和2035年远景目标纲要》（“十四五”制造业高质量发展规划），工信部装备工业一司于2021年4月14日印发《“十四五”智能制造发展规划》（征求意见稿），并提出2025 年的具体目标是：</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转型升级成效显著。规模以上制造业企业智能制造能力成熟度达2级及以上的企业超过50%，重点行业、区域达3 级及以上的企业分别超过20%和15%。制造业企业生产效率、产品良率、能源资源利用率等大幅提升。</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供给能力明显增强。智能制造装备和工业软件技术水平和市场竞争力显著提升，国内市场满足率分别超过70%和50%。主营业务收入超50亿元的系统解决方案供应商达到10家以上。</w:t>
      </w:r>
      <w:r>
        <w:rPr>
          <w:rFonts w:ascii="Arial" w:hAnsi="Arial" w:eastAsia="微软雅黑" w:cs="Arial"/>
          <w:sz w:val="22"/>
          <w:szCs w:val="22"/>
        </w:rPr>
      </w:r>
    </w:p>
    <w:p>
      <w:pPr>
        <w:pStyle w:val="1396"/>
        <w:numPr>
          <w:ilvl w:val="0"/>
          <w:numId w:val="14"/>
        </w:numPr>
        <w:pBdr/>
        <w:spacing w:after="156" w:before="156"/>
        <w:ind/>
        <w:rPr>
          <w:rFonts w:ascii="Arial" w:hAnsi="Arial" w:eastAsia="微软雅黑" w:cs="Arial"/>
          <w:sz w:val="22"/>
          <w:szCs w:val="22"/>
        </w:rPr>
      </w:pPr>
      <w:r>
        <w:rPr>
          <w:rFonts w:ascii="Arial" w:hAnsi="Arial" w:eastAsia="微软雅黑" w:cs="Arial"/>
          <w:sz w:val="22"/>
          <w:szCs w:val="22"/>
        </w:rPr>
        <w:t xml:space="preserve">基础支撑更加坚实。建设一批智能制造领域创新载体和公共服务平台，并形成服务网络。制修订200项以上智能制造国家、行业标准。建成120个以上具有行业和区域影响力的工业互联网平台。</w:t>
      </w:r>
      <w:r>
        <w:rPr>
          <w:rFonts w:ascii="Arial" w:hAnsi="Arial" w:eastAsia="微软雅黑" w:cs="Arial"/>
          <w:sz w:val="22"/>
          <w:szCs w:val="22"/>
        </w:rPr>
      </w:r>
    </w:p>
    <w:p>
      <w:pPr>
        <w:pStyle w:val="1396"/>
        <w:numPr>
          <w:ilvl w:val="0"/>
          <w:numId w:val="0"/>
        </w:numPr>
        <w:pBdr/>
        <w:spacing w:after="156" w:before="156"/>
        <w:ind w:firstLine="440" w:left="119"/>
        <w:rPr>
          <w:rFonts w:ascii="Arial" w:hAnsi="Arial" w:eastAsia="微软雅黑" w:cs="Arial"/>
          <w:sz w:val="22"/>
          <w:szCs w:val="22"/>
        </w:rPr>
      </w:pPr>
      <w:r>
        <w:rPr>
          <w:rFonts w:ascii="Arial" w:hAnsi="Arial" w:eastAsia="微软雅黑" w:cs="Arial"/>
          <w:sz w:val="22"/>
          <w:szCs w:val="22"/>
        </w:rPr>
        <w:t xml:space="preserve">2022年11月，工业和信息化部、国家发展改革委和国务院国资委联合印发《关于巩固回升向好趋势加力振作工业经济的通知》，针对当前工业经济运行中面临的突出矛盾困难，提出5个方面稳增长重点工作举措，在需求侧着力拉消费、促投资、稳出口，畅通经济循环；同时，从行业、地区、企业等方面共提出9项重点举措，在行业方面坚持分业施策，提出推动原材料行业提质增效、巩固装备制造业良好势头、促进消费品行业稳定恢复，不断提升产业链发展水平，发挥各行业对工业稳增长的拉动作用。</w:t>
      </w:r>
      <w:r>
        <w:rPr>
          <w:rStyle w:val="1324"/>
          <w:rFonts w:ascii="Arial" w:hAnsi="Arial" w:eastAsia="微软雅黑" w:cs="Arial"/>
        </w:rPr>
        <w:footnoteReference w:id="8"/>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07" w:name="_Toc27676"/>
      <w:r/>
      <w:bookmarkStart w:id="108" w:name="_Toc9645"/>
      <w:r/>
      <w:bookmarkStart w:id="109" w:name="_Toc202797558"/>
      <w:r>
        <w:rPr>
          <w:rFonts w:ascii="Arial" w:hAnsi="Arial" w:eastAsia="微软雅黑" w:cs="Arial"/>
          <w:b w:val="0"/>
          <w:i w:val="0"/>
          <w:color w:val="4f81bd" w:themeColor="accent1"/>
          <w:sz w:val="22"/>
          <w:szCs w:val="22"/>
          <w14:textFill>
            <w14:solidFill>
              <w14:schemeClr w14:val="accent1"/>
            </w14:solidFill>
          </w14:textFill>
        </w:rPr>
        <w:t xml:space="preserve">全球及中国市场情况描述</w:t>
      </w:r>
      <w:bookmarkEnd w:id="107"/>
      <w:r/>
      <w:bookmarkEnd w:id="108"/>
      <w:r/>
      <w:bookmarkEnd w:id="109"/>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0" w:name="_Toc7171"/>
      <w:r/>
      <w:bookmarkStart w:id="111" w:name="_Toc202797559"/>
      <w:r/>
      <w:bookmarkStart w:id="112" w:name="_Toc15067"/>
      <w:r>
        <w:rPr>
          <w:rFonts w:ascii="Arial" w:hAnsi="Arial" w:eastAsia="微软雅黑" w:cs="Arial"/>
          <w:b w:val="0"/>
          <w:i w:val="0"/>
          <w:color w:val="4f81bd" w:themeColor="accent1"/>
          <w:sz w:val="22"/>
          <w:szCs w:val="22"/>
          <w14:textFill>
            <w14:solidFill>
              <w14:schemeClr w14:val="accent1"/>
            </w14:solidFill>
          </w14:textFill>
        </w:rPr>
        <w:t xml:space="preserve">全球市场</w:t>
      </w:r>
      <w:bookmarkEnd w:id="110"/>
      <w:r/>
      <w:bookmarkEnd w:id="111"/>
      <w:r/>
      <w:bookmarkEnd w:id="112"/>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根据联合国{{清单模板-数据表-B2}}《世界经济形势与展望》报告，2023年，一系列相互影响的严</w:t>
      </w:r>
      <w:r>
        <w:rPr>
          <w:rFonts w:ascii="Arial" w:hAnsi="Arial" w:eastAsia="微软雅黑" w:cs="Arial"/>
          <w:sz w:val="22"/>
          <w:szCs w:val="22"/>
        </w:rPr>
        <w:t xml:space="preserve">重冲击，包括俄乌冲突、巴以色列冲突、美元持续高息以及气候紧急状况等，导致世界经济遭受重创。预计 2025 年全球经济增长率为 2.8%，2026 年为 2.9%，与 2023 年记录的 2.8% 和 {{清单模板-数据表-B2}} 年估计的增长率基本持平。不过，这在很大程度上将取决于货币持续紧缩的速度和顺序、俄乌冲突的进程和后果以及供应链进一步中断的可能性。不过，东亚地区经济增长率预计加快，原因主要为印度经济的崛起。预计 {{清单模板-数据表-B2}} 年增长率为 4.9%，预计 2025 年为 4.8%。</w:t>
      </w:r>
      <w:r>
        <w:rPr>
          <w:rStyle w:val="1324"/>
          <w:rFonts w:ascii="Arial" w:hAnsi="Arial" w:eastAsia="微软雅黑" w:cs="Arial"/>
          <w:sz w:val="22"/>
          <w:szCs w:val="22"/>
        </w:rPr>
        <w:footnoteReference w:id="9"/>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w:t>
      </w:r>
      <w:r>
        <w:rPr>
          <w:rFonts w:ascii="Arial" w:hAnsi="Arial" w:eastAsia="微软雅黑" w:cs="Arial"/>
          <w:sz w:val="22"/>
          <w:szCs w:val="22"/>
        </w:rPr>
        <w:t xml:space="preserve">清单模板-数据表-B2}}全球制造业PMI均值为49.3%，较2023年均值上升0.8个百分点。{{清单模板-数据表-B2}}制造业整体增长水平要好于2023年，全球经济保持平稳恢复态势。指数均值水平仍低于50%，意味着全球经济恢复的推动力仍显不足。从各季走势看，全球经济恢复呈现前高后低走势。{{清单模板-数据表-B2}}一季度和二季度全球制造业恢复态势相对平稳，PMI均值分别在49.6%和49.7%；三季度有所回落，PMI均值降至48.9%，四季度有所回升，但仍弱于上半年整体水平，PMI均值为49.2%。</w:t>
      </w:r>
      <w:r>
        <w:rPr>
          <w:rStyle w:val="1324"/>
          <w:rFonts w:ascii="Arial" w:hAnsi="Arial" w:eastAsia="微软雅黑" w:cs="Arial"/>
          <w:sz w:val="22"/>
          <w:szCs w:val="22"/>
        </w:rPr>
        <w:footnoteReference w:id="10"/>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3" w:name="_Toc202797560"/>
      <w:r/>
      <w:bookmarkStart w:id="114" w:name="_Toc11297"/>
      <w:r/>
      <w:bookmarkStart w:id="115" w:name="_Toc28457"/>
      <w:r>
        <w:rPr>
          <w:rFonts w:ascii="Arial" w:hAnsi="Arial" w:eastAsia="微软雅黑" w:cs="Arial"/>
          <w:b w:val="0"/>
          <w:i w:val="0"/>
          <w:color w:val="4f81bd" w:themeColor="accent1"/>
          <w:sz w:val="22"/>
          <w:szCs w:val="22"/>
          <w14:textFill>
            <w14:solidFill>
              <w14:schemeClr w14:val="accent1"/>
            </w14:solidFill>
          </w14:textFill>
        </w:rPr>
        <w:t xml:space="preserve">中国市场 </w:t>
      </w:r>
      <w:bookmarkEnd w:id="113"/>
      <w:r/>
      <w:bookmarkEnd w:id="114"/>
      <w:r/>
      <w:bookmarkEnd w:id="115"/>
      <w:r>
        <w:rPr>
          <w:rFonts w:ascii="Arial" w:hAnsi="Arial" w:eastAsia="微软雅黑" w:cs="Arial"/>
          <w:b w:val="0"/>
          <w:i w:val="0"/>
          <w:color w:val="4f81bd" w:themeColor="accent1"/>
          <w:sz w:val="22"/>
          <w:szCs w:val="22"/>
          <w14:textFill>
            <w14:solidFill>
              <w14:schemeClr w14:val="accent1"/>
            </w14:solidFill>
          </w14:textFill>
        </w:rPr>
      </w:r>
      <w:r>
        <w:rPr>
          <w:rFonts w:ascii="Arial" w:hAnsi="Arial" w:eastAsia="微软雅黑" w:cs="Arial"/>
          <w:b w:val="0"/>
          <w:i w:val="0"/>
          <w:color w:val="4f81bd" w:themeColor="accent1"/>
          <w:sz w:val="22"/>
          <w:szCs w:val="22"/>
          <w14:textFill>
            <w14:solidFill>
              <w14:schemeClr w14:val="accent1"/>
            </w14:solidFill>
          </w14:textFill>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根据MIR DATABANK，2023年我国工业自动化市场规模近 3000 亿元，同比下降 1.7%。另一方面，{{清单模板-数据表-B2}}年末，中国制造业结束下探走势，出现稳步回升，制造业PMI维持在50%以上。指数变化显示中国经济加速回升较好带动了亚洲经济止降趋稳，印度和东南亚主要国家也保持较快增长，较好助力亚洲经济趋稳。</w:t>
      </w:r>
      <w:r>
        <w:rPr>
          <w:rStyle w:val="1324"/>
          <w:rFonts w:ascii="Arial" w:hAnsi="Arial" w:eastAsia="微软雅黑" w:cs="Arial"/>
          <w:sz w:val="22"/>
          <w:szCs w:val="22"/>
        </w:rPr>
        <w:footnoteReference w:id="11"/>
      </w:r>
      <w:r>
        <w:rPr>
          <w:rStyle w:val="1324"/>
          <w:rFonts w:ascii="Arial" w:hAnsi="Arial" w:eastAsia="微软雅黑" w:cs="Arial"/>
          <w:sz w:val="22"/>
          <w:szCs w:val="22"/>
        </w:rPr>
        <w:footnoteReference w:id="12"/>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6" w:name="_Toc27542"/>
      <w:r/>
      <w:bookmarkStart w:id="117" w:name="_Toc202797561"/>
      <w:r/>
      <w:bookmarkStart w:id="118" w:name="_Toc25038"/>
      <w:r>
        <w:rPr>
          <w:rFonts w:ascii="Arial" w:hAnsi="Arial" w:eastAsia="微软雅黑" w:cs="Arial"/>
          <w:b w:val="0"/>
          <w:i w:val="0"/>
          <w:color w:val="4f81bd" w:themeColor="accent1"/>
          <w:sz w:val="22"/>
          <w:szCs w:val="22"/>
          <w14:textFill>
            <w14:solidFill>
              <w14:schemeClr w14:val="accent1"/>
            </w14:solidFill>
          </w14:textFill>
        </w:rPr>
        <w:t xml:space="preserve">行业发展趋势</w:t>
      </w:r>
      <w:bookmarkEnd w:id="116"/>
      <w:r/>
      <w:bookmarkEnd w:id="117"/>
      <w:r/>
      <w:bookmarkEnd w:id="11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{{清单模板-数据表-B5}}主要下游产业为乳制品行业和工业行业，因此{{清单模板-数据表-B5}}受到乳制品行业和工业行业的影响较大。</w:t>
      </w:r>
      <w:r>
        <w:rPr>
          <w:rFonts w:ascii="Arial" w:hAnsi="Arial" w:eastAsia="微软雅黑" w:cs="Arial"/>
          <w:sz w:val="22"/>
          <w:szCs w:val="22"/>
        </w:rPr>
      </w:r>
    </w:p>
    <w:p>
      <w:pPr>
        <w:pStyle w:val="1309"/>
        <w:numPr>
          <w:ilvl w:val="2"/>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19" w:name="_Toc18335"/>
      <w:r/>
      <w:bookmarkStart w:id="120" w:name="_Toc16954"/>
      <w:r/>
      <w:bookmarkStart w:id="121" w:name="_Toc202797562"/>
      <w:r>
        <w:rPr>
          <w:rFonts w:ascii="Arial" w:hAnsi="Arial" w:eastAsia="微软雅黑" w:cs="Arial"/>
          <w:b w:val="0"/>
          <w:i w:val="0"/>
          <w:color w:val="4f81bd" w:themeColor="accent1"/>
          <w:sz w:val="22"/>
          <w:szCs w:val="22"/>
          <w14:textFill>
            <w14:solidFill>
              <w14:schemeClr w14:val="accent1"/>
            </w14:solidFill>
          </w14:textFill>
        </w:rPr>
        <w:t xml:space="preserve">乳制品行业发展趋势</w:t>
      </w:r>
      <w:bookmarkEnd w:id="119"/>
      <w:r/>
      <w:bookmarkEnd w:id="120"/>
      <w:r/>
      <w:bookmarkEnd w:id="121"/>
      <w:r/>
      <w:r>
        <w:rPr>
          <w:rFonts w:ascii="Arial" w:hAnsi="Arial" w:eastAsia="微软雅黑" w:cs="Arial"/>
          <w:b w:val="0"/>
          <w:i w:val="0"/>
          <w:color w:val="4f81bd" w:themeColor="accent1"/>
          <w:sz w:val="22"/>
          <w:szCs w:val="22"/>
          <w14:textFill>
            <w14:solidFill>
              <w14:schemeClr w14:val="accent1"/>
            </w14:solidFill>
          </w14:textFill>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乳制品行业转型升级</w:t>
      </w:r>
      <w:r>
        <w:rPr>
          <w:rFonts w:ascii="Arial" w:hAnsi="Arial" w:eastAsia="微软雅黑" w:cs="Arial"/>
          <w:sz w:val="22"/>
          <w:szCs w:val="22"/>
        </w:rPr>
      </w:r>
    </w:p>
    <w:p>
      <w:pPr>
        <w:pBdr/>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乳制品行业未来将依托设备更新和技术创新，加快全产业链循环发展模式。乳制品的生产环节会进一步加大现代信息技术应用，促进数字技术与产业链深度融合，提高装备设施自动化、数字化、智能化水平，从而推动乳制品行业转型升级。</w:t>
      </w:r>
      <w:r>
        <w:rPr>
          <w:rFonts w:ascii="Arial" w:hAnsi="Arial" w:eastAsia="微软雅黑" w:cs="Arial"/>
          <w:sz w:val="22"/>
          <w:szCs w:val="22"/>
        </w:rPr>
      </w:r>
    </w:p>
    <w:p>
      <w:pPr>
        <w:pStyle w:val="1396"/>
        <w:numPr>
          <w:ilvl w:val="0"/>
          <w:numId w:val="15"/>
        </w:numPr>
        <w:pBdr/>
        <w:spacing w:after="156" w:before="156"/>
        <w:ind w:hanging="360" w:left="919"/>
        <w:rPr>
          <w:rFonts w:ascii="Arial" w:hAnsi="Arial" w:eastAsia="微软雅黑" w:cs="Arial"/>
          <w:sz w:val="22"/>
          <w:szCs w:val="22"/>
        </w:rPr>
      </w:pPr>
      <w:r>
        <w:rPr>
          <w:rFonts w:ascii="Arial" w:hAnsi="Arial" w:eastAsia="微软雅黑" w:cs="Arial"/>
          <w:sz w:val="22"/>
          <w:szCs w:val="22"/>
        </w:rPr>
        <w:t xml:space="preserve">市场规模不断扩大</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hint="eastAsia" w:ascii="Arial" w:hAnsi="Arial" w:eastAsia="微软雅黑" w:cs="Arial"/>
          <w:sz w:val="22"/>
          <w:szCs w:val="22"/>
        </w:rPr>
        <w:t xml:space="preserve">乳制品是牛乳或羊乳等乳液作为主要原料的制品。乳制品含有丰富且易吸收的营养物质，一直以来被认为是"健康产业"。随着乳制品加工工艺的发展，市场上出现越来越多种类的乳制饮品及各种乳制加工食品。近两年中国乳制品整体呈现下降趋势，我国乳制品行业在宏观经济弱复苏下需求增长不足，原奶供需失衡。根据国家统计局数据显示：{{清单模板-数据表-B2}}12月中国乳制品产量为267万吨，同比增长4.4%；{{清单模板-数据表-B2}}1-12月中国乳制品累计产量为2961.8万吨，累计下降1.9%。</w:t>
      </w:r>
      <w:r>
        <w:rPr>
          <w:rStyle w:val="1324"/>
          <w:rFonts w:ascii="Arial" w:hAnsi="Arial" w:eastAsia="微软雅黑" w:cs="Arial"/>
          <w:sz w:val="22"/>
          <w:szCs w:val="22"/>
        </w:rPr>
        <w:footnoteReference w:id="13"/>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销售渠道多元化，线上销售渠道、母婴渠道占比增加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随着我国网络技术发展，人们消费方式的转变，婴幼儿配方乳粉企业不再局限于某单一销售渠道，采用线上与线下相结合的模式的比例逐年增加。</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未来销售渠道多元化趋势明显，线上销售、母婴渠道份额将继续提升，特别是母婴渠道，已经成为国内乳粉生产企业最重要的竞争领域之一，越来越多的企业针对母婴门店展开差异化的销售和营销策略，并且加强与连锁母婴店的渠道合作。</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消费升级推动婴幼儿配方奶粉向高端化、多样化发展</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经济的发展，中产阶级崛起，其消费能力和消费意愿均较强，对于婴幼儿配方奶粉的营养全面性、安全性等更加重视，因此高端和超高端奶粉的销售增长迅速。国内乳粉企业也在不断加强研发投入，从奶源、配方等多方面推出多样化的产品，如羊奶粉、有机奶粉、A2粉，OPO、DHA+ARA、FOS+GOS等多种营养添加奶粉，满足不同消费人群的多样化需求。</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调制乳粉成为乳粉行业新的增长点</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随着我国老龄化的加剧及中国居民生活水平和健康意识的提高，人们对营养摄入的认知和需求不断提升，产品也从简单的营养补充向配方化、功能化升级，满足儿童、成人等人群的调制乳粉成为乳粉行业未来新的增长点。</w:t>
      </w:r>
      <w:r>
        <w:rPr>
          <w:rFonts w:ascii="Arial" w:hAnsi="Arial" w:eastAsia="微软雅黑" w:cs="Arial"/>
          <w:sz w:val="22"/>
          <w:szCs w:val="22"/>
        </w:rPr>
      </w:r>
    </w:p>
    <w:p>
      <w:pPr>
        <w:pStyle w:val="1453"/>
        <w:numPr>
          <w:ilvl w:val="0"/>
          <w:numId w:val="15"/>
        </w:numPr>
        <w:pBdr/>
        <w:spacing w:after="156" w:before="156"/>
        <w:ind/>
        <w:rPr>
          <w:rFonts w:ascii="Arial" w:hAnsi="Arial" w:eastAsia="微软雅黑" w:cs="Arial"/>
          <w:sz w:val="22"/>
          <w:szCs w:val="22"/>
        </w:rPr>
      </w:pPr>
      <w:r>
        <w:rPr>
          <w:rFonts w:ascii="Arial" w:hAnsi="Arial" w:eastAsia="微软雅黑" w:cs="Arial"/>
          <w:sz w:val="22"/>
          <w:szCs w:val="22"/>
        </w:rPr>
        <w:t xml:space="preserve">“新国标”的实施</w:t>
      </w:r>
      <w:r>
        <w:rPr>
          <w:rFonts w:ascii="Arial" w:hAnsi="Arial" w:eastAsia="微软雅黑" w:cs="Arial"/>
          <w:sz w:val="22"/>
          <w:szCs w:val="22"/>
        </w:rPr>
      </w:r>
    </w:p>
    <w:p>
      <w:pPr>
        <w:pBdr/>
        <w:shd w:val="clear" w:color="auto" w:fill="ffffff"/>
        <w:spacing w:after="156" w:before="156"/>
        <w:ind w:right="0" w:firstLine="440" w:left="0"/>
        <w:rPr>
          <w:rFonts w:ascii="Arial" w:hAnsi="Arial" w:eastAsia="微软雅黑" w:cs="Arial"/>
          <w:sz w:val="22"/>
          <w:szCs w:val="22"/>
        </w:rPr>
      </w:pPr>
      <w:r>
        <w:rPr>
          <w:rFonts w:ascii="Arial" w:hAnsi="Arial" w:eastAsia="微软雅黑" w:cs="Arial"/>
          <w:sz w:val="22"/>
          <w:szCs w:val="22"/>
        </w:rPr>
        <w:t xml:space="preserve">2023年2月22日，国家卫生健康委员会发布的婴幼儿配方奶粉新国标（以下简称“新国标”）将正式实施，相较旧国标，新国标对配方奶粉提出更高和更细化的要求。新国标的实施对奶粉行业的影响主要体现在三方面，新国标实施代表着最优品质的奶粉将陆续上市，利好消费端；新国标的申请门槛较高，有一部分品牌已放弃申请注册，这也进一步推动了市场集中度的提升；新国标叠加二次配方注册，加快了企业从过去重营销向重科技创新转变。新国标产品的推出将成为中国奶粉行业实现控货稳价的新契机。</w:t>
      </w:r>
      <w:r>
        <w:rPr>
          <w:rFonts w:ascii="Arial" w:hAnsi="Arial" w:eastAsia="微软雅黑" w:cs="Arial"/>
          <w:sz w:val="22"/>
          <w:szCs w:val="22"/>
        </w:rPr>
      </w:r>
    </w:p>
    <w:p>
      <w:pPr>
        <w:pStyle w:val="1309"/>
        <w:keepNext w:val="true"/>
        <w:numPr>
          <w:ilvl w:val="2"/>
          <w:numId w:val="11"/>
        </w:numPr>
        <w:pBdr/>
        <w:spacing w:after="156" w:before="156"/>
        <w:ind w:firstLine="0" w:left="0"/>
        <w:rPr>
          <w:rFonts w:ascii="Arial" w:hAnsi="Arial" w:eastAsia="微软雅黑" w:cs="Arial"/>
          <w:b w:val="0"/>
          <w:i w:val="0"/>
          <w:color w:val="4f81bd"/>
          <w:sz w:val="22"/>
          <w:szCs w:val="22"/>
        </w:rPr>
      </w:pPr>
      <w:r/>
      <w:bookmarkStart w:id="122" w:name="_Toc22431"/>
      <w:r/>
      <w:bookmarkStart w:id="123" w:name="_Toc202797563"/>
      <w:r/>
      <w:bookmarkStart w:id="124" w:name="_Toc4592"/>
      <w:r>
        <w:rPr>
          <w:rFonts w:ascii="Arial" w:hAnsi="Arial" w:eastAsia="微软雅黑" w:cs="Arial"/>
          <w:b w:val="0"/>
          <w:i w:val="0"/>
          <w:color w:val="4f81bd"/>
          <w:sz w:val="22"/>
          <w:szCs w:val="22"/>
        </w:rPr>
        <w:t xml:space="preserve">工业行业发展趋势</w:t>
      </w:r>
      <w:bookmarkEnd w:id="122"/>
      <w:r/>
      <w:bookmarkEnd w:id="123"/>
      <w:r/>
      <w:bookmarkEnd w:id="124"/>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2}}全球GDP增速为3.3%，较2023年上升0.6个百分点。预计2025年及2026年全球GDP增速为2.8%、3.0%，较以往预测值有所下调，世界各国政府调整政策重点、不确定性攀升至新高。在贸易紧张局势升级、金融市场经历调整的环境下，不断加剧的下行风险主导着经济前景。</w:t>
      </w:r>
      <w:r>
        <w:rPr>
          <w:rStyle w:val="1324"/>
          <w:rFonts w:ascii="Arial" w:hAnsi="Arial" w:eastAsia="微软雅黑" w:cs="Arial"/>
          <w:sz w:val="22"/>
          <w:szCs w:val="22"/>
          <w:lang w:bidi="ar"/>
        </w:rPr>
        <w:footnoteReference w:id="14"/>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随着我国工业经济结构调整与产业升级的持续推进，庞大的制造业市场将为国内工业自动化行业提供良好的发展机遇。同时，我国人口老龄化现象加剧，劳动人口短缺促使机器替代人工成为长期趋势，进一步推动了市场对工业自动化装备的需求。未来随着全球工业4.0时代的持续推进，各应用领域对工业自动化设备的需求将进一步增加。</w:t>
      </w:r>
      <w:r>
        <w:rPr>
          <w:rFonts w:ascii="Arial" w:hAnsi="Arial" w:eastAsia="微软雅黑" w:cs="Arial"/>
          <w:sz w:val="22"/>
          <w:szCs w:val="22"/>
          <w:lang w:bidi="ar"/>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25" w:name="_Toc13108"/>
      <w:r/>
      <w:bookmarkStart w:id="126" w:name="_Toc202797564"/>
      <w:r/>
      <w:bookmarkStart w:id="127" w:name="_Toc12250"/>
      <w:r>
        <w:rPr>
          <w:rFonts w:ascii="Arial" w:hAnsi="Arial" w:eastAsia="微软雅黑" w:cs="Arial"/>
          <w:b w:val="0"/>
          <w:i w:val="0"/>
          <w:color w:val="4f81bd"/>
          <w:sz w:val="22"/>
          <w:szCs w:val="22"/>
        </w:rPr>
        <w:t xml:space="preserve">结论</w:t>
      </w:r>
      <w:bookmarkEnd w:id="125"/>
      <w:r/>
      <w:bookmarkEnd w:id="126"/>
      <w:r/>
      <w:bookmarkEnd w:id="127"/>
      <w:r/>
      <w:r>
        <w:rPr>
          <w:rFonts w:ascii="Arial" w:hAnsi="Arial" w:eastAsia="微软雅黑" w:cs="Arial"/>
          <w:b w:val="0"/>
          <w:i w:val="0"/>
          <w:color w:val="4f81bd"/>
          <w:sz w:val="22"/>
          <w:szCs w:val="22"/>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清单模板-数据表-B5}}所处的工业自动化制造行业在结束下探走势，开始稳步回升。{{清单模板-数据表-B5}}主要下游行业——乳制品行业处于稳定成长的状态，随着国家对于乳业的支持以及消费渠道的打开，下游市场也预期良好。</w:t>
      </w:r>
      <w:r>
        <w:rPr>
          <w:rFonts w:ascii="Arial" w:hAnsi="Arial" w:eastAsia="微软雅黑" w:cs="Arial"/>
          <w:sz w:val="22"/>
          <w:szCs w:val="22"/>
          <w:lang w:bidi="ar"/>
        </w:rPr>
      </w:r>
    </w:p>
    <w:p>
      <w:pPr>
        <w:pBdr/>
        <w:spacing w:after="156" w:before="156"/>
        <w:ind w:firstLine="440" w:left="0"/>
        <w:rPr>
          <w:rFonts w:ascii="Arial" w:hAnsi="Arial" w:eastAsia="微软雅黑" w:cs="Arial"/>
          <w:sz w:val="22"/>
          <w:szCs w:val="22"/>
          <w:lang w:bidi="ar"/>
        </w:rPr>
      </w:pPr>
      <w:r>
        <w:rPr>
          <w:rFonts w:ascii="Arial" w:hAnsi="Arial" w:eastAsia="微软雅黑" w:cs="Arial"/>
          <w:sz w:val="22"/>
          <w:szCs w:val="22"/>
          <w:lang w:bidi="ar"/>
        </w:rPr>
        <w:t xml:space="preserve">综上所述，{{清单模板-数据表-B5}}容易受到下游行业发展情况影响，面临的市场竞争非常激烈。</w:t>
      </w:r>
      <w:r>
        <w:rPr>
          <w:rFonts w:ascii="Arial" w:hAnsi="Arial" w:eastAsia="微软雅黑" w:cs="Arial"/>
          <w:sz w:val="22"/>
          <w:szCs w:val="22"/>
          <w:lang w:bidi="ar"/>
        </w:rPr>
        <w:br w:type="page" w:clear="all"/>
      </w:r>
      <w:r>
        <w:rPr>
          <w:rFonts w:ascii="Arial" w:hAnsi="Arial" w:eastAsia="微软雅黑" w:cs="Arial"/>
          <w:sz w:val="22"/>
          <w:szCs w:val="22"/>
          <w:lang w:bidi="ar"/>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128" w:name="_Toc522015202"/>
      <w:r/>
      <w:bookmarkStart w:id="129" w:name="_Toc47700019"/>
      <w:r/>
      <w:bookmarkStart w:id="130" w:name="_Toc76668388"/>
      <w:r/>
      <w:bookmarkStart w:id="131" w:name="_Toc22313"/>
      <w:r/>
      <w:bookmarkStart w:id="132" w:name="_Toc27475"/>
      <w:r/>
      <w:bookmarkStart w:id="133" w:name="_Toc202797565"/>
      <w:r/>
      <w:bookmarkStart w:id="134" w:name="_Toc19939"/>
      <w:r>
        <w:rPr>
          <w:rFonts w:ascii="Arial" w:hAnsi="Arial" w:eastAsia="微软雅黑" w:cs="Arial"/>
          <w:color w:val="4f81bd"/>
          <w:sz w:val="28"/>
          <w:szCs w:val="22"/>
        </w:rPr>
        <w:t xml:space="preserve">关联交易</w:t>
      </w:r>
      <w:bookmarkEnd w:id="128"/>
      <w:r/>
      <w:bookmarkEnd w:id="129"/>
      <w:r/>
      <w:bookmarkEnd w:id="130"/>
      <w:r/>
      <w:bookmarkEnd w:id="131"/>
      <w:r/>
      <w:bookmarkEnd w:id="132"/>
      <w:r/>
      <w:bookmarkEnd w:id="133"/>
      <w:r/>
      <w:bookmarkEnd w:id="134"/>
      <w:r/>
      <w:r>
        <w:rPr>
          <w:rFonts w:ascii="Arial" w:hAnsi="Arial" w:eastAsia="微软雅黑" w:cs="Arial"/>
          <w:color w:val="4f81bd"/>
          <w:sz w:val="28"/>
          <w:szCs w:val="22"/>
        </w:rPr>
      </w:r>
    </w:p>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35" w:name="_Toc17664"/>
      <w:r/>
      <w:bookmarkStart w:id="136" w:name="_Toc202797566"/>
      <w:r/>
      <w:bookmarkStart w:id="137" w:name="_Toc47700020"/>
      <w:r/>
      <w:bookmarkStart w:id="138" w:name="_Toc76668389"/>
      <w:r/>
      <w:bookmarkStart w:id="139" w:name="_Toc9609"/>
      <w:r/>
      <w:bookmarkStart w:id="140" w:name="_Toc522015204"/>
      <w:r/>
      <w:bookmarkStart w:id="141" w:name="_Toc25956"/>
      <w:r>
        <w:rPr>
          <w:rFonts w:ascii="Arial" w:hAnsi="Arial" w:eastAsia="微软雅黑" w:cs="Arial"/>
          <w:b w:val="0"/>
          <w:i w:val="0"/>
          <w:color w:val="4f81bd"/>
          <w:sz w:val="22"/>
          <w:szCs w:val="22"/>
        </w:rPr>
        <w:t xml:space="preserve">关联方信息</w:t>
      </w:r>
      <w:bookmarkEnd w:id="135"/>
      <w:r/>
      <w:bookmarkEnd w:id="136"/>
      <w:r/>
      <w:bookmarkEnd w:id="137"/>
      <w:r/>
      <w:bookmarkEnd w:id="138"/>
      <w:r/>
      <w:bookmarkEnd w:id="139"/>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{{清单模板-数据表-B5}}{{清单模板-数据表-B2}}主要关联方的基本信息如下所示：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1）{{清单模板-数据表-B5}}的母公司情况：</w:t>
      </w:r>
      <w:r>
        <w:rPr>
          <w:rStyle w:val="1324"/>
          <w:rFonts w:ascii="Arial" w:hAnsi="Arial" w:eastAsia="微软雅黑" w:cs="Arial"/>
          <w:sz w:val="22"/>
          <w:szCs w:val="22"/>
        </w:rPr>
        <w:footnoteReference w:id="15"/>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图表6：本公司的母公司基本信息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56"/>
        <w:gridCol w:w="1318"/>
        <w:gridCol w:w="1764"/>
        <w:gridCol w:w="1879"/>
      </w:tblGrid>
      <w:tr>
        <w:trPr>
          <w:jc w:val="center"/>
          <w:trHeight w:val="454"/>
        </w:trPr>
        <w:tc>
          <w:tcPr>
            <w:shd w:val="clear" w:color="auto" w:fill="4f81bd"/>
            <w:tcBorders/>
            <w:tcW w:w="3256"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公司名称</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318" w:type="dxa"/>
            <w:vAlign w:val="center"/>
            <w:textDirection w:val="lrTb"/>
            <w:noWrap w:val="false"/>
          </w:tcPr>
          <w:p>
            <w:pPr>
              <w:pBdr/>
              <w:spacing w:after="0" w:before="0"/>
              <w:ind w:right="0" w:left="0"/>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cBorders/>
            <w:tcW w:w="176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879"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企业所得税税率</w:t>
            </w:r>
            <w:r>
              <w:rPr>
                <w:rFonts w:ascii="Arial" w:hAnsi="Arial" w:eastAsia="微软雅黑" w:cs="Arial"/>
                <w:b/>
                <w:color w:val="ffffff" w:themeColor="background1"/>
                <w:sz w:val="18"/>
                <w:szCs w:val="18"/>
                <w14:textFill>
                  <w14:solidFill>
                    <w14:schemeClr w14:val="bg1"/>
                  </w14:solidFill>
                </w14:textFill>
              </w:rPr>
            </w:r>
          </w:p>
        </w:tc>
      </w:tr>
      <w:tr>
        <w:trPr>
          <w:jc w:val="center"/>
          <w:trHeight w:val="454"/>
        </w:trPr>
        <w:tc>
          <w:tcPr>
            <w:tcBorders/>
            <w:tcW w:w="3256"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斯必克（中国）投资有限公司</w:t>
            </w:r>
            <w:r>
              <w:rPr>
                <w:rFonts w:ascii="Arial" w:hAnsi="Arial" w:eastAsia="微软雅黑" w:cs="Arial"/>
                <w:sz w:val="18"/>
                <w:szCs w:val="18"/>
                <w:highlight w:val="yellow"/>
              </w:rPr>
            </w:r>
          </w:p>
        </w:tc>
        <w:tc>
          <w:tcPr>
            <w:tcBorders/>
            <w:tcW w:w="1318"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中国</w:t>
            </w:r>
            <w:r>
              <w:rPr>
                <w:rFonts w:ascii="Arial" w:hAnsi="Arial" w:eastAsia="微软雅黑" w:cs="Arial"/>
                <w:sz w:val="18"/>
                <w:szCs w:val="18"/>
                <w:highlight w:val="yellow"/>
              </w:rPr>
            </w:r>
          </w:p>
        </w:tc>
        <w:tc>
          <w:tcPr>
            <w:tcBorders/>
            <w:tcW w:w="1764"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投资方</w:t>
            </w:r>
            <w:r>
              <w:rPr>
                <w:rFonts w:ascii="Arial" w:hAnsi="Arial" w:eastAsia="微软雅黑" w:cs="Arial"/>
                <w:sz w:val="18"/>
                <w:szCs w:val="18"/>
                <w:highlight w:val="yellow"/>
              </w:rPr>
            </w:r>
          </w:p>
        </w:tc>
        <w:tc>
          <w:tcPr>
            <w:tcBorders/>
            <w:tcW w:w="1879" w:type="dxa"/>
            <w:vAlign w:val="center"/>
            <w:textDirection w:val="lrTb"/>
            <w:noWrap w:val="false"/>
          </w:tcPr>
          <w:p>
            <w:pPr>
              <w:pBdr/>
              <w:spacing w:after="0" w:before="0"/>
              <w:ind w:right="0" w:left="0"/>
              <w:jc w:val="center"/>
              <w:rPr>
                <w:rFonts w:ascii="Arial" w:hAnsi="Arial" w:eastAsia="微软雅黑" w:cs="Arial"/>
                <w:sz w:val="18"/>
                <w:szCs w:val="18"/>
                <w:highlight w:val="yellow"/>
              </w:rPr>
            </w:pPr>
            <w:r>
              <w:rPr>
                <w:rFonts w:ascii="Arial" w:hAnsi="Arial" w:eastAsia="微软雅黑" w:cs="Arial"/>
                <w:sz w:val="18"/>
                <w:szCs w:val="18"/>
              </w:rPr>
              <w:t xml:space="preserve">25%</w:t>
            </w:r>
            <w:r>
              <w:rPr>
                <w:rFonts w:ascii="Arial" w:hAnsi="Arial" w:eastAsia="微软雅黑" w:cs="Arial"/>
                <w:sz w:val="18"/>
                <w:szCs w:val="18"/>
                <w:highlight w:val="yellow"/>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母公司斯必克（中国）投资有限公司对本公司的持股比例为100%，所持本公司的表决权比例为100%。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2）{{清单模板-数据表-B5}}的其他关联方情况如下：</w:t>
      </w:r>
      <w:r>
        <w:rPr>
          <w:rStyle w:val="1324"/>
          <w:rFonts w:ascii="Arial" w:hAnsi="Arial" w:eastAsia="微软雅黑" w:cs="Arial"/>
          <w:sz w:val="22"/>
          <w:szCs w:val="22"/>
        </w:rPr>
        <w:footnoteReference w:id="16"/>
      </w:r>
      <w:r>
        <w:rPr>
          <w:rFonts w:ascii="Arial" w:hAnsi="Arial" w:eastAsia="微软雅黑" w:cs="Arial"/>
          <w:sz w:val="22"/>
          <w:szCs w:val="22"/>
        </w:rPr>
      </w:r>
    </w:p>
    <w:p>
      <w:pPr>
        <w:pBdr/>
        <w:spacing w:after="156" w:before="156"/>
        <w:ind w:firstLine="440"/>
        <w:rPr>
          <w:rFonts w:ascii="Arial" w:hAnsi="Arial" w:eastAsia="微软雅黑" w:cs="Arial"/>
        </w:rPr>
      </w:pPr>
      <w:r>
        <w:rPr>
          <w:rFonts w:ascii="Arial" w:hAnsi="Arial" w:eastAsia="微软雅黑" w:cs="Arial"/>
          <w:sz w:val="22"/>
          <w:szCs w:val="22"/>
        </w:rPr>
        <w:t xml:space="preserve">在{{清单模板-数据表-B2}}，没有个人关联方直接或间接持有{{清单模板-数据表-B5}}的股份（如:个人持有最终母公司超过25%的股份）或与{{清单模板-数据表-B5}}发生关联交易。</w:t>
      </w:r>
      <w:r>
        <w:rPr>
          <w:rFonts w:ascii="Arial" w:hAnsi="Arial" w:eastAsia="微软雅黑" w:cs="Arial"/>
          <w:sz w:val="22"/>
          <w:szCs w:val="22"/>
        </w:rPr>
      </w:r>
      <w:r>
        <w:rPr>
          <w:rFonts w:ascii="Arial" w:hAnsi="Arial" w:eastAsia="微软雅黑" w:cs="Aria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图表7：本公司的其他关联方的基本信息</w:t>
      </w:r>
      <w:r>
        <w:rPr>
          <w:rFonts w:ascii="Arial" w:hAnsi="Arial" w:eastAsia="微软雅黑" w:cs="Arial"/>
          <w:bCs w:val="0"/>
          <w:sz w:val="18"/>
          <w:szCs w:val="18"/>
        </w:rPr>
      </w:r>
    </w:p>
    <w:tbl>
      <w:tblPr>
        <w:tblStyle w:val="1293"/>
        <w:tblW w:w="82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81"/>
        <w:gridCol w:w="1701"/>
        <w:gridCol w:w="2835"/>
      </w:tblGrid>
      <w:tr>
        <w:trPr>
          <w:jc w:val="center"/>
          <w:trHeight w:val="397"/>
          <w:tblHeader/>
        </w:trPr>
        <w:tc>
          <w:tcPr>
            <w:shd w:val="clear" w:color="auto" w:fill="4f81bd"/>
            <w:tcBorders/>
            <w:tcW w:w="368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170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地区/国家</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cBorders/>
            <w:tcW w:w="283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与本公司关系</w:t>
            </w:r>
            <w:r>
              <w:rPr>
                <w:rFonts w:ascii="Arial" w:hAnsi="Arial" w:eastAsia="微软雅黑" w:cs="Arial"/>
                <w:b/>
                <w:color w:val="ffffff" w:themeColor="background1"/>
                <w:sz w:val="18"/>
                <w:szCs w:val="18"/>
                <w14:textFill>
                  <w14:solidFill>
                    <w14:schemeClr w14:val="bg1"/>
                  </w14:solidFill>
                </w14:textFill>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SPX Flow, Inc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最终控股公司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Chile Limitada</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智利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Poland Sp. z o.o.</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波兰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US, LLC</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Philadelphia Mixing Solutions LLC</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美国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(Thailand)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泰国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Mexico, S.A. de C.V.</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墨西哥</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Singapore Pte.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新加坡</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Hong Kong Limited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香港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lang w:bidi="ar"/>
              </w:rPr>
              <w:t xml:space="preserve">SPX Flow Technology Australia Pty. Ltd.</w:t>
            </w:r>
            <w:r>
              <w:rPr>
                <w:rFonts w:ascii="Arial" w:hAnsi="Arial" w:eastAsia="微软雅黑" w:cs="Arial"/>
                <w:sz w:val="18"/>
                <w:szCs w:val="18"/>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澳大利亚</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Japan, Inc.</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日本</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Denmark 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丹麦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Hungary Kft.</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匈牙利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s.r.o.</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斯洛伐克</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SAS</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法国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Crawley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(Pty) Ltd.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南非</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Middle East FZE</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阿拉伯联合酋长国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val="de-DE" w:bidi="ar"/>
              </w:rPr>
              <w:t xml:space="preserve">Stelzer Rührtechnik International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Europe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英国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(India) Private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印度</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Germany GmbH</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德国</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Assen B.V.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Hydraulic Technologies Netherlands BV</w:t>
            </w:r>
            <w:r>
              <w:rPr>
                <w:rFonts w:ascii="Arial" w:hAnsi="Arial" w:eastAsia="微软雅黑" w:cs="Arial"/>
                <w:sz w:val="18"/>
                <w:szCs w:val="18"/>
                <w:lang w:bidi="ar"/>
              </w:rPr>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荷兰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Santorso s.r.l.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意大利</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Belgium N.V.</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比利时</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APV Middle East Limited</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沙特阿拉伯</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Uutechnic Oy</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芬兰</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r>
        <w:trPr>
          <w:jc w:val="center"/>
          <w:trHeight w:val="397"/>
        </w:trPr>
        <w:tc>
          <w:tcPr>
            <w:tcBorders/>
            <w:tcW w:w="3681" w:type="dxa"/>
            <w:vAlign w:val="center"/>
            <w:textDirection w:val="lrTb"/>
            <w:noWrap w:val="false"/>
          </w:tcPr>
          <w:p>
            <w:pPr>
              <w:pBdr/>
              <w:spacing w:after="0" w:before="0"/>
              <w:ind w:right="0" w:left="0"/>
              <w:rPr>
                <w:rFonts w:ascii="Arial" w:hAnsi="Arial" w:eastAsia="微软雅黑" w:cs="Arial"/>
                <w:sz w:val="18"/>
                <w:szCs w:val="18"/>
                <w:lang w:bidi="ar"/>
              </w:rPr>
            </w:pPr>
            <w:r>
              <w:rPr>
                <w:rFonts w:ascii="Arial" w:hAnsi="Arial" w:eastAsia="微软雅黑" w:cs="Arial"/>
                <w:sz w:val="18"/>
                <w:szCs w:val="18"/>
                <w:lang w:bidi="ar"/>
              </w:rPr>
              <w:t xml:space="preserve">SPX Flow Technology Do Brasil</w:t>
            </w:r>
            <w:r>
              <w:rPr>
                <w:rFonts w:ascii="Arial" w:hAnsi="Arial" w:eastAsia="微软雅黑" w:cs="Arial"/>
                <w:sz w:val="18"/>
                <w:szCs w:val="18"/>
                <w:lang w:bidi="ar"/>
              </w:rPr>
            </w:r>
          </w:p>
        </w:tc>
        <w:tc>
          <w:tcPr>
            <w:tcBorders/>
            <w:tcW w:w="1701" w:type="dxa"/>
            <w:vAlign w:val="center"/>
            <w:textDirection w:val="lrTb"/>
            <w:noWrap w:val="false"/>
          </w:tcPr>
          <w:p>
            <w:pPr>
              <w:pBdr/>
              <w:spacing w:after="0" w:before="0"/>
              <w:ind w:right="0" w:left="0"/>
              <w:jc w:val="center"/>
              <w:rPr>
                <w:rFonts w:ascii="Arial" w:hAnsi="Arial" w:eastAsia="微软雅黑" w:cs="Arial"/>
                <w:sz w:val="18"/>
                <w:szCs w:val="18"/>
              </w:rPr>
            </w:pPr>
            <w:r>
              <w:rPr>
                <w:rFonts w:hint="eastAsia" w:ascii="Arial" w:hAnsi="Arial" w:eastAsia="微软雅黑" w:cs="Arial"/>
                <w:sz w:val="18"/>
                <w:szCs w:val="18"/>
              </w:rPr>
              <w:t xml:space="preserve">巴西</w:t>
            </w:r>
            <w:r>
              <w:rPr>
                <w:rFonts w:ascii="Arial" w:hAnsi="Arial" w:eastAsia="微软雅黑" w:cs="Arial"/>
                <w:sz w:val="18"/>
                <w:szCs w:val="18"/>
              </w:rPr>
            </w:r>
          </w:p>
        </w:tc>
        <w:tc>
          <w:tcPr>
            <w:tcBorders/>
            <w:tcW w:w="2835"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同受最终控股公司控制的公司</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sz w:val="22"/>
          <w:szCs w:val="22"/>
        </w:rPr>
      </w:pPr>
      <w:r/>
      <w:bookmarkStart w:id="142" w:name="_Toc202797567"/>
      <w:r/>
      <w:bookmarkStart w:id="143" w:name="_Toc23518"/>
      <w:r/>
      <w:bookmarkStart w:id="144" w:name="_Toc47700021"/>
      <w:r/>
      <w:bookmarkStart w:id="145" w:name="_Toc22317"/>
      <w:r/>
      <w:bookmarkStart w:id="146" w:name="_Toc76668390"/>
      <w:r>
        <w:rPr>
          <w:rFonts w:ascii="Arial" w:hAnsi="Arial" w:eastAsia="微软雅黑" w:cs="Arial"/>
          <w:b w:val="0"/>
          <w:i w:val="0"/>
          <w:color w:val="4f81bd"/>
          <w:sz w:val="22"/>
          <w:szCs w:val="22"/>
        </w:rPr>
        <w:t xml:space="preserve">主要关联交易</w:t>
      </w:r>
      <w:bookmarkEnd w:id="140"/>
      <w:r/>
      <w:bookmarkEnd w:id="141"/>
      <w:r/>
      <w:bookmarkEnd w:id="142"/>
      <w:r/>
      <w:bookmarkEnd w:id="143"/>
      <w:r/>
      <w:bookmarkEnd w:id="144"/>
      <w:r/>
      <w:bookmarkEnd w:id="145"/>
      <w:r/>
      <w:bookmarkEnd w:id="146"/>
      <w:r/>
      <w:r>
        <w:rPr>
          <w:rFonts w:ascii="Arial" w:hAnsi="Arial" w:eastAsia="微软雅黑" w:cs="Arial"/>
          <w:b w:val="0"/>
          <w:i w:val="0"/>
          <w:color w:val="4f81bd"/>
          <w:sz w:val="22"/>
          <w:szCs w:val="22"/>
        </w:rPr>
      </w:r>
    </w:p>
    <w:p>
      <w:pPr>
        <w:pBdr/>
        <w:spacing w:after="156" w:before="156"/>
        <w:ind w:firstLine="440"/>
        <w:rPr>
          <w:rFonts w:ascii="Arial" w:hAnsi="Arial" w:eastAsia="微软雅黑" w:cs="Arial"/>
          <w:sz w:val="22"/>
          <w:szCs w:val="22"/>
        </w:rPr>
      </w:pPr>
      <w:r/>
      <w:bookmarkStart w:id="147" w:name="_Toc520786966"/>
      <w:r/>
      <w:bookmarkStart w:id="148" w:name="_Toc466642567"/>
      <w:r>
        <w:rPr>
          <w:rFonts w:ascii="Arial" w:hAnsi="Arial" w:eastAsia="微软雅黑" w:cs="Arial"/>
          <w:sz w:val="22"/>
          <w:szCs w:val="22"/>
        </w:rPr>
        <w:t xml:space="preserve">评估期间，{{清单模板-数据表-B5}}涉及的关联交易包括有形资产的采购及销售；接受及提供关联劳务；以及参与集团现金池协议。主要关联交易金额及类型如下图所示：</w:t>
      </w:r>
      <w:r>
        <w:rPr>
          <w:rStyle w:val="1324"/>
          <w:rFonts w:ascii="Arial" w:hAnsi="Arial" w:eastAsia="微软雅黑" w:cs="Arial"/>
          <w:sz w:val="22"/>
          <w:szCs w:val="22"/>
        </w:rPr>
        <w:footnoteReference w:id="17"/>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图表8：关联交易汇总情况表</w:t>
      </w:r>
      <w:r>
        <w:rPr>
          <w:rFonts w:ascii="Arial" w:hAnsi="Arial" w:eastAsia="微软雅黑" w:cs="Arial"/>
          <w:bCs w:val="0"/>
          <w:sz w:val="18"/>
          <w:szCs w:val="18"/>
        </w:rPr>
      </w:r>
    </w:p>
    <w:tbl>
      <w:tblPr>
        <w:tblStyle w:val="1444"/>
        <w:tblW w:w="4972"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268"/>
        <w:gridCol w:w="2127"/>
        <w:gridCol w:w="1984"/>
        <w:gridCol w:w="2095"/>
      </w:tblGrid>
      <w:tr>
        <w:trPr>
          <w:trHeight w:val="693"/>
        </w:trPr>
        <w:tc>
          <w:tcPr>
            <w:shd w:val="clear" w:color="auto" w:fill="4f81bd"/>
            <w:tcBorders>
              <w:top w:val="none" w:color="000000" w:sz="4" w:space="0"/>
              <w:left w:val="none" w:color="000000" w:sz="4" w:space="0"/>
              <w:bottom w:val="none" w:color="000000" w:sz="4" w:space="0"/>
              <w:right w:val="none" w:color="000000" w:sz="4" w:space="0"/>
              <w:insideV w:val="none" w:color="000000" w:sz="4" w:space="0"/>
            </w:tcBorders>
            <w:tcW w:w="1338"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{{清单模板-关联交易汇总表}}</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55"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171"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cBorders>
              <w:top w:val="none" w:color="000000" w:sz="4" w:space="0"/>
              <w:bottom w:val="none" w:color="000000" w:sz="4" w:space="0"/>
              <w:right w:val="none" w:color="000000" w:sz="4" w:space="0"/>
              <w:insideV w:val="none" w:color="000000" w:sz="4" w:space="0"/>
            </w:tcBorders>
            <w:tcW w:w="1236" w:type="pct"/>
            <w:vAlign w:val="center"/>
            <w:textDirection w:val="lrTb"/>
            <w:noWrap w:val="false"/>
          </w:tcPr>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p>
            <w:pPr>
              <w:pBdr/>
              <w:spacing w:after="0" w:before="0"/>
              <w:ind w:right="0" w:left="0"/>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val="0"/>
                <w:bCs w:val="0"/>
                <w:color w:val="ffffff" w:themeColor="background1"/>
                <w:sz w:val="18"/>
                <w:szCs w:val="18"/>
                <w14:textFill>
                  <w14:solidFill>
                    <w14:schemeClr w14:val="bg1"/>
                  </w14:solidFill>
                </w14:textFill>
              </w:rPr>
            </w:r>
          </w:p>
        </w:tc>
      </w:tr>
    </w:tbl>
    <w:p>
      <w:pPr>
        <w:pBdr/>
        <w:spacing w:before="0"/>
        <w:ind w:left="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49" w:name="_Toc76668391"/>
      <w:r/>
      <w:bookmarkStart w:id="150" w:name="_Toc202797568"/>
      <w:r/>
      <w:bookmarkStart w:id="151" w:name="_Toc28050"/>
      <w:r/>
      <w:bookmarkStart w:id="152" w:name="_Toc28390"/>
      <w:r/>
      <w:bookmarkStart w:id="153" w:name="_Toc47700022"/>
      <w:r>
        <w:rPr>
          <w:rFonts w:ascii="Arial" w:hAnsi="Arial" w:eastAsia="微软雅黑" w:cs="Arial"/>
          <w:b w:val="0"/>
          <w:i w:val="0"/>
          <w:color w:val="4f81bd" w:themeColor="accent1"/>
          <w:sz w:val="22"/>
          <w:szCs w:val="22"/>
          <w14:textFill>
            <w14:solidFill>
              <w14:schemeClr w14:val="accent1"/>
            </w14:solidFill>
          </w14:textFill>
        </w:rPr>
        <w:t xml:space="preserve">关联购销</w:t>
      </w:r>
      <w:bookmarkEnd w:id="149"/>
      <w:r/>
      <w:bookmarkEnd w:id="150"/>
      <w:r/>
      <w:bookmarkEnd w:id="151"/>
      <w:r/>
      <w:bookmarkEnd w:id="152"/>
      <w:r/>
      <w:bookmarkEnd w:id="153"/>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54" w:name="_Toc47700023"/>
      <w:r/>
      <w:bookmarkStart w:id="155" w:name="_Toc202797569"/>
      <w:r/>
      <w:bookmarkStart w:id="156" w:name="_Toc76668392"/>
      <w:r/>
      <w:bookmarkStart w:id="157" w:name="_Toc22784"/>
      <w:r/>
      <w:bookmarkStart w:id="158" w:name="_Toc5310"/>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154"/>
      <w:r/>
      <w:bookmarkEnd w:id="155"/>
      <w:r/>
      <w:bookmarkEnd w:id="156"/>
      <w:r/>
      <w:bookmarkEnd w:id="157"/>
      <w:r/>
      <w:bookmarkEnd w:id="158"/>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hint="eastAsia" w:ascii="Arial" w:hAnsi="Arial" w:eastAsia="微软雅黑" w:cs="Arial"/>
          <w:b/>
          <w:i/>
          <w:color w:val="009cde"/>
          <w:sz w:val="22"/>
          <w:szCs w:val="22"/>
        </w:rPr>
      </w:pPr>
      <w:r>
        <w:rPr>
          <w:rFonts w:ascii="Arial" w:hAnsi="Arial" w:eastAsia="微软雅黑" w:cs="Arial"/>
          <w:sz w:val="22"/>
          <w:szCs w:val="22"/>
        </w:rPr>
        <w:t xml:space="preserve">{{清单模板-数据表-B5}}的关联购销流程如下图所示：</w:t>
      </w:r>
      <w:r>
        <w:rPr>
          <w:rFonts w:hint="eastAsia" w:ascii="Arial" w:hAnsi="Arial" w:eastAsia="微软雅黑" w:cs="Arial"/>
          <w:b/>
          <w:i/>
          <w:color w:val="009cde"/>
          <w:sz w:val="22"/>
          <w:szCs w:val="22"/>
        </w:rPr>
      </w:r>
    </w:p>
    <w:p>
      <w:pPr>
        <w:widowControl w:val="false"/>
        <w:pBdr/>
        <w:spacing w:after="0" w:before="0"/>
        <w:ind w:right="0" w:left="0"/>
        <w:jc w:val="center"/>
        <w:rPr>
          <w:rFonts w:ascii="Arial" w:hAnsi="Arial" w:eastAsia="微软雅黑" w:cs="Arial"/>
          <w:b/>
          <w:sz w:val="22"/>
        </w:rPr>
      </w:pPr>
      <w:r/>
      <w:bookmarkStart w:id="159" w:name="_Toc12286306"/>
      <w:r>
        <w:rPr>
          <w:rFonts w:ascii="Arial" w:hAnsi="Arial" w:eastAsia="微软雅黑" w:cs="Arial"/>
          <w:b/>
          <w:sz w:val="18"/>
          <w:szCs w:val="20"/>
        </w:rPr>
        <mc:AlternateContent>
          <mc:Choice Requires="wpg">
            <w:drawing>
              <wp:anchor xmlns:wp="http://schemas.openxmlformats.org/drawingml/2006/wordprocessingDrawing" xmlns:wp14="http://schemas.microsoft.com/office/word/2010/wordprocessingDrawing" distT="0" distB="0" distL="114300" distR="114300" simplePos="0" relativeHeight="251661312" behindDoc="0" locked="0" layoutInCell="1" allowOverlap="1">
                <wp:simplePos x="0" y="0"/>
                <wp:positionH relativeFrom="margin">
                  <wp:align>left</wp:align>
                </wp:positionH>
                <wp:positionV relativeFrom="paragraph">
                  <wp:posOffset>281940</wp:posOffset>
                </wp:positionV>
                <wp:extent cx="5461635" cy="2127885"/>
                <wp:effectExtent l="0" t="0" r="5715" b="0"/>
                <wp:wrapTopAndBottom/>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r/>
                      </pic:nvPicPr>
                      <pic:blipFill>
                        <a:blip r:embed="rId27"/>
                        <a:stretch/>
                      </pic:blipFill>
                      <pic:spPr bwMode="auto">
                        <a:xfrm>
                          <a:off x="0" y="0"/>
                          <a:ext cx="5461635" cy="2127885"/>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position:absolute;z-index:251661312;o:allowoverlap:true;o:allowincell:true;mso-position-horizontal-relative:margin;mso-position-horizontal:left;mso-position-vertical-relative:text;margin-top:22.20pt;mso-position-vertical:absolute;width:430.05pt;height:167.55pt;mso-wrap-distance-left:9.00pt;mso-wrap-distance-top:0.00pt;mso-wrap-distance-right:9.00pt;mso-wrap-distance-bottom:0.00pt;z-index:1;" stroked="false">
                <w10:wrap type="topAndBottom"/>
                <v:imagedata r:id="rId27" o:title=""/>
                <o:lock v:ext="edit" rotation="t"/>
              </v:shape>
            </w:pict>
          </mc:Fallback>
        </mc:AlternateContent>
        <w:t xml:space="preserve">图表9：关联购销交易流程图</w:t>
      </w:r>
      <w:r>
        <w:rPr>
          <w:rFonts w:ascii="Arial" w:hAnsi="Arial" w:eastAsia="微软雅黑" w:cs="Arial"/>
          <w:b/>
          <w:sz w:val="18"/>
          <w:szCs w:val="20"/>
        </w:rPr>
      </w:r>
      <w:r>
        <w:rPr>
          <w:rFonts w:ascii="Arial" w:hAnsi="Arial" w:eastAsia="微软雅黑" w:cs="Arial"/>
          <w:b/>
          <w:sz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60" w:name="_Toc11480"/>
      <w:r/>
      <w:bookmarkStart w:id="161" w:name="_Toc8533"/>
      <w:r/>
      <w:bookmarkStart w:id="162" w:name="_Toc47700024"/>
      <w:r/>
      <w:bookmarkStart w:id="163" w:name="_Toc76668393"/>
      <w:r/>
      <w:bookmarkStart w:id="164" w:name="_Toc202797570"/>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160"/>
      <w:r/>
      <w:bookmarkEnd w:id="161"/>
      <w:r/>
      <w:bookmarkEnd w:id="162"/>
      <w:r/>
      <w:bookmarkEnd w:id="163"/>
      <w:r>
        <w:rPr>
          <w:rStyle w:val="1324"/>
          <w:rFonts w:ascii="Arial" w:hAnsi="Arial" w:eastAsia="微软雅黑" w:cs="Arial"/>
          <w:b w:val="0"/>
          <w:i w:val="0"/>
          <w:color w:val="4f81bd" w:themeColor="accent1"/>
          <w:sz w:val="22"/>
          <w:szCs w:val="22"/>
          <w14:textFill>
            <w14:solidFill>
              <w14:schemeClr w14:val="accent1"/>
            </w14:solidFill>
          </w14:textFill>
        </w:rPr>
        <w:footnoteReference w:id="18"/>
      </w:r>
      <w:bookmarkEnd w:id="164"/>
      <w:r/>
      <w:bookmarkEnd w:id="147"/>
      <w:bookmarkEnd w:id="148"/>
      <w:bookmarkEnd w:id="159"/>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评估期间，{{清单模板-数据表-B5}}关联采购的关联方和交易金额如下表所示：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图表10：{{清单模板-数据表-B2}}关联采购交易明细表</w:t>
      </w:r>
      <w:r>
        <w:rPr>
          <w:rFonts w:ascii="Arial" w:hAnsi="Arial" w:eastAsia="微软雅黑" w:cs="Arial"/>
          <w:bCs w:val="0"/>
          <w:sz w:val="18"/>
          <w:szCs w:val="18"/>
        </w:rPr>
      </w:r>
    </w:p>
    <w:tbl>
      <w:tblPr>
        <w:tblStyle w:val="129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780"/>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80"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占总经营成本比重(%)</w:t>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{{_tpl_清单模板-4_供应商关联采购明细}} {{_row_group}}</w:t>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{{_col_供应商名称}}</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{{_tpl_清单模板-4_供应商关联采购明细}} {{_row_data}} {{_col_供应商名称}}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{{_col_占关联采购总金额比例}}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{{_tpl_清单模板-4_供应商关联采购明细}} {{_row_subtotal}} {{_col_供应商名称}}</w:t>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{{_col_占关联采购总金额比例}}</w:t>
            </w:r>
            <w:r>
              <w:rPr>
                <w:rFonts w:ascii="Arial" w:hAnsi="Arial" w:eastAsia="微软雅黑" w:cs="Arial"/>
                <w:b/>
                <w:bCs/>
                <w:color w:val="000000"/>
                <w:sz w:val="18"/>
                <w:szCs w:val="18"/>
              </w:rPr>
            </w:r>
          </w:p>
        </w:tc>
      </w:tr>
      <w:tr>
        <w:trPr>
          <w:jc w:val="center"/>
          <w:trHeight w:val="240"/>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{{_tpl_清单模板-4_供应商关联采购明细}} {{_row_subtotal}} {{_col_供应商名称}}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{{_col_金额（人民币）}}</w:t>
            </w:r>
            <w:r>
              <w:rPr>
                <w:rFonts w:ascii="Arial" w:hAnsi="Arial" w:eastAsia="微软雅黑" w:cs="Arial"/>
                <w:b/>
                <w:color w:val="000000"/>
                <w:sz w:val="18"/>
                <w:szCs w:val="18"/>
              </w:rPr>
            </w:r>
          </w:p>
        </w:tc>
        <w:tc>
          <w:tcPr>
            <w:shd w:val="clear" w:color="auto" w:fill="auto"/>
            <w:tcBorders/>
            <w:tcW w:w="1780"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{{_col_占关联采购总金额比例}}</w:t>
            </w:r>
            <w:r>
              <w:rPr>
                <w:rFonts w:ascii="Arial" w:hAnsi="Arial" w:eastAsia="微软雅黑" w:cs="Arial"/>
                <w:b/>
                <w:bCs/>
                <w:color w:val="000000"/>
                <w:sz w:val="18"/>
                <w:szCs w:val="18"/>
              </w:rPr>
            </w:r>
          </w:p>
        </w:tc>
      </w:tr>
    </w:tbl>
    <w:p>
      <w:pPr>
        <w:pBdr/>
        <w:spacing w:after="163" w:before="163"/>
        <w:ind w:firstLine="476"/>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评估期间，{{清单模板-数据表-B5}}关联销售的关联方和交易金额如下表所示：</w:t>
      </w:r>
      <w:r>
        <w:rPr>
          <w:rFonts w:ascii="Arial" w:hAnsi="Arial" w:eastAsia="微软雅黑" w:cs="Arial"/>
          <w:color w:val="000000" w:themeColor="text1"/>
          <w:sz w:val="22"/>
          <w:szCs w:val="22"/>
          <w14:textFill>
            <w14:solidFill>
              <w14:schemeClr w14:val="tx1"/>
            </w14:solidFill>
          </w14:textFill>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图表11：{{清单模板-数据表-B2}} 年度关联销售交易明细表</w:t>
      </w:r>
      <w:r>
        <w:rPr>
          <w:rFonts w:ascii="Arial" w:hAnsi="Arial" w:eastAsia="微软雅黑" w:cs="Arial"/>
          <w:bCs w:val="0"/>
          <w:sz w:val="18"/>
          <w:szCs w:val="18"/>
        </w:rPr>
      </w:r>
    </w:p>
    <w:tbl>
      <w:tblPr>
        <w:tblStyle w:val="1293"/>
        <w:tblW w:w="83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988"/>
        <w:gridCol w:w="3543"/>
        <w:gridCol w:w="1985"/>
        <w:gridCol w:w="1848"/>
      </w:tblGrid>
      <w:tr>
        <w:trPr>
          <w:jc w:val="center"/>
          <w:trHeight w:val="105"/>
          <w:tblHeader/>
        </w:trPr>
        <w:tc>
          <w:tcPr>
            <w:gridSpan w:val="2"/>
            <w:shd w:val="clear" w:color="auto" w:fill="4f81bd" w:themeFill="accent1"/>
            <w:tcBorders/>
            <w:tcW w:w="4531"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985"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84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p>
        </w:tc>
      </w:tr>
      <w:tr>
        <w:trPr>
          <w:jc w:val="center"/>
          <w:trHeight w:val="240"/>
        </w:trPr>
        <w:tc>
          <w:tcPr>
            <w:shd w:val="clear" w:color="auto" w:fill="auto"/>
            <w:tcBorders/>
            <w:tcW w:w="988"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{{_row_group}}</w:t>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{{_col_客户名称}}</w:t>
            </w: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{{_tpl_清单模板-5_客户关联销售明细}} {{_row_data}} {{_col_客户名称}}</w:t>
            </w:r>
            <w:r>
              <w:rPr>
                <w:rFonts w:ascii="Arial" w:hAnsi="Arial" w:eastAsia="微软雅黑" w:cs="Arial"/>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{{_col_金额（人民币）}}</w:t>
            </w:r>
            <w:r>
              <w:rPr>
                <w:rFonts w:ascii="Arial" w:hAnsi="Arial" w:eastAsia="微软雅黑" w:cs="Arial"/>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{{_col_占营业收入比例}}</w:t>
            </w:r>
            <w:r>
              <w:rPr>
                <w:rFonts w:ascii="Arial" w:hAnsi="Arial" w:eastAsia="微软雅黑" w:cs="Arial"/>
                <w:color w:val="000000"/>
                <w:sz w:val="18"/>
                <w:szCs w:val="18"/>
              </w:rPr>
            </w:r>
          </w:p>
        </w:tc>
      </w:tr>
      <w:tr>
        <w:trPr>
          <w:jc w:val="center"/>
          <w:trHeight w:val="240"/>
        </w:trPr>
        <w:tc>
          <w:tcPr>
            <w:tcBorders/>
            <w:tcW w:w="988" w:type="dxa"/>
            <w:vAlign w:val="center"/>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3" w:type="dxa"/>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{{_tpl_清单模板-5_客户关联销售明细}} {{_row_subtotal}} {{_col_客户名称}}</w:t>
            </w:r>
            <w:r>
              <w:rPr>
                <w:rFonts w:ascii="Arial" w:hAnsi="Arial" w:eastAsia="微软雅黑" w:cs="Arial"/>
                <w:b/>
                <w:bCs/>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{{_col_占营业收入比例}}</w:t>
            </w:r>
            <w:r>
              <w:rPr>
                <w:rFonts w:ascii="Arial" w:hAnsi="Arial" w:eastAsia="微软雅黑" w:cs="Arial"/>
                <w:b/>
                <w:bCs/>
                <w:color w:val="000000"/>
                <w:sz w:val="18"/>
                <w:szCs w:val="18"/>
              </w:rPr>
            </w:r>
          </w:p>
        </w:tc>
      </w:tr>
      <w:tr>
        <w:trPr>
          <w:jc w:val="center"/>
          <w:trHeight w:val="67"/>
        </w:trPr>
        <w:tc>
          <w:tcPr>
            <w:gridSpan w:val="2"/>
            <w:shd w:val="clear" w:color="auto" w:fill="auto"/>
            <w:tcBorders/>
            <w:tcW w:w="4531"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hint="eastAsia" w:ascii="Arial" w:hAnsi="Arial" w:eastAsia="微软雅黑" w:cs="Arial"/>
                <w:b/>
                <w:color w:val="000000"/>
                <w:sz w:val="18"/>
                <w:szCs w:val="18"/>
              </w:rPr>
              <w:t xml:space="preserve">{{_tpl_清单模板-5_客户关联销售明细}} {{_row_subtotal}} {{_col_客户名称}}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985"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{{_col_金额（人民币）}}</w:t>
            </w:r>
            <w:r>
              <w:rPr>
                <w:rFonts w:ascii="Arial" w:hAnsi="Arial" w:eastAsia="微软雅黑" w:cs="Arial"/>
                <w:b/>
                <w:bCs/>
                <w:color w:val="000000"/>
                <w:sz w:val="18"/>
                <w:szCs w:val="18"/>
              </w:rPr>
            </w:r>
          </w:p>
        </w:tc>
        <w:tc>
          <w:tcPr>
            <w:shd w:val="clear" w:color="auto" w:fill="auto"/>
            <w:tcBorders/>
            <w:tcW w:w="184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{{_col_占营业收入比例}}</w:t>
            </w:r>
            <w:r>
              <w:rPr>
                <w:rFonts w:ascii="Arial" w:hAnsi="Arial" w:eastAsia="微软雅黑" w:cs="Arial"/>
                <w:b/>
                <w:bCs/>
                <w:color w:val="000000"/>
                <w:sz w:val="18"/>
                <w:szCs w:val="18"/>
              </w:rPr>
            </w:r>
          </w:p>
        </w:tc>
      </w:tr>
    </w:tbl>
    <w:p>
      <w:pPr>
        <w:numPr>
          <w:ilvl w:val="2"/>
          <w:numId w:val="11"/>
        </w:numPr>
        <w:pBdr/>
        <w:spacing w:after="0" w:before="0"/>
        <w:ind w:right="0" w:firstLine="0" w:left="0"/>
        <w:jc w:val="left"/>
        <w:rPr>
          <w:rFonts w:ascii="Arial" w:hAnsi="Arial" w:eastAsia="微软雅黑" w:cs="Arial"/>
          <w:color w:val="4f81bd" w:themeColor="accent1"/>
          <w:sz w:val="22"/>
          <w:szCs w:val="22"/>
          <w14:textFill>
            <w14:solidFill>
              <w14:schemeClr w14:val="accent1"/>
            </w14:solidFill>
          </w14:textFill>
        </w:rPr>
      </w:pPr>
      <w:r/>
      <w:bookmarkStart w:id="165" w:name="_Toc76668394"/>
      <w:r/>
      <w:bookmarkStart w:id="166" w:name="_Toc47700025"/>
      <w:r/>
      <w:bookmarkStart w:id="167" w:name="_Toc9498"/>
      <w:r/>
      <w:bookmarkStart w:id="168" w:name="_Toc202797571"/>
      <w:r/>
      <w:bookmarkStart w:id="169" w:name="_Toc5214"/>
      <w:r>
        <w:rPr>
          <w:rFonts w:ascii="Arial" w:hAnsi="Arial" w:eastAsia="微软雅黑" w:cs="Arial"/>
          <w:b/>
          <w:i/>
          <w:color w:val="4f81bd" w:themeColor="accent1"/>
          <w:sz w:val="22"/>
          <w:szCs w:val="22"/>
          <w14:textFill>
            <w14:solidFill>
              <w14:schemeClr w14:val="accent1"/>
            </w14:solidFill>
          </w14:textFill>
        </w:rPr>
        <w:br w:type="page" w:clear="all"/>
        <w:t xml:space="preserve">交易定价政策</w:t>
      </w:r>
      <w:r>
        <w:rPr>
          <w:rFonts w:ascii="Arial" w:hAnsi="Arial" w:eastAsia="微软雅黑" w:cs="Arial"/>
          <w:color w:val="4f81bd" w:themeColor="accent1"/>
          <w:sz w:val="22"/>
          <w:szCs w:val="22"/>
          <w14:textFill>
            <w14:solidFill>
              <w14:schemeClr w14:val="accent1"/>
            </w14:solidFill>
          </w14:textFill>
        </w:rPr>
      </w:r>
      <w:bookmarkEnd w:id="165"/>
      <w:r/>
      <w:bookmarkEnd w:id="166"/>
      <w:r/>
      <w:bookmarkEnd w:id="167"/>
      <w:r/>
      <w:bookmarkEnd w:id="168"/>
      <w:r/>
      <w:bookmarkEnd w:id="169"/>
      <w:r/>
      <w:r>
        <w:rPr>
          <w:rFonts w:ascii="Arial" w:hAnsi="Arial" w:eastAsia="微软雅黑" w:cs="Arial"/>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在向关联方客户销售产品时不进行营销活动，销售价格的定价方式为根据标准成本加成一定比例。在第三方销售中，{{清单模板-数据表-B5}}对从关联方和第三方采购的原材料和部件进行加工、组装，或集合成流水线，从而为客户提供一站式的系统解决方案。在向第三方客户销售产品时，销售价格的定价方式是通过与国内第三方客户进行谈判而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170" w:name="_Toc486375280"/>
      <w:r/>
      <w:bookmarkEnd w:id="170"/>
      <w:r/>
      <w:bookmarkStart w:id="171" w:name="_Toc487989265"/>
      <w:r/>
      <w:bookmarkEnd w:id="171"/>
      <w:r/>
      <w:bookmarkStart w:id="172" w:name="_Toc487989215"/>
      <w:r/>
      <w:bookmarkEnd w:id="172"/>
      <w:r/>
      <w:bookmarkStart w:id="173" w:name="_Toc487989206"/>
      <w:r/>
      <w:bookmarkEnd w:id="173"/>
      <w:r/>
      <w:bookmarkStart w:id="174" w:name="_Toc486375221"/>
      <w:r/>
      <w:bookmarkEnd w:id="174"/>
      <w:r/>
      <w:bookmarkStart w:id="175" w:name="_Toc487989263"/>
      <w:r/>
      <w:bookmarkEnd w:id="175"/>
      <w:r/>
      <w:bookmarkStart w:id="176" w:name="_Toc487989208"/>
      <w:r/>
      <w:bookmarkEnd w:id="176"/>
      <w:r/>
      <w:bookmarkStart w:id="177" w:name="_Toc487989294"/>
      <w:r/>
      <w:bookmarkEnd w:id="177"/>
      <w:r/>
      <w:bookmarkStart w:id="178" w:name="_Toc486375233"/>
      <w:r/>
      <w:bookmarkEnd w:id="178"/>
      <w:r/>
      <w:bookmarkStart w:id="179" w:name="_Toc486798731"/>
      <w:r/>
      <w:bookmarkEnd w:id="179"/>
      <w:r/>
      <w:bookmarkStart w:id="180" w:name="_Toc487989309"/>
      <w:r/>
      <w:bookmarkEnd w:id="180"/>
      <w:r/>
      <w:bookmarkStart w:id="181" w:name="_Toc486375324"/>
      <w:r/>
      <w:bookmarkEnd w:id="181"/>
      <w:r/>
      <w:bookmarkStart w:id="182" w:name="_Toc487989217"/>
      <w:r/>
      <w:bookmarkEnd w:id="182"/>
      <w:r/>
      <w:bookmarkStart w:id="183" w:name="_Toc486798721"/>
      <w:r/>
      <w:bookmarkEnd w:id="183"/>
      <w:r/>
      <w:bookmarkStart w:id="184" w:name="_Toc486798685"/>
      <w:r/>
      <w:bookmarkEnd w:id="184"/>
      <w:r/>
      <w:bookmarkStart w:id="185" w:name="_Toc487989219"/>
      <w:r/>
      <w:bookmarkEnd w:id="185"/>
      <w:r/>
      <w:bookmarkStart w:id="186" w:name="_Toc486798672"/>
      <w:r/>
      <w:bookmarkEnd w:id="186"/>
      <w:r/>
      <w:bookmarkStart w:id="187" w:name="_Toc487989264"/>
      <w:r/>
      <w:bookmarkEnd w:id="187"/>
      <w:r/>
      <w:bookmarkStart w:id="188" w:name="_Toc486798677"/>
      <w:r/>
      <w:bookmarkEnd w:id="188"/>
      <w:r/>
      <w:bookmarkStart w:id="189" w:name="_Toc486798730"/>
      <w:r/>
      <w:bookmarkEnd w:id="189"/>
      <w:r/>
      <w:bookmarkStart w:id="190" w:name="_Toc486375225"/>
      <w:r/>
      <w:bookmarkEnd w:id="190"/>
      <w:r/>
      <w:bookmarkStart w:id="191" w:name="_Toc486798762"/>
      <w:r/>
      <w:bookmarkEnd w:id="191"/>
      <w:r/>
      <w:bookmarkStart w:id="192" w:name="_Toc486375264"/>
      <w:r/>
      <w:bookmarkEnd w:id="192"/>
      <w:r/>
      <w:bookmarkStart w:id="193" w:name="_Toc486375249"/>
      <w:r/>
      <w:bookmarkEnd w:id="193"/>
      <w:r/>
      <w:bookmarkStart w:id="194" w:name="_Toc486798666"/>
      <w:r/>
      <w:bookmarkEnd w:id="194"/>
      <w:r/>
      <w:bookmarkStart w:id="195" w:name="_Toc487989220"/>
      <w:r/>
      <w:bookmarkEnd w:id="195"/>
      <w:r/>
      <w:bookmarkStart w:id="196" w:name="_Toc487989233"/>
      <w:r/>
      <w:bookmarkEnd w:id="196"/>
      <w:r/>
      <w:bookmarkStart w:id="197" w:name="_Toc486375283"/>
      <w:r/>
      <w:bookmarkEnd w:id="197"/>
      <w:r/>
      <w:bookmarkStart w:id="198" w:name="_Toc487989216"/>
      <w:r/>
      <w:bookmarkEnd w:id="198"/>
      <w:r/>
      <w:bookmarkStart w:id="199" w:name="_Toc486375295"/>
      <w:r/>
      <w:bookmarkEnd w:id="199"/>
      <w:r/>
      <w:bookmarkStart w:id="200" w:name="_Toc486375315"/>
      <w:r/>
      <w:bookmarkEnd w:id="200"/>
      <w:r/>
      <w:bookmarkStart w:id="201" w:name="_Toc487989198"/>
      <w:r/>
      <w:bookmarkEnd w:id="201"/>
      <w:r/>
      <w:bookmarkStart w:id="202" w:name="_Toc486375300"/>
      <w:r/>
      <w:bookmarkEnd w:id="202"/>
      <w:r/>
      <w:bookmarkStart w:id="203" w:name="_Toc487989262"/>
      <w:r/>
      <w:bookmarkEnd w:id="203"/>
      <w:r/>
      <w:bookmarkStart w:id="204" w:name="_Toc486798669"/>
      <w:r/>
      <w:bookmarkEnd w:id="204"/>
      <w:r/>
      <w:bookmarkStart w:id="205" w:name="_Toc486798675"/>
      <w:r/>
      <w:bookmarkEnd w:id="205"/>
      <w:r/>
      <w:bookmarkStart w:id="206" w:name="_Toc486798706"/>
      <w:r/>
      <w:bookmarkEnd w:id="206"/>
      <w:r/>
      <w:bookmarkStart w:id="207" w:name="_Toc487989200"/>
      <w:r/>
      <w:bookmarkEnd w:id="207"/>
      <w:r/>
      <w:bookmarkStart w:id="208" w:name="_Toc486798701"/>
      <w:r/>
      <w:bookmarkEnd w:id="208"/>
      <w:r/>
      <w:bookmarkStart w:id="209" w:name="_Toc487989268"/>
      <w:r/>
      <w:bookmarkEnd w:id="209"/>
      <w:r/>
      <w:bookmarkStart w:id="210" w:name="_Toc487989279"/>
      <w:r/>
      <w:bookmarkEnd w:id="210"/>
      <w:r/>
      <w:bookmarkStart w:id="211" w:name="_Toc487989205"/>
      <w:r/>
      <w:bookmarkEnd w:id="211"/>
      <w:r/>
      <w:bookmarkStart w:id="212" w:name="_Toc486375236"/>
      <w:r/>
      <w:bookmarkEnd w:id="212"/>
      <w:r/>
      <w:bookmarkStart w:id="213" w:name="_Toc487989214"/>
      <w:r/>
      <w:bookmarkEnd w:id="213"/>
      <w:r/>
      <w:bookmarkStart w:id="214" w:name="_Toc486798687"/>
      <w:r/>
      <w:bookmarkEnd w:id="214"/>
      <w:r/>
      <w:bookmarkStart w:id="215" w:name="_Toc486798734"/>
      <w:r/>
      <w:bookmarkEnd w:id="215"/>
      <w:r/>
      <w:bookmarkStart w:id="216" w:name="_Toc486798716"/>
      <w:r/>
      <w:bookmarkEnd w:id="216"/>
      <w:r/>
      <w:bookmarkStart w:id="217" w:name="_Toc486798752"/>
      <w:r/>
      <w:bookmarkEnd w:id="217"/>
      <w:r/>
      <w:bookmarkStart w:id="218" w:name="_Toc487989210"/>
      <w:r/>
      <w:bookmarkEnd w:id="218"/>
      <w:r/>
      <w:bookmarkStart w:id="219" w:name="_Toc486798679"/>
      <w:r/>
      <w:bookmarkEnd w:id="219"/>
      <w:r/>
      <w:bookmarkStart w:id="220" w:name="_Toc486798678"/>
      <w:r/>
      <w:bookmarkEnd w:id="220"/>
      <w:r/>
      <w:bookmarkStart w:id="221" w:name="_Toc486375254"/>
      <w:r/>
      <w:bookmarkEnd w:id="221"/>
      <w:r/>
      <w:bookmarkStart w:id="222" w:name="_Toc487989213"/>
      <w:r/>
      <w:bookmarkEnd w:id="222"/>
      <w:r/>
      <w:bookmarkStart w:id="223" w:name="_Toc486798736"/>
      <w:r/>
      <w:bookmarkEnd w:id="223"/>
      <w:r/>
      <w:bookmarkStart w:id="224" w:name="_Toc486375284"/>
      <w:r/>
      <w:bookmarkEnd w:id="224"/>
      <w:r/>
      <w:bookmarkStart w:id="225" w:name="_Toc487989212"/>
      <w:r/>
      <w:bookmarkEnd w:id="225"/>
      <w:r/>
      <w:bookmarkStart w:id="226" w:name="_Toc486798686"/>
      <w:r/>
      <w:bookmarkEnd w:id="226"/>
      <w:r/>
      <w:bookmarkStart w:id="227" w:name="_Toc487989238"/>
      <w:r/>
      <w:bookmarkEnd w:id="227"/>
      <w:r/>
      <w:bookmarkStart w:id="228" w:name="_Toc486798747"/>
      <w:r/>
      <w:bookmarkEnd w:id="228"/>
      <w:r/>
      <w:bookmarkStart w:id="229" w:name="_Toc486798690"/>
      <w:r/>
      <w:bookmarkEnd w:id="229"/>
      <w:r/>
      <w:bookmarkStart w:id="230" w:name="_Toc486375226"/>
      <w:r/>
      <w:bookmarkEnd w:id="230"/>
      <w:r/>
      <w:bookmarkStart w:id="231" w:name="_Toc486375310"/>
      <w:r/>
      <w:bookmarkEnd w:id="231"/>
      <w:r/>
      <w:bookmarkStart w:id="232" w:name="_Toc487989201"/>
      <w:r/>
      <w:bookmarkEnd w:id="232"/>
      <w:r/>
      <w:bookmarkStart w:id="233" w:name="_Toc486798776"/>
      <w:r/>
      <w:bookmarkEnd w:id="233"/>
      <w:r/>
      <w:bookmarkStart w:id="234" w:name="_Toc486375214"/>
      <w:r/>
      <w:bookmarkEnd w:id="234"/>
      <w:r/>
      <w:bookmarkStart w:id="235" w:name="_Toc487989308"/>
      <w:r/>
      <w:bookmarkEnd w:id="235"/>
      <w:r/>
      <w:bookmarkStart w:id="236" w:name="_Toc486375232"/>
      <w:r/>
      <w:bookmarkEnd w:id="236"/>
      <w:r/>
      <w:bookmarkStart w:id="237" w:name="_Toc486798732"/>
      <w:r/>
      <w:bookmarkEnd w:id="237"/>
      <w:r/>
      <w:bookmarkStart w:id="238" w:name="_Toc486798673"/>
      <w:r/>
      <w:bookmarkEnd w:id="238"/>
      <w:r/>
      <w:bookmarkStart w:id="239" w:name="_Toc487989284"/>
      <w:r/>
      <w:bookmarkEnd w:id="239"/>
      <w:r/>
      <w:bookmarkStart w:id="240" w:name="_Toc486375278"/>
      <w:r/>
      <w:bookmarkEnd w:id="240"/>
      <w:r/>
      <w:bookmarkStart w:id="241" w:name="_Toc486375281"/>
      <w:r/>
      <w:bookmarkEnd w:id="241"/>
      <w:r/>
      <w:bookmarkStart w:id="242" w:name="_Toc486375235"/>
      <w:r/>
      <w:bookmarkEnd w:id="242"/>
      <w:r/>
      <w:bookmarkStart w:id="243" w:name="_Toc486798777"/>
      <w:r/>
      <w:bookmarkEnd w:id="243"/>
      <w:r/>
      <w:bookmarkStart w:id="244" w:name="_Toc486375227"/>
      <w:r/>
      <w:bookmarkEnd w:id="244"/>
      <w:r/>
      <w:bookmarkStart w:id="245" w:name="_Toc486375325"/>
      <w:r/>
      <w:bookmarkEnd w:id="245"/>
      <w:r/>
      <w:bookmarkStart w:id="246" w:name="_Toc486375229"/>
      <w:r/>
      <w:bookmarkEnd w:id="246"/>
      <w:r/>
      <w:bookmarkStart w:id="247" w:name="_Toc487989299"/>
      <w:r/>
      <w:bookmarkEnd w:id="247"/>
      <w:r/>
      <w:bookmarkStart w:id="248" w:name="_Toc487989218"/>
      <w:r/>
      <w:bookmarkEnd w:id="248"/>
      <w:r/>
      <w:bookmarkStart w:id="249" w:name="_Toc487989209"/>
      <w:r/>
      <w:bookmarkEnd w:id="249"/>
      <w:r/>
      <w:bookmarkStart w:id="250" w:name="_Toc486798681"/>
      <w:r/>
      <w:bookmarkEnd w:id="250"/>
      <w:r/>
      <w:bookmarkStart w:id="251" w:name="_Toc486375220"/>
      <w:r/>
      <w:bookmarkEnd w:id="251"/>
      <w:r/>
      <w:bookmarkStart w:id="252" w:name="_Toc487989199"/>
      <w:r/>
      <w:bookmarkEnd w:id="252"/>
      <w:r/>
      <w:bookmarkStart w:id="253" w:name="_Toc486375282"/>
      <w:r/>
      <w:bookmarkEnd w:id="253"/>
      <w:r/>
      <w:bookmarkStart w:id="254" w:name="_Toc487989266"/>
      <w:r/>
      <w:bookmarkEnd w:id="254"/>
      <w:r/>
      <w:bookmarkStart w:id="255" w:name="_Toc486798688"/>
      <w:r/>
      <w:bookmarkEnd w:id="255"/>
      <w:r/>
      <w:bookmarkStart w:id="256" w:name="_Toc486375228"/>
      <w:r/>
      <w:bookmarkEnd w:id="256"/>
      <w:r/>
      <w:bookmarkStart w:id="257" w:name="_Toc486798683"/>
      <w:r/>
      <w:bookmarkEnd w:id="257"/>
      <w:r/>
      <w:bookmarkStart w:id="258" w:name="_Toc486375230"/>
      <w:r/>
      <w:bookmarkEnd w:id="258"/>
      <w:r/>
      <w:bookmarkStart w:id="259" w:name="_Toc486375238"/>
      <w:r/>
      <w:bookmarkEnd w:id="259"/>
      <w:r/>
      <w:bookmarkStart w:id="260" w:name="_Toc486375234"/>
      <w:r/>
      <w:bookmarkEnd w:id="260"/>
      <w:r/>
      <w:bookmarkStart w:id="261" w:name="_Toc487989253"/>
      <w:r/>
      <w:bookmarkEnd w:id="261"/>
      <w:r/>
      <w:bookmarkStart w:id="262" w:name="_Toc486798667"/>
      <w:r/>
      <w:bookmarkEnd w:id="262"/>
      <w:r/>
      <w:bookmarkStart w:id="263" w:name="_Toc486375217"/>
      <w:r/>
      <w:bookmarkEnd w:id="263"/>
      <w:r/>
      <w:bookmarkStart w:id="264" w:name="_Toc487989207"/>
      <w:r/>
      <w:bookmarkEnd w:id="264"/>
      <w:r/>
      <w:bookmarkStart w:id="265" w:name="_Toc486798680"/>
      <w:r/>
      <w:bookmarkEnd w:id="265"/>
      <w:r/>
      <w:bookmarkStart w:id="266" w:name="_Toc486375279"/>
      <w:r/>
      <w:bookmarkEnd w:id="266"/>
      <w:r/>
      <w:bookmarkStart w:id="267" w:name="_Toc486375223"/>
      <w:r/>
      <w:bookmarkEnd w:id="267"/>
      <w:r/>
      <w:bookmarkStart w:id="268" w:name="_Toc486375222"/>
      <w:r/>
      <w:bookmarkEnd w:id="268"/>
      <w:r/>
      <w:bookmarkStart w:id="269" w:name="_Toc486798733"/>
      <w:r/>
      <w:bookmarkEnd w:id="269"/>
      <w:r/>
      <w:bookmarkStart w:id="270" w:name="_Toc487989248"/>
      <w:r/>
      <w:bookmarkEnd w:id="270"/>
      <w:r/>
      <w:bookmarkStart w:id="271" w:name="_Toc486798668"/>
      <w:r/>
      <w:bookmarkEnd w:id="271"/>
      <w:r/>
      <w:bookmarkStart w:id="272" w:name="_Toc486798735"/>
      <w:r/>
      <w:bookmarkEnd w:id="272"/>
      <w:r/>
      <w:bookmarkStart w:id="273" w:name="_Toc486375215"/>
      <w:r/>
      <w:bookmarkEnd w:id="273"/>
      <w:r/>
      <w:bookmarkStart w:id="274" w:name="_Toc486375231"/>
      <w:r/>
      <w:bookmarkEnd w:id="274"/>
      <w:r/>
      <w:bookmarkStart w:id="275" w:name="_Toc486798684"/>
      <w:r/>
      <w:bookmarkEnd w:id="275"/>
      <w:r/>
      <w:bookmarkStart w:id="276" w:name="_Toc487989222"/>
      <w:r/>
      <w:bookmarkEnd w:id="276"/>
      <w:r/>
      <w:bookmarkStart w:id="277" w:name="_Toc486375269"/>
      <w:r/>
      <w:bookmarkEnd w:id="277"/>
      <w:r/>
      <w:bookmarkStart w:id="278" w:name="_Toc487989204"/>
      <w:r/>
      <w:bookmarkEnd w:id="278"/>
      <w:r/>
      <w:bookmarkStart w:id="279" w:name="_Toc487989267"/>
      <w:r/>
      <w:bookmarkEnd w:id="279"/>
      <w:r/>
      <w:bookmarkStart w:id="280" w:name="_Toc486798676"/>
      <w:r/>
      <w:bookmarkEnd w:id="280"/>
      <w:r/>
      <w:bookmarkStart w:id="281" w:name="_Toc486798767"/>
      <w:r/>
      <w:bookmarkEnd w:id="281"/>
      <w:r/>
      <w:bookmarkStart w:id="282" w:name="_Toc486375224"/>
      <w:r/>
      <w:bookmarkEnd w:id="282"/>
      <w:r/>
      <w:bookmarkStart w:id="283" w:name="_Toc486798674"/>
      <w:r/>
      <w:bookmarkEnd w:id="283"/>
      <w:r/>
      <w:bookmarkStart w:id="284" w:name="_Toc486375216"/>
      <w:r/>
      <w:bookmarkEnd w:id="284"/>
      <w:r/>
      <w:bookmarkStart w:id="285" w:name="_Toc487989211"/>
      <w:r/>
      <w:bookmarkEnd w:id="285"/>
      <w:r/>
      <w:bookmarkStart w:id="286" w:name="_Toc486798682"/>
      <w:r/>
      <w:bookmarkEnd w:id="286"/>
      <w:r/>
      <w:bookmarkStart w:id="287" w:name="_Toc12871161"/>
      <w:r/>
      <w:bookmarkStart w:id="288" w:name="_Toc76668395"/>
      <w:r/>
      <w:bookmarkStart w:id="289" w:name="_Toc29042"/>
      <w:r/>
      <w:bookmarkStart w:id="290" w:name="_Toc47700026"/>
      <w:r/>
      <w:bookmarkStart w:id="291" w:name="_Toc202797572"/>
      <w:r/>
      <w:bookmarkStart w:id="292" w:name="_Toc1085"/>
      <w:r>
        <w:rPr>
          <w:rFonts w:ascii="Arial" w:hAnsi="Arial" w:eastAsia="微软雅黑" w:cs="Arial"/>
          <w:b w:val="0"/>
          <w:i w:val="0"/>
          <w:color w:val="4f81bd" w:themeColor="accent1"/>
          <w:sz w:val="22"/>
          <w:szCs w:val="22"/>
          <w14:textFill>
            <w14:solidFill>
              <w14:schemeClr w14:val="accent1"/>
            </w14:solidFill>
          </w14:textFill>
        </w:rPr>
        <w:t xml:space="preserve">关联劳务</w:t>
      </w:r>
      <w:bookmarkEnd w:id="287"/>
      <w:r>
        <w:rPr>
          <w:rFonts w:ascii="Arial" w:hAnsi="Arial" w:eastAsia="微软雅黑" w:cs="Arial"/>
          <w:b w:val="0"/>
          <w:i w:val="0"/>
          <w:color w:val="4f81bd" w:themeColor="accent1"/>
          <w:sz w:val="22"/>
          <w:szCs w:val="22"/>
          <w14:textFill>
            <w14:solidFill>
              <w14:schemeClr w14:val="accent1"/>
            </w14:solidFill>
          </w14:textFill>
        </w:rPr>
      </w:r>
      <w:bookmarkEnd w:id="288"/>
      <w:r/>
      <w:bookmarkEnd w:id="289"/>
      <w:r/>
      <w:bookmarkEnd w:id="290"/>
      <w:r/>
      <w:bookmarkEnd w:id="291"/>
      <w:r/>
      <w:bookmarkEnd w:id="29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3" w:name="_Toc24444"/>
      <w:r/>
      <w:bookmarkStart w:id="294" w:name="_Toc31651"/>
      <w:r/>
      <w:bookmarkStart w:id="295" w:name="_Toc76668396"/>
      <w:r/>
      <w:bookmarkStart w:id="296" w:name="_Toc202797573"/>
      <w:r/>
      <w:bookmarkStart w:id="297" w:name="_Toc47700027"/>
      <w:r>
        <w:rPr>
          <w:rFonts w:ascii="Arial" w:hAnsi="Arial" w:eastAsia="微软雅黑" w:cs="Arial"/>
          <w:b w:val="0"/>
          <w:i w:val="0"/>
          <w:color w:val="4f81bd" w:themeColor="accent1"/>
          <w:sz w:val="22"/>
          <w:szCs w:val="22"/>
          <w14:textFill>
            <w14:solidFill>
              <w14:schemeClr w14:val="accent1"/>
            </w14:solidFill>
          </w14:textFill>
        </w:rPr>
        <w:t xml:space="preserve">交易流程</w:t>
      </w:r>
      <w:bookmarkEnd w:id="293"/>
      <w:r/>
      <w:bookmarkEnd w:id="294"/>
      <w:r/>
      <w:bookmarkEnd w:id="295"/>
      <w:r/>
      <w:bookmarkEnd w:id="296"/>
      <w:r/>
      <w:bookmarkEnd w:id="29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已经加入斯必克中国投资设立的服务共享中心，接受斯必克中国投资提供的相关劳务，包括：人力资源管理服务、财务经济管理服务、内部数据分析和信息系统服务。此外，{{清单模板-数据表-B5}}还接受SPX Flow, Inc.等关联公司提供的支持性服务和终端市场服务等。评估期间，{{清单模板-数据表-B5}}向斯必克中国投资以及SPX Flow, Inc.等其他关联公司支付服务费，共计人民币51,335,404.50元，仅占总经营成本费用的4.51%。</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在{{清单模板-数据表-B2}}，{{清单模板-数据表-B5}}还向境外关联方提供工程设计、设备调试等劳务服务，共收取服务费人民币5,726,497.38元，仅占营业收入的0.40%。</w:t>
      </w:r>
      <w:r>
        <w:rPr>
          <w:rFonts w:hint="eastAsia"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{{清单模板-数据表-B5}}与关联方劳务交易流程如下图所示：</w:t>
      </w:r>
      <w:r>
        <w:rPr>
          <w:rFonts w:ascii="Arial" w:hAnsi="Arial" w:eastAsia="微软雅黑" w:cs="Arial"/>
          <w:sz w:val="22"/>
          <w:szCs w:val="22"/>
        </w:rPr>
      </w:r>
    </w:p>
    <w:p>
      <w:pPr>
        <w:pBdr/>
        <w:spacing w:after="0" w:before="0"/>
        <w:ind w:firstLine="476"/>
        <w:jc w:val="center"/>
        <w:rPr>
          <w:rFonts w:ascii="Arial" w:hAnsi="Arial" w:eastAsia="微软雅黑" w:cs="Arial"/>
          <w:b/>
          <w:sz w:val="18"/>
          <w:szCs w:val="18"/>
        </w:rPr>
      </w:pPr>
      <w:r>
        <w:rPr>
          <w:rFonts w:ascii="Arial" w:hAnsi="Arial" w:eastAsia="微软雅黑" w:cs="Arial"/>
          <w:b/>
          <w:sz w:val="18"/>
          <w:szCs w:val="18"/>
        </w:rPr>
        <w:t xml:space="preserve">图表12：关联劳务交易流程图</w:t>
      </w:r>
      <w:r>
        <w:rPr>
          <w:rFonts w:ascii="Arial" w:hAnsi="Arial" w:eastAsia="微软雅黑" w:cs="Arial"/>
          <w:b/>
          <w:sz w:val="18"/>
          <w:szCs w:val="18"/>
        </w:rPr>
      </w:r>
    </w:p>
    <w:p>
      <w:pPr>
        <w:pBdr/>
        <w:spacing w:after="240" w:before="240"/>
        <w:ind w:firstLine="475"/>
        <w:jc w:val="center"/>
        <w:rPr>
          <w:rFonts w:ascii="Arial" w:hAnsi="Arial" w:eastAsia="微软雅黑" w:cs="Arial"/>
          <w:b/>
          <w:sz w:val="22"/>
          <w:szCs w:val="20"/>
        </w:rPr>
      </w:pPr>
      <w:r>
        <w:rPr>
          <w:rFonts w:ascii="Arial" w:hAnsi="Arial" w:eastAsia="微软雅黑" w:cs="Arial"/>
          <w:b/>
          <w:sz w:val="22"/>
          <w:szCs w:val="20"/>
        </w:rPr>
        <mc:AlternateContent>
          <mc:Choice Requires="wpg">
            <w:drawing>
              <wp:inline xmlns:wp="http://schemas.openxmlformats.org/drawingml/2006/wordprocessingDrawing" distT="0" distB="0" distL="0" distR="0">
                <wp:extent cx="4851400" cy="2546350"/>
                <wp:effectExtent l="0" t="0" r="6350" b="6350"/>
                <wp:docPr id="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r/>
                      </pic:nvPicPr>
                      <pic:blipFill>
                        <a:blip r:embed="rId28"/>
                        <a:stretch/>
                      </pic:blipFill>
                      <pic:spPr bwMode="auto">
                        <a:xfrm>
                          <a:off x="0" y="0"/>
                          <a:ext cx="4857295" cy="254911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2.00pt;height:200.50pt;mso-wrap-distance-left:0.00pt;mso-wrap-distance-top:0.00pt;mso-wrap-distance-right:0.00pt;mso-wrap-distance-bottom:0.00pt;z-index:1;" stroked="false">
                <v:imagedata r:id="rId28" o:title=""/>
                <o:lock v:ext="edit" rotation="t"/>
              </v:shape>
            </w:pict>
          </mc:Fallback>
        </mc:AlternateContent>
      </w:r>
      <w:r>
        <w:rPr>
          <w:rFonts w:ascii="Arial" w:hAnsi="Arial" w:eastAsia="微软雅黑" w:cs="Arial"/>
          <w:b/>
          <w:sz w:val="22"/>
          <w:szCs w:val="20"/>
        </w:rPr>
      </w:r>
    </w:p>
    <w:p>
      <w:pPr>
        <w:pBdr/>
        <w:spacing w:after="0" w:before="0"/>
        <w:ind w:right="0" w:left="0"/>
        <w:jc w:val="left"/>
        <w:rPr>
          <w:rFonts w:ascii="Arial" w:hAnsi="Arial" w:eastAsia="微软雅黑" w:cs="Arial"/>
          <w:b/>
          <w:sz w:val="22"/>
          <w:szCs w:val="20"/>
        </w:rPr>
      </w:pPr>
      <w:r>
        <w:rPr>
          <w:rFonts w:ascii="Arial" w:hAnsi="Arial" w:eastAsia="微软雅黑" w:cs="Arial"/>
          <w:b/>
          <w:sz w:val="22"/>
          <w:szCs w:val="20"/>
        </w:rPr>
        <w:br w:type="page" w:clear="all"/>
      </w:r>
      <w:r>
        <w:rPr>
          <w:rFonts w:ascii="Arial" w:hAnsi="Arial" w:eastAsia="微软雅黑" w:cs="Arial"/>
          <w:b/>
          <w:sz w:val="22"/>
          <w:szCs w:val="20"/>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298" w:name="_Toc12958"/>
      <w:r/>
      <w:bookmarkStart w:id="299" w:name="_Toc47700028"/>
      <w:r/>
      <w:bookmarkStart w:id="300" w:name="_Toc27862"/>
      <w:r/>
      <w:bookmarkStart w:id="301" w:name="_Toc76668397"/>
      <w:r/>
      <w:bookmarkStart w:id="302" w:name="_Toc202797574"/>
      <w:r>
        <w:rPr>
          <w:rFonts w:ascii="Arial" w:hAnsi="Arial" w:eastAsia="微软雅黑" w:cs="Arial"/>
          <w:b w:val="0"/>
          <w:i w:val="0"/>
          <w:color w:val="4f81bd" w:themeColor="accent1"/>
          <w:sz w:val="22"/>
          <w:szCs w:val="22"/>
          <w14:textFill>
            <w14:solidFill>
              <w14:schemeClr w14:val="accent1"/>
            </w14:solidFill>
          </w14:textFill>
        </w:rPr>
        <w:t xml:space="preserve">交易明细</w:t>
      </w:r>
      <w:bookmarkEnd w:id="298"/>
      <w:r/>
      <w:bookmarkEnd w:id="299"/>
      <w:r/>
      <w:bookmarkEnd w:id="300"/>
      <w:r/>
      <w:bookmarkEnd w:id="301"/>
      <w:r>
        <w:rPr>
          <w:rStyle w:val="1324"/>
          <w:rFonts w:ascii="Arial" w:hAnsi="Arial" w:eastAsia="微软雅黑" w:cs="Arial"/>
          <w:b w:val="0"/>
          <w:i w:val="0"/>
          <w:color w:val="4f81bd" w:themeColor="accent1"/>
          <w:sz w:val="22"/>
          <w:szCs w:val="22"/>
          <w14:textFill>
            <w14:solidFill>
              <w14:schemeClr w14:val="accent1"/>
            </w14:solidFill>
          </w14:textFill>
        </w:rPr>
        <w:footnoteReference w:id="19"/>
      </w:r>
      <w:bookmarkEnd w:id="30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评估期间，{{清单模板-数据表-B5}}关联劳务支出的关联方和交易金额如下表所示：</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图表13：{{清单模板-数据表-B2}}接受关联劳务明细表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占总经营成本费用比重(%)</w:t>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{{_row_group}}</w:t>
            </w:r>
            <w:r>
              <w:rPr>
                <w:rFonts w:ascii="Arial" w:hAnsi="Arial" w:eastAsia="微软雅黑" w:cs="Arial"/>
                <w:color w:val="000000"/>
                <w:sz w:val="18"/>
                <w:szCs w:val="18"/>
              </w:rPr>
            </w:r>
          </w:p>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{{_tpl_清单模板-6_劳务支出明细}} {{_row_data}} {{_col_关联方名称}}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{{_col_占总经营成本费用比重（%）}}</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{{_tpl_清单模板-6_劳务支出明细}} {{_row_subtotal}} {{_col_关联方名称}}</w:t>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微软雅黑" w:cs="Arial"/>
                <w:b/>
                <w:bCs/>
                <w:color w:val="000000"/>
                <w:sz w:val="18"/>
                <w:szCs w:val="18"/>
              </w:rPr>
              <w:t xml:space="preserve">{{_col_交易金额}}</w:t>
            </w:r>
            <w:r>
              <w:rPr>
                <w:rFonts w:ascii="Arial" w:hAnsi="Arial" w:eastAsia="微软雅黑" w:cs="Arial"/>
                <w:b/>
                <w:bCs/>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{{_col_占总经营成本费用比重（%）}}</w:t>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{{_tpl_清单模板-6_劳务支出明细}} {{_row_subtotal}} {{_col_关联方名称}}</w:t>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{{_col_占总经营成本费用比重（%）}}</w:t>
            </w:r>
            <w:r>
              <w:rPr>
                <w:rFonts w:ascii="Arial" w:hAnsi="Arial" w:eastAsia="微软雅黑" w:cs="Arial"/>
                <w:b/>
                <w:color w:val="000000"/>
                <w:sz w:val="18"/>
                <w:szCs w:val="18"/>
              </w:rPr>
            </w:r>
          </w:p>
        </w:tc>
      </w:tr>
    </w:tbl>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评估期间，{{清单模板-数据表-B5}}关联劳务收入的关联方和交易金额如下表所示：</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图表14：{{清单模板-数据表-B2}}提供关联劳务明细表</w:t>
      </w:r>
      <w:r>
        <w:rPr>
          <w:rFonts w:ascii="Arial" w:hAnsi="Arial" w:eastAsia="微软雅黑" w:cs="Arial"/>
          <w:bCs w:val="0"/>
          <w:sz w:val="18"/>
          <w:szCs w:val="18"/>
        </w:rPr>
      </w:r>
      <w:r>
        <w:rPr>
          <w:rFonts w:ascii="Arial" w:hAnsi="Arial" w:eastAsia="微软雅黑" w:cs="Arial"/>
          <w:bCs w:val="0"/>
          <w:sz w:val="18"/>
          <w:szCs w:val="18"/>
        </w:rPr>
      </w:r>
    </w:p>
    <w:tbl>
      <w:tblPr>
        <w:tblStyle w:val="1293"/>
        <w:tblW w:w="808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413"/>
        <w:gridCol w:w="3544"/>
        <w:gridCol w:w="1706"/>
        <w:gridCol w:w="1418"/>
      </w:tblGrid>
      <w:tr>
        <w:trPr>
          <w:jc w:val="center"/>
          <w:trHeight w:val="105"/>
        </w:trPr>
        <w:tc>
          <w:tcPr>
            <w:gridSpan w:val="2"/>
            <w:shd w:val="clear" w:color="auto" w:fill="4f81bd" w:themeFill="accent1"/>
            <w:tcBorders/>
            <w:tcW w:w="495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关联方名称</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706"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交易金额</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4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highlight w:val="yellow"/>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占营业收入比重(%)</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highlight w:val="yellow"/>
                <w14:textFill>
                  <w14:solidFill>
                    <w14:schemeClr w14:val="bg1"/>
                  </w14:solidFill>
                </w14:textFill>
              </w:rPr>
            </w:r>
          </w:p>
        </w:tc>
      </w:tr>
      <w:tr>
        <w:trPr>
          <w:jc w:val="center"/>
          <w:trHeight w:val="240"/>
        </w:trPr>
        <w:tc>
          <w:tcPr>
            <w:shd w:val="clear" w:color="auto" w:fill="auto"/>
            <w:tcBorders/>
            <w:tcW w:w="1413" w:type="dxa"/>
            <w:vAlign w:val="center"/>
            <w:vMerge w:val="restart"/>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{{_row_group}}</w:t>
            </w:r>
            <w:r>
              <w:rPr>
                <w:rFonts w:hint="eastAsia"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hint="eastAsia" w:ascii="Arial" w:hAnsi="Arial" w:eastAsia="微软雅黑" w:cs="Arial"/>
                <w:color w:val="000000"/>
                <w:sz w:val="18"/>
                <w:szCs w:val="18"/>
              </w:rPr>
              <w:t xml:space="preserve">{{_col_关联方名称}}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r>
              <w:rPr>
                <w:rFonts w:ascii="Arial" w:hAnsi="Arial" w:eastAsia="微软雅黑" w:cs="Arial"/>
                <w:color w:val="000000"/>
                <w:sz w:val="18"/>
                <w:szCs w:val="18"/>
              </w:rPr>
            </w:r>
          </w:p>
        </w:tc>
      </w:tr>
      <w:tr>
        <w:trPr>
          <w:jc w:val="center"/>
          <w:trHeight w:val="24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t xml:space="preserve">{{_tpl_清单模板-6_劳务收入明细}} {{_row_data}} {{_col_关联方名称}}</w:t>
            </w:r>
            <w:r>
              <w:rPr>
                <w:rFonts w:ascii="Arial" w:hAnsi="Arial" w:eastAsia="微软雅黑" w:cs="Arial"/>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eastAsia="微软雅黑" w:cs="Arial"/>
                <w:color w:val="000000"/>
                <w:sz w:val="18"/>
                <w:szCs w:val="18"/>
              </w:rPr>
              <w:t xml:space="preserve">{{_col_交易金额}}</w:t>
            </w:r>
            <w:r>
              <w:rPr>
                <w:rFonts w:ascii="Arial" w:hAnsi="Arial" w:eastAsia="微软雅黑" w:cs="Arial"/>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{{_col_占营业收入比重（%）}}</w:t>
            </w:r>
            <w:r>
              <w:rPr>
                <w:rFonts w:ascii="Arial" w:hAnsi="Arial" w:eastAsia="微软雅黑" w:cs="Arial"/>
                <w:color w:val="000000"/>
                <w:sz w:val="18"/>
                <w:szCs w:val="18"/>
              </w:rPr>
            </w:r>
          </w:p>
        </w:tc>
      </w:tr>
      <w:tr>
        <w:trPr>
          <w:jc w:val="center"/>
          <w:trHeight w:val="90"/>
        </w:trPr>
        <w:tc>
          <w:tcPr>
            <w:tcBorders/>
            <w:tcW w:w="1413" w:type="dxa"/>
            <w:vMerge w:val="continue"/>
            <w:textDirection w:val="lrTb"/>
            <w:noWrap w:val="false"/>
          </w:tcPr>
          <w:p>
            <w:pPr>
              <w:pBdr/>
              <w:spacing w:after="0" w:before="0"/>
              <w:ind w:right="0" w:left="0"/>
              <w:rPr>
                <w:rFonts w:ascii="Arial" w:hAnsi="Arial" w:eastAsia="微软雅黑" w:cs="Arial"/>
                <w:color w:val="000000"/>
                <w:sz w:val="18"/>
                <w:szCs w:val="18"/>
              </w:rPr>
            </w:pPr>
            <w:r>
              <w:rPr>
                <w:rFonts w:ascii="Arial" w:hAnsi="Arial" w:eastAsia="微软雅黑" w:cs="Arial"/>
                <w:color w:val="000000"/>
                <w:sz w:val="18"/>
                <w:szCs w:val="18"/>
              </w:rPr>
            </w:r>
            <w:r>
              <w:rPr>
                <w:rFonts w:ascii="Arial" w:hAnsi="Arial" w:eastAsia="微软雅黑" w:cs="Arial"/>
                <w:color w:val="000000"/>
                <w:sz w:val="18"/>
                <w:szCs w:val="18"/>
              </w:rPr>
            </w:r>
          </w:p>
        </w:tc>
        <w:tc>
          <w:tcPr>
            <w:shd w:val="clear" w:color="auto" w:fill="auto"/>
            <w:tcBorders/>
            <w:tcW w:w="3544" w:type="dxa"/>
            <w:vAlign w:val="center"/>
            <w:textDirection w:val="lrTb"/>
            <w:noWrap w:val="false"/>
          </w:tcPr>
          <w:p>
            <w:pPr>
              <w:pBdr/>
              <w:spacing w:after="0" w:before="0"/>
              <w:ind w:right="0" w:left="0"/>
              <w:rPr>
                <w:rFonts w:ascii="Arial" w:hAnsi="Arial" w:eastAsia="微软雅黑" w:cs="Arial"/>
                <w:b/>
                <w:bCs/>
                <w:color w:val="000000"/>
                <w:sz w:val="18"/>
                <w:szCs w:val="18"/>
              </w:rPr>
            </w:pPr>
            <w:r>
              <w:rPr>
                <w:rFonts w:ascii="Arial" w:hAnsi="Arial" w:eastAsia="微软雅黑" w:cs="Arial"/>
                <w:b/>
                <w:bCs/>
                <w:color w:val="000000"/>
                <w:sz w:val="18"/>
                <w:szCs w:val="18"/>
              </w:rPr>
              <w:t xml:space="preserve">{{_tpl_清单模板-6_劳务收入明细}} {{_row_subtotal}} {{_col_关联方名称}}</w:t>
            </w:r>
            <w:r>
              <w:rPr>
                <w:rFonts w:ascii="Arial" w:hAnsi="Arial" w:eastAsia="微软雅黑" w:cs="Arial"/>
                <w:b/>
                <w:bCs/>
                <w:color w:val="000000"/>
                <w:sz w:val="18"/>
                <w:szCs w:val="18"/>
              </w:rPr>
            </w:r>
            <w:r>
              <w:rPr>
                <w:rFonts w:ascii="Arial" w:hAnsi="Arial" w:eastAsia="微软雅黑" w:cs="Arial"/>
                <w:b/>
                <w:bCs/>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cs="Arial"/>
                <w:b/>
                <w:bCs/>
                <w:color w:val="000000"/>
                <w:sz w:val="18"/>
                <w:szCs w:val="18"/>
              </w:rPr>
              <w:t xml:space="preserve">{{_col_占营业收入比重（%）}}</w:t>
            </w:r>
            <w:r>
              <w:rPr>
                <w:rFonts w:ascii="Arial" w:hAnsi="Arial" w:eastAsia="微软雅黑" w:cs="Arial"/>
                <w:b/>
                <w:bCs/>
                <w:color w:val="000000"/>
                <w:sz w:val="18"/>
                <w:szCs w:val="18"/>
              </w:rPr>
            </w:r>
          </w:p>
        </w:tc>
      </w:tr>
      <w:tr>
        <w:trPr>
          <w:jc w:val="center"/>
          <w:trHeight w:val="240"/>
        </w:trPr>
        <w:tc>
          <w:tcPr>
            <w:gridSpan w:val="2"/>
            <w:shd w:val="clear" w:color="auto" w:fill="auto"/>
            <w:tcBorders/>
            <w:tcW w:w="4957" w:type="dxa"/>
            <w:vAlign w:val="center"/>
            <w:textDirection w:val="lrTb"/>
            <w:noWrap w:val="false"/>
          </w:tcPr>
          <w:p>
            <w:pPr>
              <w:pBdr/>
              <w:spacing w:after="0" w:before="0"/>
              <w:ind w:right="0" w:left="0"/>
              <w:jc w:val="center"/>
              <w:rPr>
                <w:rFonts w:ascii="Arial" w:hAnsi="Arial" w:eastAsia="微软雅黑" w:cs="Arial"/>
                <w:b/>
                <w:color w:val="000000"/>
                <w:sz w:val="18"/>
                <w:szCs w:val="18"/>
              </w:rPr>
            </w:pPr>
            <w:r>
              <w:rPr>
                <w:rFonts w:ascii="Arial" w:hAnsi="Arial" w:eastAsia="微软雅黑" w:cs="Arial"/>
                <w:b/>
                <w:color w:val="000000"/>
                <w:sz w:val="18"/>
                <w:szCs w:val="18"/>
              </w:rPr>
              <w:t xml:space="preserve">{{_tpl_清单模板-6_劳务收入明细}} {{_row_subtotal}} {{_col_关联方名称}}</w:t>
            </w:r>
            <w:r>
              <w:rPr>
                <w:rFonts w:ascii="Arial" w:hAnsi="Arial" w:eastAsia="微软雅黑" w:cs="Arial"/>
                <w:b/>
                <w:color w:val="000000"/>
                <w:sz w:val="18"/>
                <w:szCs w:val="18"/>
              </w:rPr>
            </w:r>
            <w:r>
              <w:rPr>
                <w:rFonts w:ascii="Arial" w:hAnsi="Arial" w:eastAsia="微软雅黑" w:cs="Arial"/>
                <w:b/>
                <w:color w:val="000000"/>
                <w:sz w:val="18"/>
                <w:szCs w:val="18"/>
              </w:rPr>
            </w:r>
          </w:p>
        </w:tc>
        <w:tc>
          <w:tcPr>
            <w:shd w:val="clear" w:color="auto" w:fill="auto"/>
            <w:tcBorders/>
            <w:tcW w:w="1706" w:type="dxa"/>
            <w:vAlign w:val="center"/>
            <w:textDirection w:val="lrTb"/>
            <w:noWrap w:val="false"/>
          </w:tcPr>
          <w:p>
            <w:pPr>
              <w:pBdr/>
              <w:spacing w:after="0" w:before="0"/>
              <w:ind w:right="0" w:left="0"/>
              <w:jc w:val="right"/>
              <w:rPr>
                <w:rFonts w:ascii="Arial" w:hAnsi="Arial" w:eastAsia="微软雅黑" w:cs="Arial"/>
                <w:b/>
                <w:color w:val="000000"/>
                <w:sz w:val="18"/>
                <w:szCs w:val="18"/>
              </w:rPr>
            </w:pPr>
            <w:r>
              <w:rPr>
                <w:rFonts w:ascii="Arial" w:hAnsi="Arial" w:eastAsia="微软雅黑" w:cs="Arial"/>
                <w:b/>
                <w:color w:val="000000"/>
                <w:sz w:val="18"/>
                <w:szCs w:val="18"/>
              </w:rPr>
              <w:t xml:space="preserve">{{_col_交易金额}}</w:t>
            </w:r>
            <w:r>
              <w:rPr>
                <w:rFonts w:ascii="Arial" w:hAnsi="Arial" w:eastAsia="微软雅黑" w:cs="Arial"/>
                <w:b/>
                <w:color w:val="000000"/>
                <w:sz w:val="18"/>
                <w:szCs w:val="18"/>
              </w:rPr>
            </w:r>
          </w:p>
        </w:tc>
        <w:tc>
          <w:tcPr>
            <w:shd w:val="clear" w:color="auto" w:fill="auto"/>
            <w:tcBorders/>
            <w:tcW w:w="1418" w:type="dxa"/>
            <w:vAlign w:val="center"/>
            <w:textDirection w:val="lrTb"/>
            <w:noWrap w:val="false"/>
          </w:tcPr>
          <w:p>
            <w:pPr>
              <w:pBdr/>
              <w:spacing w:after="0" w:before="0"/>
              <w:ind w:right="0" w:left="0"/>
              <w:jc w:val="right"/>
              <w:rPr>
                <w:rFonts w:ascii="Arial" w:hAnsi="Arial" w:eastAsia="微软雅黑" w:cs="Arial"/>
                <w:b/>
                <w:bCs/>
                <w:color w:val="000000"/>
                <w:sz w:val="18"/>
                <w:szCs w:val="18"/>
              </w:rPr>
            </w:pPr>
            <w:r>
              <w:rPr>
                <w:rFonts w:ascii="Arial" w:hAnsi="Arial" w:eastAsia="等线" w:cs="Arial"/>
                <w:b/>
                <w:bCs/>
                <w:color w:val="000000"/>
                <w:sz w:val="18"/>
                <w:szCs w:val="18"/>
              </w:rPr>
              <w:t xml:space="preserve">{{_col_占营业收入比重（%）}}</w:t>
            </w:r>
            <w:r>
              <w:rPr>
                <w:rFonts w:ascii="Arial" w:hAnsi="Arial" w:eastAsia="微软雅黑" w:cs="Arial"/>
                <w:b/>
                <w:bCs/>
                <w:color w:val="000000"/>
                <w:sz w:val="18"/>
                <w:szCs w:val="18"/>
              </w:rPr>
            </w:r>
          </w:p>
        </w:tc>
      </w:tr>
    </w:tbl>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03" w:name="_Toc4506"/>
      <w:r/>
      <w:bookmarkStart w:id="304" w:name="_Toc47700029"/>
      <w:r/>
      <w:bookmarkStart w:id="305" w:name="_Toc76668398"/>
      <w:r/>
      <w:bookmarkStart w:id="306" w:name="_Toc202797575"/>
      <w:r/>
      <w:bookmarkStart w:id="307" w:name="_Toc6728"/>
      <w:r>
        <w:rPr>
          <w:rFonts w:ascii="Arial" w:hAnsi="Arial" w:eastAsia="微软雅黑" w:cs="Arial"/>
          <w:b w:val="0"/>
          <w:i w:val="0"/>
          <w:color w:val="4f81bd" w:themeColor="accent1"/>
          <w:sz w:val="22"/>
          <w:szCs w:val="22"/>
          <w14:textFill>
            <w14:solidFill>
              <w14:schemeClr w14:val="accent1"/>
            </w14:solidFill>
          </w14:textFill>
        </w:rPr>
        <w:t xml:space="preserve">服务接受的受益性分析</w:t>
      </w:r>
      <w:bookmarkEnd w:id="303"/>
      <w:r/>
      <w:bookmarkEnd w:id="304"/>
      <w:r/>
      <w:bookmarkEnd w:id="305"/>
      <w:r/>
      <w:bookmarkEnd w:id="306"/>
      <w:r/>
      <w:bookmarkEnd w:id="30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清单模板-数据表-B5}}加入斯必克中国投资设立的服务共享中心，接受斯必克中国投资提供的人力资源管理服务、财务经济管理服务、内部数据分析和信息系统服务。作为相关服务的接受方和受益方，{{清单模板-数据表-B5}}从上述服务中获益或预期获益，因此，{{清单模板-数据表-B5}}应向服务提供方支付相应的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以下将对{{清单模板-数据表-B5}}从斯必克中国投资和SPX Flow, Inc.接受的劳务，从相关服务内容和受益性两个方面进行分析。</w:t>
      </w:r>
      <w:r>
        <w:rPr>
          <w:rFonts w:ascii="Arial" w:hAnsi="Arial" w:eastAsia="微软雅黑" w:cs="Arial"/>
          <w:sz w:val="22"/>
          <w:szCs w:val="22"/>
        </w:rPr>
      </w:r>
    </w:p>
    <w:p>
      <w:pPr>
        <w:pStyle w:val="1461"/>
        <w:numPr>
          <w:ilvl w:val="3"/>
          <w:numId w:val="11"/>
        </w:numPr>
        <w:pBdr/>
        <w:spacing/>
        <w:ind w:firstLine="0" w:left="0"/>
        <w:rPr/>
      </w:pPr>
      <w:r/>
      <w:bookmarkStart w:id="308" w:name="_Toc18821"/>
      <w:r/>
      <w:bookmarkStart w:id="309" w:name="_Toc47700030"/>
      <w:r/>
      <w:bookmarkStart w:id="310" w:name="_Toc805"/>
      <w:r/>
      <w:bookmarkStart w:id="311" w:name="_Toc76668399"/>
      <w:r/>
      <w:bookmarkStart w:id="312" w:name="_Toc20746"/>
      <w:r>
        <w:t xml:space="preserve">具体服务内容</w:t>
      </w:r>
      <w:bookmarkEnd w:id="308"/>
      <w:r/>
      <w:bookmarkEnd w:id="309"/>
      <w:r/>
      <w:bookmarkEnd w:id="310"/>
      <w:r/>
      <w:bookmarkEnd w:id="311"/>
      <w:r/>
      <w:bookmarkEnd w:id="312"/>
      <w:r/>
      <w:r/>
    </w:p>
    <w:p>
      <w:pPr>
        <w:pStyle w:val="1396"/>
        <w:keepNext w:val="true"/>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人力资源管理服务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人力资源管理服务主要依托计算机信息技术提供人力资源管理服务，具体服务内容包括网络在线人力资源系统管理服务、以计算机为基础的员工人事管理服务，以及网络在线薪资筹划、社保福利管理服务。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财务经济管理服务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财务经济管理服务主要依托信息技术提供的财务经济管理服务，具体服务内容包括核心流程管理、财务资料复核、业务运作方面的指导咨询服务。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内部数据分析</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内部数据分析服务主要依托信息技术提供的内部数据分析，具体服务内容包括企业内部的各项财务数据、经济指数的分析，内部利润指数分析预测，以及采购经理人指数分析。</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信息系统服务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信息系统服务具体服务内容包括信息系统集成、网络管理、信息系统应用，桌面管理与维护、数据中心等服务，以及信息技术基础设施管理。</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支持性服务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SPX Flow, Inc.提供的支持性服务主要包括：通讯服务、发展服务、设施服务、人力资源服务、法务服务、风险管理服务、组织发展服务等服务。</w:t>
      </w:r>
      <w:r>
        <w:rPr>
          <w:rFonts w:ascii="Arial" w:hAnsi="Arial" w:eastAsia="微软雅黑" w:cs="Arial"/>
          <w:sz w:val="22"/>
          <w:szCs w:val="22"/>
        </w:rPr>
      </w:r>
    </w:p>
    <w:p>
      <w:pPr>
        <w:pStyle w:val="1396"/>
        <w:numPr>
          <w:ilvl w:val="0"/>
          <w:numId w:val="16"/>
        </w:numPr>
        <w:pBdr/>
        <w:spacing w:after="163" w:before="163"/>
        <w:ind/>
        <w:rPr>
          <w:rFonts w:ascii="Arial" w:hAnsi="Arial" w:eastAsia="微软雅黑" w:cs="Arial"/>
          <w:color w:val="000000" w:themeColor="text1"/>
          <w:sz w:val="22"/>
          <w:szCs w:val="22"/>
          <w14:textFill>
            <w14:solidFill>
              <w14:schemeClr w14:val="tx1"/>
            </w14:solidFill>
          </w14:textFill>
        </w:rPr>
      </w:pPr>
      <w:r>
        <w:rPr>
          <w:rFonts w:ascii="Arial" w:hAnsi="Arial" w:eastAsia="微软雅黑" w:cs="Arial"/>
          <w:color w:val="000000" w:themeColor="text1"/>
          <w:sz w:val="22"/>
          <w:szCs w:val="22"/>
          <w14:textFill>
            <w14:solidFill>
              <w14:schemeClr w14:val="tx1"/>
            </w14:solidFill>
          </w14:textFill>
        </w:rPr>
        <w:t xml:space="preserve">终端市场服务</w:t>
      </w:r>
      <w:r>
        <w:rPr>
          <w:rFonts w:ascii="Arial" w:hAnsi="Arial" w:eastAsia="微软雅黑" w:cs="Arial"/>
          <w:color w:val="000000" w:themeColor="text1"/>
          <w:sz w:val="22"/>
          <w:szCs w:val="22"/>
          <w14:textFill>
            <w14:solidFill>
              <w14:schemeClr w14:val="tx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根据合同，SPX Flow, Inc.还向集团内关联方提供终端市场服务。解决关联方在终端市场上所面临的一些问题。</w:t>
      </w:r>
      <w:r>
        <w:rPr>
          <w:rFonts w:ascii="Arial" w:hAnsi="Arial" w:eastAsia="微软雅黑" w:cs="Arial"/>
          <w:sz w:val="22"/>
          <w:szCs w:val="22"/>
        </w:rPr>
      </w:r>
    </w:p>
    <w:p>
      <w:pPr>
        <w:pStyle w:val="1461"/>
        <w:numPr>
          <w:ilvl w:val="3"/>
          <w:numId w:val="11"/>
        </w:numPr>
        <w:pBdr/>
        <w:spacing/>
        <w:ind w:firstLine="0" w:left="0"/>
        <w:rPr/>
      </w:pPr>
      <w:r/>
      <w:bookmarkStart w:id="313" w:name="_Toc12714"/>
      <w:r/>
      <w:bookmarkStart w:id="314" w:name="_Toc47700031"/>
      <w:r/>
      <w:bookmarkStart w:id="315" w:name="_Toc28848"/>
      <w:r/>
      <w:bookmarkStart w:id="316" w:name="_Toc76668400"/>
      <w:r/>
      <w:bookmarkStart w:id="317" w:name="_Toc29741"/>
      <w:r>
        <w:t xml:space="preserve">受益性分析</w:t>
      </w:r>
      <w:bookmarkEnd w:id="313"/>
      <w:r/>
      <w:bookmarkEnd w:id="314"/>
      <w:r/>
      <w:bookmarkEnd w:id="315"/>
      <w:r/>
      <w:bookmarkEnd w:id="316"/>
      <w:r/>
      <w:bookmarkEnd w:id="31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如上所述，斯必克中国投资和SPX Flow, Inc.以其现有的成熟团队的技能和经验向{{清单模板-数据表-B5}}提供上述人力资源管理服务、财务经济管理服务、内部数据分析服务、信息系统服务、支持性服务以及终端市场服务。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人力资源管理服务可以更好地降低{{清单模板-数据表-B5}}的用人成本，集中员工的专业度，为企业做好人员管理和薪酬规划，提高企业的核心竞争力以及为企业未来的发展做好准备。</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财务经济管理服务和内部数据分析服务可以加强{{清单模板-数据表-B5}}内部财务经济状况透明度，同时帮助企业更快更好地作出决策、节约成本、提高工作效率，发现新的增长点，开发潜在的商务智能，提高资本变现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信息系统服务可以根据{{清单模板-数据表-B5}}的运营需求，对内部、外部系统进行开发和优化，提高企业的运营和沟通效率。信息系统服务可以保障企业信息和内部沟通的安全性和机密性，防止因为使用第三方系统而导致企业信息的泄露。斯必克中国主要通过监督邮箱系统和网络电话会议系统实现信息系统服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支持性服务对{{清单模板-数据表-B5}}的日常运营起到了辅助作用，维持与保障企业的稳定。</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终端市场服务为{{清单模板-数据表-B5}}在越发重要的终端市场提供了保障，从而对企业的销售和运营起到了积极的推动作用。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斯必克中国投资和SPX Flow,</w:t>
      </w:r>
      <w:r>
        <w:rPr>
          <w:rFonts w:ascii="Arial" w:hAnsi="Arial" w:eastAsia="微软雅黑" w:cs="Arial"/>
          <w:sz w:val="22"/>
          <w:szCs w:val="22"/>
        </w:rPr>
        <w:t xml:space="preserve">Inc提供的上述服务对于{{清单模板-数据表-B5}}的整体发展和稳定起到了至关重要的作用。{{清单模板-数据表-B5}}没有能够提供上述服务的专业部门或雇员，需要委托第三方提供这些服务。然而，委托或聘请第三方提供上述服务能否在现有基础上进一步的提高企业发展的效率和稳定性存在疑问和不确定性。考虑到部分服务内容的安全性和机密性，也并不适合引入外部第三方服务提供商。另一方面，斯必克中国投资和SPX Flow,Inc提供上述服务的成本由{{清单模板-数据表-B5}}与关联方共同分担，因此可以实现集团的效率最大化。</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综上所述，可以认为{{清单模板-数据表-B5}}向斯必克中国投资等关联方支付其提供劳务相关的服务费用是必要的、合理的。</w:t>
      </w:r>
      <w:r>
        <w:rPr>
          <w:rFonts w:ascii="Arial" w:hAnsi="Arial" w:eastAsia="微软雅黑" w:cs="Arial"/>
          <w:sz w:val="22"/>
          <w:szCs w:val="22"/>
        </w:rPr>
      </w:r>
      <w:r>
        <w:rPr>
          <w:rFonts w:ascii="Arial" w:hAnsi="Arial" w:eastAsia="微软雅黑" w:cs="Arial"/>
          <w:sz w:val="22"/>
          <w:szCs w:val="22"/>
        </w:rPr>
      </w:r>
    </w:p>
    <w:p>
      <w:pPr>
        <w:pStyle w:val="1309"/>
        <w:numPr>
          <w:ilvl w:val="2"/>
          <w:numId w:val="11"/>
        </w:numPr>
        <w:pBdr/>
        <w:tabs>
          <w:tab w:val="clear" w:leader="none" w:pos="312"/>
          <w:tab w:val="left" w:leader="none" w:pos="1920"/>
        </w:tabs>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18" w:name="_Toc24714"/>
      <w:r/>
      <w:bookmarkStart w:id="319" w:name="_Toc47700032"/>
      <w:r/>
      <w:bookmarkStart w:id="320" w:name="_Toc24173"/>
      <w:r/>
      <w:bookmarkStart w:id="321" w:name="_Toc76668401"/>
      <w:r/>
      <w:bookmarkStart w:id="322" w:name="_Toc202797576"/>
      <w:r>
        <w:rPr>
          <w:rFonts w:ascii="Arial" w:hAnsi="Arial" w:eastAsia="微软雅黑" w:cs="Arial"/>
          <w:b w:val="0"/>
          <w:i w:val="0"/>
          <w:color w:val="4f81bd" w:themeColor="accent1"/>
          <w:sz w:val="22"/>
          <w:szCs w:val="22"/>
          <w14:textFill>
            <w14:solidFill>
              <w14:schemeClr w14:val="accent1"/>
            </w14:solidFill>
          </w14:textFill>
        </w:rPr>
        <w:t xml:space="preserve">交易定价政策</w:t>
      </w:r>
      <w:bookmarkEnd w:id="318"/>
      <w:r/>
      <w:bookmarkEnd w:id="319"/>
      <w:r/>
      <w:bookmarkEnd w:id="320"/>
      <w:r/>
      <w:bookmarkEnd w:id="321"/>
      <w:r/>
      <w:bookmarkEnd w:id="322"/>
      <w:r>
        <w:rPr>
          <w:rFonts w:ascii="Arial" w:hAnsi="Arial" w:eastAsia="微软雅黑" w:cs="Arial"/>
          <w:b w:val="0"/>
          <w:i w:val="0"/>
          <w:color w:val="4f81bd" w:themeColor="accent1"/>
          <w:sz w:val="22"/>
          <w:szCs w:val="22"/>
          <w14:textFill>
            <w14:solidFill>
              <w14:schemeClr w14:val="accent1"/>
            </w14:solidFill>
          </w14:textFill>
        </w:rPr>
        <w:tab/>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评估期间，{{清单模板-数据表-B5}}主要接受斯必克中国投资和SPX Flow, Inc.提供的上述服务以及向境外关联方提供工程设计及设备调试等服务。</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接受关联方提供的劳务服务，根据{{清单模板-数据表-B5}}与斯必克中国投资签署的《斯必克流体亚太总部服务合同》，关联服务受益方向斯必克中国投资按照成本加成5%的方式支付服务费。斯必克中国投资将在提供服务过程中可能导致的有关人员、房屋和土地占用、差旅和维持费用、通讯、专业服务成本、固定资产减值等费用以及其它运作费用的综合作为成本的归集方式。</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根据{{清单模板-数据表-B5}}与SPX Flow, Inc.签署的《执行支持服务合同》，SPX Flow,Inc.按年度归集实际发生的成本，并考虑相关因素向服务受益方收取服务费。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标准人工收费标准作为成本分摊的方式。标准人工是指根据提供财务共享服务团队的总成本（包括但不限于部门人员的工资、社保等）计算每一服务人员的标准人工，然后根据为服务接受方提供服务所需要的人数进行收费。</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对于向关联方提供劳务服务，定价由交易双方根据具体项目协商确定。</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3" w:name="_Toc76668402"/>
      <w:r/>
      <w:bookmarkStart w:id="324" w:name="_Toc27591"/>
      <w:r/>
      <w:bookmarkStart w:id="325" w:name="_Toc47700033"/>
      <w:r/>
      <w:bookmarkStart w:id="326" w:name="_Toc9692"/>
      <w:r/>
      <w:bookmarkStart w:id="327" w:name="_Toc202797577"/>
      <w:r>
        <w:rPr>
          <w:rFonts w:ascii="Arial" w:hAnsi="Arial" w:eastAsia="微软雅黑" w:cs="Arial"/>
          <w:b w:val="0"/>
          <w:i w:val="0"/>
          <w:color w:val="4f81bd" w:themeColor="accent1"/>
          <w:sz w:val="22"/>
          <w:szCs w:val="22"/>
          <w14:textFill>
            <w14:solidFill>
              <w14:schemeClr w14:val="accent1"/>
            </w14:solidFill>
          </w14:textFill>
        </w:rPr>
        <w:t xml:space="preserve">关联借贷</w:t>
      </w:r>
      <w:bookmarkEnd w:id="323"/>
      <w:r/>
      <w:bookmarkEnd w:id="324"/>
      <w:r/>
      <w:bookmarkEnd w:id="325"/>
      <w:r/>
      <w:bookmarkEnd w:id="326"/>
      <w:r/>
      <w:bookmarkEnd w:id="327"/>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为充分利用各公司闲置资金，提高资金的使用效率，{{清单模板-数据表-B5}}与斯必克集团在中国境内的关联公司通过商业银行进行现金池业务。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bookmarkStart w:id="328" w:name="_Hlk169288866"/>
      <w:r>
        <w:rPr>
          <w:rFonts w:hint="eastAsia" w:ascii="Arial" w:hAnsi="Arial" w:eastAsia="微软雅黑" w:cs="Arial"/>
          <w:sz w:val="22"/>
          <w:szCs w:val="22"/>
        </w:rPr>
        <w:t xml:space="preserve">{{清单模板-数据表-B2}}现金池业务通过招商银行股份有限公司上海市淮海支行进行。以委托存款形式存放在该现金池的资金，年利率为浮动利率；以委托贷款形式向现金池借入的资金，年利率为0.50%。</w:t>
      </w:r>
      <w:r>
        <w:rPr>
          <w:rFonts w:hint="eastAsia" w:ascii="Arial" w:hAnsi="Arial" w:eastAsia="微软雅黑" w:cs="Arial"/>
          <w:sz w:val="22"/>
          <w:szCs w:val="22"/>
        </w:rPr>
      </w:r>
      <w:bookmarkEnd w:id="328"/>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评估期间，{{清单模板-数据表-B5}}关联利息收入为人民币1,773,951.39元。</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29" w:name="_Toc47700034"/>
      <w:r/>
      <w:bookmarkStart w:id="330" w:name="_Toc202797578"/>
      <w:r/>
      <w:bookmarkStart w:id="331" w:name="_Toc76668403"/>
      <w:r/>
      <w:bookmarkStart w:id="332" w:name="_Toc31116"/>
      <w:r/>
      <w:bookmarkStart w:id="333" w:name="_Toc27908"/>
      <w:r>
        <w:rPr>
          <w:rFonts w:ascii="Arial" w:hAnsi="Arial" w:eastAsia="微软雅黑" w:cs="Arial"/>
          <w:b w:val="0"/>
          <w:i w:val="0"/>
          <w:color w:val="4f81bd" w:themeColor="accent1"/>
          <w:sz w:val="22"/>
          <w:szCs w:val="22"/>
          <w14:textFill>
            <w14:solidFill>
              <w14:schemeClr w14:val="accent1"/>
            </w14:solidFill>
          </w14:textFill>
        </w:rPr>
        <w:t xml:space="preserve">关联交易合同及执行汇总</w:t>
      </w:r>
      <w:bookmarkEnd w:id="329"/>
      <w:r/>
      <w:bookmarkEnd w:id="330"/>
      <w:r/>
      <w:bookmarkEnd w:id="331"/>
      <w:r/>
      <w:bookmarkEnd w:id="332"/>
      <w:r/>
      <w:bookmarkEnd w:id="333"/>
      <w:r/>
      <w:bookmarkStart w:id="334" w:name="_Toc12351295"/>
      <w:r/>
      <w:bookmarkEnd w:id="334"/>
      <w:r/>
      <w:bookmarkStart w:id="335" w:name="_Toc12351294"/>
      <w:r/>
      <w:bookmarkEnd w:id="335"/>
      <w:r/>
      <w:bookmarkStart w:id="336" w:name="_Toc12351293"/>
      <w:r/>
      <w:bookmarkEnd w:id="33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评估期间，{{清单模板-数据表-B5}}与关联方均依据协议中的条款和约定履行各自的责任和义务。</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37" w:name="_Toc12285868"/>
      <w:r/>
      <w:bookmarkEnd w:id="337"/>
      <w:r/>
      <w:bookmarkStart w:id="338" w:name="_Toc12351332"/>
      <w:r/>
      <w:bookmarkEnd w:id="338"/>
      <w:r/>
      <w:bookmarkStart w:id="339" w:name="_Toc12285842"/>
      <w:r/>
      <w:bookmarkEnd w:id="339"/>
      <w:r/>
      <w:bookmarkStart w:id="340" w:name="_Toc12285863"/>
      <w:r/>
      <w:bookmarkEnd w:id="340"/>
      <w:r/>
      <w:bookmarkStart w:id="341" w:name="_Toc12351297"/>
      <w:r/>
      <w:bookmarkEnd w:id="341"/>
      <w:r/>
      <w:bookmarkStart w:id="342" w:name="_Toc12351318"/>
      <w:r/>
      <w:bookmarkEnd w:id="342"/>
      <w:r/>
      <w:bookmarkStart w:id="343" w:name="_Toc12285877"/>
      <w:r/>
      <w:bookmarkEnd w:id="343"/>
      <w:r/>
      <w:bookmarkStart w:id="344" w:name="_Toc12351323"/>
      <w:r/>
      <w:bookmarkEnd w:id="344"/>
      <w:r/>
      <w:bookmarkStart w:id="345" w:name="_Toc12351313"/>
      <w:r/>
      <w:bookmarkEnd w:id="345"/>
      <w:r/>
      <w:bookmarkStart w:id="346" w:name="_Toc12285858"/>
      <w:r/>
      <w:bookmarkEnd w:id="346"/>
      <w:r/>
      <w:bookmarkStart w:id="347" w:name="_Toc202797579"/>
      <w:r/>
      <w:bookmarkStart w:id="348" w:name="_Toc1186"/>
      <w:r/>
      <w:bookmarkStart w:id="349" w:name="_Toc47700035"/>
      <w:r/>
      <w:bookmarkStart w:id="350" w:name="_Toc11443"/>
      <w:r/>
      <w:bookmarkStart w:id="351" w:name="_Toc76668404"/>
      <w:r>
        <w:rPr>
          <w:rFonts w:ascii="Arial" w:hAnsi="Arial" w:eastAsia="微软雅黑" w:cs="Arial"/>
          <w:b w:val="0"/>
          <w:i w:val="0"/>
          <w:color w:val="4f81bd" w:themeColor="accent1"/>
          <w:sz w:val="22"/>
          <w:szCs w:val="22"/>
          <w14:textFill>
            <w14:solidFill>
              <w14:schemeClr w14:val="accent1"/>
            </w14:solidFill>
          </w14:textFill>
        </w:rPr>
        <w:t xml:space="preserve">与企业关联交易直接相关的预约定价安排和其他税收裁定</w:t>
      </w:r>
      <w:bookmarkEnd w:id="347"/>
      <w:r/>
      <w:bookmarkEnd w:id="348"/>
      <w:r/>
      <w:bookmarkEnd w:id="349"/>
      <w:r/>
      <w:bookmarkEnd w:id="350"/>
      <w:r/>
      <w:bookmarkEnd w:id="351"/>
      <w:r/>
      <w:bookmarkStart w:id="352" w:name="_Hlk16866928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评估期间，{{清单模板-数据表-B5}}无与企业关联交易直接相关的预约定价安排和作出的其他税收裁定。</w:t>
      </w:r>
      <w:bookmarkEnd w:id="352"/>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53" w:name="_Toc47700036"/>
      <w:r/>
      <w:bookmarkStart w:id="354" w:name="_Toc76668405"/>
      <w:r/>
      <w:bookmarkStart w:id="355" w:name="_Toc466901995"/>
      <w:r/>
      <w:bookmarkStart w:id="356" w:name="_Toc45183409"/>
      <w:r/>
      <w:bookmarkStart w:id="357" w:name="_Toc202797580"/>
      <w:r/>
      <w:bookmarkStart w:id="358" w:name="_Toc7989"/>
      <w:r/>
      <w:bookmarkStart w:id="359" w:name="_Toc17415"/>
      <w:r>
        <w:rPr>
          <w:rFonts w:ascii="Arial" w:hAnsi="Arial" w:eastAsia="微软雅黑" w:cs="Arial"/>
          <w:b w:val="0"/>
          <w:i w:val="0"/>
          <w:color w:val="4f81bd" w:themeColor="accent1"/>
          <w:sz w:val="22"/>
          <w:szCs w:val="22"/>
          <w14:textFill>
            <w14:solidFill>
              <w14:schemeClr w14:val="accent1"/>
            </w14:solidFill>
          </w14:textFill>
        </w:rPr>
        <w:t xml:space="preserve">关联交易财务状况</w:t>
      </w:r>
      <w:bookmarkEnd w:id="353"/>
      <w:r/>
      <w:bookmarkEnd w:id="354"/>
      <w:r/>
      <w:bookmarkEnd w:id="355"/>
      <w:r/>
      <w:bookmarkEnd w:id="356"/>
      <w:r/>
      <w:bookmarkEnd w:id="357"/>
      <w:r/>
      <w:bookmarkEnd w:id="358"/>
      <w:r/>
      <w:bookmarkEnd w:id="35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{{清单模板-数据表-B5}}按照客户类型进行收入划分，即根据客户是否是关联方将销售收入明确划分成关联交易收入和非关联交易收入。具体拆分数据详见附件2《企业年度关联交易财务状况分析表》。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{{清单模板-数据表-B5}}原则上根据实际情况在不同的交易类型中归集、划分成本和费用，对于不能按照实际情况划分的成本和费用，{{清单模板-数据表-B5}}按照合理比例进行划分。</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60" w:name="_Toc31074"/>
      <w:r/>
      <w:bookmarkStart w:id="361" w:name="_Toc202797581"/>
      <w:r/>
      <w:bookmarkStart w:id="362" w:name="_Toc76668406"/>
      <w:r/>
      <w:bookmarkStart w:id="363" w:name="_Toc47700037"/>
      <w:r/>
      <w:bookmarkStart w:id="364" w:name="_Toc20708"/>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360"/>
      <w:r/>
      <w:bookmarkEnd w:id="361"/>
      <w:r/>
      <w:bookmarkEnd w:id="362"/>
      <w:r/>
      <w:bookmarkEnd w:id="363"/>
      <w:r/>
      <w:bookmarkEnd w:id="364"/>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Style w:val="1324"/>
          <w:rFonts w:ascii="Arial" w:hAnsi="Arial" w:eastAsia="微软雅黑" w:cs="Arial"/>
        </w:rPr>
      </w:pPr>
      <w:r>
        <w:rPr>
          <w:rFonts w:ascii="Arial" w:hAnsi="Arial" w:eastAsia="微软雅黑" w:cs="Arial"/>
          <w:sz w:val="22"/>
          <w:szCs w:val="22"/>
        </w:rPr>
        <w:t xml:space="preserve">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1324"/>
          <w:rFonts w:ascii="Arial" w:hAnsi="Arial" w:eastAsia="微软雅黑" w:cs="Arial"/>
          <w:sz w:val="22"/>
          <w:szCs w:val="22"/>
        </w:rPr>
        <w:footnoteReference w:id="20"/>
      </w:r>
      <w:r>
        <w:rPr>
          <w:rStyle w:val="1324"/>
          <w:rFonts w:ascii="Arial" w:hAnsi="Arial" w:eastAsia="微软雅黑" w:cs="Aria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评估期间，{{清单模板-数据表-B5}}的主要关联</w:t>
      </w:r>
      <w:r>
        <w:rPr>
          <w:rFonts w:ascii="Arial" w:hAnsi="Arial" w:eastAsia="微软雅黑" w:cs="Arial"/>
          <w:sz w:val="22"/>
          <w:szCs w:val="22"/>
        </w:rPr>
        <w:t xml:space="preserve">交易是从关联方采购和销售货物。{{清单模板-数据表-B5}}向关联方进行采购，金额为人民币108,545,585.51元。收入端，{{清单模板-数据表-B5}}向关联方销售加工后的成品，同时，{{清单模板-数据表-B5}}向第三方销售成套设备并提供系统解决方案。因此，本报告将分别对关联销售和第三方销售是否符合独立交易原则进行测试和分析。此外，考虑到关联劳务的金额较小，关联劳务支出仅占总成本的4.51%，且已反映到成本费用中；关联劳务收入仅占总收入的0.40%，占比较低。因此，本报告将不对其进行单独测试分析。</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同时，本报告通过对现金池协议中利率水平进行高阶分析，来分析集团间的资金融通行为是否符合独立交易原则。</w:t>
      </w: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sz w:val="28"/>
          <w:szCs w:val="22"/>
        </w:rPr>
      </w:pPr>
      <w:r/>
      <w:bookmarkStart w:id="365" w:name="_Toc47700038"/>
      <w:r/>
      <w:bookmarkStart w:id="366" w:name="_Toc76668407"/>
      <w:r/>
      <w:bookmarkStart w:id="367" w:name="_Toc202797582"/>
      <w:r/>
      <w:bookmarkStart w:id="368" w:name="_Toc21874"/>
      <w:r/>
      <w:bookmarkStart w:id="369" w:name="_Toc522015215"/>
      <w:r>
        <w:rPr>
          <w:rFonts w:ascii="Arial" w:hAnsi="Arial" w:eastAsia="微软雅黑" w:cs="Arial"/>
          <w:color w:val="4f81bd"/>
          <w:sz w:val="28"/>
          <w:szCs w:val="22"/>
        </w:rPr>
        <w:t xml:space="preserve">功能和风险分析</w:t>
      </w:r>
      <w:bookmarkEnd w:id="365"/>
      <w:r/>
      <w:bookmarkEnd w:id="366"/>
      <w:r/>
      <w:bookmarkEnd w:id="367"/>
      <w:r/>
      <w:bookmarkEnd w:id="368"/>
      <w:r/>
      <w:bookmarkEnd w:id="369"/>
      <w:r/>
      <w:r>
        <w:rPr>
          <w:rFonts w:ascii="Arial" w:hAnsi="Arial" w:eastAsia="微软雅黑" w:cs="Arial"/>
          <w:color w:val="4f81bd"/>
          <w:sz w:val="28"/>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0" w:name="_Toc47700039"/>
      <w:r/>
      <w:bookmarkStart w:id="371" w:name="_Toc32310"/>
      <w:r/>
      <w:bookmarkStart w:id="372" w:name="_Toc522015216"/>
      <w:r/>
      <w:bookmarkStart w:id="373" w:name="_Toc76668408"/>
      <w:r/>
      <w:bookmarkStart w:id="374" w:name="_Toc2324"/>
      <w:r/>
      <w:bookmarkStart w:id="375" w:name="_Toc1683"/>
      <w:r/>
      <w:bookmarkStart w:id="376" w:name="_Toc20279758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370"/>
      <w:r/>
      <w:bookmarkEnd w:id="371"/>
      <w:r/>
      <w:bookmarkEnd w:id="372"/>
      <w:r/>
      <w:bookmarkEnd w:id="373"/>
      <w:r/>
      <w:bookmarkEnd w:id="374"/>
      <w:r/>
      <w:bookmarkEnd w:id="375"/>
      <w:r/>
      <w:bookmarkEnd w:id="37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rPr>
      </w:pPr>
      <w:r>
        <w:rPr>
          <w:rFonts w:ascii="Arial" w:hAnsi="Arial" w:eastAsia="微软雅黑" w:cs="Arial"/>
          <w:sz w:val="22"/>
          <w:szCs w:val="22"/>
        </w:rPr>
        <w:t xml:space="preserve">功能和风险分析有助于理解和验证相关的转让定价安排，也是中国转让定价法规规定必须进行的分析。功能和风险分析部分所收集的信息，将被用来分析评估期间的以下问题：</w:t>
      </w:r>
      <w:r>
        <w:rPr>
          <w:rFonts w:ascii="Arial" w:hAnsi="Arial" w:eastAsia="微软雅黑" w:cs="Arial"/>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企业及其关联方执行的主要功能（包括种类和频繁程度）；</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企业及其关联方所承担的风险；</w:t>
      </w:r>
      <w:r>
        <w:rPr>
          <w:rFonts w:ascii="Arial" w:hAnsi="Arial" w:eastAsia="微软雅黑" w:cs="Arial"/>
          <w:sz w:val="22"/>
          <w:szCs w:val="22"/>
        </w:rPr>
      </w:r>
    </w:p>
    <w:p>
      <w:pPr>
        <w:pStyle w:val="1396"/>
        <w:numPr>
          <w:ilvl w:val="0"/>
          <w:numId w:val="17"/>
        </w:numPr>
        <w:pBdr/>
        <w:spacing w:after="163" w:before="163"/>
        <w:ind/>
        <w:rPr>
          <w:rFonts w:ascii="Arial" w:hAnsi="Arial" w:eastAsia="微软雅黑" w:cs="Arial"/>
          <w:sz w:val="22"/>
          <w:szCs w:val="22"/>
        </w:rPr>
      </w:pPr>
      <w:r>
        <w:rPr>
          <w:rFonts w:ascii="Arial" w:hAnsi="Arial" w:eastAsia="微软雅黑" w:cs="Arial"/>
          <w:sz w:val="22"/>
          <w:szCs w:val="22"/>
        </w:rPr>
        <w:t xml:space="preserve">企业及其关联方所使用的资产（包括有形资产和无形资产）。</w:t>
      </w:r>
      <w:r>
        <w:rPr>
          <w:rFonts w:ascii="Arial" w:hAnsi="Arial" w:eastAsia="微软雅黑" w:cs="Arial"/>
          <w:sz w:val="22"/>
          <w:szCs w:val="22"/>
        </w:rPr>
      </w:r>
    </w:p>
    <w:p>
      <w:pPr>
        <w:pBdr/>
        <w:spacing w:after="163" w:before="163"/>
        <w:ind w:firstLine="440"/>
        <w:rPr>
          <w:rFonts w:ascii="Arial" w:hAnsi="Arial" w:eastAsia="微软雅黑" w:cs="Arial"/>
        </w:rPr>
      </w:pPr>
      <w:r>
        <w:rPr>
          <w:rFonts w:ascii="Arial" w:hAnsi="Arial" w:eastAsia="微软雅黑" w:cs="Arial"/>
          <w:sz w:val="22"/>
          <w:szCs w:val="22"/>
        </w:rPr>
        <w:t xml:space="preserve">在本报告的功能和风险分析部分，我们将对{{清单模板-数据表-B5}}在受测关联交易中与其关联方之间形成的经济关系进行分析和评估。</w:t>
      </w:r>
      <w:r>
        <w:rPr>
          <w:rFonts w:ascii="Arial" w:hAnsi="Arial" w:eastAsia="微软雅黑" w:cs="Aria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77" w:name="_Toc522015217"/>
      <w:r/>
      <w:bookmarkStart w:id="378" w:name="_Toc22659"/>
      <w:r/>
      <w:bookmarkStart w:id="379" w:name="_Toc31803"/>
      <w:r/>
      <w:bookmarkStart w:id="380" w:name="_Toc47700040"/>
      <w:r/>
      <w:bookmarkStart w:id="381" w:name="_Toc202797584"/>
      <w:r/>
      <w:bookmarkStart w:id="382" w:name="_Toc76668409"/>
      <w:r>
        <w:rPr>
          <w:rFonts w:ascii="Arial" w:hAnsi="Arial" w:eastAsia="微软雅黑" w:cs="Arial"/>
          <w:b w:val="0"/>
          <w:i w:val="0"/>
          <w:color w:val="4f81bd" w:themeColor="accent1"/>
          <w:sz w:val="22"/>
          <w:szCs w:val="22"/>
          <w14:textFill>
            <w14:solidFill>
              <w14:schemeClr w14:val="accent1"/>
            </w14:solidFill>
          </w14:textFill>
        </w:rPr>
        <w:t xml:space="preserve">功能及风险分析</w:t>
      </w:r>
      <w:bookmarkEnd w:id="377"/>
      <w:r>
        <w:rPr>
          <w:rFonts w:ascii="Arial" w:hAnsi="Arial" w:eastAsia="微软雅黑" w:cs="Arial"/>
          <w:b w:val="0"/>
          <w:i w:val="0"/>
          <w:color w:val="4f81bd" w:themeColor="accent1"/>
          <w:sz w:val="22"/>
          <w:szCs w:val="22"/>
          <w14:textFill>
            <w14:solidFill>
              <w14:schemeClr w14:val="accent1"/>
            </w14:solidFill>
          </w14:textFill>
        </w:rPr>
      </w:r>
      <w:bookmarkEnd w:id="378"/>
      <w:r/>
      <w:bookmarkEnd w:id="379"/>
      <w:r/>
      <w:bookmarkEnd w:id="380"/>
      <w:r/>
      <w:bookmarkEnd w:id="381"/>
      <w:r/>
      <w:bookmarkEnd w:id="382"/>
      <w:r/>
      <w:r>
        <w:rPr>
          <w:rFonts w:ascii="Arial" w:hAnsi="Arial" w:eastAsia="微软雅黑" w:cs="Arial"/>
          <w:b w:val="0"/>
          <w:i w:val="0"/>
          <w:color w:val="4f81bd" w:themeColor="accent1"/>
          <w:sz w:val="22"/>
          <w:szCs w:val="22"/>
          <w14:textFill>
            <w14:solidFill>
              <w14:schemeClr w14:val="accent1"/>
            </w14:solidFill>
          </w14:textFill>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383" w:name="_Toc31126"/>
      <w:r/>
      <w:bookmarkStart w:id="384" w:name="_Toc522015218"/>
      <w:r/>
      <w:bookmarkStart w:id="385" w:name="_Toc20519"/>
      <w:r/>
      <w:bookmarkStart w:id="386" w:name="_Toc76668410"/>
      <w:r/>
      <w:bookmarkStart w:id="387" w:name="_Toc47700041"/>
      <w:r/>
      <w:bookmarkStart w:id="388" w:name="_Toc11035"/>
      <w:r/>
      <w:bookmarkStart w:id="389" w:name="_Toc202797585"/>
      <w:r>
        <w:rPr>
          <w:rFonts w:ascii="Arial" w:hAnsi="Arial" w:eastAsia="微软雅黑" w:cs="Arial"/>
          <w:b w:val="0"/>
          <w:i w:val="0"/>
          <w:color w:val="4f81bd" w:themeColor="accent1"/>
          <w:sz w:val="22"/>
          <w:szCs w:val="22"/>
          <w14:textFill>
            <w14:solidFill>
              <w14:schemeClr w14:val="accent1"/>
            </w14:solidFill>
          </w14:textFill>
        </w:rPr>
        <w:t xml:space="preserve">功能分析</w:t>
      </w:r>
      <w:bookmarkEnd w:id="383"/>
      <w:r/>
      <w:bookmarkEnd w:id="384"/>
      <w:r>
        <w:rPr>
          <w:rFonts w:ascii="Arial" w:hAnsi="Arial" w:eastAsia="微软雅黑" w:cs="Arial"/>
          <w:b w:val="0"/>
          <w:i w:val="0"/>
          <w:color w:val="4f81bd" w:themeColor="accent1"/>
          <w:sz w:val="22"/>
          <w:szCs w:val="22"/>
          <w14:textFill>
            <w14:solidFill>
              <w14:schemeClr w14:val="accent1"/>
            </w14:solidFill>
          </w14:textFill>
        </w:rPr>
      </w:r>
      <w:bookmarkEnd w:id="385"/>
      <w:r/>
      <w:bookmarkEnd w:id="386"/>
      <w:r/>
      <w:bookmarkEnd w:id="387"/>
      <w:r/>
      <w:bookmarkEnd w:id="388"/>
      <w:r/>
      <w:bookmarkEnd w:id="3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此处我们将主要分析{{清单模板-数据表-B5}}及其关联企业各个业务部门在关联交易中所从事的业务活动，以及关联交易的各个参与方所执行的功能。</w:t>
      </w:r>
      <w:r>
        <w:rPr>
          <w:rFonts w:ascii="Arial" w:hAnsi="Arial" w:eastAsia="微软雅黑" w:cs="Arial"/>
          <w:sz w:val="22"/>
          <w:szCs w:val="22"/>
        </w:rPr>
      </w:r>
    </w:p>
    <w:p>
      <w:pPr>
        <w:pStyle w:val="1461"/>
        <w:numPr>
          <w:ilvl w:val="3"/>
          <w:numId w:val="11"/>
        </w:numPr>
        <w:pBdr/>
        <w:spacing/>
        <w:ind w:firstLine="0" w:left="0"/>
        <w:rPr/>
      </w:pPr>
      <w:r/>
      <w:bookmarkStart w:id="390" w:name="_Toc47700042"/>
      <w:r/>
      <w:bookmarkStart w:id="391" w:name="_Toc76668411"/>
      <w:r/>
      <w:bookmarkStart w:id="392" w:name="_Toc4787"/>
      <w:r/>
      <w:bookmarkStart w:id="393" w:name="_Toc3474"/>
      <w:r/>
      <w:bookmarkStart w:id="394" w:name="_Toc30820"/>
      <w:r>
        <w:t xml:space="preserve">研究与开发</w:t>
      </w:r>
      <w:bookmarkEnd w:id="390"/>
      <w:r/>
      <w:bookmarkEnd w:id="391"/>
      <w:r/>
      <w:bookmarkEnd w:id="392"/>
      <w:r/>
      <w:bookmarkEnd w:id="393"/>
      <w:r/>
      <w:bookmarkEnd w:id="39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研发功能包括研发活动的决策与实施、新产品的开发、现有产品的改进升级、生产工艺的开发或改进等活动。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如对从国外关联方处转移到{{清单模板-数据表-B5}}的生产线所生产的产品进行本地化的改良，并为新产品在本地的投产配合海外关联方进行本地化的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工艺工程解决方案，{{清单模板-数据表-B5}}的工程部主要负责工艺工程解决方案的设计，具体流程为：{{清单模板-数据表-B5}}在接到关联方的工艺工程解决方案订单后，首先交由工程部制定设计方案，在设计方案成型后工程部将该方案交给生产部，其后由生产部按设计图纸进行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针对第三方销售的交易，{{清单模板-数据表-B5}}承担产品的工程设计功能；而在境外关联销售交易中，{{清单模板-数据表-B5}}仅负责所生产设备的部分工程设计，而境外关联方负责完整设备生产线的工程设计。</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因此，评估期间，{{清单模板-数据表-B5}}与其关联方共同执行研发功能：在第三方销售中，执行正常的研发功能；在关联销售中，执行有限的研发功能。</w:t>
      </w:r>
      <w:r>
        <w:rPr>
          <w:rFonts w:ascii="Arial" w:hAnsi="Arial" w:eastAsia="微软雅黑" w:cs="Arial"/>
          <w:sz w:val="22"/>
          <w:szCs w:val="22"/>
        </w:rPr>
      </w:r>
    </w:p>
    <w:p>
      <w:pPr>
        <w:pStyle w:val="1461"/>
        <w:numPr>
          <w:ilvl w:val="3"/>
          <w:numId w:val="11"/>
        </w:numPr>
        <w:pBdr/>
        <w:spacing/>
        <w:ind w:firstLine="0" w:left="0"/>
        <w:rPr/>
      </w:pPr>
      <w:r/>
      <w:bookmarkStart w:id="395" w:name="_Toc10438"/>
      <w:r/>
      <w:bookmarkStart w:id="396" w:name="_Toc25149"/>
      <w:r/>
      <w:bookmarkStart w:id="397" w:name="_Toc17601"/>
      <w:r/>
      <w:bookmarkStart w:id="398" w:name="_Toc47700043"/>
      <w:r/>
      <w:bookmarkStart w:id="399" w:name="_Toc76668412"/>
      <w:r>
        <w:t xml:space="preserve">采购</w:t>
      </w:r>
      <w:bookmarkEnd w:id="395"/>
      <w:r/>
      <w:bookmarkEnd w:id="396"/>
      <w:r/>
      <w:bookmarkEnd w:id="397"/>
      <w:r/>
      <w:bookmarkEnd w:id="398"/>
      <w:r/>
      <w:bookmarkEnd w:id="399"/>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采购功能是指采购在生产或分销过程中所涉及的原材料、产成品和其他材料的活动。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生产的原材料大部分向境内外第三方供应商采购，小部分从关联公司采购。评估期间，关联方采购额约占主营业务成本的12.25%。在首次选择第三方供应商时，{{清单模板-数据表-B5}}根据自有审核流程，对众多潜在供应商进行分析及审查，综合评估以后确定供应商。如果采购的原材料是与向国外关联方销售的产品相关，则会在初步选定供</w:t>
      </w:r>
      <w:r>
        <w:rPr>
          <w:rFonts w:ascii="Arial" w:hAnsi="Arial" w:eastAsia="微软雅黑" w:cs="Arial"/>
          <w:sz w:val="22"/>
          <w:szCs w:val="22"/>
        </w:rPr>
        <w:t xml:space="preserve">应商后，将选中供应商提供的原材料送至集团总部进行检测，在得到集团总部的批准后，{{清单模板-数据表-B5}}的采购部会决定是否最终采用该供应商。在对采购价格进行谈判时，{{清单模板-数据表-B5}}会向集团总部报价，在得到其初步确认后，再由{{清单模板-数据表-B5}}和供应商确定最终价格，发出采购订单。在供应商选择过程中，{{清单模板-数据表-B5}}主要对各供应商提供的产品价格、质量和发货期进行比较。此外，{{清单模板-数据表-B5}}的生产计划是基于客户订单制定的，相关采购计划也取决于客户的订单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因此，{{清单模板-数据表-B5}}执行采购功能。</w:t>
      </w:r>
      <w:r>
        <w:rPr>
          <w:rFonts w:ascii="Arial" w:hAnsi="Arial" w:eastAsia="微软雅黑" w:cs="Arial"/>
          <w:sz w:val="22"/>
          <w:szCs w:val="22"/>
        </w:rPr>
      </w:r>
    </w:p>
    <w:p>
      <w:pPr>
        <w:pStyle w:val="1461"/>
        <w:numPr>
          <w:ilvl w:val="3"/>
          <w:numId w:val="11"/>
        </w:numPr>
        <w:pBdr/>
        <w:spacing/>
        <w:ind w:firstLine="0" w:left="0"/>
        <w:rPr/>
      </w:pPr>
      <w:r/>
      <w:bookmarkStart w:id="400" w:name="_Toc76668413"/>
      <w:r/>
      <w:bookmarkStart w:id="401" w:name="_Toc4000"/>
      <w:r/>
      <w:bookmarkStart w:id="402" w:name="_Toc15663"/>
      <w:r/>
      <w:bookmarkStart w:id="403" w:name="_Toc31835"/>
      <w:r/>
      <w:bookmarkStart w:id="404" w:name="_Toc47700044"/>
      <w:r>
        <w:t xml:space="preserve">生产</w:t>
      </w:r>
      <w:bookmarkEnd w:id="400"/>
      <w:r/>
      <w:bookmarkEnd w:id="401"/>
      <w:r/>
      <w:bookmarkEnd w:id="402"/>
      <w:r/>
      <w:bookmarkEnd w:id="403"/>
      <w:r/>
      <w:bookmarkEnd w:id="404"/>
      <w:r/>
      <w:r/>
    </w:p>
    <w:p>
      <w:pPr>
        <w:pBdr/>
        <w:spacing w:after="163" w:before="163"/>
        <w:ind w:firstLine="440"/>
        <w:rPr>
          <w:rFonts w:ascii="Arial" w:hAnsi="Arial" w:eastAsia="微软雅黑" w:cs="Arial"/>
          <w:sz w:val="22"/>
          <w:szCs w:val="22"/>
        </w:rPr>
      </w:pPr>
      <w:r/>
      <w:bookmarkStart w:id="405" w:name="_Toc31566"/>
      <w:r>
        <w:rPr>
          <w:rFonts w:ascii="Arial" w:hAnsi="Arial" w:eastAsia="微软雅黑" w:cs="Arial"/>
          <w:sz w:val="22"/>
          <w:szCs w:val="22"/>
        </w:rPr>
        <w:t xml:space="preserve">生产功能包括生产设备的采购、生产计划的制订、生产流程以及产品的制造和装配等活动。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根据实际订单安排生产计划，会根据生产计划预测对备料的需求量。评估期间，{{清单模板-数据表-B5}}的产品主要生产板式换热器、搅拌机、阀门和泵等。换热器的生产流程主要包括压板片、扣胶条、立框架、放入板片整合、测试、贴牌和包装。阀门和泵的生产流程主要是根据客户要求对原材料进行加工、打磨形成零件或成品后进行装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因此，{{清单模板-数据表-B5}}执行生产功能。</w:t>
      </w:r>
      <w:r>
        <w:rPr>
          <w:rFonts w:ascii="Arial" w:hAnsi="Arial" w:eastAsia="微软雅黑" w:cs="Arial"/>
          <w:sz w:val="22"/>
          <w:szCs w:val="22"/>
        </w:rPr>
      </w:r>
    </w:p>
    <w:p>
      <w:pPr>
        <w:pStyle w:val="1461"/>
        <w:numPr>
          <w:ilvl w:val="3"/>
          <w:numId w:val="11"/>
        </w:numPr>
        <w:pBdr/>
        <w:spacing/>
        <w:ind w:firstLine="0" w:left="0"/>
        <w:rPr/>
      </w:pPr>
      <w:r/>
      <w:bookmarkStart w:id="406" w:name="_Toc3267"/>
      <w:r/>
      <w:bookmarkStart w:id="407" w:name="_Toc16736"/>
      <w:r/>
      <w:bookmarkStart w:id="408" w:name="_Toc47700045"/>
      <w:r/>
      <w:bookmarkStart w:id="409" w:name="_Toc20157"/>
      <w:r/>
      <w:bookmarkStart w:id="410" w:name="_Toc76668414"/>
      <w:r>
        <w:t xml:space="preserve">质量控制</w:t>
      </w:r>
      <w:bookmarkEnd w:id="406"/>
      <w:r/>
      <w:bookmarkEnd w:id="407"/>
      <w:r/>
      <w:bookmarkEnd w:id="408"/>
      <w:r/>
      <w:bookmarkEnd w:id="409"/>
      <w:r/>
      <w:bookmarkEnd w:id="41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质量控制功能是指制订和实施产品质量标准的活动，包括对采购的原材料及辅助材料、在制品和产成品进行分析和检测等。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承担质量控制功能，包括质量体系审查、供应商质量控制、生产流程质量控制、产成品检验、处理客户投诉以及进行生产设备校验。质量体系审查的工作主要包括对相关行业质量体系（诸如ISO:9001）进行认证。供应商质量控制主要包括{{清单模板-数据表-B5}}对供应商提供的原材料进行质量检测，而全球供应商由集团总部负责把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流程质量控制是由集团总部制定相关的质量标准，{{清单模板-数据表-B5}}根据该质量要求以及国家标准在{{清单模板-数据表-B5}}的日常生产过程执行并进行相关检测。{{清单模板-数据表-B5}}在产成品质量控制工作中负责使用专业检测设备对所生产的产成品进行测试，以检查外观是否渗漏；{{清单模板-数据表-B5}}还负责生产设备的校验工作，包括校正卡尺及其他生产设备的精度。</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因此，{{清单模板-数据表-B5}}执行质量控制功能。</w:t>
      </w:r>
      <w:r>
        <w:rPr>
          <w:rFonts w:ascii="Arial" w:hAnsi="Arial" w:eastAsia="微软雅黑" w:cs="Arial"/>
          <w:sz w:val="22"/>
          <w:szCs w:val="22"/>
        </w:rPr>
      </w:r>
    </w:p>
    <w:p>
      <w:pPr>
        <w:pStyle w:val="1461"/>
        <w:numPr>
          <w:ilvl w:val="3"/>
          <w:numId w:val="11"/>
        </w:numPr>
        <w:pBdr/>
        <w:spacing/>
        <w:ind w:firstLine="0" w:left="0"/>
        <w:rPr/>
      </w:pPr>
      <w:r/>
      <w:bookmarkStart w:id="411" w:name="_Toc28531"/>
      <w:r/>
      <w:bookmarkStart w:id="412" w:name="_Toc47700046"/>
      <w:r/>
      <w:bookmarkStart w:id="413" w:name="_Toc76668415"/>
      <w:r/>
      <w:bookmarkStart w:id="414" w:name="_Toc16154"/>
      <w:r/>
      <w:bookmarkStart w:id="415" w:name="_Toc8007"/>
      <w:r>
        <w:t xml:space="preserve">库存管理</w:t>
      </w:r>
      <w:bookmarkEnd w:id="411"/>
      <w:r/>
      <w:bookmarkEnd w:id="412"/>
      <w:r/>
      <w:bookmarkEnd w:id="413"/>
      <w:r/>
      <w:bookmarkEnd w:id="414"/>
      <w:r/>
      <w:bookmarkEnd w:id="41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库存管理功能是指对存货水平（包括原材料、半成品和产成品）进行管理和控制，以降低存货成本并提高生产经营效率的活动。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清单模板-数据表-B5}}拥有自己的仓库用于存货，主要存放原材料和零部件。在客户成功验收之前，{{清单模板-数据表-B5}}持有产品的所有权。因此，{{清单模板-数据表-B5}}持有一定量的存货。同时，{{清单模板-数据表-B5}}会配合交货期管理，设置安全库存标准以进行内部控制与管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因此，{{清单模板-数据表-B5}}执行库存管理功能。</w:t>
      </w:r>
      <w:r>
        <w:rPr>
          <w:rFonts w:ascii="Arial" w:hAnsi="Arial" w:eastAsia="微软雅黑" w:cs="Arial"/>
          <w:sz w:val="22"/>
          <w:szCs w:val="22"/>
        </w:rPr>
      </w:r>
    </w:p>
    <w:p>
      <w:pPr>
        <w:pStyle w:val="1461"/>
        <w:numPr>
          <w:ilvl w:val="3"/>
          <w:numId w:val="11"/>
        </w:numPr>
        <w:pBdr/>
        <w:spacing/>
        <w:ind w:firstLine="0" w:left="0"/>
        <w:rPr/>
      </w:pPr>
      <w:r/>
      <w:bookmarkStart w:id="416" w:name="_Toc8653"/>
      <w:r/>
      <w:bookmarkStart w:id="417" w:name="_Toc30849"/>
      <w:r/>
      <w:bookmarkStart w:id="418" w:name="_Toc47700047"/>
      <w:r/>
      <w:bookmarkStart w:id="419" w:name="_Toc6390"/>
      <w:r/>
      <w:bookmarkStart w:id="420" w:name="_Toc76668416"/>
      <w:r>
        <w:t xml:space="preserve">市场营销和销售</w:t>
      </w:r>
      <w:bookmarkEnd w:id="416"/>
      <w:r/>
      <w:bookmarkEnd w:id="417"/>
      <w:r/>
      <w:bookmarkEnd w:id="418"/>
      <w:r/>
      <w:bookmarkEnd w:id="419"/>
      <w:r/>
      <w:bookmarkEnd w:id="420"/>
      <w: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市场营销</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市场营销功能是指基于产品在目标市场的定位通过各种市场推广活动以吸引潜在用户的行为。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成品给境内外关联企业的交易中，由关联企业负责与最终第三方客户的联系和相关市场开拓及广告营销工作。{{清单模板-数据表-B5}}仅负责从关联企业接到订单后组织生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在{{清单模板-数据表-B5}}销售产品给境内第三方客户的交易中，{{清单模板-数据表-B5}}负责开展市场开拓及广告营销，包括参加同行业内的相关展会，在专业杂志上刊登广告等。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因此，{{清单模板-数据表-B5}}执行有限的市场营销功能。 </w:t>
      </w:r>
      <w:r>
        <w:rPr>
          <w:rFonts w:ascii="Arial" w:hAnsi="Arial" w:eastAsia="微软雅黑" w:cs="Arial"/>
          <w:sz w:val="22"/>
          <w:szCs w:val="22"/>
        </w:rPr>
      </w:r>
    </w:p>
    <w:p>
      <w:pPr>
        <w:pBdr/>
        <w:spacing w:after="163" w:before="163"/>
        <w:ind w:firstLine="440"/>
        <w:rPr>
          <w:rFonts w:ascii="Arial" w:hAnsi="Arial" w:eastAsia="微软雅黑" w:cs="Arial"/>
          <w:sz w:val="22"/>
          <w:szCs w:val="22"/>
          <w:u w:val="single"/>
        </w:rPr>
      </w:pPr>
      <w:r>
        <w:rPr>
          <w:rFonts w:ascii="Arial" w:hAnsi="Arial" w:eastAsia="微软雅黑" w:cs="Arial"/>
          <w:sz w:val="22"/>
          <w:szCs w:val="22"/>
          <w:u w:val="single"/>
        </w:rPr>
        <w:t xml:space="preserve">销售</w:t>
      </w:r>
      <w:r>
        <w:rPr>
          <w:rFonts w:ascii="Arial" w:hAnsi="Arial" w:eastAsia="微软雅黑" w:cs="Arial"/>
          <w:sz w:val="22"/>
          <w:szCs w:val="22"/>
          <w:u w:val="single"/>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销售功能是指与客户进行协商，签订合同并将产品卖给该客户的行为。</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评估期间，在{{清单模板-数据表-B5}}销售产品给境内外关联企业的交易中，由关联企业的销售团队负责对第三方客户的销售活动。{{清单模板-数据表-B5}}的销售团队仅负责与关联企业间的订单联络。</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因此，{{清单模板-数据表-B5}}执行有限的销售功能。</w:t>
      </w:r>
      <w:r>
        <w:rPr>
          <w:rFonts w:ascii="Arial" w:hAnsi="Arial" w:eastAsia="微软雅黑" w:cs="Arial"/>
          <w:sz w:val="22"/>
          <w:szCs w:val="22"/>
        </w:rPr>
      </w:r>
    </w:p>
    <w:p>
      <w:pPr>
        <w:pStyle w:val="1461"/>
        <w:numPr>
          <w:ilvl w:val="3"/>
          <w:numId w:val="11"/>
        </w:numPr>
        <w:pBdr/>
        <w:spacing/>
        <w:ind w:firstLine="0" w:left="0"/>
        <w:rPr/>
      </w:pPr>
      <w:r/>
      <w:bookmarkStart w:id="421" w:name="_Toc27438"/>
      <w:r/>
      <w:bookmarkStart w:id="422" w:name="_Toc76668417"/>
      <w:r/>
      <w:bookmarkStart w:id="423" w:name="_Toc47700048"/>
      <w:r/>
      <w:bookmarkStart w:id="424" w:name="_Toc17267"/>
      <w:r/>
      <w:bookmarkStart w:id="425" w:name="_Toc13754"/>
      <w:r>
        <w:t xml:space="preserve">售后服务</w:t>
      </w:r>
      <w:bookmarkEnd w:id="421"/>
      <w:r/>
      <w:bookmarkEnd w:id="422"/>
      <w:r/>
      <w:bookmarkEnd w:id="423"/>
      <w:r/>
      <w:bookmarkEnd w:id="424"/>
      <w:r/>
      <w:bookmarkEnd w:id="42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售后服务包括向客户提供产品信息、质量保证、指导客户进行产品的保养和维护，以及提供技术支持和产品售后服务等。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对国内销售的产品和提供的专业工程服务，负责处理相关客户投诉，协助客户解决产品使用过程中的问题，如有必要{{清单模板-数据表-B5}}会派专人上门维修。其中产品卖出一年半内发生投诉的全部成本由{{清单模板-数据表-B5}}承担，超一年的保修期则客户需支付相应的维修服务费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对于向境外关联方销售的产品，{{清单模板-数据表-B5}}不承担相关的售后维修等服务，相关功能由境外关联公司负责。</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因此，{{清单模板-数据表-B5}}执行有限的售后服务功能。</w:t>
      </w:r>
      <w:r>
        <w:rPr>
          <w:rFonts w:ascii="Arial" w:hAnsi="Arial" w:eastAsia="微软雅黑" w:cs="Arial"/>
          <w:sz w:val="22"/>
          <w:szCs w:val="22"/>
        </w:rPr>
      </w:r>
    </w:p>
    <w:p>
      <w:pPr>
        <w:pStyle w:val="1461"/>
        <w:numPr>
          <w:ilvl w:val="3"/>
          <w:numId w:val="11"/>
        </w:numPr>
        <w:pBdr/>
        <w:spacing/>
        <w:ind w:firstLine="0" w:left="0"/>
        <w:rPr/>
      </w:pPr>
      <w:r/>
      <w:bookmarkStart w:id="426" w:name="_Toc4221"/>
      <w:r/>
      <w:bookmarkStart w:id="427" w:name="_Toc29482"/>
      <w:r/>
      <w:bookmarkStart w:id="428" w:name="_Toc47700049"/>
      <w:r/>
      <w:bookmarkStart w:id="429" w:name="_Toc76668418"/>
      <w:r/>
      <w:bookmarkStart w:id="430" w:name="_Toc2641"/>
      <w:r>
        <w:t xml:space="preserve">付款请求和回收</w:t>
      </w:r>
      <w:bookmarkEnd w:id="426"/>
      <w:r/>
      <w:bookmarkEnd w:id="427"/>
      <w:r/>
      <w:bookmarkEnd w:id="428"/>
      <w:r/>
      <w:bookmarkEnd w:id="429"/>
      <w:r/>
      <w:bookmarkEnd w:id="43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付款请求和回收包括向客户出具发票，催促收款等。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销售产品给境内外关联企业的交易，由关联企业承担对第三方客户的付款请求和回收功能。对于{{清单模板-数据表-B5}}直接销售给境内第三方客户的交易，{{清单模板-数据表-B5}}承担付款请求和回收功能。</w:t>
      </w:r>
      <w:r>
        <w:rPr>
          <w:rFonts w:ascii="Arial" w:hAnsi="Arial" w:eastAsia="微软雅黑" w:cs="Arial"/>
          <w:sz w:val="22"/>
          <w:szCs w:val="22"/>
        </w:rPr>
      </w:r>
    </w:p>
    <w:p>
      <w:pPr>
        <w:pStyle w:val="1461"/>
        <w:numPr>
          <w:ilvl w:val="3"/>
          <w:numId w:val="11"/>
        </w:numPr>
        <w:pBdr/>
        <w:spacing/>
        <w:ind w:firstLine="0" w:left="0"/>
        <w:rPr/>
      </w:pPr>
      <w:r/>
      <w:bookmarkStart w:id="431" w:name="_Toc76668419"/>
      <w:r/>
      <w:bookmarkStart w:id="432" w:name="_Toc27133"/>
      <w:r/>
      <w:bookmarkStart w:id="433" w:name="_Toc16172"/>
      <w:r/>
      <w:bookmarkStart w:id="434" w:name="_Toc20006"/>
      <w:r/>
      <w:bookmarkStart w:id="435" w:name="_Toc47700050"/>
      <w:r>
        <w:t xml:space="preserve">一般行政管理</w:t>
      </w:r>
      <w:bookmarkEnd w:id="431"/>
      <w:r/>
      <w:bookmarkEnd w:id="432"/>
      <w:r/>
      <w:bookmarkEnd w:id="433"/>
      <w:r/>
      <w:bookmarkEnd w:id="434"/>
      <w:r/>
      <w:bookmarkEnd w:id="43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行政管理指企业日常的经营管理活动(如人事、信息系统等)。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自行承担主要的经营管理以及一般管理功能。日常管理工作，包括监督生产运转、保存会计记录、进行税务申报、准备财务报告、遵循政府规定等，均由{{清单模板-数据表-B5}}自行负责或委托斯必克中国投资的共享服务团队提供相关服务。</w:t>
      </w:r>
      <w:r>
        <w:rPr>
          <w:rFonts w:ascii="Arial" w:hAnsi="Arial" w:eastAsia="微软雅黑" w:cs="Arial"/>
          <w:sz w:val="22"/>
          <w:szCs w:val="22"/>
        </w:rPr>
      </w:r>
    </w:p>
    <w:p>
      <w:pPr>
        <w:pStyle w:val="1309"/>
        <w:numPr>
          <w:ilvl w:val="2"/>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36" w:name="_Toc522015223"/>
      <w:r/>
      <w:bookmarkStart w:id="437" w:name="_Toc9675"/>
      <w:r/>
      <w:bookmarkStart w:id="438" w:name="_Toc202797586"/>
      <w:r/>
      <w:bookmarkStart w:id="439" w:name="_Toc31007"/>
      <w:r/>
      <w:bookmarkStart w:id="440" w:name="_Toc47700051"/>
      <w:r/>
      <w:bookmarkStart w:id="441" w:name="_Toc76668420"/>
      <w:r>
        <w:rPr>
          <w:rFonts w:ascii="Arial" w:hAnsi="Arial" w:eastAsia="微软雅黑" w:cs="Arial"/>
          <w:b w:val="0"/>
          <w:i w:val="0"/>
          <w:color w:val="4f81bd" w:themeColor="accent1"/>
          <w:sz w:val="22"/>
          <w:szCs w:val="22"/>
          <w14:textFill>
            <w14:solidFill>
              <w14:schemeClr w14:val="accent1"/>
            </w14:solidFill>
          </w14:textFill>
        </w:rPr>
        <w:t xml:space="preserve">风险分析</w:t>
      </w:r>
      <w:bookmarkEnd w:id="405"/>
      <w:r/>
      <w:bookmarkEnd w:id="436"/>
      <w:r>
        <w:rPr>
          <w:rFonts w:ascii="Arial" w:hAnsi="Arial" w:eastAsia="微软雅黑" w:cs="Arial"/>
          <w:b w:val="0"/>
          <w:i w:val="0"/>
          <w:color w:val="4f81bd" w:themeColor="accent1"/>
          <w:sz w:val="22"/>
          <w:szCs w:val="22"/>
          <w14:textFill>
            <w14:solidFill>
              <w14:schemeClr w14:val="accent1"/>
            </w14:solidFill>
          </w14:textFill>
        </w:rPr>
      </w:r>
      <w:bookmarkEnd w:id="437"/>
      <w:r/>
      <w:bookmarkEnd w:id="438"/>
      <w:r/>
      <w:bookmarkEnd w:id="439"/>
      <w:r/>
      <w:bookmarkEnd w:id="440"/>
      <w:r/>
      <w:bookmarkEnd w:id="4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企业在受测关联交易中所承担的风险。</w:t>
      </w:r>
      <w:r>
        <w:rPr>
          <w:rFonts w:ascii="Arial" w:hAnsi="Arial" w:eastAsia="微软雅黑" w:cs="Arial"/>
          <w:sz w:val="22"/>
          <w:szCs w:val="22"/>
        </w:rPr>
      </w:r>
    </w:p>
    <w:p>
      <w:pPr>
        <w:pStyle w:val="1461"/>
        <w:numPr>
          <w:ilvl w:val="3"/>
          <w:numId w:val="11"/>
        </w:numPr>
        <w:pBdr/>
        <w:spacing/>
        <w:ind w:firstLine="0" w:left="0"/>
        <w:rPr/>
      </w:pPr>
      <w:r/>
      <w:bookmarkStart w:id="442" w:name="_Toc23789"/>
      <w:r/>
      <w:bookmarkStart w:id="443" w:name="_Toc20761"/>
      <w:r/>
      <w:bookmarkStart w:id="444" w:name="_Toc522015225"/>
      <w:r/>
      <w:bookmarkStart w:id="445" w:name="_Toc76668421"/>
      <w:r/>
      <w:bookmarkStart w:id="446" w:name="_Toc47700052"/>
      <w:r/>
      <w:bookmarkStart w:id="447" w:name="_Toc20677"/>
      <w:r/>
      <w:bookmarkStart w:id="448" w:name="_Toc15775"/>
      <w:r>
        <w:t xml:space="preserve">研发风险</w:t>
      </w:r>
      <w:bookmarkEnd w:id="442"/>
      <w:r/>
      <w:bookmarkEnd w:id="443"/>
      <w:r/>
      <w:bookmarkEnd w:id="444"/>
      <w:r/>
      <w:bookmarkEnd w:id="445"/>
      <w:r/>
      <w:bookmarkEnd w:id="446"/>
      <w:r/>
      <w:bookmarkEnd w:id="447"/>
      <w:r/>
      <w:bookmarkEnd w:id="448"/>
      <w:r/>
      <w:bookmarkStart w:id="449" w:name="_Toc13224"/>
      <w:r/>
      <w:r/>
    </w:p>
    <w:p>
      <w:pPr>
        <w:pBdr/>
        <w:spacing w:after="163" w:before="163"/>
        <w:ind w:firstLine="440"/>
        <w:rPr>
          <w:rFonts w:ascii="Arial" w:hAnsi="Arial" w:eastAsia="微软雅黑" w:cs="Arial"/>
          <w:sz w:val="22"/>
          <w:szCs w:val="22"/>
        </w:rPr>
      </w:pPr>
      <w:r/>
      <w:bookmarkStart w:id="450" w:name="_Toc274825263"/>
      <w:r>
        <w:rPr>
          <w:rFonts w:ascii="Arial" w:hAnsi="Arial" w:eastAsia="微软雅黑" w:cs="Arial"/>
          <w:sz w:val="22"/>
          <w:szCs w:val="22"/>
        </w:rPr>
        <w:t xml:space="preserve">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评估期间，{{清单模板-数据表-B5}}执行斯必克产品的本地化技术改良及产品设计功能，并承担相应设计投入。{{清单模板-数据表-B5}}承担有限的研发风险。</w:t>
      </w:r>
      <w:r>
        <w:rPr>
          <w:rFonts w:ascii="Arial" w:hAnsi="Arial" w:eastAsia="微软雅黑" w:cs="Arial"/>
          <w:sz w:val="22"/>
          <w:szCs w:val="22"/>
        </w:rPr>
      </w:r>
    </w:p>
    <w:p>
      <w:pPr>
        <w:pStyle w:val="1461"/>
        <w:numPr>
          <w:ilvl w:val="3"/>
          <w:numId w:val="11"/>
        </w:numPr>
        <w:pBdr/>
        <w:spacing/>
        <w:ind w:firstLine="0" w:left="0"/>
        <w:rPr/>
      </w:pPr>
      <w:r/>
      <w:bookmarkStart w:id="451" w:name="_Toc76668422"/>
      <w:r/>
      <w:bookmarkStart w:id="452" w:name="_Toc6569"/>
      <w:r/>
      <w:bookmarkStart w:id="453" w:name="_Toc47700053"/>
      <w:r/>
      <w:bookmarkStart w:id="454" w:name="_Toc22647"/>
      <w:r/>
      <w:bookmarkStart w:id="455" w:name="_Toc16715"/>
      <w:r>
        <w:t xml:space="preserve">市场风险</w:t>
      </w:r>
      <w:bookmarkEnd w:id="451"/>
      <w:r/>
      <w:bookmarkEnd w:id="452"/>
      <w:r/>
      <w:bookmarkEnd w:id="453"/>
      <w:r/>
      <w:bookmarkEnd w:id="454"/>
      <w:r/>
      <w:bookmarkEnd w:id="455"/>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市场风险是指由于市场变化对商业成功因素造成影响的风险。市场风险包括需求变化，原材料价格波动，市场竞争激烈，拓展市场或对目标客户定位失败以及产品价格波动等带来的风险。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对于{{清单模板-数据表-B5}}的关联销售交易，{{清单模板-数据表-B5}}销售给关联方的价格为在标准成本上加成一定比例。当由于行业或市场因素而导致产品需求减少或产品价格发生波动时，关联方订单会随着终端客户订单的减少而减少。因此，{{清单模板-数据表-B5}}承担小部分市场风险，主要的市场风险由关联方承担。</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对于{{清单模板-数据表-B5}}的第三方销售交易，{{清单模板-数据表-B5}}承担因市场需求不足、产品销量变化而导致的市场风险；{{清单模板-数据表-B5}}亦承担因市场价格波动导致的市场风险。</w:t>
      </w:r>
      <w:bookmarkEnd w:id="450"/>
      <w:r>
        <w:rPr>
          <w:rFonts w:ascii="Arial" w:hAnsi="Arial" w:eastAsia="微软雅黑" w:cs="Arial"/>
          <w:sz w:val="22"/>
          <w:szCs w:val="22"/>
        </w:rPr>
      </w:r>
    </w:p>
    <w:p>
      <w:pPr>
        <w:pStyle w:val="1461"/>
        <w:numPr>
          <w:ilvl w:val="3"/>
          <w:numId w:val="11"/>
        </w:numPr>
        <w:pBdr/>
        <w:spacing/>
        <w:ind w:firstLine="0" w:left="0"/>
        <w:rPr/>
      </w:pPr>
      <w:r/>
      <w:bookmarkStart w:id="456" w:name="_Toc30247"/>
      <w:r/>
      <w:bookmarkStart w:id="457" w:name="_Toc7810"/>
      <w:r/>
      <w:bookmarkStart w:id="458" w:name="_Toc47700054"/>
      <w:r/>
      <w:bookmarkStart w:id="459" w:name="_Toc76668423"/>
      <w:r/>
      <w:bookmarkStart w:id="460" w:name="_Toc28289"/>
      <w:r>
        <w:t xml:space="preserve">生产风险</w:t>
      </w:r>
      <w:bookmarkEnd w:id="456"/>
      <w:r/>
      <w:bookmarkEnd w:id="457"/>
      <w:r/>
      <w:bookmarkEnd w:id="458"/>
      <w:r/>
      <w:bookmarkEnd w:id="459"/>
      <w:r/>
      <w:bookmarkEnd w:id="460"/>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生产风险是指当生产成本（例如，原材料成本、劳动力成本波动，产能利用率等）或是生产过程中因技术应用不当或者设备故障导致的生产停滞或者产品质量下降带来的相关风险。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如果生产用原材料的价格发生波动，{{清单模板-数据表-B5}}每季度会针对该波动调整标准成本，而销售给关联方的价格是在标准成本的基础上加成一定的比例。因此，{{清单模板-数据表-B5}}与其关联方共同承担生产成本变动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对于向境内第三方客户销售产品的交易，销售价格根据市场价格制定，{{清单模板-数据表-B5}}承担生产成本变动风险。</w:t>
      </w:r>
      <w:r>
        <w:rPr>
          <w:rFonts w:ascii="Arial" w:hAnsi="Arial" w:eastAsia="微软雅黑" w:cs="Arial"/>
          <w:sz w:val="22"/>
          <w:szCs w:val="22"/>
        </w:rPr>
      </w:r>
    </w:p>
    <w:p>
      <w:pPr>
        <w:pStyle w:val="1461"/>
        <w:numPr>
          <w:ilvl w:val="3"/>
          <w:numId w:val="11"/>
        </w:numPr>
        <w:pBdr/>
        <w:spacing/>
        <w:ind w:firstLine="0" w:left="0"/>
        <w:rPr/>
      </w:pPr>
      <w:r/>
      <w:bookmarkStart w:id="461" w:name="_Toc522015226"/>
      <w:r/>
      <w:bookmarkStart w:id="462" w:name="_Toc47700055"/>
      <w:r/>
      <w:bookmarkStart w:id="463" w:name="_Toc12570"/>
      <w:r/>
      <w:bookmarkStart w:id="464" w:name="_Toc7338"/>
      <w:r/>
      <w:bookmarkStart w:id="465" w:name="_Toc76668424"/>
      <w:r/>
      <w:bookmarkStart w:id="466" w:name="_Toc18976"/>
      <w:r>
        <w:t xml:space="preserve">存货风险</w:t>
      </w:r>
      <w:bookmarkEnd w:id="449"/>
      <w:r/>
      <w:bookmarkEnd w:id="461"/>
      <w:r/>
      <w:bookmarkEnd w:id="462"/>
      <w:r/>
      <w:bookmarkEnd w:id="463"/>
      <w:r/>
      <w:bookmarkEnd w:id="464"/>
      <w:r/>
      <w:bookmarkEnd w:id="465"/>
      <w:r/>
      <w:bookmarkEnd w:id="466"/>
      <w:r/>
      <w:r/>
    </w:p>
    <w:p>
      <w:pPr>
        <w:pBdr/>
        <w:spacing w:after="163" w:before="163"/>
        <w:ind w:firstLine="440"/>
        <w:rPr>
          <w:rFonts w:ascii="Arial" w:hAnsi="Arial" w:eastAsia="微软雅黑" w:cs="Arial"/>
          <w:sz w:val="22"/>
          <w:szCs w:val="22"/>
        </w:rPr>
      </w:pPr>
      <w:r/>
      <w:bookmarkStart w:id="467" w:name="_Toc6974"/>
      <w:r>
        <w:rPr>
          <w:rFonts w:ascii="Arial" w:hAnsi="Arial" w:eastAsia="微软雅黑" w:cs="Arial"/>
          <w:sz w:val="22"/>
          <w:szCs w:val="22"/>
        </w:rPr>
        <w:t xml:space="preserve">存货风险指存货过多或过少而造成的损失，以及存货毁损风险。损失包括存货报废、丢失，或由于市场变化造成存货变现价格下降的风险。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在客户推迟订单而{{清单模板-数据表-B5}}已备货的</w:t>
      </w:r>
      <w:r>
        <w:rPr>
          <w:rFonts w:ascii="Arial" w:hAnsi="Arial" w:eastAsia="微软雅黑" w:cs="Arial"/>
          <w:sz w:val="22"/>
          <w:szCs w:val="22"/>
        </w:rPr>
        <w:t xml:space="preserve">情况下，存货只能滞留于仓库，相应的仓储费用由{{清单模板-数据表-B5}}承担。在客户取消订单的情况下，{{清单模板-数据表-B5}}会首先和关联供应商协商，如未果，则{{清单模板-数据表-B5}}需自行与上游供应商进行协商。如果供应商同意取消采购订单，则{{清单模板-数据表-B5}}无需承担相应损失，相反，如果供应商不同意取消采购订单，{{清单模板-数据表-B5}}则将采购的原材料用于其他项目上；如已生产完毕，可能会将产成品拆散，重新变回原材料，由此产生的存货风险仍需由{{清单模板-数据表-B5}}承担。</w:t>
      </w:r>
      <w:r>
        <w:rPr>
          <w:rFonts w:ascii="Arial" w:hAnsi="Arial" w:eastAsia="微软雅黑" w:cs="Arial"/>
          <w:sz w:val="22"/>
          <w:szCs w:val="22"/>
        </w:rPr>
      </w:r>
    </w:p>
    <w:p>
      <w:pPr>
        <w:pStyle w:val="1461"/>
        <w:numPr>
          <w:ilvl w:val="3"/>
          <w:numId w:val="11"/>
        </w:numPr>
        <w:pBdr/>
        <w:spacing/>
        <w:ind w:firstLine="0" w:left="0"/>
        <w:rPr/>
      </w:pPr>
      <w:r/>
      <w:bookmarkStart w:id="468" w:name="_Toc4556"/>
      <w:r/>
      <w:bookmarkStart w:id="469" w:name="_Toc47700056"/>
      <w:r/>
      <w:bookmarkStart w:id="470" w:name="_Toc76668425"/>
      <w:r/>
      <w:bookmarkStart w:id="471" w:name="_Toc6556"/>
      <w:r/>
      <w:bookmarkStart w:id="472" w:name="_Toc11961"/>
      <w:r>
        <w:t xml:space="preserve">质保和产品责任风险</w:t>
      </w:r>
      <w:bookmarkEnd w:id="468"/>
      <w:r/>
      <w:bookmarkEnd w:id="469"/>
      <w:r/>
      <w:bookmarkEnd w:id="470"/>
      <w:r/>
      <w:bookmarkEnd w:id="471"/>
      <w:r/>
      <w:bookmarkEnd w:id="47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质保和产品责任风险指一个公司的产品未达到预期标准，而相应承担的赔偿责任或名誉受损的风险。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由于全部生产过程由{{清单模板-数据表-B5}}自行完成，因此{{清单模板-数据表-B5}}需承担由于生产环节问题造成的产品质量保证风险。在实际运营中，{{清单模板-数据表-B5}}提供的产品或在向第三方客户所提供的流水线设计及安装过程中如出现质量问题，所发生的客户索赔等质保和产品责任风险均由{{清单模板-数据表-B5}}承担。</w:t>
      </w:r>
      <w:r>
        <w:rPr>
          <w:rFonts w:ascii="Arial" w:hAnsi="Arial" w:eastAsia="微软雅黑" w:cs="Arial"/>
          <w:sz w:val="22"/>
          <w:szCs w:val="22"/>
        </w:rPr>
      </w:r>
    </w:p>
    <w:p>
      <w:pPr>
        <w:pStyle w:val="1461"/>
        <w:numPr>
          <w:ilvl w:val="3"/>
          <w:numId w:val="11"/>
        </w:numPr>
        <w:pBdr/>
        <w:spacing/>
        <w:ind w:firstLine="0" w:left="0"/>
        <w:rPr/>
      </w:pPr>
      <w:r/>
      <w:bookmarkStart w:id="473" w:name="_Toc8372"/>
      <w:r/>
      <w:bookmarkStart w:id="474" w:name="_Toc47700057"/>
      <w:r/>
      <w:bookmarkStart w:id="475" w:name="_Toc17353"/>
      <w:r/>
      <w:bookmarkStart w:id="476" w:name="_Toc18621"/>
      <w:r/>
      <w:bookmarkStart w:id="477" w:name="_Toc76668426"/>
      <w:r>
        <w:t xml:space="preserve">信用风险</w:t>
      </w:r>
      <w:bookmarkEnd w:id="473"/>
      <w:r/>
      <w:bookmarkEnd w:id="474"/>
      <w:r/>
      <w:bookmarkEnd w:id="475"/>
      <w:r/>
      <w:bookmarkEnd w:id="476"/>
      <w:r/>
      <w:bookmarkEnd w:id="477"/>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在先交货（或先提供劳务）后付款的情况下，销售方（或劳务提供方）在未来有可能不能如期或全额收到货款，相应的风险便是信用风险。其主要取决于两个因素：客户的信用度和应收账款的数额。</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在{{清单模板-数据表-B5}}的关联销售交易中，不论关联方是否从最终客户收到款项，都会按期向{{清单模板-数据表-B5}}付款。因此，关联方承担债权回收风险，{{清单模板-数据表-B5}}不承担债权回收风险。在{{清单模板-数据表-B5}}与第三方销售交易中，{{清单模板-数据表-B5}}承担债权回收风险。</w:t>
      </w:r>
      <w:r>
        <w:rPr>
          <w:rFonts w:ascii="Arial" w:hAnsi="Arial" w:eastAsia="微软雅黑" w:cs="Arial"/>
          <w:sz w:val="22"/>
          <w:szCs w:val="22"/>
        </w:rPr>
      </w:r>
    </w:p>
    <w:p>
      <w:pPr>
        <w:pStyle w:val="1461"/>
        <w:numPr>
          <w:ilvl w:val="3"/>
          <w:numId w:val="11"/>
        </w:numPr>
        <w:pBdr/>
        <w:spacing/>
        <w:ind w:firstLine="0" w:left="0"/>
        <w:rPr/>
      </w:pPr>
      <w:r/>
      <w:bookmarkStart w:id="478" w:name="_Toc76668427"/>
      <w:r/>
      <w:bookmarkStart w:id="479" w:name="_Toc19177"/>
      <w:r/>
      <w:bookmarkStart w:id="480" w:name="_Toc22711"/>
      <w:r/>
      <w:bookmarkStart w:id="481" w:name="_Toc12726"/>
      <w:r/>
      <w:bookmarkStart w:id="482" w:name="_Toc47700058"/>
      <w:r>
        <w:t xml:space="preserve">汇率风险</w:t>
      </w:r>
      <w:bookmarkEnd w:id="478"/>
      <w:r/>
      <w:bookmarkEnd w:id="479"/>
      <w:r/>
      <w:bookmarkEnd w:id="480"/>
      <w:r/>
      <w:bookmarkEnd w:id="481"/>
      <w:r/>
      <w:bookmarkEnd w:id="482"/>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公司在使用非本位币进行国际交易结算时，由于汇率的变化可能遭受的损失即为汇率风险。</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和境外关联公司的采购和销售交易通常以美元结算，其中关联销售价格为标准成本加成一定比例，且每季度会对标准成本进行调整，因此{{清单模板-数据表-B5}}承担部分汇率风险。</w:t>
      </w:r>
      <w:bookmarkEnd w:id="467"/>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483" w:name="_Toc522015233"/>
      <w:r/>
      <w:bookmarkStart w:id="484" w:name="_Toc12633"/>
      <w:r/>
      <w:bookmarkStart w:id="485" w:name="_Toc47700059"/>
      <w:r/>
      <w:bookmarkStart w:id="486" w:name="_Toc202797587"/>
      <w:r/>
      <w:bookmarkStart w:id="487" w:name="_Toc10878"/>
      <w:r/>
      <w:bookmarkStart w:id="488" w:name="_Toc76668428"/>
      <w:r/>
      <w:bookmarkStart w:id="489" w:name="_Toc4976"/>
      <w:r>
        <w:rPr>
          <w:rFonts w:ascii="Arial" w:hAnsi="Arial" w:eastAsia="微软雅黑" w:cs="Arial"/>
          <w:b w:val="0"/>
          <w:i w:val="0"/>
          <w:color w:val="4f81bd" w:themeColor="accent1"/>
          <w:sz w:val="22"/>
          <w:szCs w:val="22"/>
          <w14:textFill>
            <w14:solidFill>
              <w14:schemeClr w14:val="accent1"/>
            </w14:solidFill>
          </w14:textFill>
        </w:rPr>
        <w:t xml:space="preserve">资产分析</w:t>
      </w:r>
      <w:bookmarkEnd w:id="483"/>
      <w:r/>
      <w:bookmarkEnd w:id="484"/>
      <w:r>
        <w:rPr>
          <w:rFonts w:ascii="Arial" w:hAnsi="Arial" w:eastAsia="微软雅黑" w:cs="Arial"/>
          <w:b w:val="0"/>
          <w:i w:val="0"/>
          <w:color w:val="4f81bd" w:themeColor="accent1"/>
          <w:sz w:val="22"/>
          <w:szCs w:val="22"/>
          <w14:textFill>
            <w14:solidFill>
              <w14:schemeClr w14:val="accent1"/>
            </w14:solidFill>
          </w14:textFill>
        </w:rPr>
      </w:r>
      <w:bookmarkEnd w:id="485"/>
      <w:r/>
      <w:bookmarkEnd w:id="486"/>
      <w:r/>
      <w:bookmarkEnd w:id="487"/>
      <w:r/>
      <w:bookmarkEnd w:id="488"/>
      <w:r/>
      <w:bookmarkEnd w:id="489"/>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本节描述了评估期间，{{清单模板-数据表-B5}}及其关联企业在受测关联交易中所使用的资产。</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0" w:name="_Toc1585"/>
      <w:r/>
      <w:bookmarkStart w:id="491" w:name="_Toc23310"/>
      <w:r/>
      <w:bookmarkStart w:id="492" w:name="_Toc522015234"/>
      <w:r/>
      <w:bookmarkStart w:id="493" w:name="_Toc47700060"/>
      <w:r/>
      <w:bookmarkStart w:id="494" w:name="_Toc6112"/>
      <w:r/>
      <w:bookmarkStart w:id="495" w:name="_Toc76668429"/>
      <w:r/>
      <w:bookmarkStart w:id="496" w:name="_Toc202797588"/>
      <w:r>
        <w:rPr>
          <w:rFonts w:ascii="Arial" w:hAnsi="Arial" w:eastAsia="微软雅黑" w:cs="Arial"/>
          <w:b w:val="0"/>
          <w:i w:val="0"/>
          <w:color w:val="4f81bd" w:themeColor="accent1"/>
          <w:sz w:val="22"/>
          <w:szCs w:val="22"/>
          <w14:textFill>
            <w14:solidFill>
              <w14:schemeClr w14:val="accent1"/>
            </w14:solidFill>
          </w14:textFill>
        </w:rPr>
        <w:t xml:space="preserve">有形资产</w:t>
      </w:r>
      <w:bookmarkEnd w:id="490"/>
      <w:r/>
      <w:bookmarkEnd w:id="491"/>
      <w:r/>
      <w:bookmarkEnd w:id="492"/>
      <w:r/>
      <w:bookmarkEnd w:id="493"/>
      <w:r/>
      <w:bookmarkEnd w:id="494"/>
      <w:r/>
      <w:bookmarkEnd w:id="495"/>
      <w:r/>
      <w:bookmarkEnd w:id="49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bookmarkStart w:id="497" w:name="_Toc31601"/>
      <w:r>
        <w:rPr>
          <w:rFonts w:ascii="Arial" w:hAnsi="Arial" w:eastAsia="微软雅黑" w:cs="Arial"/>
          <w:sz w:val="22"/>
          <w:szCs w:val="22"/>
        </w:rPr>
        <w:t xml:space="preserve">{{清单模板-数据表-B5}}拥有生产所需的厂房和设备等有形资产所有权。与同行业的其他公司相比，{{清单模板-数据表-B5}}拥有的有形资产水平没有显着差异。</w:t>
      </w:r>
      <w:r>
        <w:rPr>
          <w:rFonts w:ascii="Arial" w:hAnsi="Arial" w:eastAsia="微软雅黑" w:cs="Arial"/>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498" w:name="_Toc4323"/>
      <w:r/>
      <w:bookmarkStart w:id="499" w:name="_Toc522015235"/>
      <w:r/>
      <w:bookmarkStart w:id="500" w:name="_Toc9101"/>
      <w:r/>
      <w:bookmarkStart w:id="501" w:name="_Toc202797589"/>
      <w:r/>
      <w:bookmarkStart w:id="502" w:name="_Toc76668430"/>
      <w:r/>
      <w:bookmarkStart w:id="503" w:name="_Toc47700061"/>
      <w:r>
        <w:rPr>
          <w:rFonts w:ascii="Arial" w:hAnsi="Arial" w:eastAsia="微软雅黑" w:cs="Arial"/>
          <w:b w:val="0"/>
          <w:i w:val="0"/>
          <w:color w:val="4f81bd" w:themeColor="accent1"/>
          <w:sz w:val="22"/>
          <w:szCs w:val="22"/>
          <w14:textFill>
            <w14:solidFill>
              <w14:schemeClr w14:val="accent1"/>
            </w14:solidFill>
          </w14:textFill>
        </w:rPr>
        <w:t xml:space="preserve">无形资产</w:t>
      </w:r>
      <w:bookmarkEnd w:id="497"/>
      <w:r/>
      <w:bookmarkEnd w:id="498"/>
      <w:r/>
      <w:bookmarkEnd w:id="499"/>
      <w:r/>
      <w:bookmarkEnd w:id="500"/>
      <w:r/>
      <w:bookmarkEnd w:id="501"/>
      <w:r/>
      <w:bookmarkEnd w:id="502"/>
      <w:r/>
      <w:bookmarkEnd w:id="503"/>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转让定价分析的关键部分之一是判断关联交易的各个参与方中哪一方拥有主要无形资产，因为在交易过程中产生的超额利润应由那些拥有并使用主要无形资产的参与方所获得，所以这通常会决定哪一方应该作为分析中的被验证主体。拥有次要无形资产（或不拥有无形资产）的企业会被选为被验证主体，因为针对这样的企业相对更容易找到可比的非受控交易或可比公司。</w:t>
      </w:r>
      <w:r>
        <w:rPr>
          <w:rFonts w:ascii="Arial" w:hAnsi="Arial" w:eastAsia="微软雅黑" w:cs="Arial"/>
          <w:sz w:val="22"/>
          <w:szCs w:val="22"/>
        </w:rPr>
      </w:r>
    </w:p>
    <w:p>
      <w:pPr>
        <w:pStyle w:val="1461"/>
        <w:numPr>
          <w:ilvl w:val="3"/>
          <w:numId w:val="11"/>
        </w:numPr>
        <w:pBdr/>
        <w:spacing/>
        <w:ind w:firstLine="0" w:left="0"/>
        <w:rPr/>
      </w:pPr>
      <w:r/>
      <w:bookmarkStart w:id="504" w:name="_Toc47700062"/>
      <w:r/>
      <w:bookmarkStart w:id="505" w:name="_Toc76668431"/>
      <w:r/>
      <w:bookmarkStart w:id="506" w:name="_Toc23923"/>
      <w:r/>
      <w:bookmarkStart w:id="507" w:name="_Toc29262"/>
      <w:r/>
      <w:bookmarkStart w:id="508" w:name="_Toc14472"/>
      <w:r>
        <w:t xml:space="preserve">生产型无形资产</w:t>
      </w:r>
      <w:bookmarkEnd w:id="504"/>
      <w:r/>
      <w:bookmarkEnd w:id="505"/>
      <w:r/>
      <w:bookmarkEnd w:id="506"/>
      <w:r/>
      <w:bookmarkEnd w:id="507"/>
      <w:r/>
      <w:bookmarkEnd w:id="508"/>
      <w:r/>
      <w:r/>
    </w:p>
    <w:p>
      <w:pPr>
        <w:pBdr/>
        <w:spacing w:after="163" w:before="163"/>
        <w:ind w:firstLine="440"/>
        <w:rPr>
          <w:rFonts w:ascii="Arial" w:hAnsi="Arial" w:eastAsia="微软雅黑" w:cs="Arial"/>
          <w:sz w:val="22"/>
          <w:szCs w:val="22"/>
        </w:rPr>
      </w:pPr>
      <w:r/>
      <w:bookmarkStart w:id="509" w:name="_Toc363993084"/>
      <w:r/>
      <w:bookmarkStart w:id="510" w:name="_Toc363981665"/>
      <w:r/>
      <w:bookmarkStart w:id="511" w:name="_Toc361833023"/>
      <w:r/>
      <w:bookmarkStart w:id="512" w:name="_Toc363205746"/>
      <w:r/>
      <w:bookmarkStart w:id="513" w:name="_Toc363292598"/>
      <w:r/>
      <w:bookmarkStart w:id="514" w:name="_Toc363385708"/>
      <w:r/>
      <w:bookmarkStart w:id="515" w:name="_Toc363983228"/>
      <w:r/>
      <w:bookmarkStart w:id="516" w:name="_Toc362253034"/>
      <w:r/>
      <w:bookmarkStart w:id="517" w:name="_Toc363527391"/>
      <w:r/>
      <w:bookmarkStart w:id="518" w:name="_Toc363899431"/>
      <w:r/>
      <w:bookmarkStart w:id="519" w:name="_Toc361728784"/>
      <w:r>
        <w:rPr>
          <w:rFonts w:ascii="Arial" w:hAnsi="Arial" w:eastAsia="微软雅黑" w:cs="Arial"/>
          <w:sz w:val="22"/>
          <w:szCs w:val="22"/>
        </w:rPr>
        <w:t xml:space="preserve">生产型无形资产可以分为两种，即由生产企业的研发活动或生产工艺改进所产生的专利技术和非专利的技术诀窍。</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此外，虽然{{清单模板-数据表-B5}}不拥有由其境外关联方创造的非常规制造类无形资产，但在评估期间，{{清单模板-数据表-B5}}执行斯必克产品的本地化技术改良及产品设计，并拥有与产品本地化相关的技术。此外，{{清单模板-数据表-B5}}拥有其境外关联方所拥有的部分专利的独占许可使用权。</w:t>
      </w:r>
      <w:bookmarkEnd w:id="509"/>
      <w:bookmarkEnd w:id="510"/>
      <w:bookmarkEnd w:id="511"/>
      <w:bookmarkEnd w:id="512"/>
      <w:bookmarkEnd w:id="513"/>
      <w:bookmarkEnd w:id="514"/>
      <w:bookmarkEnd w:id="515"/>
      <w:bookmarkEnd w:id="516"/>
      <w:bookmarkEnd w:id="517"/>
      <w:bookmarkEnd w:id="518"/>
      <w:bookmarkEnd w:id="519"/>
      <w:r>
        <w:rPr>
          <w:rFonts w:ascii="Arial" w:hAnsi="Arial" w:eastAsia="微软雅黑" w:cs="Arial"/>
          <w:sz w:val="22"/>
          <w:szCs w:val="22"/>
        </w:rPr>
      </w:r>
    </w:p>
    <w:p>
      <w:pPr>
        <w:pStyle w:val="1461"/>
        <w:numPr>
          <w:ilvl w:val="3"/>
          <w:numId w:val="11"/>
        </w:numPr>
        <w:pBdr/>
        <w:spacing/>
        <w:ind w:firstLine="0" w:left="0"/>
        <w:rPr/>
      </w:pPr>
      <w:r/>
      <w:bookmarkStart w:id="520" w:name="_Toc47700063"/>
      <w:r/>
      <w:bookmarkStart w:id="521" w:name="_Toc25066"/>
      <w:r/>
      <w:bookmarkStart w:id="522" w:name="_Toc18205"/>
      <w:r/>
      <w:bookmarkStart w:id="523" w:name="_Toc14972"/>
      <w:r/>
      <w:bookmarkStart w:id="524" w:name="_Toc76668432"/>
      <w:r>
        <w:t xml:space="preserve">营销型无形资产</w:t>
      </w:r>
      <w:bookmarkEnd w:id="520"/>
      <w:r/>
      <w:bookmarkEnd w:id="521"/>
      <w:r/>
      <w:bookmarkEnd w:id="522"/>
      <w:r/>
      <w:bookmarkEnd w:id="523"/>
      <w:r/>
      <w:bookmarkEnd w:id="524"/>
      <w: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营销型无形资产包括商标、公司商誉、销售网络以及向客户提供售前和售后服务的能力。</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评估期间，{{清单模板-数据表-B5}}并不拥有非常规营销类无形资产。评估期间，{{清单模板-数据表-B5}}在第三方销售中会发生广告营销费用但金额非常小，在关联方销售中未发生广告营销费用。</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25" w:name="_Toc2514"/>
      <w:r/>
      <w:bookmarkStart w:id="526" w:name="_Toc202797590"/>
      <w:r/>
      <w:bookmarkStart w:id="527" w:name="_Toc10239"/>
      <w:r/>
      <w:bookmarkStart w:id="528" w:name="_Toc47700064"/>
      <w:r/>
      <w:bookmarkStart w:id="529" w:name="_Toc76668433"/>
      <w:r>
        <w:rPr>
          <w:rFonts w:ascii="Arial" w:hAnsi="Arial" w:eastAsia="微软雅黑" w:cs="Arial"/>
          <w:b w:val="0"/>
          <w:i w:val="0"/>
          <w:color w:val="4f81bd" w:themeColor="accent1"/>
          <w:sz w:val="22"/>
          <w:szCs w:val="22"/>
          <w14:textFill>
            <w14:solidFill>
              <w14:schemeClr w14:val="accent1"/>
            </w14:solidFill>
          </w14:textFill>
        </w:rPr>
        <w:t xml:space="preserve">小结</w:t>
      </w:r>
      <w:bookmarkEnd w:id="525"/>
      <w:r/>
      <w:bookmarkEnd w:id="526"/>
      <w:r/>
      <w:bookmarkEnd w:id="527"/>
      <w:r/>
      <w:bookmarkEnd w:id="528"/>
      <w:r/>
      <w:bookmarkEnd w:id="529"/>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评估期间，{{清单模板-数据表-B5}}承担的主要功能和风险，以及拥有的资产总结如下：</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研发功能、采购功能、生产功能、质量控制功能、存货管理功能以及一般行政管理功能；相比关联销售，{{清单模板-数据表-B5}}在第三方销售中承担了更多的功能风险，包括市场营销和销售、工程设计、售后服务以及付款请求和回收的功能；</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清单模板-数据表-B5}}主要承担有限的市场风险、有限的研发风险、有限的生产风险、有限的存货风险、产品责任风险以及汇率风险；从功能和风险分析应归类为承担一定风险的生产制造商。相比关联销售，{{清单模板-数据表-B5}}在第三方销售中承担更多风险，如市场风险、存货风险和信用风险；</w:t>
      </w:r>
      <w:r>
        <w:rPr>
          <w:rFonts w:ascii="Arial" w:hAnsi="Arial" w:eastAsia="微软雅黑" w:cs="Arial"/>
          <w:sz w:val="22"/>
          <w:szCs w:val="22"/>
        </w:rPr>
      </w:r>
    </w:p>
    <w:p>
      <w:pPr>
        <w:pStyle w:val="1396"/>
        <w:numPr>
          <w:ilvl w:val="0"/>
          <w:numId w:val="18"/>
        </w:numPr>
        <w:pBdr/>
        <w:spacing w:after="163" w:before="163"/>
        <w:ind/>
        <w:rPr>
          <w:rFonts w:ascii="Arial" w:hAnsi="Arial" w:eastAsia="微软雅黑" w:cs="Arial"/>
          <w:sz w:val="22"/>
          <w:szCs w:val="22"/>
        </w:rPr>
      </w:pPr>
      <w:r>
        <w:rPr>
          <w:rFonts w:ascii="Arial" w:hAnsi="Arial" w:eastAsia="微软雅黑" w:cs="Arial"/>
          <w:sz w:val="22"/>
          <w:szCs w:val="22"/>
        </w:rPr>
        <w:t xml:space="preserve">此外，{{清单模板-数据表-B5}}不拥有非常规营销类无形资产和由其境外关联方创造的非常规制造类无形资产的所有权，但评估期间，{{清单模板-数据表-B5}}执行斯必克产品的本地化技术改良及产品设计，并拥有与产品本地化相关的技术。{{清单模板-数据表-B5}}还拥有其境外关联方所拥有的部分专利的独占许可权。从功能和风险分析应归类为承担较多风险的生产制造商。</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30" w:name="_Toc76668434"/>
      <w:r/>
      <w:bookmarkStart w:id="531" w:name="_Toc47700065"/>
      <w:r/>
      <w:bookmarkStart w:id="532" w:name="_Toc202797591"/>
      <w:r/>
      <w:bookmarkStart w:id="533" w:name="_Toc5276"/>
      <w:r/>
      <w:bookmarkStart w:id="534" w:name="_Toc18411"/>
      <w:r/>
      <w:bookmarkStart w:id="535" w:name="_Toc522015237"/>
      <w:r/>
      <w:bookmarkStart w:id="536" w:name="_Toc5260"/>
      <w:r>
        <w:rPr>
          <w:rFonts w:ascii="Arial" w:hAnsi="Arial" w:eastAsia="微软雅黑" w:cs="Arial"/>
          <w:color w:val="4f81bd" w:themeColor="accent1"/>
          <w:sz w:val="28"/>
          <w:szCs w:val="22"/>
          <w14:textFill>
            <w14:solidFill>
              <w14:schemeClr w14:val="accent1"/>
            </w14:solidFill>
          </w14:textFill>
        </w:rPr>
        <w:t xml:space="preserve">价值链分析</w:t>
      </w:r>
      <w:bookmarkEnd w:id="530"/>
      <w:r/>
      <w:bookmarkEnd w:id="531"/>
      <w:r/>
      <w:bookmarkEnd w:id="532"/>
      <w:r/>
      <w:bookmarkEnd w:id="533"/>
      <w:r/>
      <w:bookmarkEnd w:id="534"/>
      <w:r/>
      <w:r>
        <w:rPr>
          <w:rFonts w:ascii="Arial" w:hAnsi="Arial" w:eastAsia="微软雅黑" w:cs="Arial"/>
          <w:color w:val="4f81bd" w:themeColor="accent1"/>
          <w:sz w:val="28"/>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根据[2016]42号公告的相关规定，在分析关联交易是否符合独立交易原则的过程中应当对集团价值链进行分析。因此，本节将阐述斯必克流体集团价值链情况。</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价值链分析能够提供以下与经营活动相关的有效信息：</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与交易有关的关键价值驱动因素，其中包括各相关方是如何使其自身区别与同业竞争者进而赢取市场的；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相关企业在资产、功能及风险方面对价值驱动的贡献，包括哪些贡献是独特且有价值的；</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企业集团内业务流、物流和资金流，包括商品、劳务或者其他交易标的从设计、开发、生产制造、营销、销售、交货、结算、消费、售后服务、循环利用等各环节及其参与方；</w:t>
      </w:r>
      <w:r>
        <w:rPr>
          <w:rFonts w:ascii="Arial" w:hAnsi="Arial" w:eastAsia="微软雅黑" w:cs="Arial"/>
          <w:sz w:val="22"/>
          <w:szCs w:val="22"/>
        </w:rPr>
      </w:r>
    </w:p>
    <w:p>
      <w:pPr>
        <w:pStyle w:val="1396"/>
        <w:numPr>
          <w:ilvl w:val="0"/>
          <w:numId w:val="19"/>
        </w:numPr>
        <w:pBdr/>
        <w:spacing w:after="163" w:before="163"/>
        <w:ind/>
        <w:rPr>
          <w:rFonts w:ascii="Arial" w:hAnsi="Arial" w:eastAsia="微软雅黑" w:cs="Arial"/>
          <w:sz w:val="22"/>
          <w:szCs w:val="22"/>
        </w:rPr>
      </w:pPr>
      <w:r>
        <w:rPr>
          <w:rFonts w:ascii="Arial" w:hAnsi="Arial" w:eastAsia="微软雅黑" w:cs="Arial"/>
          <w:sz w:val="22"/>
          <w:szCs w:val="22"/>
        </w:rPr>
        <w:t xml:space="preserve">各相关方在价值链中是如何协同运作，以及是如何分配功能和资产的。</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bookmarkEnd w:id="535"/>
      <w:r/>
      <w:bookmarkEnd w:id="536"/>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37" w:name="_Toc10016"/>
      <w:r/>
      <w:bookmarkStart w:id="538" w:name="_Toc202797592"/>
      <w:r/>
      <w:bookmarkStart w:id="539" w:name="_Toc76668435"/>
      <w:r/>
      <w:bookmarkStart w:id="540" w:name="_Toc30859"/>
      <w:r/>
      <w:bookmarkStart w:id="541" w:name="_Toc47700066"/>
      <w:r>
        <w:rPr>
          <w:rFonts w:ascii="Arial" w:hAnsi="Arial" w:eastAsia="微软雅黑" w:cs="Arial"/>
          <w:b w:val="0"/>
          <w:i w:val="0"/>
          <w:color w:val="4f81bd" w:themeColor="accent1"/>
          <w:sz w:val="22"/>
          <w:szCs w:val="22"/>
          <w14:textFill>
            <w14:solidFill>
              <w14:schemeClr w14:val="accent1"/>
            </w14:solidFill>
          </w14:textFill>
        </w:rPr>
        <w:t xml:space="preserve">确定关键价值驱动因素</w:t>
      </w:r>
      <w:bookmarkEnd w:id="537"/>
      <w:r/>
      <w:bookmarkEnd w:id="538"/>
      <w:r/>
      <w:bookmarkEnd w:id="539"/>
      <w:r/>
      <w:bookmarkEnd w:id="540"/>
      <w:r/>
      <w:bookmarkEnd w:id="54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斯必克流体集团所处的工业自动化设备制造行业利润水平受多种因素影响，其中良好的品控、针对性的解决方案、对于客户和市场的响应能力等尤为关键。</w:t>
      </w:r>
      <w:r>
        <w:rPr>
          <w:rFonts w:ascii="Arial" w:hAnsi="Arial" w:eastAsia="微软雅黑" w:cs="Arial"/>
          <w:sz w:val="22"/>
          <w:szCs w:val="22"/>
        </w:rPr>
      </w:r>
    </w:p>
    <w:p>
      <w:pPr>
        <w:pStyle w:val="1396"/>
        <w:numPr>
          <w:ilvl w:val="0"/>
          <w:numId w:val="20"/>
        </w:numPr>
        <w:pBdr/>
        <w:spacing w:after="163" w:before="163"/>
        <w:ind/>
        <w:rPr>
          <w:rFonts w:ascii="Arial" w:hAnsi="Arial" w:eastAsia="微软雅黑" w:cs="Arial"/>
          <w:sz w:val="22"/>
          <w:szCs w:val="22"/>
        </w:rPr>
      </w:pPr>
      <w:r>
        <w:rPr>
          <w:rFonts w:ascii="Arial" w:hAnsi="Arial" w:eastAsia="微软雅黑" w:cs="Arial"/>
          <w:sz w:val="22"/>
          <w:szCs w:val="22"/>
        </w:rPr>
        <w:t xml:space="preserve">产品的耐久性和稳定性</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hint="eastAsia" w:ascii="Arial" w:hAnsi="Arial" w:eastAsia="微软雅黑" w:cs="Arial"/>
          <w:sz w:val="22"/>
          <w:szCs w:val="22"/>
        </w:rPr>
        <w:t xml:space="preserve">斯必克流体集团的产品和工程设计主要应用于饮料、乳品、工业以及船舶等行业。因此，对于其下游的制造商群体来说，产品的耐久性和稳定性是重要的考量因素。斯必克流体集</w:t>
      </w:r>
      <w:r>
        <w:rPr>
          <w:rFonts w:hint="eastAsia" w:ascii="Arial" w:hAnsi="Arial" w:eastAsia="微软雅黑" w:cs="Arial"/>
          <w:sz w:val="22"/>
          <w:szCs w:val="22"/>
        </w:rPr>
        <w:t xml:space="preserve">团致力于提供具有可靠、高效、高性能、高价值的产品和服务，迎合各行业客户的需求。对于采矿、生物技术和加工石油、天然气、矿产和化工领域的工业客户，斯必克流体集团生产的设备的质量经得起考验，可应对各种苛刻或磨蚀的恶劣施工情况。对于食品、饮料加工业客户，斯必克流体集团的工程设计着重于长期使用和低维护，要求产品质量符合最高的国际卫生标准。斯必克流体集团的制造工厂除了进行第三方认证外，还执行一系列细致的质量保证检查，以确保优质的产品按时交货。因此，稳定且优质的产品质量一直以来保证斯必克流体集团品牌的影响力和其市场份额。</w:t>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（2）量身定制的工艺工程解决方案</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斯必克流体集团致力于为客户提供量身定制的工艺工程解决方案。例如，对于食品饮料加工业客户，斯必克流体集团为客户考虑环境的设计以及在食品生产过程中实施节能系统；对于工业市场的客户，斯必克流体集团致力于提供有效，安全和污染最小的设备和技术；斯必克流体集团的电厂工程的产品和系统服务于核电站、天然气发电厂、火电厂以及替代能源应用，帮助电厂等客户在合理优化运营的同时尽量减少排放，降低污染水平。</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（3）对于客户和市场的需求快速反应</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关注客户和市场的需求，可以使斯必克流</w:t>
      </w:r>
      <w:r>
        <w:rPr>
          <w:rFonts w:ascii="Arial" w:hAnsi="Arial" w:eastAsia="微软雅黑" w:cs="Arial"/>
          <w:sz w:val="22"/>
          <w:szCs w:val="22"/>
        </w:rPr>
        <w:t xml:space="preserve">体集团提高产品质量和服务，更有针对新和有效性，在市场竞争中脱颖而出，获得优势。斯必克流体集团的主要下游行业之一的食品饮料行业竞争激烈，变化不断，食品饮料制造商必须不断寻求更好的食品加工技术和解决方案，以及时应对如运输成本不断增长、政府监管日趋严格、人们对食品安全的要求逐渐升级，以及消费者喜好不断分级、变化等局面。斯必克流体集团对市场机遇、市场趋势以及食品饮料行业的挑战保持高度敏锐，对不断变化的客户和市场需求作出快速反应，以及时为客户提供最佳解决方案、改善工艺流程的设计，协助客户适应变化的环境，提高盈利能力。</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2" w:name="_Toc13258"/>
      <w:r/>
      <w:bookmarkStart w:id="543" w:name="_Toc47700067"/>
      <w:r/>
      <w:bookmarkStart w:id="544" w:name="_Toc202797593"/>
      <w:r/>
      <w:bookmarkStart w:id="545" w:name="_Toc76668436"/>
      <w:r/>
      <w:bookmarkStart w:id="546" w:name="_Toc30852"/>
      <w:r>
        <w:rPr>
          <w:rFonts w:ascii="Arial" w:hAnsi="Arial" w:eastAsia="微软雅黑" w:cs="Arial"/>
          <w:b w:val="0"/>
          <w:i w:val="0"/>
          <w:color w:val="4f81bd" w:themeColor="accent1"/>
          <w:sz w:val="22"/>
          <w:szCs w:val="22"/>
          <w14:textFill>
            <w14:solidFill>
              <w14:schemeClr w14:val="accent1"/>
            </w14:solidFill>
          </w14:textFill>
        </w:rPr>
        <w:t xml:space="preserve">集团价值链</w:t>
      </w:r>
      <w:bookmarkEnd w:id="542"/>
      <w:r/>
      <w:bookmarkEnd w:id="543"/>
      <w:r/>
      <w:bookmarkEnd w:id="544"/>
      <w:r/>
      <w:bookmarkEnd w:id="545"/>
      <w:r/>
      <w:bookmarkEnd w:id="546"/>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评估期间，斯必克流体集团的价值链以及{{清单模板-数据表-B5}}在其中所处的位置如下图所示：</w:t>
      </w:r>
      <w:r>
        <w:rPr>
          <w:rStyle w:val="1324"/>
          <w:rFonts w:ascii="Arial" w:hAnsi="Arial" w:eastAsia="微软雅黑" w:cs="Arial"/>
          <w:sz w:val="22"/>
          <w:szCs w:val="22"/>
        </w:rPr>
        <w:footnoteReference w:id="21"/>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sz w:val="15"/>
          <w:szCs w:val="15"/>
        </w:rPr>
      </w:pPr>
      <w:r>
        <w:rPr>
          <w:rFonts w:ascii="Arial" w:hAnsi="Arial" w:eastAsia="微软雅黑" w:cs="Arial"/>
          <w:b w:val="0"/>
          <w:bCs w:val="0"/>
          <w:sz w:val="18"/>
          <w:szCs w:val="18"/>
        </w:rPr>
        <mc:AlternateContent>
          <mc:Choice Requires="wpg">
            <w:drawing>
              <wp:anchor xmlns:wp="http://schemas.openxmlformats.org/drawingml/2006/wordprocessingDrawing" xmlns:wp14="http://schemas.microsoft.com/office/word/2010/wordprocessingDrawing" distT="0" distB="0" distL="114300" distR="114300" simplePos="0" relativeHeight="251660288" behindDoc="0" locked="0" layoutInCell="1" allowOverlap="1">
                <wp:simplePos x="0" y="0"/>
                <wp:positionH relativeFrom="column">
                  <wp:posOffset>200025</wp:posOffset>
                </wp:positionH>
                <wp:positionV relativeFrom="paragraph">
                  <wp:posOffset>316865</wp:posOffset>
                </wp:positionV>
                <wp:extent cx="5029200" cy="4356100"/>
                <wp:effectExtent l="0" t="0" r="0" b="6350"/>
                <wp:wrapTopAndBottom/>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r/>
                      </pic:nvPicPr>
                      <pic:blipFill>
                        <a:blip r:embed="rId29"/>
                        <a:stretch/>
                      </pic:blipFill>
                      <pic:spPr bwMode="auto">
                        <a:xfrm>
                          <a:off x="0" y="0"/>
                          <a:ext cx="5029200" cy="4356100"/>
                        </a:xfrm>
                        <a:prstGeom prst="rect">
                          <a:avLst/>
                        </a:prstGeom>
                        <a:noFill/>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position:absolute;z-index:251660288;o:allowoverlap:true;o:allowincell:true;mso-position-horizontal-relative:text;margin-left:15.75pt;mso-position-horizontal:absolute;mso-position-vertical-relative:text;margin-top:24.95pt;mso-position-vertical:absolute;width:396.00pt;height:343.00pt;mso-wrap-distance-left:9.00pt;mso-wrap-distance-top:0.00pt;mso-wrap-distance-right:9.00pt;mso-wrap-distance-bottom:0.00pt;z-index:1;" stroked="false">
                <w10:wrap type="topAndBottom"/>
                <v:imagedata r:id="rId29" o:title=""/>
                <o:lock v:ext="edit" rotation="t"/>
              </v:shape>
            </w:pict>
          </mc:Fallback>
        </mc:AlternateContent>
        <w:t xml:space="preserve">图表15：集团价值链</w:t>
      </w:r>
      <w:r>
        <w:rPr>
          <w:rFonts w:ascii="Arial" w:hAnsi="Arial" w:eastAsia="微软雅黑" w:cs="Arial"/>
          <w:bCs w:val="0"/>
          <w:sz w:val="18"/>
          <w:szCs w:val="15"/>
        </w:rPr>
      </w:r>
      <w:r>
        <w:rPr>
          <w:rFonts w:ascii="Arial" w:hAnsi="Arial" w:eastAsia="微软雅黑" w:cs="Arial"/>
          <w:sz w:val="15"/>
          <w:szCs w:val="15"/>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结合{{清单模板-数据表-B5}}承担的功能以及风险，{{清单模板-数据表-B5}}在集团价值链中主要针对中国市场承担生产、销售、部分研发的职能，是集团整体业务链条整体的常规组成部分；境外关联供应商为{{清单模板-数据表-B5}}提供生产所需的关键原材料和核心技术，是构成{{清单模板-数据表-B5}}产品特性的关键组成部分；{{清单模板-数据表-B5}}的下游关联制造商或分销商采购{{清单模板-数据表-B5}}生产的产品，并承担产成品在当地的市场营销、销售职能。</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47" w:name="_Toc12571"/>
      <w:r/>
      <w:bookmarkStart w:id="548" w:name="_Toc76668437"/>
      <w:r/>
      <w:bookmarkStart w:id="549" w:name="_Toc47700068"/>
      <w:r/>
      <w:bookmarkStart w:id="550" w:name="_Toc29571"/>
      <w:r/>
      <w:bookmarkStart w:id="551" w:name="_Toc202797594"/>
      <w:r>
        <w:rPr>
          <w:rFonts w:ascii="Arial" w:hAnsi="Arial" w:eastAsia="微软雅黑" w:cs="Arial"/>
          <w:b w:val="0"/>
          <w:i w:val="0"/>
          <w:color w:val="4f81bd" w:themeColor="accent1"/>
          <w:sz w:val="22"/>
          <w:szCs w:val="22"/>
          <w14:textFill>
            <w14:solidFill>
              <w14:schemeClr w14:val="accent1"/>
            </w14:solidFill>
          </w14:textFill>
        </w:rPr>
        <w:t xml:space="preserve">交易定价影响要素</w:t>
      </w:r>
      <w:bookmarkEnd w:id="547"/>
      <w:r/>
      <w:bookmarkEnd w:id="548"/>
      <w:r/>
      <w:bookmarkEnd w:id="549"/>
      <w:r/>
      <w:bookmarkEnd w:id="550"/>
      <w:r/>
      <w:bookmarkEnd w:id="55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20" w:left="0"/>
        <w:rPr>
          <w:rFonts w:ascii="Arial" w:hAnsi="Arial" w:eastAsia="微软雅黑" w:cs="Arial"/>
          <w:sz w:val="22"/>
          <w:szCs w:val="22"/>
        </w:rPr>
      </w:pPr>
      <w:r>
        <w:rPr>
          <w:rFonts w:ascii="Arial" w:hAnsi="Arial" w:eastAsia="微软雅黑" w:cs="Arial"/>
          <w:sz w:val="22"/>
          <w:szCs w:val="22"/>
        </w:rPr>
        <w:t xml:space="preserve">在中国国家税务总局发布的《联合国转让定价操作手册》中，地域特殊因素的概念被正式提出。“成本节约”、“市场溢价”的概念被大众广泛知晓。其中，地域特殊因素是指由于在特定的地域范围内存在资产、资源禀赋、政府对行业的激励政策等因素而产生的生产优势。具体来说，在如下方面：</w:t>
      </w:r>
      <w:r>
        <w:rPr>
          <w:rFonts w:ascii="Arial" w:hAnsi="Arial" w:eastAsia="微软雅黑" w:cs="Arial"/>
          <w:sz w:val="22"/>
          <w:szCs w:val="22"/>
        </w:rPr>
      </w:r>
    </w:p>
    <w:p>
      <w:pPr>
        <w:pStyle w:val="1315"/>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52" w:name="_Toc202797595"/>
      <w:r/>
      <w:bookmarkStart w:id="553" w:name="_Toc16236"/>
      <w:r/>
      <w:bookmarkStart w:id="554" w:name="_Toc522015239"/>
      <w:r/>
      <w:bookmarkStart w:id="555" w:name="_Toc76668438"/>
      <w:r/>
      <w:bookmarkStart w:id="556" w:name="_Toc16497"/>
      <w:r>
        <w:rPr>
          <w:rFonts w:ascii="Arial" w:hAnsi="Arial" w:eastAsia="微软雅黑" w:cs="Arial"/>
          <w:b w:val="0"/>
          <w:i w:val="0"/>
          <w:color w:val="4f81bd" w:themeColor="accent1"/>
          <w:sz w:val="22"/>
          <w:szCs w:val="22"/>
          <w14:textFill>
            <w14:solidFill>
              <w14:schemeClr w14:val="accent1"/>
            </w14:solidFill>
          </w14:textFill>
        </w:rPr>
        <w:t xml:space="preserve">地域成本节约</w:t>
      </w:r>
      <w:bookmarkEnd w:id="552"/>
      <w:r/>
      <w:bookmarkEnd w:id="553"/>
      <w:r/>
      <w:bookmarkEnd w:id="554"/>
      <w:r/>
      <w:bookmarkEnd w:id="555"/>
      <w:r/>
      <w:bookmarkEnd w:id="556"/>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75"/>
        <w:rPr>
          <w:rFonts w:ascii="Arial" w:hAnsi="Arial" w:eastAsia="微软雅黑" w:cs="Arial"/>
          <w:sz w:val="22"/>
          <w:szCs w:val="22"/>
        </w:rPr>
      </w:pPr>
      <w:r>
        <w:rPr>
          <w:rFonts w:ascii="Arial" w:hAnsi="Arial" w:eastAsia="微软雅黑" w:cs="Arial"/>
          <w:sz w:val="22"/>
          <w:szCs w:val="22"/>
        </w:rPr>
        <w:t xml:space="preserve">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w:t>
      </w:r>
      <w:r>
        <w:rPr>
          <w:rFonts w:ascii="Arial" w:hAnsi="Arial" w:eastAsia="微软雅黑" w:cs="Arial"/>
          <w:sz w:val="22"/>
          <w:szCs w:val="22"/>
          <w:vertAlign w:val="superscript"/>
        </w:rPr>
        <w:footnoteReference w:id="22"/>
      </w:r>
      <w:r>
        <w:rPr>
          <w:rFonts w:hint="eastAsia" w:ascii="Arial" w:hAnsi="Arial" w:eastAsia="微软雅黑" w:cs="Arial"/>
          <w:sz w:val="22"/>
          <w:szCs w:val="22"/>
        </w:rPr>
      </w:r>
      <w:r>
        <w:rPr>
          <w:rFonts w:ascii="Arial" w:hAnsi="Arial" w:eastAsia="微软雅黑" w:cs="Arial"/>
          <w:sz w:val="22"/>
          <w:szCs w:val="22"/>
        </w:rPr>
      </w:r>
    </w:p>
    <w:p>
      <w:pPr>
        <w:pBdr/>
        <w:spacing w:after="240" w:before="240"/>
        <w:ind w:firstLine="475"/>
        <w:rPr>
          <w:rFonts w:ascii="Arial" w:hAnsi="Arial" w:eastAsia="微软雅黑" w:cs="Arial"/>
          <w:iCs/>
          <w:sz w:val="22"/>
          <w:szCs w:val="22"/>
        </w:rPr>
      </w:pPr>
      <w:r/>
      <w:bookmarkStart w:id="557" w:name="_Hlk169894990"/>
      <w:r>
        <w:rPr>
          <w:rFonts w:ascii="Arial" w:hAnsi="Arial" w:eastAsia="微软雅黑" w:cs="Arial"/>
          <w:iCs/>
          <w:sz w:val="22"/>
          <w:szCs w:val="22"/>
        </w:rPr>
        <w:t xml:space="preserve">随着中国人口老龄化、结婚率以及生育率下降，近几年中国的劳动力成本加速上升、劳动力供给增长的速度在放缓，劳动力成本优势逐渐减少。根据国际劳动组织发布的《2022/23国际工资报告》，在G20新兴经济体中，中国持续在实际工资增长排名中占据领先地位，估计显示2022年中国的月工资约为其2008年实际价值的2.6倍。由下图可见，中国的工资水平不断上升导致劳动力成本不断上升，其竞争力优势明显弱化，与其他新兴经济体、东南亚国家相比并没有明显的成本优势。</w:t>
      </w:r>
      <w:r>
        <w:rPr>
          <w:rFonts w:hint="eastAsia" w:ascii="Arial" w:hAnsi="Arial" w:eastAsia="微软雅黑" w:cs="Arial"/>
          <w:iCs/>
          <w:sz w:val="22"/>
          <w:szCs w:val="22"/>
        </w:rPr>
      </w:r>
      <w:bookmarkEnd w:id="557"/>
      <w:r>
        <w:rPr>
          <w:rFonts w:hint="eastAsia" w:ascii="Arial" w:hAnsi="Arial" w:eastAsia="微软雅黑" w:cs="Arial"/>
          <w:iCs/>
          <w:sz w:val="22"/>
          <w:szCs w:val="22"/>
        </w:rPr>
      </w:r>
      <w:r>
        <w:rPr>
          <w:rFonts w:ascii="Arial" w:hAnsi="Arial" w:eastAsia="微软雅黑" w:cs="Arial"/>
          <w:iCs/>
          <w:sz w:val="22"/>
          <w:szCs w:val="22"/>
        </w:rPr>
      </w:r>
    </w:p>
    <w:p>
      <w:pPr>
        <w:pBdr/>
        <w:spacing w:after="240" w:before="240"/>
        <w:ind w:firstLine="475"/>
        <w:jc w:val="center"/>
        <w:rPr>
          <w:rFonts w:ascii="Arial" w:hAnsi="Arial" w:eastAsia="微软雅黑" w:cs="Arial"/>
          <w:b/>
          <w:bCs/>
          <w:iCs/>
          <w:sz w:val="18"/>
          <w:szCs w:val="18"/>
        </w:rPr>
      </w:pPr>
      <w:r/>
      <w:bookmarkStart w:id="558" w:name="_Hlk169895004"/>
      <w:r>
        <w:rPr>
          <w:rFonts w:hint="eastAsia" w:ascii="Arial" w:hAnsi="Arial" w:eastAsia="微软雅黑" w:cs="Arial"/>
          <w:b/>
          <w:bCs/>
          <w:iCs/>
          <w:sz w:val="18"/>
          <w:szCs w:val="18"/>
        </w:rPr>
        <w:t xml:space="preserve">图表16： 2008-2022年G20新兴经济体平均实际工资指数</w:t>
      </w:r>
      <w:r>
        <w:rPr>
          <w:rStyle w:val="1324"/>
          <w:rFonts w:ascii="Arial" w:hAnsi="Arial" w:eastAsia="微软雅黑" w:cs="Arial"/>
          <w:b/>
          <w:bCs/>
          <w:iCs/>
          <w:sz w:val="18"/>
          <w:szCs w:val="18"/>
        </w:rPr>
        <w:footnoteReference w:id="23"/>
      </w:r>
      <w:bookmarkEnd w:id="558"/>
      <w:r/>
      <w:r>
        <w:rPr>
          <w:rFonts w:ascii="Arial" w:hAnsi="Arial" w:eastAsia="微软雅黑" w:cs="Arial"/>
          <w:b/>
          <w:bCs/>
          <w:iCs/>
          <w:sz w:val="18"/>
          <w:szCs w:val="18"/>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mc:AlternateContent>
          <mc:Choice Requires="wpg">
            <w:drawing>
              <wp:inline xmlns:wp="http://schemas.openxmlformats.org/drawingml/2006/wordprocessingDrawing" distT="0" distB="0" distL="0" distR="0">
                <wp:extent cx="4947920" cy="2839085"/>
                <wp:effectExtent l="0" t="0" r="5080" b="0"/>
                <wp:docPr id="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r/>
                      </pic:nvPicPr>
                      <pic:blipFill>
                        <a:blip r:embed="rId30"/>
                        <a:srcRect l="0" t="7111" r="0" b="2382"/>
                        <a:stretch/>
                      </pic:blipFill>
                      <pic:spPr bwMode="auto">
                        <a:xfrm>
                          <a:off x="0" y="0"/>
                          <a:ext cx="4973872" cy="2854359"/>
                        </a:xfrm>
                        <a:prstGeom prst="rect">
                          <a:avLst/>
                        </a:prstGeom>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89.60pt;height:223.55pt;mso-wrap-distance-left:0.00pt;mso-wrap-distance-top:0.00pt;mso-wrap-distance-right:0.00pt;mso-wrap-distance-bottom:0.00pt;z-index:1;" stroked="f">
                <v:imagedata r:id="rId30" o:title=""/>
                <o:lock v:ext="edit" rotation="t"/>
              </v:shape>
            </w:pict>
          </mc:Fallback>
        </mc:AlternateContent>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bookmarkStart w:id="559" w:name="_Hlk169289264"/>
      <w:r>
        <w:rPr>
          <w:rFonts w:ascii="Arial" w:hAnsi="Arial" w:eastAsia="微软雅黑" w:cs="Arial"/>
          <w:sz w:val="22"/>
        </w:rPr>
        <w:t xml:space="preserve">截至2025年1月1日，第一档月最低工资标准超过2000元省市共有29个，分别是上海、江苏、浙江、北京、深圳、重庆、四川、天津、广东、内蒙古等。其中，上海最高为2690元，江苏、浙江2490元并列第二，北京2420元位列第三。2015年到{{清单模板-数据表-B2}}中国平均工资变化的趋势如下图：</w:t>
      </w:r>
      <w:r>
        <w:rPr>
          <w:rStyle w:val="1324"/>
          <w:rFonts w:ascii="Arial" w:hAnsi="Arial" w:eastAsia="微软雅黑" w:cs="Arial"/>
          <w:sz w:val="22"/>
          <w:szCs w:val="22"/>
        </w:rPr>
        <w:footnoteReference w:id="24"/>
      </w:r>
      <w:r>
        <w:rPr>
          <w:rFonts w:hint="eastAsia" w:ascii="Arial" w:hAnsi="Arial" w:eastAsia="微软雅黑" w:cs="Arial"/>
          <w:iCs/>
          <w:sz w:val="22"/>
          <w:szCs w:val="22"/>
        </w:rPr>
      </w:r>
      <w:bookmarkEnd w:id="559"/>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Bdr/>
        <w:spacing w:after="240" w:before="240"/>
        <w:ind w:firstLine="440"/>
        <w:rPr>
          <w:rFonts w:ascii="Arial" w:hAnsi="Arial" w:eastAsia="微软雅黑" w:cs="Arial"/>
          <w:iCs/>
          <w:sz w:val="22"/>
          <w:szCs w:val="22"/>
        </w:rPr>
      </w:pPr>
      <w:r>
        <w:rPr>
          <w:rFonts w:ascii="Arial" w:hAnsi="Arial" w:eastAsia="微软雅黑" w:cs="Arial"/>
          <w:iCs/>
          <w:sz w:val="22"/>
          <w:szCs w:val="22"/>
        </w:rPr>
      </w:r>
      <w:r>
        <w:rPr>
          <w:rFonts w:ascii="Arial" w:hAnsi="Arial" w:eastAsia="微软雅黑" w:cs="Arial"/>
          <w:iCs/>
          <w:sz w:val="22"/>
          <w:szCs w:val="22"/>
        </w:rPr>
      </w:r>
    </w:p>
    <w:p>
      <w:pPr>
        <w:pStyle w:val="1295"/>
        <w:keepNext w:val="true"/>
        <w:pBdr/>
        <w:spacing/>
        <w:ind/>
        <w:jc w:val="center"/>
        <w:rPr>
          <w:rFonts w:ascii="Arial" w:hAnsi="Arial" w:eastAsia="微软雅黑" w:cs="Arial"/>
          <w:sz w:val="18"/>
          <w:szCs w:val="18"/>
        </w:rPr>
      </w:pPr>
      <w:r/>
      <w:bookmarkStart w:id="560" w:name="_Hlk169289278"/>
      <w:r>
        <w:rPr>
          <w:rFonts w:ascii="Arial" w:hAnsi="Arial" w:eastAsia="微软雅黑" w:cs="Arial"/>
          <w:sz w:val="18"/>
          <w:szCs w:val="18"/>
          <w:lang w:val="en-GB"/>
        </w:rPr>
        <w:t xml:space="preserve">图表17：2015年到{{清单模板-数据表-B2}}城镇私营单位就业人员平均工资及增速</w:t>
      </w:r>
      <w:r>
        <w:rPr>
          <w:rStyle w:val="1324"/>
          <w:rFonts w:ascii="Arial" w:hAnsi="Arial" w:eastAsia="微软雅黑" w:cs="Arial"/>
          <w:sz w:val="18"/>
          <w:szCs w:val="18"/>
        </w:rPr>
        <w:footnoteReference w:id="25"/>
      </w:r>
      <w:bookmarkEnd w:id="560"/>
      <w:r/>
      <w:r>
        <w:rPr>
          <w:rFonts w:ascii="Arial" w:hAnsi="Arial" w:eastAsia="微软雅黑" w:cs="Arial"/>
          <w:sz w:val="18"/>
          <w:szCs w:val="18"/>
        </w:rPr>
      </w:r>
    </w:p>
    <w:p>
      <w:pPr>
        <w:widowControl w:val="false"/>
        <w:pBdr/>
        <w:spacing/>
        <w:ind w:firstLine="480"/>
        <w:rPr/>
      </w:pPr>
      <w:r>
        <mc:AlternateContent>
          <mc:Choice Requires="wpg">
            <w:drawing>
              <wp:inline xmlns:wp="http://schemas.openxmlformats.org/drawingml/2006/wordprocessingDrawing" distT="0" distB="0" distL="0" distR="0">
                <wp:extent cx="4717415" cy="1896745"/>
                <wp:effectExtent l="0" t="0" r="6985" b="8255"/>
                <wp:docPr id="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r/>
                      </pic:nvPicPr>
                      <pic:blipFill>
                        <a:blip r:embed="rId31"/>
                        <a:stretch/>
                      </pic:blipFill>
                      <pic:spPr bwMode="auto">
                        <a:xfrm>
                          <a:off x="0" y="0"/>
                          <a:ext cx="4724551" cy="1899676"/>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371.45pt;height:149.35pt;mso-wrap-distance-left:0.00pt;mso-wrap-distance-top:0.00pt;mso-wrap-distance-right:0.00pt;mso-wrap-distance-bottom:0.00pt;z-index:1;" stroked="false">
                <v:imagedata r:id="rId31" o:title=""/>
                <o:lock v:ext="edit" rotation="t"/>
              </v:shape>
            </w:pict>
          </mc:Fallback>
        </mc:AlternateContent>
      </w:r>
      <w:r/>
    </w:p>
    <w:p>
      <w:pPr>
        <w:widowControl w:val="false"/>
        <w:pBdr/>
        <w:spacing/>
        <w:ind w:firstLine="480"/>
        <w:rPr/>
      </w:pPr>
      <w:r/>
      <w:r/>
    </w:p>
    <w:p>
      <w:pPr>
        <w:keepNext w:val="true"/>
        <w:widowControl w:val="false"/>
        <w:pBdr/>
        <w:spacing w:after="0" w:before="0"/>
        <w:ind w:firstLine="360"/>
        <w:jc w:val="center"/>
        <w:rPr>
          <w:rFonts w:eastAsiaTheme="minorEastAsia"/>
        </w:rPr>
      </w:pPr>
      <w:r/>
      <w:bookmarkStart w:id="561" w:name="_Hlk169289320"/>
      <w:r>
        <w:rPr>
          <w:rFonts w:hint="eastAsia" w:ascii="Arial" w:hAnsi="Arial" w:eastAsia="微软雅黑" w:cs="Arial"/>
          <w:b/>
          <w:bCs/>
          <w:sz w:val="18"/>
          <w:szCs w:val="18"/>
          <w:lang w:val="en-GB"/>
        </w:rPr>
        <w:t xml:space="preserve">图表18：2015年到{{清单模板-数据表-B2}}城镇非私营单位就业人员平均工资及增速</w:t>
      </w:r>
      <w:r>
        <w:rPr>
          <w:rStyle w:val="1324"/>
          <w:rFonts w:ascii="Arial" w:hAnsi="Arial" w:eastAsia="微软雅黑" w:cs="Arial"/>
          <w:b/>
          <w:bCs/>
          <w:sz w:val="18"/>
          <w:szCs w:val="18"/>
          <w:lang w:val="en-GB"/>
        </w:rPr>
        <w:footnoteReference w:id="26"/>
      </w:r>
      <w:bookmarkEnd w:id="561"/>
      <w:r/>
      <w:r>
        <w:rPr>
          <w:rFonts w:eastAsiaTheme="minorEastAsia"/>
        </w:rPr>
      </w:r>
    </w:p>
    <w:p>
      <w:pPr>
        <w:widowControl w:val="false"/>
        <w:pBdr/>
        <w:spacing/>
        <w:ind w:firstLine="480"/>
        <w:jc w:val="center"/>
        <w:rPr>
          <w:rFonts w:ascii="Arial" w:hAnsi="Arial" w:cs="Arial" w:eastAsiaTheme="minorEastAsia"/>
          <w:bCs/>
          <w:sz w:val="22"/>
          <w:szCs w:val="22"/>
        </w:rPr>
      </w:pPr>
      <w:r>
        <mc:AlternateContent>
          <mc:Choice Requires="wpg">
            <w:drawing>
              <wp:inline xmlns:wp="http://schemas.openxmlformats.org/drawingml/2006/wordprocessingDrawing" distT="0" distB="0" distL="0" distR="0">
                <wp:extent cx="4732020" cy="1902460"/>
                <wp:effectExtent l="0" t="0" r="0" b="254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r/>
                      </pic:nvPicPr>
                      <pic:blipFill>
                        <a:blip r:embed="rId32"/>
                        <a:stretch/>
                      </pic:blipFill>
                      <pic:spPr bwMode="auto">
                        <a:xfrm>
                          <a:off x="0" y="0"/>
                          <a:ext cx="4767962" cy="191691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372.60pt;height:149.80pt;mso-wrap-distance-left:0.00pt;mso-wrap-distance-top:0.00pt;mso-wrap-distance-right:0.00pt;mso-wrap-distance-bottom:0.00pt;z-index:1;" stroked="false">
                <v:imagedata r:id="rId32" o:title=""/>
                <o:lock v:ext="edit" rotation="t"/>
              </v:shape>
            </w:pict>
          </mc:Fallback>
        </mc:AlternateContent>
      </w:r>
      <w:r>
        <w:rPr>
          <w:rFonts w:ascii="Arial" w:hAnsi="Arial" w:cs="Arial" w:eastAsiaTheme="minorEastAsia"/>
          <w:bCs/>
          <w:sz w:val="22"/>
          <w:szCs w:val="22"/>
        </w:rPr>
      </w:r>
    </w:p>
    <w:p>
      <w:pPr>
        <w:pBdr/>
        <w:spacing w:after="240" w:before="240"/>
        <w:ind w:firstLine="475"/>
        <w:rPr>
          <w:rFonts w:ascii="Arial" w:hAnsi="Arial" w:eastAsia="微软雅黑" w:cs="Arial"/>
          <w:iCs/>
          <w:sz w:val="22"/>
          <w:szCs w:val="22"/>
        </w:rPr>
      </w:pPr>
      <w:r/>
      <w:bookmarkStart w:id="562" w:name="_Hlk169895236"/>
      <w:r>
        <w:rPr>
          <w:rFonts w:ascii="Arial" w:hAnsi="Arial" w:eastAsia="微软雅黑" w:cs="Arial"/>
          <w:iCs/>
          <w:sz w:val="22"/>
          <w:szCs w:val="22"/>
        </w:rPr>
        <w:t xml:space="preserve">在国家出台的一系列“稳就业”、“保就业”政策保障下，劳动力市场在{{清单模板-数据表-B2}}恢复性增长。近日，中国财政科学研究院发布的第六次“企业成本”大型调研报告(下称报告)认为，新发展阶段人工成本将呈现趋势性上涨。由于人口红利正在逐渐消退，必将带来劳动力供需缺口的趋势性扩大，导致企业显性用工成本上升；此外，由于老龄化人口增加，人工成本中法定由企业负担的养老保险缴费部分，随着劳动力市场供求关系变化以及社会保险制度的不断完善，长期看也会持续增长。</w:t>
      </w:r>
      <w:r>
        <w:rPr>
          <w:rFonts w:ascii="Arial" w:hAnsi="Arial" w:eastAsia="微软雅黑" w:cs="Arial"/>
          <w:iCs/>
          <w:sz w:val="22"/>
          <w:szCs w:val="22"/>
        </w:rPr>
      </w:r>
    </w:p>
    <w:p>
      <w:pPr>
        <w:pBdr/>
        <w:spacing w:after="240" w:before="240"/>
        <w:ind w:firstLine="475"/>
        <w:rPr>
          <w:rFonts w:ascii="Arial" w:hAnsi="Arial" w:eastAsia="微软雅黑" w:cs="Arial"/>
          <w:iCs/>
          <w:sz w:val="22"/>
          <w:szCs w:val="22"/>
        </w:rPr>
      </w:pPr>
      <w:r>
        <w:rPr>
          <w:rFonts w:ascii="Arial" w:hAnsi="Arial" w:eastAsia="微软雅黑" w:cs="Arial"/>
          <w:iCs/>
          <w:sz w:val="22"/>
          <w:szCs w:val="22"/>
        </w:rPr>
        <w:t xml:space="preserve">因此，随着劳动力成本逐年上升，{{清单模板-数据表-B5}}并没有从劳动力成本中受益。</w:t>
      </w:r>
      <w:r>
        <w:rPr>
          <w:rFonts w:ascii="Arial" w:hAnsi="Arial" w:eastAsia="微软雅黑" w:cs="Arial"/>
          <w:iCs/>
          <w:sz w:val="22"/>
          <w:szCs w:val="22"/>
        </w:rPr>
      </w:r>
      <w:bookmarkEnd w:id="562"/>
      <w:r/>
      <w:r>
        <w:rPr>
          <w:rFonts w:ascii="Arial" w:hAnsi="Arial" w:eastAsia="微软雅黑" w:cs="Arial"/>
          <w:iCs/>
          <w:sz w:val="22"/>
          <w:szCs w:val="22"/>
        </w:rPr>
      </w:r>
    </w:p>
    <w:p>
      <w:pPr>
        <w:pStyle w:val="1315"/>
        <w:keepNext w:val="true"/>
        <w:numPr>
          <w:ilvl w:val="2"/>
          <w:numId w:val="11"/>
        </w:numPr>
        <w:pBdr/>
        <w:spacing w:after="163" w:before="163"/>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563" w:name="_Toc202797596"/>
      <w:r/>
      <w:bookmarkStart w:id="564" w:name="_Toc47700070"/>
      <w:r/>
      <w:bookmarkStart w:id="565" w:name="_Toc522015240"/>
      <w:r/>
      <w:bookmarkStart w:id="566" w:name="_Toc76668439"/>
      <w:r/>
      <w:bookmarkStart w:id="567" w:name="_Toc15765"/>
      <w:r/>
      <w:bookmarkStart w:id="568" w:name="_Toc1881"/>
      <w:r>
        <w:rPr>
          <w:rFonts w:ascii="Arial" w:hAnsi="Arial" w:eastAsia="微软雅黑" w:cs="Arial"/>
          <w:b w:val="0"/>
          <w:i w:val="0"/>
          <w:color w:val="4f81bd" w:themeColor="accent1"/>
          <w:sz w:val="22"/>
          <w:szCs w:val="22"/>
          <w14:textFill>
            <w14:solidFill>
              <w14:schemeClr w14:val="accent1"/>
            </w14:solidFill>
          </w14:textFill>
        </w:rPr>
        <w:t xml:space="preserve">市场溢价</w:t>
      </w:r>
      <w:bookmarkEnd w:id="563"/>
      <w:r/>
      <w:bookmarkEnd w:id="564"/>
      <w:r/>
      <w:bookmarkEnd w:id="565"/>
      <w:r/>
      <w:bookmarkEnd w:id="566"/>
      <w:r/>
      <w:bookmarkEnd w:id="567"/>
      <w:r/>
      <w:bookmarkEnd w:id="568"/>
      <w:r/>
      <w:r>
        <w:rPr>
          <w:rFonts w:ascii="Arial" w:hAnsi="Arial" w:eastAsia="微软雅黑" w:cs="Arial"/>
          <w:b w:val="0"/>
          <w:i w:val="0"/>
          <w:color w:val="4f81bd" w:themeColor="accent1"/>
          <w:sz w:val="22"/>
          <w:szCs w:val="22"/>
          <w14:textFill>
            <w14:solidFill>
              <w14:schemeClr w14:val="accent1"/>
            </w14:solidFill>
          </w14:textFill>
        </w:rPr>
      </w:r>
    </w:p>
    <w:p>
      <w:pPr>
        <w:pBdr/>
        <w:spacing w:after="240" w:before="240"/>
        <w:ind w:firstLine="425"/>
        <w:rPr>
          <w:rFonts w:ascii="Arial" w:hAnsi="Arial" w:eastAsia="微软雅黑" w:cs="Arial"/>
          <w:iCs/>
          <w:sz w:val="22"/>
          <w:szCs w:val="22"/>
          <w:vertAlign w:val="superscript"/>
        </w:rPr>
      </w:pPr>
      <w:r>
        <w:rPr>
          <w:rFonts w:ascii="Arial" w:hAnsi="Arial" w:eastAsia="微软雅黑" w:cs="Arial"/>
          <w:iCs/>
          <w:sz w:val="22"/>
          <w:szCs w:val="22"/>
        </w:rPr>
        <w:t xml:space="preserve">市场溢价，是指跨国企业将经营活动安排在有独特特质的地区而获得的额外利润，这些地区的特质会对一项服务或产品的销售和需求造成影响。</w:t>
      </w:r>
      <w:r>
        <w:rPr>
          <w:rFonts w:ascii="Arial" w:hAnsi="Arial" w:eastAsia="微软雅黑" w:cs="Arial"/>
          <w:iCs/>
          <w:sz w:val="22"/>
          <w:szCs w:val="22"/>
          <w:vertAlign w:val="superscript"/>
        </w:rPr>
        <w:footnoteReference w:id="27"/>
      </w:r>
      <w:r>
        <w:rPr>
          <w:rFonts w:hint="eastAsia" w:ascii="Arial" w:hAnsi="Arial" w:eastAsia="微软雅黑" w:cs="Arial"/>
          <w:iCs/>
          <w:sz w:val="22"/>
          <w:szCs w:val="22"/>
        </w:rPr>
      </w:r>
      <w:r>
        <w:rPr>
          <w:rFonts w:ascii="Arial" w:hAnsi="Arial" w:eastAsia="微软雅黑" w:cs="Arial"/>
          <w:iCs/>
          <w:sz w:val="22"/>
          <w:szCs w:val="22"/>
          <w:vertAlign w:val="superscript"/>
        </w:rPr>
      </w:r>
    </w:p>
    <w:p>
      <w:pPr>
        <w:pBdr/>
        <w:spacing w:after="240" w:before="240"/>
        <w:ind w:firstLine="475"/>
        <w:rPr>
          <w:rFonts w:ascii="Arial" w:hAnsi="Arial" w:eastAsia="微软雅黑" w:cs="Arial"/>
          <w:sz w:val="22"/>
        </w:rPr>
      </w:pPr>
      <w:r>
        <w:rPr>
          <w:rFonts w:ascii="Arial" w:hAnsi="Arial" w:eastAsia="微软雅黑" w:cs="Arial"/>
          <w:sz w:val="22"/>
        </w:rPr>
        <w:t xml:space="preserve">{{清单模板-数据表-B5}}为客户提供量身定制的整体解决方案，并且国内和国外市场对产品的要求也不相同。{{清单模板-数据表-B5}}在境内和在境外提供的大型成套设备本身并不具有可比性，因此在境内外市场上的价格也不具有可比性。</w:t>
      </w:r>
      <w:r>
        <w:rPr>
          <w:rFonts w:ascii="Arial" w:hAnsi="Arial" w:eastAsia="微软雅黑" w:cs="Arial"/>
          <w:sz w:val="22"/>
        </w:rPr>
      </w:r>
    </w:p>
    <w:p>
      <w:pPr>
        <w:pBdr/>
        <w:spacing w:after="240" w:before="240"/>
        <w:ind w:firstLine="475"/>
        <w:rPr>
          <w:rFonts w:ascii="Arial" w:hAnsi="Arial" w:eastAsia="微软雅黑" w:cs="Arial"/>
          <w:iCs/>
          <w:sz w:val="22"/>
          <w:szCs w:val="22"/>
        </w:rPr>
      </w:pPr>
      <w:r>
        <w:rPr>
          <w:rFonts w:ascii="Arial" w:hAnsi="Arial" w:eastAsia="微软雅黑" w:cs="Arial"/>
          <w:sz w:val="22"/>
        </w:rPr>
        <w:t xml:space="preserve">作为工业设备制造商，其利润水平与宏观经济周期紧密相关，即很大程度取决于下游行业的需求。在中国大陆市场上，{{清单模板-数据表-B5}}不仅要与跨国企业的中国子公司竞争，还要面临来自快速发展的本土竞争对手的挑战。因此，{{清单模板-数据表-B5}}的设备类产品面临着激烈的市场竞争。此外，由于{{清单模板-数据表-B5}}最主要的收入来自于大型成套设备的销售，而国内市场上有如此规模需求的客户数量并不多，客户具有很高的议价能力，因此并没有明显的证据表明{{清单模板-数据表-B5}}会受到市场溢价的影响。</w:t>
      </w:r>
      <w:r>
        <w:rPr>
          <w:rFonts w:ascii="Arial" w:hAnsi="Arial" w:eastAsia="微软雅黑" w:cs="Arial"/>
          <w:iCs/>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69" w:name="_Toc202797597"/>
      <w:r/>
      <w:bookmarkStart w:id="570" w:name="_Toc1510"/>
      <w:r/>
      <w:bookmarkStart w:id="571" w:name="_Toc339"/>
      <w:r/>
      <w:bookmarkStart w:id="572" w:name="_Toc76668441"/>
      <w:r/>
      <w:bookmarkStart w:id="573" w:name="_Toc4079"/>
      <w:r/>
      <w:bookmarkStart w:id="574" w:name="_Toc522015241"/>
      <w:r/>
      <w:bookmarkStart w:id="575" w:name="_Toc47700072"/>
      <w:r>
        <w:rPr>
          <w:rFonts w:ascii="Arial" w:hAnsi="Arial" w:eastAsia="微软雅黑" w:cs="Arial"/>
          <w:b w:val="0"/>
          <w:i w:val="0"/>
          <w:color w:val="4f81bd" w:themeColor="accent1"/>
          <w:sz w:val="22"/>
          <w:szCs w:val="22"/>
          <w14:textFill>
            <w14:solidFill>
              <w14:schemeClr w14:val="accent1"/>
            </w14:solidFill>
          </w14:textFill>
        </w:rPr>
        <w:t xml:space="preserve">价值链各参与方财务报表</w:t>
      </w:r>
      <w:bookmarkEnd w:id="569"/>
      <w:r/>
      <w:bookmarkEnd w:id="570"/>
      <w:r/>
      <w:bookmarkEnd w:id="571"/>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在本报告编制时，尚无法获得相关价值链参与方{{清单模板-数据表-B2}}的财务报表。如有要求，可在本公司征求关联方同意之后提供该数据。</w:t>
      </w:r>
      <w:r>
        <w:rPr>
          <w:rFonts w:ascii="Arial" w:hAnsi="Arial" w:eastAsia="微软雅黑" w:cs="Arial"/>
          <w:sz w:val="22"/>
          <w:szCs w:val="22"/>
        </w:rPr>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576" w:name="_Toc14964"/>
      <w:r/>
      <w:bookmarkStart w:id="577" w:name="_Toc202797598"/>
      <w:r/>
      <w:bookmarkStart w:id="578" w:name="_Toc4046"/>
      <w:r>
        <w:rPr>
          <w:rFonts w:ascii="Arial" w:hAnsi="Arial" w:eastAsia="微软雅黑" w:cs="Arial"/>
          <w:color w:val="4f81bd" w:themeColor="accent1"/>
          <w:sz w:val="28"/>
          <w:szCs w:val="22"/>
          <w14:textFill>
            <w14:solidFill>
              <w14:schemeClr w14:val="accent1"/>
            </w14:solidFill>
          </w14:textFill>
        </w:rPr>
        <w:t xml:space="preserve">可比性分析</w:t>
      </w:r>
      <w:bookmarkEnd w:id="572"/>
      <w:r/>
      <w:bookmarkEnd w:id="573"/>
      <w:r/>
      <w:bookmarkEnd w:id="574"/>
      <w:r/>
      <w:bookmarkEnd w:id="575"/>
      <w:r/>
      <w:bookmarkEnd w:id="576"/>
      <w:r/>
      <w:bookmarkEnd w:id="577"/>
      <w:r/>
      <w:bookmarkEnd w:id="578"/>
      <w:r/>
      <w:r>
        <w:rPr>
          <w:rFonts w:ascii="Arial" w:hAnsi="Arial" w:eastAsia="微软雅黑" w:cs="Arial"/>
          <w:color w:val="4f81bd" w:themeColor="accent1"/>
          <w:sz w:val="28"/>
          <w:szCs w:val="22"/>
          <w14:textFill>
            <w14:solidFill>
              <w14:schemeClr w14:val="accent1"/>
            </w14:solidFill>
          </w14:textFill>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79" w:name="_Toc522015242"/>
      <w:r/>
      <w:bookmarkStart w:id="580" w:name="_Toc76668442"/>
      <w:r/>
      <w:bookmarkStart w:id="581" w:name="_Toc202797599"/>
      <w:r/>
      <w:bookmarkStart w:id="582" w:name="_Toc21388"/>
      <w:r/>
      <w:bookmarkStart w:id="583" w:name="_Toc30125"/>
      <w:r/>
      <w:bookmarkStart w:id="584" w:name="_Toc12949"/>
      <w:r/>
      <w:bookmarkStart w:id="585" w:name="_Toc47700073"/>
      <w:r>
        <w:rPr>
          <w:rFonts w:ascii="Arial" w:hAnsi="Arial" w:eastAsia="微软雅黑" w:cs="Arial"/>
          <w:b w:val="0"/>
          <w:i w:val="0"/>
          <w:color w:val="4f81bd" w:themeColor="accent1"/>
          <w:sz w:val="22"/>
          <w:szCs w:val="22"/>
          <w14:textFill>
            <w14:solidFill>
              <w14:schemeClr w14:val="accent1"/>
            </w14:solidFill>
          </w14:textFill>
        </w:rPr>
        <w:t xml:space="preserve">简介</w:t>
      </w:r>
      <w:bookmarkEnd w:id="579"/>
      <w:r/>
      <w:bookmarkEnd w:id="580"/>
      <w:r/>
      <w:bookmarkEnd w:id="581"/>
      <w:r/>
      <w:bookmarkEnd w:id="582"/>
      <w:r/>
      <w:bookmarkEnd w:id="583"/>
      <w:r/>
      <w:bookmarkEnd w:id="584"/>
      <w:r/>
      <w:bookmarkEnd w:id="585"/>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经济合作发展组织（“OECD”）所认可的指导原则。</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企业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对以上各种方法的详细描述，请见附件1。</w:t>
      </w:r>
      <w:r>
        <w:rPr>
          <w:rFonts w:ascii="Arial" w:hAnsi="Arial" w:eastAsia="微软雅黑" w:cs="Arial"/>
          <w:sz w:val="22"/>
          <w:szCs w:val="22"/>
        </w:rPr>
      </w:r>
    </w:p>
    <w:p>
      <w:pPr>
        <w:pStyle w:val="1315"/>
        <w:numPr>
          <w:ilvl w:val="1"/>
          <w:numId w:val="11"/>
        </w:numPr>
        <w:pBdr/>
        <w:spacing w:after="163" w:before="163"/>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86" w:name="_Toc522015243"/>
      <w:r/>
      <w:bookmarkStart w:id="587" w:name="_Toc202797600"/>
      <w:r/>
      <w:bookmarkStart w:id="588" w:name="_Toc23897"/>
      <w:r/>
      <w:bookmarkStart w:id="589" w:name="_Toc76668443"/>
      <w:r/>
      <w:bookmarkStart w:id="590" w:name="_Toc47700074"/>
      <w:r/>
      <w:bookmarkStart w:id="591" w:name="_Toc21889"/>
      <w:r/>
      <w:bookmarkStart w:id="592" w:name="_Toc29899"/>
      <w:r>
        <w:rPr>
          <w:rFonts w:ascii="Arial" w:hAnsi="Arial" w:eastAsia="微软雅黑" w:cs="Arial"/>
          <w:b w:val="0"/>
          <w:i w:val="0"/>
          <w:color w:val="4f81bd" w:themeColor="accent1"/>
          <w:sz w:val="22"/>
          <w:szCs w:val="22"/>
          <w14:textFill>
            <w14:solidFill>
              <w14:schemeClr w14:val="accent1"/>
            </w14:solidFill>
          </w14:textFill>
        </w:rPr>
        <w:t xml:space="preserve">转让定价方法的选择</w:t>
      </w:r>
      <w:bookmarkEnd w:id="586"/>
      <w:r/>
      <w:bookmarkEnd w:id="587"/>
      <w:r/>
      <w:bookmarkEnd w:id="588"/>
      <w:r/>
      <w:bookmarkEnd w:id="589"/>
      <w:r/>
      <w:bookmarkEnd w:id="590"/>
      <w:r/>
      <w:bookmarkEnd w:id="591"/>
      <w:r/>
      <w:bookmarkEnd w:id="592"/>
      <w:r/>
      <w:r>
        <w:rPr>
          <w:rFonts w:ascii="Arial" w:hAnsi="Arial" w:eastAsia="微软雅黑" w:cs="Arial"/>
          <w:b w:val="0"/>
          <w:i w:val="0"/>
          <w:color w:val="4f81bd" w:themeColor="accent1"/>
          <w:sz w:val="22"/>
          <w:szCs w:val="22"/>
          <w14:textFill>
            <w14:solidFill>
              <w14:schemeClr w14:val="accent1"/>
            </w14:solidFill>
          </w14:textFill>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[2016] 42号公告第14条规定，可比性分析考虑的因素，包括交易资产或者劳务特性，交易各方功能、风险和资产，合同条款，经济环境，经营策略等。</w:t>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然而，中国的</w:t>
      </w:r>
      <w:r>
        <w:rPr>
          <w:rFonts w:ascii="Arial" w:hAnsi="Arial" w:eastAsia="微软雅黑" w:cs="Arial"/>
          <w:sz w:val="22"/>
          <w:szCs w:val="22"/>
        </w:rPr>
        <w:t xml:space="preserve">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w:hAnsi="Arial" w:eastAsia="微软雅黑" w:cs="Arial"/>
          <w:sz w:val="22"/>
          <w:szCs w:val="22"/>
          <w:vertAlign w:val="superscript"/>
        </w:rPr>
        <w:footnoteReference w:id="28"/>
      </w:r>
      <w:r>
        <w:rPr>
          <w:rFonts w:ascii="Arial" w:hAnsi="Arial" w:eastAsia="微软雅黑" w:cs="Arial"/>
          <w:sz w:val="22"/>
          <w:szCs w:val="22"/>
        </w:rPr>
      </w:r>
      <w:r>
        <w:rPr>
          <w:rFonts w:ascii="Arial" w:hAnsi="Arial" w:eastAsia="微软雅黑" w:cs="Arial"/>
          <w:sz w:val="22"/>
          <w:szCs w:val="22"/>
        </w:rPr>
      </w:r>
    </w:p>
    <w:p>
      <w:pPr>
        <w:pBdr/>
        <w:spacing w:after="163" w:before="163"/>
        <w:ind w:firstLine="440"/>
        <w:rPr>
          <w:rFonts w:ascii="Arial" w:hAnsi="Arial" w:eastAsia="微软雅黑" w:cs="Arial"/>
          <w:sz w:val="22"/>
          <w:szCs w:val="22"/>
        </w:rPr>
      </w:pPr>
      <w:r>
        <w:rPr>
          <w:rFonts w:ascii="Arial" w:hAnsi="Arial" w:eastAsia="微软雅黑" w:cs="Arial"/>
          <w:sz w:val="22"/>
          <w:szCs w:val="22"/>
        </w:rPr>
        <w:t xml:space="preserve">以下图表总结了转让定价方法的选择过程：</w:t>
      </w:r>
      <w:r>
        <w:rPr>
          <w:rFonts w:hint="eastAsia" w:ascii="Arial" w:hAnsi="Arial" w:eastAsia="微软雅黑" w:cs="Arial"/>
          <w:sz w:val="22"/>
          <w:szCs w:val="22"/>
        </w:rPr>
      </w:r>
      <w:r>
        <w:rPr>
          <w:rFonts w:ascii="Arial" w:hAnsi="Arial" w:eastAsia="微软雅黑" w:cs="Arial"/>
          <w:sz w:val="22"/>
          <w:szCs w:val="22"/>
        </w:rPr>
      </w:r>
    </w:p>
    <w:p>
      <w:pPr>
        <w:pStyle w:val="1295"/>
        <w:keepNext w:val="true"/>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图表19：合适转让定价方法的选择</w:t>
      </w:r>
      <w:r>
        <w:rPr>
          <w:rFonts w:ascii="Arial" w:hAnsi="Arial" w:eastAsia="微软雅黑" w:cs="Arial"/>
          <w:bCs w:val="0"/>
          <w:sz w:val="18"/>
          <w:szCs w:val="18"/>
        </w:rPr>
      </w:r>
    </w:p>
    <w:tbl>
      <w:tblPr>
        <w:tblStyle w:val="1293"/>
        <w:tblW w:w="84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844"/>
        <w:gridCol w:w="3118"/>
        <w:gridCol w:w="3512"/>
      </w:tblGrid>
      <w:tr>
        <w:trPr>
          <w:jc w:val="center"/>
          <w:trHeight w:val="283"/>
          <w:tblHeader/>
        </w:trPr>
        <w:tc>
          <w:tcPr>
            <w:shd w:val="clear" w:color="auto" w:fill="4f81bd" w:themeFill="accent1"/>
            <w:tcBorders/>
            <w:tcW w:w="184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转让定价的方法</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118"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适用情形</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512"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选择/排除的原因</w:t>
            </w:r>
            <w:r>
              <w:rPr>
                <w:rFonts w:ascii="Arial" w:hAnsi="Arial" w:eastAsia="微软雅黑" w:cs="Arial"/>
                <w:b/>
                <w:color w:val="ffffff" w:themeColor="background1"/>
                <w:sz w:val="18"/>
                <w:szCs w:val="18"/>
                <w14:textFill>
                  <w14:solidFill>
                    <w14:schemeClr w14:val="bg1"/>
                  </w14:solidFill>
                </w14:textFill>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可比非受控价格法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适用于高度相似交易条件下同一产品或服务既存在关联方之间又在非关联方之间交易的情况。</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清单模板-数据表-B5}}与关联方和非关联方签订合同的合同标的、合同条款、交易数量有明显差异，无法获得可辨认的内部可比交易或外部可比交易的价格作为关联交易的独立交易价格。因此，对于{{清单模板-数据表-B5}}，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再销售价格法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适用于再销售者未对商品进行改变外型、性能、结构或更换商标等实质性增值加工的简单加工或单纯购销业务。</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由于该方法对外部可比交易成本数据的可比性要求较高。因此，对于{{清单模板-数据表-B5}}，该方法不适用。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成本加成法通常适用于涉及有形资产购销、转让和使用、劳务提供或资金融通的关联交易。</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成本加成法通常适用于成本数据详尽的涉及劳务或有形产品生产或组装的关联交易，尽管{{清单模板-数据表-B5}}向关联方和非关联方销售相似的产品，但销售发生的市场环境不同，且也难以获取可以适用成本加成法的外部可比交易成本数据，因此该方法不适用。</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交易净利润法一般适用于涉及有形资产购销、转让和使用、无形资产的转让和使用以及劳务提供等关联交易。由于该方法的应用基于对净利润指标的分析，因此该方法受功能或会计处理方法差异的影响较小。</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由于应用交易净利润法所需要的信息数据可以获得，因此选择该方法为评估受测关联交易是否符合独立交易原则的最合适的方法。因此，我们选择交易净利润法作为分析关联交易的转让定价方法。</w:t>
            </w:r>
            <w:r>
              <w:rPr>
                <w:rFonts w:ascii="Arial" w:hAnsi="Arial" w:eastAsia="微软雅黑" w:cs="Arial"/>
                <w:sz w:val="18"/>
                <w:szCs w:val="18"/>
              </w:rPr>
            </w:r>
          </w:p>
        </w:tc>
      </w:tr>
      <w:tr>
        <w:trPr>
          <w:jc w:val="center"/>
          <w:trHeight w:val="283"/>
        </w:trPr>
        <w:tc>
          <w:tcPr>
            <w:tcBorders/>
            <w:tcW w:w="184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w:t>
            </w:r>
            <w:r>
              <w:rPr>
                <w:rFonts w:ascii="Arial" w:hAnsi="Arial" w:eastAsia="微软雅黑" w:cs="Arial"/>
                <w:sz w:val="18"/>
                <w:szCs w:val="18"/>
              </w:rPr>
            </w:r>
          </w:p>
        </w:tc>
        <w:tc>
          <w:tcPr>
            <w:tcBorders/>
            <w:tcW w:w="3118"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利润分割法适用于各参与方关联交易高度整合且难以单独评估各方交易结果的情况。该方法也适用于交易各方拥有或贡献独特无形资产的情形。</w:t>
            </w:r>
            <w:r>
              <w:rPr>
                <w:rFonts w:ascii="Arial" w:hAnsi="Arial" w:eastAsia="微软雅黑" w:cs="Arial"/>
                <w:sz w:val="18"/>
                <w:szCs w:val="18"/>
              </w:rPr>
            </w:r>
          </w:p>
        </w:tc>
        <w:tc>
          <w:tcPr>
            <w:tcBorders/>
            <w:tcW w:w="3512"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利润分割法为根据企业与其关联方对关联交易合并利润的贡献计算各自应该分配的利润额，适用于关联交易双方高度整合的情形。由于{{清单模板-数据表-B5}}的与关联方间并非高度整合，因此该方法不适用。</w:t>
            </w:r>
            <w:r>
              <w:rPr>
                <w:rFonts w:ascii="Arial" w:hAnsi="Arial" w:eastAsia="微软雅黑" w:cs="Arial"/>
                <w:sz w:val="18"/>
                <w:szCs w:val="18"/>
              </w:rPr>
            </w:r>
          </w:p>
        </w:tc>
      </w:tr>
    </w:tbl>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593" w:name="_Toc522015244"/>
      <w:r/>
      <w:bookmarkStart w:id="594" w:name="_Toc8252"/>
      <w:r/>
      <w:bookmarkStart w:id="595" w:name="_Toc9412"/>
      <w:r/>
      <w:bookmarkStart w:id="596" w:name="_Toc202797601"/>
      <w:r/>
      <w:bookmarkStart w:id="597" w:name="_Toc30509"/>
      <w:r/>
      <w:bookmarkStart w:id="598" w:name="_Toc76668444"/>
      <w:r/>
      <w:bookmarkStart w:id="599" w:name="_Toc47700075"/>
      <w:r>
        <w:rPr>
          <w:rFonts w:ascii="Arial" w:hAnsi="Arial" w:eastAsia="微软雅黑" w:cs="Arial"/>
          <w:b w:val="0"/>
          <w:i w:val="0"/>
          <w:color w:val="4f81bd" w:themeColor="accent1"/>
          <w:sz w:val="22"/>
          <w:szCs w:val="22"/>
          <w14:textFill>
            <w14:solidFill>
              <w14:schemeClr w14:val="accent1"/>
            </w14:solidFill>
          </w14:textFill>
        </w:rPr>
        <w:t xml:space="preserve">验证对象的选择</w:t>
      </w:r>
      <w:bookmarkEnd w:id="593"/>
      <w:r/>
      <w:bookmarkEnd w:id="594"/>
      <w:r>
        <w:rPr>
          <w:rFonts w:ascii="Arial" w:hAnsi="Arial" w:eastAsia="微软雅黑" w:cs="Arial"/>
          <w:b w:val="0"/>
          <w:i w:val="0"/>
          <w:color w:val="4f81bd" w:themeColor="accent1"/>
          <w:sz w:val="22"/>
          <w:szCs w:val="22"/>
          <w14:textFill>
            <w14:solidFill>
              <w14:schemeClr w14:val="accent1"/>
            </w14:solidFill>
          </w14:textFill>
        </w:rPr>
      </w:r>
      <w:bookmarkEnd w:id="595"/>
      <w:r/>
      <w:bookmarkEnd w:id="596"/>
      <w:r/>
      <w:bookmarkEnd w:id="597"/>
      <w:r/>
      <w:bookmarkEnd w:id="598"/>
      <w:r/>
      <w:bookmarkEnd w:id="599"/>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在受测关联交易中，{{清单模板-数据表-B5}}主要承担有限的研发功能、</w:t>
      </w:r>
      <w:r>
        <w:rPr>
          <w:rFonts w:ascii="Arial" w:hAnsi="Arial" w:eastAsia="微软雅黑" w:cs="Arial"/>
          <w:sz w:val="22"/>
          <w:szCs w:val="22"/>
        </w:rPr>
        <w:t xml:space="preserve">采购功能、生产功能、质量控制功能、存货管理功能以及一般行政管理功能；{{清单模板-数据表-B5}}主要承担有限的市场风险、有限的研发风险、有限的生产风险、有限的存货风险、产品责任风险以及汇率风险。{{清单模板-数据表-B5}}的关联企业主要负责有限的采购功能、研发功能、生产功能、质量控制功能、存货管理、工程设计功能、市场营销与销售功能、售后服务功能、付款请求和回收功能以及一般行政管理功能；{{清单模板-数据表-B5}}的关联企业承担市场风险、研发风险、生产风险、存货风险、产品责任风险、信用风险以及汇率风险。</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关联交易中，{{清单模板-数据表-B5}}承担的功能和风险相对简单。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综上所述，我们选择{{清单模板-数据表-B5}}作为受测关联交易的验证对象。</w:t>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00" w:name="_Toc23585"/>
      <w:r/>
      <w:bookmarkStart w:id="601" w:name="_Toc202797602"/>
      <w:r/>
      <w:bookmarkStart w:id="602" w:name="_Toc76668445"/>
      <w:r/>
      <w:bookmarkStart w:id="603" w:name="_Toc31489"/>
      <w:r/>
      <w:bookmarkStart w:id="604" w:name="_Toc16662"/>
      <w:r/>
      <w:bookmarkStart w:id="605" w:name="_Toc522015245"/>
      <w:r/>
      <w:bookmarkStart w:id="606" w:name="_Toc47700076"/>
      <w:r>
        <w:rPr>
          <w:rFonts w:ascii="Arial" w:hAnsi="Arial" w:eastAsia="微软雅黑" w:cs="Arial"/>
          <w:b w:val="0"/>
          <w:i w:val="0"/>
          <w:color w:val="4f81bd" w:themeColor="accent1"/>
          <w:sz w:val="22"/>
          <w:szCs w:val="22"/>
          <w14:textFill>
            <w14:solidFill>
              <w14:schemeClr w14:val="accent1"/>
            </w14:solidFill>
          </w14:textFill>
        </w:rPr>
        <w:t xml:space="preserve">转让定价方法的应用</w:t>
      </w:r>
      <w:bookmarkEnd w:id="600"/>
      <w:r/>
      <w:bookmarkEnd w:id="601"/>
      <w:r/>
      <w:bookmarkEnd w:id="602"/>
      <w:r/>
      <w:bookmarkEnd w:id="603"/>
      <w:r/>
      <w:bookmarkEnd w:id="604"/>
      <w:r/>
      <w:bookmarkEnd w:id="605"/>
      <w:r/>
      <w:bookmarkEnd w:id="606"/>
      <w:r/>
      <w:r>
        <w:rPr>
          <w:rFonts w:ascii="Arial" w:hAnsi="Arial" w:eastAsia="微软雅黑" w:cs="Arial"/>
          <w:b w:val="0"/>
          <w:i w:val="0"/>
          <w:color w:val="4f81bd" w:themeColor="accent1"/>
          <w:sz w:val="22"/>
          <w:szCs w:val="22"/>
          <w14:textFill>
            <w14:solidFill>
              <w14:schemeClr w14:val="accent1"/>
            </w14:solidFill>
          </w14:textFill>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07" w:name="_Toc202797603"/>
      <w:r/>
      <w:bookmarkStart w:id="608" w:name="_Toc76668446"/>
      <w:r/>
      <w:bookmarkStart w:id="609" w:name="_Toc28680"/>
      <w:r/>
      <w:bookmarkStart w:id="610" w:name="_Toc522015246"/>
      <w:r/>
      <w:bookmarkStart w:id="611" w:name="_Toc30525"/>
      <w:r/>
      <w:bookmarkStart w:id="612" w:name="_Toc27249"/>
      <w:r/>
      <w:bookmarkStart w:id="613" w:name="_Toc47700077"/>
      <w:r>
        <w:rPr>
          <w:rFonts w:ascii="Arial" w:hAnsi="Arial" w:eastAsia="微软雅黑" w:cs="Arial"/>
          <w:b w:val="0"/>
          <w:i w:val="0"/>
          <w:color w:val="4f81bd" w:themeColor="accent1"/>
          <w:sz w:val="22"/>
          <w:szCs w:val="22"/>
          <w14:textFill>
            <w14:solidFill>
              <w14:schemeClr w14:val="accent1"/>
            </w14:solidFill>
          </w14:textFill>
        </w:rPr>
        <w:t xml:space="preserve">概述</w:t>
      </w:r>
      <w:bookmarkEnd w:id="607"/>
      <w:r/>
      <w:bookmarkEnd w:id="608"/>
      <w:r/>
      <w:bookmarkEnd w:id="609"/>
      <w:r/>
      <w:bookmarkEnd w:id="610"/>
      <w:r/>
      <w:bookmarkEnd w:id="611"/>
      <w:r/>
      <w:bookmarkEnd w:id="612"/>
      <w:r/>
      <w:bookmarkEnd w:id="613"/>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w:hAnsi="Arial" w:eastAsia="微软雅黑" w:cs="Arial"/>
          <w:sz w:val="22"/>
          <w:szCs w:val="22"/>
          <w:vertAlign w:val="superscript"/>
        </w:rPr>
        <w:footnoteReference w:id="29"/>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下面我们将应用交易净利润法进行可比分析。</w:t>
      </w:r>
      <w:r>
        <w:rPr>
          <w:rFonts w:ascii="Arial" w:hAnsi="Arial" w:eastAsia="微软雅黑" w:cs="Arial"/>
          <w:sz w:val="22"/>
          <w:szCs w:val="22"/>
        </w:rPr>
      </w:r>
    </w:p>
    <w:p>
      <w:pPr>
        <w:pStyle w:val="1315"/>
        <w:keepNext w:val="true"/>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14" w:name="_Toc47700078"/>
      <w:r/>
      <w:bookmarkStart w:id="615" w:name="_Toc27418"/>
      <w:r/>
      <w:bookmarkStart w:id="616" w:name="_Toc30496"/>
      <w:r/>
      <w:bookmarkStart w:id="617" w:name="_Toc76668447"/>
      <w:r/>
      <w:bookmarkStart w:id="618" w:name="_Toc19059"/>
      <w:r/>
      <w:bookmarkStart w:id="619" w:name="_Toc202797604"/>
      <w:r/>
      <w:bookmarkStart w:id="620" w:name="_Toc522015247"/>
      <w:r>
        <w:rPr>
          <w:rFonts w:ascii="Arial" w:hAnsi="Arial" w:eastAsia="微软雅黑" w:cs="Arial"/>
          <w:b w:val="0"/>
          <w:i w:val="0"/>
          <w:color w:val="4f81bd" w:themeColor="accent1"/>
          <w:sz w:val="22"/>
          <w:szCs w:val="22"/>
          <w14:textFill>
            <w14:solidFill>
              <w14:schemeClr w14:val="accent1"/>
            </w14:solidFill>
          </w14:textFill>
        </w:rPr>
        <w:t xml:space="preserve">确定与受测关联交易相关的财务数据</w:t>
      </w:r>
      <w:bookmarkStart w:id="621" w:name="_Hlk43068633"/>
      <w:r>
        <w:rPr>
          <w:rFonts w:ascii="Arial" w:hAnsi="Arial" w:eastAsia="微软雅黑" w:cs="Arial"/>
          <w:b w:val="0"/>
          <w:i w:val="0"/>
          <w:color w:val="4f81bd" w:themeColor="accent1"/>
          <w:sz w:val="22"/>
          <w:szCs w:val="22"/>
          <w14:textFill>
            <w14:solidFill>
              <w14:schemeClr w14:val="accent1"/>
            </w14:solidFill>
          </w14:textFill>
        </w:rPr>
      </w:r>
      <w:bookmarkEnd w:id="621"/>
      <w:r>
        <w:rPr>
          <w:rFonts w:ascii="Arial" w:hAnsi="Arial" w:eastAsia="微软雅黑" w:cs="Arial"/>
          <w:b w:val="0"/>
          <w:i w:val="0"/>
          <w:color w:val="4f81bd" w:themeColor="accent1"/>
          <w:sz w:val="22"/>
          <w:szCs w:val="22"/>
          <w14:textFill>
            <w14:solidFill>
              <w14:schemeClr w14:val="accent1"/>
            </w14:solidFill>
          </w14:textFill>
        </w:rPr>
      </w:r>
      <w:bookmarkEnd w:id="614"/>
      <w:r/>
      <w:bookmarkEnd w:id="615"/>
      <w:r/>
      <w:bookmarkEnd w:id="616"/>
      <w:r/>
      <w:bookmarkEnd w:id="617"/>
      <w:r/>
      <w:bookmarkEnd w:id="618"/>
      <w:r/>
      <w:bookmarkEnd w:id="619"/>
      <w:r/>
      <w:bookmarkEnd w:id="620"/>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选择{{清单模板-数据表-B5}}作为受测关联交易的验证对象，鉴于{{清单模板-数据表-B5}}向关联方和第三方供应商采购原材料和零部件，并向关联方和非关联方销售全部产品，因此本报告将对关联购销交易是否符合独立交易原则按关联销售和非关联销售交易分别进行整体分析和验证。</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图表20：{{清单模板-数据表-B5}}{{清单模板-数据表-B2}}财务数据</w:t>
      </w:r>
      <w:r>
        <w:rPr>
          <w:rStyle w:val="1324"/>
          <w:rFonts w:ascii="Arial" w:hAnsi="Arial" w:eastAsia="微软雅黑" w:cs="Arial"/>
          <w:bCs w:val="0"/>
          <w:sz w:val="18"/>
          <w:szCs w:val="18"/>
        </w:rPr>
        <w:footnoteReference w:id="30"/>
      </w:r>
      <w:r>
        <w:rPr>
          <w:rFonts w:ascii="Arial" w:hAnsi="Arial" w:eastAsia="微软雅黑" w:cs="Arial"/>
          <w:bCs w:val="0"/>
          <w:sz w:val="18"/>
          <w:szCs w:val="18"/>
        </w:rPr>
      </w:r>
    </w:p>
    <w:tbl>
      <w:tblPr>
        <w:tblStyle w:val="1444"/>
        <w:tblW w:w="864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261"/>
        <w:gridCol w:w="1417"/>
        <w:gridCol w:w="1985"/>
        <w:gridCol w:w="1984"/>
      </w:tblGrid>
      <w:tr>
        <w:trPr>
          <w:jc w:val="center"/>
          <w:tblHeader/>
        </w:trPr>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3261" w:type="dxa"/>
            <w:vAlign w:val="center"/>
            <w:textDirection w:val="lrTb"/>
            <w:noWrap w:val="false"/>
          </w:tcPr>
          <w:p>
            <w:pPr>
              <w:pBdr/>
              <w:spacing w:after="60" w:before="60"/>
              <w:ind/>
              <w:jc w:val="center"/>
              <w:rPr>
                <w:rFonts w:ascii="Arial" w:hAnsi="Arial" w:eastAsia="微软雅黑" w:cs="Arial"/>
                <w:b w:val="0"/>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项目</w:t>
            </w:r>
            <w:r>
              <w:rPr>
                <w:rFonts w:ascii="Arial" w:hAnsi="Arial" w:eastAsia="微软雅黑" w:cs="Arial"/>
                <w:b w:val="0"/>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417" w:type="dxa"/>
            <w:vAlign w:val="center"/>
            <w:textDirection w:val="lrTb"/>
            <w:noWrap w:val="false"/>
          </w:tcPr>
          <w:p>
            <w:pPr>
              <w:pBdr/>
              <w:spacing/>
              <w:ind/>
              <w:jc w:val="center"/>
              <w:rPr>
                <w:rFonts w:ascii="Arial" w:hAnsi="Arial" w:eastAsia="微软雅黑" w:cs="Arial"/>
                <w:b/>
                <w:bCs w:val="0"/>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公式</w:t>
            </w:r>
            <w:r>
              <w:rPr>
                <w:rFonts w:ascii="Arial" w:hAnsi="Arial" w:eastAsia="微软雅黑" w:cs="Arial"/>
                <w:b/>
                <w:bCs w:val="0"/>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none" w:color="000000" w:sz="4" w:space="0"/>
              <w:insideV w:val="none" w:color="000000" w:sz="4" w:space="0"/>
            </w:tcBorders>
            <w:tcW w:w="1985"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关联销售</w:t>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c>
          <w:tcPr>
            <w:shd w:val="clear" w:color="auto" w:fill="4f81bd" w:themeFill="accent1"/>
            <w:tcBorders>
              <w:top w:val="single" w:color="auto" w:sz="4" w:space="0"/>
              <w:left w:val="single" w:color="auto" w:sz="4" w:space="0"/>
              <w:bottom w:val="single" w:color="auto" w:sz="4" w:space="0"/>
              <w:right w:val="single" w:color="auto" w:sz="4" w:space="0"/>
              <w:insideV w:val="none" w:color="000000" w:sz="4" w:space="0"/>
            </w:tcBorders>
            <w:tcW w:w="1984" w:type="dxa"/>
            <w:vAlign w:val="center"/>
            <w:textDirection w:val="lrTb"/>
            <w:noWrap w:val="false"/>
          </w:tcPr>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ascii="Arial" w:hAnsi="Arial" w:eastAsia="微软雅黑" w:cs="Arial"/>
                <w:b/>
                <w:bCs/>
                <w:color w:val="ffffff" w:themeColor="background1"/>
                <w:sz w:val="18"/>
                <w:szCs w:val="18"/>
                <w14:textFill>
                  <w14:solidFill>
                    <w14:schemeClr w14:val="bg1"/>
                  </w14:solidFill>
                </w14:textFill>
              </w:rPr>
              <w:t xml:space="preserve">非关联销售</w:t>
            </w:r>
            <w:r>
              <w:rPr>
                <w:rFonts w:ascii="Arial" w:hAnsi="Arial" w:eastAsia="微软雅黑" w:cs="Arial"/>
                <w:b/>
                <w:bCs/>
                <w:color w:val="ffffff" w:themeColor="background1"/>
                <w:sz w:val="18"/>
                <w:szCs w:val="18"/>
                <w14:textFill>
                  <w14:solidFill>
                    <w14:schemeClr w14:val="bg1"/>
                  </w14:solidFill>
                </w14:textFill>
              </w:rPr>
            </w:r>
          </w:p>
          <w:p>
            <w:pPr>
              <w:pBdr/>
              <w:spacing w:after="0" w:before="0"/>
              <w:ind/>
              <w:jc w:val="center"/>
              <w:rPr>
                <w:rFonts w:ascii="Arial" w:hAnsi="Arial" w:eastAsia="微软雅黑" w:cs="Arial"/>
                <w:b/>
                <w:bCs/>
                <w:color w:val="ffffff" w:themeColor="background1"/>
                <w:sz w:val="18"/>
                <w:szCs w:val="18"/>
                <w14:textFill>
                  <w14:solidFill>
                    <w14:schemeClr w14:val="bg1"/>
                  </w14:solidFill>
                </w14:textFill>
              </w:rPr>
            </w:pPr>
            <w:r>
              <w:rPr>
                <w:rFonts w:hint="eastAsia" w:ascii="Arial" w:hAnsi="Arial" w:eastAsia="微软雅黑" w:cs="Arial"/>
                <w:b/>
                <w:bCs/>
                <w:color w:val="ffffff" w:themeColor="background1"/>
                <w:sz w:val="18"/>
                <w:szCs w:val="18"/>
                <w14:textFill>
                  <w14:solidFill>
                    <w14:schemeClr w14:val="bg1"/>
                  </w14:solidFill>
                </w14:textFill>
              </w:rPr>
              <w:t xml:space="preserve">（人民币元）</w:t>
            </w:r>
            <w:r>
              <w:rPr>
                <w:rFonts w:hint="eastAsia" w:ascii="Arial" w:hAnsi="Arial" w:eastAsia="微软雅黑" w:cs="Arial"/>
                <w:b/>
                <w:bCs/>
                <w:color w:val="ffffff" w:themeColor="background1"/>
                <w:sz w:val="18"/>
                <w:szCs w:val="18"/>
                <w14:textFill>
                  <w14:solidFill>
                    <w14:schemeClr w14:val="bg1"/>
                  </w14:solidFill>
                </w14:textFill>
              </w:rPr>
            </w:r>
            <w:r>
              <w:rPr>
                <w:rFonts w:ascii="Arial" w:hAnsi="Arial" w:eastAsia="微软雅黑" w:cs="Arial"/>
                <w:b/>
                <w:bCs/>
                <w:color w:val="ffffff" w:themeColor="background1"/>
                <w:sz w:val="18"/>
                <w:szCs w:val="18"/>
                <w14:textFill>
                  <w14:solidFill>
                    <w14:schemeClr w14:val="bg1"/>
                  </w14:solidFill>
                </w14:textFill>
              </w:rPr>
            </w:r>
          </w:p>
        </w:tc>
      </w:tr>
      <w:tr>
        <w:trPr>
          <w:jc w:val="center"/>
        </w:trPr>
        <w:tc>
          <w:tcPr>
            <w:shd w:val="clear" w:color="auto" w:fill="auto"/>
            <w:tcBorders>
              <w:top w:val="single" w:color="auto" w:sz="4" w:space="0"/>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主营业务收入</w:t>
            </w:r>
            <w:r>
              <w:rPr>
                <w:rFonts w:ascii="Arial" w:hAnsi="Arial" w:eastAsia="微软雅黑" w:cs="Arial"/>
                <w:b w:val="0"/>
                <w:bCs/>
                <w:sz w:val="18"/>
                <w:szCs w:val="18"/>
              </w:rPr>
            </w:r>
          </w:p>
        </w:tc>
        <w:tc>
          <w:tcPr>
            <w:shd w:val="clear" w:color="auto" w:fill="auto"/>
            <w:tcBorders>
              <w:top w:val="single" w:color="auto" w:sz="4" w:space="0"/>
            </w:tcBorders>
            <w:tcW w:w="1417" w:type="dxa"/>
            <w:vAlign w:val="center"/>
            <w:textDirection w:val="lrTb"/>
            <w:noWrap w:val="false"/>
          </w:tcPr>
          <w:p>
            <w:pPr>
              <w:pBdr/>
              <w:spacing w:after="60" w:before="60"/>
              <w:ind/>
              <w:jc w:val="center"/>
              <w:rPr>
                <w:rFonts w:ascii="Arial" w:hAnsi="Arial" w:eastAsia="微软雅黑" w:cs="Arial"/>
                <w:b/>
                <w:sz w:val="18"/>
                <w:szCs w:val="18"/>
              </w:rPr>
            </w:pPr>
            <w:r>
              <w:rPr>
                <w:rFonts w:ascii="Arial" w:hAnsi="Arial" w:eastAsia="微软雅黑" w:cs="Arial"/>
                <w:color w:val="000000"/>
                <w:sz w:val="18"/>
                <w:szCs w:val="18"/>
              </w:rPr>
              <w:t xml:space="preserve">a</w:t>
            </w:r>
            <w:r>
              <w:rPr>
                <w:rFonts w:ascii="Arial" w:hAnsi="Arial" w:eastAsia="微软雅黑" w:cs="Arial"/>
                <w:b/>
                <w:sz w:val="18"/>
                <w:szCs w:val="18"/>
              </w:rPr>
            </w:r>
          </w:p>
        </w:tc>
        <w:tc>
          <w:tcPr>
            <w:shd w:val="clear" w:color="auto" w:fill="auto"/>
            <w:tcBorders>
              <w:top w:val="single" w:color="auto" w:sz="4" w:space="0"/>
            </w:tcBorders>
            <w:tcW w:w="1985"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 341,662,755.87 </w:t>
            </w:r>
            <w:r>
              <w:rPr>
                <w:rFonts w:ascii="Arial" w:hAnsi="Arial" w:cs="Arial"/>
                <w:sz w:val="18"/>
                <w:szCs w:val="18"/>
              </w:rPr>
            </w:r>
          </w:p>
        </w:tc>
        <w:tc>
          <w:tcPr>
            <w:shd w:val="clear" w:color="auto" w:fill="auto"/>
            <w:tcBorders>
              <w:top w:val="single" w:color="auto" w:sz="4" w:space="0"/>
            </w:tcBorders>
            <w:tcW w:w="1984" w:type="dxa"/>
            <w:vAlign w:val="center"/>
            <w:textDirection w:val="lrTb"/>
            <w:noWrap w:val="false"/>
          </w:tcPr>
          <w:p>
            <w:pPr>
              <w:pBdr/>
              <w:spacing w:after="60" w:before="60"/>
              <w:ind/>
              <w:jc w:val="right"/>
              <w:rPr>
                <w:rFonts w:ascii="Arial" w:hAnsi="Arial" w:cs="Arial"/>
                <w:sz w:val="18"/>
                <w:szCs w:val="18"/>
              </w:rPr>
            </w:pPr>
            <w:r>
              <w:rPr>
                <w:rFonts w:hint="eastAsia" w:ascii="Arial" w:hAnsi="Arial" w:cs="Arial"/>
                <w:sz w:val="18"/>
                <w:szCs w:val="18"/>
              </w:rPr>
              <w:t xml:space="preserve"> 1,025,800,777.35 </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减：主营业务成本</w:t>
            </w:r>
            <w:r>
              <w:rPr>
                <w:rFonts w:ascii="Arial" w:hAnsi="Arial" w:eastAsia="微软雅黑" w:cs="Arial"/>
                <w:b w:val="0"/>
                <w:bCs/>
                <w:color w:val="000000"/>
                <w:sz w:val="18"/>
                <w:szCs w:val="18"/>
              </w:rPr>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b</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 214,592,971.85</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644,289,240.05</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主营业务税金及附加</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c</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0.00</w:t>
            </w:r>
            <w:r>
              <w:rPr>
                <w:rFonts w:ascii="Arial" w:hAnsi="Arial" w:cs="Arial"/>
                <w:sz w:val="18"/>
                <w:szCs w:val="18"/>
              </w:rPr>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8,926,363.51</w:t>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color w:val="000000"/>
                <w:sz w:val="18"/>
                <w:szCs w:val="18"/>
              </w:rPr>
              <w:t xml:space="preserve">主营业务利润</w:t>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d = a-b-c</w:t>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127,069,784.02 </w:t>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372,585,173.79 </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减：营业费用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e</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18,605,596.97</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55,861,036.98</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firstLine="360"/>
              <w:rPr>
                <w:rFonts w:ascii="Arial" w:hAnsi="Arial" w:eastAsia="微软雅黑" w:cs="Arial"/>
                <w:b w:val="0"/>
                <w:bCs/>
                <w:sz w:val="18"/>
                <w:szCs w:val="18"/>
              </w:rPr>
            </w:pPr>
            <w:r>
              <w:rPr>
                <w:rFonts w:ascii="Arial" w:hAnsi="Arial" w:eastAsia="微软雅黑" w:cs="Arial"/>
                <w:b w:val="0"/>
                <w:bCs/>
                <w:color w:val="000000"/>
                <w:sz w:val="18"/>
                <w:szCs w:val="18"/>
              </w:rPr>
              <w:t xml:space="preserve">管理费用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color w:val="000000"/>
                <w:sz w:val="18"/>
                <w:szCs w:val="18"/>
              </w:rPr>
              <w:t xml:space="preserve">f</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44,739,956.95</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134,326,267.16</w:t>
            </w:r>
            <w:r>
              <w:rPr>
                <w:rFonts w:ascii="Arial" w:hAnsi="Arial" w:eastAsia="微软雅黑" w:cs="Arial"/>
                <w:color w:val="000000"/>
                <w:sz w:val="18"/>
                <w:szCs w:val="18"/>
              </w:rPr>
            </w:r>
          </w:p>
        </w:tc>
      </w:tr>
      <w:tr>
        <w:trPr>
          <w:jc w:val="center"/>
        </w:trPr>
        <w:tc>
          <w:tcPr>
            <w:shd w:val="clear" w:color="auto" w:fill="auto"/>
            <w:tcBorders/>
            <w:tcW w:w="0"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息税前利润</w:t>
            </w:r>
            <w:r>
              <w:rPr>
                <w:rFonts w:ascii="Arial" w:hAnsi="Arial" w:eastAsia="微软雅黑" w:cs="Arial"/>
                <w:b w:val="0"/>
                <w:bCs/>
                <w:sz w:val="18"/>
                <w:szCs w:val="18"/>
              </w:rPr>
            </w:r>
          </w:p>
        </w:tc>
        <w:tc>
          <w:tcPr>
            <w:shd w:val="clear" w:color="auto" w:fill="auto"/>
            <w:tcBorders/>
            <w:tcW w:w="0"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g = d-e-f</w:t>
            </w:r>
            <w:r>
              <w:rPr>
                <w:rFonts w:ascii="Arial" w:hAnsi="Arial" w:eastAsia="微软雅黑"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63,724,230.10 </w:t>
            </w:r>
            <w:r>
              <w:rPr>
                <w:rFonts w:ascii="Arial" w:hAnsi="Arial" w:cs="Arial"/>
                <w:sz w:val="18"/>
                <w:szCs w:val="18"/>
              </w:rPr>
            </w:r>
          </w:p>
        </w:tc>
        <w:tc>
          <w:tcPr>
            <w:shd w:val="clear" w:color="auto" w:fill="auto"/>
            <w:tcBorders/>
            <w:tcW w:w="0" w:type="dxa"/>
            <w:vAlign w:val="center"/>
            <w:textDirection w:val="lrTb"/>
            <w:noWrap w:val="false"/>
          </w:tcPr>
          <w:p>
            <w:pPr>
              <w:pBdr/>
              <w:spacing w:after="60" w:before="60"/>
              <w:ind/>
              <w:jc w:val="right"/>
              <w:rPr>
                <w:rFonts w:ascii="Arial" w:hAnsi="Arial" w:cs="Arial"/>
                <w:sz w:val="18"/>
                <w:szCs w:val="18"/>
              </w:rPr>
            </w:pPr>
            <w:r>
              <w:rPr>
                <w:rFonts w:ascii="Arial" w:hAnsi="Arial" w:cs="Arial"/>
                <w:sz w:val="18"/>
                <w:szCs w:val="18"/>
              </w:rPr>
              <w:t xml:space="preserve"> 182,397,869.65 </w:t>
            </w:r>
            <w:r>
              <w:rPr>
                <w:rFonts w:ascii="Arial" w:hAnsi="Arial" w:cs="Arial"/>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主营业务成本及费用</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h = b+c+e+f</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277,938,525.78</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843,402,907.69</w:t>
            </w:r>
            <w:r>
              <w:rPr>
                <w:rFonts w:ascii="Arial" w:hAnsi="Arial" w:eastAsia="微软雅黑" w:cs="Arial"/>
                <w:color w:val="000000"/>
                <w:sz w:val="18"/>
                <w:szCs w:val="18"/>
              </w:rPr>
            </w:r>
          </w:p>
        </w:tc>
      </w:tr>
      <w:tr>
        <w:trPr>
          <w:jc w:val="center"/>
        </w:trPr>
        <w:tc>
          <w:tcPr>
            <w:shd w:val="clear" w:color="auto" w:fill="auto"/>
            <w:tcBorders/>
            <w:tcW w:w="3261" w:type="dxa"/>
            <w:vAlign w:val="center"/>
            <w:textDirection w:val="lrTb"/>
            <w:noWrap w:val="false"/>
          </w:tcPr>
          <w:p>
            <w:pPr>
              <w:pBdr/>
              <w:spacing w:after="60" w:before="60"/>
              <w:ind/>
              <w:rPr>
                <w:rFonts w:ascii="Arial" w:hAnsi="Arial" w:eastAsia="微软雅黑" w:cs="Arial"/>
                <w:b w:val="0"/>
                <w:bCs/>
                <w:sz w:val="18"/>
                <w:szCs w:val="18"/>
              </w:rPr>
            </w:pPr>
            <w:r>
              <w:rPr>
                <w:rFonts w:ascii="Arial" w:hAnsi="Arial" w:eastAsia="微软雅黑" w:cs="Arial"/>
                <w:b w:val="0"/>
                <w:bCs/>
                <w:sz w:val="18"/>
                <w:szCs w:val="18"/>
              </w:rPr>
              <w:t xml:space="preserve">完全成本加成率</w:t>
            </w:r>
            <w:r>
              <w:rPr>
                <w:rFonts w:ascii="Arial" w:hAnsi="Arial" w:eastAsia="微软雅黑" w:cs="Arial"/>
                <w:b w:val="0"/>
                <w:bCs/>
                <w:sz w:val="18"/>
                <w:szCs w:val="18"/>
              </w:rPr>
            </w:r>
          </w:p>
        </w:tc>
        <w:tc>
          <w:tcPr>
            <w:shd w:val="clear" w:color="auto" w:fill="auto"/>
            <w:tcBorders/>
            <w:tcW w:w="1417" w:type="dxa"/>
            <w:vAlign w:val="center"/>
            <w:textDirection w:val="lrTb"/>
            <w:noWrap w:val="false"/>
          </w:tcPr>
          <w:p>
            <w:pPr>
              <w:pBdr/>
              <w:spacing w:after="60" w:before="60"/>
              <w:ind/>
              <w:jc w:val="center"/>
              <w:rPr>
                <w:rFonts w:ascii="Arial" w:hAnsi="Arial" w:eastAsia="微软雅黑" w:cs="Arial"/>
                <w:sz w:val="18"/>
                <w:szCs w:val="18"/>
              </w:rPr>
            </w:pPr>
            <w:r>
              <w:rPr>
                <w:rFonts w:ascii="Arial" w:hAnsi="Arial" w:eastAsia="微软雅黑" w:cs="Arial"/>
                <w:sz w:val="18"/>
                <w:szCs w:val="18"/>
              </w:rPr>
              <w:t xml:space="preserve">i = g/h</w:t>
            </w:r>
            <w:r>
              <w:rPr>
                <w:rFonts w:ascii="Arial" w:hAnsi="Arial" w:eastAsia="微软雅黑" w:cs="Arial"/>
                <w:sz w:val="18"/>
                <w:szCs w:val="18"/>
              </w:rPr>
            </w:r>
          </w:p>
        </w:tc>
        <w:tc>
          <w:tcPr>
            <w:shd w:val="clear" w:color="auto" w:fill="auto"/>
            <w:tcBorders/>
            <w:tcW w:w="1985"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22.93%</w:t>
            </w:r>
            <w:r>
              <w:rPr>
                <w:rFonts w:ascii="Arial" w:hAnsi="Arial" w:eastAsia="微软雅黑" w:cs="Arial"/>
                <w:color w:val="000000"/>
                <w:sz w:val="18"/>
                <w:szCs w:val="18"/>
              </w:rPr>
            </w:r>
          </w:p>
        </w:tc>
        <w:tc>
          <w:tcPr>
            <w:shd w:val="clear" w:color="auto" w:fill="auto"/>
            <w:tcBorders/>
            <w:tcW w:w="1984" w:type="dxa"/>
            <w:vAlign w:val="center"/>
            <w:textDirection w:val="lrTb"/>
            <w:noWrap w:val="false"/>
          </w:tcPr>
          <w:p>
            <w:pPr>
              <w:pBdr/>
              <w:spacing w:after="60" w:before="60"/>
              <w:ind/>
              <w:jc w:val="right"/>
              <w:rPr>
                <w:rFonts w:ascii="Arial" w:hAnsi="Arial" w:eastAsia="微软雅黑" w:cs="Arial"/>
                <w:color w:val="000000"/>
                <w:sz w:val="18"/>
                <w:szCs w:val="18"/>
              </w:rPr>
            </w:pPr>
            <w:r>
              <w:rPr>
                <w:rFonts w:ascii="Arial" w:hAnsi="Arial" w:cs="Arial"/>
                <w:sz w:val="18"/>
                <w:szCs w:val="18"/>
              </w:rPr>
              <w:t xml:space="preserve">21.63%</w:t>
            </w:r>
            <w:r>
              <w:rPr>
                <w:rFonts w:ascii="Arial" w:hAnsi="Arial" w:eastAsia="微软雅黑" w:cs="Arial"/>
                <w:color w:val="000000"/>
                <w:sz w:val="18"/>
                <w:szCs w:val="18"/>
              </w:rPr>
            </w:r>
          </w:p>
        </w:tc>
      </w:tr>
    </w:tbl>
    <w:p>
      <w:pPr>
        <w:pBdr/>
        <w:spacing w:before="0"/>
        <w:ind w:firstLine="440" w:left="0"/>
        <w:rPr>
          <w:rFonts w:ascii="Arial" w:hAnsi="Arial" w:eastAsia="微软雅黑" w:cs="Arial"/>
          <w:sz w:val="22"/>
          <w:szCs w:val="22"/>
        </w:rPr>
      </w:pPr>
      <w:r>
        <w:rPr>
          <w:rFonts w:ascii="Arial" w:hAnsi="Arial" w:eastAsia="微软雅黑" w:cs="Arial"/>
          <w:sz w:val="22"/>
          <w:szCs w:val="22"/>
        </w:rPr>
        <w:t xml:space="preserve">基于{{清单模板-数据表-B2}}的财务数据，{{清单模板-数据表-B5}}在关联销售中的完全成本加成率为22.93%，在非关联销售中的完全成本加成率为21.63%。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22" w:name="_Toc202797605"/>
      <w:r/>
      <w:bookmarkStart w:id="623" w:name="_Toc6242"/>
      <w:r/>
      <w:bookmarkStart w:id="624" w:name="_Toc47700079"/>
      <w:r/>
      <w:bookmarkStart w:id="625" w:name="_Toc76668448"/>
      <w:r/>
      <w:bookmarkStart w:id="626" w:name="_Toc1375"/>
      <w:r>
        <w:rPr>
          <w:rFonts w:ascii="Arial" w:hAnsi="Arial" w:eastAsia="微软雅黑" w:cs="Arial"/>
          <w:b w:val="0"/>
          <w:i w:val="0"/>
          <w:color w:val="4f81bd" w:themeColor="accent1"/>
          <w:sz w:val="22"/>
          <w:szCs w:val="22"/>
          <w14:textFill>
            <w14:solidFill>
              <w14:schemeClr w14:val="accent1"/>
            </w14:solidFill>
          </w14:textFill>
        </w:rPr>
        <w:t xml:space="preserve">搜寻外部可比公司</w:t>
      </w:r>
      <w:bookmarkEnd w:id="622"/>
      <w:r/>
      <w:bookmarkEnd w:id="623"/>
      <w:r/>
      <w:bookmarkEnd w:id="624"/>
      <w:r/>
      <w:bookmarkEnd w:id="625"/>
      <w:r/>
      <w:bookmarkEnd w:id="626"/>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27" w:name="_Toc76668449"/>
      <w:r/>
      <w:bookmarkStart w:id="628" w:name="_Toc22218"/>
      <w:r/>
      <w:bookmarkStart w:id="629" w:name="_Toc763"/>
      <w:r/>
      <w:bookmarkStart w:id="630" w:name="_Toc4637"/>
      <w:r/>
      <w:bookmarkStart w:id="631" w:name="_Toc47700080"/>
      <w:r/>
      <w:bookmarkStart w:id="632" w:name="_Toc28228"/>
      <w:r/>
      <w:bookmarkStart w:id="633" w:name="_Toc522015248"/>
      <w:r>
        <w:t xml:space="preserve">数据库</w:t>
      </w:r>
      <w:bookmarkEnd w:id="627"/>
      <w:r/>
      <w:bookmarkEnd w:id="628"/>
      <w:r/>
      <w:bookmarkEnd w:id="629"/>
      <w:r/>
      <w:bookmarkEnd w:id="630"/>
      <w:r/>
      <w:bookmarkEnd w:id="631"/>
      <w:r/>
      <w:bookmarkEnd w:id="632"/>
      <w:r/>
      <w:bookmarkEnd w:id="63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为了对外部可比公司（即所执行的功能与{{清单模板-数据表-B5}}的活动宽泛可比的独立企业）进行一次基准搜索，我们使用由Bureau van Dijk提供的TP Catalyst数据库（2025年2月版）搜索其中符合条件的上市公司作为可比公司。目前，中国税务主管机关在转让定价调查审计中也使用Bureau van Dijk提供的数据库。</w:t>
      </w:r>
      <w:r>
        <w:rPr>
          <w:rFonts w:ascii="Arial" w:hAnsi="Arial" w:eastAsia="微软雅黑" w:cs="Arial"/>
          <w:sz w:val="22"/>
          <w:szCs w:val="22"/>
          <w:vertAlign w:val="superscript"/>
        </w:rPr>
        <w:footnoteReference w:id="31"/>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Catalyst数据库囊括了全球逾65,000家上市公司的财务数据，向专业用户提供深入分析各国上市公司所需的详细财务经营报表、分析比率、股权结构、企业评级数据、历年股价系列与企业行业分析。TP Catalyst数据库是目前欧美各国广泛使用于全球上市公司证券投资分析、企业战略经营分析、跨国企业转让定价、公司财务分析等领域的著名实证分析数据库。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w:hAnsi="Arial" w:eastAsia="微软雅黑" w:cs="Arial"/>
          <w:sz w:val="22"/>
          <w:szCs w:val="22"/>
        </w:rPr>
      </w:r>
    </w:p>
    <w:p>
      <w:pPr>
        <w:pStyle w:val="1461"/>
        <w:numPr>
          <w:ilvl w:val="3"/>
          <w:numId w:val="11"/>
        </w:numPr>
        <w:pBdr/>
        <w:spacing w:after="156" w:before="156"/>
        <w:ind w:firstLine="0" w:left="0"/>
        <w:rPr/>
      </w:pPr>
      <w:r/>
      <w:bookmarkStart w:id="634" w:name="_Toc22245"/>
      <w:r/>
      <w:bookmarkStart w:id="635" w:name="_Toc47700081"/>
      <w:r/>
      <w:bookmarkStart w:id="636" w:name="_Toc76668450"/>
      <w:r/>
      <w:bookmarkStart w:id="637" w:name="_Toc25055"/>
      <w:r/>
      <w:bookmarkStart w:id="638" w:name="_Toc522015249"/>
      <w:r/>
      <w:bookmarkStart w:id="639" w:name="_Toc1314"/>
      <w:r/>
      <w:bookmarkStart w:id="640" w:name="_Toc26591"/>
      <w:r>
        <w:t xml:space="preserve">SIC编码及地区的选择</w:t>
      </w:r>
      <w:bookmarkEnd w:id="634"/>
      <w:r/>
      <w:bookmarkEnd w:id="635"/>
      <w:r/>
      <w:bookmarkEnd w:id="636"/>
      <w:r/>
      <w:bookmarkEnd w:id="637"/>
      <w:r/>
      <w:bookmarkEnd w:id="638"/>
      <w:r/>
      <w:bookmarkEnd w:id="639"/>
      <w:r/>
      <w:bookmarkEnd w:id="640"/>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我们对美国SIC编码列表进行了全面查阅，并选择了最合适的SIC编码（见下图表）来搜寻与{{清单模板-数据表-B5}}在制造活动中承担的职能宽泛可比的潜在可比公司。</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图表21：SIC编码的选择</w:t>
      </w:r>
      <w:r>
        <w:rPr>
          <w:rFonts w:ascii="Arial" w:hAnsi="Arial" w:eastAsia="微软雅黑" w:cs="Arial"/>
          <w:bCs w:val="0"/>
          <w:sz w:val="18"/>
          <w:szCs w:val="18"/>
        </w:rPr>
      </w:r>
    </w:p>
    <w:tbl>
      <w:tblPr>
        <w:tblStyle w:val="1293"/>
        <w:tblW w:w="6521" w:type="dxa"/>
        <w:tblInd w:w="112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560"/>
        <w:gridCol w:w="4961"/>
      </w:tblGrid>
      <w:tr>
        <w:trPr>
          <w:trHeight w:val="507"/>
          <w:tblHeader/>
        </w:trPr>
        <w:tc>
          <w:tcPr>
            <w:shd w:val="clear" w:color="auto" w:fill="4f81bd" w:themeFill="accent1"/>
            <w:tcBorders/>
            <w:tcW w:w="1560"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SIC编码</w:t>
            </w:r>
            <w:r>
              <w:rPr>
                <w:rStyle w:val="1323"/>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4961" w:type="dxa"/>
            <w:vAlign w:val="center"/>
            <w:textDirection w:val="lrTb"/>
            <w:noWrap w:val="false"/>
          </w:tcPr>
          <w:p>
            <w:pPr>
              <w:pBdr/>
              <w:spacing w:after="0" w:before="0"/>
              <w:ind w:right="0" w:left="0"/>
              <w:jc w:val="center"/>
              <w:rPr>
                <w:rStyle w:val="1323"/>
                <w:rFonts w:ascii="Arial" w:hAnsi="Arial" w:eastAsia="微软雅黑" w:cs="Arial"/>
                <w:b/>
                <w:color w:val="ffffff" w:themeColor="background1"/>
                <w:sz w:val="18"/>
                <w:szCs w:val="18"/>
                <w14:textFill>
                  <w14:solidFill>
                    <w14:schemeClr w14:val="bg1"/>
                  </w14:solidFill>
                </w14:textFill>
              </w:rPr>
            </w:pPr>
            <w:r>
              <w:rPr>
                <w:rStyle w:val="1323"/>
                <w:rFonts w:ascii="Arial" w:hAnsi="Arial" w:eastAsia="微软雅黑" w:cs="Arial"/>
                <w:b/>
                <w:color w:val="ffffff" w:themeColor="background1"/>
                <w:sz w:val="18"/>
                <w:szCs w:val="18"/>
                <w14:textFill>
                  <w14:solidFill>
                    <w14:schemeClr w14:val="bg1"/>
                  </w14:solidFill>
                </w14:textFill>
              </w:rPr>
              <w:t xml:space="preserve">描述</w:t>
            </w:r>
            <w:r>
              <w:rPr>
                <w:rStyle w:val="1323"/>
                <w:rFonts w:ascii="Arial" w:hAnsi="Arial" w:eastAsia="微软雅黑" w:cs="Arial"/>
                <w:b/>
                <w:color w:val="ffffff" w:themeColor="background1"/>
                <w:sz w:val="18"/>
                <w:szCs w:val="18"/>
                <w14:textFill>
                  <w14:solidFill>
                    <w14:schemeClr w14:val="bg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3431</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珐琅铁器和钢铁质卫生器具</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3432</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铅质规定装置和装饰</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3433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加热设备，电机和热风鼓风炉除外</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3443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板金加工件（锅炉）</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3491</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工业用阀门</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3492</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液压阀及软管箍</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3493</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钢铁弹簧，除电线外</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3494</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其他阀门和管道卡箍（未被归入以上类别）</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3495</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铁丝弹簧</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3496</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sz w:val="18"/>
                <w:szCs w:val="18"/>
              </w:rPr>
            </w:pPr>
            <w:r>
              <w:rPr>
                <w:rFonts w:ascii="Arial" w:hAnsi="Arial" w:eastAsia="微软雅黑" w:cs="Arial"/>
                <w:color w:val="000000" w:themeColor="text1"/>
                <w:sz w:val="18"/>
                <w:szCs w:val="18"/>
                <w14:textFill>
                  <w14:solidFill>
                    <w14:schemeClr w14:val="tx1"/>
                  </w14:solidFill>
                </w14:textFill>
              </w:rPr>
              <w:t xml:space="preserve">杂类经加工钢丝制品</w:t>
            </w:r>
            <w:r>
              <w:rPr>
                <w:rFonts w:ascii="Arial" w:hAnsi="Arial" w:eastAsia="微软雅黑" w:cs="Arial"/>
                <w:sz w:val="18"/>
                <w:szCs w:val="18"/>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3497</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铁片</w:t>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3498</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管道及管道箍</w:t>
            </w:r>
            <w:r>
              <w:rPr>
                <w:rFonts w:ascii="Arial" w:hAnsi="Arial" w:eastAsia="微软雅黑" w:cs="Arial"/>
                <w:color w:val="000000" w:themeColor="text1"/>
                <w:sz w:val="18"/>
                <w:szCs w:val="18"/>
                <w14:textFill>
                  <w14:solidFill>
                    <w14:schemeClr w14:val="tx1"/>
                  </w14:solidFill>
                </w14:textFill>
              </w:rPr>
            </w:r>
          </w:p>
        </w:tc>
      </w:tr>
      <w:tr>
        <w:trPr>
          <w:trHeight w:val="507"/>
        </w:trPr>
        <w:tc>
          <w:tcPr>
            <w:tcBorders/>
            <w:tcW w:w="1560" w:type="dxa"/>
            <w:vAlign w:val="center"/>
            <w:textDirection w:val="lrTb"/>
            <w:noWrap w:val="false"/>
          </w:tcPr>
          <w:p>
            <w:pPr>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3499</w:t>
            </w:r>
            <w:r>
              <w:rPr>
                <w:rFonts w:ascii="Arial" w:hAnsi="Arial" w:eastAsia="微软雅黑" w:cs="Arial"/>
                <w:sz w:val="18"/>
                <w:szCs w:val="18"/>
              </w:rPr>
            </w:r>
          </w:p>
        </w:tc>
        <w:tc>
          <w:tcPr>
            <w:tcBorders/>
            <w:tcW w:w="4961" w:type="dxa"/>
            <w:vAlign w:val="center"/>
            <w:textDirection w:val="lrTb"/>
            <w:noWrap w:val="false"/>
          </w:tcPr>
          <w:p>
            <w:pPr>
              <w:pBdr/>
              <w:spacing w:after="0" w:before="0"/>
              <w:ind w:right="0"/>
              <w:jc w:val="left"/>
              <w:rPr>
                <w:rFonts w:ascii="Arial" w:hAnsi="Arial" w:eastAsia="微软雅黑" w:cs="Arial"/>
                <w:color w:val="000000" w:themeColor="text1"/>
                <w:sz w:val="18"/>
                <w:szCs w:val="18"/>
                <w14:textFill>
                  <w14:solidFill>
                    <w14:schemeClr w14:val="tx1"/>
                  </w14:solidFill>
                </w14:textFill>
              </w:rPr>
            </w:pPr>
            <w:r>
              <w:rPr>
                <w:rFonts w:ascii="Arial" w:hAnsi="Arial" w:eastAsia="微软雅黑" w:cs="Arial"/>
                <w:color w:val="000000" w:themeColor="text1"/>
                <w:sz w:val="18"/>
                <w:szCs w:val="18"/>
                <w14:textFill>
                  <w14:solidFill>
                    <w14:schemeClr w14:val="tx1"/>
                  </w14:solidFill>
                </w14:textFill>
              </w:rPr>
              <w:t xml:space="preserve">其他经加工金属制品（未被归入以上类别）</w:t>
            </w:r>
            <w:r>
              <w:rPr>
                <w:rFonts w:ascii="Arial" w:hAnsi="Arial" w:eastAsia="微软雅黑" w:cs="Arial"/>
                <w:color w:val="000000" w:themeColor="text1"/>
                <w:sz w:val="18"/>
                <w:szCs w:val="18"/>
                <w14:textFill>
                  <w14:solidFill>
                    <w14:schemeClr w14:val="tx1"/>
                  </w14:solidFill>
                </w14:textFill>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通过以上图表中所选定的SIC编码，我们在TP Catalyst数据库中进行了初步搜索，通过这种SIC编码的筛选，我们得到了一部分潜在的可比公司。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通过对{{清单模板-数据表-B5}}地理位置及商业描述的分析，我们将搜索范围确定在亚太地区，包括：</w:t>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r>
      <w:r>
        <w:rPr>
          <w:rFonts w:ascii="Arial" w:hAnsi="Arial" w:eastAsia="微软雅黑" w:cs="Arial"/>
          <w:sz w:val="22"/>
          <w:szCs w:val="22"/>
        </w:rPr>
      </w:r>
    </w:p>
    <w:tbl>
      <w:tblPr>
        <w:tblStyle w:val="1401"/>
        <w:tblW w:w="8081" w:type="dxa"/>
        <w:tblInd w:w="284" w:type="dxa"/>
        <w:tblBorders/>
        <w:tblLayout w:type="fixed"/>
        <w:tblCellMar>
          <w:left w:w="0" w:type="dxa"/>
          <w:top w:w="0" w:type="dxa"/>
          <w:right w:w="0" w:type="dxa"/>
          <w:bottom w:w="0" w:type="dxa"/>
        </w:tblCellMar>
        <w:tblLook w:val="04A0" w:firstRow="1" w:lastRow="0" w:firstColumn="1" w:lastColumn="0" w:noHBand="0" w:noVBand="1"/>
      </w:tblPr>
      <w:tblGrid>
        <w:gridCol w:w="1134"/>
        <w:gridCol w:w="1701"/>
        <w:gridCol w:w="1900"/>
        <w:gridCol w:w="1673"/>
        <w:gridCol w:w="1673"/>
      </w:tblGrid>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阿富汗</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亚美尼亚</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阿塞拜疆</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孟加拉国</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不丹</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文莱</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柬埔寨</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中国</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格鲁吉亚</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香港</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印度</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印度尼西亚</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日本</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哈萨克斯坦</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朝鲜</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韩国</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吉尔吉斯斯坦</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老挝</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澳门</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马来西亚</w:t>
            </w:r>
            <w:r>
              <w:rPr>
                <w:rFonts w:eastAsia="微软雅黑"/>
                <w:sz w:val="18"/>
                <w:szCs w:val="18"/>
              </w:rPr>
            </w:r>
          </w:p>
        </w:tc>
      </w:tr>
      <w:tr>
        <w:trPr>
          <w:trHeight w:val="505"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马尔代夫</w:t>
            </w:r>
            <w:r>
              <w:rPr>
                <w:rFonts w:eastAsia="微软雅黑"/>
                <w:sz w:val="18"/>
                <w:szCs w:val="18"/>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蒙古</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缅甸</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尼泊尔</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巴基斯坦</w:t>
            </w:r>
            <w:r>
              <w:rPr>
                <w:rFonts w:eastAsia="微软雅黑"/>
                <w:sz w:val="18"/>
                <w:szCs w:val="18"/>
              </w:rPr>
            </w:r>
          </w:p>
        </w:tc>
      </w:tr>
      <w:tr>
        <w:trPr>
          <w:trHeight w:val="505" w:hRule="exact"/>
        </w:trPr>
        <w:tc>
          <w:tcPr>
            <w:tcBorders/>
            <w:tcW w:w="1134" w:type="dxa"/>
            <w:textDirection w:val="lrTb"/>
            <w:noWrap w:val="false"/>
          </w:tcPr>
          <w:p>
            <w:pPr>
              <w:pStyle w:val="1382"/>
              <w:pBdr/>
              <w:spacing w:after="0" w:before="35"/>
              <w:ind w:right="0" w:left="50"/>
              <w:jc w:val="left"/>
              <w:rPr>
                <w:rFonts w:eastAsia="微软雅黑"/>
                <w:sz w:val="18"/>
                <w:szCs w:val="18"/>
              </w:rPr>
            </w:pPr>
            <w:r>
              <w:rPr>
                <w:rFonts w:eastAsia="微软雅黑"/>
                <w:sz w:val="18"/>
                <w:szCs w:val="18"/>
              </w:rPr>
              <w:t xml:space="preserve">菲律宾</w:t>
            </w:r>
            <w:r>
              <w:rPr>
                <w:rFonts w:eastAsia="微软雅黑"/>
                <w:sz w:val="18"/>
                <w:szCs w:val="18"/>
              </w:rPr>
            </w:r>
          </w:p>
        </w:tc>
        <w:tc>
          <w:tcPr>
            <w:tcBorders/>
            <w:tcW w:w="1701" w:type="dxa"/>
            <w:textDirection w:val="lrTb"/>
            <w:noWrap w:val="false"/>
          </w:tcPr>
          <w:p>
            <w:pPr>
              <w:pStyle w:val="1382"/>
              <w:pBdr/>
              <w:spacing w:after="0" w:before="35"/>
              <w:ind w:right="0" w:left="328"/>
              <w:jc w:val="left"/>
              <w:rPr>
                <w:rFonts w:eastAsia="微软雅黑"/>
                <w:sz w:val="18"/>
                <w:szCs w:val="18"/>
              </w:rPr>
            </w:pPr>
            <w:r>
              <w:rPr>
                <w:rFonts w:eastAsia="微软雅黑"/>
                <w:sz w:val="18"/>
                <w:szCs w:val="18"/>
              </w:rPr>
              <w:t xml:space="preserve">新加坡</w:t>
            </w:r>
            <w:r>
              <w:rPr>
                <w:rFonts w:eastAsia="微软雅黑"/>
                <w:sz w:val="18"/>
                <w:szCs w:val="18"/>
              </w:rPr>
            </w:r>
          </w:p>
        </w:tc>
        <w:tc>
          <w:tcPr>
            <w:tcBorders/>
            <w:tcW w:w="1900" w:type="dxa"/>
            <w:textDirection w:val="lrTb"/>
            <w:noWrap w:val="false"/>
          </w:tcPr>
          <w:p>
            <w:pPr>
              <w:pStyle w:val="1382"/>
              <w:pBdr/>
              <w:spacing w:after="0" w:before="35"/>
              <w:ind w:right="0" w:left="374"/>
              <w:jc w:val="left"/>
              <w:rPr>
                <w:rFonts w:eastAsia="微软雅黑"/>
                <w:sz w:val="18"/>
                <w:szCs w:val="18"/>
              </w:rPr>
            </w:pPr>
            <w:r>
              <w:rPr>
                <w:rFonts w:eastAsia="微软雅黑"/>
                <w:sz w:val="18"/>
                <w:szCs w:val="18"/>
              </w:rPr>
              <w:t xml:space="preserve">斯里兰卡</w:t>
            </w:r>
            <w:r>
              <w:rPr>
                <w:rFonts w:eastAsia="微软雅黑"/>
                <w:sz w:val="18"/>
                <w:szCs w:val="18"/>
              </w:rPr>
            </w:r>
          </w:p>
        </w:tc>
        <w:tc>
          <w:tcPr>
            <w:tcBorders/>
            <w:tcW w:w="1673" w:type="dxa"/>
            <w:textDirection w:val="lrTb"/>
            <w:noWrap w:val="false"/>
          </w:tcPr>
          <w:p>
            <w:pPr>
              <w:pStyle w:val="1382"/>
              <w:pBdr/>
              <w:spacing w:after="0" w:before="35"/>
              <w:ind w:right="0" w:left="388"/>
              <w:jc w:val="left"/>
              <w:rPr>
                <w:rFonts w:eastAsia="微软雅黑"/>
                <w:sz w:val="18"/>
                <w:szCs w:val="18"/>
              </w:rPr>
            </w:pPr>
            <w:r>
              <w:rPr>
                <w:rFonts w:eastAsia="微软雅黑"/>
                <w:sz w:val="18"/>
                <w:szCs w:val="18"/>
              </w:rPr>
              <w:t xml:space="preserve">台湾</w:t>
            </w:r>
            <w:r>
              <w:rPr>
                <w:rFonts w:eastAsia="微软雅黑"/>
                <w:sz w:val="18"/>
                <w:szCs w:val="18"/>
              </w:rPr>
            </w:r>
          </w:p>
        </w:tc>
        <w:tc>
          <w:tcPr>
            <w:tcBorders/>
            <w:tcW w:w="1673" w:type="dxa"/>
            <w:textDirection w:val="lrTb"/>
            <w:noWrap w:val="false"/>
          </w:tcPr>
          <w:p>
            <w:pPr>
              <w:pStyle w:val="1382"/>
              <w:pBdr/>
              <w:spacing w:after="0" w:before="35"/>
              <w:ind w:right="0" w:left="307"/>
              <w:jc w:val="left"/>
              <w:rPr>
                <w:rFonts w:eastAsia="微软雅黑"/>
                <w:sz w:val="18"/>
                <w:szCs w:val="18"/>
              </w:rPr>
            </w:pPr>
            <w:r>
              <w:rPr>
                <w:rFonts w:eastAsia="微软雅黑"/>
                <w:sz w:val="18"/>
                <w:szCs w:val="18"/>
              </w:rPr>
              <w:t xml:space="preserve">塔吉克斯坦</w:t>
            </w:r>
            <w:r>
              <w:rPr>
                <w:rFonts w:eastAsia="微软雅黑"/>
                <w:sz w:val="18"/>
                <w:szCs w:val="18"/>
              </w:rPr>
            </w:r>
          </w:p>
        </w:tc>
      </w:tr>
      <w:tr>
        <w:trPr>
          <w:trHeight w:val="864" w:hRule="exact"/>
        </w:trPr>
        <w:tc>
          <w:tcPr>
            <w:tcBorders/>
            <w:tcW w:w="1134" w:type="dxa"/>
            <w:textDirection w:val="lrTb"/>
            <w:noWrap w:val="false"/>
          </w:tcPr>
          <w:p>
            <w:pPr>
              <w:pStyle w:val="1382"/>
              <w:pBdr/>
              <w:spacing w:after="0" w:before="37"/>
              <w:ind w:right="0" w:left="50"/>
              <w:jc w:val="left"/>
              <w:rPr>
                <w:rFonts w:eastAsia="微软雅黑"/>
                <w:sz w:val="18"/>
                <w:szCs w:val="18"/>
              </w:rPr>
            </w:pPr>
            <w:r>
              <w:rPr>
                <w:rFonts w:eastAsia="微软雅黑"/>
                <w:sz w:val="18"/>
                <w:szCs w:val="18"/>
              </w:rPr>
              <w:t xml:space="preserve">泰国</w:t>
            </w:r>
            <w:r>
              <w:rPr>
                <w:rFonts w:eastAsia="微软雅黑"/>
                <w:sz w:val="18"/>
                <w:szCs w:val="18"/>
              </w:rPr>
            </w:r>
          </w:p>
          <w:p>
            <w:pPr>
              <w:pStyle w:val="1382"/>
              <w:pBdr/>
              <w:spacing w:after="0" w:before="115"/>
              <w:ind w:right="0" w:left="50"/>
              <w:jc w:val="left"/>
              <w:rPr>
                <w:rFonts w:eastAsia="微软雅黑"/>
                <w:sz w:val="18"/>
                <w:szCs w:val="18"/>
                <w:lang w:eastAsia="zh-CN"/>
              </w:rPr>
            </w:pPr>
            <w:r>
              <w:rPr>
                <w:rFonts w:eastAsia="微软雅黑"/>
                <w:sz w:val="18"/>
                <w:szCs w:val="18"/>
              </w:rPr>
              <w:t xml:space="preserve">新西兰</w:t>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p>
            <w:pPr>
              <w:pStyle w:val="1382"/>
              <w:pBdr/>
              <w:spacing w:after="0" w:before="115"/>
              <w:ind w:right="0" w:left="50"/>
              <w:jc w:val="left"/>
              <w:rPr>
                <w:rFonts w:eastAsia="微软雅黑"/>
                <w:sz w:val="18"/>
                <w:szCs w:val="18"/>
                <w:lang w:eastAsia="zh-CN"/>
              </w:rPr>
            </w:pPr>
            <w:r>
              <w:rPr>
                <w:rFonts w:eastAsia="微软雅黑"/>
                <w:sz w:val="18"/>
                <w:szCs w:val="18"/>
                <w:lang w:eastAsia="zh-CN"/>
              </w:rPr>
            </w:r>
            <w:r>
              <w:rPr>
                <w:rFonts w:eastAsia="微软雅黑"/>
                <w:sz w:val="18"/>
                <w:szCs w:val="18"/>
                <w:lang w:eastAsia="zh-CN"/>
              </w:rPr>
            </w:r>
          </w:p>
        </w:tc>
        <w:tc>
          <w:tcPr>
            <w:tcBorders/>
            <w:tcW w:w="1701" w:type="dxa"/>
            <w:textDirection w:val="lrTb"/>
            <w:noWrap w:val="false"/>
          </w:tcPr>
          <w:p>
            <w:pPr>
              <w:pStyle w:val="1382"/>
              <w:pBdr/>
              <w:spacing w:after="0" w:before="37"/>
              <w:ind w:right="0" w:left="328"/>
              <w:jc w:val="left"/>
              <w:rPr>
                <w:rFonts w:eastAsia="微软雅黑"/>
                <w:sz w:val="18"/>
                <w:szCs w:val="18"/>
              </w:rPr>
            </w:pPr>
            <w:r>
              <w:rPr>
                <w:rFonts w:eastAsia="微软雅黑"/>
                <w:sz w:val="18"/>
                <w:szCs w:val="18"/>
              </w:rPr>
              <w:t xml:space="preserve">土库曼斯坦</w:t>
            </w:r>
            <w:r>
              <w:rPr>
                <w:rFonts w:eastAsia="微软雅黑"/>
                <w:sz w:val="18"/>
                <w:szCs w:val="18"/>
              </w:rPr>
            </w:r>
          </w:p>
        </w:tc>
        <w:tc>
          <w:tcPr>
            <w:tcBorders/>
            <w:tcW w:w="1900" w:type="dxa"/>
            <w:textDirection w:val="lrTb"/>
            <w:noWrap w:val="false"/>
          </w:tcPr>
          <w:p>
            <w:pPr>
              <w:pStyle w:val="1382"/>
              <w:pBdr/>
              <w:spacing w:after="0" w:before="37"/>
              <w:ind w:right="0" w:left="374"/>
              <w:jc w:val="left"/>
              <w:rPr>
                <w:rFonts w:eastAsia="微软雅黑"/>
                <w:sz w:val="18"/>
                <w:szCs w:val="18"/>
              </w:rPr>
            </w:pPr>
            <w:r>
              <w:rPr>
                <w:rFonts w:eastAsia="微软雅黑"/>
                <w:sz w:val="18"/>
                <w:szCs w:val="18"/>
              </w:rPr>
              <w:t xml:space="preserve">乌兹别克斯坦</w:t>
            </w:r>
            <w:r>
              <w:rPr>
                <w:rFonts w:eastAsia="微软雅黑"/>
                <w:sz w:val="18"/>
                <w:szCs w:val="18"/>
              </w:rPr>
            </w:r>
          </w:p>
        </w:tc>
        <w:tc>
          <w:tcPr>
            <w:tcBorders/>
            <w:tcW w:w="1673" w:type="dxa"/>
            <w:textDirection w:val="lrTb"/>
            <w:noWrap w:val="false"/>
          </w:tcPr>
          <w:p>
            <w:pPr>
              <w:pStyle w:val="1382"/>
              <w:pBdr/>
              <w:spacing w:after="0" w:before="37"/>
              <w:ind w:right="0" w:left="388"/>
              <w:jc w:val="left"/>
              <w:rPr>
                <w:rFonts w:eastAsia="微软雅黑"/>
                <w:sz w:val="18"/>
                <w:szCs w:val="18"/>
              </w:rPr>
            </w:pPr>
            <w:r>
              <w:rPr>
                <w:rFonts w:eastAsia="微软雅黑"/>
                <w:sz w:val="18"/>
                <w:szCs w:val="18"/>
              </w:rPr>
              <w:t xml:space="preserve">越南</w:t>
            </w:r>
            <w:r>
              <w:rPr>
                <w:rFonts w:eastAsia="微软雅黑"/>
                <w:sz w:val="18"/>
                <w:szCs w:val="18"/>
              </w:rPr>
            </w:r>
          </w:p>
        </w:tc>
        <w:tc>
          <w:tcPr>
            <w:tcBorders/>
            <w:tcW w:w="1673" w:type="dxa"/>
            <w:textDirection w:val="lrTb"/>
            <w:noWrap w:val="false"/>
          </w:tcPr>
          <w:p>
            <w:pPr>
              <w:pStyle w:val="1382"/>
              <w:pBdr/>
              <w:spacing w:after="0" w:before="37"/>
              <w:ind w:right="0" w:left="307"/>
              <w:jc w:val="left"/>
              <w:rPr>
                <w:rFonts w:eastAsia="微软雅黑"/>
                <w:sz w:val="18"/>
                <w:szCs w:val="18"/>
              </w:rPr>
            </w:pPr>
            <w:r>
              <w:rPr>
                <w:rFonts w:eastAsia="微软雅黑"/>
                <w:sz w:val="18"/>
                <w:szCs w:val="18"/>
              </w:rPr>
              <w:t xml:space="preserve">澳大利亚</w:t>
            </w:r>
            <w:r>
              <w:rPr>
                <w:rFonts w:eastAsia="微软雅黑"/>
                <w:sz w:val="18"/>
                <w:szCs w:val="18"/>
              </w:rPr>
            </w:r>
          </w:p>
        </w:tc>
      </w:tr>
    </w:tbl>
    <w:p>
      <w:pPr>
        <w:pBdr/>
        <w:spacing/>
        <w:ind/>
        <w:rPr>
          <w:rFonts w:ascii="Arial" w:hAnsi="Arial" w:eastAsia="微软雅黑" w:cs="Arial"/>
          <w:sz w:val="22"/>
          <w:szCs w:val="22"/>
        </w:rPr>
      </w:pPr>
      <w:r>
        <w:rPr>
          <w:rFonts w:hint="eastAsia" w:ascii="Arial" w:hAnsi="Arial" w:eastAsia="微软雅黑" w:cs="Arial"/>
          <w:sz w:val="22"/>
          <w:szCs w:val="22"/>
        </w:rPr>
        <w:t xml:space="preserve">通过以上筛选，我们从数据库中得到374家上市公司。</w:t>
      </w:r>
      <w:r>
        <w:rPr>
          <w:rFonts w:hint="eastAsia"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41" w:name="_Toc9419"/>
      <w:r/>
      <w:bookmarkStart w:id="642" w:name="_Toc47700083"/>
      <w:r/>
      <w:bookmarkStart w:id="643" w:name="_Toc29975"/>
      <w:r/>
      <w:bookmarkStart w:id="644" w:name="_Toc5281"/>
      <w:r/>
      <w:bookmarkStart w:id="645" w:name="_Toc76668452"/>
      <w:r>
        <w:t xml:space="preserve">定量筛选</w:t>
      </w:r>
      <w:bookmarkEnd w:id="641"/>
      <w:r/>
      <w:bookmarkEnd w:id="642"/>
      <w:r/>
      <w:bookmarkEnd w:id="643"/>
      <w:r/>
      <w:bookmarkEnd w:id="644"/>
      <w:r/>
      <w:bookmarkEnd w:id="64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我们将374家样本公司中在2021到2023财年内满足以下一项或多项特征的样本公司予以排除，从而提高潜在可比公司样本的可比性：</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hint="eastAsia" w:ascii="Arial" w:hAnsi="Arial" w:eastAsia="微软雅黑" w:cs="Arial"/>
          <w:b/>
          <w:bCs/>
          <w:sz w:val="22"/>
          <w:szCs w:val="22"/>
        </w:rPr>
        <w:t xml:space="preserve">独立性：受控企业或者非独立企业的交易价格或利润水平可能会受到其与关联公司之间进行的可能违反独立交易原则的交易的影响而发生扭曲。因此，我们采用了Bureau van Dijk的独立性指标，来排除那些可能被认定为非独立性的公司。</w:t>
      </w:r>
      <w:r>
        <w:rPr>
          <w:rFonts w:ascii="Arial" w:hAnsi="Arial" w:eastAsia="微软雅黑" w:cs="Arial"/>
          <w:sz w:val="22"/>
          <w:szCs w:val="22"/>
        </w:rPr>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A+，A，A-：表明没有任何单个股东控制该公司的股份超过25%；</w:t>
      </w:r>
      <w:r>
        <w:rPr>
          <w:rFonts w:ascii="Arial" w:hAnsi="Arial" w:eastAsia="微软雅黑" w:cs="Arial"/>
          <w:sz w:val="22"/>
          <w:szCs w:val="22"/>
        </w:rPr>
      </w:r>
    </w:p>
    <w:p>
      <w:pPr>
        <w:pStyle w:val="1396"/>
        <w:numPr>
          <w:ilvl w:val="0"/>
          <w:numId w:val="21"/>
        </w:numPr>
        <w:pBdr/>
        <w:spacing/>
        <w:ind/>
        <w:rPr>
          <w:rFonts w:ascii="Arial" w:hAnsi="Arial" w:eastAsia="微软雅黑" w:cs="Arial"/>
          <w:sz w:val="22"/>
          <w:szCs w:val="22"/>
        </w:rPr>
      </w:pPr>
      <w:r>
        <w:rPr>
          <w:rFonts w:ascii="Arial" w:hAnsi="Arial" w:eastAsia="微软雅黑" w:cs="Arial"/>
          <w:sz w:val="22"/>
          <w:szCs w:val="22"/>
        </w:rPr>
        <w:t xml:space="preserve">B+，B 或者 B-：表明没有任何单个股东控制该公司的股份超过50%，但有单个或单个以上的股东控制该公司的股份超过25%。</w:t>
      </w:r>
      <w:r>
        <w:rPr>
          <w:rFonts w:ascii="Arial" w:hAnsi="Arial" w:eastAsia="微软雅黑" w:cs="Arial"/>
          <w:sz w:val="22"/>
          <w:szCs w:val="22"/>
        </w:rPr>
      </w:r>
    </w:p>
    <w:p>
      <w:pPr>
        <w:pStyle w:val="1396"/>
        <w:numPr>
          <w:ilvl w:val="0"/>
          <w:numId w:val="21"/>
        </w:numPr>
        <w:pBdr/>
        <w:spacing w:after="156" w:before="156"/>
        <w:ind/>
        <w:rPr>
          <w:rFonts w:ascii="Arial" w:hAnsi="Arial" w:eastAsia="微软雅黑" w:cs="Arial"/>
          <w:sz w:val="22"/>
          <w:szCs w:val="22"/>
        </w:rPr>
      </w:pPr>
      <w:r>
        <w:rPr>
          <w:rFonts w:ascii="Arial" w:hAnsi="Arial" w:eastAsia="微软雅黑" w:cs="Arial"/>
          <w:sz w:val="22"/>
          <w:szCs w:val="22"/>
        </w:rPr>
        <w:t xml:space="preserve">U：表明持股不详。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数据完整性：正如我们将在以下章节7.4.4.2中所讨论的，使用多年度数据可以降低短期市场波动对转让定价分析的影响。因此，我们排除了那些在2021年至2023财年期间，缺少至少2年有效财务数据的公司。</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b/>
          <w:sz w:val="22"/>
          <w:szCs w:val="22"/>
        </w:rPr>
        <w:t xml:space="preserve">连续亏损：有连续亏损的独立公司对于{{清单模板-数据表-B5}}这样持续经营的公司而言，不具备足够的可比性。因此，我们将2021到2023财年期间三年连续经营亏损或只有两年数据且两年均亏损的公司从可比样本中排除。</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通过定量筛选，我们排除了总计177家公司，剩下197家样本公司。</w:t>
      </w:r>
      <w:r>
        <w:rPr>
          <w:rFonts w:ascii="Arial" w:hAnsi="Arial" w:eastAsia="微软雅黑" w:cs="Arial"/>
          <w:sz w:val="22"/>
          <w:szCs w:val="22"/>
        </w:rPr>
      </w:r>
    </w:p>
    <w:p>
      <w:pPr>
        <w:pStyle w:val="1461"/>
        <w:numPr>
          <w:ilvl w:val="3"/>
          <w:numId w:val="11"/>
        </w:numPr>
        <w:pBdr/>
        <w:spacing w:after="156" w:before="156"/>
        <w:ind w:firstLine="0" w:left="0"/>
        <w:rPr/>
      </w:pPr>
      <w:r/>
      <w:bookmarkStart w:id="646" w:name="_Toc47700084"/>
      <w:r/>
      <w:bookmarkStart w:id="647" w:name="_Toc22494"/>
      <w:r/>
      <w:bookmarkStart w:id="648" w:name="_Toc76668453"/>
      <w:r/>
      <w:bookmarkStart w:id="649" w:name="_Toc447817229"/>
      <w:r/>
      <w:bookmarkStart w:id="650" w:name="_Toc25365"/>
      <w:r/>
      <w:bookmarkStart w:id="651" w:name="_Toc419796234"/>
      <w:r/>
      <w:bookmarkStart w:id="652" w:name="_Toc2094"/>
      <w:r/>
      <w:bookmarkStart w:id="653" w:name="_Toc522015252"/>
      <w:r/>
      <w:bookmarkStart w:id="654" w:name="_Toc435807886"/>
      <w:r/>
      <w:bookmarkStart w:id="655" w:name="_Toc31406"/>
      <w:r>
        <w:t xml:space="preserve">定性筛选</w:t>
      </w:r>
      <w:bookmarkEnd w:id="646"/>
      <w:r/>
      <w:bookmarkEnd w:id="647"/>
      <w:r/>
      <w:bookmarkEnd w:id="648"/>
      <w:r/>
      <w:bookmarkEnd w:id="649"/>
      <w:r/>
      <w:bookmarkEnd w:id="650"/>
      <w:r/>
      <w:bookmarkEnd w:id="651"/>
      <w:r/>
      <w:bookmarkEnd w:id="652"/>
      <w:r/>
      <w:bookmarkEnd w:id="653"/>
      <w:r/>
      <w:bookmarkEnd w:id="654"/>
      <w:r/>
      <w:bookmarkEnd w:id="65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我们审阅了剩下的每一家公司在TP Catalyst数据库中的业务描述，以此来排除执行的功能（例如，研发，生产，服务等）与{{清单模板-数据表-B5}}的在受测关联交易中执行的职能不具有宽泛可比性的公司。</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通过定性筛选，我们排除了总计180家公司，它们因满足以下一项或多项条件使得它们与{{清单模板-数据表-B5}}的关联企业的受测关联交易不具备充足的可比性：</w:t>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企业执行的功能与{{清单模板-数据表-B5}}存在显著差异；</w:t>
      </w:r>
      <w:r>
        <w:rPr>
          <w:rFonts w:ascii="Arial" w:hAnsi="Arial" w:eastAsia="微软雅黑" w:cs="Arial"/>
          <w:sz w:val="22"/>
          <w:szCs w:val="22"/>
        </w:rPr>
      </w:r>
      <w:r>
        <w:rPr>
          <w:rFonts w:ascii="Arial" w:hAnsi="Arial" w:eastAsia="微软雅黑" w:cs="Arial"/>
          <w:sz w:val="22"/>
          <w:szCs w:val="22"/>
        </w:rPr>
      </w:r>
    </w:p>
    <w:p>
      <w:pPr>
        <w:pStyle w:val="1396"/>
        <w:numPr>
          <w:ilvl w:val="0"/>
          <w:numId w:val="22"/>
        </w:numPr>
        <w:pBdr/>
        <w:spacing w:after="156" w:before="156"/>
        <w:ind/>
        <w:rPr>
          <w:rFonts w:ascii="Arial" w:hAnsi="Arial" w:eastAsia="微软雅黑" w:cs="Arial"/>
          <w:sz w:val="22"/>
          <w:szCs w:val="22"/>
        </w:rPr>
      </w:pPr>
      <w:r>
        <w:rPr>
          <w:rFonts w:ascii="Arial" w:hAnsi="Arial" w:eastAsia="微软雅黑" w:cs="Arial"/>
          <w:sz w:val="22"/>
          <w:szCs w:val="22"/>
        </w:rPr>
        <w:t xml:space="preserve">企业销售的产品或服务与{{清单模板-数据表-B5}}存在显著差异。</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我们最终选定17家营业地位于亚太地区的公司作为{{清单模板-数据表-B5}}的可比公司。</w:t>
      </w:r>
      <w:r>
        <w:rPr>
          <w:rFonts w:ascii="Arial" w:hAnsi="Arial" w:eastAsia="微软雅黑" w:cs="Arial"/>
          <w:sz w:val="22"/>
          <w:szCs w:val="22"/>
        </w:rPr>
      </w:r>
    </w:p>
    <w:p>
      <w:pPr>
        <w:pStyle w:val="1461"/>
        <w:numPr>
          <w:ilvl w:val="3"/>
          <w:numId w:val="11"/>
        </w:numPr>
        <w:pBdr/>
        <w:spacing w:after="156" w:before="156"/>
        <w:ind w:firstLine="0" w:left="0"/>
        <w:rPr/>
      </w:pPr>
      <w:r/>
      <w:bookmarkStart w:id="656" w:name="_Toc76668454"/>
      <w:r/>
      <w:bookmarkStart w:id="657" w:name="_Toc522015254"/>
      <w:r/>
      <w:bookmarkStart w:id="658" w:name="_Toc47700085"/>
      <w:r/>
      <w:bookmarkStart w:id="659" w:name="_Toc1411"/>
      <w:r/>
      <w:bookmarkStart w:id="660" w:name="_Toc24652"/>
      <w:r/>
      <w:bookmarkStart w:id="661" w:name="_Toc22809"/>
      <w:r>
        <w:t xml:space="preserve">外部可比公司搜寻过程</w:t>
      </w:r>
      <w:bookmarkEnd w:id="656"/>
      <w:r/>
      <w:bookmarkEnd w:id="657"/>
      <w:r/>
      <w:bookmarkEnd w:id="658"/>
      <w:r/>
      <w:bookmarkEnd w:id="659"/>
      <w:r/>
      <w:bookmarkEnd w:id="660"/>
      <w:r/>
      <w:bookmarkEnd w:id="661"/>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搜索策略和结果如下：</w:t>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图表22：可比公司搜索表</w:t>
      </w:r>
      <w:r>
        <w:rPr>
          <w:rFonts w:ascii="Arial" w:hAnsi="Arial" w:eastAsia="微软雅黑" w:cs="Arial"/>
          <w:bCs w:val="0"/>
          <w:sz w:val="18"/>
          <w:szCs w:val="18"/>
        </w:rPr>
      </w:r>
    </w:p>
    <w:tbl>
      <w:tblPr>
        <w:tblStyle w:val="1293"/>
        <w:tblW w:w="810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2014"/>
        <w:gridCol w:w="6087"/>
      </w:tblGrid>
      <w:tr>
        <w:trPr>
          <w:trHeight w:val="550"/>
          <w:tblHeader/>
        </w:trPr>
        <w:tc>
          <w:tcPr>
            <w:shd w:val="clear" w:color="auto" w:fill="4f81bd" w:themeFill="accent1"/>
            <w:tcBorders/>
            <w:tcW w:w="201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数据库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6087"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TP Catalyst 数据库（2025年2月版）</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上市公司筛选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hint="eastAsia" w:ascii="Arial" w:hAnsi="Arial" w:eastAsia="微软雅黑" w:cs="Arial"/>
                <w:sz w:val="18"/>
                <w:szCs w:val="18"/>
              </w:rPr>
              <w:t xml:space="preserve">在评估期间上市的公司</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初步 SIC编码检索</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3431、3432、3433、3443、3491、3492、3493、3494、3495、3496、3497、3498、3499</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地区筛选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亚太地区</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定量筛选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在TP Catalyst数据库定义中独立性为C、D的公司被排除；</w:t>
            </w:r>
            <w:r>
              <w:rPr>
                <w:rFonts w:hint="eastAsia"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在2021至2023财政年度间，在TP Catalyst数据库中的财务信息不充分；</w:t>
            </w:r>
            <w:r>
              <w:rPr>
                <w:rFonts w:ascii="Arial" w:hAnsi="Arial" w:eastAsia="微软雅黑" w:cs="Arial"/>
                <w:sz w:val="18"/>
                <w:szCs w:val="18"/>
              </w:rPr>
            </w:r>
            <w:r>
              <w:rPr>
                <w:rFonts w:ascii="Arial" w:hAnsi="Arial" w:eastAsia="微软雅黑" w:cs="Arial"/>
                <w:sz w:val="18"/>
                <w:szCs w:val="18"/>
              </w:rPr>
            </w:r>
          </w:p>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在2021至2023财政年度间，三年连续经营亏损或只有两年数据且两年均亏损被排除。</w:t>
            </w:r>
            <w:r>
              <w:rPr>
                <w:rFonts w:ascii="Arial" w:hAnsi="Arial" w:eastAsia="微软雅黑" w:cs="Arial"/>
                <w:sz w:val="18"/>
                <w:szCs w:val="18"/>
              </w:rPr>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定性筛选</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在企业功能（包括所使用的资产）或企业产品或服务方面存在显著差异的企业。</w:t>
            </w:r>
            <w:r>
              <w:rPr>
                <w:rFonts w:ascii="Arial" w:hAnsi="Arial" w:eastAsia="微软雅黑" w:cs="Arial"/>
                <w:sz w:val="18"/>
                <w:szCs w:val="18"/>
              </w:rPr>
            </w:r>
          </w:p>
        </w:tc>
      </w:tr>
      <w:tr>
        <w:trPr>
          <w:trHeight w:val="567"/>
        </w:trPr>
        <w:tc>
          <w:tcPr>
            <w:tcBorders/>
            <w:tcW w:w="2014"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最终样本</w:t>
            </w:r>
            <w:r>
              <w:rPr>
                <w:rFonts w:ascii="Arial" w:hAnsi="Arial" w:eastAsia="微软雅黑" w:cs="Arial"/>
                <w:sz w:val="18"/>
                <w:szCs w:val="18"/>
              </w:rPr>
            </w:r>
          </w:p>
        </w:tc>
        <w:tc>
          <w:tcPr>
            <w:tcBorders/>
            <w:tcW w:w="6087" w:type="dxa"/>
            <w:vAlign w:val="center"/>
            <w:textDirection w:val="lrTb"/>
            <w:noWrap w:val="false"/>
          </w:tcPr>
          <w:p>
            <w:pPr>
              <w:pBdr/>
              <w:spacing w:after="0" w:before="0"/>
              <w:ind w:right="0" w:left="0"/>
              <w:rPr>
                <w:rFonts w:ascii="Arial" w:hAnsi="Arial" w:eastAsia="微软雅黑" w:cs="Arial"/>
                <w:sz w:val="18"/>
                <w:szCs w:val="18"/>
              </w:rPr>
            </w:pPr>
            <w:r>
              <w:rPr>
                <w:rFonts w:ascii="Arial" w:hAnsi="Arial" w:eastAsia="微软雅黑" w:cs="Arial"/>
                <w:sz w:val="18"/>
                <w:szCs w:val="18"/>
              </w:rPr>
              <w:t xml:space="preserve">17家可比性公司</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选定的17家公司的简要业务描述，请见附件3。</w:t>
      </w:r>
      <w:r>
        <w:rPr>
          <w:rFonts w:ascii="Arial" w:hAnsi="Arial" w:eastAsia="微软雅黑" w:cs="Arial"/>
          <w:sz w:val="22"/>
          <w:szCs w:val="22"/>
        </w:rPr>
      </w:r>
    </w:p>
    <w:p>
      <w:pPr>
        <w:pStyle w:val="1315"/>
        <w:numPr>
          <w:ilvl w:val="2"/>
          <w:numId w:val="11"/>
        </w:numPr>
        <w:pBdr/>
        <w:spacing w:after="156" w:before="156"/>
        <w:ind w:firstLine="0" w:left="0"/>
        <w:outlineLvl w:val="2"/>
        <w:rPr>
          <w:rFonts w:ascii="Arial" w:hAnsi="Arial" w:eastAsia="微软雅黑" w:cs="Arial"/>
          <w:b w:val="0"/>
          <w:i w:val="0"/>
          <w:color w:val="4f81bd" w:themeColor="accent1"/>
          <w:sz w:val="22"/>
          <w:szCs w:val="22"/>
          <w14:textFill>
            <w14:solidFill>
              <w14:schemeClr w14:val="accent1"/>
            </w14:solidFill>
          </w14:textFill>
        </w:rPr>
      </w:pPr>
      <w:r/>
      <w:bookmarkStart w:id="662" w:name="_Toc12774"/>
      <w:r/>
      <w:bookmarkStart w:id="663" w:name="_Toc202797606"/>
      <w:r/>
      <w:bookmarkStart w:id="664" w:name="_Toc522015255"/>
      <w:r/>
      <w:bookmarkStart w:id="665" w:name="_Toc47700086"/>
      <w:r/>
      <w:bookmarkStart w:id="666" w:name="_Toc24585"/>
      <w:r/>
      <w:bookmarkStart w:id="667" w:name="_Toc76668455"/>
      <w:r/>
      <w:bookmarkStart w:id="668" w:name="_Toc4677"/>
      <w:r>
        <w:rPr>
          <w:rFonts w:ascii="Arial" w:hAnsi="Arial" w:eastAsia="微软雅黑" w:cs="Arial"/>
          <w:b w:val="0"/>
          <w:i w:val="0"/>
          <w:color w:val="4f81bd" w:themeColor="accent1"/>
          <w:sz w:val="22"/>
          <w:szCs w:val="22"/>
          <w14:textFill>
            <w14:solidFill>
              <w14:schemeClr w14:val="accent1"/>
            </w14:solidFill>
          </w14:textFill>
        </w:rPr>
        <w:t xml:space="preserve">可比公司利润水平</w:t>
      </w:r>
      <w:bookmarkEnd w:id="662"/>
      <w:r/>
      <w:bookmarkEnd w:id="663"/>
      <w:r/>
      <w:bookmarkEnd w:id="664"/>
      <w:r/>
      <w:bookmarkEnd w:id="665"/>
      <w:r/>
      <w:bookmarkEnd w:id="666"/>
      <w:r/>
      <w:bookmarkEnd w:id="667"/>
      <w:r/>
      <w:bookmarkEnd w:id="668"/>
      <w:r/>
      <w:r>
        <w:rPr>
          <w:rFonts w:ascii="Arial" w:hAnsi="Arial" w:eastAsia="微软雅黑" w:cs="Arial"/>
          <w:b w:val="0"/>
          <w:i w:val="0"/>
          <w:color w:val="4f81bd" w:themeColor="accent1"/>
          <w:sz w:val="22"/>
          <w:szCs w:val="22"/>
          <w14:textFill>
            <w14:solidFill>
              <w14:schemeClr w14:val="accent1"/>
            </w14:solidFill>
          </w14:textFill>
        </w:rPr>
      </w:r>
    </w:p>
    <w:p>
      <w:pPr>
        <w:pStyle w:val="1461"/>
        <w:numPr>
          <w:ilvl w:val="3"/>
          <w:numId w:val="11"/>
        </w:numPr>
        <w:pBdr/>
        <w:spacing w:after="156" w:before="156"/>
        <w:ind w:firstLine="0" w:left="0"/>
        <w:rPr/>
      </w:pPr>
      <w:r/>
      <w:bookmarkStart w:id="669" w:name="_Toc47700087"/>
      <w:r/>
      <w:bookmarkStart w:id="670" w:name="_Toc12559"/>
      <w:r/>
      <w:bookmarkStart w:id="671" w:name="_Toc32745"/>
      <w:r/>
      <w:bookmarkStart w:id="672" w:name="_Toc522015256"/>
      <w:r/>
      <w:bookmarkStart w:id="673" w:name="_Toc76668456"/>
      <w:r/>
      <w:bookmarkStart w:id="674" w:name="_Toc5507"/>
      <w:r/>
      <w:bookmarkStart w:id="675" w:name="_Toc15862"/>
      <w:r>
        <w:t xml:space="preserve">利润水平指标的选择</w:t>
      </w:r>
      <w:bookmarkEnd w:id="669"/>
      <w:r/>
      <w:bookmarkEnd w:id="670"/>
      <w:r/>
      <w:bookmarkEnd w:id="671"/>
      <w:r/>
      <w:bookmarkEnd w:id="672"/>
      <w:r/>
      <w:bookmarkEnd w:id="673"/>
      <w:r/>
      <w:bookmarkEnd w:id="674"/>
      <w:r/>
      <w:bookmarkEnd w:id="675"/>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利润水平指标是衡量利润与产品销售额、发生的成本或所运用的资产之间关系的财务比率。利润水平指标的选择是否恰当取决于被测试方经营活动的性质以及可比企业数据的可靠性。</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根据[2017]6号公告第20条的规定，交易净利润法以可比非关联交易的利润指标确定关联交易的利润。利润指标包括息税前利润率、完全成本加成率、资产收益率、贝里比率等。具体计算公式如下：</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6" w:name="No100_T20K1X1"/>
      <w:r/>
      <w:bookmarkEnd w:id="676"/>
      <w:r>
        <w:rPr>
          <w:rFonts w:ascii="Arial" w:hAnsi="Arial" w:eastAsia="微软雅黑" w:cs="Arial"/>
          <w:sz w:val="22"/>
          <w:szCs w:val="22"/>
        </w:rPr>
        <w:t xml:space="preserve">（一）息税前利润率=息税前利润/营业收入×100%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7" w:name="No101_T20K1X2"/>
      <w:r/>
      <w:bookmarkEnd w:id="677"/>
      <w:r>
        <w:rPr>
          <w:rFonts w:ascii="Arial" w:hAnsi="Arial" w:eastAsia="微软雅黑" w:cs="Arial"/>
          <w:sz w:val="22"/>
          <w:szCs w:val="22"/>
        </w:rPr>
        <w:t xml:space="preserve">（二）完全成本加成率=息税前利润/完全成本×100%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8" w:name="No102_T20K1X3"/>
      <w:r/>
      <w:bookmarkEnd w:id="678"/>
      <w:r>
        <w:rPr>
          <w:rFonts w:ascii="Arial" w:hAnsi="Arial" w:eastAsia="微软雅黑" w:cs="Arial"/>
          <w:sz w:val="22"/>
          <w:szCs w:val="22"/>
        </w:rPr>
        <w:t xml:space="preserve">（三）资产收益率=息税前利润/[（年初资产总额+年末资产总额）/2]×100%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bookmarkStart w:id="679" w:name="No103_T20K1X4"/>
      <w:r/>
      <w:bookmarkEnd w:id="679"/>
      <w:r>
        <w:rPr>
          <w:rFonts w:ascii="Arial" w:hAnsi="Arial" w:eastAsia="微软雅黑" w:cs="Arial"/>
          <w:sz w:val="22"/>
          <w:szCs w:val="22"/>
        </w:rPr>
        <w:t xml:space="preserve">（四）贝里比率=毛利/（营业费用+管理费用）×100%</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完全成本加成率在测试制造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综上所述，我们选择了完全成本加成率作为评估{{清单模板-数据表-B5}}受测关联交易是否符合独立交易原则最合理的利润水平指标。</w:t>
      </w:r>
      <w:r>
        <w:rPr>
          <w:rFonts w:ascii="Arial" w:hAnsi="Arial" w:eastAsia="微软雅黑" w:cs="Arial"/>
          <w:sz w:val="22"/>
          <w:szCs w:val="22"/>
        </w:rPr>
      </w:r>
    </w:p>
    <w:p>
      <w:pPr>
        <w:pStyle w:val="1461"/>
        <w:numPr>
          <w:ilvl w:val="3"/>
          <w:numId w:val="11"/>
        </w:numPr>
        <w:pBdr/>
        <w:spacing w:after="156" w:before="156"/>
        <w:ind w:firstLine="0" w:left="0"/>
        <w:rPr/>
      </w:pPr>
      <w:r/>
      <w:bookmarkStart w:id="680" w:name="_Toc4123"/>
      <w:r/>
      <w:bookmarkStart w:id="681" w:name="_Toc47700088"/>
      <w:r/>
      <w:bookmarkStart w:id="682" w:name="_Toc76668457"/>
      <w:r/>
      <w:bookmarkStart w:id="683" w:name="_Toc735"/>
      <w:r/>
      <w:bookmarkStart w:id="684" w:name="_Toc3962"/>
      <w:r/>
      <w:bookmarkStart w:id="685" w:name="_Toc24197"/>
      <w:r/>
      <w:bookmarkStart w:id="686" w:name="_Toc522015257"/>
      <w:r>
        <w:t xml:space="preserve">多年度数据的使用</w:t>
      </w:r>
      <w:bookmarkEnd w:id="680"/>
      <w:r/>
      <w:bookmarkEnd w:id="681"/>
      <w:r/>
      <w:bookmarkEnd w:id="682"/>
      <w:r/>
      <w:bookmarkEnd w:id="683"/>
      <w:r/>
      <w:bookmarkEnd w:id="684"/>
      <w:r/>
      <w:bookmarkEnd w:id="685"/>
      <w:r/>
      <w:bookmarkEnd w:id="686"/>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w:hAnsi="Arial" w:eastAsia="微软雅黑" w:cs="Arial"/>
          <w:sz w:val="22"/>
          <w:szCs w:val="22"/>
          <w:vertAlign w:val="superscript"/>
        </w:rPr>
        <w:footnoteReference w:id="32"/>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[2017]6号公告第20条特别指出，在使用交易净利润法进行可比性分析时，应特别考察经济周期和产品生命周期。OECD转让定价指南中也就行业和产品生命周期提出了如下准则：</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w:hAnsi="Arial" w:eastAsia="微软雅黑" w:cs="Arial"/>
          <w:sz w:val="22"/>
          <w:szCs w:val="22"/>
          <w:vertAlign w:val="superscript"/>
        </w:rPr>
        <w:footnoteReference w:id="33"/>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为了在交易净利润分析中运用多年度数据，我们通过比较{{清单模板-数据表-B5}}{{清单模板-数据表-B2}}受测关联交易的利润水平和可比公司2021到2023财年的加权平均利润水平，来评估{{清单模板-数据表-B5}}的受测关联交易是否符合独立交易原则。</w:t>
      </w:r>
      <w:r>
        <w:rPr>
          <w:rFonts w:ascii="Arial" w:hAnsi="Arial" w:eastAsia="微软雅黑" w:cs="Arial"/>
          <w:sz w:val="22"/>
          <w:szCs w:val="22"/>
        </w:rPr>
      </w:r>
      <w:r>
        <w:rPr>
          <w:rFonts w:ascii="Arial" w:hAnsi="Arial" w:eastAsia="微软雅黑" w:cs="Arial"/>
          <w:sz w:val="22"/>
          <w:szCs w:val="22"/>
        </w:rPr>
      </w:r>
    </w:p>
    <w:p>
      <w:pPr>
        <w:pStyle w:val="1461"/>
        <w:numPr>
          <w:ilvl w:val="3"/>
          <w:numId w:val="11"/>
        </w:numPr>
        <w:pBdr/>
        <w:spacing w:after="156" w:before="156"/>
        <w:ind w:firstLine="0" w:left="0"/>
        <w:rPr/>
      </w:pPr>
      <w:r/>
      <w:bookmarkStart w:id="687" w:name="_Toc47700089"/>
      <w:r/>
      <w:bookmarkStart w:id="688" w:name="_Toc522015258"/>
      <w:r/>
      <w:bookmarkStart w:id="689" w:name="_Toc25536"/>
      <w:r/>
      <w:bookmarkStart w:id="690" w:name="_Toc25220"/>
      <w:r/>
      <w:bookmarkStart w:id="691" w:name="_Toc26863"/>
      <w:r/>
      <w:bookmarkStart w:id="692" w:name="_Toc76668458"/>
      <w:r/>
      <w:bookmarkStart w:id="693" w:name="_Toc9834"/>
      <w:r>
        <w:t xml:space="preserve">独立交易区间</w:t>
      </w:r>
      <w:bookmarkEnd w:id="687"/>
      <w:r/>
      <w:bookmarkEnd w:id="688"/>
      <w:r/>
      <w:bookmarkEnd w:id="689"/>
      <w:r/>
      <w:bookmarkEnd w:id="690"/>
      <w:r/>
      <w:bookmarkEnd w:id="691"/>
      <w:r/>
      <w:bookmarkEnd w:id="692"/>
      <w:r/>
      <w:bookmarkEnd w:id="693"/>
      <w: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符合独立交易原则的结果通常并不是一个单一的价格或者</w:t>
      </w:r>
      <w:r>
        <w:rPr>
          <w:rFonts w:ascii="Arial" w:hAnsi="Arial" w:eastAsia="微软雅黑" w:cs="Arial"/>
          <w:sz w:val="22"/>
          <w:szCs w:val="22"/>
        </w:rPr>
        <w:t xml:space="preserve">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w:hAnsi="Arial" w:eastAsia="微软雅黑" w:cs="Arial"/>
          <w:sz w:val="22"/>
          <w:szCs w:val="22"/>
          <w:vertAlign w:val="superscript"/>
        </w:rPr>
        <w:footnoteReference w:id="34"/>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章节7.4.3.5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然而应该承认，尽管选定的可比公司已经是可获得的最可比的样本了，在他们与{{清单模板-数据表-B5}}与选定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2021到2023财年期间加权平均完全成本加成率的四分位区间。</w:t>
      </w:r>
      <w:r>
        <w:rPr>
          <w:rFonts w:ascii="Arial" w:hAnsi="Arial" w:eastAsia="微软雅黑" w:cs="Arial"/>
          <w:sz w:val="22"/>
          <w:szCs w:val="22"/>
          <w:vertAlign w:val="superscript"/>
        </w:rPr>
        <w:footnoteReference w:id="35"/>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我们从TP Catalyst数据库（2025年2月版）提取了2021到2023财年每家可比公司的损益表中的信息。被选可比公司的财务信息及完全成本加成率计算详见附件4。</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我们计算了选中的17家可比公司2021到2023财年加权平均完全成本加成率。如下图所示，2021到2023年完全成本加成率的独立交易区间为3.00%(第一四分位数)至12.74% (第三四分位数)，中位值为8.41%。</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图表23：可比企业完全成本加成率四分位区间表</w:t>
      </w:r>
      <w:r>
        <w:rPr>
          <w:rFonts w:ascii="Arial" w:hAnsi="Arial" w:eastAsia="微软雅黑" w:cs="Arial"/>
          <w:bCs w:val="0"/>
          <w:sz w:val="18"/>
          <w:szCs w:val="18"/>
        </w:rPr>
      </w:r>
    </w:p>
    <w:tbl>
      <w:tblPr>
        <w:tblStyle w:val="1293"/>
        <w:tblW w:w="52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1985"/>
        <w:gridCol w:w="3260"/>
      </w:tblGrid>
      <w:tr>
        <w:trPr>
          <w:jc w:val="center"/>
          <w:trHeight w:val="580"/>
        </w:trPr>
        <w:tc>
          <w:tcPr>
            <w:gridSpan w:val="2"/>
            <w:shd w:val="clear" w:color="auto" w:fill="4f81bd" w:themeFill="accent1"/>
            <w:tcBorders/>
            <w:tcW w:w="5245" w:type="dxa"/>
            <w:vAlign w:val="center"/>
            <w:textDirection w:val="lrTb"/>
            <w:noWrap w:val="false"/>
          </w:tcPr>
          <w:p>
            <w:pPr>
              <w:widowControl w:val="false"/>
              <w:pBdr/>
              <w:spacing w:after="0" w:before="0"/>
              <w:ind w:right="0" w:left="0"/>
              <w:jc w:val="center"/>
              <w:rPr>
                <w:rFonts w:ascii="Arial" w:hAnsi="Arial" w:eastAsia="微软雅黑" w:cs="Arial"/>
                <w:b/>
                <w:color w:val="1f497d"/>
                <w:sz w:val="18"/>
                <w:szCs w:val="18"/>
              </w:rPr>
            </w:pPr>
            <w:r>
              <w:rPr>
                <w:rFonts w:ascii="Arial" w:hAnsi="Arial" w:eastAsia="微软雅黑" w:cs="Arial"/>
                <w:b/>
                <w:color w:val="ffffff" w:themeColor="background1"/>
                <w:sz w:val="18"/>
                <w:szCs w:val="18"/>
                <w14:textFill>
                  <w14:solidFill>
                    <w14:schemeClr w14:val="bg1"/>
                  </w14:solidFill>
                </w14:textFill>
              </w:rPr>
              <w:t xml:space="preserve">可比企业完全成本加成率四分位区间</w:t>
            </w:r>
            <w:r>
              <w:rPr>
                <w:rFonts w:ascii="Arial" w:hAnsi="Arial" w:eastAsia="微软雅黑" w:cs="Arial"/>
                <w:b/>
                <w:color w:val="1f497d"/>
                <w:sz w:val="18"/>
                <w:szCs w:val="18"/>
              </w:rPr>
            </w:r>
          </w:p>
        </w:tc>
      </w:tr>
      <w:tr>
        <w:trPr>
          <w:jc w:val="center"/>
          <w:trHeight w:val="532"/>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类型</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2021-2023年加权平均</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最高值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{{BVD数据模板-SummaryYear-MAX}}</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上四分位值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{{BVD数据模板-SummaryYear-UQ}}</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中位值</w:t>
            </w:r>
            <w:r>
              <w:rPr>
                <w:rFonts w:ascii="Arial" w:hAnsi="Arial" w:eastAsia="微软雅黑" w:cs="Arial"/>
                <w:b/>
                <w:bCs/>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b/>
                <w:bCs/>
                <w:sz w:val="18"/>
                <w:szCs w:val="18"/>
              </w:rPr>
            </w:pPr>
            <w:r>
              <w:rPr>
                <w:rFonts w:ascii="Arial" w:hAnsi="Arial" w:eastAsia="微软雅黑" w:cs="Arial"/>
                <w:b/>
                <w:bCs/>
                <w:sz w:val="18"/>
                <w:szCs w:val="18"/>
              </w:rPr>
              <w:t xml:space="preserve">{{BVD数据模板-SummaryYear-MED}}</w:t>
            </w:r>
            <w:r>
              <w:rPr>
                <w:rFonts w:ascii="Arial" w:hAnsi="Arial" w:eastAsia="微软雅黑" w:cs="Arial"/>
                <w:b/>
                <w:bCs/>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下四分位值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{{BVD数据模板-SummaryYear-LQ}}</w:t>
            </w:r>
            <w:r>
              <w:rPr>
                <w:rFonts w:ascii="Arial" w:hAnsi="Arial" w:eastAsia="微软雅黑" w:cs="Arial"/>
                <w:sz w:val="18"/>
                <w:szCs w:val="18"/>
              </w:rPr>
            </w:r>
          </w:p>
        </w:tc>
      </w:tr>
      <w:tr>
        <w:trPr>
          <w:jc w:val="center"/>
          <w:trHeight w:val="454"/>
        </w:trPr>
        <w:tc>
          <w:tcPr>
            <w:shd w:val="clear" w:color="auto" w:fill="auto"/>
            <w:tcBorders/>
            <w:tcW w:w="1985"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最低值</w:t>
            </w:r>
            <w:r>
              <w:rPr>
                <w:rFonts w:ascii="Arial" w:hAnsi="Arial" w:eastAsia="微软雅黑" w:cs="Arial"/>
                <w:sz w:val="18"/>
                <w:szCs w:val="18"/>
              </w:rPr>
            </w:r>
          </w:p>
        </w:tc>
        <w:tc>
          <w:tcPr>
            <w:shd w:val="clear" w:color="auto" w:fill="auto"/>
            <w:tcBorders/>
            <w:tcW w:w="3260" w:type="dxa"/>
            <w:vAlign w:val="center"/>
            <w:textDirection w:val="lrTb"/>
            <w:noWrap w:val="false"/>
          </w:tcPr>
          <w:p>
            <w:pPr>
              <w:widowControl w:val="false"/>
              <w:pBdr/>
              <w:spacing w:after="0" w:before="0"/>
              <w:ind w:right="0" w:left="0"/>
              <w:jc w:val="center"/>
              <w:rPr>
                <w:rFonts w:ascii="Arial" w:hAnsi="Arial" w:eastAsia="微软雅黑" w:cs="Arial"/>
                <w:sz w:val="18"/>
                <w:szCs w:val="18"/>
              </w:rPr>
            </w:pPr>
            <w:r>
              <w:rPr>
                <w:rFonts w:ascii="Arial" w:hAnsi="Arial" w:eastAsia="微软雅黑" w:cs="Arial"/>
                <w:sz w:val="18"/>
                <w:szCs w:val="18"/>
              </w:rPr>
              <w:t xml:space="preserve">{{BVD数据模板-SummaryYear-MIN}}</w:t>
            </w:r>
            <w:r>
              <w:rPr>
                <w:rFonts w:ascii="Arial" w:hAnsi="Arial" w:eastAsia="微软雅黑" w:cs="Arial"/>
                <w:sz w:val="18"/>
                <w:szCs w:val="18"/>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通过上述交易净利润法分析，2021到2023财年加权平均完全成本加成率独立交易区间为3.00%到12.74%，中位值为8.41%。{{清单模板-数据表-B5}}在关联销售中的完全成本加成率为22.93%，在非关联销售中的完全成本加成率为21.63%，均高于可比公司完全成本加成率的中位值。</w:t>
      </w:r>
      <w:r>
        <w:rPr>
          <w:rFonts w:ascii="Arial" w:hAnsi="Arial" w:eastAsia="微软雅黑" w:cs="Arial"/>
          <w:sz w:val="22"/>
          <w:szCs w:val="22"/>
        </w:rPr>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因此，从中国转让定价的角度，{{清单模板-数据表-B5}}的关联交易的定价符合独立交易原则。</w:t>
      </w:r>
      <w:r>
        <w:rPr>
          <w:rFonts w:ascii="Arial" w:hAnsi="Arial" w:eastAsia="微软雅黑" w:cs="Arial"/>
          <w:sz w:val="22"/>
          <w:szCs w:val="22"/>
        </w:rPr>
      </w:r>
      <w:r>
        <w:rPr>
          <w:rFonts w:ascii="Arial" w:hAnsi="Arial" w:eastAsia="微软雅黑" w:cs="Arial"/>
          <w:sz w:val="22"/>
          <w:szCs w:val="22"/>
        </w:rPr>
      </w:r>
    </w:p>
    <w:p>
      <w:pPr>
        <w:pStyle w:val="1315"/>
        <w:numPr>
          <w:ilvl w:val="1"/>
          <w:numId w:val="11"/>
        </w:numPr>
        <w:pBdr/>
        <w:spacing w:after="156" w:before="156"/>
        <w:ind w:firstLine="0" w:left="0"/>
        <w:rPr>
          <w:rFonts w:ascii="Arial" w:hAnsi="Arial" w:eastAsia="微软雅黑" w:cs="Arial"/>
          <w:b w:val="0"/>
          <w:i w:val="0"/>
          <w:color w:val="4f81bd" w:themeColor="accent1"/>
          <w:sz w:val="22"/>
          <w:szCs w:val="22"/>
          <w14:textFill>
            <w14:solidFill>
              <w14:schemeClr w14:val="accent1"/>
            </w14:solidFill>
          </w14:textFill>
        </w:rPr>
      </w:pPr>
      <w:r/>
      <w:bookmarkStart w:id="694" w:name="_Toc20274"/>
      <w:r/>
      <w:bookmarkStart w:id="695" w:name="_Toc6438"/>
      <w:r/>
      <w:bookmarkStart w:id="696" w:name="_Toc76668459"/>
      <w:r/>
      <w:bookmarkStart w:id="697" w:name="_Toc47700090"/>
      <w:r/>
      <w:bookmarkStart w:id="698" w:name="_Toc202797607"/>
      <w:r>
        <w:rPr>
          <w:rFonts w:ascii="Arial" w:hAnsi="Arial" w:eastAsia="微软雅黑" w:cs="Arial"/>
          <w:b w:val="0"/>
          <w:i w:val="0"/>
          <w:color w:val="4f81bd" w:themeColor="accent1"/>
          <w:sz w:val="22"/>
          <w:szCs w:val="22"/>
          <w14:textFill>
            <w14:solidFill>
              <w14:schemeClr w14:val="accent1"/>
            </w14:solidFill>
          </w14:textFill>
        </w:rPr>
        <w:t xml:space="preserve">集团资金融通</w:t>
      </w:r>
      <w:bookmarkEnd w:id="694"/>
      <w:r/>
      <w:bookmarkEnd w:id="695"/>
      <w:r/>
      <w:bookmarkEnd w:id="696"/>
      <w:r/>
      <w:bookmarkEnd w:id="697"/>
      <w:r/>
      <w:bookmarkEnd w:id="698"/>
      <w:r/>
      <w:r>
        <w:rPr>
          <w:rFonts w:ascii="Arial" w:hAnsi="Arial" w:eastAsia="微软雅黑" w:cs="Arial"/>
          <w:b w:val="0"/>
          <w:i w:val="0"/>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如之前章节所述，参与集团现金池的成员为经营稳定的{{清单模板-数据表-B5}}的国内关联公司，因此现金池存在的风险有限。银行作为值得信赖的独立性机构，负责管理集团现金池各成员账户余额，并计算现金池发生的资金借贷相关的利息。</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评估期间，根据斯必克流体参与的集团现金池协议，{{清单模板-数据表-B2}}现金池适用的贷款利率为0.50%。如果参与现金池的集团成员公司需要流动资金，并且选择向银行申请贷款，适用的利率水平为下表所示一年内人民币贷款基准利率。比较可见，现金池适用的贷款利率低于同期短期人民币贷款基准利率及贷款市场报价利率（“LPR”），即需要资金的集团成员公司可以以比从银行借款更优惠的资金使用成本从关联方借入资金。</w:t>
      </w:r>
      <w:r>
        <w:rPr>
          <w:rFonts w:ascii="Arial" w:hAnsi="Arial" w:eastAsia="微软雅黑" w:cs="Arial"/>
          <w:sz w:val="22"/>
          <w:szCs w:val="22"/>
        </w:rPr>
      </w:r>
      <w:r>
        <w:rPr>
          <w:rFonts w:ascii="Arial" w:hAnsi="Arial" w:eastAsia="微软雅黑" w:cs="Arial"/>
          <w:sz w:val="22"/>
          <w:szCs w:val="22"/>
        </w:rPr>
      </w:r>
    </w:p>
    <w:p>
      <w:pPr>
        <w:pBdr/>
        <w:spacing w:after="0" w:before="0"/>
        <w:ind w:right="0" w:left="0"/>
        <w:jc w:val="left"/>
        <w:rPr>
          <w:rFonts w:ascii="Arial" w:hAnsi="Arial" w:eastAsia="微软雅黑" w:cs="Arial"/>
          <w:b/>
          <w:sz w:val="18"/>
          <w:szCs w:val="18"/>
        </w:rPr>
      </w:pPr>
      <w:r>
        <w:rPr>
          <w:rFonts w:ascii="Arial" w:hAnsi="Arial" w:eastAsia="微软雅黑" w:cs="Arial"/>
          <w:bCs/>
          <w:sz w:val="18"/>
          <w:szCs w:val="18"/>
        </w:rPr>
        <w:br w:type="page" w:clear="all"/>
      </w:r>
      <w:r>
        <w:rPr>
          <w:rFonts w:ascii="Arial" w:hAnsi="Arial" w:eastAsia="微软雅黑" w:cs="Arial"/>
          <w:b/>
          <w:sz w:val="18"/>
          <w:szCs w:val="18"/>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图表24：中国人民银行{{清单模板-数据表-B2}}贷款利率与现金池委托贷款利率比较</w:t>
      </w:r>
      <w:r>
        <w:rPr>
          <w:rFonts w:ascii="Arial" w:hAnsi="Arial" w:eastAsia="微软雅黑" w:cs="Arial"/>
          <w:bCs w:val="0"/>
          <w:sz w:val="18"/>
          <w:szCs w:val="18"/>
          <w:vertAlign w:val="superscript"/>
        </w:rPr>
        <w:footnoteReference w:id="36"/>
      </w:r>
      <w:r>
        <w:rPr>
          <w:rFonts w:ascii="Arial" w:hAnsi="Arial" w:eastAsia="微软雅黑" w:cs="Arial"/>
          <w:bCs w:val="0"/>
          <w:sz w:val="18"/>
          <w:szCs w:val="18"/>
        </w:rPr>
      </w:r>
    </w:p>
    <w:tbl>
      <w:tblPr>
        <w:tblStyle w:val="131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1863"/>
        <w:gridCol w:w="2064"/>
        <w:gridCol w:w="2330"/>
        <w:gridCol w:w="2265"/>
      </w:tblGrid>
      <w:tr>
        <w:trPr>
          <w:trHeight w:val="567"/>
        </w:trPr>
        <w:tc>
          <w:tcPr>
            <w:shd w:val="clear" w:color="auto" w:fill="4f81bd" w:themeFill="accent1"/>
            <w:tcBorders/>
            <w:tcW w:w="1093"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{{清单模板-2_关联公司信息}}</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211"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67"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1329" w:type="pct"/>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bl>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同时，评估期间，如果现金池成员公司希望在保证资金流动性的前提下运用闲置资金，适用的银行同期活期存款的市场利率如下表所示。根据现金池协议，{{清单模板-数据表-B2}}现金池适用的存款利率为0.50%。这一利率高于同期活期存款的市场利率，即富余资金的集团成员公司可以获取比存入银行更高的资金收益向关联方借出资金。</w:t>
      </w:r>
      <w:r>
        <w:rPr>
          <w:rFonts w:ascii="Arial" w:hAnsi="Arial" w:eastAsia="微软雅黑" w:cs="Arial"/>
          <w:sz w:val="22"/>
          <w:szCs w:val="22"/>
        </w:rPr>
      </w:r>
      <w:r>
        <w:rPr>
          <w:rFonts w:ascii="Arial" w:hAnsi="Arial" w:eastAsia="微软雅黑" w:cs="Arial"/>
          <w:sz w:val="22"/>
          <w:szCs w:val="22"/>
        </w:rPr>
      </w:r>
    </w:p>
    <w:p>
      <w:pPr>
        <w:pStyle w:val="1295"/>
        <w:pBdr/>
        <w:spacing/>
        <w:ind/>
        <w:jc w:val="center"/>
        <w:rPr>
          <w:rFonts w:ascii="Arial" w:hAnsi="Arial" w:eastAsia="微软雅黑" w:cs="Arial"/>
          <w:bCs w:val="0"/>
          <w:sz w:val="18"/>
          <w:szCs w:val="18"/>
        </w:rPr>
      </w:pPr>
      <w:r>
        <w:rPr>
          <w:rFonts w:ascii="Arial" w:hAnsi="Arial" w:eastAsia="微软雅黑" w:cs="Arial"/>
          <w:bCs w:val="0"/>
          <w:sz w:val="18"/>
          <w:szCs w:val="18"/>
        </w:rPr>
        <w:t xml:space="preserve">图表25：中国人民银行{{清单模板-数据表-B2}}存款利率与现金池委托存款利率比较</w:t>
      </w:r>
      <w:r>
        <w:rPr>
          <w:rFonts w:ascii="Arial" w:hAnsi="Arial" w:eastAsia="微软雅黑" w:cs="Arial"/>
          <w:bCs w:val="0"/>
          <w:sz w:val="18"/>
          <w:szCs w:val="18"/>
          <w:vertAlign w:val="superscript"/>
        </w:rPr>
        <w:footnoteReference w:id="37"/>
      </w:r>
      <w:r>
        <w:rPr>
          <w:rFonts w:ascii="Arial" w:hAnsi="Arial" w:eastAsia="微软雅黑" w:cs="Arial"/>
          <w:bCs w:val="0"/>
          <w:sz w:val="18"/>
          <w:szCs w:val="18"/>
        </w:rPr>
      </w:r>
    </w:p>
    <w:tbl>
      <w:tblPr>
        <w:tblStyle w:val="1317"/>
        <w:tblW w:w="8364"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top w:w="0" w:type="dxa"/>
          <w:right w:w="108" w:type="dxa"/>
          <w:bottom w:w="0" w:type="dxa"/>
        </w:tblCellMar>
        <w:tblLook w:val="04A0" w:firstRow="1" w:lastRow="0" w:firstColumn="1" w:lastColumn="0" w:noHBand="0" w:noVBand="1"/>
      </w:tblPr>
      <w:tblGrid>
        <w:gridCol w:w="2552"/>
        <w:gridCol w:w="3307"/>
        <w:gridCol w:w="2505"/>
      </w:tblGrid>
      <w:tr>
        <w:trPr>
          <w:trHeight w:val="567"/>
        </w:trPr>
        <w:tc>
          <w:tcPr>
            <w:shd w:val="clear" w:color="auto" w:fill="4f81bd" w:themeFill="accent1"/>
            <w:tcBorders/>
            <w:tcW w:w="2552"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评估期间</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3307"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活期存款利率</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505" w:type="dxa"/>
            <w:vAlign w:val="center"/>
            <w:textDirection w:val="lrTb"/>
            <w:noWrap w:val="false"/>
          </w:tcPr>
          <w:p>
            <w:pPr>
              <w:widowControl w:val="false"/>
              <w:pBdr/>
              <w:spacing/>
              <w:ind/>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集团现金池存款利率</w:t>
            </w:r>
            <w:r>
              <w:rPr>
                <w:rFonts w:ascii="Arial" w:hAnsi="Arial" w:eastAsia="微软雅黑" w:cs="Arial"/>
                <w:b/>
                <w:color w:val="ffffff" w:themeColor="background1"/>
                <w:sz w:val="18"/>
                <w:szCs w:val="18"/>
                <w14:textFill>
                  <w14:solidFill>
                    <w14:schemeClr w14:val="bg1"/>
                  </w14:solidFill>
                </w14:textFill>
              </w:rPr>
            </w:r>
          </w:p>
        </w:tc>
      </w:tr>
      <w:tr>
        <w:trPr>
          <w:trHeight w:val="567"/>
        </w:trPr>
        <w:tc>
          <w:tcPr>
            <w:shd w:val="clear" w:color="auto" w:fill="auto"/>
            <w:tcBorders/>
            <w:tcW w:w="2552"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{{清单模板-数据表-B2}}</w:t>
            </w:r>
            <w:r>
              <w:rPr>
                <w:rFonts w:ascii="Arial" w:hAnsi="Arial" w:eastAsia="微软雅黑" w:cs="Arial"/>
                <w:sz w:val="18"/>
                <w:szCs w:val="18"/>
              </w:rPr>
            </w:r>
          </w:p>
        </w:tc>
        <w:tc>
          <w:tcPr>
            <w:shd w:val="clear" w:color="auto" w:fill="auto"/>
            <w:tcBorders/>
            <w:tcW w:w="3307"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0.35%</w:t>
            </w:r>
            <w:r>
              <w:rPr>
                <w:rFonts w:ascii="Arial" w:hAnsi="Arial" w:eastAsia="微软雅黑" w:cs="Arial"/>
                <w:sz w:val="18"/>
                <w:szCs w:val="18"/>
              </w:rPr>
            </w:r>
          </w:p>
        </w:tc>
        <w:tc>
          <w:tcPr>
            <w:shd w:val="clear" w:color="auto" w:fill="auto"/>
            <w:tcBorders/>
            <w:tcW w:w="2505" w:type="dxa"/>
            <w:vAlign w:val="center"/>
            <w:textDirection w:val="lrTb"/>
            <w:noWrap w:val="false"/>
          </w:tcPr>
          <w:p>
            <w:pPr>
              <w:widowControl w:val="false"/>
              <w:pBdr/>
              <w:spacing/>
              <w:ind/>
              <w:jc w:val="center"/>
              <w:rPr>
                <w:rFonts w:ascii="Arial" w:hAnsi="Arial" w:eastAsia="微软雅黑" w:cs="Arial"/>
                <w:sz w:val="18"/>
                <w:szCs w:val="18"/>
              </w:rPr>
            </w:pPr>
            <w:r>
              <w:rPr>
                <w:rFonts w:ascii="Arial" w:hAnsi="Arial" w:eastAsia="微软雅黑" w:cs="Arial"/>
                <w:sz w:val="18"/>
                <w:szCs w:val="18"/>
              </w:rPr>
              <w:t xml:space="preserve">0.50%</w:t>
            </w:r>
            <w:r>
              <w:rPr>
                <w:rFonts w:ascii="Arial" w:hAnsi="Arial" w:eastAsia="微软雅黑" w:cs="Arial"/>
                <w:sz w:val="18"/>
                <w:szCs w:val="18"/>
              </w:rPr>
            </w:r>
          </w:p>
        </w:tc>
      </w:tr>
    </w:tbl>
    <w:p>
      <w:pPr>
        <w:pBdr/>
        <w:spacing w:after="156" w:before="156"/>
        <w:ind w:firstLine="440"/>
        <w:rPr>
          <w:rFonts w:ascii="Arial" w:hAnsi="Arial" w:eastAsia="微软雅黑" w:cs="Arial"/>
          <w:color w:val="3f9c35"/>
          <w:sz w:val="28"/>
          <w:szCs w:val="22"/>
        </w:rPr>
      </w:pPr>
      <w:r>
        <w:rPr>
          <w:rFonts w:ascii="Arial" w:hAnsi="Arial" w:eastAsia="微软雅黑" w:cs="Arial"/>
          <w:sz w:val="22"/>
          <w:szCs w:val="22"/>
        </w:rPr>
        <w:t xml:space="preserve">综上，集团现金池的设立及安排对资金富余方及资金需求方而言，都较无集团现金池的安排更为有利。因此，集团现金池的资金融通交易符合独立交易的原则。</w:t>
      </w:r>
      <w:r>
        <w:rPr>
          <w:rFonts w:ascii="Arial" w:hAnsi="Arial" w:eastAsia="微软雅黑" w:cs="Arial"/>
          <w:color w:val="3f9c35"/>
          <w:sz w:val="28"/>
          <w:szCs w:val="22"/>
        </w:rPr>
      </w:r>
    </w:p>
    <w:p>
      <w:pPr>
        <w:pBdr/>
        <w:spacing w:after="0" w:before="0"/>
        <w:ind w:right="0" w:left="0"/>
        <w:jc w:val="left"/>
        <w:rPr>
          <w:rFonts w:ascii="Arial" w:hAnsi="Arial" w:eastAsia="微软雅黑" w:cs="Arial"/>
          <w:color w:val="3f9c35"/>
          <w:sz w:val="28"/>
          <w:szCs w:val="22"/>
        </w:rPr>
      </w:pPr>
      <w:r/>
      <w:bookmarkStart w:id="699" w:name="_Toc4739"/>
      <w:r/>
      <w:bookmarkStart w:id="700" w:name="_Toc76668460"/>
      <w:r/>
      <w:bookmarkStart w:id="701" w:name="_Toc47700091"/>
      <w:r/>
      <w:bookmarkStart w:id="702" w:name="_Toc522015259"/>
      <w:r/>
      <w:bookmarkStart w:id="703" w:name="_Toc16358"/>
      <w:r/>
      <w:bookmarkStart w:id="704" w:name="_Toc10869"/>
      <w:r>
        <w:rPr>
          <w:rFonts w:ascii="Arial" w:hAnsi="Arial" w:eastAsia="微软雅黑" w:cs="Arial"/>
          <w:color w:val="3f9c35"/>
          <w:sz w:val="28"/>
          <w:szCs w:val="22"/>
        </w:rPr>
        <w:br w:type="page" w:clear="all"/>
      </w:r>
      <w:r>
        <w:rPr>
          <w:rFonts w:ascii="Arial" w:hAnsi="Arial" w:eastAsia="微软雅黑" w:cs="Arial"/>
          <w:color w:val="3f9c35"/>
          <w:sz w:val="28"/>
          <w:szCs w:val="22"/>
        </w:rPr>
      </w:r>
    </w:p>
    <w:p>
      <w:pPr>
        <w:pStyle w:val="1384"/>
        <w:numPr>
          <w:ilvl w:val="0"/>
          <w:numId w:val="11"/>
        </w:numPr>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5" w:name="_Toc202797608"/>
      <w:r>
        <w:rPr>
          <w:rFonts w:ascii="Arial" w:hAnsi="Arial" w:eastAsia="微软雅黑" w:cs="Arial"/>
          <w:color w:val="4f81bd" w:themeColor="accent1"/>
          <w:sz w:val="28"/>
          <w:szCs w:val="22"/>
          <w14:textFill>
            <w14:solidFill>
              <w14:schemeClr w14:val="accent1"/>
            </w14:solidFill>
          </w14:textFill>
        </w:rPr>
        <w:t xml:space="preserve">结论</w:t>
      </w:r>
      <w:bookmarkEnd w:id="699"/>
      <w:r/>
      <w:bookmarkEnd w:id="700"/>
      <w:r/>
      <w:bookmarkEnd w:id="701"/>
      <w:r/>
      <w:bookmarkEnd w:id="702"/>
      <w:r/>
      <w:bookmarkEnd w:id="703"/>
      <w:r/>
      <w:bookmarkEnd w:id="704"/>
      <w:r/>
      <w:bookmarkEnd w:id="705"/>
      <w:r/>
      <w:r>
        <w:rPr>
          <w:rFonts w:ascii="Arial" w:hAnsi="Arial" w:eastAsia="微软雅黑" w:cs="Arial"/>
          <w:color w:val="4f81bd" w:themeColor="accent1"/>
          <w:sz w:val="28"/>
          <w:szCs w:val="22"/>
          <w14:textFill>
            <w14:solidFill>
              <w14:schemeClr w14:val="accent1"/>
            </w14:solidFill>
          </w14:textFill>
        </w:rPr>
      </w:r>
    </w:p>
    <w:p>
      <w:pPr>
        <w:pBdr/>
        <w:spacing w:after="156" w:before="156"/>
        <w:ind w:firstLine="440"/>
        <w:rPr>
          <w:rFonts w:ascii="Arial" w:hAnsi="Arial" w:eastAsia="微软雅黑" w:cs="Arial"/>
          <w:sz w:val="22"/>
          <w:szCs w:val="22"/>
        </w:rPr>
      </w:pPr>
      <w:r/>
      <w:bookmarkStart w:id="706" w:name="_Toc27375"/>
      <w:r>
        <w:rPr>
          <w:rFonts w:ascii="Arial" w:hAnsi="Arial" w:eastAsia="微软雅黑" w:cs="Arial"/>
          <w:sz w:val="22"/>
          <w:szCs w:val="22"/>
        </w:rPr>
        <w:t xml:space="preserve">根据分析，可比公司2021到2023财年加权平均完全成本加成率独立交易区间为3.00%到12.74%，中位值为8.41%。{{清单模板-数据表-B5}}在关联销售中的完全成本加成率为22.93%，在非关联销售中的完全成本加成率为21.63%，均高于中位值，因此，从中国转让定价的角度，我们认为{{清单模板-数据表-B5}}的受测关联交易符合独立交易原则。</w:t>
      </w:r>
      <w:r>
        <w:rPr>
          <w:rFonts w:ascii="Arial" w:hAnsi="Arial" w:eastAsia="微软雅黑" w:cs="Arial"/>
          <w:sz w:val="22"/>
          <w:szCs w:val="22"/>
        </w:rPr>
      </w:r>
      <w:bookmarkEnd w:id="706"/>
      <w:r>
        <w:rPr>
          <w:rFonts w:ascii="Arial" w:hAnsi="Arial" w:eastAsia="微软雅黑" w:cs="Arial"/>
          <w:sz w:val="22"/>
          <w:szCs w:val="22"/>
        </w:rPr>
      </w:r>
    </w:p>
    <w:p>
      <w:pPr>
        <w:pBdr/>
        <w:spacing w:after="156" w:before="156"/>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07" w:name="_Toc522015260"/>
      <w:r/>
      <w:bookmarkStart w:id="708" w:name="_Toc13519"/>
      <w:r/>
      <w:bookmarkStart w:id="709" w:name="_Toc47700092"/>
      <w:r/>
      <w:bookmarkStart w:id="710" w:name="_Toc76668461"/>
      <w:r/>
      <w:bookmarkStart w:id="711" w:name="_Toc202797609"/>
      <w:r/>
      <w:bookmarkStart w:id="712" w:name="_Toc31924"/>
      <w:r>
        <w:rPr>
          <w:rFonts w:ascii="Arial" w:hAnsi="Arial" w:eastAsia="微软雅黑" w:cs="Arial"/>
          <w:color w:val="4f81bd" w:themeColor="accent1"/>
          <w:sz w:val="28"/>
          <w:szCs w:val="22"/>
          <w14:textFill>
            <w14:solidFill>
              <w14:schemeClr w14:val="accent1"/>
            </w14:solidFill>
          </w14:textFill>
        </w:rPr>
        <w:t xml:space="preserve">附件列表</w:t>
      </w:r>
      <w:bookmarkEnd w:id="707"/>
      <w:r>
        <w:rPr>
          <w:rFonts w:ascii="Arial" w:hAnsi="Arial" w:eastAsia="微软雅黑" w:cs="Arial"/>
          <w:color w:val="4f81bd" w:themeColor="accent1"/>
          <w:sz w:val="28"/>
          <w:szCs w:val="22"/>
          <w14:textFill>
            <w14:solidFill>
              <w14:schemeClr w14:val="accent1"/>
            </w14:solidFill>
          </w14:textFill>
        </w:rPr>
      </w:r>
      <w:bookmarkEnd w:id="708"/>
      <w:r/>
      <w:bookmarkEnd w:id="709"/>
      <w:r/>
      <w:bookmarkEnd w:id="710"/>
      <w:r/>
      <w:bookmarkEnd w:id="711"/>
      <w:r/>
      <w:bookmarkEnd w:id="712"/>
      <w:r/>
      <w:r>
        <w:rPr>
          <w:rFonts w:ascii="Arial" w:hAnsi="Arial" w:eastAsia="微软雅黑" w:cs="Arial"/>
          <w:color w:val="4f81bd" w:themeColor="accent1"/>
          <w:sz w:val="28"/>
          <w:szCs w:val="22"/>
          <w14:textFill>
            <w14:solidFill>
              <w14:schemeClr w14:val="accent1"/>
            </w14:solidFill>
          </w14:textFill>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附件1转让定价方法简介</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附件2企业年度关联交易财务状况分析表</w:t>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ascii="Arial" w:hAnsi="Arial" w:eastAsia="微软雅黑" w:cs="Arial"/>
          <w:sz w:val="22"/>
          <w:szCs w:val="22"/>
        </w:rPr>
        <w:t xml:space="preserve">附件3可比公司业务描述</w:t>
      </w:r>
      <w:r>
        <w:rPr>
          <w:rFonts w:hint="eastAsia" w:ascii="Arial" w:hAnsi="Arial" w:eastAsia="微软雅黑" w:cs="Arial"/>
          <w:sz w:val="22"/>
          <w:szCs w:val="22"/>
        </w:rPr>
      </w:r>
      <w:r>
        <w:rPr>
          <w:rFonts w:ascii="Arial" w:hAnsi="Arial" w:eastAsia="微软雅黑" w:cs="Arial"/>
          <w:sz w:val="22"/>
          <w:szCs w:val="22"/>
        </w:rPr>
      </w:r>
    </w:p>
    <w:p>
      <w:pPr>
        <w:pBdr/>
        <w:spacing w:after="156" w:before="156"/>
        <w:ind w:right="0" w:firstLine="22" w:left="0"/>
        <w:rPr>
          <w:rFonts w:ascii="Arial" w:hAnsi="Arial" w:eastAsia="微软雅黑" w:cs="Arial"/>
          <w:sz w:val="22"/>
          <w:szCs w:val="22"/>
        </w:rPr>
      </w:pPr>
      <w:r>
        <w:rPr>
          <w:rFonts w:hint="eastAsia" w:ascii="Arial" w:hAnsi="Arial" w:eastAsia="微软雅黑" w:cs="Arial"/>
          <w:sz w:val="22"/>
          <w:szCs w:val="22"/>
        </w:rPr>
        <w:t xml:space="preserve">附件4可比公司财务信息</w:t>
      </w:r>
      <w:r>
        <w:rPr>
          <w:rFonts w:ascii="Arial" w:hAnsi="Arial" w:eastAsia="微软雅黑" w:cs="Arial"/>
          <w:sz w:val="22"/>
          <w:szCs w:val="22"/>
        </w:rPr>
      </w:r>
    </w:p>
    <w:p>
      <w:pPr>
        <w:pBdr/>
        <w:spacing/>
        <w:ind/>
        <w:rPr>
          <w:rFonts w:ascii="Arial" w:hAnsi="Arial" w:eastAsia="微软雅黑" w:cs="Arial"/>
          <w:sz w:val="22"/>
          <w:szCs w:val="22"/>
        </w:rPr>
      </w:pPr>
      <w:r>
        <w:rPr>
          <w:rFonts w:ascii="Arial" w:hAnsi="Arial" w:eastAsia="微软雅黑" w:cs="Arial"/>
          <w:sz w:val="22"/>
          <w:szCs w:val="22"/>
        </w:rPr>
        <w:br w:type="page" w:clear="all"/>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13" w:name="_Toc28500"/>
      <w:r/>
      <w:bookmarkStart w:id="714" w:name="_Toc202797610"/>
      <w:r/>
      <w:bookmarkStart w:id="715" w:name="_Toc12335"/>
      <w:r/>
      <w:bookmarkStart w:id="716" w:name="_Toc76668462"/>
      <w:r/>
      <w:bookmarkStart w:id="717" w:name="_Toc47700093"/>
      <w:r/>
      <w:bookmarkStart w:id="718" w:name="_Toc522015262"/>
      <w:r>
        <w:rPr>
          <w:rFonts w:ascii="Arial" w:hAnsi="Arial" w:eastAsia="微软雅黑" w:cs="Arial"/>
          <w:color w:val="4f81bd" w:themeColor="accent1"/>
          <w:sz w:val="28"/>
          <w:szCs w:val="22"/>
          <w14:textFill>
            <w14:solidFill>
              <w14:schemeClr w14:val="accent1"/>
            </w14:solidFill>
          </w14:textFill>
        </w:rPr>
        <w:t xml:space="preserve">附件1转让定价方法简介</w:t>
      </w:r>
      <w:bookmarkEnd w:id="713"/>
      <w:r/>
      <w:bookmarkEnd w:id="714"/>
      <w:r/>
      <w:bookmarkEnd w:id="715"/>
      <w:r/>
      <w:bookmarkEnd w:id="716"/>
      <w:r/>
      <w:bookmarkEnd w:id="717"/>
      <w:r/>
      <w:bookmarkEnd w:id="718"/>
      <w:r/>
      <w:bookmarkStart w:id="737" w:name="_GoBack"/>
      <w:r/>
      <w:bookmarkEnd w:id="737"/>
      <w:r/>
      <w:bookmarkStart w:id="719" w:name="_Hlk417658624"/>
      <w:r/>
      <w:bookmarkEnd w:id="719"/>
      <w:r>
        <w:rPr>
          <w:rFonts w:ascii="Arial" w:hAnsi="Arial" w:eastAsia="微软雅黑" w:cs="Arial"/>
          <w:color w:val="4f81bd" w:themeColor="accent1"/>
          <w:sz w:val="28"/>
          <w:szCs w:val="22"/>
          <w14:textFill>
            <w14:solidFill>
              <w14:schemeClr w14:val="accent1"/>
            </w14:solidFill>
          </w14:textFill>
        </w:rPr>
      </w:r>
    </w:p>
    <w:p>
      <w:pPr>
        <w:pBdr/>
        <w:spacing/>
        <w:ind/>
        <w:rPr>
          <w:rFonts w:ascii="Arial" w:hAnsi="Arial" w:eastAsia="微软雅黑" w:cs="Arial"/>
          <w:b/>
          <w:bCs/>
          <w:i/>
          <w:color w:val="4f81bd" w:themeColor="accent1"/>
          <w:sz w:val="22"/>
          <w:szCs w:val="28"/>
          <w14:textFill>
            <w14:solidFill>
              <w14:schemeClr w14:val="accent1"/>
            </w14:solidFill>
          </w14:textFill>
        </w:rPr>
      </w:pPr>
      <w:r>
        <w:rPr>
          <w:rFonts w:ascii="Arial" w:hAnsi="Arial" w:eastAsia="微软雅黑" w:cs="Arial"/>
          <w:b/>
          <w:bCs/>
          <w:i/>
          <w:color w:val="4f81bd" w:themeColor="accent1"/>
          <w:sz w:val="22"/>
          <w:szCs w:val="28"/>
          <w14:textFill>
            <w14:solidFill>
              <w14:schemeClr w14:val="accent1"/>
            </w14:solidFill>
          </w14:textFill>
        </w:rPr>
        <w:t xml:space="preserve">可比非受控价格法</w:t>
      </w:r>
      <w:r>
        <w:rPr>
          <w:rFonts w:ascii="Arial" w:hAnsi="Arial" w:eastAsia="微软雅黑" w:cs="Arial"/>
          <w:b/>
          <w:bCs/>
          <w:i/>
          <w:color w:val="4f81bd" w:themeColor="accent1"/>
          <w:sz w:val="22"/>
          <w:szCs w:val="28"/>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再销售价格法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[2017]6号公告第18条规定，再销售价格法通常适用于以下交易：</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“再销售者未对商品进行改变外型、性能、结构或更换商标等实质性增值加工的简单加工或单纯的购销业务。”</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成本加成法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交易净利润法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[2017]6号公告第20条规定，交易净利润法是以可比非关联交易的利润水平指标确定关联交易的净利润。</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交易净利润法较其它传统转让定价方法有其明显的优势，《OECD转让定价指南》2.62章节指出:</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“…净利润指标2承受受控和非受控交易之间的某些功能差别。企业所发挥功能方面的差异，通常反映在营业费用的不同上。”</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利润分割法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[2017]6号公告第21条的规定，利润分割法一般分为以下2种：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r>
        <w:rPr>
          <w:rFonts w:ascii="Arial" w:hAnsi="Arial" w:eastAsia="微软雅黑" w:cs="Arial"/>
          <w:sz w:val="22"/>
          <w:szCs w:val="22"/>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剩余利润分割法：剩余利润分割法将关联交易各参与方的合并利润减去分配给各方的常规利润的余额作为剩余利润，再根据各方对剩余利润的贡献程度进行分配。</w:t>
      </w:r>
      <w:r>
        <w:rPr>
          <w:rFonts w:ascii="Arial" w:hAnsi="Arial" w:eastAsia="微软雅黑" w:cs="Arial"/>
          <w:sz w:val="22"/>
          <w:szCs w:val="22"/>
        </w:rPr>
      </w:r>
    </w:p>
    <w:p>
      <w:pPr>
        <w:pBdr/>
        <w:spacing/>
        <w:ind/>
        <w:rPr>
          <w:rFonts w:ascii="Arial" w:hAnsi="Arial" w:eastAsia="微软雅黑" w:cs="Arial"/>
          <w:b/>
          <w:bCs/>
          <w:i/>
          <w:color w:val="4f81bd" w:themeColor="accent1"/>
          <w:sz w:val="22"/>
          <w:szCs w:val="22"/>
          <w14:textFill>
            <w14:solidFill>
              <w14:schemeClr w14:val="accent1"/>
            </w14:solidFill>
          </w14:textFill>
        </w:rPr>
      </w:pPr>
      <w:r/>
      <w:bookmarkStart w:id="720" w:name="OLE_LINK4"/>
      <w:r>
        <w:rPr>
          <w:rFonts w:ascii="Arial" w:hAnsi="Arial" w:eastAsia="微软雅黑" w:cs="Arial"/>
          <w:b/>
          <w:bCs/>
          <w:i/>
          <w:color w:val="4f81bd" w:themeColor="accent1"/>
          <w:sz w:val="22"/>
          <w:szCs w:val="22"/>
          <w14:textFill>
            <w14:solidFill>
              <w14:schemeClr w14:val="accent1"/>
            </w14:solidFill>
          </w14:textFill>
        </w:rPr>
        <w:t xml:space="preserve">其他符合独立交易原则的方法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其他符合独立交易原则的方法包括成本法、市场法和收益法等资产评估方法，以及其他能够反映利润与经济活动发生地和价值创造地相匹配原则的方法。</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成本法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成本法是以替代或者重置原则为基础，通过在当前市场价格下创造一项相似资产所发生的支出确定评估标的价值的评估方法。成本法适用于能够被替代的资产价值评估。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市场法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pPr>
      <w:r>
        <w:rPr>
          <w:rFonts w:ascii="Arial" w:hAnsi="Arial" w:eastAsia="微软雅黑" w:cs="Arial"/>
          <w:sz w:val="22"/>
          <w:szCs w:val="22"/>
        </w:rPr>
        <w:t xml:space="preserve">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r>
        <w:rPr>
          <w:rFonts w:ascii="Arial" w:hAnsi="Arial" w:eastAsia="微软雅黑" w:cs="Arial"/>
          <w:sz w:val="22"/>
          <w:szCs w:val="22"/>
        </w:rPr>
      </w:r>
    </w:p>
    <w:p>
      <w:pPr>
        <w:numPr>
          <w:ilvl w:val="0"/>
          <w:numId w:val="23"/>
        </w:numPr>
        <w:pBdr/>
        <w:spacing w:after="0" w:before="0"/>
        <w:ind w:right="0"/>
        <w:jc w:val="left"/>
        <w:rPr>
          <w:rFonts w:ascii="Arial" w:hAnsi="Arial" w:eastAsia="微软雅黑" w:cs="Arial"/>
          <w:b/>
          <w:bCs/>
          <w:i/>
          <w:color w:val="4f81bd" w:themeColor="accent1"/>
          <w:sz w:val="22"/>
          <w:szCs w:val="22"/>
          <w14:textFill>
            <w14:solidFill>
              <w14:schemeClr w14:val="accent1"/>
            </w14:solidFill>
          </w14:textFill>
        </w:rPr>
      </w:pPr>
      <w:r>
        <w:rPr>
          <w:rFonts w:ascii="Arial" w:hAnsi="Arial" w:eastAsia="微软雅黑" w:cs="Arial"/>
          <w:b/>
          <w:bCs/>
          <w:i/>
          <w:color w:val="4f81bd" w:themeColor="accent1"/>
          <w:sz w:val="22"/>
          <w:szCs w:val="22"/>
          <w14:textFill>
            <w14:solidFill>
              <w14:schemeClr w14:val="accent1"/>
            </w14:solidFill>
          </w14:textFill>
        </w:rPr>
        <w:t xml:space="preserve">收益法</w:t>
      </w:r>
      <w:r>
        <w:rPr>
          <w:rFonts w:ascii="Arial" w:hAnsi="Arial" w:eastAsia="微软雅黑" w:cs="Arial"/>
          <w:b/>
          <w:bCs/>
          <w:i/>
          <w:color w:val="4f81bd" w:themeColor="accent1"/>
          <w:sz w:val="22"/>
          <w:szCs w:val="22"/>
          <w14:textFill>
            <w14:solidFill>
              <w14:schemeClr w14:val="accent1"/>
            </w14:solidFill>
          </w14:textFill>
        </w:rPr>
      </w:r>
    </w:p>
    <w:p>
      <w:pPr>
        <w:pBdr/>
        <w:spacing w:after="156" w:before="156"/>
        <w:ind w:firstLine="440"/>
        <w:rPr>
          <w:rFonts w:ascii="Arial" w:hAnsi="Arial" w:eastAsia="微软雅黑" w:cs="Arial"/>
          <w:sz w:val="22"/>
          <w:szCs w:val="22"/>
        </w:rPr>
        <w:sectPr>
          <w:footnotePr/>
          <w:endnotePr/>
          <w:type w:val="nextPage"/>
          <w:pgSz w:h="16838" w:orient="portrait" w:w="11906"/>
          <w:pgMar w:top="1440" w:right="1800" w:bottom="1440" w:left="1800" w:header="851" w:footer="992" w:gutter="0"/>
          <w:cols w:num="1" w:sep="0" w:space="720" w:equalWidth="1"/>
        </w:sectPr>
      </w:pPr>
      <w:r>
        <w:rPr>
          <w:rFonts w:ascii="Arial" w:hAnsi="Arial" w:eastAsia="微软雅黑" w:cs="Arial"/>
          <w:sz w:val="22"/>
          <w:szCs w:val="22"/>
        </w:rPr>
        <w:t xml:space="preserve">收益法是通过评估标的未来预期收益现值来确定其价值的评估方法。收益法适用于企业整体资产和可预期未来收益的单项资产评估。</w:t>
      </w:r>
      <w:bookmarkEnd w:id="720"/>
      <w:r/>
      <w:bookmarkStart w:id="721" w:name="_Hlk417658642"/>
      <w:r/>
      <w:r>
        <w:rPr>
          <w:rFonts w:ascii="Arial" w:hAnsi="Arial" w:eastAsia="微软雅黑" w:cs="Arial"/>
          <w:sz w:val="22"/>
          <w:szCs w:val="22"/>
        </w:rPr>
      </w:r>
    </w:p>
    <w:p>
      <w:pPr>
        <w:pBdr/>
        <w:spacing w:after="156" w:before="156"/>
        <w:ind w:firstLine="440"/>
        <w:rPr>
          <w:rFonts w:ascii="Arial" w:hAnsi="Arial" w:eastAsia="微软雅黑" w:cs="Arial"/>
          <w:sz w:val="22"/>
          <w:szCs w:val="22"/>
        </w:rPr>
        <w:sectPr>
          <w:footnotePr/>
          <w:endnotePr/>
          <w:type w:val="continuous"/>
          <w:pgSz w:h="16838" w:orient="portrait" w:w="11906"/>
          <w:pgMar w:top="1440" w:right="1800" w:bottom="1440" w:left="180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2" w:name="_Toc47700094"/>
      <w:r/>
      <w:bookmarkStart w:id="723" w:name="_Toc12025"/>
      <w:r/>
      <w:bookmarkStart w:id="724" w:name="_Toc23309"/>
      <w:r/>
      <w:bookmarkStart w:id="725" w:name="_Toc202797611"/>
      <w:r/>
      <w:bookmarkStart w:id="726" w:name="_Toc76668463"/>
      <w:r>
        <w:rPr>
          <w:rFonts w:ascii="Arial" w:hAnsi="Arial" w:eastAsia="微软雅黑" w:cs="Arial"/>
          <w:color w:val="4f81bd" w:themeColor="accent1"/>
          <w:sz w:val="28"/>
          <w:szCs w:val="22"/>
          <w14:textFill>
            <w14:solidFill>
              <w14:schemeClr w14:val="accent1"/>
            </w14:solidFill>
          </w14:textFill>
        </w:rPr>
        <w:t xml:space="preserve">附件2企业年度关联交易财务状况分析表</w:t>
      </w:r>
      <w:bookmarkEnd w:id="722"/>
      <w:r/>
      <w:bookmarkEnd w:id="723"/>
      <w:r/>
      <w:bookmarkEnd w:id="724"/>
      <w:r/>
      <w:bookmarkEnd w:id="725"/>
      <w:r/>
      <w:bookmarkEnd w:id="726"/>
      <w:r/>
      <w:r>
        <w:rPr>
          <w:rFonts w:ascii="Arial" w:hAnsi="Arial" w:eastAsia="微软雅黑" w:cs="Arial"/>
          <w:color w:val="4f81bd" w:themeColor="accent1"/>
          <w:sz w:val="28"/>
          <w:szCs w:val="22"/>
          <w14:textFill>
            <w14:solidFill>
              <w14:schemeClr w14:val="accent1"/>
            </w14:solidFill>
          </w14:textFill>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下表中的财务数据均由{{清单模板-数据表-B5}}提供，所有金额均以人民币元为单位。</w:t>
      </w:r>
      <w:r>
        <w:rPr>
          <w:rFonts w:ascii="Arial" w:hAnsi="Arial" w:eastAsia="微软雅黑" w:cs="Arial"/>
          <w:sz w:val="22"/>
          <w:szCs w:val="22"/>
        </w:rPr>
      </w:r>
    </w:p>
    <w:p>
      <w:pPr>
        <w:pBdr/>
        <w:spacing w:after="163" w:before="163"/>
        <w:ind w:right="0" w:firstLine="440" w:left="0"/>
        <w:rPr>
          <w:rFonts w:ascii="Arial" w:hAnsi="Arial" w:eastAsia="微软雅黑" w:cs="Arial"/>
          <w:sz w:val="22"/>
          <w:szCs w:val="22"/>
        </w:rPr>
      </w:pPr>
      <w:r>
        <w:rPr>
          <w:rFonts w:ascii="Arial" w:hAnsi="Arial" w:eastAsia="微软雅黑" w:cs="Arial"/>
          <w:sz w:val="22"/>
          <w:szCs w:val="22"/>
        </w:rPr>
        <w:t xml:space="preserve">立信未对提供的财务数据进行核实，也未进行任何的财务分析以验证{{清单模板-数据表-B5}}在下述财务数据中所选用分摊标准的合理性。</w:t>
      </w:r>
      <w:r>
        <w:rPr>
          <w:rFonts w:ascii="Arial" w:hAnsi="Arial" w:eastAsia="微软雅黑" w:cs="Arial"/>
          <w:sz w:val="22"/>
          <w:szCs w:val="22"/>
        </w:rPr>
      </w:r>
    </w:p>
    <w:tbl>
      <w:tblPr>
        <w:tblStyle w:val="1293"/>
        <w:tblW w:w="13860"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3690"/>
        <w:gridCol w:w="2034"/>
        <w:gridCol w:w="2034"/>
        <w:gridCol w:w="2034"/>
        <w:gridCol w:w="2034"/>
        <w:gridCol w:w="2034"/>
      </w:tblGrid>
      <w:tr>
        <w:trPr>
          <w:trHeight w:val="300"/>
          <w:tblHeader/>
        </w:trPr>
        <w:tc>
          <w:tcPr>
            <w:shd w:val="clear" w:color="auto" w:fill="4f81bd" w:themeFill="accent1"/>
            <w:tcBorders/>
            <w:tcW w:w="3690" w:type="dxa"/>
            <w:vAlign w:val="center"/>
            <w:textDirection w:val="lrTb"/>
            <w:noWrap w:val="false"/>
          </w:tcPr>
          <w:p>
            <w:pPr>
              <w:pBdr/>
              <w:spacing w:after="0" w:before="0"/>
              <w:ind w:right="0" w:left="0"/>
              <w:jc w:val="center"/>
              <w:rPr>
                <w:rFonts w:ascii="Arial" w:hAnsi="Arial" w:eastAsia="微软雅黑" w:cs="Arial"/>
                <w:color w:val="000000"/>
                <w:sz w:val="18"/>
                <w:szCs w:val="18"/>
              </w:rPr>
            </w:pPr>
            <w:r>
              <w:rPr>
                <w:rFonts w:ascii="Arial" w:hAnsi="Arial" w:eastAsia="微软雅黑" w:cs="Arial"/>
                <w:b/>
                <w:color w:val="ffffff" w:themeColor="background1"/>
                <w:sz w:val="18"/>
                <w:szCs w:val="18"/>
                <w14:textFill>
                  <w14:solidFill>
                    <w14:schemeClr w14:val="bg1"/>
                  </w14:solidFill>
                </w14:textFill>
              </w:rPr>
              <w:t xml:space="preserve">项目</w:t>
            </w:r>
            <w:r>
              <w:rPr>
                <w:rFonts w:ascii="Arial" w:hAnsi="Arial" w:eastAsia="微软雅黑" w:cs="Arial"/>
                <w:color w:val="000000"/>
                <w:sz w:val="18"/>
                <w:szCs w:val="18"/>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境外非关联交易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ascii="Arial" w:hAnsi="Arial" w:eastAsia="微软雅黑" w:cs="Arial"/>
                <w:b/>
                <w:color w:val="ffffff" w:themeColor="background1"/>
                <w:sz w:val="18"/>
                <w:szCs w:val="18"/>
                <w14:textFill>
                  <w14:solidFill>
                    <w14:schemeClr w14:val="bg1"/>
                  </w14:solidFill>
                </w14:textFill>
              </w:rPr>
              <w:t xml:space="preserve">境内非关联交易</w:t>
            </w:r>
            <w:r>
              <w:rPr>
                <w:rFonts w:ascii="Arial" w:hAnsi="Arial" w:eastAsia="微软雅黑" w:cs="Arial"/>
                <w:b/>
                <w:color w:val="ffffff" w:themeColor="background1"/>
                <w:sz w:val="18"/>
                <w:szCs w:val="18"/>
                <w14:textFill>
                  <w14:solidFill>
                    <w14:schemeClr w14:val="bg1"/>
                  </w14:solidFill>
                </w14:textFill>
              </w:rPr>
            </w:r>
          </w:p>
        </w:tc>
        <w:tc>
          <w:tcPr>
            <w:shd w:val="clear" w:color="auto" w:fill="4f81bd" w:themeFill="accent1"/>
            <w:tcBorders/>
            <w:tcW w:w="2034" w:type="dxa"/>
            <w:vAlign w:val="center"/>
            <w:textDirection w:val="lrTb"/>
            <w:noWrap w:val="false"/>
          </w:tcPr>
          <w:p>
            <w:pPr>
              <w:pBdr/>
              <w:spacing w:after="0" w:before="0"/>
              <w:ind w:right="0" w:left="0"/>
              <w:jc w:val="center"/>
              <w:rPr>
                <w:rFonts w:ascii="Arial" w:hAnsi="Arial" w:eastAsia="微软雅黑" w:cs="Arial"/>
                <w:b/>
                <w:color w:val="ffffff" w:themeColor="background1"/>
                <w:sz w:val="18"/>
                <w:szCs w:val="18"/>
                <w14:textFill>
                  <w14:solidFill>
                    <w14:schemeClr w14:val="bg1"/>
                  </w14:solidFill>
                </w14:textFill>
              </w:rPr>
            </w:pPr>
            <w:r>
              <w:rPr>
                <w:rFonts w:hint="eastAsia" w:ascii="Arial" w:hAnsi="Arial" w:eastAsia="微软雅黑" w:cs="Arial"/>
                <w:b/>
                <w:color w:val="ffffff" w:themeColor="background1"/>
                <w:sz w:val="18"/>
                <w:szCs w:val="18"/>
                <w14:textFill>
                  <w14:solidFill>
                    <w14:schemeClr w14:val="bg1"/>
                  </w14:solidFill>
                </w14:textFill>
              </w:rPr>
              <w:t xml:space="preserve">合计</w:t>
            </w:r>
            <w:r>
              <w:rPr>
                <w:rFonts w:ascii="Arial" w:hAnsi="Arial" w:eastAsia="微软雅黑" w:cs="Arial"/>
                <w:b/>
                <w:color w:val="ffffff" w:themeColor="background1"/>
                <w:sz w:val="18"/>
                <w:szCs w:val="18"/>
                <w14:textFill>
                  <w14:solidFill>
                    <w14:schemeClr w14:val="bg1"/>
                  </w14:solidFill>
                </w14:textFill>
              </w:rPr>
            </w:r>
            <w:r>
              <w:rPr>
                <w:rFonts w:ascii="Arial" w:hAnsi="Arial" w:eastAsia="微软雅黑" w:cs="Arial"/>
                <w:b/>
                <w:color w:val="ffffff" w:themeColor="background1"/>
                <w:sz w:val="18"/>
                <w:szCs w:val="18"/>
                <w14:textFill>
                  <w14:solidFill>
                    <w14:schemeClr w14:val="bg1"/>
                  </w14:solidFill>
                </w14:textFill>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一、营业收入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358,641,785.75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96,443,327.60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980,334,917.28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1,435,420,030.63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341,662,755.87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91,877,450.99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933,923,326.36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1,367,463,533.22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减：营业成本</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219,116,190.69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58,923,124.41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598,946,528.85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876,985,843.96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其中：主营业务成本</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214,592,971.85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57,706,773.46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586,582,466.59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858,882,211.90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营业税金及附加</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其中：主营业务税金及附加</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8,926,363.51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销售费用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18,605,596.97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5,003,281.14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50,857,755.83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74,466,633.95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管理费用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44,739,956.95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12,031,142.21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122,295,124.95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179,066,224.11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财务费用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70,064.03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18,841.11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191,517.60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280,422.74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资产减值损失</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410"/>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加：公允价值变动收益（损失以“-”号填列）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投资收益（损失以“-”号填列）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381,815.11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其中：对联营企业和合营企业的投资收益</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二、营业利润（亏损以“-”号填列）</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76,109,977.10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20,466,938.73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199,499,441.64 </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rPr>
            </w:pPr>
            <w:r>
              <w:rPr>
                <w:rFonts w:ascii="Arial" w:hAnsi="Arial" w:cs="Arial"/>
                <w:color w:val="000000"/>
                <w:sz w:val="18"/>
                <w:szCs w:val="18"/>
              </w:rPr>
              <w:t xml:space="preserve">296,076,357.47 </w:t>
            </w:r>
            <w:r>
              <w:rPr>
                <w:rFonts w:ascii="Arial" w:hAnsi="Arial" w:eastAsia="微软雅黑" w:cs="Arial"/>
                <w:color w:val="000000"/>
                <w:sz w:val="18"/>
                <w:szCs w:val="18"/>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加：营业外收入</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5,202,824.73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减：营业外支出</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720,091.53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240"/>
              <w:jc w:val="left"/>
              <w:rPr>
                <w:rFonts w:ascii="Arial" w:hAnsi="Arial" w:eastAsia="微软雅黑" w:cs="Arial"/>
                <w:color w:val="000000"/>
                <w:sz w:val="18"/>
                <w:szCs w:val="18"/>
              </w:rPr>
            </w:pPr>
            <w:r>
              <w:rPr>
                <w:rFonts w:ascii="Arial" w:hAnsi="Arial" w:eastAsia="微软雅黑" w:cs="Arial"/>
                <w:color w:val="000000"/>
                <w:sz w:val="18"/>
                <w:szCs w:val="18"/>
              </w:rPr>
              <w:t xml:space="preserve">其中：非流动资产处置损失</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三、利润总额</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76,109,977.10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20,466,938.73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203,982,174.84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300,559,090.67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firstLine="18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减：所得税费用</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8,515,691.44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2,289,977.50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23,277,348.02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34,083,016.96 </w:t>
            </w:r>
            <w:r>
              <w:rPr>
                <w:rFonts w:ascii="Arial" w:hAnsi="Arial" w:eastAsia="微软雅黑" w:cs="Arial"/>
                <w:color w:val="000000"/>
                <w:sz w:val="18"/>
                <w:szCs w:val="18"/>
                <w:lang w:bidi="ar"/>
              </w:rPr>
            </w:r>
          </w:p>
        </w:tc>
      </w:tr>
      <w:tr>
        <w:trPr>
          <w:trHeight w:val="369"/>
        </w:trPr>
        <w:tc>
          <w:tcPr>
            <w:shd w:val="clear" w:color="auto" w:fill="auto"/>
            <w:tcBorders/>
            <w:tcW w:w="3690" w:type="dxa"/>
            <w:vAlign w:val="center"/>
            <w:textDirection w:val="lrTb"/>
            <w:noWrap w:val="false"/>
          </w:tcPr>
          <w:p>
            <w:pPr>
              <w:pBdr/>
              <w:spacing w:after="0" w:before="0"/>
              <w:ind w:right="0" w:left="0"/>
              <w:jc w:val="left"/>
              <w:rPr>
                <w:rFonts w:ascii="Arial" w:hAnsi="Arial" w:eastAsia="微软雅黑" w:cs="Arial"/>
                <w:color w:val="000000"/>
                <w:sz w:val="18"/>
                <w:szCs w:val="18"/>
              </w:rPr>
            </w:pPr>
            <w:r>
              <w:rPr>
                <w:rFonts w:ascii="Arial" w:hAnsi="Arial" w:eastAsia="微软雅黑" w:cs="Arial"/>
                <w:color w:val="000000"/>
                <w:sz w:val="18"/>
                <w:szCs w:val="18"/>
              </w:rPr>
              <w:t xml:space="preserve">四、净利润</w:t>
            </w:r>
            <w:r>
              <w:rPr>
                <w:rFonts w:ascii="Arial" w:hAnsi="Arial" w:eastAsia="微软雅黑" w:cs="Arial"/>
                <w:color w:val="000000"/>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67,594,285.66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18,176,961.23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180,704,826.82 </w:t>
            </w:r>
            <w:r>
              <w:rPr>
                <w:rFonts w:ascii="Arial" w:hAnsi="Arial" w:eastAsia="微软雅黑" w:cs="Arial"/>
                <w:color w:val="000000"/>
                <w:sz w:val="18"/>
                <w:szCs w:val="18"/>
                <w:lang w:bidi="ar"/>
              </w:rPr>
            </w:r>
          </w:p>
        </w:tc>
        <w:tc>
          <w:tcPr>
            <w:shd w:val="clear" w:color="auto" w:fill="auto"/>
            <w:tcBorders>
              <w:top w:val="single" w:color="000000" w:sz="4" w:space="0"/>
              <w:left w:val="single" w:color="000000" w:sz="4" w:space="0"/>
              <w:bottom w:val="single" w:color="000000" w:sz="4" w:space="0"/>
              <w:right w:val="single" w:color="000000" w:sz="4" w:space="0"/>
            </w:tcBorders>
            <w:tcW w:w="2034" w:type="dxa"/>
            <w:vAlign w:val="center"/>
            <w:textDirection w:val="lrTb"/>
            <w:noWrap w:val="false"/>
          </w:tcPr>
          <w:p>
            <w:pPr>
              <w:pBdr/>
              <w:spacing w:after="0" w:before="0"/>
              <w:ind w:right="0" w:left="0"/>
              <w:jc w:val="right"/>
              <w:rPr>
                <w:rFonts w:ascii="Arial" w:hAnsi="Arial" w:eastAsia="微软雅黑" w:cs="Arial"/>
                <w:color w:val="000000"/>
                <w:sz w:val="18"/>
                <w:szCs w:val="18"/>
                <w:lang w:bidi="ar"/>
              </w:rPr>
            </w:pPr>
            <w:r>
              <w:rPr>
                <w:rFonts w:ascii="Arial" w:hAnsi="Arial" w:cs="Arial"/>
                <w:color w:val="000000"/>
                <w:sz w:val="18"/>
                <w:szCs w:val="18"/>
              </w:rPr>
              <w:t xml:space="preserve">266,476,073.71 </w:t>
            </w:r>
            <w:r>
              <w:rPr>
                <w:rFonts w:ascii="Arial" w:hAnsi="Arial" w:eastAsia="微软雅黑" w:cs="Arial"/>
                <w:color w:val="000000"/>
                <w:sz w:val="18"/>
                <w:szCs w:val="18"/>
                <w:lang w:bidi="ar"/>
              </w:rPr>
            </w:r>
          </w:p>
        </w:tc>
      </w:tr>
    </w:tbl>
    <w:p>
      <w:pPr>
        <w:pBdr/>
        <w:spacing w:after="163" w:before="163"/>
        <w:ind w:firstLine="440"/>
        <w:rPr>
          <w:rFonts w:ascii="Arial" w:hAnsi="Arial" w:eastAsia="微软雅黑" w:cs="Arial"/>
          <w:sz w:val="22"/>
          <w:szCs w:val="22"/>
        </w:rPr>
        <w:sectPr>
          <w:footnotePr/>
          <w:endnotePr/>
          <w:type w:val="nextPage"/>
          <w:pgSz w:h="11906" w:orient="landscape" w:w="16838"/>
          <w:pgMar w:top="1800" w:right="1440" w:bottom="1800" w:left="1440" w:header="851" w:footer="992" w:gutter="0"/>
          <w:cols w:num="1" w:sep="0" w:space="720" w:equalWidth="1"/>
        </w:sectPr>
      </w:pPr>
      <w:r>
        <w:rPr>
          <w:rFonts w:ascii="Arial" w:hAnsi="Arial" w:eastAsia="微软雅黑" w:cs="Arial"/>
          <w:sz w:val="22"/>
          <w:szCs w:val="22"/>
        </w:rPr>
      </w:r>
      <w:r>
        <w:rPr>
          <w:rFonts w:ascii="Arial" w:hAnsi="Arial" w:eastAsia="微软雅黑" w:cs="Arial"/>
          <w:sz w:val="22"/>
          <w:szCs w:val="22"/>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27" w:name="_Toc22734"/>
      <w:r/>
      <w:bookmarkStart w:id="728" w:name="_Toc76668464"/>
      <w:r/>
      <w:bookmarkStart w:id="729" w:name="_Toc3584"/>
      <w:r/>
      <w:bookmarkStart w:id="730" w:name="_Toc202797612"/>
      <w:r/>
      <w:bookmarkStart w:id="731" w:name="_Toc47700095"/>
      <w:r/>
      <w:bookmarkStart w:id="732" w:name="_Toc522015263"/>
      <w:r>
        <w:rPr>
          <w:rFonts w:ascii="Arial" w:hAnsi="Arial" w:eastAsia="微软雅黑" w:cs="Arial"/>
          <w:color w:val="4f81bd" w:themeColor="accent1"/>
          <w:sz w:val="28"/>
          <w:szCs w:val="22"/>
          <w14:textFill>
            <w14:solidFill>
              <w14:schemeClr w14:val="accent1"/>
            </w14:solidFill>
          </w14:textFill>
        </w:rPr>
        <w:t xml:space="preserve">附件3可比公司业务描述</w:t>
      </w:r>
      <w:r>
        <w:rPr>
          <w:rFonts w:hint="eastAsia" w:ascii="Arial" w:hAnsi="Arial" w:eastAsia="微软雅黑" w:cs="Arial"/>
          <w:color w:val="4f81bd" w:themeColor="accent1"/>
          <w:sz w:val="28"/>
          <w:szCs w:val="22"/>
          <w14:textFill>
            <w14:solidFill>
              <w14:schemeClr w14:val="accent1"/>
            </w14:solidFill>
          </w14:textFill>
        </w:rPr>
      </w:r>
      <w:bookmarkEnd w:id="727"/>
      <w:r/>
      <w:bookmarkEnd w:id="728"/>
      <w:r/>
      <w:bookmarkEnd w:id="729"/>
      <w:r/>
      <w:bookmarkEnd w:id="730"/>
      <w:r/>
      <w:bookmarkEnd w:id="731"/>
      <w:r/>
      <w:bookmarkEnd w:id="732"/>
      <w:r/>
      <w:r>
        <w:rPr>
          <w:rFonts w:ascii="Arial" w:hAnsi="Arial" w:eastAsia="微软雅黑" w:cs="Arial"/>
          <w:color w:val="4f81bd" w:themeColor="accent1"/>
          <w:sz w:val="28"/>
          <w:szCs w:val="22"/>
          <w14:textFill>
            <w14:solidFill>
              <w14:schemeClr w14:val="accent1"/>
            </w14:solidFill>
          </w14:textFill>
        </w:rPr>
      </w:r>
    </w:p>
    <w:tbl>
      <w:tblPr>
        <w:tblStyle w:val="13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top w:w="0" w:type="dxa"/>
          <w:right w:w="108" w:type="dxa"/>
          <w:bottom w:w="0" w:type="dxa"/>
        </w:tblCellMar>
        <w:tblLook w:val="04A0" w:firstRow="1" w:lastRow="0" w:firstColumn="1" w:lastColumn="0" w:noHBand="0" w:noVBand="1"/>
      </w:tblPr>
      <w:tblGrid>
        <w:gridCol w:w="704"/>
        <w:gridCol w:w="4820"/>
        <w:gridCol w:w="1275"/>
        <w:gridCol w:w="7149"/>
      </w:tblGrid>
      <w:tr>
        <w:trPr>
          <w:tblHeader/>
        </w:trPr>
        <w:tc>
          <w:tcPr>
            <w:shd w:val="clear" w:color="auto" w:fill="1f497d"/>
            <w:tcBorders/>
            <w:tcW w:w="704"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序号</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4820"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公司名</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1275"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国家</w:t>
            </w:r>
            <w:r>
              <w:rPr>
                <w:rFonts w:ascii="Arial" w:hAnsi="Arial" w:eastAsia="微软雅黑" w:cs="Arial"/>
                <w:b/>
                <w:bCs/>
                <w:iCs/>
                <w:color w:val="ffffff" w:themeColor="background1"/>
                <w:sz w:val="18"/>
                <w:szCs w:val="18"/>
                <w14:textFill>
                  <w14:solidFill>
                    <w14:schemeClr w14:val="bg1"/>
                  </w14:solidFill>
                </w14:textFill>
              </w:rPr>
            </w:r>
          </w:p>
        </w:tc>
        <w:tc>
          <w:tcPr>
            <w:shd w:val="clear" w:color="auto" w:fill="1f497d"/>
            <w:tcBorders/>
            <w:tcW w:w="7149" w:type="dxa"/>
            <w:vAlign w:val="center"/>
            <w:textDirection w:val="lrTb"/>
            <w:noWrap w:val="false"/>
          </w:tcPr>
          <w:p>
            <w:pPr>
              <w:widowControl w:val="false"/>
              <w:pBdr/>
              <w:spacing/>
              <w:ind w:left="0"/>
              <w:jc w:val="center"/>
              <w:rPr>
                <w:rFonts w:ascii="Arial" w:hAnsi="Arial" w:eastAsia="微软雅黑" w:cs="Arial"/>
                <w:b/>
                <w:bCs/>
                <w:iCs/>
                <w:color w:val="ffffff" w:themeColor="background1"/>
                <w:sz w:val="18"/>
                <w:szCs w:val="18"/>
                <w14:textFill>
                  <w14:solidFill>
                    <w14:schemeClr w14:val="bg1"/>
                  </w14:solidFill>
                </w14:textFill>
              </w:rPr>
            </w:pPr>
            <w:r>
              <w:rPr>
                <w:rFonts w:hint="eastAsia" w:ascii="Arial" w:hAnsi="Arial" w:eastAsia="微软雅黑" w:cs="Arial"/>
                <w:b/>
                <w:bCs/>
                <w:iCs/>
                <w:color w:val="ffffff" w:themeColor="background1"/>
                <w:sz w:val="18"/>
                <w:szCs w:val="18"/>
                <w14:textFill>
                  <w14:solidFill>
                    <w14:schemeClr w14:val="bg1"/>
                  </w14:solidFill>
                </w14:textFill>
              </w:rPr>
              <w:t xml:space="preserve">业务描述</w:t>
            </w:r>
            <w:r>
              <w:rPr>
                <w:rFonts w:ascii="Arial" w:hAnsi="Arial" w:eastAsia="微软雅黑" w:cs="Arial"/>
                <w:b/>
                <w:bCs/>
                <w:iCs/>
                <w:color w:val="ffffff" w:themeColor="background1"/>
                <w:sz w:val="18"/>
                <w:szCs w:val="18"/>
                <w14:textFill>
                  <w14:solidFill>
                    <w14:schemeClr w14:val="bg1"/>
                  </w14:solidFill>
                </w14:textFill>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Noritz Corporation</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该公司主要从事热水空调设备、住房系统、厨房设备、新能源设备以及相关零部件的生产和销售。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2</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Kitz Corporati ON</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s="Arial"/>
                <w:color w:val="000000"/>
                <w:sz w:val="18"/>
                <w:szCs w:val="18"/>
              </w:rPr>
              <w:t xml:space="preserve">该公司主要从事开发和销售水、空气、石油和天然气等流体的阀门产品。</w:t>
            </w:r>
            <w:r>
              <w:rPr>
                <w:rFonts w:hint="eastAsia" w:ascii="微软雅黑" w:hAnsi="微软雅黑" w:eastAsia="微软雅黑" w:cs="Arial"/>
                <w:b/>
                <w:bCs/>
                <w:i/>
                <w:iCs/>
                <w:color w:val="000000"/>
                <w:sz w:val="18"/>
                <w:szCs w:val="18"/>
              </w:rPr>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3</w:t>
            </w:r>
            <w:r>
              <w:rPr>
                <w:rFonts w:ascii="Arial" w:hAnsi="Arial" w:eastAsia="等线" w:cs="Arial"/>
                <w:color w:val="333333"/>
                <w:sz w:val="18"/>
                <w:szCs w:val="18"/>
              </w:rPr>
            </w:r>
          </w:p>
        </w:tc>
        <w:tc>
          <w:tcPr>
            <w:shd w:val="clear" w:color="auto" w:fill="auto"/>
            <w:tcBorders>
              <w:top w:val="single" w:color="000000" w:sz="4" w:space="0"/>
              <w:left w:val="single" w:color="000000" w:sz="4" w:space="0"/>
              <w:bottom w:val="single" w:color="000000" w:sz="4" w:space="0"/>
              <w:right w:val="single" w:color="000000" w:sz="4" w:space="0"/>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Wuxi Smart Auto-Control Engineering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该公司主要生产角阀、自动阀、球阀、压缩气瓶阀等阀门。</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4</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Founder Valve Group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该公司主要生产球阀、闸阀、截止阀、止回阀、蝶阀、插板阀、特种阀及低温、高温和高压阀门等。</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5</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HS Valve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该公司主要生产球阀、闸阀、截止阀、止回阀，以及液化石油气阀、螺纹球阀、法兰端球阀、隔热型阀门、地下球阀等。</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6</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Okumura Engineering Corp.</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该公司总部位于日本，从事一系列工业阀门的生产。</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7</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Yoshitake Inc.</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该公司总部位于日本名古屋，主要从事液体自动压力调节阀及过滤器、膨胀管接头、流量指示器等相关产品的制造和销售。它还生产减压阀、安全阀和电磁阀。</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8</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Nepon Inc.</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该公司主要从事空气加热设备、地热加热设备、热泵和水锅炉的生产和销售。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9</w:t>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MIE Corporation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日本</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该公司从事加工金属产品的制造和销售，包括不锈钢管接头、工业接头、建筑接头、法兰和螺纹焊接接头，以及预制加工产品。</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10</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JDV Control Valves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中国台湾</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该公司主要生产球阀、蝶阀、控制阀、闸阀、截止阀、止回阀，以及配件与执行器等高端工业阀门。</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11</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Wuhu Jinmao Liquid Science &amp; Technology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该公司主要从事球墨铸铁、特种材质金属管件、快速连接器、阀门等各类流体工程产品及轨道交通关键零部件的研发、生产、销售。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12</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Kunshan Visa Valve Co.,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中国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该公司主要生产高中低压球阀、浮动球阀与支座式球阀，以及铸钢和锻钢球阀。</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13</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Jokwang I.L.I Co.,Ltd.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该公司从事阀门的生产和批发销售。</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14</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Enertork Ltd.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韩国</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该公司主要生产电动执行器与减速器，包括多回转执行器、四分之一次回转执行器、蜗杆减速器、用于球阀、蝶阀、闸阀、截止阀、插板阀及风门等的系列产品。</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15</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Shri Balaji Valve Components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hint="eastAsia"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该公司主要生产球阀组件、蝶阀组件、截止阀组件、闸阀组件及其他阀门精密零部件，并承接定制加工与组装。</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16</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Meson Valves India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该公司主要从事工业阀门以及供水工程和供水系统阀门的制造。</w:t>
            </w:r>
            <w:r>
              <w:rPr>
                <w:rFonts w:ascii="微软雅黑" w:hAnsi="微软雅黑" w:eastAsia="微软雅黑"/>
                <w:color w:val="000000"/>
                <w:sz w:val="18"/>
                <w:szCs w:val="18"/>
              </w:rPr>
            </w:r>
          </w:p>
        </w:tc>
      </w:tr>
      <w:tr>
        <w:trPr/>
        <w:tc>
          <w:tcPr>
            <w:tcBorders/>
            <w:tcW w:w="704" w:type="dxa"/>
            <w:vAlign w:val="center"/>
            <w:textDirection w:val="lrTb"/>
            <w:noWrap w:val="false"/>
          </w:tcPr>
          <w:p>
            <w:pPr>
              <w:widowControl w:val="false"/>
              <w:pBdr/>
              <w:spacing/>
              <w:ind w:left="0"/>
              <w:jc w:val="center"/>
              <w:rPr>
                <w:rFonts w:ascii="Arial" w:hAnsi="Arial" w:eastAsia="等线" w:cs="Arial"/>
                <w:color w:val="333333"/>
                <w:sz w:val="18"/>
                <w:szCs w:val="18"/>
              </w:rPr>
            </w:pPr>
            <w:r>
              <w:rPr>
                <w:rFonts w:hint="eastAsia" w:ascii="Arial" w:hAnsi="Arial" w:eastAsia="等线" w:cs="Arial"/>
                <w:color w:val="333333"/>
                <w:sz w:val="18"/>
                <w:szCs w:val="18"/>
              </w:rPr>
              <w:t xml:space="preserve">17</w:t>
            </w:r>
            <w:r>
              <w:rPr>
                <w:rFonts w:ascii="Arial" w:hAnsi="Arial" w:eastAsia="等线" w:cs="Arial"/>
                <w:color w:val="333333"/>
                <w:sz w:val="18"/>
                <w:szCs w:val="18"/>
              </w:rPr>
            </w:r>
            <w:r>
              <w:rPr>
                <w:rFonts w:ascii="Arial" w:hAnsi="Arial" w:eastAsia="等线" w:cs="Arial"/>
                <w:color w:val="333333"/>
                <w:sz w:val="18"/>
                <w:szCs w:val="18"/>
              </w:rPr>
            </w:r>
          </w:p>
        </w:tc>
        <w:tc>
          <w:tcPr>
            <w:tcBorders/>
            <w:tcW w:w="4820" w:type="dxa"/>
            <w:vAlign w:val="center"/>
            <w:textDirection w:val="lrTb"/>
            <w:noWrap w:val="false"/>
          </w:tcPr>
          <w:p>
            <w:pPr>
              <w:widowControl w:val="false"/>
              <w:pBdr/>
              <w:spacing/>
              <w:ind w:left="0"/>
              <w:jc w:val="left"/>
              <w:rPr>
                <w:rFonts w:ascii="Arial" w:hAnsi="Arial" w:eastAsia="等线" w:cs="Arial"/>
                <w:color w:val="333333"/>
                <w:sz w:val="18"/>
                <w:szCs w:val="18"/>
              </w:rPr>
            </w:pPr>
            <w:r>
              <w:rPr>
                <w:rFonts w:ascii="Arial" w:hAnsi="Arial" w:eastAsia="等线" w:cs="Arial"/>
                <w:color w:val="333333"/>
                <w:sz w:val="18"/>
                <w:szCs w:val="18"/>
              </w:rPr>
              <w:t xml:space="preserve">Chemtech Industrial Valves Limited</w:t>
            </w:r>
            <w:r>
              <w:rPr>
                <w:rFonts w:ascii="Arial" w:hAnsi="Arial" w:eastAsia="等线" w:cs="Arial"/>
                <w:color w:val="333333"/>
                <w:sz w:val="18"/>
                <w:szCs w:val="18"/>
              </w:rPr>
            </w:r>
          </w:p>
        </w:tc>
        <w:tc>
          <w:tcPr>
            <w:tcBorders/>
            <w:tcW w:w="1275" w:type="dxa"/>
            <w:vAlign w:val="center"/>
            <w:textDirection w:val="lrTb"/>
            <w:noWrap w:val="false"/>
          </w:tcPr>
          <w:p>
            <w:pPr>
              <w:widowControl w:val="false"/>
              <w:pBdr/>
              <w:spacing/>
              <w:ind w:left="0"/>
              <w:jc w:val="center"/>
              <w:rPr>
                <w:rFonts w:ascii="微软雅黑" w:hAnsi="微软雅黑" w:eastAsia="微软雅黑" w:cs="Arial"/>
                <w:color w:val="333333"/>
                <w:sz w:val="18"/>
                <w:szCs w:val="18"/>
              </w:rPr>
            </w:pPr>
            <w:r>
              <w:rPr>
                <w:rFonts w:ascii="微软雅黑" w:hAnsi="微软雅黑" w:eastAsia="微软雅黑" w:cs="Arial"/>
                <w:color w:val="333333"/>
                <w:sz w:val="18"/>
                <w:szCs w:val="18"/>
              </w:rPr>
              <w:t xml:space="preserve">印度</w:t>
            </w:r>
            <w:r>
              <w:rPr>
                <w:rFonts w:ascii="微软雅黑" w:hAnsi="微软雅黑" w:eastAsia="微软雅黑" w:cs="Arial"/>
                <w:color w:val="333333"/>
                <w:sz w:val="18"/>
                <w:szCs w:val="18"/>
              </w:rPr>
            </w:r>
          </w:p>
        </w:tc>
        <w:tc>
          <w:tcPr>
            <w:tcBorders/>
            <w:tcW w:w="7149" w:type="dxa"/>
            <w:vAlign w:val="center"/>
            <w:textDirection w:val="lrTb"/>
            <w:noWrap w:val="false"/>
          </w:tcPr>
          <w:p>
            <w:pPr>
              <w:widowControl w:val="false"/>
              <w:pBdr/>
              <w:spacing/>
              <w:ind w:left="0"/>
              <w:rPr>
                <w:rFonts w:ascii="微软雅黑" w:hAnsi="微软雅黑" w:eastAsia="微软雅黑"/>
                <w:color w:val="000000"/>
                <w:sz w:val="18"/>
                <w:szCs w:val="18"/>
              </w:rPr>
            </w:pPr>
            <w:r>
              <w:rPr>
                <w:rFonts w:hint="eastAsia" w:ascii="微软雅黑" w:hAnsi="微软雅黑" w:eastAsia="微软雅黑"/>
                <w:color w:val="000000"/>
                <w:sz w:val="18"/>
                <w:szCs w:val="18"/>
              </w:rPr>
              <w:t xml:space="preserve">该公司是一家从事阀门及工程配套产品生产的实体。</w:t>
            </w:r>
            <w:bookmarkEnd w:id="721"/>
            <w:r>
              <w:rPr>
                <w:rFonts w:ascii="微软雅黑" w:hAnsi="微软雅黑" w:eastAsia="微软雅黑"/>
                <w:color w:val="000000"/>
                <w:sz w:val="18"/>
                <w:szCs w:val="18"/>
              </w:rPr>
            </w:r>
          </w:p>
        </w:tc>
      </w:tr>
    </w:tbl>
    <w:p>
      <w:pPr>
        <w:pBdr/>
        <w:spacing/>
        <w:ind w:left="0"/>
        <w:rPr>
          <w:rFonts w:ascii="Arial" w:hAnsi="Arial" w:eastAsia="微软雅黑" w:cs="Arial"/>
          <w:color w:val="3f9c35"/>
          <w:sz w:val="28"/>
          <w:szCs w:val="22"/>
          <w:highlight w:val="yellow"/>
        </w:rPr>
        <w:sectPr>
          <w:headerReference w:type="even" r:id="rId16"/>
          <w:headerReference w:type="first" r:id="rId17"/>
          <w:footerReference w:type="default" r:id="rId22"/>
          <w:footnotePr/>
          <w:endnotePr/>
          <w:type w:val="nextPage"/>
          <w:pgSz w:h="11906" w:orient="landscape" w:w="16838"/>
          <w:pgMar w:top="1559" w:right="1440" w:bottom="1797" w:left="1440"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Style w:val="1384"/>
        <w:pBdr/>
        <w:spacing w:after="100" w:afterAutospacing="1" w:before="100" w:beforeAutospacing="1"/>
        <w:ind w:right="0" w:firstLine="0" w:left="0"/>
        <w:outlineLvl w:val="0"/>
        <w:rPr>
          <w:rFonts w:ascii="Arial" w:hAnsi="Arial" w:eastAsia="微软雅黑" w:cs="Arial"/>
          <w:color w:val="4f81bd" w:themeColor="accent1"/>
          <w:sz w:val="28"/>
          <w:szCs w:val="22"/>
          <w14:textFill>
            <w14:solidFill>
              <w14:schemeClr w14:val="accent1"/>
            </w14:solidFill>
          </w14:textFill>
        </w:rPr>
      </w:pPr>
      <w:r/>
      <w:bookmarkStart w:id="733" w:name="_Toc202797613"/>
      <w:r>
        <w:rPr>
          <w:rFonts w:ascii="Arial" w:hAnsi="Arial" w:eastAsia="微软雅黑" w:cs="Arial"/>
          <w:color w:val="4f81bd" w:themeColor="accent1"/>
          <w:sz w:val="28"/>
          <w:szCs w:val="22"/>
          <w14:textFill>
            <w14:solidFill>
              <w14:schemeClr w14:val="accent1"/>
            </w14:solidFill>
          </w14:textFill>
        </w:rPr>
        <w:t xml:space="preserve">附件4可比公司财务信息</w:t>
      </w:r>
      <w:r>
        <w:rPr>
          <w:rFonts w:hint="eastAsia" w:ascii="Arial" w:hAnsi="Arial" w:eastAsia="微软雅黑" w:cs="Arial"/>
          <w:color w:val="4f81bd" w:themeColor="accent1"/>
          <w:sz w:val="28"/>
          <w:szCs w:val="22"/>
          <w14:textFill>
            <w14:solidFill>
              <w14:schemeClr w14:val="accent1"/>
            </w14:solidFill>
          </w14:textFill>
        </w:rPr>
      </w:r>
      <w:bookmarkEnd w:id="733"/>
      <w:r/>
      <w:r>
        <w:rPr>
          <w:rFonts w:ascii="Arial" w:hAnsi="Arial" w:eastAsia="微软雅黑" w:cs="Arial"/>
          <w:color w:val="4f81bd" w:themeColor="accent1"/>
          <w:sz w:val="28"/>
          <w:szCs w:val="22"/>
          <w14:textFill>
            <w14:solidFill>
              <w14:schemeClr w14:val="accent1"/>
            </w14:solidFill>
          </w14:textFill>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51"/>
        <w:gridCol w:w="1094"/>
        <w:gridCol w:w="1523"/>
        <w:gridCol w:w="1476"/>
        <w:gridCol w:w="1491"/>
        <w:gridCol w:w="163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1）Noritz Corporation（日本）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股票代码:5943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after="120" w:before="120"/>
              <w:ind w:right="113" w:left="119"/>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178,142,000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210,966,000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201,891,000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196,999,667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114,556,000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136,752,000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130,311,000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127,206,333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63,586,000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74,214,000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71,580,000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61,086,000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67,440,000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65,421,667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2,500,000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6,774,000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4,371,667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8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2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9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570"/>
        <w:gridCol w:w="1087"/>
        <w:gridCol w:w="1449"/>
        <w:gridCol w:w="1449"/>
        <w:gridCol w:w="1694"/>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cs="Arial"/>
                <w:b/>
                <w:bCs/>
                <w:color w:val="ffffff"/>
                <w:sz w:val="18"/>
                <w:szCs w:val="18"/>
              </w:rPr>
              <w:t xml:space="preserve">2）Kitz Corporati ON（日本）</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股票代码:6498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2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8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2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8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7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135,790,000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159,914,000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166,941,000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154,215,000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95,314,000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115,127,000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117,139,000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109,193,333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40,476,000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44,787,000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49,802,000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45,021,667</w:t>
            </w:r>
            <w:r>
              <w:rPr>
                <w:rFonts w:ascii="Arial" w:hAnsi="Arial" w:eastAsia="等线" w:cs="Arial"/>
                <w:color w:val="000000"/>
                <w:sz w:val="18"/>
                <w:szCs w:val="18"/>
              </w:rPr>
            </w:r>
          </w:p>
        </w:tc>
      </w:tr>
      <w:tr>
        <w:trPr>
          <w:trHeight w:val="9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32,707,000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33,735,000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36,355,000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34,265,667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7,769,000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11,052,000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13,447,000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10,756,000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2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8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6.07%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5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7.42%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8.76%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424"/>
        <w:gridCol w:w="1424"/>
        <w:gridCol w:w="1550"/>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3）Wuxi Smart Auto-Control Engineering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股票代码:002877</w:t>
            </w:r>
            <w:r>
              <w:rPr>
                <w:rFonts w:hint="eastAsia"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7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7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724,731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852,555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1,012,839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863,375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441,440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497,868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594,341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511,216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283,291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354,687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418,498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352,159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219,882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266,741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324,301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270,308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63,409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87,946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81,851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81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9.59%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11.50%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3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10.25%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78"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t xml:space="preserve">10.47%</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2061"/>
        <w:gridCol w:w="1136"/>
        <w:gridCol w:w="1364"/>
        <w:gridCol w:w="1254"/>
        <w:gridCol w:w="1310"/>
        <w:gridCol w:w="1641"/>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4）Founder Valve Group Co., LTD（中国）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股票代码:920082</w:t>
            </w:r>
            <w:r>
              <w:rPr>
                <w:rFonts w:hint="eastAsia" w:ascii="微软雅黑" w:hAnsi="微软雅黑" w:eastAsia="微软雅黑"/>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4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7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7"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4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7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1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7"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478,288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638,145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697,677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604,703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346,698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472,315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504,045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441,019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131,590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165,830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193,632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163,684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118,941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142,665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140,120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133,909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23,165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53,512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29,775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76"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48"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6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1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8.31%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41"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5.18%</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97"/>
        <w:gridCol w:w="1115"/>
        <w:gridCol w:w="1401"/>
        <w:gridCol w:w="1385"/>
        <w:gridCol w:w="1385"/>
        <w:gridCol w:w="1683"/>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cs="Arial"/>
                <w:b/>
                <w:bCs/>
                <w:color w:val="ffffff"/>
                <w:sz w:val="18"/>
                <w:szCs w:val="18"/>
              </w:rPr>
              <w:t xml:space="preserve">5）HS Valve Co.,Ltd.（韩国）</w:t>
            </w:r>
            <w:r>
              <w:rPr>
                <w:rFonts w:hint="eastAsia" w:ascii="微软雅黑" w:hAnsi="微软雅黑" w:eastAsia="微软雅黑" w:cs="Arial"/>
                <w:b/>
                <w:bCs/>
                <w:color w:val="ffffff"/>
                <w:sz w:val="18"/>
                <w:szCs w:val="18"/>
              </w:rPr>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股票代码:039610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6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9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6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85,525,544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91,550,545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88,538,045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72,815,375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72,038,733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72,427,054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12,710,169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19,511,812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16,110,991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9,007,711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9,482,215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9,244,963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textDirection w:val="lrTb"/>
            <w:noWrap/>
          </w:tcPr>
          <w:p>
            <w:pPr>
              <w:pBdr/>
              <w:spacing/>
              <w:ind/>
              <w:jc w:val="right"/>
              <w:rPr>
                <w:rFonts w:ascii="Arial" w:hAnsi="Arial" w:eastAsia="等线" w:cs="Arial"/>
                <w:color w:val="000000"/>
                <w:sz w:val="18"/>
                <w:szCs w:val="18"/>
              </w:rPr>
            </w:pPr>
            <w:r>
              <w:rPr>
                <w:rFonts w:hint="eastAsia" w:ascii="宋体" w:hAnsi="宋体" w:eastAsia="宋体" w:cs="宋体"/>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3,702,458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10,029,597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6,866,028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2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9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12.30%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6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8.41%</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text" w:tblpY="165"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66"/>
        <w:gridCol w:w="1246"/>
        <w:gridCol w:w="1282"/>
        <w:gridCol w:w="1396"/>
        <w:gridCol w:w="1396"/>
        <w:gridCol w:w="1680"/>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6）Okumura Engineering Corp.</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股票代码:6229</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9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58"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9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58"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8,456,374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9,164,286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9,484,631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9,035,097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5,001,873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5,464,068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5,898,550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5,454,830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3,454,501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3,700,218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3,586,081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3,580,267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2,796,349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2,891,167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2,918,238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2,868,585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658,152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809,051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667,843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711,682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0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1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8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8.44%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9.68%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9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80"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8.55%</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pPr w:horzAnchor="margin" w:tblpXSpec="left" w:vertAnchor="page" w:tblpY="2390"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0"/>
        <w:gridCol w:w="1115"/>
        <w:gridCol w:w="1494"/>
        <w:gridCol w:w="1495"/>
        <w:gridCol w:w="1495"/>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7）Yoshitake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股票代码:6488</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307"/>
        </w:trPr>
        <w:tc>
          <w:tcPr>
            <w:shd w:val="clear" w:color="000000" w:fill="c6d9f1"/>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5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7,091,242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7,517,051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8,952,786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7,853,693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3,769,907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3,977,824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5,045,972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4,264,568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3,321,335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3,539,227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3,906,814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3,589,125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2,411,333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2,649,124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3,044,520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2,701,659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910,002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890,103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862,294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887,466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4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13.43%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10.66%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12.74%</w:t>
            </w:r>
            <w:r>
              <w:rPr>
                <w:rFonts w:ascii="Arial" w:hAnsi="Arial" w:eastAsia="等线" w:cs="Arial"/>
                <w:b/>
                <w:bCs/>
                <w:color w:val="ffffff"/>
                <w:sz w:val="18"/>
                <w:szCs w:val="18"/>
              </w:rPr>
            </w:r>
          </w:p>
        </w:tc>
      </w:tr>
    </w:tbl>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p>
      <w:pPr>
        <w:pBdr/>
        <w:spacing/>
        <w:ind w:left="0"/>
        <w:rPr>
          <w:rFonts w:ascii="Arial" w:hAnsi="Arial" w:eastAsia="微软雅黑" w:cs="Arial"/>
          <w:color w:val="3f9c35"/>
          <w:sz w:val="28"/>
          <w:szCs w:val="22"/>
          <w:highlight w:val="yellow"/>
        </w:rPr>
      </w:pPr>
      <w:r>
        <w:rPr>
          <w:rFonts w:ascii="Arial" w:hAnsi="Arial" w:eastAsia="微软雅黑" w:cs="Arial"/>
          <w:color w:val="3f9c35"/>
          <w:sz w:val="28"/>
          <w:szCs w:val="22"/>
          <w:highlight w:val="yellow"/>
        </w:rPr>
      </w:r>
      <w:r>
        <w:rPr>
          <w:rFonts w:ascii="Arial" w:hAnsi="Arial" w:eastAsia="微软雅黑" w:cs="Arial"/>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48"/>
        <w:gridCol w:w="1264"/>
        <w:gridCol w:w="1299"/>
        <w:gridCol w:w="1299"/>
        <w:gridCol w:w="1299"/>
        <w:gridCol w:w="175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8）Nepon Inc.</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股票代码:7985</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2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100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2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100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7,485,168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7,992,764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7,774,331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7,750,754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4,467,515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4,724,394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4,683,109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4,625,006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3,017,653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3,268,370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3,091,222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3,125,748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2,763,029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2,880,140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3,056,312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2,899,827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254,624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388,230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34,910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225,921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54"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2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3.52%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9"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0.45%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75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85"/>
        <w:gridCol w:w="1304"/>
        <w:gridCol w:w="1306"/>
        <w:gridCol w:w="1283"/>
        <w:gridCol w:w="1473"/>
        <w:gridCol w:w="1515"/>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9）MIE Corporation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股票代码:3442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4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3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5,697,097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6,579,127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6,811,723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6,362,649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4,552,807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5,131,128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5,269,617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4,984,517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1,144,290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1,447,999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1,542,106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1,378,132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single" w:color="auto" w:sz="4" w:space="0"/>
              <w:left w:val="single" w:color="auto"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861,939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963,350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976,814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934,034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282,351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484,649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565,292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444,097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4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6" w:type="dxa"/>
            <w:vAlign w:val="center"/>
            <w:textDirection w:val="lrTb"/>
            <w:noWrap/>
          </w:tcPr>
          <w:p>
            <w:pPr>
              <w:pBdr/>
              <w:spacing/>
              <w:ind/>
              <w:jc w:val="right"/>
              <w:rPr>
                <w:rFonts w:ascii="Arial" w:hAnsi="Arial" w:eastAsia="等线" w:cs="Arial"/>
                <w:b/>
                <w:bCs/>
                <w:color w:val="ffffff" w:themeColor="background1"/>
                <w:sz w:val="18"/>
                <w:szCs w:val="18"/>
                <w14:textFill>
                  <w14:solidFill>
                    <w14:schemeClr w14:val="bg1"/>
                  </w14:solidFill>
                </w14:textFill>
              </w:rPr>
            </w:pPr>
            <w:r>
              <w:rPr>
                <w:rFonts w:ascii="Arial" w:hAnsi="Arial" w:eastAsia="等线" w:cs="Arial"/>
                <w:b/>
                <w:bCs/>
                <w:color w:val="ffffff"/>
                <w:sz w:val="18"/>
                <w:szCs w:val="18"/>
                <w:lang w:bidi="ar"/>
              </w:rPr>
              <w:t xml:space="preserve">5.21%</w:t>
            </w:r>
            <w:r>
              <w:rPr>
                <w:rFonts w:ascii="Arial" w:hAnsi="Arial" w:eastAsia="等线" w:cs="Arial"/>
                <w:b/>
                <w:bCs/>
                <w:color w:val="ffffff" w:themeColor="background1"/>
                <w:sz w:val="18"/>
                <w:szCs w:val="18"/>
                <w14:textFill>
                  <w14:solidFill>
                    <w14:schemeClr w14:val="bg1"/>
                  </w14:solidFill>
                </w14:textFill>
              </w:rPr>
            </w:r>
          </w:p>
        </w:tc>
        <w:tc>
          <w:tcPr>
            <w:shd w:val="clear" w:color="auto" w:fill="4f81bd"/>
            <w:tcBorders>
              <w:top w:val="none" w:color="000000" w:sz="4" w:space="0"/>
              <w:left w:val="none" w:color="000000" w:sz="4" w:space="0"/>
              <w:bottom w:val="single" w:color="auto" w:sz="4" w:space="0"/>
              <w:right w:val="single" w:color="auto" w:sz="4" w:space="0"/>
            </w:tcBorders>
            <w:tcW w:w="128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7.95%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73"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9.05%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5"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7.50%</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894"/>
        <w:gridCol w:w="1317"/>
        <w:gridCol w:w="1294"/>
        <w:gridCol w:w="1308"/>
        <w:gridCol w:w="1436"/>
        <w:gridCol w:w="151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10）JDV Control Valves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股票代码:6843</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5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3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46"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1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5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3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46"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1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782,631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922,643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951,851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885,708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494,534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556,725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571,627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540,962</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288,097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365,918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380,224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344,746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203,703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213,591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214,265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210,520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84,394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152,327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165,959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134,227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081"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75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94"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12.09%</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08"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19.77%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43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21.12%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517"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17.86%</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margin" w:tblpY="94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11）Wuhu Jinmao Liquid Science &amp; Technology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股票代码:835120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200,506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210,204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208,067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206,259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137,757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128,473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143,660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136,630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62,749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81,731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69,629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81,942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69,650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69,263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6,552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-5,243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366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3.38%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-2.46%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0.18%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984"/>
        <w:gridCol w:w="1210"/>
        <w:gridCol w:w="1252"/>
        <w:gridCol w:w="1346"/>
        <w:gridCol w:w="1347"/>
        <w:gridCol w:w="162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12）Kunshan Viza Valve Co.,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股票代码:874407</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91"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1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768"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7"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91"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71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768"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7"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100,507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161,849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173,422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145,259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75,325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108,413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117,957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100,565</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25,182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53,436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55,465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44,694</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24,461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30,546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33,966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29,658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22,890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21,499</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15,037</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1132"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91"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252"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0.72%</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16.47%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34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14.15%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1626" w:type="dxa"/>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11.55%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4"/>
        <w:gridCol w:w="1087"/>
        <w:gridCol w:w="1534"/>
        <w:gridCol w:w="1534"/>
        <w:gridCol w:w="1420"/>
        <w:gridCol w:w="1537"/>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13）Jokwang I.L.I Co.,Ltd.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股票代码:044060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484"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55"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920"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484"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55"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920"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31,462,800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30,721,021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31,091,911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18,715,700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19,849,321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19,282,511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12,747,100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10,871,700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11,809,400</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7,666,208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8,063,397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7,864,803</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5,080,892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2,808,303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无数据</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3,944,598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00"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484"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19.26%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10.06%</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5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rPr>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920"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14.53%</w:t>
            </w:r>
            <w:r>
              <w:rPr>
                <w:rFonts w:ascii="Arial" w:hAnsi="Arial" w:eastAsia="等线" w:cs="Arial"/>
                <w:b/>
                <w:bCs/>
                <w:color w:val="ffffff"/>
                <w:sz w:val="18"/>
                <w:szCs w:val="18"/>
              </w:rPr>
            </w:r>
          </w:p>
        </w:tc>
      </w:tr>
    </w:tbl>
    <w:tbl>
      <w:tblPr>
        <w:tblStyle w:val="1293"/>
        <w:tblpPr w:horzAnchor="margin" w:tblpXSpec="left" w:vertAnchor="text" w:tblpY="969" w:leftFromText="180" w:topFromText="0" w:rightFromText="180" w:bottomFromText="0"/>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709"/>
        <w:gridCol w:w="1115"/>
        <w:gridCol w:w="1474"/>
        <w:gridCol w:w="1474"/>
        <w:gridCol w:w="1476"/>
        <w:gridCol w:w="1518"/>
      </w:tblGrid>
      <w:tr>
        <w:trPr>
          <w:trHeight w:val="280"/>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14）Enertork Ltd.</w:t>
            </w:r>
            <w:r>
              <w:rPr>
                <w:rFonts w:ascii="Arial" w:hAnsi="Arial" w:eastAsia="等线" w:cs="Arial"/>
                <w:b/>
                <w:bCs/>
                <w:color w:val="ffffff"/>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股票代码:019990</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1"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2"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80"/>
        </w:trPr>
        <w:tc>
          <w:tcPr>
            <w:shd w:val="clear" w:color="000000" w:fill="c6d9f1"/>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1"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2"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22,574,208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26,287,076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26,943,912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25,268,399</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15,957,317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18,437,432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20,152,214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18,182,321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6,616,891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7,849,644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6,791,698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7,086,078</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5,199,370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6,837,934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7,673,390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6,570,231</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1,417,521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1,011,710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-881,692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515,846</w:t>
            </w:r>
            <w:r>
              <w:rPr>
                <w:rFonts w:ascii="Arial" w:hAnsi="Arial" w:eastAsia="等线" w:cs="Arial"/>
                <w:color w:val="000000"/>
                <w:sz w:val="18"/>
                <w:szCs w:val="18"/>
              </w:rPr>
            </w:r>
          </w:p>
        </w:tc>
      </w:tr>
      <w:tr>
        <w:trPr>
          <w:trHeight w:val="280"/>
        </w:trPr>
        <w:tc>
          <w:tcPr>
            <w:shd w:val="clear" w:color="auto" w:fill="auto"/>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80"/>
        </w:trPr>
        <w:tc>
          <w:tcPr>
            <w:shd w:val="clear" w:color="auto" w:fill="4f81bd"/>
            <w:tcBorders>
              <w:top w:val="none" w:color="000000" w:sz="4" w:space="0"/>
              <w:left w:val="single" w:color="auto" w:sz="4" w:space="0"/>
              <w:bottom w:val="single" w:color="auto" w:sz="4" w:space="0"/>
              <w:right w:val="single" w:color="auto" w:sz="4" w:space="0"/>
            </w:tcBorders>
            <w:tcW w:w="975"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1"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4.00%</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2"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2.08%</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sectPr>
          <w:footnotePr/>
          <w:endnotePr/>
          <w:type w:val="nextPage"/>
          <w:pgSz w:h="16838" w:orient="portrait" w:w="11906"/>
          <w:pgMar w:top="1440" w:right="1797" w:bottom="1440" w:left="1559" w:header="851" w:footer="992" w:gutter="0"/>
          <w:cols w:num="1" w:sep="0" w:space="425" w:equalWidth="1"/>
        </w:sect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58"/>
        <w:gridCol w:w="1087"/>
        <w:gridCol w:w="1504"/>
        <w:gridCol w:w="1504"/>
        <w:gridCol w:w="1504"/>
        <w:gridCol w:w="1509"/>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15）Shri Balaji Valve Components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股票代码:544074</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51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Arial" w:hAnsi="Arial" w:eastAsia="等线" w:cs="Arial"/>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79"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51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79"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354,200</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565,061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715,407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544,889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240,794</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369,652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500,675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370,374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113,406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195,409</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214,732</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174,516</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124,664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159,785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203,095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162,515</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-11,258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35,624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11,637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12,001</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hint="eastAsia" w:ascii="华文楷体" w:hAnsi="华文楷体" w:eastAsia="华文楷体" w:cs="宋体"/>
                <w:color w:val="000000"/>
                <w:sz w:val="18"/>
                <w:szCs w:val="18"/>
              </w:rPr>
              <w:t xml:space="preserve">　</w:t>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7"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515"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-3.08%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6.73%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79"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2.25%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ascii="Arial" w:hAnsi="Arial" w:eastAsia="等线"/>
                <w:b/>
                <w:bCs/>
                <w:color w:val="ffffff"/>
                <w:sz w:val="18"/>
                <w:szCs w:val="18"/>
                <w:highlight w:val="none"/>
              </w:rPr>
              <w:t xml:space="preserve">16）Meson Valves India Limited</w:t>
            </w:r>
            <w:r>
              <w:rPr>
                <w:rFonts w:ascii="Arial" w:hAnsi="Arial" w:eastAsia="等线"/>
                <w:b/>
                <w:bCs/>
                <w:color w:val="ffffff"/>
                <w:sz w:val="18"/>
                <w:szCs w:val="18"/>
                <w:highlight w:val="none"/>
              </w:rPr>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股票代码:543982</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140,966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366,505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631,446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379,639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40,885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243,223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380,668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221,592</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100,081</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123,282</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250,778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158,047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66,553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58,295</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114,668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79,839</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33,528</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64,987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136,110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78,208</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31.21%</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21.55%</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27.48%</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25.95%</w:t>
            </w:r>
            <w:r>
              <w:rPr>
                <w:rFonts w:ascii="Arial" w:hAnsi="Arial" w:eastAsia="等线" w:cs="Arial"/>
                <w:b/>
                <w:bCs/>
                <w:color w:val="ffffff"/>
                <w:sz w:val="18"/>
                <w:szCs w:val="18"/>
              </w:rPr>
            </w:r>
          </w:p>
        </w:tc>
      </w:tr>
    </w:tbl>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p>
      <w:pPr>
        <w:pBdr/>
        <w:spacing/>
        <w:ind w:left="0"/>
        <w:rPr>
          <w:rFonts w:ascii="Arial" w:hAnsi="Arial" w:eastAsia="微软雅黑" w:cs="Arial"/>
          <w:b/>
          <w:bCs/>
          <w:color w:val="3f9c35"/>
          <w:sz w:val="28"/>
          <w:szCs w:val="22"/>
          <w:highlight w:val="yellow"/>
        </w:rPr>
      </w:pPr>
      <w:r>
        <w:rPr>
          <w:rFonts w:ascii="Arial" w:hAnsi="Arial" w:eastAsia="微软雅黑" w:cs="Arial"/>
          <w:b/>
          <w:bCs/>
          <w:color w:val="3f9c35"/>
          <w:sz w:val="28"/>
          <w:szCs w:val="22"/>
          <w:highlight w:val="yellow"/>
        </w:rPr>
      </w:r>
      <w:r>
        <w:rPr>
          <w:rFonts w:ascii="Arial" w:hAnsi="Arial" w:eastAsia="微软雅黑" w:cs="Arial"/>
          <w:b/>
          <w:bCs/>
          <w:color w:val="3f9c35"/>
          <w:sz w:val="28"/>
          <w:szCs w:val="22"/>
          <w:highlight w:val="yellow"/>
        </w:rPr>
      </w:r>
    </w:p>
    <w:tbl>
      <w:tblPr>
        <w:tblStyle w:val="1293"/>
        <w:tblpPr w:horzAnchor="margin" w:tblpXSpec="left" w:vertAnchor="text" w:tblpY="-33" w:leftFromText="180" w:topFromText="0" w:rightFromText="180" w:bottomFromText="0"/>
        <w:tblOverlap w:val="never"/>
        <w:tblW w:w="5000" w:type="pct"/>
        <w:tblInd w:w="0" w:type="dxa"/>
        <w:tblBorders/>
        <w:tblLayout w:type="autofit"/>
        <w:tblCellMar>
          <w:left w:w="108" w:type="dxa"/>
          <w:top w:w="0" w:type="dxa"/>
          <w:right w:w="108" w:type="dxa"/>
          <w:bottom w:w="0" w:type="dxa"/>
        </w:tblCellMar>
        <w:tblLook w:val="04A0" w:firstRow="1" w:lastRow="0" w:firstColumn="1" w:lastColumn="0" w:noHBand="0" w:noVBand="1"/>
      </w:tblPr>
      <w:tblGrid>
        <w:gridCol w:w="1696"/>
        <w:gridCol w:w="1115"/>
        <w:gridCol w:w="1478"/>
        <w:gridCol w:w="1480"/>
        <w:gridCol w:w="1480"/>
        <w:gridCol w:w="1517"/>
      </w:tblGrid>
      <w:tr>
        <w:trPr>
          <w:trHeight w:val="278"/>
        </w:trPr>
        <w:tc>
          <w:tcPr>
            <w:gridSpan w:val="6"/>
            <w:shd w:val="clear" w:color="auto" w:fill="4f81bd"/>
            <w:tcBorders>
              <w:top w:val="single" w:color="auto" w:sz="4" w:space="0"/>
              <w:left w:val="single" w:color="auto" w:sz="4" w:space="0"/>
              <w:bottom w:val="single" w:color="auto" w:sz="4" w:space="0"/>
              <w:right w:val="single" w:color="000000" w:sz="4" w:space="0"/>
            </w:tcBorders>
            <w:tcW w:w="5000" w:type="pct"/>
            <w:vAlign w:val="center"/>
            <w:textDirection w:val="lrTb"/>
            <w:noWrap/>
          </w:tcPr>
          <w:p>
            <w:pPr>
              <w:pBdr/>
              <w:spacing w:after="0" w:before="0"/>
              <w:ind w:right="0" w:left="0"/>
              <w:jc w:val="left"/>
              <w:rPr>
                <w:rFonts w:ascii="Arial" w:hAnsi="Arial" w:eastAsia="等线" w:cs="Arial"/>
                <w:b/>
                <w:bCs/>
                <w:color w:val="ffffff"/>
                <w:sz w:val="18"/>
                <w:szCs w:val="18"/>
              </w:rPr>
            </w:pPr>
            <w:r>
              <w:rPr>
                <w:rFonts w:hint="eastAsia" w:ascii="Arial" w:hAnsi="Arial" w:eastAsia="等线"/>
                <w:b/>
                <w:bCs/>
                <w:color w:val="ffffff"/>
                <w:sz w:val="18"/>
                <w:szCs w:val="18"/>
              </w:rPr>
              <w:t xml:space="preserve">17）Chemtech Industrial Valves Limited</w:t>
            </w:r>
            <w:r>
              <w:rPr>
                <w:rFonts w:ascii="Arial" w:hAnsi="Arial" w:eastAsia="等线" w:cs="Arial"/>
                <w:b/>
                <w:bCs/>
                <w:color w:val="ffffff"/>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股票代码:537326</w:t>
            </w:r>
            <w:r>
              <w:rPr>
                <w:rFonts w:ascii="微软雅黑" w:hAnsi="微软雅黑" w:eastAsia="微软雅黑" w:cs="宋体"/>
                <w:b/>
                <w:bCs/>
                <w:sz w:val="18"/>
                <w:szCs w:val="18"/>
              </w:rPr>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636"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color w:val="auto"/>
                <w:sz w:val="18"/>
                <w:szCs w:val="18"/>
              </w:rPr>
              <w:t xml:space="preserve">公式</w:t>
            </w:r>
            <w:r>
              <w:rPr>
                <w:rFonts w:ascii="微软雅黑" w:hAnsi="微软雅黑" w:eastAsia="微软雅黑" w:cs="宋体"/>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3"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2021</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ascii="微软雅黑" w:hAnsi="微软雅黑" w:eastAsia="微软雅黑" w:cs="宋体"/>
                <w:b/>
                <w:bCs/>
                <w:color w:val="auto"/>
                <w:sz w:val="18"/>
                <w:szCs w:val="18"/>
              </w:rPr>
              <w:t xml:space="preserve">2022</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44" w:type="pct"/>
            <w:vAlign w:val="center"/>
            <w:vMerge w:val="restart"/>
            <w:textDirection w:val="lrTb"/>
            <w:noWrap/>
          </w:tcPr>
          <w:p>
            <w:pPr>
              <w:pBdr/>
              <w:spacing w:after="0" w:before="0"/>
              <w:ind w:right="0" w:left="0"/>
              <w:jc w:val="center"/>
              <w:rPr>
                <w:rFonts w:ascii="Arial" w:hAnsi="Arial" w:eastAsia="等线" w:cs="Arial"/>
                <w:b/>
                <w:bCs/>
                <w:sz w:val="18"/>
                <w:szCs w:val="18"/>
              </w:rPr>
            </w:pPr>
            <w:r>
              <w:rPr>
                <w:rFonts w:hint="eastAsia" w:ascii="微软雅黑" w:hAnsi="微软雅黑" w:eastAsia="微软雅黑" w:cs="宋体"/>
                <w:b/>
                <w:bCs/>
                <w:sz w:val="18"/>
                <w:szCs w:val="18"/>
              </w:rPr>
              <w:t xml:space="preserve">2023</w:t>
            </w:r>
            <w:r>
              <w:rPr>
                <w:rFonts w:ascii="Arial" w:hAnsi="Arial" w:eastAsia="等线" w:cs="Arial"/>
                <w:b/>
                <w:bCs/>
                <w:sz w:val="18"/>
                <w:szCs w:val="18"/>
              </w:rPr>
            </w:r>
          </w:p>
        </w:tc>
        <w:tc>
          <w:tcPr>
            <w:shd w:val="clear" w:color="000000" w:fill="c6d9f1"/>
            <w:tcBorders>
              <w:top w:val="none" w:color="000000" w:sz="4" w:space="0"/>
              <w:left w:val="single" w:color="auto" w:sz="4" w:space="0"/>
              <w:bottom w:val="single" w:color="auto" w:sz="4" w:space="0"/>
              <w:right w:val="single" w:color="auto" w:sz="4" w:space="0"/>
            </w:tcBorders>
            <w:tcW w:w="865" w:type="pct"/>
            <w:vAlign w:val="center"/>
            <w:vMerge w:val="restart"/>
            <w:textDirection w:val="lrTb"/>
            <w:noWrap/>
          </w:tcPr>
          <w:p>
            <w:pPr>
              <w:pBdr/>
              <w:spacing w:after="0" w:before="0"/>
              <w:ind w:right="0" w:left="0"/>
              <w:jc w:val="center"/>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三年加权平均值</w:t>
            </w:r>
            <w:r>
              <w:rPr>
                <w:rFonts w:ascii="微软雅黑" w:hAnsi="微软雅黑" w:eastAsia="微软雅黑" w:cs="宋体"/>
                <w:b/>
                <w:bCs/>
                <w:sz w:val="18"/>
                <w:szCs w:val="18"/>
              </w:rPr>
            </w:r>
          </w:p>
        </w:tc>
      </w:tr>
      <w:tr>
        <w:trPr>
          <w:trHeight w:val="278"/>
        </w:trPr>
        <w:tc>
          <w:tcPr>
            <w:shd w:val="clear" w:color="000000" w:fill="c6d9f1"/>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sz w:val="18"/>
                <w:szCs w:val="18"/>
              </w:rPr>
            </w:pPr>
            <w:r>
              <w:rPr>
                <w:rFonts w:hint="eastAsia" w:ascii="微软雅黑" w:hAnsi="微软雅黑" w:eastAsia="微软雅黑" w:cs="宋体"/>
                <w:b/>
                <w:bCs/>
                <w:sz w:val="18"/>
                <w:szCs w:val="18"/>
              </w:rPr>
              <w:t xml:space="preserve">单位：千元</w:t>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636"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c>
          <w:tcPr>
            <w:tcBorders>
              <w:top w:val="none" w:color="000000" w:sz="4" w:space="0"/>
              <w:left w:val="single" w:color="auto" w:sz="4" w:space="0"/>
              <w:bottom w:val="single" w:color="auto" w:sz="4" w:space="0"/>
              <w:right w:val="single" w:color="auto" w:sz="4" w:space="0"/>
            </w:tcBorders>
            <w:tcW w:w="843"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44" w:type="pct"/>
            <w:vAlign w:val="center"/>
            <w:vMerge w:val="continue"/>
            <w:textDirection w:val="lrTb"/>
            <w:noWrap w:val="false"/>
          </w:tcPr>
          <w:p>
            <w:pPr>
              <w:pBdr/>
              <w:spacing w:after="0" w:before="0"/>
              <w:ind w:right="0" w:left="0"/>
              <w:jc w:val="left"/>
              <w:rPr>
                <w:rFonts w:ascii="Arial" w:hAnsi="Arial" w:eastAsia="等线" w:cs="Arial"/>
                <w:b/>
                <w:bCs/>
                <w:sz w:val="18"/>
                <w:szCs w:val="18"/>
              </w:rPr>
            </w:pPr>
            <w:r>
              <w:rPr>
                <w:rFonts w:ascii="Arial" w:hAnsi="Arial" w:eastAsia="等线" w:cs="Arial"/>
                <w:b/>
                <w:bCs/>
                <w:sz w:val="18"/>
                <w:szCs w:val="18"/>
              </w:rPr>
            </w:r>
            <w:r>
              <w:rPr>
                <w:rFonts w:ascii="Arial" w:hAnsi="Arial" w:eastAsia="等线" w:cs="Arial"/>
                <w:b/>
                <w:bCs/>
                <w:sz w:val="18"/>
                <w:szCs w:val="18"/>
              </w:rPr>
            </w:r>
          </w:p>
        </w:tc>
        <w:tc>
          <w:tcPr>
            <w:tcBorders>
              <w:top w:val="none" w:color="000000" w:sz="4" w:space="0"/>
              <w:left w:val="single" w:color="auto" w:sz="4" w:space="0"/>
              <w:bottom w:val="single" w:color="auto" w:sz="4" w:space="0"/>
              <w:right w:val="single" w:color="auto" w:sz="4" w:space="0"/>
            </w:tcBorders>
            <w:tcW w:w="865" w:type="pct"/>
            <w:vAlign w:val="center"/>
            <w:vMerge w:val="continue"/>
            <w:textDirection w:val="lrTb"/>
            <w:noWrap w:val="false"/>
          </w:tcPr>
          <w:p>
            <w:pPr>
              <w:pBdr/>
              <w:spacing w:after="0" w:before="0"/>
              <w:ind w:right="0" w:left="0"/>
              <w:jc w:val="left"/>
              <w:rPr>
                <w:rFonts w:ascii="微软雅黑" w:hAnsi="微软雅黑" w:eastAsia="微软雅黑" w:cs="宋体"/>
                <w:b/>
                <w:bCs/>
                <w:sz w:val="18"/>
                <w:szCs w:val="18"/>
              </w:rPr>
            </w:pPr>
            <w:r>
              <w:rPr>
                <w:rFonts w:ascii="微软雅黑" w:hAnsi="微软雅黑" w:eastAsia="微软雅黑" w:cs="宋体"/>
                <w:b/>
                <w:bCs/>
                <w:sz w:val="18"/>
                <w:szCs w:val="18"/>
              </w:rPr>
            </w:r>
            <w:r>
              <w:rPr>
                <w:rFonts w:ascii="微软雅黑" w:hAnsi="微软雅黑" w:eastAsia="微软雅黑" w:cs="宋体"/>
                <w:b/>
                <w:bCs/>
                <w:sz w:val="18"/>
                <w:szCs w:val="18"/>
              </w:rPr>
            </w:r>
          </w:p>
        </w:tc>
      </w:tr>
      <w:tr>
        <w:trPr>
          <w:trHeight w:val="397"/>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主营业务收入</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A</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114,735</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204,183</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313,794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210,904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销售成本</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hint="eastAsia" w:ascii="Arial" w:hAnsi="Arial" w:eastAsia="等线" w:cs="Arial"/>
                <w:color w:val="000000"/>
                <w:sz w:val="18"/>
                <w:szCs w:val="18"/>
              </w:rPr>
              <w:t xml:space="preserve">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60,878</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111,957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172,657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115,164</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毛利润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C=A+B</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53,857</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lang w:bidi="ar"/>
              </w:rPr>
            </w:pPr>
            <w:r>
              <w:rPr>
                <w:rFonts w:ascii="Arial" w:hAnsi="Arial" w:eastAsia="等线" w:cs="Arial"/>
                <w:color w:val="000000"/>
                <w:sz w:val="18"/>
                <w:szCs w:val="18"/>
                <w:lang w:bidi="ar"/>
              </w:rPr>
              <w:t xml:space="preserve">92,226</w:t>
            </w:r>
            <w:r>
              <w:rPr>
                <w:rFonts w:ascii="Arial" w:hAnsi="Arial" w:eastAsia="等线" w:cs="Arial"/>
                <w:color w:val="000000"/>
                <w:sz w:val="18"/>
                <w:szCs w:val="18"/>
                <w:lang w:bidi="ar"/>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141,137</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95,740</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b w:val="0"/>
                <w:bCs w:val="0"/>
                <w:color w:val="000000"/>
                <w:sz w:val="18"/>
                <w:szCs w:val="18"/>
              </w:rPr>
              <w:t xml:space="preserve">期间费用</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48,246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63,050</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92,743</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68,013</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color w:val="000000"/>
                <w:sz w:val="18"/>
                <w:szCs w:val="18"/>
              </w:rPr>
            </w:pPr>
            <w:r>
              <w:rPr>
                <w:rFonts w:hint="eastAsia" w:ascii="微软雅黑" w:hAnsi="微软雅黑" w:eastAsia="微软雅黑" w:cs="宋体"/>
                <w:color w:val="000000"/>
                <w:sz w:val="18"/>
                <w:szCs w:val="18"/>
              </w:rPr>
              <w:t xml:space="preserve">息税前营业利润</w:t>
            </w:r>
            <w:r>
              <w:rPr>
                <w:rFonts w:ascii="微软雅黑" w:hAnsi="微软雅黑" w:eastAsia="微软雅黑"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color w:val="000000"/>
                <w:sz w:val="18"/>
                <w:szCs w:val="18"/>
              </w:rPr>
            </w:pPr>
            <w:r>
              <w:rPr>
                <w:rFonts w:ascii="Arial" w:hAnsi="Arial" w:eastAsia="等线" w:cs="Arial"/>
                <w:color w:val="000000"/>
                <w:sz w:val="18"/>
                <w:szCs w:val="18"/>
              </w:rPr>
              <w:t xml:space="preserve">E=C-D</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5,611</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29,176</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48,394</w:t>
            </w:r>
            <w:r>
              <w:rPr>
                <w:rFonts w:ascii="Arial" w:hAnsi="Arial" w:eastAsia="等线" w:cs="Arial"/>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color w:val="000000"/>
                <w:sz w:val="18"/>
                <w:szCs w:val="18"/>
              </w:rPr>
            </w:pPr>
            <w:r>
              <w:rPr>
                <w:rFonts w:ascii="Arial" w:hAnsi="Arial" w:eastAsia="等线" w:cs="Arial"/>
                <w:color w:val="000000"/>
                <w:sz w:val="18"/>
                <w:szCs w:val="18"/>
                <w:lang w:bidi="ar"/>
              </w:rPr>
              <w:t xml:space="preserve">27,727</w:t>
            </w:r>
            <w:r>
              <w:rPr>
                <w:rFonts w:ascii="Arial" w:hAnsi="Arial" w:eastAsia="等线" w:cs="Arial"/>
                <w:color w:val="000000"/>
                <w:sz w:val="18"/>
                <w:szCs w:val="18"/>
              </w:rPr>
            </w:r>
          </w:p>
        </w:tc>
      </w:tr>
      <w:tr>
        <w:trPr>
          <w:trHeight w:val="278"/>
        </w:trPr>
        <w:tc>
          <w:tcPr>
            <w:shd w:val="clear" w:color="auto" w:fill="auto"/>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c>
          <w:tcPr>
            <w:shd w:val="clear" w:color="auto" w:fill="auto"/>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华文楷体" w:hAnsi="华文楷体" w:eastAsia="华文楷体" w:cs="宋体"/>
                <w:color w:val="000000"/>
                <w:sz w:val="18"/>
                <w:szCs w:val="18"/>
              </w:rPr>
            </w:pPr>
            <w:r>
              <w:rPr>
                <w:rFonts w:ascii="华文楷体" w:hAnsi="华文楷体" w:eastAsia="华文楷体" w:cs="宋体"/>
                <w:color w:val="000000"/>
                <w:sz w:val="18"/>
                <w:szCs w:val="18"/>
              </w:rPr>
            </w:r>
            <w:r>
              <w:rPr>
                <w:rFonts w:ascii="华文楷体" w:hAnsi="华文楷体" w:eastAsia="华文楷体" w:cs="宋体"/>
                <w:color w:val="000000"/>
                <w:sz w:val="18"/>
                <w:szCs w:val="18"/>
              </w:rPr>
            </w:r>
          </w:p>
        </w:tc>
      </w:tr>
      <w:tr>
        <w:trPr>
          <w:trHeight w:val="278"/>
        </w:trPr>
        <w:tc>
          <w:tcPr>
            <w:shd w:val="clear" w:color="auto" w:fill="4f81bd"/>
            <w:tcBorders>
              <w:top w:val="none" w:color="000000" w:sz="4" w:space="0"/>
              <w:left w:val="single" w:color="auto" w:sz="4" w:space="0"/>
              <w:bottom w:val="single" w:color="auto" w:sz="4" w:space="0"/>
              <w:right w:val="single" w:color="auto" w:sz="4" w:space="0"/>
            </w:tcBorders>
            <w:tcW w:w="968" w:type="pct"/>
            <w:vAlign w:val="center"/>
            <w:textDirection w:val="lrTb"/>
            <w:noWrap/>
          </w:tcPr>
          <w:p>
            <w:pPr>
              <w:pBdr/>
              <w:spacing w:after="0" w:before="0"/>
              <w:ind w:right="0" w:left="0"/>
              <w:jc w:val="left"/>
              <w:rPr>
                <w:rFonts w:ascii="微软雅黑" w:hAnsi="微软雅黑" w:eastAsia="微软雅黑" w:cs="宋体"/>
                <w:b/>
                <w:bCs/>
                <w:color w:val="ffffff"/>
                <w:sz w:val="18"/>
                <w:szCs w:val="18"/>
              </w:rPr>
            </w:pPr>
            <w:r>
              <w:rPr>
                <w:rFonts w:hint="eastAsia" w:ascii="微软雅黑" w:hAnsi="微软雅黑" w:eastAsia="微软雅黑" w:cs="宋体"/>
                <w:b/>
                <w:bCs/>
                <w:color w:val="ffffff"/>
                <w:sz w:val="18"/>
                <w:szCs w:val="18"/>
                <w:highlight w:val="none"/>
              </w:rPr>
              <w:t xml:space="preserve">完全成本加成率</w:t>
            </w:r>
            <w:r>
              <w:rPr>
                <w:rFonts w:ascii="微软雅黑" w:hAnsi="微软雅黑" w:eastAsia="微软雅黑" w:cs="宋体"/>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636" w:type="pct"/>
            <w:vAlign w:val="center"/>
            <w:textDirection w:val="lrTb"/>
            <w:noWrap/>
          </w:tcPr>
          <w:p>
            <w:pPr>
              <w:pBdr/>
              <w:spacing w:after="0" w:before="0"/>
              <w:ind w:right="0" w:left="0"/>
              <w:jc w:val="center"/>
              <w:rPr>
                <w:rFonts w:ascii="Arial" w:hAnsi="Arial" w:eastAsia="等线" w:cs="Arial"/>
                <w:b/>
                <w:bCs/>
                <w:color w:val="ffffff"/>
                <w:sz w:val="18"/>
                <w:szCs w:val="18"/>
              </w:rPr>
            </w:pPr>
            <w:r>
              <w:rPr>
                <w:rFonts w:ascii="Arial" w:hAnsi="Arial" w:eastAsia="等线" w:cs="Arial"/>
                <w:b/>
                <w:bCs/>
                <w:color w:val="ffffff"/>
                <w:sz w:val="18"/>
                <w:szCs w:val="18"/>
                <w:highlight w:val="none"/>
              </w:rPr>
              <w:t xml:space="preserve">F=E/(B+D)</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3"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5.14%</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16.67%</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44"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18.23%</w:t>
            </w:r>
            <w:r>
              <w:rPr>
                <w:rFonts w:ascii="Arial" w:hAnsi="Arial" w:eastAsia="等线" w:cs="Arial"/>
                <w:b/>
                <w:bCs/>
                <w:color w:val="ffffff"/>
                <w:sz w:val="18"/>
                <w:szCs w:val="18"/>
              </w:rPr>
            </w:r>
          </w:p>
        </w:tc>
        <w:tc>
          <w:tcPr>
            <w:shd w:val="clear" w:color="auto" w:fill="4f81bd"/>
            <w:tcBorders>
              <w:top w:val="none" w:color="000000" w:sz="4" w:space="0"/>
              <w:left w:val="none" w:color="000000" w:sz="4" w:space="0"/>
              <w:bottom w:val="single" w:color="auto" w:sz="4" w:space="0"/>
              <w:right w:val="single" w:color="auto" w:sz="4" w:space="0"/>
            </w:tcBorders>
            <w:tcW w:w="865" w:type="pct"/>
            <w:vAlign w:val="center"/>
            <w:textDirection w:val="lrTb"/>
            <w:noWrap/>
          </w:tcPr>
          <w:p>
            <w:pPr>
              <w:pBdr/>
              <w:spacing/>
              <w:ind/>
              <w:jc w:val="right"/>
              <w:rPr>
                <w:rFonts w:ascii="Arial" w:hAnsi="Arial" w:eastAsia="等线" w:cs="Arial"/>
                <w:b/>
                <w:bCs/>
                <w:color w:val="ffffff"/>
                <w:sz w:val="18"/>
                <w:szCs w:val="18"/>
              </w:rPr>
            </w:pPr>
            <w:r>
              <w:rPr>
                <w:rFonts w:ascii="Arial" w:hAnsi="Arial" w:eastAsia="等线" w:cs="Arial"/>
                <w:b/>
                <w:bCs/>
                <w:color w:val="ffffff"/>
                <w:sz w:val="18"/>
                <w:szCs w:val="18"/>
                <w:lang w:bidi="ar"/>
              </w:rPr>
              <w:t xml:space="preserve">15.14%</w:t>
            </w:r>
            <w:r>
              <w:rPr>
                <w:rFonts w:ascii="Arial" w:hAnsi="Arial" w:eastAsia="等线" w:cs="Arial"/>
                <w:b/>
                <w:bCs/>
                <w:color w:val="ffffff"/>
                <w:sz w:val="18"/>
                <w:szCs w:val="18"/>
              </w:rPr>
            </w:r>
          </w:p>
        </w:tc>
      </w:tr>
    </w:tbl>
    <w:p>
      <w:pPr>
        <w:pBdr/>
        <w:spacing/>
        <w:ind w:left="0"/>
        <w:rPr/>
      </w:pPr>
      <w:r/>
      <w:r/>
    </w:p>
    <w:sectPr>
      <w:footnotePr/>
      <w:endnotePr/>
      <w:type w:val="nextPage"/>
      <w:pgSz w:h="16838" w:orient="portrait" w:w="11906"/>
      <w:pgMar w:top="1440" w:right="1797" w:bottom="1440" w:left="1559"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panose1 w:val="020B0603030804020204"/>
  </w:font>
  <w:font w:name="仿宋">
    <w:panose1 w:val="02020603020101020101"/>
  </w:font>
  <w:font w:name="Courier New">
    <w:panose1 w:val="02070309020205020404"/>
  </w:font>
  <w:font w:name="Symbol">
    <w:panose1 w:val="05010000000000000000"/>
  </w:font>
  <w:font w:name="EYInterstate">
    <w:panose1 w:val="020B0603030804020204"/>
  </w:font>
  <w:font w:name="Cambria">
    <w:panose1 w:val="02040503050406030204"/>
  </w:font>
  <w:font w:name="微软雅黑">
    <w:panose1 w:val="020B0603020202020204"/>
  </w:font>
  <w:font w:name="Calibri">
    <w:panose1 w:val="020F0502020204030204"/>
  </w:font>
  <w:font w:name="华文楷体">
    <w:panose1 w:val="02000600040000000000"/>
  </w:font>
  <w:font w:name="Wingdings">
    <w:panose1 w:val="05010000000000000000"/>
  </w:font>
  <w:font w:name="Garamond">
    <w:panose1 w:val="02020603050405020304"/>
  </w:font>
  <w:font w:name="PMingLiU">
    <w:panose1 w:val="02020603020101020101"/>
  </w:font>
  <w:font w:name="Verdana">
    <w:panose1 w:val="020B0604030504040204"/>
  </w:font>
  <w:font w:name="仿宋_GB2312">
    <w:panose1 w:val="020B0603030804020204"/>
  </w:font>
  <w:font w:name="MS Mincho">
    <w:panose1 w:val="02020603050405090304"/>
  </w:font>
  <w:font w:name="Tahoma">
    <w:panose1 w:val="020B0604030504040204"/>
  </w:font>
  <w:font w:name="楷体">
    <w:panose1 w:val="02020603020101020101"/>
  </w:font>
  <w:font w:name="Arial Unicode MS">
    <w:panose1 w:val="020B0604020202020204"/>
  </w:font>
  <w:font w:name="Arial">
    <w:panose1 w:val="020B0604020202020204"/>
  </w:font>
  <w:font w:name="宋体">
    <w:panose1 w:val="02020603020101020101"/>
  </w:font>
  <w:font w:name="Optima">
    <w:panose1 w:val="020B0603030804020204"/>
  </w:font>
  <w:font w:name="EYInterstate Light">
    <w:panose1 w:val="020B0603030804020204"/>
  </w:font>
  <w:font w:name="Arial Narrow">
    <w:panose1 w:val="020B0604020202020204"/>
  </w:font>
  <w:font w:name="Times New Roman">
    <w:panose1 w:val="020206030504050203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5"/>
      <w:framePr w:hAnchor="margin" w:vAnchor="text" w:wrap="around" w:xAlign="center" w:y="1"/>
      <w:pBdr/>
      <w:spacing/>
      <w:ind/>
      <w:rPr>
        <w:rStyle w:val="1320"/>
      </w:rPr>
    </w:pPr>
    <w:r>
      <w:rPr>
        <w:rStyle w:val="1320"/>
      </w:rPr>
      <w:fldChar w:fldCharType="begin"/>
    </w:r>
    <w:r>
      <w:rPr>
        <w:rStyle w:val="1320"/>
      </w:rPr>
      <w:instrText xml:space="preserve">PAGE  </w:instrText>
    </w:r>
    <w:r>
      <w:rPr>
        <w:rStyle w:val="1320"/>
      </w:rPr>
      <w:fldChar w:fldCharType="end"/>
    </w:r>
    <w:r>
      <w:rPr>
        <w:rStyle w:val="1320"/>
      </w:rPr>
    </w:r>
  </w:p>
  <w:p>
    <w:pPr>
      <w:pStyle w:val="1305"/>
      <w:pBdr/>
      <w:spacing/>
      <w:ind w:right="360"/>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289948131"/>
      <w:rPr>
        <w:rFonts w:ascii="Arial" w:hAnsi="Arial" w:cs="Arial"/>
        <w:sz w:val="16"/>
        <w:szCs w:val="16"/>
      </w:rPr>
    </w:sdtPr>
    <w:sdtContent>
      <w:p>
        <w:pPr>
          <w:pStyle w:val="1305"/>
          <w:pBdr/>
          <w:spacing/>
          <w:ind/>
          <w:jc w:val="center"/>
          <w:rPr>
            <w:rFonts w:ascii="Arial" w:hAnsi="Arial" w:cs="Arial"/>
            <w:sz w:val="16"/>
            <w:szCs w:val="16"/>
          </w:rPr>
        </w:pPr>
        <w:r>
          <w:rPr>
            <w:rFonts w:ascii="Arial" w:hAnsi="Arial" w:cs="Arial"/>
            <w:sz w:val="14"/>
            <w:szCs w:val="16"/>
          </w:rPr>
          <w:fldChar w:fldCharType="begin"/>
        </w:r>
        <w:r>
          <w:rPr>
            <w:rFonts w:ascii="Arial" w:hAnsi="Arial" w:cs="Arial"/>
            <w:sz w:val="14"/>
            <w:szCs w:val="16"/>
          </w:rPr>
          <w:instrText xml:space="preserve">PAGE   \* MERGEFORMAT</w:instrText>
        </w:r>
        <w:r>
          <w:rPr>
            <w:rFonts w:ascii="Arial" w:hAnsi="Arial" w:cs="Arial"/>
            <w:sz w:val="14"/>
            <w:szCs w:val="16"/>
          </w:rPr>
          <w:fldChar w:fldCharType="separate"/>
        </w:r>
        <w:r>
          <w:rPr>
            <w:rFonts w:ascii="Arial" w:hAnsi="Arial" w:cs="Arial"/>
            <w:sz w:val="14"/>
            <w:szCs w:val="16"/>
            <w:lang w:val="zh-CN"/>
          </w:rPr>
          <w:t xml:space="preserve">II</w:t>
        </w:r>
        <w:r>
          <w:rPr>
            <w:rFonts w:ascii="Arial" w:hAnsi="Arial" w:cs="Arial"/>
            <w:sz w:val="14"/>
            <w:szCs w:val="16"/>
          </w:rPr>
          <w:fldChar w:fldCharType="end"/>
        </w:r>
        <w:r>
          <w:rPr>
            <w:rFonts w:ascii="Arial" w:hAnsi="Arial" w:cs="Arial"/>
            <w:sz w:val="16"/>
            <w:szCs w:val="16"/>
          </w:rPr>
        </w:r>
      </w:p>
    </w:sdtContent>
  </w:sdt>
  <w:p>
    <w:pPr>
      <w:pStyle w:val="1305"/>
      <w:pBdr/>
      <w:spacing/>
      <w:ind w:right="420"/>
      <w:jc w:val="left"/>
      <w:rPr>
        <w:rFonts w:ascii="Arial" w:hAnsi="Arial" w:eastAsia="微软雅黑" w:cs="Arial"/>
        <w:sz w:val="14"/>
        <w:szCs w:val="14"/>
      </w:rPr>
    </w:pPr>
    <w:r>
      <w:rPr>
        <w:rFonts w:ascii="Arial" w:hAnsi="Arial" w:eastAsia="微软雅黑" w:cs="Arial"/>
        <w:sz w:val="14"/>
        <w:szCs w:val="14"/>
      </w:rPr>
    </w:r>
    <w:r>
      <w:rPr>
        <w:rFonts w:ascii="Arial" w:hAnsi="Arial" w:eastAsia="微软雅黑" w:cs="Arial"/>
        <w:sz w:val="14"/>
        <w:szCs w:val="14"/>
      </w:rPr>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587583314"/>
      <w:rPr/>
    </w:sdtPr>
    <w:sdtContent>
      <w:p>
        <w:pPr>
          <w:pStyle w:val="1305"/>
          <w:pBdr/>
          <w:spacing/>
          <w:ind/>
          <w:jc w:val="center"/>
          <w:rPr>
            <w:rFonts w:ascii="楷体" w:hAnsi="楷体" w:eastAsia="楷体" w:cs="宋体"/>
            <w:sz w:val="15"/>
            <w:szCs w:val="15"/>
          </w:rPr>
        </w:pPr>
        <w:r>
          <w:rPr>
            <w:rFonts w:ascii="Arial Narrow" w:hAnsi="Arial Narrow" w:eastAsia="仿宋_GB2312" w:cs="Arial"/>
            <w:bCs/>
            <w:sz w:val="16"/>
            <w:szCs w:val="24"/>
          </w:rPr>
          <w:t xml:space="preserve"> </w:t>
        </w: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53</w:t>
        </w:r>
        <w:r>
          <w:rPr>
            <w:rFonts w:ascii="Arial Narrow" w:hAnsi="Arial Narrow"/>
            <w:sz w:val="16"/>
          </w:rPr>
          <w:fldChar w:fldCharType="end"/>
        </w:r>
        <w:r>
          <w:rPr>
            <w:rFonts w:ascii="楷体" w:hAnsi="楷体" w:eastAsia="楷体" w:cs="宋体"/>
            <w:sz w:val="15"/>
            <w:szCs w:val="15"/>
          </w:rPr>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82807475"/>
      <w:rPr/>
    </w:sdtPr>
    <w:sdtContent>
      <w:p>
        <w:pPr>
          <w:pStyle w:val="1305"/>
          <w:pBdr/>
          <w:spacing/>
          <w:ind/>
          <w:jc w:val="center"/>
          <w:rPr/>
        </w:pPr>
        <w:r>
          <w:rPr>
            <w:rFonts w:ascii="Arial Narrow" w:hAnsi="Arial Narrow"/>
            <w:sz w:val="16"/>
          </w:rPr>
          <w:fldChar w:fldCharType="begin"/>
        </w:r>
        <w:r>
          <w:rPr>
            <w:rFonts w:ascii="Arial Narrow" w:hAnsi="Arial Narrow"/>
            <w:sz w:val="16"/>
          </w:rPr>
          <w:instrText xml:space="preserve">PAGE   \* MERGEFORMAT</w:instrText>
        </w:r>
        <w:r>
          <w:rPr>
            <w:rFonts w:ascii="Arial Narrow" w:hAnsi="Arial Narrow"/>
            <w:sz w:val="16"/>
          </w:rPr>
          <w:fldChar w:fldCharType="separate"/>
        </w:r>
        <w:r>
          <w:rPr>
            <w:rFonts w:ascii="Arial Narrow" w:hAnsi="Arial Narrow"/>
            <w:sz w:val="16"/>
            <w:lang w:val="zh-CN"/>
          </w:rPr>
          <w:t xml:space="preserve">62</w:t>
        </w:r>
        <w:r>
          <w:rPr>
            <w:rFonts w:ascii="Arial Narrow" w:hAnsi="Arial Narrow"/>
            <w:sz w:val="16"/>
          </w:rPr>
          <w:fldChar w:fldCharType="end"/>
        </w:r>
        <w:r/>
      </w:p>
    </w:sdtContent>
  </w:sdt>
  <w:p>
    <w:pPr>
      <w:pStyle w:val="1305"/>
      <w:pBdr/>
      <w:spacing/>
      <w:ind w:right="420"/>
      <w:rPr>
        <w:rFonts w:ascii="楷体" w:hAnsi="楷体" w:eastAsia="楷体" w:cs="宋体"/>
        <w:sz w:val="15"/>
        <w:szCs w:val="15"/>
      </w:rPr>
    </w:pPr>
    <w:r>
      <w:rPr>
        <w:rFonts w:ascii="楷体" w:hAnsi="楷体" w:eastAsia="楷体" w:cs="宋体"/>
        <w:sz w:val="15"/>
        <w:szCs w:val="15"/>
      </w:rPr>
    </w:r>
    <w:r>
      <w:rPr>
        <w:rFonts w:ascii="楷体" w:hAnsi="楷体" w:eastAsia="楷体" w:cs="宋体"/>
        <w:sz w:val="15"/>
        <w:szCs w:val="15"/>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before="0"/>
        <w:ind/>
        <w:rPr/>
      </w:pPr>
      <w:r>
        <w:separator/>
      </w:r>
      <w:r/>
    </w:p>
  </w:footnote>
  <w:footnote w:type="continuationSeparator" w:id="0">
    <w:p>
      <w:pPr>
        <w:pBdr/>
        <w:spacing w:after="0" w:before="0"/>
        <w:ind/>
        <w:rPr/>
      </w:pPr>
      <w:r>
        <w:continuationSeparator/>
      </w:r>
      <w:r/>
    </w:p>
  </w:footnote>
  <w:footnote w:id="2">
    <w:p>
      <w:pPr>
        <w:pStyle w:val="1310"/>
        <w:pBdr/>
        <w:spacing w:after="0" w:before="0"/>
        <w:ind/>
        <w:rPr>
          <w:rFonts w:ascii="Arial" w:hAnsi="Arial" w:eastAsia="微软雅黑" w:cs="Arial"/>
          <w:color w:val="000000" w:themeColor="text1"/>
          <w:sz w:val="16"/>
          <w:szCs w:val="16"/>
          <w14:textFill>
            <w14:solidFill>
              <w14:schemeClr w14:val="tx1"/>
            </w14:solidFill>
          </w14:textFill>
        </w:rPr>
      </w:pPr>
      <w:r>
        <w:rPr>
          <w:rStyle w:val="1324"/>
          <w:rFonts w:ascii="Arial" w:hAnsi="Arial" w:eastAsia="微软雅黑" w:cs="Arial"/>
          <w:color w:val="000000" w:themeColor="text1"/>
          <w:sz w:val="16"/>
          <w:szCs w:val="16"/>
          <w14:textFill>
            <w14:solidFill>
              <w14:schemeClr w14:val="tx1"/>
            </w14:solidFill>
          </w14:textFill>
        </w:rPr>
        <w:footnoteRef/>
      </w:r>
      <w:r>
        <w:rPr>
          <w:rFonts w:ascii="Arial" w:hAnsi="Arial" w:eastAsia="微软雅黑" w:cs="Arial"/>
          <w:color w:val="000000" w:themeColor="text1"/>
          <w:sz w:val="16"/>
          <w:szCs w:val="16"/>
          <w14:textFill>
            <w14:solidFill>
              <w14:schemeClr w14:val="tx1"/>
            </w14:solidFill>
          </w14:textFill>
        </w:rPr>
        <w:t xml:space="preserve"> 资料来源：斯必克流体集团官方网站，</w:t>
      </w:r>
      <w:r>
        <w:rPr>
          <w:rFonts w:ascii="Arial" w:hAnsi="Arial" w:eastAsia="微软雅黑" w:cs="Arial"/>
          <w:sz w:val="16"/>
          <w:szCs w:val="16"/>
        </w:rPr>
        <w:t xml:space="preserve">https://www.spxflow.com/about/our-company</w:t>
      </w:r>
      <w:r>
        <w:rPr>
          <w:rFonts w:ascii="Arial" w:hAnsi="Arial" w:eastAsia="微软雅黑" w:cs="Arial"/>
          <w:color w:val="000000" w:themeColor="text1"/>
          <w:sz w:val="16"/>
          <w:szCs w:val="16"/>
          <w14:textFill>
            <w14:solidFill>
              <w14:schemeClr w14:val="tx1"/>
            </w14:solidFill>
          </w14:textFill>
        </w:rPr>
      </w:r>
    </w:p>
  </w:footnote>
  <w:footnote w:id="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资料来源：《OECD跨国企业与税务机关转让定价指南》，第V章，C部分，第5.22段落</w:t>
      </w:r>
      <w:r>
        <w:rPr>
          <w:rFonts w:ascii="Arial" w:hAnsi="Arial" w:eastAsia="微软雅黑" w:cs="Arial"/>
          <w:sz w:val="16"/>
          <w:szCs w:val="16"/>
        </w:rPr>
      </w:r>
    </w:p>
  </w:footnote>
  <w:footnote w:id="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资料来源：《2019年中国工业自动化设备行业主管部门、监管体制、主要法律法规及政策》，中国报告网，http://news.chinabaogao.com/jixie/201912/12164E1642019.html</w:t>
      </w:r>
      <w:r>
        <w:rPr>
          <w:rFonts w:ascii="Arial" w:hAnsi="Arial" w:eastAsia="微软雅黑" w:cs="Arial"/>
          <w:sz w:val="16"/>
          <w:szCs w:val="16"/>
        </w:rPr>
      </w:r>
    </w:p>
  </w:footnote>
  <w:footnote w:id="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资料来源：《17条政策为工业经济“添薪蓄力” 力求2023年“开门稳”》中华人民共和国国家发展和改革委员会，https://www.ndrc.gov.cn/xwdt/ztzl/cjgyjjpwzz/zcfbhjd/202211/t20221129_1342542.html?state=123&amp;state=123&amp;state=123</w:t>
      </w:r>
      <w:r>
        <w:rPr>
          <w:rFonts w:ascii="Arial" w:hAnsi="Arial" w:eastAsia="微软雅黑" w:cs="Arial"/>
          <w:sz w:val="16"/>
          <w:szCs w:val="16"/>
        </w:rPr>
      </w:r>
    </w:p>
  </w:footnote>
  <w:footnote w:id="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资料来源：2025年度《世界经济形势与展望》报告</w:t>
      </w:r>
      <w:r>
        <w:rPr>
          <w:rFonts w:hint="eastAsia" w:ascii="Arial" w:hAnsi="Arial" w:eastAsia="微软雅黑" w:cs="Arial"/>
          <w:sz w:val="16"/>
          <w:szCs w:val="16"/>
        </w:rPr>
        <w:t xml:space="preserve">，</w:t>
      </w:r>
      <w:r>
        <w:rPr>
          <w:rFonts w:ascii="Arial" w:hAnsi="Arial" w:eastAsia="微软雅黑" w:cs="Arial"/>
          <w:sz w:val="16"/>
          <w:szCs w:val="16"/>
        </w:rPr>
        <w:t xml:space="preserve">https://desapublications.un.org/publications/world-economic-situation-and-prospects-2025</w:t>
      </w:r>
      <w:r>
        <w:rPr>
          <w:rFonts w:ascii="Arial" w:hAnsi="Arial" w:eastAsia="微软雅黑" w:cs="Arial"/>
          <w:sz w:val="16"/>
          <w:szCs w:val="16"/>
        </w:rPr>
      </w:r>
    </w:p>
  </w:footnote>
  <w:footnote w:id="1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资料来源：中国物流与采购联合会</w:t>
      </w:r>
      <w:r>
        <w:rPr>
          <w:rFonts w:hint="eastAsia" w:ascii="Arial" w:hAnsi="Arial" w:eastAsia="微软雅黑" w:cs="Arial"/>
          <w:sz w:val="16"/>
          <w:szCs w:val="16"/>
        </w:rPr>
        <w:t xml:space="preserve">《指数持续上升，全球经济平稳收官》</w:t>
      </w:r>
      <w:r>
        <w:rPr>
          <w:rFonts w:ascii="Arial" w:hAnsi="Arial" w:eastAsia="微软雅黑" w:cs="Arial"/>
          <w:sz w:val="16"/>
          <w:szCs w:val="16"/>
        </w:rPr>
        <w:t xml:space="preserve">，</w:t>
      </w:r>
      <w:r>
        <w:t xml:space="preserve"> </w:t>
      </w:r>
      <w:r>
        <w:rPr>
          <w:rFonts w:ascii="Arial" w:hAnsi="Arial" w:eastAsia="微软雅黑" w:cs="Arial"/>
          <w:sz w:val="16"/>
          <w:szCs w:val="16"/>
        </w:rPr>
        <w:t xml:space="preserve">http://www.chinawuliu.com.cn/lhhzq/202501/06/643392.shtml</w:t>
      </w:r>
      <w:r>
        <w:rPr>
          <w:rFonts w:ascii="Arial" w:hAnsi="Arial" w:eastAsia="微软雅黑" w:cs="Arial"/>
          <w:sz w:val="16"/>
          <w:szCs w:val="16"/>
        </w:rPr>
      </w:r>
    </w:p>
  </w:footnote>
  <w:footnote w:id="11">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资料来源：MIR DATABANK</w:t>
      </w:r>
      <w:r>
        <w:rPr>
          <w:rFonts w:hint="eastAsia" w:ascii="Arial" w:hAnsi="Arial" w:eastAsia="微软雅黑" w:cs="Arial"/>
          <w:sz w:val="16"/>
          <w:szCs w:val="16"/>
        </w:rPr>
        <w:t xml:space="preserve">《2024 年中国自动化市场发展回顾与 2025 年展望》</w:t>
      </w:r>
      <w:r>
        <w:rPr>
          <w:rFonts w:ascii="Arial" w:hAnsi="Arial" w:eastAsia="微软雅黑" w:cs="Arial"/>
          <w:sz w:val="16"/>
          <w:szCs w:val="16"/>
        </w:rPr>
        <w:t xml:space="preserve">，https://www.mirdatabank.com/News/NewsDetail?id=1017067  </w:t>
      </w:r>
      <w:r>
        <w:rPr>
          <w:rFonts w:ascii="Arial" w:hAnsi="Arial" w:eastAsia="微软雅黑" w:cs="Arial"/>
          <w:sz w:val="16"/>
          <w:szCs w:val="16"/>
        </w:rPr>
      </w:r>
    </w:p>
  </w:footnote>
  <w:footnote w:id="1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国家统计局《2024 年中国自动化市场发展回顾与 2025 年展望》</w:t>
      </w:r>
      <w:r>
        <w:rPr>
          <w:rFonts w:ascii="Arial" w:hAnsi="Arial" w:eastAsia="微软雅黑" w:cs="Arial"/>
          <w:sz w:val="16"/>
          <w:szCs w:val="16"/>
        </w:rPr>
        <w:t xml:space="preserve">，https://www.stats.gov.cn/sj/zxfb/202412/t20241231_1958118.html</w:t>
      </w:r>
      <w:r>
        <w:rPr>
          <w:rFonts w:ascii="Arial" w:hAnsi="Arial" w:eastAsia="微软雅黑" w:cs="Arial"/>
          <w:sz w:val="16"/>
          <w:szCs w:val="16"/>
        </w:rPr>
      </w:r>
    </w:p>
  </w:footnote>
  <w:footnote w:id="13">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w:t>
      </w:r>
      <w:r>
        <w:rPr>
          <w:rFonts w:hint="eastAsia" w:ascii="Arial" w:hAnsi="Arial" w:eastAsia="微软雅黑" w:cs="Arial"/>
          <w:sz w:val="16"/>
          <w:szCs w:val="16"/>
        </w:rPr>
        <w:t xml:space="preserve">智研咨询</w:t>
      </w:r>
      <w:r>
        <w:rPr>
          <w:rFonts w:ascii="Arial" w:hAnsi="Arial" w:eastAsia="微软雅黑" w:cs="Arial"/>
          <w:sz w:val="16"/>
          <w:szCs w:val="16"/>
        </w:rPr>
        <w:t xml:space="preserve">《</w:t>
      </w:r>
      <w:r>
        <w:rPr>
          <w:rFonts w:hint="eastAsia" w:ascii="Arial" w:hAnsi="Arial" w:eastAsia="微软雅黑" w:cs="Arial"/>
          <w:sz w:val="16"/>
          <w:szCs w:val="16"/>
        </w:rPr>
        <w:t xml:space="preserve">2025-2031年中国乳制品行业市场运营态势及投资前景趋势报告</w:t>
      </w:r>
      <w:r>
        <w:rPr>
          <w:rFonts w:ascii="Arial" w:hAnsi="Arial" w:eastAsia="微软雅黑" w:cs="Arial"/>
          <w:sz w:val="16"/>
          <w:szCs w:val="16"/>
        </w:rPr>
        <w:t xml:space="preserve">》，https://www.chyxx.com/research/202011/906591.html</w:t>
      </w:r>
      <w:r>
        <w:rPr>
          <w:rFonts w:ascii="Arial" w:hAnsi="Arial" w:eastAsia="微软雅黑" w:cs="Arial"/>
          <w:sz w:val="16"/>
          <w:szCs w:val="16"/>
        </w:rPr>
      </w:r>
    </w:p>
  </w:footnote>
  <w:footnote w:id="14">
    <w:p>
      <w:pPr>
        <w:pStyle w:val="1310"/>
        <w:pBdr/>
        <w:spacing/>
        <w:ind/>
        <w:rPr/>
      </w:pPr>
      <w:r>
        <w:rPr>
          <w:rStyle w:val="1324"/>
        </w:rPr>
        <w:footnoteRef/>
      </w:r>
      <w:r>
        <w:t xml:space="preserve"> </w:t>
      </w:r>
      <w:r>
        <w:rPr>
          <w:rFonts w:hint="eastAsia"/>
        </w:rPr>
        <w:t xml:space="preserve">资料来源：国际货币基金组织 2025年4月《世界经济展望》:政策转变下的关键时刻</w:t>
      </w:r>
      <w:r>
        <w:t xml:space="preserve">https://www.imf.org/zh/Publications/WEO/Issues/2025/04/22/world-economic-outlook-april-2025</w:t>
      </w:r>
      <w:r/>
    </w:p>
  </w:footnote>
  <w:footnote w:id="1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1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w:t>
      </w:r>
      <w:r>
        <w:rPr>
          <w:rFonts w:ascii="Arial" w:hAnsi="Arial" w:eastAsia="微软雅黑" w:cs="Arial"/>
          <w:sz w:val="16"/>
          <w:szCs w:val="16"/>
        </w:rPr>
      </w:r>
    </w:p>
  </w:footnote>
  <w:footnote w:id="1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资料来源：斯必克流体技术2024年度审计报告及关联业务往来报告表</w:t>
      </w:r>
      <w:r>
        <w:rPr>
          <w:rFonts w:ascii="Arial" w:hAnsi="Arial" w:eastAsia="微软雅黑" w:cs="Arial"/>
          <w:sz w:val="16"/>
          <w:szCs w:val="16"/>
        </w:rPr>
      </w:r>
    </w:p>
  </w:footnote>
  <w:footnote w:id="1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w:t>
      </w:r>
      <w:r>
        <w:rPr>
          <w:rFonts w:hint="eastAsia" w:ascii="Arial" w:hAnsi="Arial" w:eastAsia="微软雅黑" w:cs="Arial"/>
          <w:sz w:val="16"/>
          <w:szCs w:val="16"/>
        </w:rPr>
        <w:t xml:space="preserve">2024</w:t>
      </w:r>
      <w:r>
        <w:rPr>
          <w:rFonts w:ascii="Arial" w:hAnsi="Arial" w:eastAsia="微软雅黑" w:cs="Arial"/>
          <w:sz w:val="16"/>
          <w:szCs w:val="16"/>
        </w:rPr>
        <w:t xml:space="preserve">年度审计报告及关联业务往来报告表</w:t>
      </w:r>
      <w:r>
        <w:rPr>
          <w:rFonts w:ascii="Arial" w:hAnsi="Arial" w:eastAsia="微软雅黑" w:cs="Arial"/>
          <w:sz w:val="16"/>
          <w:szCs w:val="16"/>
        </w:rPr>
      </w:r>
    </w:p>
  </w:footnote>
  <w:footnote w:id="20">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《OECD 跨国企业与税务机关转让定价指南》，第 III 章，A 部分，第 3.9 段落</w:t>
      </w:r>
      <w:r>
        <w:rPr>
          <w:rFonts w:ascii="Arial" w:hAnsi="Arial" w:eastAsia="微软雅黑" w:cs="Arial"/>
          <w:sz w:val="16"/>
          <w:szCs w:val="16"/>
        </w:rPr>
      </w:r>
    </w:p>
  </w:footnote>
  <w:footnote w:id="2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资料来源：斯必克流体技术管理层</w:t>
      </w:r>
      <w:r>
        <w:rPr>
          <w:rFonts w:ascii="Arial" w:hAnsi="Arial" w:eastAsia="微软雅黑" w:cs="Arial"/>
          <w:sz w:val="16"/>
          <w:szCs w:val="16"/>
        </w:rPr>
      </w:r>
    </w:p>
  </w:footnote>
  <w:footnote w:id="22">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资料来源：《联合国发展中国家转让定价操作手册》，第10章，第10.3.3.2段落</w:t>
      </w:r>
      <w:r>
        <w:rPr>
          <w:rFonts w:ascii="Arial" w:hAnsi="Arial" w:eastAsia="微软雅黑" w:cs="Arial"/>
          <w:sz w:val="16"/>
          <w:szCs w:val="16"/>
        </w:rPr>
      </w:r>
    </w:p>
  </w:footnote>
  <w:footnote w:id="2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《2022/23国际工资报告》，https://www.ilo.org/sites/default/files/wcmsp5/groups/public/@asia/@ro-bangkok/@ilo-beijing/documents/publication/wcms_886275.pdf</w:t>
      </w:r>
      <w:r>
        <w:rPr>
          <w:rFonts w:ascii="Arial" w:hAnsi="Arial" w:eastAsia="微软雅黑" w:cs="Arial"/>
          <w:sz w:val="16"/>
          <w:szCs w:val="16"/>
        </w:rPr>
      </w:r>
    </w:p>
  </w:footnote>
  <w:footnote w:id="24">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bookmarkStart w:id="734" w:name="_Hlk169895110"/>
      <w:r>
        <w:rPr>
          <w:rFonts w:ascii="Arial" w:hAnsi="Arial" w:eastAsia="微软雅黑" w:cs="Arial"/>
          <w:sz w:val="16"/>
          <w:szCs w:val="16"/>
        </w:rPr>
        <w:t xml:space="preserve">资料来源：</w:t>
      </w:r>
      <w:r>
        <w:rPr>
          <w:rFonts w:hint="eastAsia" w:ascii="Arial" w:hAnsi="Arial" w:eastAsia="微软雅黑" w:cs="Arial"/>
          <w:sz w:val="16"/>
          <w:szCs w:val="16"/>
        </w:rPr>
        <w:t xml:space="preserve">《全国各省、自治区、直辖市最低工资标准情况（截至2025年1月1日）》</w:t>
      </w:r>
      <w:r>
        <w:rPr>
          <w:rFonts w:ascii="Arial" w:hAnsi="Arial" w:eastAsia="微软雅黑" w:cs="Arial"/>
          <w:sz w:val="16"/>
          <w:szCs w:val="16"/>
        </w:rPr>
        <w:t xml:space="preserve">，</w:t>
      </w:r>
      <w:bookmarkStart w:id="735" w:name="OLE_LINK3"/>
      <w:r>
        <w:rPr>
          <w:rFonts w:ascii="Arial" w:hAnsi="Arial" w:eastAsia="微软雅黑" w:cs="Arial"/>
          <w:sz w:val="16"/>
          <w:szCs w:val="16"/>
        </w:rPr>
        <w:t xml:space="preserve">https://www.mohrss.gov.cn/SYrlzyhshbzb/laodongguanxi_/fwyd/202501/t20250114_534601.html</w:t>
      </w:r>
      <w:bookmarkEnd w:id="734"/>
      <w:r/>
      <w:bookmarkEnd w:id="735"/>
      <w:r/>
      <w:r>
        <w:rPr>
          <w:rFonts w:ascii="Arial" w:hAnsi="Arial" w:eastAsia="微软雅黑" w:cs="Arial"/>
          <w:sz w:val="16"/>
          <w:szCs w:val="16"/>
        </w:rPr>
      </w:r>
    </w:p>
  </w:footnote>
  <w:footnote w:id="25">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资料来源：国家统计局《2024年城镇单位就业人员年平均工资情况》，</w:t>
      </w:r>
      <w:bookmarkStart w:id="736" w:name="OLE_LINK5"/>
      <w:r>
        <w:rPr>
          <w:rFonts w:ascii="Arial" w:hAnsi="Arial" w:eastAsia="微软雅黑" w:cs="Arial"/>
          <w:sz w:val="16"/>
          <w:szCs w:val="16"/>
        </w:rPr>
        <w:t xml:space="preserve">https://www.stats.gov.cn/sj/zxfb/202505/t20250516_1959826.html</w:t>
      </w:r>
      <w:bookmarkEnd w:id="736"/>
      <w:r/>
      <w:r>
        <w:rPr>
          <w:rFonts w:ascii="Arial" w:hAnsi="Arial" w:eastAsia="微软雅黑" w:cs="Arial"/>
          <w:sz w:val="16"/>
          <w:szCs w:val="16"/>
        </w:rPr>
      </w:r>
    </w:p>
  </w:footnote>
  <w:footnote w:id="26">
    <w:p>
      <w:pPr>
        <w:pStyle w:val="1310"/>
        <w:pBdr/>
        <w:spacing w:after="0" w:before="0"/>
        <w:ind/>
        <w:jc w:val="left"/>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资料来源：国家统计局</w:t>
      </w:r>
      <w:r>
        <w:rPr>
          <w:rFonts w:hint="eastAsia" w:ascii="Arial" w:hAnsi="Arial" w:eastAsia="微软雅黑" w:cs="Arial"/>
          <w:sz w:val="16"/>
          <w:szCs w:val="16"/>
        </w:rPr>
        <w:t xml:space="preserve">《202</w:t>
      </w:r>
      <w:r>
        <w:rPr>
          <w:rFonts w:ascii="Arial" w:hAnsi="Arial" w:eastAsia="微软雅黑" w:cs="Arial"/>
          <w:sz w:val="16"/>
          <w:szCs w:val="16"/>
        </w:rPr>
        <w:t xml:space="preserve">4</w:t>
      </w:r>
      <w:r>
        <w:rPr>
          <w:rFonts w:hint="eastAsia" w:ascii="Arial" w:hAnsi="Arial" w:eastAsia="微软雅黑" w:cs="Arial"/>
          <w:sz w:val="16"/>
          <w:szCs w:val="16"/>
        </w:rPr>
        <w:t xml:space="preserve">年城镇单位就业人员年平均工资情况》</w:t>
      </w:r>
      <w:r>
        <w:rPr>
          <w:rFonts w:ascii="Arial" w:hAnsi="Arial" w:eastAsia="微软雅黑" w:cs="Arial"/>
          <w:sz w:val="16"/>
          <w:szCs w:val="16"/>
        </w:rPr>
        <w:t xml:space="preserve">，https://www.stats.gov.cn/sj/zxfb/202505/t20250516_1959826.html</w:t>
      </w:r>
      <w:r>
        <w:rPr>
          <w:rFonts w:ascii="Arial" w:hAnsi="Arial" w:eastAsia="微软雅黑" w:cs="Arial"/>
          <w:sz w:val="16"/>
          <w:szCs w:val="16"/>
        </w:rPr>
      </w:r>
    </w:p>
  </w:footnote>
  <w:footnote w:id="2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Style w:val="1324"/>
          <w:rFonts w:ascii="Arial" w:hAnsi="Arial" w:eastAsia="微软雅黑" w:cs="Arial"/>
          <w:sz w:val="16"/>
          <w:szCs w:val="16"/>
        </w:rPr>
        <w:t xml:space="preserve"> </w:t>
      </w:r>
      <w:r>
        <w:rPr>
          <w:rFonts w:ascii="Arial" w:hAnsi="Arial" w:eastAsia="微软雅黑" w:cs="Arial"/>
          <w:sz w:val="16"/>
          <w:szCs w:val="16"/>
        </w:rPr>
        <w:t xml:space="preserve">资料来源：《联合国发展中国家转让定价操作手册》，第10章，第10.3.3.3段落</w:t>
      </w:r>
      <w:r>
        <w:rPr>
          <w:rFonts w:ascii="Arial" w:hAnsi="Arial" w:eastAsia="微软雅黑" w:cs="Arial"/>
          <w:sz w:val="16"/>
          <w:szCs w:val="16"/>
        </w:rPr>
      </w:r>
    </w:p>
  </w:footnote>
  <w:footnote w:id="28">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资料来源：《OECD转让定价指南》2.11章</w:t>
      </w:r>
      <w:r>
        <w:rPr>
          <w:rFonts w:ascii="Arial" w:hAnsi="Arial" w:eastAsia="微软雅黑" w:cs="Arial"/>
          <w:sz w:val="16"/>
          <w:szCs w:val="16"/>
        </w:rPr>
      </w:r>
    </w:p>
  </w:footnote>
  <w:footnote w:id="29">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《OECD转让定价指南》2.58章</w:t>
      </w:r>
      <w:r>
        <w:rPr>
          <w:rFonts w:ascii="Arial" w:hAnsi="Arial" w:eastAsia="微软雅黑" w:cs="Arial"/>
          <w:sz w:val="16"/>
          <w:szCs w:val="16"/>
        </w:rPr>
      </w:r>
    </w:p>
  </w:footnote>
  <w:footnote w:id="30">
    <w:p>
      <w:pPr>
        <w:pStyle w:val="1310"/>
        <w:pBdr/>
        <w:spacing w:after="0" w:before="0"/>
        <w:ind/>
        <w:rPr/>
      </w:pPr>
      <w:r>
        <w:rPr>
          <w:rStyle w:val="1324"/>
        </w:rPr>
        <w:footnoteRef/>
      </w:r>
      <w:r>
        <w:t xml:space="preserve"> </w:t>
      </w:r>
      <w:r>
        <w:rPr>
          <w:rFonts w:hint="eastAsia" w:ascii="Arial" w:hAnsi="Arial" w:eastAsia="微软雅黑" w:cs="Arial"/>
          <w:sz w:val="16"/>
          <w:szCs w:val="16"/>
        </w:rPr>
        <w:t xml:space="preserve">资料来源：斯必克流体技术关联业务往来报告表及管理层信息</w:t>
      </w:r>
      <w:r/>
    </w:p>
  </w:footnote>
  <w:footnote w:id="31">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在2005年3月25日由国税总局发布的国税函[2005]239号文（“国家税务总局关于2005年度反避税工作的通知”）中，国税总局要求在进行反避税调查和纳税调整中，要积极利用Bureau van Dijk公司的数据库。</w:t>
      </w:r>
      <w:r>
        <w:rPr>
          <w:rFonts w:ascii="Arial" w:hAnsi="Arial" w:eastAsia="微软雅黑" w:cs="Arial"/>
          <w:sz w:val="16"/>
          <w:szCs w:val="16"/>
        </w:rPr>
      </w:r>
    </w:p>
  </w:footnote>
  <w:footnote w:id="32">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《OECD转让定价指南》3.76章</w:t>
      </w:r>
      <w:r>
        <w:rPr>
          <w:rFonts w:ascii="Arial" w:hAnsi="Arial" w:eastAsia="微软雅黑" w:cs="Arial"/>
          <w:sz w:val="16"/>
          <w:szCs w:val="16"/>
        </w:rPr>
      </w:r>
    </w:p>
  </w:footnote>
  <w:footnote w:id="33">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《OECD转让定价指南》3.77章</w:t>
      </w:r>
      <w:r>
        <w:rPr>
          <w:rFonts w:ascii="Arial" w:hAnsi="Arial" w:eastAsia="微软雅黑" w:cs="Arial"/>
          <w:sz w:val="16"/>
          <w:szCs w:val="16"/>
        </w:rPr>
      </w:r>
    </w:p>
  </w:footnote>
  <w:footnote w:id="34">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《OECD转让定价指南》3.55章</w:t>
      </w:r>
      <w:r>
        <w:rPr>
          <w:rFonts w:ascii="Arial" w:hAnsi="Arial" w:eastAsia="微软雅黑" w:cs="Arial"/>
          <w:sz w:val="16"/>
          <w:szCs w:val="16"/>
        </w:rPr>
      </w:r>
    </w:p>
  </w:footnote>
  <w:footnote w:id="35">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国家税务总局公告2017年第6号第25条提及“四分位法”的使用。四分位区间是指下四分位数至上四分位数之间的区间。</w:t>
      </w:r>
      <w:r>
        <w:rPr>
          <w:rFonts w:ascii="Arial" w:hAnsi="Arial" w:eastAsia="微软雅黑" w:cs="Arial"/>
          <w:sz w:val="16"/>
          <w:szCs w:val="16"/>
        </w:rPr>
      </w:r>
    </w:p>
  </w:footnote>
  <w:footnote w:id="36">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中国人民银行公布的金融机构人民币贷款基准利率，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http://www.pbc.gov.cn/zhengcehuobisi/125207/125213/125440/125838/125888/2968985/index.html</w:t>
      </w:r>
      <w:r>
        <w:rPr>
          <w:rFonts w:ascii="Arial" w:hAnsi="Arial" w:eastAsia="微软雅黑" w:cs="Arial"/>
          <w:sz w:val="16"/>
          <w:szCs w:val="16"/>
        </w:rPr>
      </w:r>
    </w:p>
  </w:footnote>
  <w:footnote w:id="37">
    <w:p>
      <w:pPr>
        <w:pStyle w:val="1310"/>
        <w:pBdr/>
        <w:spacing w:after="0" w:before="0"/>
        <w:ind/>
        <w:rPr>
          <w:rFonts w:ascii="Arial" w:hAnsi="Arial" w:eastAsia="微软雅黑" w:cs="Arial"/>
          <w:sz w:val="16"/>
          <w:szCs w:val="16"/>
        </w:rPr>
      </w:pPr>
      <w:r>
        <w:rPr>
          <w:rStyle w:val="1324"/>
          <w:rFonts w:ascii="Arial" w:hAnsi="Arial" w:eastAsia="微软雅黑" w:cs="Arial"/>
          <w:sz w:val="16"/>
          <w:szCs w:val="16"/>
        </w:rPr>
        <w:footnoteRef/>
      </w:r>
      <w:r>
        <w:rPr>
          <w:rFonts w:ascii="Arial" w:hAnsi="Arial" w:eastAsia="微软雅黑" w:cs="Arial"/>
          <w:sz w:val="16"/>
          <w:szCs w:val="16"/>
        </w:rPr>
        <w:t xml:space="preserve"> 中国人民银行公布的金融机构人民币存款基准利率，</w:t>
      </w:r>
      <w:r>
        <w:rPr>
          <w:rFonts w:ascii="Arial" w:hAnsi="Arial" w:eastAsia="微软雅黑" w:cs="Arial"/>
          <w:sz w:val="16"/>
          <w:szCs w:val="16"/>
        </w:rPr>
      </w:r>
    </w:p>
    <w:p>
      <w:pPr>
        <w:pStyle w:val="1310"/>
        <w:pBdr/>
        <w:spacing w:after="0" w:before="0"/>
        <w:ind/>
        <w:rPr>
          <w:rFonts w:ascii="Arial" w:hAnsi="Arial" w:eastAsia="微软雅黑" w:cs="Arial"/>
          <w:sz w:val="16"/>
          <w:szCs w:val="16"/>
        </w:rPr>
      </w:pPr>
      <w:r>
        <w:rPr>
          <w:rFonts w:ascii="Arial" w:hAnsi="Arial" w:eastAsia="微软雅黑" w:cs="Arial"/>
          <w:sz w:val="16"/>
          <w:szCs w:val="16"/>
        </w:rPr>
        <w:t xml:space="preserve">http://www.pbc.gov.cn/zhengcehuobisi/125207/125213/125440/125838/125888/2968982/index.html</w:t>
      </w:r>
      <w:r>
        <w:rPr>
          <w:rFonts w:ascii="Arial" w:hAnsi="Arial" w:eastAsia="微软雅黑" w:cs="Arial"/>
          <w:sz w:val="16"/>
          <w:szCs w:val="16"/>
        </w:rP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both"/>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none" w:color="000000" w:sz="0" w:space="0"/>
      </w:pBdr>
      <w:spacing/>
      <w:ind/>
      <w:jc w:val="left"/>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{{清单模板-数据表-B1}}</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ascii="Arial" w:hAnsi="Arial" w:eastAsia="微软雅黑" w:cs="Arial"/>
        <w:sz w:val="16"/>
        <w:szCs w:val="16"/>
      </w:rPr>
      <w:t xml:space="preserve">同期资料本地文档</w:t>
    </w:r>
    <w:r>
      <w:rPr>
        <w:rFonts w:ascii="Arial" w:hAnsi="Arial" w:eastAsia="微软雅黑" w:cs="Arial"/>
        <w:sz w:val="16"/>
        <w:szCs w:val="16"/>
      </w:rPr>
    </w:r>
  </w:p>
  <w:p>
    <w:pPr>
      <w:pStyle w:val="1306"/>
      <w:pBdr>
        <w:bottom w:val="single" w:color="000000" w:sz="4" w:space="0"/>
      </w:pBdr>
      <w:tabs>
        <w:tab w:val="left" w:leader="none" w:pos="7830"/>
      </w:tabs>
      <w:spacing w:after="0" w:before="0" w:line="240" w:lineRule="atLeast"/>
      <w:ind w:right="0" w:left="0"/>
      <w:jc w:val="right"/>
      <w:rPr>
        <w:rFonts w:ascii="Arial" w:hAnsi="Arial" w:eastAsia="微软雅黑" w:cs="Arial"/>
        <w:sz w:val="16"/>
        <w:szCs w:val="16"/>
      </w:rPr>
    </w:pPr>
    <w:r>
      <w:rPr>
        <w:rFonts w:hint="eastAsia" w:ascii="Arial" w:hAnsi="Arial" w:eastAsia="微软雅黑" w:cs="Arial"/>
        <w:sz w:val="16"/>
        <w:szCs w:val="16"/>
      </w:rPr>
      <w:t xml:space="preserve">{{清单模板-数据表-B2}}</w:t>
    </w:r>
    <w:r>
      <w:rPr>
        <w:rFonts w:ascii="Arial" w:hAnsi="Arial" w:eastAsia="微软雅黑" w:cs="Arial"/>
        <w:sz w:val="16"/>
        <w:szCs w:val="16"/>
      </w:rPr>
    </w:r>
    <w:r>
      <w:rPr>
        <w:rFonts w:ascii="Arial" w:hAnsi="Arial" w:eastAsia="微软雅黑" w:cs="Arial"/>
        <w:sz w:val="16"/>
        <w:szCs w:val="16"/>
      </w:rPr>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306"/>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left" w:leader="none" w:pos="312"/>
        </w:tabs>
        <w:spacing/>
        <w:ind/>
      </w:pPr>
      <w:rPr/>
      <w:start w:val="1"/>
      <w:suff w:val="tab"/>
    </w:lvl>
    <w:lvl w:ilvl="1">
      <w:isLgl w:val="false"/>
      <w:lvlJc w:val="left"/>
      <w:lvlText w:val="%1.%2."/>
      <w:numFmt w:val="decimal"/>
      <w:pPr>
        <w:pBdr/>
        <w:tabs>
          <w:tab w:val="left" w:leader="none" w:pos="312"/>
        </w:tabs>
        <w:spacing/>
        <w:ind w:firstLine="0" w:left="0"/>
      </w:pPr>
      <w:rPr>
        <w:rFonts w:hint="default"/>
      </w:rPr>
      <w:start w:val="1"/>
      <w:suff w:val="tab"/>
    </w:lvl>
    <w:lvl w:ilvl="2">
      <w:isLgl w:val="false"/>
      <w:lvlJc w:val="left"/>
      <w:lvlText w:val="%1.%2.%3."/>
      <w:numFmt w:val="decimal"/>
      <w:pPr>
        <w:pBdr/>
        <w:tabs>
          <w:tab w:val="left" w:leader="none" w:pos="312"/>
        </w:tabs>
        <w:spacing/>
        <w:ind w:firstLine="0" w:left="0"/>
      </w:pPr>
      <w:rPr>
        <w:rFonts w:hint="default"/>
      </w:rPr>
      <w:start w:val="1"/>
      <w:suff w:val="tab"/>
    </w:lvl>
    <w:lvl w:ilvl="3">
      <w:isLgl w:val="false"/>
      <w:lvlJc w:val="left"/>
      <w:lvlText w:val="%1.%2.%3.%4."/>
      <w:numFmt w:val="decimal"/>
      <w:pPr>
        <w:pBdr/>
        <w:tabs>
          <w:tab w:val="left" w:leader="none" w:pos="312"/>
        </w:tabs>
        <w:spacing/>
        <w:ind w:firstLine="0" w:left="0"/>
      </w:pPr>
      <w:rPr>
        <w:rFonts w:hint="default"/>
      </w:rPr>
      <w:start w:val="1"/>
      <w:suff w:val="tab"/>
    </w:lvl>
    <w:lvl w:ilvl="4">
      <w:isLgl w:val="false"/>
      <w:lvlJc w:val="left"/>
      <w:lvlText w:val="%1.%2.%3.%4.%5."/>
      <w:numFmt w:val="decimal"/>
      <w:pPr>
        <w:pBdr/>
        <w:tabs>
          <w:tab w:val="left" w:leader="none" w:pos="312"/>
        </w:tabs>
        <w:spacing/>
        <w:ind w:firstLine="0" w:left="0"/>
      </w:pPr>
      <w:rPr>
        <w:rFonts w:hint="default"/>
      </w:rPr>
      <w:start w:val="1"/>
      <w:suff w:val="tab"/>
    </w:lvl>
    <w:lvl w:ilvl="5">
      <w:isLgl w:val="false"/>
      <w:lvlJc w:val="left"/>
      <w:lvlText w:val="%1.%2.%3.%4.%5.%6."/>
      <w:numFmt w:val="decimal"/>
      <w:pPr>
        <w:pBdr/>
        <w:tabs>
          <w:tab w:val="left" w:leader="none" w:pos="312"/>
        </w:tabs>
        <w:spacing/>
        <w:ind w:firstLine="0" w:left="0"/>
      </w:pPr>
      <w:rPr>
        <w:rFonts w:hint="default"/>
      </w:rPr>
      <w:start w:val="1"/>
      <w:suff w:val="tab"/>
    </w:lvl>
    <w:lvl w:ilvl="6">
      <w:isLgl w:val="false"/>
      <w:lvlJc w:val="left"/>
      <w:lvlText w:val="%1.%2.%3.%4.%5.%6.%7."/>
      <w:numFmt w:val="decimal"/>
      <w:pPr>
        <w:pBdr/>
        <w:tabs>
          <w:tab w:val="left" w:leader="none" w:pos="312"/>
        </w:tabs>
        <w:spacing/>
        <w:ind w:firstLine="0" w:left="0"/>
      </w:pPr>
      <w:rPr>
        <w:rFonts w:hint="default"/>
      </w:rPr>
      <w:start w:val="1"/>
      <w:suff w:val="tab"/>
    </w:lvl>
    <w:lvl w:ilvl="7">
      <w:isLgl w:val="false"/>
      <w:lvlJc w:val="left"/>
      <w:lvlText w:val="%1.%2.%3.%4.%5.%6.%7.%8."/>
      <w:numFmt w:val="decimal"/>
      <w:pPr>
        <w:pBdr/>
        <w:tabs>
          <w:tab w:val="left" w:leader="none" w:pos="312"/>
        </w:tabs>
        <w:spacing/>
        <w:ind w:firstLine="0" w:left="0"/>
      </w:pPr>
      <w:rPr>
        <w:rFonts w:hint="default"/>
      </w:rPr>
      <w:start w:val="1"/>
      <w:suff w:val="tab"/>
    </w:lvl>
    <w:lvl w:ilvl="8">
      <w:isLgl w:val="false"/>
      <w:lvlJc w:val="left"/>
      <w:lvlText w:val="%1.%2.%3.%4.%5.%6.%7.%8.%9."/>
      <w:numFmt w:val="decimal"/>
      <w:pPr>
        <w:pBdr/>
        <w:tabs>
          <w:tab w:val="left" w:leader="none" w:pos="312"/>
        </w:tabs>
        <w:spacing/>
        <w:ind w:firstLine="0" w:left="0"/>
      </w:pPr>
      <w:rPr>
        <w:rFonts w:hint="default"/>
      </w:rPr>
      <w:start w:val="1"/>
      <w:suff w:val="tab"/>
    </w:lvl>
  </w:abstractNum>
  <w:abstractNum w:abstractNumId="1">
    <w:lvl w:ilvl="0">
      <w:isLgl w:val="false"/>
      <w:lvlJc w:val="left"/>
      <w:lvlText w:val="►"/>
      <w:numFmt w:val="bullet"/>
      <w:pPr>
        <w:pBdr/>
        <w:tabs>
          <w:tab w:val="left" w:leader="none" w:pos="3061"/>
        </w:tabs>
        <w:spacing/>
        <w:ind w:hanging="360" w:left="3061"/>
      </w:pPr>
      <w:pStyle w:val="1443"/>
      <w:rPr>
        <w:rFonts w:hint="default" w:ascii="Arial" w:hAnsi="Arial"/>
        <w:color w:val="ffcc00"/>
        <w:spacing w:val="0"/>
        <w:position w:val="0"/>
        <w:sz w:val="20"/>
        <w:szCs w:val="14"/>
      </w:rPr>
      <w:start w:val="1"/>
      <w:suff w:val="tab"/>
    </w:lvl>
    <w:lvl w:ilvl="1">
      <w:isLgl w:val="false"/>
      <w:lvlJc w:val="left"/>
      <w:lvlText w:val="–"/>
      <w:numFmt w:val="bullet"/>
      <w:pPr>
        <w:pBdr/>
        <w:tabs>
          <w:tab w:val="left" w:leader="none" w:pos="3061"/>
        </w:tabs>
        <w:spacing/>
        <w:ind w:hanging="360" w:left="3061"/>
      </w:pPr>
      <w:rPr>
        <w:rFonts w:hint="default" w:ascii="EYInterstate" w:hAnsi="EYInterstate"/>
        <w:color w:val="auto"/>
        <w:spacing w:val="0"/>
        <w:position w:val="0"/>
        <w:sz w:val="20"/>
        <w:szCs w:val="14"/>
      </w:rPr>
      <w:start w:val="1"/>
      <w:suff w:val="tab"/>
    </w:lvl>
    <w:lvl w:ilvl="2">
      <w:isLgl w:val="false"/>
      <w:lvlJc w:val="left"/>
      <w:lvlText w:val="•"/>
      <w:numFmt w:val="bullet"/>
      <w:pPr>
        <w:pBdr/>
        <w:tabs>
          <w:tab w:val="left" w:leader="none" w:pos="4861"/>
        </w:tabs>
        <w:spacing/>
        <w:ind w:hanging="360" w:left="4861"/>
      </w:pPr>
      <w:rPr>
        <w:rFonts w:hint="default" w:ascii="Arial" w:hAnsi="Arial"/>
        <w:color w:val="auto"/>
        <w:spacing w:val="0"/>
        <w:position w:val="0"/>
        <w:sz w:val="20"/>
        <w:szCs w:val="14"/>
      </w:rPr>
      <w:start w:val="1"/>
      <w:suff w:val="tab"/>
    </w:lvl>
    <w:lvl w:ilvl="3">
      <w:isLgl w:val="false"/>
      <w:lvlJc w:val="left"/>
      <w:lvlText w:val=""/>
      <w:numFmt w:val="bullet"/>
      <w:pPr>
        <w:pBdr/>
        <w:tabs>
          <w:tab w:val="left" w:leader="none" w:pos="5581"/>
        </w:tabs>
        <w:spacing/>
        <w:ind w:hanging="360" w:left="5581"/>
      </w:pPr>
      <w:rPr>
        <w:rFonts w:hint="default" w:ascii="Symbol" w:hAnsi="Symbol"/>
      </w:rPr>
      <w:start w:val="1"/>
      <w:suff w:val="tab"/>
    </w:lvl>
    <w:lvl w:ilvl="4">
      <w:isLgl w:val="false"/>
      <w:lvlJc w:val="left"/>
      <w:lvlText w:val="o"/>
      <w:numFmt w:val="bullet"/>
      <w:pPr>
        <w:pBdr/>
        <w:tabs>
          <w:tab w:val="left" w:leader="none" w:pos="6301"/>
        </w:tabs>
        <w:spacing/>
        <w:ind w:hanging="360" w:left="6301"/>
      </w:pPr>
      <w:rPr>
        <w:rFonts w:hint="default" w:ascii="Courier New" w:hAnsi="Courier New" w:cs="Courier New"/>
      </w:rPr>
      <w:start w:val="1"/>
      <w:suff w:val="tab"/>
    </w:lvl>
    <w:lvl w:ilvl="5">
      <w:isLgl w:val="false"/>
      <w:lvlJc w:val="left"/>
      <w:lvlText w:val=""/>
      <w:numFmt w:val="bullet"/>
      <w:pPr>
        <w:pBdr/>
        <w:tabs>
          <w:tab w:val="left" w:leader="none" w:pos="7021"/>
        </w:tabs>
        <w:spacing/>
        <w:ind w:hanging="360" w:left="7021"/>
      </w:pPr>
      <w:rPr>
        <w:rFonts w:hint="default" w:ascii="Wingdings" w:hAnsi="Wingdings"/>
      </w:rPr>
      <w:start w:val="1"/>
      <w:suff w:val="tab"/>
    </w:lvl>
    <w:lvl w:ilvl="6">
      <w:isLgl w:val="false"/>
      <w:lvlJc w:val="left"/>
      <w:lvlText w:val=""/>
      <w:numFmt w:val="bullet"/>
      <w:pPr>
        <w:pBdr/>
        <w:tabs>
          <w:tab w:val="left" w:leader="none" w:pos="7741"/>
        </w:tabs>
        <w:spacing/>
        <w:ind w:hanging="360" w:left="7741"/>
      </w:pPr>
      <w:rPr>
        <w:rFonts w:hint="default" w:ascii="Symbol" w:hAnsi="Symbol"/>
      </w:rPr>
      <w:start w:val="1"/>
      <w:suff w:val="tab"/>
    </w:lvl>
    <w:lvl w:ilvl="7">
      <w:isLgl w:val="false"/>
      <w:lvlJc w:val="left"/>
      <w:lvlText w:val="o"/>
      <w:numFmt w:val="bullet"/>
      <w:pPr>
        <w:pBdr/>
        <w:tabs>
          <w:tab w:val="left" w:leader="none" w:pos="8461"/>
        </w:tabs>
        <w:spacing/>
        <w:ind w:hanging="360" w:left="8461"/>
      </w:pPr>
      <w:rPr>
        <w:rFonts w:hint="default" w:ascii="Courier New" w:hAnsi="Courier New" w:cs="Courier New"/>
      </w:rPr>
      <w:start w:val="1"/>
      <w:suff w:val="tab"/>
    </w:lvl>
    <w:lvl w:ilvl="8">
      <w:isLgl w:val="false"/>
      <w:lvlJc w:val="left"/>
      <w:lvlText w:val=""/>
      <w:numFmt w:val="bullet"/>
      <w:pPr>
        <w:pBdr/>
        <w:tabs>
          <w:tab w:val="left" w:leader="none" w:pos="9181"/>
        </w:tabs>
        <w:spacing/>
        <w:ind w:hanging="360" w:left="9181"/>
      </w:pPr>
      <w:rPr>
        <w:rFonts w:hint="default" w:ascii="Wingdings" w:hAnsi="Wingdings"/>
      </w:rPr>
      <w:start w:val="1"/>
      <w:suff w:val="tab"/>
    </w:lvl>
  </w:abstractNum>
  <w:abstractNum w:abstractNumId="2">
    <w:lvl w:ilvl="0">
      <w:isLgl w:val="false"/>
      <w:lvlJc w:val="left"/>
      <w:lvlText w:val=""/>
      <w:numFmt w:val="bullet"/>
      <w:pPr>
        <w:pBdr/>
        <w:spacing/>
        <w:ind w:hanging="420" w:left="1014"/>
      </w:pPr>
      <w:rPr>
        <w:rFonts w:hint="default" w:ascii="Wingdings" w:hAnsi="Wingdings"/>
      </w:rPr>
      <w:start w:val="1"/>
      <w:suff w:val="tab"/>
    </w:lvl>
    <w:lvl w:ilvl="1">
      <w:isLgl w:val="false"/>
      <w:lvlJc w:val="left"/>
      <w:lvlText w:val=""/>
      <w:numFmt w:val="bullet"/>
      <w:pPr>
        <w:pBdr/>
        <w:spacing/>
        <w:ind w:hanging="420" w:left="1434"/>
      </w:pPr>
      <w:rPr>
        <w:rFonts w:hint="default" w:ascii="Wingdings" w:hAnsi="Wingdings"/>
      </w:rPr>
      <w:start w:val="1"/>
      <w:suff w:val="tab"/>
    </w:lvl>
    <w:lvl w:ilvl="2">
      <w:isLgl w:val="false"/>
      <w:lvlJc w:val="left"/>
      <w:lvlText w:val=""/>
      <w:numFmt w:val="bullet"/>
      <w:pPr>
        <w:pBdr/>
        <w:spacing/>
        <w:ind w:hanging="420" w:left="1854"/>
      </w:pPr>
      <w:rPr>
        <w:rFonts w:hint="default" w:ascii="Wingdings" w:hAnsi="Wingdings"/>
      </w:rPr>
      <w:start w:val="1"/>
      <w:suff w:val="tab"/>
    </w:lvl>
    <w:lvl w:ilvl="3">
      <w:isLgl w:val="false"/>
      <w:lvlJc w:val="left"/>
      <w:lvlText w:val=""/>
      <w:numFmt w:val="bullet"/>
      <w:pPr>
        <w:pBdr/>
        <w:spacing/>
        <w:ind w:hanging="420" w:left="2274"/>
      </w:pPr>
      <w:rPr>
        <w:rFonts w:hint="default" w:ascii="Wingdings" w:hAnsi="Wingdings"/>
      </w:rPr>
      <w:start w:val="1"/>
      <w:suff w:val="tab"/>
    </w:lvl>
    <w:lvl w:ilvl="4">
      <w:isLgl w:val="false"/>
      <w:lvlJc w:val="left"/>
      <w:lvlText w:val=""/>
      <w:numFmt w:val="bullet"/>
      <w:pPr>
        <w:pBdr/>
        <w:spacing/>
        <w:ind w:hanging="420" w:left="2694"/>
      </w:pPr>
      <w:rPr>
        <w:rFonts w:hint="default" w:ascii="Wingdings" w:hAnsi="Wingdings"/>
      </w:rPr>
      <w:start w:val="1"/>
      <w:suff w:val="tab"/>
    </w:lvl>
    <w:lvl w:ilvl="5">
      <w:isLgl w:val="false"/>
      <w:lvlJc w:val="left"/>
      <w:lvlText w:val=""/>
      <w:numFmt w:val="bullet"/>
      <w:pPr>
        <w:pBdr/>
        <w:spacing/>
        <w:ind w:hanging="420" w:left="3114"/>
      </w:pPr>
      <w:rPr>
        <w:rFonts w:hint="default" w:ascii="Wingdings" w:hAnsi="Wingdings"/>
      </w:rPr>
      <w:start w:val="1"/>
      <w:suff w:val="tab"/>
    </w:lvl>
    <w:lvl w:ilvl="6">
      <w:isLgl w:val="false"/>
      <w:lvlJc w:val="left"/>
      <w:lvlText w:val=""/>
      <w:numFmt w:val="bullet"/>
      <w:pPr>
        <w:pBdr/>
        <w:spacing/>
        <w:ind w:hanging="420" w:left="3534"/>
      </w:pPr>
      <w:rPr>
        <w:rFonts w:hint="default" w:ascii="Wingdings" w:hAnsi="Wingdings"/>
      </w:rPr>
      <w:start w:val="1"/>
      <w:suff w:val="tab"/>
    </w:lvl>
    <w:lvl w:ilvl="7">
      <w:isLgl w:val="false"/>
      <w:lvlJc w:val="left"/>
      <w:lvlText w:val=""/>
      <w:numFmt w:val="bullet"/>
      <w:pPr>
        <w:pBdr/>
        <w:spacing/>
        <w:ind w:hanging="420" w:left="3954"/>
      </w:pPr>
      <w:rPr>
        <w:rFonts w:hint="default" w:ascii="Wingdings" w:hAnsi="Wingdings"/>
      </w:rPr>
      <w:start w:val="1"/>
      <w:suff w:val="tab"/>
    </w:lvl>
    <w:lvl w:ilvl="8">
      <w:isLgl w:val="false"/>
      <w:lvlJc w:val="left"/>
      <w:lvlText w:val=""/>
      <w:numFmt w:val="bullet"/>
      <w:pPr>
        <w:pBdr/>
        <w:spacing/>
        <w:ind w:hanging="420" w:left="4374"/>
      </w:pPr>
      <w:rPr>
        <w:rFonts w:hint="default" w:ascii="Wingdings" w:hAnsi="Wingdings"/>
      </w:rPr>
      <w:start w:val="1"/>
      <w:suff w:val="tab"/>
    </w:lvl>
  </w:abstractNum>
  <w:abstractNum w:abstractNumId="3">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4">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abstractNum w:abstractNumId="5">
    <w:lvl w:ilvl="0">
      <w:isLgl w:val="false"/>
      <w:lvlJc w:val="left"/>
      <w:lvlText w:val=""/>
      <w:numFmt w:val="bullet"/>
      <w:pPr>
        <w:pBdr/>
        <w:spacing/>
        <w:ind w:hanging="420" w:left="420"/>
      </w:pPr>
      <w:rPr>
        <w:rFonts w:hint="default" w:ascii="Wingdings" w:hAnsi="Wingdings"/>
      </w:rPr>
      <w:start w:val="1"/>
      <w:suff w:val="tab"/>
    </w:lvl>
    <w:lvl w:ilvl="1">
      <w:isLgl w:val="false"/>
      <w:lvlJc w:val="left"/>
      <w:lvlText w:val=""/>
      <w:numFmt w:val="bullet"/>
      <w:pPr>
        <w:pBdr/>
        <w:spacing/>
        <w:ind w:hanging="420" w:left="840"/>
      </w:pPr>
      <w:rPr>
        <w:rFonts w:hint="default" w:ascii="Wingdings" w:hAnsi="Wingdings"/>
      </w:rPr>
      <w:start w:val="1"/>
      <w:suff w:val="tab"/>
    </w:lvl>
    <w:lvl w:ilvl="2">
      <w:isLgl w:val="false"/>
      <w:lvlJc w:val="left"/>
      <w:lvlText w:val=""/>
      <w:numFmt w:val="bullet"/>
      <w:pPr>
        <w:pBdr/>
        <w:spacing/>
        <w:ind w:hanging="420" w:left="1260"/>
      </w:pPr>
      <w:rPr>
        <w:rFonts w:hint="default" w:ascii="Wingdings" w:hAnsi="Wingdings"/>
      </w:rPr>
      <w:start w:val="1"/>
      <w:suff w:val="tab"/>
    </w:lvl>
    <w:lvl w:ilvl="3">
      <w:isLgl w:val="false"/>
      <w:lvlJc w:val="left"/>
      <w:lvlText w:val=""/>
      <w:numFmt w:val="bullet"/>
      <w:pPr>
        <w:pBdr/>
        <w:spacing/>
        <w:ind w:hanging="420" w:left="1680"/>
      </w:pPr>
      <w:rPr>
        <w:rFonts w:hint="default" w:ascii="Wingdings" w:hAnsi="Wingdings"/>
      </w:rPr>
      <w:start w:val="1"/>
      <w:suff w:val="tab"/>
    </w:lvl>
    <w:lvl w:ilvl="4">
      <w:isLgl w:val="false"/>
      <w:lvlJc w:val="left"/>
      <w:lvlText w:val=""/>
      <w:numFmt w:val="bullet"/>
      <w:pPr>
        <w:pBdr/>
        <w:spacing/>
        <w:ind w:hanging="420" w:left="2100"/>
      </w:pPr>
      <w:rPr>
        <w:rFonts w:hint="default" w:ascii="Wingdings" w:hAnsi="Wingdings"/>
      </w:rPr>
      <w:start w:val="1"/>
      <w:suff w:val="tab"/>
    </w:lvl>
    <w:lvl w:ilvl="5">
      <w:isLgl w:val="false"/>
      <w:lvlJc w:val="left"/>
      <w:lvlText w:val=""/>
      <w:numFmt w:val="bullet"/>
      <w:pPr>
        <w:pBdr/>
        <w:spacing/>
        <w:ind w:hanging="420" w:left="2520"/>
      </w:pPr>
      <w:rPr>
        <w:rFonts w:hint="default" w:ascii="Wingdings" w:hAnsi="Wingdings"/>
      </w:rPr>
      <w:start w:val="1"/>
      <w:suff w:val="tab"/>
    </w:lvl>
    <w:lvl w:ilvl="6">
      <w:isLgl w:val="false"/>
      <w:lvlJc w:val="left"/>
      <w:lvlText w:val=""/>
      <w:numFmt w:val="bullet"/>
      <w:pPr>
        <w:pBdr/>
        <w:spacing/>
        <w:ind w:hanging="420" w:left="2940"/>
      </w:pPr>
      <w:rPr>
        <w:rFonts w:hint="default" w:ascii="Wingdings" w:hAnsi="Wingdings"/>
      </w:rPr>
      <w:start w:val="1"/>
      <w:suff w:val="tab"/>
    </w:lvl>
    <w:lvl w:ilvl="7">
      <w:isLgl w:val="false"/>
      <w:lvlJc w:val="left"/>
      <w:lvlText w:val=""/>
      <w:numFmt w:val="bullet"/>
      <w:pPr>
        <w:pBdr/>
        <w:spacing/>
        <w:ind w:hanging="420" w:left="3360"/>
      </w:pPr>
      <w:rPr>
        <w:rFonts w:hint="default" w:ascii="Wingdings" w:hAnsi="Wingdings"/>
      </w:rPr>
      <w:start w:val="1"/>
      <w:suff w:val="tab"/>
    </w:lvl>
    <w:lvl w:ilvl="8">
      <w:isLgl w:val="false"/>
      <w:lvlJc w:val="left"/>
      <w:lvlText w:val=""/>
      <w:numFmt w:val="bullet"/>
      <w:pPr>
        <w:pBdr/>
        <w:spacing/>
        <w:ind w:hanging="420" w:left="3780"/>
      </w:pPr>
      <w:rPr>
        <w:rFonts w:hint="default" w:ascii="Wingdings" w:hAnsi="Wingdings"/>
      </w:rPr>
      <w:start w:val="1"/>
      <w:suff w:val="tab"/>
    </w:lvl>
  </w:abstractNum>
  <w:abstractNum w:abstractNumId="6">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7">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lvl w:ilvl="0">
      <w:isLgl w:val="false"/>
      <w:lvlJc w:val="left"/>
      <w:lvlText w:val=""/>
      <w:numFmt w:val="bullet"/>
      <w:pPr>
        <w:pBdr/>
        <w:spacing/>
        <w:ind w:hanging="420" w:left="979"/>
      </w:pPr>
      <w:rPr>
        <w:rFonts w:hint="default" w:ascii="Wingdings" w:hAnsi="Wingdings"/>
        <w:sz w:val="13"/>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0">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1">
    <w:lvl w:ilvl="0">
      <w:isLgl w:val="false"/>
      <w:lvlJc w:val="left"/>
      <w:lvlText w:val="%1)"/>
      <w:numFmt w:val="decimal"/>
      <w:pPr>
        <w:pBdr/>
        <w:spacing/>
        <w:ind w:hanging="360" w:left="919"/>
      </w:pPr>
      <w:rPr/>
      <w:start w:val="1"/>
      <w:suff w:val="tab"/>
    </w:lvl>
    <w:lvl w:ilvl="1">
      <w:isLgl w:val="false"/>
      <w:lvlJc w:val="left"/>
      <w:lvlText w:val="%2."/>
      <w:numFmt w:val="lowerLetter"/>
      <w:pPr>
        <w:pBdr/>
        <w:spacing/>
        <w:ind w:hanging="360" w:left="1007"/>
      </w:pPr>
      <w:rPr/>
      <w:start w:val="1"/>
      <w:suff w:val="tab"/>
    </w:lvl>
    <w:lvl w:ilvl="2">
      <w:isLgl w:val="false"/>
      <w:lvlJc w:val="right"/>
      <w:lvlText w:val="%3."/>
      <w:numFmt w:val="lowerRoman"/>
      <w:pPr>
        <w:pBdr/>
        <w:spacing/>
        <w:ind w:hanging="180" w:left="1727"/>
      </w:pPr>
      <w:rPr/>
      <w:start w:val="1"/>
      <w:suff w:val="tab"/>
    </w:lvl>
    <w:lvl w:ilvl="3">
      <w:isLgl w:val="false"/>
      <w:lvlJc w:val="left"/>
      <w:lvlText w:val="%4."/>
      <w:numFmt w:val="decimal"/>
      <w:pPr>
        <w:pBdr/>
        <w:spacing/>
        <w:ind w:hanging="360" w:left="2447"/>
      </w:pPr>
      <w:rPr/>
      <w:start w:val="1"/>
      <w:suff w:val="tab"/>
    </w:lvl>
    <w:lvl w:ilvl="4">
      <w:isLgl w:val="false"/>
      <w:lvlJc w:val="left"/>
      <w:lvlText w:val="%5."/>
      <w:numFmt w:val="lowerLetter"/>
      <w:pPr>
        <w:pBdr/>
        <w:spacing/>
        <w:ind w:hanging="360" w:left="3167"/>
      </w:pPr>
      <w:rPr/>
      <w:start w:val="1"/>
      <w:suff w:val="tab"/>
    </w:lvl>
    <w:lvl w:ilvl="5">
      <w:isLgl w:val="false"/>
      <w:lvlJc w:val="right"/>
      <w:lvlText w:val="%6."/>
      <w:numFmt w:val="lowerRoman"/>
      <w:pPr>
        <w:pBdr/>
        <w:spacing/>
        <w:ind w:hanging="180" w:left="3887"/>
      </w:pPr>
      <w:rPr/>
      <w:start w:val="1"/>
      <w:suff w:val="tab"/>
    </w:lvl>
    <w:lvl w:ilvl="6">
      <w:isLgl w:val="false"/>
      <w:lvlJc w:val="left"/>
      <w:lvlText w:val="%7."/>
      <w:numFmt w:val="decimal"/>
      <w:pPr>
        <w:pBdr/>
        <w:spacing/>
        <w:ind w:hanging="360" w:left="4607"/>
      </w:pPr>
      <w:rPr/>
      <w:start w:val="1"/>
      <w:suff w:val="tab"/>
    </w:lvl>
    <w:lvl w:ilvl="7">
      <w:isLgl w:val="false"/>
      <w:lvlJc w:val="left"/>
      <w:lvlText w:val="%8."/>
      <w:numFmt w:val="lowerLetter"/>
      <w:pPr>
        <w:pBdr/>
        <w:spacing/>
        <w:ind w:hanging="360" w:left="5327"/>
      </w:pPr>
      <w:rPr/>
      <w:start w:val="1"/>
      <w:suff w:val="tab"/>
    </w:lvl>
    <w:lvl w:ilvl="8">
      <w:isLgl w:val="false"/>
      <w:lvlJc w:val="right"/>
      <w:lvlText w:val="%9."/>
      <w:numFmt w:val="lowerRoman"/>
      <w:pPr>
        <w:pBdr/>
        <w:spacing/>
        <w:ind w:hanging="180" w:left="6047"/>
      </w:pPr>
      <w:rPr/>
      <w:start w:val="1"/>
      <w:suff w:val="tab"/>
    </w:lvl>
  </w:abstractNum>
  <w:abstractNum w:abstractNumId="12">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3">
    <w:lvl w:ilvl="0">
      <w:isLgl w:val="false"/>
      <w:lvlJc w:val="left"/>
      <w:lvlText w:val="%1."/>
      <w:numFmt w:val="decimal"/>
      <w:pPr>
        <w:pBdr/>
        <w:spacing/>
        <w:ind w:hanging="360" w:left="720"/>
      </w:pPr>
      <w:rPr/>
      <w:start w:val="1"/>
      <w:suff w:val="tab"/>
    </w:lvl>
    <w:lvl w:ilvl="1">
      <w:isLgl w:val="true"/>
      <w:lvlJc w:val="left"/>
      <w:lvlText w:val="%1.%2"/>
      <w:numFmt w:val="decimal"/>
      <w:pPr>
        <w:pBdr/>
        <w:spacing/>
        <w:ind w:hanging="720" w:left="1080"/>
      </w:pPr>
      <w:rPr>
        <w:rFonts w:hint="default"/>
      </w:rPr>
      <w:start w:val="4"/>
      <w:suff w:val="tab"/>
    </w:lvl>
    <w:lvl w:ilvl="2">
      <w:isLgl w:val="true"/>
      <w:lvlJc w:val="left"/>
      <w:lvlText w:val="%1.%2.%3"/>
      <w:numFmt w:val="decimal"/>
      <w:pPr>
        <w:pBdr/>
        <w:spacing/>
        <w:ind w:hanging="1080" w:left="1440"/>
      </w:pPr>
      <w:rPr>
        <w:rFonts w:hint="default"/>
      </w:rPr>
      <w:start w:val="1"/>
      <w:suff w:val="tab"/>
    </w:lvl>
    <w:lvl w:ilvl="3">
      <w:isLgl w:val="true"/>
      <w:lvlJc w:val="left"/>
      <w:lvlText w:val="%1.%2.%3.%4"/>
      <w:numFmt w:val="decimal"/>
      <w:pPr>
        <w:pBdr/>
        <w:spacing/>
        <w:ind w:hanging="1440" w:left="1800"/>
      </w:pPr>
      <w:rPr>
        <w:rFonts w:hint="default"/>
      </w:rPr>
      <w:start w:val="1"/>
      <w:suff w:val="tab"/>
    </w:lvl>
    <w:lvl w:ilvl="4">
      <w:isLgl w:val="true"/>
      <w:lvlJc w:val="left"/>
      <w:lvlText w:val="%1.%2.%3.%4.%5"/>
      <w:numFmt w:val="decimal"/>
      <w:pPr>
        <w:pBdr/>
        <w:spacing/>
        <w:ind w:hanging="1440" w:left="1800"/>
      </w:pPr>
      <w:rPr>
        <w:rFonts w:hint="default"/>
      </w:rPr>
      <w:start w:val="1"/>
      <w:suff w:val="tab"/>
    </w:lvl>
    <w:lvl w:ilvl="5">
      <w:isLgl w:val="true"/>
      <w:lvlJc w:val="left"/>
      <w:lvlText w:val="%1.%2.%3.%4.%5.%6"/>
      <w:numFmt w:val="decimal"/>
      <w:pPr>
        <w:pBdr/>
        <w:spacing/>
        <w:ind w:hanging="1800" w:left="2160"/>
      </w:pPr>
      <w:rPr>
        <w:rFonts w:hint="default"/>
      </w:rPr>
      <w:start w:val="1"/>
      <w:suff w:val="tab"/>
    </w:lvl>
    <w:lvl w:ilvl="6">
      <w:isLgl w:val="true"/>
      <w:lvlJc w:val="left"/>
      <w:lvlText w:val="%1.%2.%3.%4.%5.%6.%7"/>
      <w:numFmt w:val="decimal"/>
      <w:pPr>
        <w:pBdr/>
        <w:spacing/>
        <w:ind w:hanging="2160" w:left="2520"/>
      </w:pPr>
      <w:rPr>
        <w:rFonts w:hint="default"/>
      </w:rPr>
      <w:start w:val="1"/>
      <w:suff w:val="tab"/>
    </w:lvl>
    <w:lvl w:ilvl="7">
      <w:isLgl w:val="true"/>
      <w:lvlJc w:val="left"/>
      <w:lvlText w:val="%1.%2.%3.%4.%5.%6.%7.%8"/>
      <w:numFmt w:val="decimal"/>
      <w:pPr>
        <w:pBdr/>
        <w:spacing/>
        <w:ind w:hanging="2520" w:left="2880"/>
      </w:pPr>
      <w:rPr>
        <w:rFonts w:hint="default"/>
      </w:rPr>
      <w:start w:val="1"/>
      <w:suff w:val="tab"/>
    </w:lvl>
    <w:lvl w:ilvl="8">
      <w:isLgl w:val="true"/>
      <w:lvlJc w:val="left"/>
      <w:lvlText w:val="%1.%2.%3.%4.%5.%6.%7.%8.%9"/>
      <w:numFmt w:val="decimal"/>
      <w:pPr>
        <w:pBdr/>
        <w:spacing/>
        <w:ind w:hanging="2880" w:left="3240"/>
      </w:pPr>
      <w:rPr>
        <w:rFonts w:hint="default"/>
      </w:rPr>
      <w:start w:val="1"/>
      <w:suff w:val="tab"/>
    </w:lvl>
  </w:abstractNum>
  <w:abstractNum w:abstractNumId="14">
    <w:lvl w:ilvl="0">
      <w:isLgl w:val="false"/>
      <w:lvlJc w:val="left"/>
      <w:lvlText w:val=""/>
      <w:numFmt w:val="bullet"/>
      <w:pPr>
        <w:pBdr/>
        <w:spacing/>
        <w:ind w:hanging="420" w:left="979"/>
      </w:pPr>
      <w:rPr>
        <w:rFonts w:hint="default" w:ascii="Wingdings" w:hAnsi="Wingdings" w:eastAsia="宋体" w:cs="Wingdings"/>
        <w:color w:val="auto"/>
        <w:sz w:val="22"/>
        <w:szCs w:val="22"/>
      </w:rPr>
      <w:start w:val="0"/>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5">
    <w:lvl w:ilvl="0">
      <w:isLgl w:val="false"/>
      <w:lvlJc w:val="left"/>
      <w:lvlText w:val=""/>
      <w:numFmt w:val="bullet"/>
      <w:pPr>
        <w:pBdr/>
        <w:spacing/>
        <w:ind w:hanging="420" w:left="979"/>
      </w:pPr>
      <w:rPr>
        <w:rFonts w:hint="default" w:ascii="Wingdings" w:hAnsi="Wingdings"/>
      </w:rPr>
      <w:start w:val="1"/>
      <w:suff w:val="tab"/>
    </w:lvl>
    <w:lvl w:ilvl="1">
      <w:isLgl w:val="false"/>
      <w:lvlJc w:val="left"/>
      <w:lvlText w:val=""/>
      <w:numFmt w:val="bullet"/>
      <w:pPr>
        <w:pBdr/>
        <w:spacing/>
        <w:ind w:hanging="420" w:left="1399"/>
      </w:pPr>
      <w:rPr>
        <w:rFonts w:hint="default" w:ascii="Wingdings" w:hAnsi="Wingdings"/>
      </w:rPr>
      <w:start w:val="1"/>
      <w:suff w:val="tab"/>
    </w:lvl>
    <w:lvl w:ilvl="2">
      <w:isLgl w:val="false"/>
      <w:lvlJc w:val="left"/>
      <w:lvlText w:val=""/>
      <w:numFmt w:val="bullet"/>
      <w:pPr>
        <w:pBdr/>
        <w:spacing/>
        <w:ind w:hanging="420" w:left="1819"/>
      </w:pPr>
      <w:rPr>
        <w:rFonts w:hint="default" w:ascii="Wingdings" w:hAnsi="Wingdings"/>
      </w:rPr>
      <w:start w:val="1"/>
      <w:suff w:val="tab"/>
    </w:lvl>
    <w:lvl w:ilvl="3">
      <w:isLgl w:val="false"/>
      <w:lvlJc w:val="left"/>
      <w:lvlText w:val=""/>
      <w:numFmt w:val="bullet"/>
      <w:pPr>
        <w:pBdr/>
        <w:spacing/>
        <w:ind w:hanging="420" w:left="2239"/>
      </w:pPr>
      <w:rPr>
        <w:rFonts w:hint="default" w:ascii="Wingdings" w:hAnsi="Wingdings"/>
      </w:rPr>
      <w:start w:val="1"/>
      <w:suff w:val="tab"/>
    </w:lvl>
    <w:lvl w:ilvl="4">
      <w:isLgl w:val="false"/>
      <w:lvlJc w:val="left"/>
      <w:lvlText w:val=""/>
      <w:numFmt w:val="bullet"/>
      <w:pPr>
        <w:pBdr/>
        <w:spacing/>
        <w:ind w:hanging="420" w:left="2659"/>
      </w:pPr>
      <w:rPr>
        <w:rFonts w:hint="default" w:ascii="Wingdings" w:hAnsi="Wingdings"/>
      </w:rPr>
      <w:start w:val="1"/>
      <w:suff w:val="tab"/>
    </w:lvl>
    <w:lvl w:ilvl="5">
      <w:isLgl w:val="false"/>
      <w:lvlJc w:val="left"/>
      <w:lvlText w:val=""/>
      <w:numFmt w:val="bullet"/>
      <w:pPr>
        <w:pBdr/>
        <w:spacing/>
        <w:ind w:hanging="420" w:left="3079"/>
      </w:pPr>
      <w:rPr>
        <w:rFonts w:hint="default" w:ascii="Wingdings" w:hAnsi="Wingdings"/>
      </w:rPr>
      <w:start w:val="1"/>
      <w:suff w:val="tab"/>
    </w:lvl>
    <w:lvl w:ilvl="6">
      <w:isLgl w:val="false"/>
      <w:lvlJc w:val="left"/>
      <w:lvlText w:val=""/>
      <w:numFmt w:val="bullet"/>
      <w:pPr>
        <w:pBdr/>
        <w:spacing/>
        <w:ind w:hanging="420" w:left="3499"/>
      </w:pPr>
      <w:rPr>
        <w:rFonts w:hint="default" w:ascii="Wingdings" w:hAnsi="Wingdings"/>
      </w:rPr>
      <w:start w:val="1"/>
      <w:suff w:val="tab"/>
    </w:lvl>
    <w:lvl w:ilvl="7">
      <w:isLgl w:val="false"/>
      <w:lvlJc w:val="left"/>
      <w:lvlText w:val=""/>
      <w:numFmt w:val="bullet"/>
      <w:pPr>
        <w:pBdr/>
        <w:spacing/>
        <w:ind w:hanging="420" w:left="3919"/>
      </w:pPr>
      <w:rPr>
        <w:rFonts w:hint="default" w:ascii="Wingdings" w:hAnsi="Wingdings"/>
      </w:rPr>
      <w:start w:val="1"/>
      <w:suff w:val="tab"/>
    </w:lvl>
    <w:lvl w:ilvl="8">
      <w:isLgl w:val="false"/>
      <w:lvlJc w:val="left"/>
      <w:lvlText w:val=""/>
      <w:numFmt w:val="bullet"/>
      <w:pPr>
        <w:pBdr/>
        <w:spacing/>
        <w:ind w:hanging="420" w:left="4339"/>
      </w:pPr>
      <w:rPr>
        <w:rFonts w:hint="default" w:ascii="Wingdings" w:hAnsi="Wingdings"/>
      </w:rPr>
      <w:start w:val="1"/>
      <w:suff w:val="tab"/>
    </w:lvl>
  </w:abstractNum>
  <w:abstractNum w:abstractNumId="16">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7">
    <w:lvl w:ilvl="0">
      <w:isLgl w:val="false"/>
      <w:lvlJc w:val="left"/>
      <w:lvlText w:val=""/>
      <w:numFmt w:val="bullet"/>
      <w:pPr>
        <w:pBdr/>
        <w:spacing/>
        <w:ind w:hanging="360" w:left="919"/>
      </w:pPr>
      <w:rPr>
        <w:rFonts w:hint="default" w:ascii="Symbol" w:hAnsi="Symbol"/>
      </w:rPr>
      <w:start w:val="1"/>
      <w:suff w:val="tab"/>
    </w:lvl>
    <w:lvl w:ilvl="1">
      <w:isLgl w:val="false"/>
      <w:lvlJc w:val="left"/>
      <w:lvlText w:val="o"/>
      <w:numFmt w:val="bullet"/>
      <w:pPr>
        <w:pBdr/>
        <w:spacing/>
        <w:ind w:hanging="360" w:left="1639"/>
      </w:pPr>
      <w:rPr>
        <w:rFonts w:hint="default" w:ascii="Courier New" w:hAnsi="Courier New" w:cs="Courier New"/>
      </w:rPr>
      <w:start w:val="1"/>
      <w:suff w:val="tab"/>
    </w:lvl>
    <w:lvl w:ilvl="2">
      <w:isLgl w:val="false"/>
      <w:lvlJc w:val="left"/>
      <w:lvlText w:val=""/>
      <w:numFmt w:val="bullet"/>
      <w:pPr>
        <w:pBdr/>
        <w:spacing/>
        <w:ind w:hanging="360" w:left="2359"/>
      </w:pPr>
      <w:rPr>
        <w:rFonts w:hint="default" w:ascii="Wingdings" w:hAnsi="Wingdings"/>
      </w:rPr>
      <w:start w:val="1"/>
      <w:suff w:val="tab"/>
    </w:lvl>
    <w:lvl w:ilvl="3">
      <w:isLgl w:val="false"/>
      <w:lvlJc w:val="left"/>
      <w:lvlText w:val=""/>
      <w:numFmt w:val="bullet"/>
      <w:pPr>
        <w:pBdr/>
        <w:spacing/>
        <w:ind w:hanging="360" w:left="3079"/>
      </w:pPr>
      <w:rPr>
        <w:rFonts w:hint="default" w:ascii="Symbol" w:hAnsi="Symbol"/>
      </w:rPr>
      <w:start w:val="1"/>
      <w:suff w:val="tab"/>
    </w:lvl>
    <w:lvl w:ilvl="4">
      <w:isLgl w:val="false"/>
      <w:lvlJc w:val="left"/>
      <w:lvlText w:val="o"/>
      <w:numFmt w:val="bullet"/>
      <w:pPr>
        <w:pBdr/>
        <w:spacing/>
        <w:ind w:hanging="360" w:left="3799"/>
      </w:pPr>
      <w:rPr>
        <w:rFonts w:hint="default" w:ascii="Courier New" w:hAnsi="Courier New" w:cs="Courier New"/>
      </w:rPr>
      <w:start w:val="1"/>
      <w:suff w:val="tab"/>
    </w:lvl>
    <w:lvl w:ilvl="5">
      <w:isLgl w:val="false"/>
      <w:lvlJc w:val="left"/>
      <w:lvlText w:val=""/>
      <w:numFmt w:val="bullet"/>
      <w:pPr>
        <w:pBdr/>
        <w:spacing/>
        <w:ind w:hanging="360" w:left="4519"/>
      </w:pPr>
      <w:rPr>
        <w:rFonts w:hint="default" w:ascii="Wingdings" w:hAnsi="Wingdings"/>
      </w:rPr>
      <w:start w:val="1"/>
      <w:suff w:val="tab"/>
    </w:lvl>
    <w:lvl w:ilvl="6">
      <w:isLgl w:val="false"/>
      <w:lvlJc w:val="left"/>
      <w:lvlText w:val=""/>
      <w:numFmt w:val="bullet"/>
      <w:pPr>
        <w:pBdr/>
        <w:spacing/>
        <w:ind w:hanging="360" w:left="5239"/>
      </w:pPr>
      <w:rPr>
        <w:rFonts w:hint="default" w:ascii="Symbol" w:hAnsi="Symbol"/>
      </w:rPr>
      <w:start w:val="1"/>
      <w:suff w:val="tab"/>
    </w:lvl>
    <w:lvl w:ilvl="7">
      <w:isLgl w:val="false"/>
      <w:lvlJc w:val="left"/>
      <w:lvlText w:val="o"/>
      <w:numFmt w:val="bullet"/>
      <w:pPr>
        <w:pBdr/>
        <w:spacing/>
        <w:ind w:hanging="360" w:left="5959"/>
      </w:pPr>
      <w:rPr>
        <w:rFonts w:hint="default" w:ascii="Courier New" w:hAnsi="Courier New" w:cs="Courier New"/>
      </w:rPr>
      <w:start w:val="1"/>
      <w:suff w:val="tab"/>
    </w:lvl>
    <w:lvl w:ilvl="8">
      <w:isLgl w:val="false"/>
      <w:lvlJc w:val="left"/>
      <w:lvlText w:val=""/>
      <w:numFmt w:val="bullet"/>
      <w:pPr>
        <w:pBdr/>
        <w:spacing/>
        <w:ind w:hanging="360" w:left="6679"/>
      </w:pPr>
      <w:rPr>
        <w:rFonts w:hint="default" w:ascii="Wingdings" w:hAnsi="Wingdings"/>
      </w:rPr>
      <w:start w:val="1"/>
      <w:suff w:val="tab"/>
    </w:lvl>
  </w:abstractNum>
  <w:abstractNum w:abstractNumId="18">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9">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0">
    <w:lvl w:ilvl="0">
      <w:isLgl w:val="false"/>
      <w:lvlJc w:val="left"/>
      <w:lvlText w:val="%1)"/>
      <w:numFmt w:val="decimal"/>
      <w:pPr>
        <w:pBdr/>
        <w:spacing/>
        <w:ind w:hanging="360" w:left="1352"/>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lvl w:ilvl="0">
      <w:isLgl w:val="false"/>
      <w:lvlJc w:val="left"/>
      <w:lvlText w:val="（%1）"/>
      <w:numFmt w:val="decimal"/>
      <w:pPr>
        <w:pBdr/>
        <w:spacing/>
        <w:ind w:hanging="720" w:left="1279"/>
      </w:pPr>
      <w:rPr>
        <w:rFonts w:hint="default"/>
      </w:rPr>
      <w:start w:val="1"/>
      <w:suff w:val="tab"/>
    </w:lvl>
    <w:lvl w:ilvl="1">
      <w:isLgl w:val="false"/>
      <w:lvlJc w:val="left"/>
      <w:lvlText w:val="%2)"/>
      <w:numFmt w:val="lowerLetter"/>
      <w:pPr>
        <w:pBdr/>
        <w:spacing/>
        <w:ind w:hanging="420" w:left="1399"/>
      </w:pPr>
      <w:rPr/>
      <w:start w:val="1"/>
      <w:suff w:val="tab"/>
    </w:lvl>
    <w:lvl w:ilvl="2">
      <w:isLgl w:val="false"/>
      <w:lvlJc w:val="right"/>
      <w:lvlText w:val="%3."/>
      <w:numFmt w:val="lowerRoman"/>
      <w:pPr>
        <w:pBdr/>
        <w:spacing/>
        <w:ind w:hanging="420" w:left="1819"/>
      </w:pPr>
      <w:rPr/>
      <w:start w:val="1"/>
      <w:suff w:val="tab"/>
    </w:lvl>
    <w:lvl w:ilvl="3">
      <w:isLgl w:val="false"/>
      <w:lvlJc w:val="left"/>
      <w:lvlText w:val="%4."/>
      <w:numFmt w:val="decimal"/>
      <w:pPr>
        <w:pBdr/>
        <w:spacing/>
        <w:ind w:hanging="420" w:left="2239"/>
      </w:pPr>
      <w:rPr/>
      <w:start w:val="1"/>
      <w:suff w:val="tab"/>
    </w:lvl>
    <w:lvl w:ilvl="4">
      <w:isLgl w:val="false"/>
      <w:lvlJc w:val="left"/>
      <w:lvlText w:val="%5)"/>
      <w:numFmt w:val="lowerLetter"/>
      <w:pPr>
        <w:pBdr/>
        <w:spacing/>
        <w:ind w:hanging="420" w:left="2659"/>
      </w:pPr>
      <w:rPr/>
      <w:start w:val="1"/>
      <w:suff w:val="tab"/>
    </w:lvl>
    <w:lvl w:ilvl="5">
      <w:isLgl w:val="false"/>
      <w:lvlJc w:val="right"/>
      <w:lvlText w:val="%6."/>
      <w:numFmt w:val="lowerRoman"/>
      <w:pPr>
        <w:pBdr/>
        <w:spacing/>
        <w:ind w:hanging="420" w:left="3079"/>
      </w:pPr>
      <w:rPr/>
      <w:start w:val="1"/>
      <w:suff w:val="tab"/>
    </w:lvl>
    <w:lvl w:ilvl="6">
      <w:isLgl w:val="false"/>
      <w:lvlJc w:val="left"/>
      <w:lvlText w:val="%7."/>
      <w:numFmt w:val="decimal"/>
      <w:pPr>
        <w:pBdr/>
        <w:spacing/>
        <w:ind w:hanging="420" w:left="3499"/>
      </w:pPr>
      <w:rPr/>
      <w:start w:val="1"/>
      <w:suff w:val="tab"/>
    </w:lvl>
    <w:lvl w:ilvl="7">
      <w:isLgl w:val="false"/>
      <w:lvlJc w:val="left"/>
      <w:lvlText w:val="%8)"/>
      <w:numFmt w:val="lowerLetter"/>
      <w:pPr>
        <w:pBdr/>
        <w:spacing/>
        <w:ind w:hanging="420" w:left="3919"/>
      </w:pPr>
      <w:rPr/>
      <w:start w:val="1"/>
      <w:suff w:val="tab"/>
    </w:lvl>
    <w:lvl w:ilvl="8">
      <w:isLgl w:val="false"/>
      <w:lvlJc w:val="right"/>
      <w:lvlText w:val="%9."/>
      <w:numFmt w:val="lowerRoman"/>
      <w:pPr>
        <w:pBdr/>
        <w:spacing/>
        <w:ind w:hanging="420" w:left="4339"/>
      </w:pPr>
      <w:rPr/>
      <w:start w:val="1"/>
      <w:suff w:val="tab"/>
    </w:lvl>
  </w:abstractNum>
  <w:abstractNum w:abstractNumId="22">
    <w:lvl w:ilvl="0">
      <w:isLgl w:val="false"/>
      <w:lvlJc w:val="left"/>
      <w:lvlText w:val="%1."/>
      <w:numFmt w:val="decimal"/>
      <w:pPr>
        <w:pBdr/>
        <w:spacing/>
        <w:ind w:hanging="360" w:left="516"/>
      </w:pPr>
      <w:rPr/>
      <w:start w:val="1"/>
      <w:suff w:val="tab"/>
    </w:lvl>
    <w:lvl w:ilvl="1">
      <w:isLgl w:val="false"/>
      <w:lvlJc w:val="left"/>
      <w:lvlText w:val="%2."/>
      <w:numFmt w:val="lowerLetter"/>
      <w:pPr>
        <w:pBdr/>
        <w:spacing/>
        <w:ind w:hanging="360" w:left="2356"/>
      </w:pPr>
      <w:rPr/>
      <w:start w:val="1"/>
      <w:suff w:val="tab"/>
    </w:lvl>
    <w:lvl w:ilvl="2">
      <w:isLgl w:val="false"/>
      <w:lvlJc w:val="right"/>
      <w:lvlText w:val="%3."/>
      <w:numFmt w:val="lowerRoman"/>
      <w:pPr>
        <w:pBdr/>
        <w:spacing/>
        <w:ind w:hanging="180" w:left="3076"/>
      </w:pPr>
      <w:rPr/>
      <w:start w:val="1"/>
      <w:suff w:val="tab"/>
    </w:lvl>
    <w:lvl w:ilvl="3">
      <w:isLgl w:val="false"/>
      <w:lvlJc w:val="left"/>
      <w:lvlText w:val="%4."/>
      <w:numFmt w:val="decimal"/>
      <w:pPr>
        <w:pBdr/>
        <w:spacing/>
        <w:ind w:hanging="360" w:left="3796"/>
      </w:pPr>
      <w:rPr/>
      <w:start w:val="1"/>
      <w:suff w:val="tab"/>
    </w:lvl>
    <w:lvl w:ilvl="4">
      <w:isLgl w:val="false"/>
      <w:lvlJc w:val="left"/>
      <w:lvlText w:val="%5."/>
      <w:numFmt w:val="lowerLetter"/>
      <w:pPr>
        <w:pBdr/>
        <w:spacing/>
        <w:ind w:hanging="360" w:left="4516"/>
      </w:pPr>
      <w:rPr/>
      <w:start w:val="1"/>
      <w:suff w:val="tab"/>
    </w:lvl>
    <w:lvl w:ilvl="5">
      <w:isLgl w:val="false"/>
      <w:lvlJc w:val="right"/>
      <w:lvlText w:val="%6."/>
      <w:numFmt w:val="lowerRoman"/>
      <w:pPr>
        <w:pBdr/>
        <w:spacing/>
        <w:ind w:hanging="180" w:left="5236"/>
      </w:pPr>
      <w:rPr/>
      <w:start w:val="1"/>
      <w:suff w:val="tab"/>
    </w:lvl>
    <w:lvl w:ilvl="6">
      <w:isLgl w:val="false"/>
      <w:lvlJc w:val="left"/>
      <w:lvlText w:val="%7."/>
      <w:numFmt w:val="decimal"/>
      <w:pPr>
        <w:pBdr/>
        <w:spacing/>
        <w:ind w:hanging="360" w:left="5956"/>
      </w:pPr>
      <w:rPr/>
      <w:start w:val="1"/>
      <w:suff w:val="tab"/>
    </w:lvl>
    <w:lvl w:ilvl="7">
      <w:isLgl w:val="false"/>
      <w:lvlJc w:val="left"/>
      <w:lvlText w:val="%8."/>
      <w:numFmt w:val="lowerLetter"/>
      <w:pPr>
        <w:pBdr/>
        <w:spacing/>
        <w:ind w:hanging="360" w:left="6676"/>
      </w:pPr>
      <w:rPr/>
      <w:start w:val="1"/>
      <w:suff w:val="tab"/>
    </w:lvl>
    <w:lvl w:ilvl="8">
      <w:isLgl w:val="false"/>
      <w:lvlJc w:val="right"/>
      <w:lvlText w:val="%9."/>
      <w:numFmt w:val="lowerRoman"/>
      <w:pPr>
        <w:pBdr/>
        <w:spacing/>
        <w:ind w:hanging="180" w:left="7396"/>
      </w:pPr>
      <w:rPr/>
      <w:start w:val="1"/>
      <w:suff w:val="tab"/>
    </w:lvl>
  </w:abstractNum>
  <w:num w:numId="1">
    <w:abstractNumId w:val="1"/>
  </w:num>
  <w:num w:numId="2">
    <w:abstractNumId w:val="16"/>
  </w:num>
  <w:num w:numId="3">
    <w:abstractNumId w:val="13"/>
  </w:num>
  <w:num w:numId="4">
    <w:abstractNumId w:val="19"/>
  </w:num>
  <w:num w:numId="5">
    <w:abstractNumId w:val="20"/>
  </w:num>
  <w:num w:numId="6">
    <w:abstractNumId w:val="8"/>
  </w:num>
  <w:num w:numId="7">
    <w:abstractNumId w:val="18"/>
  </w:num>
  <w:num w:numId="8">
    <w:abstractNumId w:val="7"/>
  </w:num>
  <w:num w:numId="9">
    <w:abstractNumId w:val="4"/>
  </w:num>
  <w:num w:numId="10">
    <w:abstractNumId w:val="22"/>
  </w:num>
  <w:num w:numId="11">
    <w:abstractNumId w:val="0"/>
  </w:num>
  <w:num w:numId="12">
    <w:abstractNumId w:val="10"/>
  </w:num>
  <w:num w:numId="13">
    <w:abstractNumId w:val="14"/>
  </w:num>
  <w:num w:numId="14">
    <w:abstractNumId w:val="11"/>
  </w:num>
  <w:num w:numId="15">
    <w:abstractNumId w:val="15"/>
  </w:num>
  <w:num w:numId="16">
    <w:abstractNumId w:val="2"/>
  </w:num>
  <w:num w:numId="17">
    <w:abstractNumId w:val="9"/>
  </w:num>
  <w:num w:numId="18">
    <w:abstractNumId w:val="12"/>
  </w:num>
  <w:num w:numId="19">
    <w:abstractNumId w:val="6"/>
  </w:num>
  <w:num w:numId="20">
    <w:abstractNumId w:val="21"/>
  </w:num>
  <w:num w:numId="21">
    <w:abstractNumId w:val="3"/>
  </w:num>
  <w:num w:numId="22">
    <w:abstractNumId w:val="17"/>
  </w:num>
  <w:num w:numId="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useFELayout w:val="tru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4">
    <w:name w:val="Heading 1 Char"/>
    <w:basedOn w:val="1292"/>
    <w:link w:val="1288"/>
    <w:uiPriority w:val="9"/>
    <w:pPr>
      <w:pBdr/>
      <w:spacing/>
      <w:ind/>
    </w:pPr>
    <w:rPr>
      <w:rFonts w:ascii="Arial" w:hAnsi="Arial" w:eastAsia="Arial" w:cs="Arial"/>
      <w:sz w:val="40"/>
      <w:szCs w:val="40"/>
    </w:rPr>
  </w:style>
  <w:style w:type="character" w:styleId="20">
    <w:name w:val="Heading 4 Char"/>
    <w:basedOn w:val="1292"/>
    <w:link w:val="1291"/>
    <w:uiPriority w:val="9"/>
    <w:pPr>
      <w:pBdr/>
      <w:spacing/>
      <w:ind/>
    </w:pPr>
    <w:rPr>
      <w:rFonts w:ascii="Arial" w:hAnsi="Arial" w:eastAsia="Arial" w:cs="Arial"/>
      <w:b/>
      <w:bCs/>
      <w:sz w:val="26"/>
      <w:szCs w:val="26"/>
    </w:rPr>
  </w:style>
  <w:style w:type="paragraph" w:styleId="21">
    <w:name w:val="Heading 5"/>
    <w:basedOn w:val="1287"/>
    <w:next w:val="1287"/>
    <w:link w:val="22"/>
    <w:uiPriority w:val="9"/>
    <w:unhideWhenUsed/>
    <w:qFormat/>
    <w:pPr>
      <w:keepNext w:val="true"/>
      <w:keepLines w:val="true"/>
      <w:pBdr/>
      <w:spacing w:after="200" w:before="320"/>
      <w:ind/>
      <w:outlineLvl w:val="4"/>
    </w:pPr>
    <w:rPr>
      <w:rFonts w:ascii="Arial" w:hAnsi="Arial" w:eastAsia="Arial" w:cs="Arial"/>
      <w:b/>
      <w:bCs/>
      <w:sz w:val="24"/>
      <w:szCs w:val="24"/>
    </w:rPr>
  </w:style>
  <w:style w:type="character" w:styleId="22">
    <w:name w:val="Heading 5 Char"/>
    <w:basedOn w:val="1292"/>
    <w:link w:val="21"/>
    <w:uiPriority w:val="9"/>
    <w:pPr>
      <w:pBdr/>
      <w:spacing/>
      <w:ind/>
    </w:pPr>
    <w:rPr>
      <w:rFonts w:ascii="Arial" w:hAnsi="Arial" w:eastAsia="Arial" w:cs="Arial"/>
      <w:b/>
      <w:bCs/>
      <w:sz w:val="24"/>
      <w:szCs w:val="24"/>
    </w:rPr>
  </w:style>
  <w:style w:type="paragraph" w:styleId="23">
    <w:name w:val="Heading 6"/>
    <w:basedOn w:val="1287"/>
    <w:next w:val="1287"/>
    <w:link w:val="24"/>
    <w:uiPriority w:val="9"/>
    <w:unhideWhenUsed/>
    <w:qFormat/>
    <w:pPr>
      <w:keepNext w:val="true"/>
      <w:keepLines w:val="true"/>
      <w:pBdr/>
      <w:spacing w:after="200" w:before="320"/>
      <w:ind/>
      <w:outlineLvl w:val="5"/>
    </w:pPr>
    <w:rPr>
      <w:rFonts w:ascii="Arial" w:hAnsi="Arial" w:eastAsia="Arial" w:cs="Arial"/>
      <w:b/>
      <w:bCs/>
      <w:sz w:val="22"/>
      <w:szCs w:val="22"/>
    </w:rPr>
  </w:style>
  <w:style w:type="character" w:styleId="24">
    <w:name w:val="Heading 6 Char"/>
    <w:basedOn w:val="1292"/>
    <w:link w:val="23"/>
    <w:uiPriority w:val="9"/>
    <w:pPr>
      <w:pBdr/>
      <w:spacing/>
      <w:ind/>
    </w:pPr>
    <w:rPr>
      <w:rFonts w:ascii="Arial" w:hAnsi="Arial" w:eastAsia="Arial" w:cs="Arial"/>
      <w:b/>
      <w:bCs/>
      <w:sz w:val="22"/>
      <w:szCs w:val="22"/>
    </w:rPr>
  </w:style>
  <w:style w:type="paragraph" w:styleId="25">
    <w:name w:val="Heading 7"/>
    <w:basedOn w:val="1287"/>
    <w:next w:val="1287"/>
    <w:link w:val="26"/>
    <w:uiPriority w:val="9"/>
    <w:unhideWhenUsed/>
    <w:qFormat/>
    <w:pPr>
      <w:keepNext w:val="true"/>
      <w:keepLines w:val="true"/>
      <w:pBdr/>
      <w:spacing w:after="200" w:before="320"/>
      <w:ind/>
      <w:outlineLvl w:val="6"/>
    </w:pPr>
    <w:rPr>
      <w:rFonts w:ascii="Arial" w:hAnsi="Arial" w:eastAsia="Arial" w:cs="Arial"/>
      <w:b/>
      <w:bCs/>
      <w:i/>
      <w:iCs/>
      <w:sz w:val="22"/>
      <w:szCs w:val="22"/>
    </w:rPr>
  </w:style>
  <w:style w:type="character" w:styleId="26">
    <w:name w:val="Heading 7 Char"/>
    <w:basedOn w:val="1292"/>
    <w:link w:val="25"/>
    <w:uiPriority w:val="9"/>
    <w:pPr>
      <w:pBdr/>
      <w:spacing/>
      <w:ind/>
    </w:pPr>
    <w:rPr>
      <w:rFonts w:ascii="Arial" w:hAnsi="Arial" w:eastAsia="Arial" w:cs="Arial"/>
      <w:b/>
      <w:bCs/>
      <w:i/>
      <w:iCs/>
      <w:sz w:val="22"/>
      <w:szCs w:val="22"/>
    </w:rPr>
  </w:style>
  <w:style w:type="paragraph" w:styleId="27">
    <w:name w:val="Heading 8"/>
    <w:basedOn w:val="1287"/>
    <w:next w:val="1287"/>
    <w:link w:val="28"/>
    <w:uiPriority w:val="9"/>
    <w:unhideWhenUsed/>
    <w:qFormat/>
    <w:pPr>
      <w:keepNext w:val="true"/>
      <w:keepLines w:val="true"/>
      <w:pBdr/>
      <w:spacing w:after="200" w:before="320"/>
      <w:ind/>
      <w:outlineLvl w:val="7"/>
    </w:pPr>
    <w:rPr>
      <w:rFonts w:ascii="Arial" w:hAnsi="Arial" w:eastAsia="Arial" w:cs="Arial"/>
      <w:i/>
      <w:iCs/>
      <w:sz w:val="22"/>
      <w:szCs w:val="22"/>
    </w:rPr>
  </w:style>
  <w:style w:type="character" w:styleId="28">
    <w:name w:val="Heading 8 Char"/>
    <w:basedOn w:val="1292"/>
    <w:link w:val="27"/>
    <w:uiPriority w:val="9"/>
    <w:pPr>
      <w:pBdr/>
      <w:spacing/>
      <w:ind/>
    </w:pPr>
    <w:rPr>
      <w:rFonts w:ascii="Arial" w:hAnsi="Arial" w:eastAsia="Arial" w:cs="Arial"/>
      <w:i/>
      <w:iCs/>
      <w:sz w:val="22"/>
      <w:szCs w:val="22"/>
    </w:rPr>
  </w:style>
  <w:style w:type="paragraph" w:styleId="29">
    <w:name w:val="Heading 9"/>
    <w:basedOn w:val="1287"/>
    <w:next w:val="1287"/>
    <w:link w:val="30"/>
    <w:uiPriority w:val="9"/>
    <w:unhideWhenUsed/>
    <w:qFormat/>
    <w:pPr>
      <w:keepNext w:val="true"/>
      <w:keepLines w:val="true"/>
      <w:pBdr/>
      <w:spacing w:after="200" w:before="320"/>
      <w:ind/>
      <w:outlineLvl w:val="8"/>
    </w:pPr>
    <w:rPr>
      <w:rFonts w:ascii="Arial" w:hAnsi="Arial" w:eastAsia="Arial" w:cs="Arial"/>
      <w:i/>
      <w:iCs/>
      <w:sz w:val="21"/>
      <w:szCs w:val="21"/>
    </w:rPr>
  </w:style>
  <w:style w:type="character" w:styleId="30">
    <w:name w:val="Heading 9 Char"/>
    <w:basedOn w:val="1292"/>
    <w:link w:val="29"/>
    <w:uiPriority w:val="9"/>
    <w:pPr>
      <w:pBdr/>
      <w:spacing/>
      <w:ind/>
    </w:pPr>
    <w:rPr>
      <w:rFonts w:ascii="Arial" w:hAnsi="Arial" w:eastAsia="Arial" w:cs="Arial"/>
      <w:i/>
      <w:iCs/>
      <w:sz w:val="21"/>
      <w:szCs w:val="21"/>
    </w:rPr>
  </w:style>
  <w:style w:type="paragraph" w:styleId="33">
    <w:name w:val="No Spacing"/>
    <w:uiPriority w:val="1"/>
    <w:qFormat/>
    <w:pPr>
      <w:pBdr/>
      <w:spacing w:after="0" w:before="0" w:line="240" w:lineRule="auto"/>
      <w:ind/>
    </w:pPr>
  </w:style>
  <w:style w:type="character" w:styleId="35">
    <w:name w:val="Title Char"/>
    <w:basedOn w:val="1292"/>
    <w:link w:val="1315"/>
    <w:uiPriority w:val="10"/>
    <w:pPr>
      <w:pBdr/>
      <w:spacing/>
      <w:ind/>
    </w:pPr>
    <w:rPr>
      <w:sz w:val="48"/>
      <w:szCs w:val="48"/>
    </w:rPr>
  </w:style>
  <w:style w:type="character" w:styleId="37">
    <w:name w:val="Subtitle Char"/>
    <w:basedOn w:val="1292"/>
    <w:link w:val="1309"/>
    <w:uiPriority w:val="11"/>
    <w:pPr>
      <w:pBdr/>
      <w:spacing/>
      <w:ind/>
    </w:pPr>
    <w:rPr>
      <w:sz w:val="24"/>
      <w:szCs w:val="24"/>
    </w:rPr>
  </w:style>
  <w:style w:type="paragraph" w:styleId="38">
    <w:name w:val="Quote"/>
    <w:basedOn w:val="1287"/>
    <w:next w:val="1287"/>
    <w:link w:val="39"/>
    <w:uiPriority w:val="29"/>
    <w:qFormat/>
    <w:pPr>
      <w:pBdr/>
      <w:spacing/>
      <w:ind w:right="720" w:left="720"/>
    </w:pPr>
    <w:rPr>
      <w:i/>
    </w:rPr>
  </w:style>
  <w:style w:type="character" w:styleId="39">
    <w:name w:val="Quote Char"/>
    <w:link w:val="38"/>
    <w:uiPriority w:val="29"/>
    <w:pPr>
      <w:pBdr/>
      <w:spacing/>
      <w:ind/>
    </w:pPr>
    <w:rPr>
      <w:i/>
    </w:rPr>
  </w:style>
  <w:style w:type="paragraph" w:styleId="40">
    <w:name w:val="Intense Quote"/>
    <w:basedOn w:val="1287"/>
    <w:next w:val="1287"/>
    <w:link w:val="41"/>
    <w:uiPriority w:val="30"/>
    <w:qFormat/>
    <w:pPr>
      <w:pBdr>
        <w:top w:val="single" w:color="ffffff" w:sz="4" w:space="5"/>
        <w:left w:val="single" w:color="ffffff" w:sz="4" w:space="10"/>
        <w:bottom w:val="single" w:color="ffffff" w:sz="4" w:space="5"/>
        <w:right w:val="single" w:color="ffffff" w:sz="4" w:space="10"/>
      </w:pBdr>
      <w:shd w:val="clear" w:color="auto" w:fill="f2f2f2"/>
      <w:spacing/>
      <w:ind w:right="720" w:left="720"/>
      <w:contextualSpacing w:val="false"/>
    </w:pPr>
    <w:rPr>
      <w:i/>
    </w:rPr>
  </w:style>
  <w:style w:type="character" w:styleId="41">
    <w:name w:val="Intense Quote Char"/>
    <w:link w:val="40"/>
    <w:uiPriority w:val="30"/>
    <w:pPr>
      <w:pBdr/>
      <w:spacing/>
      <w:ind/>
    </w:pPr>
    <w:rPr>
      <w:i/>
    </w:rPr>
  </w:style>
  <w:style w:type="character" w:styleId="43">
    <w:name w:val="Header Char"/>
    <w:basedOn w:val="1292"/>
    <w:link w:val="1306"/>
    <w:uiPriority w:val="99"/>
    <w:pPr>
      <w:pBdr/>
      <w:spacing/>
      <w:ind/>
    </w:pPr>
  </w:style>
  <w:style w:type="character" w:styleId="45">
    <w:name w:val="Footer Char"/>
    <w:basedOn w:val="1292"/>
    <w:link w:val="1305"/>
    <w:uiPriority w:val="99"/>
    <w:pPr>
      <w:pBdr/>
      <w:spacing/>
      <w:ind/>
    </w:pPr>
  </w:style>
  <w:style w:type="character" w:styleId="47">
    <w:name w:val="Caption Char"/>
    <w:basedOn w:val="1295"/>
    <w:link w:val="1305"/>
    <w:uiPriority w:val="99"/>
    <w:pPr>
      <w:pBdr/>
      <w:spacing/>
      <w:ind/>
    </w:pPr>
  </w:style>
  <w:style w:type="table" w:styleId="49">
    <w:name w:val="Table Grid Light"/>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Plain Table 1"/>
    <w:basedOn w:val="1293"/>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Plain Table 2"/>
    <w:basedOn w:val="1293"/>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Plain Table 3"/>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Plain Table 4"/>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Plain Table 5"/>
    <w:basedOn w:val="129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1 Light"/>
    <w:basedOn w:val="129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6">
    <w:name w:val="Grid Table 1 Light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7">
    <w:name w:val="Grid Table 1 Light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8">
    <w:name w:val="Grid Table 1 Light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9">
    <w:name w:val="Grid Table 1 Light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0">
    <w:name w:val="Grid Table 1 Light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1 Light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2"/>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2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2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2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2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2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Grid Table 2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Grid Table 3"/>
    <w:basedOn w:val="129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Grid Table 3 - Accent 1"/>
    <w:basedOn w:val="129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Grid Table 3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Grid Table 3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Grid Table 3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Grid Table 3 - Accent 5"/>
    <w:basedOn w:val="129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Grid Table 3 - Accent 6"/>
    <w:basedOn w:val="129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Grid Table 4"/>
    <w:basedOn w:val="129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Grid Table 4 - Accent 1"/>
    <w:basedOn w:val="129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Grid Table 4 - Accent 2"/>
    <w:basedOn w:val="129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Grid Table 4 - Accent 3"/>
    <w:basedOn w:val="129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Grid Table 4 - Accent 4"/>
    <w:basedOn w:val="129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Grid Table 4 - Accent 5"/>
    <w:basedOn w:val="129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Grid Table 4 - Accent 6"/>
    <w:basedOn w:val="129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Grid Table 5 Dark"/>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Grid Table 5 Dark- Accent 1"/>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Grid Table 5 Dark - Accent 2"/>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Grid Table 5 Dark - Accent 3"/>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Grid Table 5 Dark- Accent 4"/>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Grid Table 5 Dark - Accent 5"/>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Grid Table 5 Dark - Accent 6"/>
    <w:basedOn w:val="129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Grid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91">
    <w:name w:val="Grid Table 6 Colorful - Accent 1"/>
    <w:basedOn w:val="129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92">
    <w:name w:val="Grid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3">
    <w:name w:val="Grid Table 6 Colorful - Accent 3"/>
    <w:basedOn w:val="129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4">
    <w:name w:val="Grid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5">
    <w:name w:val="Grid Table 6 Colorful - Accent 5"/>
    <w:basedOn w:val="129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6">
    <w:name w:val="Grid Table 6 Colorful - Accent 6"/>
    <w:basedOn w:val="129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7">
    <w:name w:val="Grid Table 7 Colorful"/>
    <w:basedOn w:val="129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
    <w:name w:val="Grid Table 7 Colorful - Accent 1"/>
    <w:basedOn w:val="129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
    <w:name w:val="Grid Table 7 Colorful - Accent 2"/>
    <w:basedOn w:val="129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
    <w:name w:val="Grid Table 7 Colorful - Accent 3"/>
    <w:basedOn w:val="129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
    <w:name w:val="Grid Table 7 Colorful - Accent 4"/>
    <w:basedOn w:val="129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
    <w:name w:val="Grid Table 7 Colorful - Accent 5"/>
    <w:basedOn w:val="129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Grid Table 7 Colorful - Accent 6"/>
    <w:basedOn w:val="129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1 Light"/>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1 Light - Accent 1"/>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1 Light - Accent 2"/>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1 Light - Accent 3"/>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1 Light - Accent 4"/>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1 Light - Accent 5"/>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1 Light - Accent 6"/>
    <w:basedOn w:val="129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2"/>
    <w:basedOn w:val="129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2">
    <w:name w:val="List Table 2 - Accent 1"/>
    <w:basedOn w:val="129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3">
    <w:name w:val="List Table 2 - Accent 2"/>
    <w:basedOn w:val="129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4">
    <w:name w:val="List Table 2 - Accent 3"/>
    <w:basedOn w:val="129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5">
    <w:name w:val="List Table 2 - Accent 4"/>
    <w:basedOn w:val="129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6">
    <w:name w:val="List Table 2 - Accent 5"/>
    <w:basedOn w:val="129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st Table 2 - Accent 6"/>
    <w:basedOn w:val="129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st Table 3"/>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st Table 3 - Accent 1"/>
    <w:basedOn w:val="129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st Table 3 - Accent 2"/>
    <w:basedOn w:val="129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st Table 3 - Accent 3"/>
    <w:basedOn w:val="129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st Table 3 - Accent 4"/>
    <w:basedOn w:val="129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st Table 3 - Accent 5"/>
    <w:basedOn w:val="129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List Table 3 - Accent 6"/>
    <w:basedOn w:val="129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List Table 4"/>
    <w:basedOn w:val="129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List Table 4 - Accent 1"/>
    <w:basedOn w:val="129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List Table 4 - Accent 2"/>
    <w:basedOn w:val="129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List Table 4 - Accent 3"/>
    <w:basedOn w:val="129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List Table 4 - Accent 4"/>
    <w:basedOn w:val="129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List Table 4 - Accent 5"/>
    <w:basedOn w:val="129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List Table 4 - Accent 6"/>
    <w:basedOn w:val="129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List Table 5 Dark"/>
    <w:basedOn w:val="129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3">
    <w:name w:val="List Table 5 Dark - Accent 1"/>
    <w:basedOn w:val="129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4">
    <w:name w:val="List Table 5 Dark - Accent 2"/>
    <w:basedOn w:val="129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5">
    <w:name w:val="List Table 5 Dark - Accent 3"/>
    <w:basedOn w:val="129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6">
    <w:name w:val="List Table 5 Dark - Accent 4"/>
    <w:basedOn w:val="129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7">
    <w:name w:val="List Table 5 Dark - Accent 5"/>
    <w:basedOn w:val="129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8">
    <w:name w:val="List Table 5 Dark - Accent 6"/>
    <w:basedOn w:val="129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39">
    <w:name w:val="List Table 6 Colorful"/>
    <w:basedOn w:val="129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
    <w:name w:val="List Table 6 Colorful - Accent 1"/>
    <w:basedOn w:val="129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
    <w:name w:val="List Table 6 Colorful - Accent 2"/>
    <w:basedOn w:val="129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
    <w:name w:val="List Table 6 Colorful - Accent 3"/>
    <w:basedOn w:val="129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
    <w:name w:val="List Table 6 Colorful - Accent 4"/>
    <w:basedOn w:val="129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
    <w:name w:val="List Table 6 Colorful - Accent 5"/>
    <w:basedOn w:val="129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
    <w:name w:val="List Table 6 Colorful - Accent 6"/>
    <w:basedOn w:val="129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
    <w:name w:val="List Table 7 Colorful"/>
    <w:basedOn w:val="129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7">
    <w:name w:val="List Table 7 Colorful - Accent 1"/>
    <w:basedOn w:val="129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48">
    <w:name w:val="List Table 7 Colorful - Accent 2"/>
    <w:basedOn w:val="129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49">
    <w:name w:val="List Table 7 Colorful - Accent 3"/>
    <w:basedOn w:val="129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50">
    <w:name w:val="List Table 7 Colorful - Accent 4"/>
    <w:basedOn w:val="129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51">
    <w:name w:val="List Table 7 Colorful - Accent 5"/>
    <w:basedOn w:val="129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52">
    <w:name w:val="List Table 7 Colorful - Accent 6"/>
    <w:basedOn w:val="129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53">
    <w:name w:val="Lined - Accent"/>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4">
    <w:name w:val="Lined - Accent 1"/>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5">
    <w:name w:val="Lined - Accent 2"/>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6">
    <w:name w:val="Lined - Accent 3"/>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7">
    <w:name w:val="Lined - Accent 4"/>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8">
    <w:name w:val="Lined - Accent 5"/>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9">
    <w:name w:val="Lined - Accent 6"/>
    <w:basedOn w:val="129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0">
    <w:name w:val="Bordered &amp; Lined - Accent"/>
    <w:basedOn w:val="129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1">
    <w:name w:val="Bordered &amp; Lined - Accent 1"/>
    <w:basedOn w:val="129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2">
    <w:name w:val="Bordered &amp; Lined - Accent 2"/>
    <w:basedOn w:val="129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3">
    <w:name w:val="Bordered &amp; Lined - Accent 3"/>
    <w:basedOn w:val="129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4">
    <w:name w:val="Bordered &amp; Lined - Accent 4"/>
    <w:basedOn w:val="129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5">
    <w:name w:val="Bordered &amp; Lined - Accent 5"/>
    <w:basedOn w:val="129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6">
    <w:name w:val="Bordered &amp; Lined - Accent 6"/>
    <w:basedOn w:val="129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7">
    <w:name w:val="Bordered"/>
    <w:basedOn w:val="129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8">
    <w:name w:val="Bordered - Accent 1"/>
    <w:basedOn w:val="129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9">
    <w:name w:val="Bordered - Accent 2"/>
    <w:basedOn w:val="129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0">
    <w:name w:val="Bordered - Accent 3"/>
    <w:basedOn w:val="129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1">
    <w:name w:val="Bordered - Accent 4"/>
    <w:basedOn w:val="129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2">
    <w:name w:val="Bordered - Accent 5"/>
    <w:basedOn w:val="129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3">
    <w:name w:val="Bordered - Accent 6"/>
    <w:basedOn w:val="129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76">
    <w:name w:val="Footnote Text Char"/>
    <w:link w:val="1310"/>
    <w:uiPriority w:val="99"/>
    <w:pPr>
      <w:pBdr/>
      <w:spacing/>
      <w:ind/>
    </w:pPr>
    <w:rPr>
      <w:sz w:val="18"/>
    </w:rPr>
  </w:style>
  <w:style w:type="character" w:styleId="179">
    <w:name w:val="Endnote Text Char"/>
    <w:link w:val="1303"/>
    <w:uiPriority w:val="99"/>
    <w:pPr>
      <w:pBdr/>
      <w:spacing/>
      <w:ind/>
    </w:pPr>
    <w:rPr>
      <w:sz w:val="20"/>
    </w:rPr>
  </w:style>
  <w:style w:type="paragraph" w:styleId="190">
    <w:name w:val="TOC Heading"/>
    <w:uiPriority w:val="39"/>
    <w:unhideWhenUsed/>
    <w:pPr>
      <w:pBdr/>
      <w:spacing/>
      <w:ind/>
    </w:pPr>
  </w:style>
  <w:style w:type="paragraph" w:styleId="191">
    <w:name w:val="table of figures"/>
    <w:basedOn w:val="1287"/>
    <w:next w:val="1287"/>
    <w:uiPriority w:val="99"/>
    <w:unhideWhenUsed/>
    <w:pPr>
      <w:pBdr/>
      <w:spacing w:after="0" w:afterAutospacing="0"/>
      <w:ind/>
    </w:pPr>
  </w:style>
  <w:style w:type="paragraph" w:styleId="1287" w:default="1">
    <w:name w:val="Normal"/>
    <w:uiPriority w:val="0"/>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288">
    <w:name w:val="Heading 1"/>
    <w:basedOn w:val="1287"/>
    <w:next w:val="1287"/>
    <w:link w:val="1327"/>
    <w:uiPriority w:val="9"/>
    <w:qFormat/>
    <w:pPr>
      <w:keepNext w:val="true"/>
      <w:keepLines w:val="true"/>
      <w:pBdr/>
      <w:spacing w:after="330" w:before="340" w:line="578" w:lineRule="auto"/>
      <w:ind/>
      <w:outlineLvl w:val="0"/>
    </w:pPr>
    <w:rPr>
      <w:b/>
      <w:bCs/>
      <w:sz w:val="44"/>
      <w:szCs w:val="44"/>
    </w:rPr>
  </w:style>
  <w:style w:type="paragraph" w:styleId="1289">
    <w:name w:val="Heading 2"/>
    <w:basedOn w:val="1287"/>
    <w:next w:val="1287"/>
    <w:uiPriority w:val="0"/>
    <w:qFormat/>
    <w:pPr>
      <w:keepNext w:val="true"/>
      <w:keepLines w:val="true"/>
      <w:pBdr/>
      <w:spacing/>
      <w:ind/>
      <w:outlineLvl w:val="1"/>
    </w:pPr>
    <w:rPr>
      <w:rFonts w:eastAsia="Times New Roman"/>
      <w:bCs/>
      <w:sz w:val="22"/>
      <w:szCs w:val="32"/>
    </w:rPr>
  </w:style>
  <w:style w:type="paragraph" w:styleId="1290">
    <w:name w:val="Heading 3"/>
    <w:basedOn w:val="1287"/>
    <w:next w:val="1287"/>
    <w:link w:val="1387"/>
    <w:uiPriority w:val="0"/>
    <w:unhideWhenUsed/>
    <w:qFormat/>
    <w:pPr>
      <w:keepNext w:val="true"/>
      <w:keepLines w:val="true"/>
      <w:pBdr/>
      <w:spacing w:after="260" w:before="260" w:line="416" w:lineRule="auto"/>
      <w:ind/>
      <w:outlineLvl w:val="2"/>
    </w:pPr>
    <w:rPr>
      <w:b/>
      <w:bCs/>
      <w:sz w:val="32"/>
      <w:szCs w:val="32"/>
    </w:rPr>
  </w:style>
  <w:style w:type="paragraph" w:styleId="1291">
    <w:name w:val="Heading 4"/>
    <w:basedOn w:val="1287"/>
    <w:next w:val="1287"/>
    <w:link w:val="1445"/>
    <w:uiPriority w:val="0"/>
    <w:semiHidden/>
    <w:unhideWhenUsed/>
    <w:qFormat/>
    <w:pPr>
      <w:keepNext w:val="true"/>
      <w:keepLines w:val="true"/>
      <w:pBdr/>
      <w:spacing w:after="290" w:before="280" w:line="376" w:lineRule="auto"/>
      <w:ind/>
      <w:outlineLvl w:val="3"/>
    </w:pPr>
    <w:rPr>
      <w:rFonts w:asciiTheme="majorHAnsi" w:hAnsiTheme="majorHAnsi" w:eastAsiaTheme="majorEastAsia" w:cstheme="majorBidi"/>
      <w:b/>
      <w:bCs/>
      <w:sz w:val="28"/>
      <w:szCs w:val="28"/>
    </w:rPr>
  </w:style>
  <w:style w:type="character" w:styleId="1292" w:default="1">
    <w:name w:val="Default Paragraph Font"/>
    <w:uiPriority w:val="1"/>
    <w:semiHidden/>
    <w:unhideWhenUsed/>
    <w:qFormat/>
    <w:pPr>
      <w:pBdr/>
      <w:spacing/>
      <w:ind/>
    </w:pPr>
  </w:style>
  <w:style w:type="table" w:styleId="1293" w:default="1">
    <w:name w:val="Normal Table"/>
    <w:uiPriority w:val="99"/>
    <w:semiHidden/>
    <w:unhideWhenUsed/>
    <w:qFormat/>
    <w:pPr>
      <w:pBdr/>
      <w:spacing/>
      <w:ind/>
    </w:pPr>
    <w:tblPr>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294">
    <w:name w:val="toc 7"/>
    <w:basedOn w:val="1287"/>
    <w:next w:val="1287"/>
    <w:uiPriority w:val="39"/>
    <w:unhideWhenUsed/>
    <w:qFormat/>
    <w:pPr>
      <w:pBdr/>
      <w:spacing w:after="0" w:before="0"/>
      <w:ind w:left="1440"/>
      <w:jc w:val="left"/>
    </w:pPr>
    <w:rPr>
      <w:rFonts w:asciiTheme="minorHAnsi" w:hAnsiTheme="minorHAnsi" w:cstheme="minorHAnsi"/>
      <w:sz w:val="20"/>
      <w:szCs w:val="20"/>
    </w:rPr>
  </w:style>
  <w:style w:type="paragraph" w:styleId="1295">
    <w:name w:val="Caption"/>
    <w:basedOn w:val="1287"/>
    <w:next w:val="1287"/>
    <w:uiPriority w:val="35"/>
    <w:unhideWhenUsed/>
    <w:qFormat/>
    <w:pPr>
      <w:pBdr/>
      <w:spacing w:after="0" w:before="0"/>
      <w:ind w:right="0" w:left="0"/>
      <w:jc w:val="left"/>
    </w:pPr>
    <w:rPr>
      <w:rFonts w:eastAsia="宋体"/>
      <w:b/>
      <w:bCs/>
      <w:sz w:val="20"/>
      <w:szCs w:val="20"/>
    </w:rPr>
  </w:style>
  <w:style w:type="paragraph" w:styleId="1296">
    <w:name w:val="Document Map"/>
    <w:basedOn w:val="1287"/>
    <w:link w:val="1380"/>
    <w:uiPriority w:val="99"/>
    <w:qFormat/>
    <w:pPr>
      <w:pBdr/>
      <w:spacing/>
      <w:ind/>
    </w:pPr>
    <w:rPr>
      <w:rFonts w:ascii="宋体" w:eastAsia="宋体"/>
      <w:sz w:val="18"/>
      <w:szCs w:val="18"/>
    </w:rPr>
  </w:style>
  <w:style w:type="paragraph" w:styleId="1297">
    <w:name w:val="annotation text"/>
    <w:basedOn w:val="1287"/>
    <w:link w:val="1412"/>
    <w:uiPriority w:val="0"/>
    <w:qFormat/>
    <w:pPr>
      <w:pBdr/>
      <w:spacing/>
      <w:ind/>
    </w:pPr>
    <w:rPr>
      <w:sz w:val="20"/>
      <w:szCs w:val="20"/>
    </w:rPr>
  </w:style>
  <w:style w:type="paragraph" w:styleId="1298">
    <w:name w:val="Body Text"/>
    <w:basedOn w:val="1287"/>
    <w:link w:val="1386"/>
    <w:uiPriority w:val="1"/>
    <w:qFormat/>
    <w:pPr>
      <w:widowControl w:val="false"/>
      <w:pBdr/>
      <w:spacing/>
      <w:ind/>
    </w:pPr>
    <w:rPr>
      <w:rFonts w:ascii="宋体" w:hAnsi="宋体" w:eastAsia="宋体" w:cs="宋体"/>
      <w:sz w:val="22"/>
      <w:szCs w:val="22"/>
      <w:lang w:eastAsia="en-US"/>
    </w:rPr>
  </w:style>
  <w:style w:type="paragraph" w:styleId="1299">
    <w:name w:val="toc 5"/>
    <w:basedOn w:val="1287"/>
    <w:next w:val="1287"/>
    <w:uiPriority w:val="39"/>
    <w:unhideWhenUsed/>
    <w:qFormat/>
    <w:pPr>
      <w:pBdr/>
      <w:spacing w:after="0" w:before="0"/>
      <w:ind w:left="960"/>
      <w:jc w:val="left"/>
    </w:pPr>
    <w:rPr>
      <w:rFonts w:asciiTheme="minorHAnsi" w:hAnsiTheme="minorHAnsi" w:cstheme="minorHAnsi"/>
      <w:sz w:val="20"/>
      <w:szCs w:val="20"/>
    </w:rPr>
  </w:style>
  <w:style w:type="paragraph" w:styleId="1300">
    <w:name w:val="toc 3"/>
    <w:basedOn w:val="1287"/>
    <w:next w:val="1287"/>
    <w:link w:val="1426"/>
    <w:uiPriority w:val="39"/>
    <w:unhideWhenUsed/>
    <w:qFormat/>
    <w:pPr>
      <w:pBdr/>
      <w:spacing w:after="0" w:before="0"/>
      <w:ind w:left="480"/>
      <w:jc w:val="left"/>
    </w:pPr>
    <w:rPr>
      <w:rFonts w:asciiTheme="minorHAnsi" w:hAnsiTheme="minorHAnsi" w:cstheme="minorHAnsi"/>
      <w:sz w:val="20"/>
      <w:szCs w:val="20"/>
    </w:rPr>
  </w:style>
  <w:style w:type="paragraph" w:styleId="1301">
    <w:name w:val="toc 8"/>
    <w:basedOn w:val="1287"/>
    <w:next w:val="1287"/>
    <w:uiPriority w:val="39"/>
    <w:unhideWhenUsed/>
    <w:qFormat/>
    <w:pPr>
      <w:pBdr/>
      <w:spacing w:after="0" w:before="0"/>
      <w:ind w:left="1680"/>
      <w:jc w:val="left"/>
    </w:pPr>
    <w:rPr>
      <w:rFonts w:asciiTheme="minorHAnsi" w:hAnsiTheme="minorHAnsi" w:cstheme="minorHAnsi"/>
      <w:sz w:val="20"/>
      <w:szCs w:val="20"/>
    </w:rPr>
  </w:style>
  <w:style w:type="paragraph" w:styleId="1302">
    <w:name w:val="Date"/>
    <w:basedOn w:val="1287"/>
    <w:next w:val="1287"/>
    <w:link w:val="1379"/>
    <w:uiPriority w:val="0"/>
    <w:qFormat/>
    <w:pPr>
      <w:pBdr/>
      <w:spacing/>
      <w:ind w:left="100"/>
    </w:pPr>
  </w:style>
  <w:style w:type="paragraph" w:styleId="1303">
    <w:name w:val="endnote text"/>
    <w:basedOn w:val="1287"/>
    <w:link w:val="1442"/>
    <w:uiPriority w:val="0"/>
    <w:qFormat/>
    <w:pPr>
      <w:pBdr/>
      <w:spacing/>
      <w:ind/>
      <w:jc w:val="left"/>
    </w:pPr>
  </w:style>
  <w:style w:type="paragraph" w:styleId="1304">
    <w:name w:val="Balloon Text"/>
    <w:basedOn w:val="1287"/>
    <w:link w:val="1413"/>
    <w:uiPriority w:val="99"/>
    <w:qFormat/>
    <w:pPr>
      <w:pBdr/>
      <w:spacing/>
      <w:ind/>
    </w:pPr>
    <w:rPr>
      <w:rFonts w:ascii="宋体" w:eastAsia="宋体"/>
      <w:sz w:val="18"/>
      <w:szCs w:val="18"/>
    </w:rPr>
  </w:style>
  <w:style w:type="paragraph" w:styleId="1305">
    <w:name w:val="Footer"/>
    <w:basedOn w:val="1287"/>
    <w:link w:val="1399"/>
    <w:uiPriority w:val="99"/>
    <w:qFormat/>
    <w:pPr>
      <w:pBdr/>
      <w:tabs>
        <w:tab w:val="center" w:leader="none" w:pos="4153"/>
        <w:tab w:val="right" w:leader="none" w:pos="8306"/>
      </w:tabs>
      <w:spacing/>
      <w:ind/>
    </w:pPr>
    <w:rPr>
      <w:sz w:val="18"/>
      <w:szCs w:val="18"/>
    </w:rPr>
  </w:style>
  <w:style w:type="paragraph" w:styleId="1306">
    <w:name w:val="Header"/>
    <w:basedOn w:val="1287"/>
    <w:link w:val="1450"/>
    <w:uiPriority w:val="0"/>
    <w:qFormat/>
    <w:pPr>
      <w:pBdr>
        <w:bottom w:val="single" w:color="000000" w:sz="6" w:space="1"/>
      </w:pBdr>
      <w:tabs>
        <w:tab w:val="center" w:leader="none" w:pos="4153"/>
        <w:tab w:val="right" w:leader="none" w:pos="8306"/>
      </w:tabs>
      <w:spacing/>
      <w:ind/>
      <w:jc w:val="center"/>
    </w:pPr>
    <w:rPr>
      <w:sz w:val="18"/>
      <w:szCs w:val="18"/>
    </w:rPr>
  </w:style>
  <w:style w:type="paragraph" w:styleId="1307">
    <w:name w:val="toc 1"/>
    <w:basedOn w:val="1287"/>
    <w:next w:val="1287"/>
    <w:uiPriority w:val="39"/>
    <w:qFormat/>
    <w:pPr>
      <w:pBdr/>
      <w:spacing w:before="240"/>
      <w:ind w:left="0"/>
      <w:jc w:val="left"/>
    </w:pPr>
    <w:rPr>
      <w:rFonts w:asciiTheme="minorHAnsi" w:hAnsiTheme="minorHAnsi" w:cstheme="minorHAnsi"/>
      <w:b/>
      <w:bCs/>
      <w:sz w:val="20"/>
      <w:szCs w:val="20"/>
    </w:rPr>
  </w:style>
  <w:style w:type="paragraph" w:styleId="1308">
    <w:name w:val="toc 4"/>
    <w:basedOn w:val="1287"/>
    <w:next w:val="1287"/>
    <w:uiPriority w:val="39"/>
    <w:unhideWhenUsed/>
    <w:qFormat/>
    <w:pPr>
      <w:pBdr/>
      <w:spacing w:after="0" w:before="0"/>
      <w:ind w:left="720"/>
      <w:jc w:val="left"/>
    </w:pPr>
    <w:rPr>
      <w:rFonts w:asciiTheme="minorHAnsi" w:hAnsiTheme="minorHAnsi" w:cstheme="minorHAnsi"/>
      <w:sz w:val="20"/>
      <w:szCs w:val="20"/>
    </w:rPr>
  </w:style>
  <w:style w:type="paragraph" w:styleId="1309">
    <w:name w:val="Subtitle"/>
    <w:basedOn w:val="1287"/>
    <w:next w:val="1287"/>
    <w:link w:val="1402"/>
    <w:uiPriority w:val="11"/>
    <w:qFormat/>
    <w:pPr>
      <w:pBdr/>
      <w:spacing w:after="0" w:before="0"/>
      <w:ind w:right="0" w:left="0"/>
      <w:jc w:val="left"/>
      <w:outlineLvl w:val="2"/>
    </w:pPr>
    <w:rPr>
      <w:rFonts w:ascii="楷体" w:hAnsi="楷体" w:eastAsia="楷体"/>
      <w:b/>
      <w:bCs/>
      <w:i/>
      <w:iCs/>
      <w:color w:val="17365d"/>
    </w:rPr>
  </w:style>
  <w:style w:type="paragraph" w:styleId="1310">
    <w:name w:val="footnote text"/>
    <w:basedOn w:val="1287"/>
    <w:link w:val="1351"/>
    <w:uiPriority w:val="0"/>
    <w:qFormat/>
    <w:pPr>
      <w:widowControl w:val="false"/>
      <w:pBdr/>
      <w:spacing/>
      <w:ind/>
    </w:pPr>
    <w:rPr>
      <w:rFonts w:eastAsia="宋体"/>
      <w:sz w:val="18"/>
      <w:szCs w:val="18"/>
    </w:rPr>
  </w:style>
  <w:style w:type="paragraph" w:styleId="1311">
    <w:name w:val="toc 6"/>
    <w:basedOn w:val="1287"/>
    <w:next w:val="1287"/>
    <w:uiPriority w:val="39"/>
    <w:unhideWhenUsed/>
    <w:qFormat/>
    <w:pPr>
      <w:pBdr/>
      <w:spacing w:after="0" w:before="0"/>
      <w:ind w:left="1200"/>
      <w:jc w:val="left"/>
    </w:pPr>
    <w:rPr>
      <w:rFonts w:asciiTheme="minorHAnsi" w:hAnsiTheme="minorHAnsi" w:cstheme="minorHAnsi"/>
      <w:sz w:val="20"/>
      <w:szCs w:val="20"/>
    </w:rPr>
  </w:style>
  <w:style w:type="paragraph" w:styleId="1312">
    <w:name w:val="toc 2"/>
    <w:basedOn w:val="1287"/>
    <w:next w:val="1287"/>
    <w:link w:val="1429"/>
    <w:uiPriority w:val="39"/>
    <w:unhideWhenUsed/>
    <w:qFormat/>
    <w:pPr>
      <w:pBdr/>
      <w:spacing w:after="0"/>
      <w:ind w:left="240"/>
      <w:jc w:val="left"/>
    </w:pPr>
    <w:rPr>
      <w:rFonts w:asciiTheme="minorHAnsi" w:hAnsiTheme="minorHAnsi" w:cstheme="minorHAnsi"/>
      <w:i/>
      <w:iCs/>
      <w:sz w:val="20"/>
      <w:szCs w:val="20"/>
    </w:rPr>
  </w:style>
  <w:style w:type="paragraph" w:styleId="1313">
    <w:name w:val="toc 9"/>
    <w:basedOn w:val="1287"/>
    <w:next w:val="1287"/>
    <w:uiPriority w:val="39"/>
    <w:unhideWhenUsed/>
    <w:qFormat/>
    <w:pPr>
      <w:pBdr/>
      <w:spacing w:after="0" w:before="0"/>
      <w:ind w:left="1920"/>
      <w:jc w:val="left"/>
    </w:pPr>
    <w:rPr>
      <w:rFonts w:asciiTheme="minorHAnsi" w:hAnsiTheme="minorHAnsi" w:cstheme="minorHAnsi"/>
      <w:sz w:val="20"/>
      <w:szCs w:val="20"/>
    </w:rPr>
  </w:style>
  <w:style w:type="paragraph" w:styleId="1314">
    <w:name w:val="Normal (Web)"/>
    <w:basedOn w:val="1287"/>
    <w:uiPriority w:val="99"/>
    <w:qFormat/>
    <w:pPr>
      <w:pBdr/>
      <w:spacing w:after="100" w:afterAutospacing="1" w:before="100" w:beforeAutospacing="1"/>
      <w:ind/>
    </w:pPr>
    <w:rPr>
      <w:rFonts w:ascii="宋体" w:hAnsi="宋体" w:eastAsia="宋体" w:cs="宋体"/>
      <w:color w:val="000000"/>
    </w:rPr>
  </w:style>
  <w:style w:type="paragraph" w:styleId="1315">
    <w:name w:val="Title"/>
    <w:basedOn w:val="1287"/>
    <w:next w:val="1287"/>
    <w:link w:val="1403"/>
    <w:uiPriority w:val="10"/>
    <w:qFormat/>
    <w:pPr>
      <w:pBdr/>
      <w:spacing w:after="0" w:before="0"/>
      <w:ind w:right="0" w:left="0"/>
      <w:jc w:val="left"/>
      <w:outlineLvl w:val="1"/>
    </w:pPr>
    <w:rPr>
      <w:rFonts w:ascii="楷体" w:hAnsi="楷体" w:eastAsia="楷体"/>
      <w:b/>
      <w:bCs/>
      <w:i/>
      <w:color w:val="17365d"/>
      <w:sz w:val="28"/>
      <w:szCs w:val="28"/>
    </w:rPr>
  </w:style>
  <w:style w:type="paragraph" w:styleId="1316">
    <w:name w:val="annotation subject"/>
    <w:basedOn w:val="1297"/>
    <w:next w:val="1297"/>
    <w:link w:val="1404"/>
    <w:uiPriority w:val="99"/>
    <w:qFormat/>
    <w:pPr>
      <w:pBdr/>
      <w:spacing/>
      <w:ind/>
    </w:pPr>
    <w:rPr>
      <w:b/>
      <w:bCs/>
    </w:rPr>
  </w:style>
  <w:style w:type="table" w:styleId="1317">
    <w:name w:val="Table Grid"/>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318">
    <w:name w:val="Strong"/>
    <w:uiPriority w:val="22"/>
    <w:qFormat/>
    <w:pPr>
      <w:pBdr/>
      <w:spacing/>
      <w:ind/>
    </w:pPr>
    <w:rPr>
      <w:b/>
      <w:bCs/>
    </w:rPr>
  </w:style>
  <w:style w:type="character" w:styleId="1319">
    <w:name w:val="endnote reference"/>
    <w:basedOn w:val="1292"/>
    <w:uiPriority w:val="0"/>
    <w:qFormat/>
    <w:pPr>
      <w:pBdr/>
      <w:spacing/>
      <w:ind/>
    </w:pPr>
    <w:rPr>
      <w:vertAlign w:val="superscript"/>
    </w:rPr>
  </w:style>
  <w:style w:type="character" w:styleId="1320">
    <w:name w:val="page number"/>
    <w:basedOn w:val="1292"/>
    <w:uiPriority w:val="99"/>
    <w:qFormat/>
    <w:pPr>
      <w:pBdr/>
      <w:spacing/>
      <w:ind/>
    </w:pPr>
  </w:style>
  <w:style w:type="character" w:styleId="1321">
    <w:name w:val="FollowedHyperlink"/>
    <w:uiPriority w:val="99"/>
    <w:qFormat/>
    <w:pPr>
      <w:pBdr/>
      <w:spacing/>
      <w:ind/>
    </w:pPr>
    <w:rPr>
      <w:color w:val="800080"/>
      <w:u w:val="single"/>
    </w:rPr>
  </w:style>
  <w:style w:type="character" w:styleId="1322">
    <w:name w:val="Hyperlink"/>
    <w:uiPriority w:val="99"/>
    <w:qFormat/>
    <w:pPr>
      <w:pBdr/>
      <w:spacing/>
      <w:ind/>
    </w:pPr>
    <w:rPr>
      <w:color w:val="0000ff"/>
      <w:u w:val="single"/>
    </w:rPr>
  </w:style>
  <w:style w:type="character" w:styleId="1323">
    <w:name w:val="annotation reference"/>
    <w:uiPriority w:val="0"/>
    <w:qFormat/>
    <w:pPr>
      <w:pBdr/>
      <w:spacing/>
      <w:ind/>
    </w:pPr>
    <w:rPr>
      <w:sz w:val="16"/>
      <w:szCs w:val="16"/>
    </w:rPr>
  </w:style>
  <w:style w:type="character" w:styleId="1324">
    <w:name w:val="footnote reference"/>
    <w:uiPriority w:val="0"/>
    <w:qFormat/>
    <w:pPr>
      <w:pBdr/>
      <w:spacing/>
      <w:ind/>
    </w:pPr>
    <w:rPr>
      <w:vertAlign w:val="superscript"/>
    </w:rPr>
  </w:style>
  <w:style w:type="paragraph" w:styleId="1325" w:customStyle="1">
    <w:name w:val="EY Body Text"/>
    <w:basedOn w:val="1287"/>
    <w:link w:val="1326"/>
    <w:uiPriority w:val="0"/>
    <w:qFormat/>
    <w:pPr>
      <w:pBdr/>
      <w:spacing w:line="280" w:lineRule="exact"/>
      <w:ind/>
    </w:pPr>
    <w:rPr>
      <w:rFonts w:eastAsia="MS Mincho" w:cs="Arial"/>
      <w:bCs/>
      <w:sz w:val="22"/>
      <w:szCs w:val="20"/>
      <w:lang w:eastAsia="en-US"/>
    </w:rPr>
  </w:style>
  <w:style w:type="character" w:styleId="1326" w:customStyle="1">
    <w:name w:val="EY Body Text Char"/>
    <w:link w:val="1325"/>
    <w:uiPriority w:val="0"/>
    <w:qFormat/>
    <w:pPr>
      <w:pBdr/>
      <w:spacing/>
      <w:ind/>
    </w:pPr>
    <w:rPr>
      <w:rFonts w:eastAsia="MS Mincho" w:cs="Arial"/>
      <w:bCs/>
      <w:sz w:val="22"/>
      <w:lang w:val="en-US" w:eastAsia="en-US" w:bidi="ar-SA"/>
    </w:rPr>
  </w:style>
  <w:style w:type="character" w:styleId="1327" w:customStyle="1">
    <w:name w:val="标题 1 字符"/>
    <w:link w:val="1288"/>
    <w:uiPriority w:val="9"/>
    <w:qFormat/>
    <w:pPr>
      <w:pBdr/>
      <w:spacing/>
      <w:ind/>
    </w:pPr>
    <w:rPr>
      <w:rFonts w:eastAsia="Arial Unicode MS"/>
      <w:b/>
      <w:bCs/>
      <w:sz w:val="44"/>
      <w:szCs w:val="44"/>
      <w:lang w:val="en-US" w:eastAsia="zh-CN" w:bidi="ar-SA"/>
    </w:rPr>
  </w:style>
  <w:style w:type="character" w:styleId="1328" w:customStyle="1">
    <w:name w:val="blueten1"/>
    <w:uiPriority w:val="0"/>
    <w:qFormat/>
    <w:pPr>
      <w:pBdr/>
      <w:spacing/>
      <w:ind/>
    </w:pPr>
    <w:rPr>
      <w:rFonts w:hint="default" w:ascii="Verdana" w:hAnsi="Verdana"/>
      <w:color w:val="000000"/>
      <w:sz w:val="19"/>
      <w:szCs w:val="19"/>
    </w:rPr>
  </w:style>
  <w:style w:type="character" w:styleId="1329" w:customStyle="1">
    <w:name w:val="a21"/>
    <w:uiPriority w:val="0"/>
    <w:qFormat/>
    <w:pPr>
      <w:pBdr/>
      <w:spacing/>
      <w:ind/>
    </w:pPr>
    <w:rPr>
      <w:sz w:val="18"/>
      <w:szCs w:val="18"/>
    </w:rPr>
  </w:style>
  <w:style w:type="character" w:styleId="1330" w:customStyle="1">
    <w:name w:val="h1 chapter heading Char"/>
    <w:uiPriority w:val="0"/>
    <w:qFormat/>
    <w:pPr>
      <w:pBdr/>
      <w:spacing/>
      <w:ind/>
    </w:pPr>
    <w:rPr>
      <w:rFonts w:ascii="Arial" w:hAnsi="Arial" w:eastAsia="宋体" w:cs="Arial"/>
      <w:b/>
      <w:bCs/>
      <w:sz w:val="32"/>
      <w:szCs w:val="32"/>
      <w:lang w:val="en-US" w:eastAsia="zh-CN" w:bidi="ar-SA"/>
    </w:rPr>
  </w:style>
  <w:style w:type="paragraph" w:styleId="1331" w:customStyle="1">
    <w:name w:val="font1"/>
    <w:basedOn w:val="1287"/>
    <w:uiPriority w:val="0"/>
    <w:qFormat/>
    <w:pPr>
      <w:pBdr/>
      <w:spacing w:after="100" w:afterAutospacing="1" w:before="100" w:beforeAutospacing="1"/>
      <w:ind/>
    </w:pPr>
    <w:rPr>
      <w:rFonts w:ascii="Arial" w:hAnsi="Arial" w:eastAsia="宋体" w:cs="Arial"/>
      <w:sz w:val="20"/>
      <w:szCs w:val="20"/>
    </w:rPr>
  </w:style>
  <w:style w:type="paragraph" w:styleId="1332" w:customStyle="1">
    <w:name w:val="font5"/>
    <w:basedOn w:val="1287"/>
    <w:uiPriority w:val="0"/>
    <w:qFormat/>
    <w:pPr>
      <w:pBdr/>
      <w:spacing w:after="100" w:afterAutospacing="1" w:before="100" w:beforeAutospacing="1"/>
      <w:ind/>
    </w:pPr>
    <w:rPr>
      <w:rFonts w:ascii="Arial" w:hAnsi="Arial" w:eastAsia="宋体" w:cs="Arial"/>
      <w:sz w:val="16"/>
      <w:szCs w:val="16"/>
    </w:rPr>
  </w:style>
  <w:style w:type="paragraph" w:styleId="1333" w:customStyle="1">
    <w:name w:val="font6"/>
    <w:basedOn w:val="1287"/>
    <w:uiPriority w:val="0"/>
    <w:qFormat/>
    <w:pPr>
      <w:pBdr/>
      <w:spacing w:after="100" w:afterAutospacing="1" w:before="100" w:beforeAutospacing="1"/>
      <w:ind/>
    </w:pPr>
    <w:rPr>
      <w:rFonts w:ascii="宋体" w:hAnsi="宋体" w:eastAsia="宋体" w:cs="宋体"/>
      <w:sz w:val="20"/>
      <w:szCs w:val="20"/>
    </w:rPr>
  </w:style>
  <w:style w:type="paragraph" w:styleId="1334" w:customStyle="1">
    <w:name w:val="xl24"/>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5" w:customStyle="1">
    <w:name w:val="xl25"/>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36" w:customStyle="1">
    <w:name w:val="xl26"/>
    <w:basedOn w:val="1287"/>
    <w:uiPriority w:val="0"/>
    <w:qFormat/>
    <w:pPr>
      <w:pBdr>
        <w:top w:val="single" w:color="000000" w:sz="4" w:space="0"/>
        <w:left w:val="single" w:color="000000" w:sz="4" w:space="0"/>
        <w:bottom w:val="single" w:color="000000" w:sz="4" w:space="0"/>
        <w:right w:val="single" w:color="000000" w:sz="4" w:space="0"/>
      </w:pBdr>
      <w:shd w:val="clear" w:color="auto" w:fill="ffff00"/>
      <w:spacing w:after="100" w:afterAutospacing="1" w:before="100" w:beforeAutospacing="1"/>
      <w:ind/>
      <w:jc w:val="center"/>
    </w:pPr>
    <w:rPr>
      <w:rFonts w:ascii="宋体" w:hAnsi="宋体" w:eastAsia="宋体" w:cs="宋体"/>
      <w:b/>
      <w:bCs/>
    </w:rPr>
  </w:style>
  <w:style w:type="paragraph" w:styleId="1337" w:customStyle="1">
    <w:name w:val="xl2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38" w:customStyle="1">
    <w:name w:val="xl2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39" w:customStyle="1">
    <w:name w:val="xl2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40" w:customStyle="1">
    <w:name w:val="xl30"/>
    <w:basedOn w:val="1287"/>
    <w:uiPriority w:val="0"/>
    <w:qFormat/>
    <w:pPr>
      <w:pBdr>
        <w:top w:val="single" w:color="000000" w:sz="4" w:space="0"/>
        <w:left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1" w:customStyle="1">
    <w:name w:val="xl31"/>
    <w:basedOn w:val="1287"/>
    <w:uiPriority w:val="0"/>
    <w:qFormat/>
    <w:pPr>
      <w:pBdr>
        <w:top w:val="single" w:color="000000" w:sz="4" w:space="0"/>
        <w:bottom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2" w:customStyle="1">
    <w:name w:val="xl32"/>
    <w:basedOn w:val="1287"/>
    <w:uiPriority w:val="0"/>
    <w:qFormat/>
    <w:pPr>
      <w:pBdr>
        <w:top w:val="single" w:color="000000" w:sz="4" w:space="0"/>
        <w:bottom w:val="single" w:color="000000" w:sz="4" w:space="0"/>
        <w:right w:val="single" w:color="000000" w:sz="4" w:space="0"/>
      </w:pBdr>
      <w:shd w:val="clear" w:color="auto" w:fill="c0c0c0"/>
      <w:spacing w:after="100" w:afterAutospacing="1" w:before="100" w:beforeAutospacing="1"/>
      <w:ind/>
      <w:jc w:val="center"/>
    </w:pPr>
    <w:rPr>
      <w:rFonts w:ascii="宋体" w:hAnsi="宋体" w:eastAsia="宋体" w:cs="宋体"/>
    </w:rPr>
  </w:style>
  <w:style w:type="paragraph" w:styleId="1343" w:customStyle="1">
    <w:name w:val="xl33"/>
    <w:basedOn w:val="1287"/>
    <w:uiPriority w:val="0"/>
    <w:qFormat/>
    <w:pPr>
      <w:pBdr>
        <w:top w:val="single" w:color="000000" w:sz="4" w:space="0"/>
        <w:left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4" w:customStyle="1">
    <w:name w:val="xl34"/>
    <w:basedOn w:val="1287"/>
    <w:uiPriority w:val="0"/>
    <w:qFormat/>
    <w:pPr>
      <w:pBdr>
        <w:top w:val="single" w:color="000000" w:sz="4" w:space="0"/>
        <w:left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5" w:customStyle="1">
    <w:name w:val="xl35"/>
    <w:basedOn w:val="1287"/>
    <w:uiPriority w:val="0"/>
    <w:qFormat/>
    <w:pPr>
      <w:pBdr>
        <w:top w:val="single" w:color="000000" w:sz="4" w:space="0"/>
        <w:bottom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6" w:customStyle="1">
    <w:name w:val="xl36"/>
    <w:basedOn w:val="1287"/>
    <w:uiPriority w:val="0"/>
    <w:qFormat/>
    <w:pPr>
      <w:pBdr>
        <w:top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7" w:customStyle="1">
    <w:name w:val="xl37"/>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8" w:customStyle="1">
    <w:name w:val="xl38"/>
    <w:basedOn w:val="1287"/>
    <w:uiPriority w:val="0"/>
    <w:qFormat/>
    <w:pPr>
      <w:pBdr>
        <w:top w:val="single" w:color="000000" w:sz="4" w:space="0"/>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49" w:customStyle="1">
    <w:name w:val="xl3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0" w:customStyle="1">
    <w:name w:val="xl40"/>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character" w:styleId="1351" w:customStyle="1">
    <w:name w:val="脚注文本 字符"/>
    <w:link w:val="1310"/>
    <w:uiPriority w:val="0"/>
    <w:qFormat/>
    <w:pPr>
      <w:pBdr/>
      <w:spacing/>
      <w:ind/>
    </w:pPr>
    <w:rPr>
      <w:rFonts w:eastAsia="宋体"/>
      <w:sz w:val="18"/>
      <w:szCs w:val="18"/>
      <w:lang w:val="en-US" w:eastAsia="zh-CN" w:bidi="ar-SA"/>
    </w:rPr>
  </w:style>
  <w:style w:type="paragraph" w:styleId="1352" w:customStyle="1">
    <w:name w:val="xl41"/>
    <w:basedOn w:val="1287"/>
    <w:uiPriority w:val="0"/>
    <w:qFormat/>
    <w:pPr>
      <w:pBdr>
        <w:left w:val="single" w:color="000000" w:sz="4" w:space="0"/>
        <w:bottom w:val="single" w:color="000000" w:sz="4" w:space="0"/>
        <w:right w:val="single" w:color="000000" w:sz="4" w:space="0"/>
      </w:pBdr>
      <w:shd w:val="clear" w:color="auto" w:fill="99ccff"/>
      <w:spacing w:after="100" w:afterAutospacing="1" w:before="100" w:beforeAutospacing="1"/>
      <w:ind/>
      <w:jc w:val="center"/>
    </w:pPr>
    <w:rPr>
      <w:rFonts w:ascii="宋体" w:hAnsi="宋体" w:eastAsia="宋体" w:cs="宋体"/>
    </w:rPr>
  </w:style>
  <w:style w:type="paragraph" w:styleId="1353" w:customStyle="1">
    <w:name w:val="Disclaimer"/>
    <w:basedOn w:val="1287"/>
    <w:next w:val="1287"/>
    <w:uiPriority w:val="0"/>
    <w:qFormat/>
    <w:pPr>
      <w:pBdr/>
      <w:spacing/>
      <w:ind/>
    </w:pPr>
    <w:rPr>
      <w:rFonts w:ascii="Arial" w:hAnsi="Arial" w:eastAsia="PMingLiU"/>
      <w:lang w:val="en-GB"/>
    </w:rPr>
  </w:style>
  <w:style w:type="character" w:styleId="1354" w:customStyle="1">
    <w:name w:val="px141"/>
    <w:uiPriority w:val="0"/>
    <w:qFormat/>
    <w:pPr>
      <w:pBdr/>
      <w:spacing/>
      <w:ind/>
    </w:pPr>
    <w:rPr>
      <w:spacing w:val="300"/>
      <w:sz w:val="21"/>
      <w:szCs w:val="21"/>
    </w:rPr>
  </w:style>
  <w:style w:type="paragraph" w:styleId="1355" w:customStyle="1">
    <w:name w:val="xl66"/>
    <w:basedOn w:val="1287"/>
    <w:uiPriority w:val="0"/>
    <w:qFormat/>
    <w:pPr>
      <w:pBdr/>
      <w:spacing w:after="100" w:afterAutospacing="1" w:before="100" w:beforeAutospacing="1"/>
      <w:ind/>
    </w:pPr>
    <w:rPr>
      <w:rFonts w:ascii="宋体" w:hAnsi="宋体" w:eastAsia="宋体" w:cs="宋体"/>
    </w:rPr>
  </w:style>
  <w:style w:type="paragraph" w:styleId="1356" w:customStyle="1">
    <w:name w:val="xl67"/>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rPr>
  </w:style>
  <w:style w:type="paragraph" w:styleId="1357" w:customStyle="1">
    <w:name w:val="xl68"/>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pPr>
    <w:rPr>
      <w:rFonts w:ascii="宋体" w:hAnsi="宋体" w:eastAsia="宋体" w:cs="宋体"/>
    </w:rPr>
  </w:style>
  <w:style w:type="paragraph" w:styleId="1358" w:customStyle="1">
    <w:name w:val="xl69"/>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59" w:customStyle="1">
    <w:name w:val="xl70"/>
    <w:basedOn w:val="1287"/>
    <w:uiPriority w:val="0"/>
    <w:qFormat/>
    <w:pPr>
      <w:pBdr>
        <w:top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0" w:customStyle="1">
    <w:name w:val="xl71"/>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1" w:customStyle="1">
    <w:name w:val="xl72"/>
    <w:basedOn w:val="1287"/>
    <w:uiPriority w:val="0"/>
    <w:qFormat/>
    <w:pPr>
      <w:pBdr>
        <w:top w:val="single" w:color="000000" w:sz="4" w:space="0"/>
        <w:left w:val="single" w:color="000000" w:sz="4" w:space="0"/>
        <w:bottom w:val="single" w:color="000000" w:sz="4" w:space="0"/>
        <w:right w:val="single" w:color="000000" w:sz="4" w:space="0"/>
      </w:pBdr>
      <w:shd w:val="clear" w:color="000000" w:fill="ffff00"/>
      <w:spacing w:after="100" w:afterAutospacing="1" w:before="100" w:beforeAutospacing="1"/>
      <w:ind/>
      <w:jc w:val="center"/>
    </w:pPr>
    <w:rPr>
      <w:rFonts w:ascii="宋体" w:hAnsi="宋体" w:eastAsia="宋体" w:cs="宋体"/>
      <w:b/>
      <w:bCs/>
    </w:rPr>
  </w:style>
  <w:style w:type="paragraph" w:styleId="1362" w:customStyle="1">
    <w:name w:val="xl73"/>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color w:val="000000"/>
    </w:rPr>
  </w:style>
  <w:style w:type="paragraph" w:styleId="1363" w:customStyle="1">
    <w:name w:val="xl74"/>
    <w:basedOn w:val="1287"/>
    <w:uiPriority w:val="0"/>
    <w:qFormat/>
    <w:pPr>
      <w:pBdr>
        <w:top w:val="single" w:color="000000" w:sz="4" w:space="0"/>
        <w:left w:val="single" w:color="000000" w:sz="4" w:space="0"/>
        <w:bottom w:val="single" w:color="000000" w:sz="4" w:space="0"/>
        <w:right w:val="single" w:color="000000" w:sz="4" w:space="0"/>
      </w:pBdr>
      <w:spacing w:after="100" w:afterAutospacing="1" w:before="100" w:beforeAutospacing="1"/>
      <w:ind/>
      <w:jc w:val="center"/>
    </w:pPr>
    <w:rPr>
      <w:rFonts w:ascii="宋体" w:hAnsi="宋体" w:eastAsia="宋体" w:cs="宋体"/>
      <w:b/>
      <w:bCs/>
    </w:rPr>
  </w:style>
  <w:style w:type="paragraph" w:styleId="1364" w:customStyle="1">
    <w:name w:val="xl75"/>
    <w:basedOn w:val="1287"/>
    <w:uiPriority w:val="0"/>
    <w:qFormat/>
    <w:pPr>
      <w:pBdr>
        <w:top w:val="single" w:color="000000" w:sz="4" w:space="0"/>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5" w:customStyle="1">
    <w:name w:val="xl76"/>
    <w:basedOn w:val="1287"/>
    <w:uiPriority w:val="0"/>
    <w:qFormat/>
    <w:pPr>
      <w:pBdr>
        <w:top w:val="single" w:color="000000" w:sz="4" w:space="0"/>
        <w:left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6" w:customStyle="1">
    <w:name w:val="xl77"/>
    <w:basedOn w:val="1287"/>
    <w:uiPriority w:val="0"/>
    <w:qFormat/>
    <w:pPr>
      <w:pBdr>
        <w:top w:val="single" w:color="000000" w:sz="4" w:space="0"/>
        <w:bottom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7" w:customStyle="1">
    <w:name w:val="xl78"/>
    <w:basedOn w:val="1287"/>
    <w:uiPriority w:val="0"/>
    <w:qFormat/>
    <w:pPr>
      <w:pBdr>
        <w:top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68" w:customStyle="1">
    <w:name w:val="xl79"/>
    <w:basedOn w:val="1287"/>
    <w:uiPriority w:val="0"/>
    <w:qFormat/>
    <w:pPr>
      <w:pBdr>
        <w:top w:val="single" w:color="000000" w:sz="4" w:space="0"/>
        <w:left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69" w:customStyle="1">
    <w:name w:val="xl80"/>
    <w:basedOn w:val="1287"/>
    <w:uiPriority w:val="0"/>
    <w:qFormat/>
    <w:pPr>
      <w:pBdr>
        <w:top w:val="single" w:color="000000" w:sz="4" w:space="0"/>
        <w:bottom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0" w:customStyle="1">
    <w:name w:val="xl81"/>
    <w:basedOn w:val="1287"/>
    <w:uiPriority w:val="0"/>
    <w:qFormat/>
    <w:pPr>
      <w:pBdr>
        <w:top w:val="single" w:color="000000" w:sz="4" w:space="0"/>
        <w:bottom w:val="single" w:color="000000" w:sz="4" w:space="0"/>
        <w:right w:val="single" w:color="000000" w:sz="4" w:space="0"/>
      </w:pBdr>
      <w:shd w:val="clear" w:color="000000" w:fill="c0c0c0"/>
      <w:spacing w:after="100" w:afterAutospacing="1" w:before="100" w:beforeAutospacing="1"/>
      <w:ind/>
      <w:jc w:val="center"/>
    </w:pPr>
    <w:rPr>
      <w:rFonts w:ascii="宋体" w:hAnsi="宋体" w:eastAsia="宋体" w:cs="宋体"/>
    </w:rPr>
  </w:style>
  <w:style w:type="paragraph" w:styleId="1371" w:customStyle="1">
    <w:name w:val="xl82"/>
    <w:basedOn w:val="1287"/>
    <w:uiPriority w:val="0"/>
    <w:qFormat/>
    <w:pPr>
      <w:pBdr>
        <w:top w:val="single" w:color="000000" w:sz="4" w:space="0"/>
        <w:left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2" w:customStyle="1">
    <w:name w:val="xl83"/>
    <w:basedOn w:val="1287"/>
    <w:uiPriority w:val="0"/>
    <w:qFormat/>
    <w:pPr>
      <w:pBdr>
        <w:left w:val="single" w:color="000000" w:sz="4" w:space="0"/>
        <w:bottom w:val="single" w:color="000000" w:sz="4" w:space="0"/>
        <w:right w:val="single" w:color="000000" w:sz="4" w:space="0"/>
      </w:pBdr>
      <w:shd w:val="clear" w:color="000000" w:fill="99ccff"/>
      <w:spacing w:after="100" w:afterAutospacing="1" w:before="100" w:beforeAutospacing="1"/>
      <w:ind/>
      <w:jc w:val="center"/>
    </w:pPr>
    <w:rPr>
      <w:rFonts w:ascii="宋体" w:hAnsi="宋体" w:eastAsia="宋体" w:cs="宋体"/>
      <w:b/>
      <w:bCs/>
    </w:rPr>
  </w:style>
  <w:style w:type="paragraph" w:styleId="1373" w:customStyle="1">
    <w:name w:val="列出段落1"/>
    <w:basedOn w:val="1287"/>
    <w:uiPriority w:val="34"/>
    <w:qFormat/>
    <w:pPr>
      <w:pBdr/>
      <w:spacing/>
      <w:ind w:firstLine="420"/>
    </w:pPr>
  </w:style>
  <w:style w:type="character" w:styleId="1374" w:customStyle="1">
    <w:name w:val="wiki1"/>
    <w:uiPriority w:val="0"/>
    <w:qFormat/>
    <w:pPr>
      <w:pBdr/>
      <w:spacing/>
      <w:ind/>
    </w:pPr>
    <w:rPr>
      <w:sz w:val="21"/>
      <w:szCs w:val="21"/>
      <w:u w:val="single"/>
    </w:rPr>
  </w:style>
  <w:style w:type="paragraph" w:styleId="1375" w:customStyle="1">
    <w:name w:val="修订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76" w:customStyle="1">
    <w:name w:val="goog_qs-tidbit-0"/>
    <w:basedOn w:val="1292"/>
    <w:uiPriority w:val="0"/>
    <w:qFormat/>
    <w:pPr>
      <w:pBdr/>
      <w:spacing/>
      <w:ind/>
    </w:pPr>
  </w:style>
  <w:style w:type="character" w:styleId="1377" w:customStyle="1">
    <w:name w:val="goog_qs-tidbit1"/>
    <w:uiPriority w:val="0"/>
    <w:qFormat/>
    <w:pPr>
      <w:pBdr/>
      <w:spacing/>
      <w:ind/>
    </w:pPr>
  </w:style>
  <w:style w:type="character" w:styleId="1378" w:customStyle="1">
    <w:name w:val="short_text"/>
    <w:basedOn w:val="1292"/>
    <w:uiPriority w:val="0"/>
    <w:qFormat/>
    <w:pPr>
      <w:pBdr/>
      <w:spacing/>
      <w:ind/>
    </w:pPr>
  </w:style>
  <w:style w:type="character" w:styleId="1379" w:customStyle="1">
    <w:name w:val="日期 字符"/>
    <w:link w:val="1302"/>
    <w:uiPriority w:val="0"/>
    <w:qFormat/>
    <w:pPr>
      <w:pBdr/>
      <w:spacing/>
      <w:ind/>
    </w:pPr>
    <w:rPr>
      <w:rFonts w:eastAsia="Arial Unicode MS"/>
      <w:sz w:val="24"/>
      <w:szCs w:val="24"/>
    </w:rPr>
  </w:style>
  <w:style w:type="character" w:styleId="1380" w:customStyle="1">
    <w:name w:val="文档结构图 字符"/>
    <w:link w:val="1296"/>
    <w:uiPriority w:val="99"/>
    <w:qFormat/>
    <w:pPr>
      <w:pBdr/>
      <w:spacing/>
      <w:ind/>
    </w:pPr>
    <w:rPr>
      <w:rFonts w:ascii="宋体"/>
      <w:sz w:val="18"/>
      <w:szCs w:val="18"/>
    </w:rPr>
  </w:style>
  <w:style w:type="paragraph" w:styleId="1381" w:customStyle="1">
    <w:name w:val="Default"/>
    <w:uiPriority w:val="0"/>
    <w:qFormat/>
    <w:pPr>
      <w:widowControl w:val="false"/>
      <w:pBdr/>
      <w:spacing w:after="120" w:before="120"/>
      <w:ind w:right="113" w:left="119"/>
      <w:jc w:val="both"/>
    </w:pPr>
    <w:rPr>
      <w:rFonts w:ascii="Garamond" w:hAnsi="Garamond" w:eastAsia="宋体" w:cs="Garamond"/>
      <w:color w:val="000000"/>
      <w:sz w:val="24"/>
      <w:szCs w:val="24"/>
      <w:lang w:val="en-US" w:eastAsia="zh-CN" w:bidi="ar-SA"/>
    </w:rPr>
  </w:style>
  <w:style w:type="paragraph" w:styleId="1382" w:customStyle="1">
    <w:name w:val="Table Paragraph"/>
    <w:basedOn w:val="1287"/>
    <w:uiPriority w:val="1"/>
    <w:qFormat/>
    <w:pPr>
      <w:widowControl w:val="false"/>
      <w:pBdr/>
      <w:spacing w:before="21"/>
      <w:ind/>
      <w:jc w:val="center"/>
    </w:pPr>
    <w:rPr>
      <w:rFonts w:ascii="Arial" w:hAnsi="Arial" w:eastAsia="Arial" w:cs="Arial"/>
      <w:sz w:val="22"/>
      <w:szCs w:val="22"/>
      <w:lang w:eastAsia="en-US"/>
    </w:rPr>
  </w:style>
  <w:style w:type="table" w:styleId="1383" w:customStyle="1">
    <w:name w:val="Table Normal1"/>
    <w:basedOn w:val="1293"/>
    <w:uiPriority w:val="2"/>
    <w:semiHidden/>
    <w:qFormat/>
    <w:pPr>
      <w:widowControl w:val="false"/>
      <w:pBdr/>
      <w:spacing/>
      <w:ind/>
    </w:pPr>
    <w:rPr>
      <w:rFonts w:eastAsia="Times New Roman" w:asciiTheme="minorHAnsi" w:hAnsiTheme="minorHAnsi" w:cstheme="minorBidi"/>
      <w:sz w:val="22"/>
      <w:szCs w:val="22"/>
      <w:lang w:eastAsia="en-US"/>
    </w:rPr>
    <w:tblPr>
      <w:tblBorders/>
      <w:tblCellMar>
        <w:left w:w="0" w:type="dxa"/>
        <w:right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4" w:customStyle="1">
    <w:name w:val="List Paragraph1"/>
    <w:basedOn w:val="1287"/>
    <w:uiPriority w:val="34"/>
    <w:qFormat/>
    <w:pPr>
      <w:pBdr/>
      <w:spacing/>
      <w:ind w:firstLine="420"/>
    </w:pPr>
  </w:style>
  <w:style w:type="paragraph" w:styleId="1385" w:customStyle="1">
    <w:name w:val="Revision1"/>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character" w:styleId="1386" w:customStyle="1">
    <w:name w:val="正文文本 字符"/>
    <w:basedOn w:val="1292"/>
    <w:link w:val="1298"/>
    <w:uiPriority w:val="1"/>
    <w:qFormat/>
    <w:pPr>
      <w:pBdr/>
      <w:spacing/>
      <w:ind/>
    </w:pPr>
    <w:rPr>
      <w:rFonts w:ascii="宋体" w:hAnsi="宋体" w:cs="宋体"/>
      <w:sz w:val="22"/>
      <w:szCs w:val="22"/>
      <w:lang w:eastAsia="en-US"/>
    </w:rPr>
  </w:style>
  <w:style w:type="character" w:styleId="1387" w:customStyle="1">
    <w:name w:val="标题 3 字符"/>
    <w:basedOn w:val="1292"/>
    <w:link w:val="1290"/>
    <w:uiPriority w:val="0"/>
    <w:semiHidden/>
    <w:qFormat/>
    <w:pPr>
      <w:pBdr/>
      <w:spacing/>
      <w:ind/>
    </w:pPr>
    <w:rPr>
      <w:rFonts w:eastAsia="Arial Unicode MS"/>
      <w:b/>
      <w:bCs/>
      <w:sz w:val="32"/>
      <w:szCs w:val="32"/>
    </w:rPr>
  </w:style>
  <w:style w:type="paragraph" w:styleId="1388" w:customStyle="1">
    <w:name w:val="TOC Heading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89" w:customStyle="1">
    <w:name w:val="Body Text Char"/>
    <w:basedOn w:val="1292"/>
    <w:uiPriority w:val="1"/>
    <w:qFormat/>
    <w:pPr>
      <w:pBdr/>
      <w:spacing/>
      <w:ind/>
    </w:pPr>
    <w:rPr>
      <w:rFonts w:hint="eastAsia" w:ascii="华文楷体" w:hAnsi="华文楷体" w:eastAsia="华文楷体" w:cs="华文楷体"/>
      <w:sz w:val="24"/>
      <w:szCs w:val="24"/>
    </w:rPr>
  </w:style>
  <w:style w:type="character" w:styleId="1390" w:customStyle="1">
    <w:name w:val="Heading 2 Char"/>
    <w:basedOn w:val="1292"/>
    <w:uiPriority w:val="0"/>
    <w:qFormat/>
    <w:pPr>
      <w:pBdr/>
      <w:spacing/>
      <w:ind/>
    </w:pPr>
    <w:rPr>
      <w:rFonts w:hint="eastAsia" w:ascii="华文楷体" w:hAnsi="华文楷体" w:eastAsia="华文楷体" w:cs="华文楷体"/>
      <w:sz w:val="32"/>
      <w:szCs w:val="32"/>
    </w:rPr>
  </w:style>
  <w:style w:type="character" w:styleId="1391" w:customStyle="1">
    <w:name w:val="Heading 3 Char"/>
    <w:basedOn w:val="1292"/>
    <w:uiPriority w:val="0"/>
    <w:qFormat/>
    <w:pPr>
      <w:pBdr/>
      <w:spacing/>
      <w:ind/>
    </w:pPr>
    <w:rPr>
      <w:rFonts w:hint="eastAsia" w:ascii="华文楷体" w:hAnsi="华文楷体" w:eastAsia="华文楷体" w:cs="华文楷体"/>
      <w:sz w:val="28"/>
      <w:szCs w:val="28"/>
    </w:rPr>
  </w:style>
  <w:style w:type="paragraph" w:styleId="1392" w:customStyle="1">
    <w:name w:val="msolistparagraph"/>
    <w:basedOn w:val="1287"/>
    <w:uiPriority w:val="0"/>
    <w:qFormat/>
    <w:pPr>
      <w:widowControl w:val="false"/>
      <w:pBdr/>
      <w:spacing w:before="267"/>
      <w:ind w:hanging="720" w:left="820"/>
    </w:pPr>
    <w:rPr>
      <w:rFonts w:hint="eastAsia" w:ascii="华文楷体" w:hAnsi="华文楷体" w:eastAsia="华文楷体"/>
      <w:sz w:val="22"/>
      <w:szCs w:val="22"/>
    </w:rPr>
  </w:style>
  <w:style w:type="paragraph" w:styleId="1393" w:customStyle="1">
    <w:name w:val="List Paragraph2"/>
    <w:basedOn w:val="1287"/>
    <w:uiPriority w:val="99"/>
    <w:qFormat/>
    <w:pPr>
      <w:pBdr/>
      <w:spacing/>
      <w:ind w:firstLine="420"/>
    </w:pPr>
  </w:style>
  <w:style w:type="table" w:styleId="1394" w:customStyle="1">
    <w:name w:val="Table Normal2"/>
    <w:basedOn w:val="1293"/>
    <w:uiPriority w:val="0"/>
    <w:semiHidden/>
    <w:qFormat/>
    <w:pPr>
      <w:pBdr/>
      <w:spacing/>
      <w:ind/>
    </w:pPr>
    <w:rPr>
      <w:rFonts w:cs="Calibri"/>
    </w:rPr>
    <w:tblP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5" w:customStyle="1">
    <w:name w:val="Revision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6">
    <w:name w:val="List Paragraph"/>
    <w:basedOn w:val="1287"/>
    <w:link w:val="1446"/>
    <w:uiPriority w:val="99"/>
    <w:qFormat/>
    <w:pPr>
      <w:pBdr/>
      <w:spacing/>
      <w:ind w:firstLine="420"/>
    </w:pPr>
  </w:style>
  <w:style w:type="paragraph" w:styleId="1397" w:customStyle="1">
    <w:name w:val="修订2"/>
    <w:hidden/>
    <w:uiPriority w:val="99"/>
    <w:semiHidden/>
    <w:qFormat/>
    <w:pPr>
      <w:pBdr/>
      <w:spacing w:after="120" w:before="120"/>
      <w:ind w:right="113" w:left="119"/>
      <w:jc w:val="both"/>
    </w:pPr>
    <w:rPr>
      <w:rFonts w:ascii="Times New Roman" w:hAnsi="Times New Roman" w:eastAsia="Arial Unicode MS" w:cs="Times New Roman"/>
      <w:sz w:val="24"/>
      <w:szCs w:val="24"/>
      <w:lang w:val="en-US" w:eastAsia="zh-CN" w:bidi="ar-SA"/>
    </w:rPr>
  </w:style>
  <w:style w:type="paragraph" w:styleId="1398" w:customStyle="1">
    <w:name w:val="TOC 标题1"/>
    <w:basedOn w:val="1288"/>
    <w:next w:val="1287"/>
    <w:uiPriority w:val="39"/>
    <w:unhideWhenUsed/>
    <w:qFormat/>
    <w:pPr>
      <w:pBdr/>
      <w:spacing w:after="0" w:before="240" w:line="259" w:lineRule="auto"/>
      <w:ind/>
      <w:outlineLvl w:val="9"/>
    </w:pPr>
    <w:rPr>
      <w:rFonts w:asciiTheme="majorHAnsi" w:hAnsiTheme="majorHAnsi" w:eastAsiaTheme="majorEastAsia" w:cstheme="majorBidi"/>
      <w:b w:val="0"/>
      <w:bCs w:val="0"/>
      <w:color w:val="376092" w:themeColor="accent1" w:themeShade="BF"/>
      <w:sz w:val="32"/>
      <w:szCs w:val="32"/>
    </w:rPr>
  </w:style>
  <w:style w:type="character" w:styleId="1399" w:customStyle="1">
    <w:name w:val="页脚 字符"/>
    <w:basedOn w:val="1292"/>
    <w:link w:val="1305"/>
    <w:uiPriority w:val="99"/>
    <w:qFormat/>
    <w:pPr>
      <w:pBdr/>
      <w:spacing/>
      <w:ind/>
    </w:pPr>
    <w:rPr>
      <w:rFonts w:ascii="Times New Roman" w:hAnsi="Times New Roman" w:eastAsia="Arial Unicode MS"/>
      <w:sz w:val="18"/>
      <w:szCs w:val="18"/>
    </w:rPr>
  </w:style>
  <w:style w:type="table" w:styleId="1400" w:customStyle="1">
    <w:name w:val="网格型1"/>
    <w:basedOn w:val="1293"/>
    <w:uiPriority w:val="59"/>
    <w:qFormat/>
    <w:pPr>
      <w:widowControl w:val="false"/>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customStyle="1">
    <w:name w:val="Table Normal3"/>
    <w:uiPriority w:val="2"/>
    <w:semiHidden/>
    <w:unhideWhenUsed/>
    <w:qFormat/>
    <w:pPr>
      <w:widowControl w:val="false"/>
      <w:pBdr/>
      <w:spacing/>
      <w:ind/>
    </w:pPr>
    <w:rPr>
      <w:rFonts w:asciiTheme="minorHAnsi" w:hAnsiTheme="minorHAnsi" w:eastAsiaTheme="minorEastAsia" w:cstheme="minorBidi"/>
      <w:sz w:val="22"/>
      <w:szCs w:val="22"/>
      <w:lang w:eastAsia="en-US"/>
    </w:rPr>
    <w:tblPr>
      <w:tblBorders/>
      <w:tblCellMar>
        <w:left w:w="0" w:type="dxa"/>
        <w:top w:w="0" w:type="dxa"/>
        <w:right w:w="0"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02" w:customStyle="1">
    <w:name w:val="副标题 字符"/>
    <w:basedOn w:val="1292"/>
    <w:link w:val="1309"/>
    <w:uiPriority w:val="11"/>
    <w:qFormat/>
    <w:pPr>
      <w:pBdr/>
      <w:spacing/>
      <w:ind/>
    </w:pPr>
    <w:rPr>
      <w:rFonts w:ascii="楷体" w:hAnsi="楷体" w:eastAsia="楷体"/>
      <w:b/>
      <w:bCs/>
      <w:i/>
      <w:iCs/>
      <w:color w:val="17365d"/>
      <w:sz w:val="24"/>
      <w:szCs w:val="24"/>
    </w:rPr>
  </w:style>
  <w:style w:type="character" w:styleId="1403" w:customStyle="1">
    <w:name w:val="标题 字符"/>
    <w:basedOn w:val="1292"/>
    <w:link w:val="1315"/>
    <w:uiPriority w:val="10"/>
    <w:qFormat/>
    <w:pPr>
      <w:pBdr/>
      <w:spacing/>
      <w:ind/>
    </w:pPr>
    <w:rPr>
      <w:rFonts w:ascii="楷体" w:hAnsi="楷体" w:eastAsia="楷体"/>
      <w:b/>
      <w:bCs/>
      <w:i/>
      <w:color w:val="17365d"/>
      <w:sz w:val="28"/>
      <w:szCs w:val="28"/>
    </w:rPr>
  </w:style>
  <w:style w:type="character" w:styleId="1404" w:customStyle="1">
    <w:name w:val="批注主题 字符"/>
    <w:link w:val="1316"/>
    <w:uiPriority w:val="99"/>
    <w:qFormat/>
    <w:pPr>
      <w:pBdr/>
      <w:spacing/>
      <w:ind/>
    </w:pPr>
    <w:rPr>
      <w:rFonts w:ascii="Times New Roman" w:hAnsi="Times New Roman" w:eastAsia="Arial Unicode MS"/>
      <w:b/>
      <w:bCs/>
    </w:rPr>
  </w:style>
  <w:style w:type="character" w:styleId="1405" w:customStyle="1">
    <w:name w:val="font61"/>
    <w:uiPriority w:val="0"/>
    <w:qFormat/>
    <w:pPr>
      <w:pBdr/>
      <w:spacing/>
      <w:ind/>
    </w:pPr>
    <w:rPr>
      <w:rFonts w:hint="default" w:ascii="Tahoma" w:hAnsi="Tahoma" w:eastAsia="Tahoma" w:cs="Tahoma"/>
      <w:b/>
      <w:color w:val="003366"/>
      <w:sz w:val="22"/>
      <w:szCs w:val="22"/>
      <w:u w:val="none"/>
    </w:rPr>
  </w:style>
  <w:style w:type="character" w:styleId="1406" w:customStyle="1">
    <w:name w:val="font41"/>
    <w:uiPriority w:val="0"/>
    <w:qFormat/>
    <w:pPr>
      <w:pBdr/>
      <w:spacing/>
      <w:ind/>
    </w:pPr>
    <w:rPr>
      <w:rFonts w:hint="eastAsia" w:ascii="宋体" w:hAnsi="宋体" w:eastAsia="宋体" w:cs="宋体"/>
      <w:b/>
      <w:color w:val="003366"/>
      <w:sz w:val="22"/>
      <w:szCs w:val="22"/>
      <w:u w:val="none"/>
    </w:rPr>
  </w:style>
  <w:style w:type="character" w:styleId="1407" w:customStyle="1">
    <w:name w:val="标题1"/>
    <w:uiPriority w:val="0"/>
    <w:qFormat/>
    <w:pPr>
      <w:pBdr/>
      <w:spacing/>
      <w:ind/>
    </w:pPr>
  </w:style>
  <w:style w:type="character" w:styleId="1408" w:customStyle="1">
    <w:name w:val="font31"/>
    <w:uiPriority w:val="0"/>
    <w:qFormat/>
    <w:pPr>
      <w:pBdr/>
      <w:spacing/>
      <w:ind/>
    </w:pPr>
    <w:rPr>
      <w:rFonts w:ascii="Arial" w:hAnsi="Arial" w:cs="Arial"/>
      <w:color w:val="000000"/>
      <w:sz w:val="20"/>
      <w:szCs w:val="20"/>
      <w:u w:val="none"/>
    </w:rPr>
  </w:style>
  <w:style w:type="character" w:styleId="1409" w:customStyle="1">
    <w:name w:val="hrefstyle"/>
    <w:uiPriority w:val="0"/>
    <w:qFormat/>
    <w:pPr>
      <w:pBdr/>
      <w:spacing/>
      <w:ind/>
    </w:pPr>
  </w:style>
  <w:style w:type="character" w:styleId="1410" w:customStyle="1">
    <w:name w:val="font51"/>
    <w:uiPriority w:val="0"/>
    <w:qFormat/>
    <w:pPr>
      <w:pBdr/>
      <w:spacing/>
      <w:ind/>
    </w:pPr>
    <w:rPr>
      <w:rFonts w:hint="default" w:ascii="Tahoma" w:hAnsi="Tahoma" w:eastAsia="Tahoma" w:cs="Tahoma"/>
      <w:b/>
      <w:color w:val="003366"/>
      <w:sz w:val="22"/>
      <w:szCs w:val="22"/>
      <w:u w:val="none"/>
    </w:rPr>
  </w:style>
  <w:style w:type="character" w:styleId="1411" w:customStyle="1">
    <w:name w:val="_Style 1"/>
    <w:uiPriority w:val="19"/>
    <w:qFormat/>
    <w:pPr>
      <w:pBdr/>
      <w:spacing/>
      <w:ind/>
    </w:pPr>
    <w:rPr>
      <w:rFonts w:ascii="楷体" w:hAnsi="楷体" w:eastAsia="楷体" w:cs="楷体"/>
      <w:bCs/>
      <w:i/>
      <w:color w:val="365f91"/>
    </w:rPr>
  </w:style>
  <w:style w:type="character" w:styleId="1412" w:customStyle="1">
    <w:name w:val="批注文字 字符"/>
    <w:link w:val="1297"/>
    <w:uiPriority w:val="0"/>
    <w:qFormat/>
    <w:pPr>
      <w:pBdr/>
      <w:spacing/>
      <w:ind/>
    </w:pPr>
    <w:rPr>
      <w:rFonts w:ascii="Times New Roman" w:hAnsi="Times New Roman" w:eastAsia="Arial Unicode MS"/>
    </w:rPr>
  </w:style>
  <w:style w:type="character" w:styleId="1413" w:customStyle="1">
    <w:name w:val="批注框文本 字符"/>
    <w:link w:val="1304"/>
    <w:uiPriority w:val="99"/>
    <w:qFormat/>
    <w:pPr>
      <w:pBdr/>
      <w:spacing/>
      <w:ind/>
    </w:pPr>
    <w:rPr>
      <w:rFonts w:ascii="宋体" w:hAnsi="Times New Roman"/>
      <w:sz w:val="18"/>
      <w:szCs w:val="18"/>
    </w:rPr>
  </w:style>
  <w:style w:type="character" w:styleId="1414" w:customStyle="1">
    <w:name w:val="无格式表格 31"/>
    <w:uiPriority w:val="19"/>
    <w:qFormat/>
    <w:pPr>
      <w:pBdr/>
      <w:spacing/>
      <w:ind/>
    </w:pPr>
    <w:rPr>
      <w:rFonts w:ascii="楷体" w:hAnsi="楷体" w:eastAsia="楷体" w:cs="楷体"/>
      <w:bCs/>
      <w:i/>
      <w:color w:val="365f91"/>
    </w:rPr>
  </w:style>
  <w:style w:type="character" w:styleId="1415" w:customStyle="1">
    <w:name w:val="font21"/>
    <w:uiPriority w:val="0"/>
    <w:qFormat/>
    <w:pPr>
      <w:pBdr/>
      <w:spacing/>
      <w:ind/>
    </w:pPr>
    <w:rPr>
      <w:rFonts w:hint="default" w:ascii="Arial" w:hAnsi="Arial" w:cs="Arial"/>
      <w:color w:val="000000"/>
      <w:sz w:val="20"/>
      <w:szCs w:val="20"/>
      <w:u w:val="none"/>
    </w:rPr>
  </w:style>
  <w:style w:type="paragraph" w:styleId="1416" w:customStyle="1">
    <w:name w:val="LogoPage2"/>
    <w:basedOn w:val="1287"/>
    <w:uiPriority w:val="0"/>
    <w:qFormat/>
    <w:pPr>
      <w:pBdr/>
      <w:spacing w:after="0" w:before="20"/>
      <w:ind w:right="0" w:left="0"/>
      <w:jc w:val="left"/>
    </w:pPr>
    <w:rPr>
      <w:rFonts w:ascii="Calibri" w:hAnsi="Calibri" w:eastAsia="宋体"/>
    </w:rPr>
  </w:style>
  <w:style w:type="paragraph" w:styleId="1417" w:customStyle="1">
    <w:name w:val="title1"/>
    <w:basedOn w:val="1287"/>
    <w:uiPriority w:val="0"/>
    <w:qFormat/>
    <w:pPr>
      <w:pBdr/>
      <w:spacing w:after="100" w:afterAutospacing="1" w:before="100" w:beforeAutospacing="1"/>
      <w:ind w:right="0" w:left="0"/>
      <w:jc w:val="left"/>
    </w:pPr>
    <w:rPr>
      <w:rFonts w:ascii="宋体" w:hAnsi="宋体" w:eastAsia="宋体" w:cs="宋体"/>
    </w:rPr>
  </w:style>
  <w:style w:type="paragraph" w:styleId="1418" w:customStyle="1">
    <w:name w:val="SenderBullet"/>
    <w:basedOn w:val="1287"/>
    <w:uiPriority w:val="0"/>
    <w:qFormat/>
    <w:pPr>
      <w:pBdr/>
      <w:spacing w:after="0" w:before="0" w:line="180" w:lineRule="exact"/>
      <w:ind w:right="0" w:left="0"/>
      <w:jc w:val="left"/>
    </w:pPr>
    <w:rPr>
      <w:rFonts w:ascii="Wingdings" w:hAnsi="Wingdings" w:eastAsia="宋体"/>
      <w:i/>
      <w:sz w:val="12"/>
    </w:rPr>
  </w:style>
  <w:style w:type="paragraph" w:styleId="1419" w:customStyle="1">
    <w:name w:val="PageNumber"/>
    <w:basedOn w:val="1287"/>
    <w:uiPriority w:val="0"/>
    <w:qFormat/>
    <w:pPr>
      <w:pBdr/>
      <w:spacing w:after="0" w:before="80"/>
      <w:ind w:right="0" w:left="0"/>
      <w:jc w:val="right"/>
    </w:pPr>
    <w:rPr>
      <w:rFonts w:ascii="Calibri" w:hAnsi="Calibri" w:eastAsia="宋体"/>
      <w:i/>
    </w:rPr>
  </w:style>
  <w:style w:type="paragraph" w:styleId="1420" w:customStyle="1">
    <w:name w:val="CompFooter"/>
    <w:basedOn w:val="1421"/>
    <w:uiPriority w:val="0"/>
    <w:qFormat/>
    <w:pPr>
      <w:pBdr/>
      <w:spacing/>
      <w:ind/>
    </w:pPr>
  </w:style>
  <w:style w:type="paragraph" w:styleId="1421" w:customStyle="1">
    <w:name w:val="Sender"/>
    <w:basedOn w:val="1287"/>
    <w:uiPriority w:val="0"/>
    <w:qFormat/>
    <w:pPr>
      <w:pBdr/>
      <w:spacing w:after="0" w:before="0" w:line="180" w:lineRule="exact"/>
      <w:ind w:right="0" w:left="0"/>
      <w:jc w:val="left"/>
    </w:pPr>
    <w:rPr>
      <w:rFonts w:ascii="Optima" w:hAnsi="Optima" w:eastAsia="宋体"/>
      <w:sz w:val="16"/>
    </w:rPr>
  </w:style>
  <w:style w:type="paragraph" w:styleId="1422" w:customStyle="1">
    <w:name w:val="网格表 31"/>
    <w:basedOn w:val="1288"/>
    <w:next w:val="1287"/>
    <w:uiPriority w:val="39"/>
    <w:qFormat/>
    <w:pPr>
      <w:keepNext w:val="false"/>
      <w:keepLines w:val="false"/>
      <w:pBdr/>
      <w:spacing w:after="0" w:before="480" w:line="276" w:lineRule="auto"/>
      <w:ind w:right="0" w:left="0"/>
      <w:jc w:val="left"/>
      <w:outlineLvl w:val="9"/>
    </w:pPr>
    <w:rPr>
      <w:rFonts w:ascii="Cambria" w:hAnsi="Cambria" w:eastAsia="宋体"/>
      <w:i/>
      <w:color w:val="365f91"/>
      <w:sz w:val="28"/>
      <w:szCs w:val="28"/>
    </w:rPr>
  </w:style>
  <w:style w:type="paragraph" w:styleId="1423" w:customStyle="1">
    <w:name w:val="彩色底纹 - 着色 11"/>
    <w:uiPriority w:val="99"/>
    <w:unhideWhenUsed/>
    <w:qFormat/>
    <w:pPr>
      <w:pBdr/>
      <w:spacing/>
      <w:ind/>
    </w:pPr>
    <w:rPr>
      <w:rFonts w:ascii="Calibri" w:hAnsi="Calibri" w:eastAsia="宋体" w:cs="Times New Roman"/>
      <w:sz w:val="21"/>
      <w:lang w:val="en-US" w:eastAsia="zh-CN" w:bidi="ar-SA"/>
    </w:rPr>
  </w:style>
  <w:style w:type="paragraph" w:styleId="1424" w:customStyle="1">
    <w:name w:val="样式1"/>
    <w:basedOn w:val="1300"/>
    <w:link w:val="1427"/>
    <w:uiPriority w:val="0"/>
    <w:qFormat/>
    <w:pPr>
      <w:pBdr/>
      <w:tabs>
        <w:tab w:val="right" w:leader="dot" w:pos="8296"/>
      </w:tabs>
      <w:spacing/>
      <w:ind/>
    </w:pPr>
    <w:rPr>
      <w:rFonts w:ascii="仿宋_GB2312" w:eastAsia="仿宋_GB2312" w:cs="楷体"/>
    </w:rPr>
  </w:style>
  <w:style w:type="paragraph" w:styleId="1425" w:customStyle="1">
    <w:name w:val="样式2"/>
    <w:basedOn w:val="1312"/>
    <w:link w:val="1430"/>
    <w:uiPriority w:val="0"/>
    <w:qFormat/>
    <w:pPr>
      <w:pBdr/>
      <w:tabs>
        <w:tab w:val="right" w:leader="dot" w:pos="8296"/>
      </w:tabs>
      <w:spacing/>
      <w:ind/>
    </w:pPr>
    <w:rPr>
      <w:rFonts w:ascii="仿宋_GB2312" w:eastAsia="仿宋_GB2312" w:cs="楷体"/>
      <w:i w:val="0"/>
    </w:rPr>
  </w:style>
  <w:style w:type="character" w:styleId="1426" w:customStyle="1">
    <w:name w:val="TOC 3 字符"/>
    <w:basedOn w:val="1292"/>
    <w:link w:val="1300"/>
    <w:uiPriority w:val="39"/>
    <w:qFormat/>
    <w:pPr>
      <w:pBdr/>
      <w:spacing/>
      <w:ind/>
    </w:pPr>
    <w:rPr>
      <w:rFonts w:eastAsia="Arial Unicode MS" w:asciiTheme="minorHAnsi" w:hAnsiTheme="minorHAnsi" w:cstheme="minorHAnsi"/>
    </w:rPr>
  </w:style>
  <w:style w:type="character" w:styleId="1427" w:customStyle="1">
    <w:name w:val="样式1 字符"/>
    <w:basedOn w:val="1426"/>
    <w:link w:val="1424"/>
    <w:uiPriority w:val="0"/>
    <w:qFormat/>
    <w:pPr>
      <w:pBdr/>
      <w:spacing/>
      <w:ind/>
    </w:pPr>
    <w:rPr>
      <w:rFonts w:ascii="仿宋_GB2312" w:eastAsia="仿宋_GB2312" w:cs="楷体" w:hAnsiTheme="minorHAnsi"/>
    </w:rPr>
  </w:style>
  <w:style w:type="paragraph" w:styleId="1428" w:customStyle="1">
    <w:name w:val="样式3"/>
    <w:basedOn w:val="1312"/>
    <w:link w:val="1432"/>
    <w:uiPriority w:val="0"/>
    <w:qFormat/>
    <w:pPr>
      <w:pBdr/>
      <w:tabs>
        <w:tab w:val="right" w:leader="dot" w:pos="8296"/>
      </w:tabs>
      <w:spacing/>
      <w:ind/>
    </w:pPr>
    <w:rPr>
      <w:i w:val="0"/>
    </w:rPr>
  </w:style>
  <w:style w:type="character" w:styleId="1429" w:customStyle="1">
    <w:name w:val="TOC 2 字符"/>
    <w:basedOn w:val="1292"/>
    <w:link w:val="1312"/>
    <w:uiPriority w:val="39"/>
    <w:qFormat/>
    <w:pPr>
      <w:pBdr/>
      <w:spacing/>
      <w:ind/>
    </w:pPr>
    <w:rPr>
      <w:rFonts w:eastAsia="Arial Unicode MS" w:asciiTheme="minorHAnsi" w:hAnsiTheme="minorHAnsi" w:cstheme="minorHAnsi"/>
      <w:i/>
      <w:iCs/>
    </w:rPr>
  </w:style>
  <w:style w:type="character" w:styleId="1430" w:customStyle="1">
    <w:name w:val="样式2 字符"/>
    <w:basedOn w:val="1429"/>
    <w:link w:val="1425"/>
    <w:uiPriority w:val="0"/>
    <w:qFormat/>
    <w:pPr>
      <w:pBdr/>
      <w:spacing/>
      <w:ind/>
    </w:pPr>
    <w:rPr>
      <w:rFonts w:ascii="仿宋_GB2312" w:eastAsia="仿宋_GB2312" w:cs="楷体" w:hAnsiTheme="minorHAnsi"/>
      <w:i w:val="0"/>
    </w:rPr>
  </w:style>
  <w:style w:type="paragraph" w:styleId="1431" w:customStyle="1">
    <w:name w:val="样式4"/>
    <w:basedOn w:val="1312"/>
    <w:link w:val="1434"/>
    <w:uiPriority w:val="0"/>
    <w:qFormat/>
    <w:pPr>
      <w:pBdr/>
      <w:tabs>
        <w:tab w:val="right" w:leader="dot" w:pos="8296"/>
      </w:tabs>
      <w:spacing/>
      <w:ind/>
    </w:pPr>
    <w:rPr>
      <w:i w:val="0"/>
    </w:rPr>
  </w:style>
  <w:style w:type="character" w:styleId="1432" w:customStyle="1">
    <w:name w:val="样式3 字符"/>
    <w:basedOn w:val="1429"/>
    <w:link w:val="1428"/>
    <w:uiPriority w:val="0"/>
    <w:qFormat/>
    <w:pPr>
      <w:pBdr/>
      <w:spacing/>
      <w:ind/>
    </w:pPr>
    <w:rPr>
      <w:rFonts w:eastAsia="Arial Unicode MS" w:asciiTheme="minorHAnsi" w:hAnsiTheme="minorHAnsi" w:cstheme="minorHAnsi"/>
      <w:i w:val="0"/>
    </w:rPr>
  </w:style>
  <w:style w:type="paragraph" w:styleId="1433" w:customStyle="1">
    <w:name w:val="样式5"/>
    <w:basedOn w:val="1312"/>
    <w:link w:val="1436"/>
    <w:uiPriority w:val="0"/>
    <w:qFormat/>
    <w:pPr>
      <w:pBdr/>
      <w:tabs>
        <w:tab w:val="right" w:leader="dot" w:pos="8296"/>
      </w:tabs>
      <w:spacing/>
      <w:ind/>
    </w:pPr>
    <w:rPr>
      <w:rFonts w:ascii="仿宋_GB2312" w:hAnsi="Arial Narrow" w:eastAsia="仿宋_GB2312" w:cs="Arial"/>
      <w:b/>
      <w:i w:val="0"/>
      <w:caps/>
    </w:rPr>
  </w:style>
  <w:style w:type="character" w:styleId="1434" w:customStyle="1">
    <w:name w:val="样式4 字符"/>
    <w:basedOn w:val="1429"/>
    <w:link w:val="1431"/>
    <w:uiPriority w:val="0"/>
    <w:qFormat/>
    <w:pPr>
      <w:pBdr/>
      <w:spacing/>
      <w:ind/>
    </w:pPr>
    <w:rPr>
      <w:rFonts w:eastAsia="Arial Unicode MS" w:asciiTheme="minorHAnsi" w:hAnsiTheme="minorHAnsi" w:cstheme="minorHAnsi"/>
      <w:i w:val="0"/>
    </w:rPr>
  </w:style>
  <w:style w:type="paragraph" w:styleId="1435" w:customStyle="1">
    <w:name w:val="样式6"/>
    <w:basedOn w:val="1433"/>
    <w:link w:val="1438"/>
    <w:uiPriority w:val="0"/>
    <w:qFormat/>
    <w:pPr>
      <w:pBdr/>
      <w:spacing/>
      <w:ind/>
    </w:pPr>
    <w:rPr>
      <w:caps w:val="0"/>
    </w:rPr>
  </w:style>
  <w:style w:type="character" w:styleId="1436" w:customStyle="1">
    <w:name w:val="样式5 字符"/>
    <w:basedOn w:val="1429"/>
    <w:link w:val="1433"/>
    <w:uiPriority w:val="0"/>
    <w:qFormat/>
    <w:pPr>
      <w:pBdr/>
      <w:spacing/>
      <w:ind/>
    </w:pPr>
    <w:rPr>
      <w:rFonts w:ascii="仿宋_GB2312" w:hAnsi="Arial Narrow" w:eastAsia="仿宋_GB2312" w:cs="Arial"/>
      <w:b/>
      <w:i w:val="0"/>
      <w:caps/>
    </w:rPr>
  </w:style>
  <w:style w:type="paragraph" w:styleId="1437" w:customStyle="1">
    <w:name w:val="样式7"/>
    <w:basedOn w:val="1312"/>
    <w:link w:val="1440"/>
    <w:uiPriority w:val="0"/>
    <w:qFormat/>
    <w:pPr>
      <w:pBdr/>
      <w:tabs>
        <w:tab w:val="right" w:leader="dot" w:pos="8296"/>
      </w:tabs>
      <w:spacing/>
      <w:ind/>
    </w:pPr>
    <w:rPr>
      <w:rFonts w:ascii="仿宋_GB2312" w:eastAsia="仿宋_GB2312" w:cs="楷体"/>
      <w:i w:val="0"/>
    </w:rPr>
  </w:style>
  <w:style w:type="character" w:styleId="1438" w:customStyle="1">
    <w:name w:val="样式6 字符"/>
    <w:basedOn w:val="1436"/>
    <w:link w:val="1435"/>
    <w:uiPriority w:val="0"/>
    <w:qFormat/>
    <w:pPr>
      <w:pBdr/>
      <w:spacing/>
      <w:ind/>
    </w:pPr>
    <w:rPr>
      <w:rFonts w:ascii="仿宋_GB2312" w:hAnsi="Arial Narrow" w:eastAsia="仿宋_GB2312" w:cs="Arial"/>
      <w:caps w:val="0"/>
    </w:rPr>
  </w:style>
  <w:style w:type="paragraph" w:styleId="1439" w:customStyle="1">
    <w:name w:val="样式8"/>
    <w:basedOn w:val="1312"/>
    <w:link w:val="1441"/>
    <w:uiPriority w:val="0"/>
    <w:qFormat/>
    <w:pPr>
      <w:pBdr/>
      <w:tabs>
        <w:tab w:val="right" w:leader="dot" w:pos="8296"/>
      </w:tabs>
      <w:spacing/>
      <w:ind/>
    </w:pPr>
    <w:rPr>
      <w:i w:val="0"/>
    </w:rPr>
  </w:style>
  <w:style w:type="character" w:styleId="1440" w:customStyle="1">
    <w:name w:val="样式7 字符"/>
    <w:basedOn w:val="1429"/>
    <w:link w:val="1437"/>
    <w:uiPriority w:val="0"/>
    <w:qFormat/>
    <w:pPr>
      <w:pBdr/>
      <w:spacing/>
      <w:ind/>
    </w:pPr>
    <w:rPr>
      <w:rFonts w:ascii="仿宋_GB2312" w:eastAsia="仿宋_GB2312" w:cs="楷体" w:hAnsiTheme="minorHAnsi"/>
      <w:i w:val="0"/>
    </w:rPr>
  </w:style>
  <w:style w:type="character" w:styleId="1441" w:customStyle="1">
    <w:name w:val="样式8 字符"/>
    <w:basedOn w:val="1429"/>
    <w:link w:val="1439"/>
    <w:uiPriority w:val="0"/>
    <w:qFormat/>
    <w:pPr>
      <w:pBdr/>
      <w:spacing/>
      <w:ind/>
    </w:pPr>
    <w:rPr>
      <w:rFonts w:eastAsia="Arial Unicode MS" w:asciiTheme="minorHAnsi" w:hAnsiTheme="minorHAnsi" w:cstheme="minorHAnsi"/>
      <w:i w:val="0"/>
    </w:rPr>
  </w:style>
  <w:style w:type="character" w:styleId="1442" w:customStyle="1">
    <w:name w:val="尾注文本 字符"/>
    <w:basedOn w:val="1292"/>
    <w:link w:val="1303"/>
    <w:uiPriority w:val="0"/>
    <w:qFormat/>
    <w:pPr>
      <w:pBdr/>
      <w:spacing/>
      <w:ind/>
    </w:pPr>
    <w:rPr>
      <w:rFonts w:ascii="Times New Roman" w:hAnsi="Times New Roman" w:eastAsia="Arial Unicode MS"/>
      <w:sz w:val="24"/>
      <w:szCs w:val="24"/>
    </w:rPr>
  </w:style>
  <w:style w:type="paragraph" w:styleId="1443" w:customStyle="1">
    <w:name w:val="Bullet EY"/>
    <w:basedOn w:val="1287"/>
    <w:next w:val="1287"/>
    <w:uiPriority w:val="0"/>
    <w:qFormat/>
    <w:pPr>
      <w:numPr>
        <w:ilvl w:val="0"/>
        <w:numId w:val="1"/>
      </w:numPr>
      <w:pBdr/>
      <w:spacing w:after="240" w:line="360" w:lineRule="auto"/>
      <w:ind w:right="0"/>
      <w:jc w:val="left"/>
    </w:pPr>
    <w:rPr>
      <w:rFonts w:ascii="EYInterstate Light" w:hAnsi="EYInterstate Light" w:eastAsia="宋体" w:cs="Arial"/>
      <w:sz w:val="20"/>
      <w:szCs w:val="18"/>
      <w:lang w:eastAsia="en-US"/>
    </w:rPr>
  </w:style>
  <w:style w:type="table" w:styleId="1444" w:customStyle="1">
    <w:name w:val="网格表 4 - 着色 41"/>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45" w:customStyle="1">
    <w:name w:val="标题 4 字符"/>
    <w:basedOn w:val="1292"/>
    <w:link w:val="1291"/>
    <w:uiPriority w:val="0"/>
    <w:semiHidden/>
    <w:qFormat/>
    <w:pPr>
      <w:pBdr/>
      <w:spacing/>
      <w:ind/>
    </w:pPr>
    <w:rPr>
      <w:rFonts w:asciiTheme="majorHAnsi" w:hAnsiTheme="majorHAnsi" w:eastAsiaTheme="majorEastAsia" w:cstheme="majorBidi"/>
      <w:b/>
      <w:bCs/>
      <w:sz w:val="28"/>
      <w:szCs w:val="28"/>
    </w:rPr>
  </w:style>
  <w:style w:type="character" w:styleId="1446" w:customStyle="1">
    <w:name w:val="列表段落 字符1"/>
    <w:basedOn w:val="1292"/>
    <w:link w:val="1396"/>
    <w:uiPriority w:val="99"/>
    <w:qFormat/>
    <w:pPr>
      <w:pBdr/>
      <w:spacing/>
      <w:ind/>
    </w:pPr>
    <w:rPr>
      <w:rFonts w:ascii="Times New Roman" w:hAnsi="Times New Roman" w:eastAsia="Arial Unicode MS"/>
      <w:sz w:val="24"/>
      <w:szCs w:val="24"/>
    </w:rPr>
  </w:style>
  <w:style w:type="table" w:styleId="1447" w:customStyle="1">
    <w:name w:val="网格表 4 - 着色 42"/>
    <w:basedOn w:val="1293"/>
    <w:uiPriority w:val="49"/>
    <w:qFormat/>
    <w:pPr>
      <w:pBdr/>
      <w:spacing/>
      <w:ind/>
    </w:pPr>
    <w:rPr>
      <w:rFonts w:ascii="Arial" w:hAnsi="Arial"/>
    </w:rPr>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cPr>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e5dfec" w:themeFill="accent4" w:themeFillTint="33"/>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14:textFill>
          <w14:solidFill>
            <w14:schemeClr w14:val="bg1"/>
          </w14:solidFill>
        </w14:textFill>
      </w:rPr>
      <w:pPr>
        <w:pBdr/>
        <w:spacing/>
        <w:ind/>
      </w:pPr>
      <w:tblPr>
        <w:tblBorders/>
      </w:tblPr>
      <w:tcPr>
        <w:shd w:val="clear" w:color="auto" w:fill="8064a2" w:themeFill="accent4"/>
        <w:tcBorders>
          <w:top w:val="single" w:color="8064a2" w:themeColor="accent4" w:sz="4" w:space="0"/>
          <w:left w:val="single" w:color="8064a2" w:themeColor="accent4" w:sz="4" w:space="0"/>
          <w:bottom w:val="single" w:color="8064a2" w:themeColor="accent4" w:sz="4" w:space="0"/>
          <w:right w:val="single" w:color="8064a2" w:themeColor="accent4" w:sz="4" w:space="0"/>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8064a2"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48" w:customStyle="1">
    <w:name w:val="Table Text"/>
    <w:basedOn w:val="1287"/>
    <w:link w:val="1449"/>
    <w:uiPriority w:val="0"/>
    <w:qFormat/>
    <w:pPr>
      <w:pBdr/>
      <w:spacing w:after="20" w:before="20" w:line="240" w:lineRule="atLeast"/>
      <w:ind w:right="0" w:left="0"/>
      <w:jc w:val="left"/>
    </w:pPr>
    <w:rPr>
      <w:rFonts w:ascii="Arial" w:hAnsi="Arial" w:eastAsia="华文楷体"/>
      <w:sz w:val="22"/>
      <w:szCs w:val="18"/>
      <w:lang w:val="en-GB" w:eastAsia="en-US"/>
    </w:rPr>
  </w:style>
  <w:style w:type="character" w:styleId="1449" w:customStyle="1">
    <w:name w:val="Table Text Char"/>
    <w:link w:val="1448"/>
    <w:uiPriority w:val="0"/>
    <w:qFormat/>
    <w:pPr>
      <w:pBdr/>
      <w:spacing/>
      <w:ind/>
    </w:pPr>
    <w:rPr>
      <w:rFonts w:ascii="Arial" w:hAnsi="Arial" w:eastAsia="华文楷体"/>
      <w:sz w:val="22"/>
      <w:szCs w:val="18"/>
      <w:lang w:val="en-GB" w:eastAsia="en-US"/>
    </w:rPr>
  </w:style>
  <w:style w:type="character" w:styleId="1450" w:customStyle="1">
    <w:name w:val="页眉 字符"/>
    <w:basedOn w:val="1292"/>
    <w:link w:val="1306"/>
    <w:uiPriority w:val="0"/>
    <w:qFormat/>
    <w:pPr>
      <w:pBdr/>
      <w:spacing/>
      <w:ind/>
    </w:pPr>
    <w:rPr>
      <w:rFonts w:ascii="Times New Roman" w:hAnsi="Times New Roman" w:eastAsia="Arial Unicode MS"/>
      <w:sz w:val="18"/>
      <w:szCs w:val="18"/>
    </w:rPr>
  </w:style>
  <w:style w:type="paragraph" w:styleId="1451" w:customStyle="1">
    <w:name w:val="F中文正文"/>
    <w:basedOn w:val="1287"/>
    <w:link w:val="1452"/>
    <w:uiPriority w:val="0"/>
    <w:qFormat/>
    <w:pPr>
      <w:pBdr/>
      <w:spacing w:line="360" w:lineRule="auto"/>
      <w:ind w:right="0" w:firstLine="432" w:left="0"/>
    </w:pPr>
    <w:rPr>
      <w:rFonts w:eastAsia="宋体"/>
      <w:sz w:val="22"/>
      <w:szCs w:val="22"/>
      <w:lang w:eastAsia="en-US"/>
    </w:rPr>
  </w:style>
  <w:style w:type="character" w:styleId="1452" w:customStyle="1">
    <w:name w:val="F中文正文 Char"/>
    <w:link w:val="1451"/>
    <w:uiPriority w:val="0"/>
    <w:qFormat/>
    <w:pPr>
      <w:pBdr/>
      <w:spacing/>
      <w:ind/>
    </w:pPr>
    <w:rPr>
      <w:rFonts w:ascii="Times New Roman" w:hAnsi="Times New Roman"/>
      <w:sz w:val="22"/>
      <w:szCs w:val="22"/>
      <w:lang w:eastAsia="en-US"/>
    </w:rPr>
  </w:style>
  <w:style w:type="paragraph" w:styleId="1453" w:customStyle="1">
    <w:name w:val="列出段落2"/>
    <w:basedOn w:val="1287"/>
    <w:link w:val="1454"/>
    <w:uiPriority w:val="99"/>
    <w:qFormat/>
    <w:pPr>
      <w:pBdr/>
      <w:spacing/>
      <w:ind w:firstLine="420"/>
    </w:pPr>
  </w:style>
  <w:style w:type="character" w:styleId="1454" w:customStyle="1">
    <w:name w:val="列表段落 字符"/>
    <w:basedOn w:val="1292"/>
    <w:link w:val="1453"/>
    <w:uiPriority w:val="99"/>
    <w:qFormat/>
    <w:pPr>
      <w:pBdr/>
      <w:spacing/>
      <w:ind/>
    </w:pPr>
    <w:rPr>
      <w:rFonts w:ascii="Times New Roman" w:hAnsi="Times New Roman" w:eastAsia="Arial Unicode MS"/>
      <w:sz w:val="24"/>
      <w:szCs w:val="24"/>
    </w:rPr>
  </w:style>
  <w:style w:type="character" w:styleId="1455" w:customStyle="1">
    <w:name w:val="Unresolved Mention1"/>
    <w:basedOn w:val="1292"/>
    <w:uiPriority w:val="99"/>
    <w:semiHidden/>
    <w:unhideWhenUsed/>
    <w:qFormat/>
    <w:pPr>
      <w:pBdr/>
      <w:spacing/>
      <w:ind/>
    </w:pPr>
    <w:rPr>
      <w:color w:val="605e5c"/>
      <w:shd w:val="clear" w:color="auto" w:fill="e1dfdd"/>
    </w:rPr>
  </w:style>
  <w:style w:type="paragraph" w:styleId="1456" w:customStyle="1">
    <w:name w:val="修订3"/>
    <w:hidden/>
    <w:uiPriority w:val="99"/>
    <w:semiHidden/>
    <w:qFormat/>
    <w:pPr>
      <w:pBdr/>
      <w:spacing/>
      <w:ind/>
    </w:pPr>
    <w:rPr>
      <w:rFonts w:ascii="Times New Roman" w:hAnsi="Times New Roman" w:eastAsia="Arial Unicode MS" w:cs="Times New Roman"/>
      <w:sz w:val="24"/>
      <w:szCs w:val="24"/>
      <w:lang w:val="en-US" w:eastAsia="zh-CN" w:bidi="ar-SA"/>
    </w:rPr>
  </w:style>
  <w:style w:type="paragraph" w:styleId="1457" w:customStyle="1">
    <w:name w:val="修订4"/>
    <w:hidden/>
    <w:uiPriority w:val="99"/>
    <w:semiHidden/>
    <w:qFormat/>
    <w:pPr>
      <w:pBdr/>
      <w:spacing/>
      <w:ind/>
    </w:pPr>
    <w:rPr>
      <w:rFonts w:ascii="Times New Roman" w:hAnsi="Times New Roman" w:eastAsia="Arial Unicode MS" w:cs="Times New Roman"/>
      <w:sz w:val="24"/>
      <w:szCs w:val="24"/>
      <w:lang w:val="en-US" w:eastAsia="zh-CN" w:bidi="ar-SA"/>
    </w:rPr>
  </w:style>
  <w:style w:type="character" w:styleId="1458" w:customStyle="1">
    <w:name w:val="未处理的提及1"/>
    <w:basedOn w:val="1292"/>
    <w:uiPriority w:val="99"/>
    <w:semiHidden/>
    <w:unhideWhenUsed/>
    <w:qFormat/>
    <w:pPr>
      <w:pBdr/>
      <w:spacing/>
      <w:ind/>
    </w:pPr>
    <w:rPr>
      <w:color w:val="605e5c"/>
      <w:shd w:val="clear" w:color="auto" w:fill="e1dfdd"/>
    </w:rPr>
  </w:style>
  <w:style w:type="character" w:styleId="1459" w:customStyle="1">
    <w:name w:val="未处理的提及2"/>
    <w:basedOn w:val="1292"/>
    <w:uiPriority w:val="99"/>
    <w:semiHidden/>
    <w:unhideWhenUsed/>
    <w:qFormat/>
    <w:pPr>
      <w:pBdr/>
      <w:spacing/>
      <w:ind/>
    </w:pPr>
    <w:rPr>
      <w:color w:val="605e5c"/>
      <w:shd w:val="clear" w:color="auto" w:fill="e1dfdd"/>
    </w:rPr>
  </w:style>
  <w:style w:type="character" w:styleId="1460" w:customStyle="1">
    <w:name w:val="未处理的提及3"/>
    <w:basedOn w:val="1292"/>
    <w:uiPriority w:val="99"/>
    <w:semiHidden/>
    <w:unhideWhenUsed/>
    <w:qFormat/>
    <w:pPr>
      <w:pBdr/>
      <w:spacing/>
      <w:ind/>
    </w:pPr>
    <w:rPr>
      <w:color w:val="605e5c"/>
      <w:shd w:val="clear" w:color="auto" w:fill="e1dfdd"/>
    </w:rPr>
  </w:style>
  <w:style w:type="paragraph" w:styleId="1461" w:customStyle="1">
    <w:name w:val="样式9"/>
    <w:basedOn w:val="1309"/>
    <w:link w:val="1462"/>
    <w:uiPriority w:val="0"/>
    <w:qFormat/>
    <w:pPr>
      <w:keepNext w:val="true"/>
      <w:pBdr/>
      <w:spacing w:after="163" w:before="163"/>
      <w:ind/>
      <w:outlineLvl w:val="3"/>
    </w:pPr>
    <w:rPr>
      <w:rFonts w:ascii="Arial" w:hAnsi="Arial" w:eastAsia="微软雅黑" w:cs="Arial"/>
      <w:b w:val="0"/>
      <w:i w:val="0"/>
      <w:color w:val="4f81bd" w:themeColor="accent1"/>
      <w:sz w:val="22"/>
      <w:szCs w:val="22"/>
      <w14:textFill>
        <w14:solidFill>
          <w14:schemeClr w14:val="accent1"/>
        </w14:solidFill>
      </w14:textFill>
    </w:rPr>
  </w:style>
  <w:style w:type="character" w:styleId="1462" w:customStyle="1">
    <w:name w:val="样式9 字符"/>
    <w:basedOn w:val="1402"/>
    <w:link w:val="1461"/>
    <w:uiPriority w:val="0"/>
    <w:qFormat/>
    <w:pPr>
      <w:pBdr/>
      <w:spacing/>
      <w:ind/>
    </w:pPr>
    <w:rPr>
      <w:rFonts w:ascii="Arial" w:hAnsi="Arial" w:eastAsia="微软雅黑" w:cs="Arial"/>
      <w:b w:val="0"/>
      <w:i w:val="0"/>
      <w:color w:val="4f81bd" w:themeColor="accent1"/>
      <w:sz w:val="22"/>
      <w:szCs w:val="22"/>
      <w14:textFill>
        <w14:solidFill>
          <w14:schemeClr w14:val="accent1"/>
        </w14:solidFill>
      </w14:textFill>
    </w:rPr>
  </w:style>
  <w:style w:type="paragraph" w:styleId="1463" w:customStyle="1">
    <w:name w:val="修订5"/>
    <w:hidden/>
    <w:uiPriority w:val="99"/>
    <w:unhideWhenUsed/>
    <w:qFormat/>
    <w:pPr>
      <w:pBdr/>
      <w:spacing/>
      <w:ind/>
    </w:pPr>
    <w:rPr>
      <w:rFonts w:ascii="Times New Roman" w:hAnsi="Times New Roman" w:eastAsia="Arial Unicode MS" w:cs="Times New Roman"/>
      <w:sz w:val="24"/>
      <w:szCs w:val="24"/>
      <w:lang w:val="en-US" w:eastAsia="zh-CN" w:bidi="ar-SA"/>
    </w:rPr>
  </w:style>
  <w:style w:type="paragraph" w:styleId="1464" w:customStyle="1">
    <w:name w:val="TOC 标题2"/>
    <w:basedOn w:val="1288"/>
    <w:next w:val="1287"/>
    <w:uiPriority w:val="39"/>
    <w:unhideWhenUsed/>
    <w:qFormat/>
    <w:pPr>
      <w:pBdr/>
      <w:spacing w:after="0" w:before="240" w:line="259" w:lineRule="auto"/>
      <w:ind w:right="0" w:left="0"/>
      <w:jc w:val="left"/>
      <w:outlineLvl w:val="9"/>
    </w:pPr>
    <w:rPr>
      <w:rFonts w:asciiTheme="majorHAnsi" w:hAnsiTheme="majorHAnsi" w:eastAsiaTheme="majorEastAsia" w:cstheme="majorBidi"/>
      <w:b w:val="0"/>
      <w:bCs w:val="0"/>
      <w:color w:val="376092" w:themeColor="accent1" w:themeShade="BF"/>
      <w:sz w:val="32"/>
      <w:szCs w:val="32"/>
    </w:rPr>
  </w:style>
  <w:style w:type="numbering" w:styleId="25298" w:default="1">
    <w:name w:val="No List"/>
    <w:uiPriority w:val="99"/>
    <w:semiHidden/>
    <w:unhideWhenUsed/>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header" Target="header6.xml" /><Relationship Id="rId15" Type="http://schemas.openxmlformats.org/officeDocument/2006/relationships/header" Target="header7.xml" /><Relationship Id="rId16" Type="http://schemas.openxmlformats.org/officeDocument/2006/relationships/header" Target="header8.xml" /><Relationship Id="rId17" Type="http://schemas.openxmlformats.org/officeDocument/2006/relationships/header" Target="header9.xml" /><Relationship Id="rId18" Type="http://schemas.openxmlformats.org/officeDocument/2006/relationships/footer" Target="footer1.xml" /><Relationship Id="rId19" Type="http://schemas.openxmlformats.org/officeDocument/2006/relationships/footer" Target="footer2.xml" /><Relationship Id="rId20" Type="http://schemas.openxmlformats.org/officeDocument/2006/relationships/footer" Target="footer3.xml" /><Relationship Id="rId21" Type="http://schemas.openxmlformats.org/officeDocument/2006/relationships/footer" Target="footer4.xml" /><Relationship Id="rId22" Type="http://schemas.openxmlformats.org/officeDocument/2006/relationships/footer" Target="footer5.xml" /><Relationship Id="rId23" Type="http://schemas.openxmlformats.org/officeDocument/2006/relationships/customXml" Target="../customXml/item1.xml" /><Relationship Id="rId24" Type="http://schemas.openxmlformats.org/officeDocument/2006/relationships/customXml" Target="../customXml/item2.xml" /><Relationship Id="rId25" Type="http://schemas.openxmlformats.org/officeDocument/2006/relationships/image" Target="media/image1.png"/><Relationship Id="rId26" Type="http://schemas.openxmlformats.org/officeDocument/2006/relationships/image" Target="media/image2.png"/><Relationship Id="rId27" Type="http://schemas.openxmlformats.org/officeDocument/2006/relationships/image" Target="media/image3.png"/><Relationship Id="rId28" Type="http://schemas.openxmlformats.org/officeDocument/2006/relationships/image" Target="media/image4.png"/><Relationship Id="rId29" Type="http://schemas.openxmlformats.org/officeDocument/2006/relationships/image" Target="media/image5.png"/><Relationship Id="rId30" Type="http://schemas.openxmlformats.org/officeDocument/2006/relationships/image" Target="media/image6.png"/><Relationship Id="rId31" Type="http://schemas.openxmlformats.org/officeDocument/2006/relationships/image" Target="media/image7.png"/><Relationship Id="rId32"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er4.xml.rels><?xml version="1.0" encoding="UTF-8" standalone="yes"?><Relationships xmlns="http://schemas.openxmlformats.org/package/2006/relationships"></Relationships>
</file>

<file path=word/_rels/footer5.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_rels/header4.xml.rels><?xml version="1.0" encoding="UTF-8" standalone="yes"?><Relationships xmlns="http://schemas.openxmlformats.org/package/2006/relationships"></Relationships>
</file>

<file path=word/_rels/header5.xml.rels><?xml version="1.0" encoding="UTF-8" standalone="yes"?><Relationships xmlns="http://schemas.openxmlformats.org/package/2006/relationships"></Relationships>
</file>

<file path=word/_rels/header6.xml.rels><?xml version="1.0" encoding="UTF-8" standalone="yes"?><Relationships xmlns="http://schemas.openxmlformats.org/package/2006/relationships"></Relationships>
</file>

<file path=word/_rels/header7.xml.rels><?xml version="1.0" encoding="UTF-8" standalone="yes"?><Relationships xmlns="http://schemas.openxmlformats.org/package/2006/relationships"></Relationships>
</file>

<file path=word/_rels/header8.xml.rels><?xml version="1.0" encoding="UTF-8" standalone="yes"?><Relationships xmlns="http://schemas.openxmlformats.org/package/2006/relationships"></Relationships>
</file>

<file path=word/_rels/header9.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4F8A5A6-DAF5-4A5A-9D86-AE02DF0BF218}"/>
</file>

<file path=docProps/app.xml><?xml version="1.0" encoding="utf-8"?>
<Properties xmlns="http://schemas.openxmlformats.org/officeDocument/2006/extended-properties" xmlns:vt="http://schemas.openxmlformats.org/officeDocument/2006/docPropsVTypes">
  <Application>onlyoffice/8.0.1.31</Application>
  <Company>致同</Company>
  <DocSecurity>0</DocSecurity>
  <LinksUpToDate>false</LinksUpToDate>
  <ScaleCrop>false</ScaleCrop>
  <Template>Normal</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编辑用户</cp:lastModifiedBy>
  <cp:revision>68</cp:revision>
  <dcterms:created xsi:type="dcterms:W3CDTF">2024-06-10T20:11:00Z</dcterms:created>
  <dcterms:modified xsi:type="dcterms:W3CDTF">2026-04-02T13:08:02Z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2052-12.1.0.24034</vt:lpwstr>
  </property>
  <property fmtid="{D5CDD505-2E9C-101B-9397-08002B2CF9AE}" pid="4" name="ContentTypeId">
    <vt:lpwstr>0x010100E840E00689DBE64ABA4ECF7903E41C7D</vt:lpwstr>
  </property>
  <property fmtid="{D5CDD505-2E9C-101B-9397-08002B2CF9AE}" pid="5" name="ICV">
    <vt:lpwstr>932D49A1F26A5989A3386E68A65B3634_43</vt:lpwstr>
  </property>
  <property fmtid="{D5CDD505-2E9C-101B-9397-08002B2CF9AE}" pid="6" name="KSOTemplateDocerSaveRecord">
    <vt:lpwstr>eyJoZGlkIjoiNjliMmJjYzlmM2MxNGNiNDlmODgwOGY0NDE2NjRjNTgiLCJ1c2VySWQiOiIyNzUyNzMyMDQifQ==</vt:lpwstr>
  </property>
</Properties>
</file>