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{{清单模板-数据表-B2}}（截至2024年12月31日）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本公司根据以下规定准备2024年度同期资料的本地文档（以下简称“本报告”）：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本报告的目的在于从中国特别纳税调整税制的角度，分析本公司2024年度与关联方之间关联交易定价的合理性。为此，本公司按以下规定以及程序准备本报告：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地址：                                 邮编：</w:t>
      </w:r>
      <w:r>
        <w:rPr>
          <w:rFonts w:ascii="Arial" w:hAnsi="Arial" w:eastAsia="微软雅黑" w:cs="Arial"/>
          <w:sz w:val="22"/>
          <w:szCs w:val="22"/>
        </w:rPr>
        <w:tab/>
        <w:t/>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电话：传真：</w:t>
      </w:r>
      <w:r>
        <w:rPr>
          <w:rFonts w:ascii="Arial" w:hAnsi="Arial" w:eastAsia="微软雅黑" w:cs="Arial"/>
          <w:sz w:val="22"/>
          <w:szCs w:val="22"/>
        </w:rPr>
        <w:tab/>
        <w:t/>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声明单位（盖章）：法定代表人（签字）：</w:t>
      </w:r>
      <w:r>
        <w:rPr>
          <w:rFonts w:ascii="Arial" w:hAnsi="Arial" w:eastAsia="微软雅黑" w:cs="Arial"/>
          <w:sz w:val="22"/>
          <w:szCs w:val="22"/>
        </w:rPr>
        <w:tab/>
        <w:t/>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t/>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以下是{{清单模板-数据表-B1}}2024年度关联交易同期资料本地文档报告内容与[2016]42号公告第十四条规定的本地文档内容对照表。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斯必克流体技术或本公司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评估期间或2024年度</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2024年1月1日至2024年12月31日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清单模板-数据表-B3}}（以下简称“立信”或“我们”）接受{{清单模板-数据表-B1}}（以下简称“{{清单模板-数据表-B5}}”或“本公司”）的委托，协助准备2024财务年度（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清单模板-数据表-B2}}，斯必克流体技术和其境内外关联方（以下合称“关联企业”）进行了一系列关联交易，交易内容包括关联购销、关联劳务以及关联资金融通。由于斯必克流体技术与关联方之间的购销交易合计金额为461,460,873.88元，关联劳务交易合计金额为57,061,901.88元，因此斯必克流体技术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依照[2016]42号公告第14条的相关规定，本报告将作为斯必克流体技术2024年度的同期资料，旨在对其与其关联方在截至2024年12月31日前发生的受测关联交易进行分析和说明。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斯必克流体技术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斯必克流体技术从关联方接受服务以及向关联方提供服务；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上述关联交易，以下简称“受测关联交易”。其他任何涉及斯必克流体技术和其他关联公司或分支机构的关联交易不在本报告的分析范围内。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斯必克流体技术在关联销售中主要承担有限的研发功能、采购功能、生产功能、质量控制功能、存货管理功能以及一般行政管理功能；斯必克流体技术主要承担有限的市场风险、有限的研发风险、有限的生产风险、有限的存货风险、产品责任风险以及汇率风险。因此，在关联销售中，斯必克流体技术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斯必克流体技术承担了相对更多的功能风险，履行的功能包括市场营销和销售、工程设计、售后服务以及付款请求和回收，同时承担主要的市场风险和债权回收风险。斯必克流体技术并不拥有非常规营销类无形资产和由其境外关联方创造的非常规制造类无形资产的所有权。评估期间，斯必克流体技术进行产品的本地化技术改良以及设计工作，并且拥有与产品本地化相关的技术。因此，在非关联销售中，斯必克流体技术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在整个集团经营活动中，斯必克流体技术作为履行上述功能并且承担上述风险的生产制造商，利润水平和其承担的功能风险相匹配。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基于斯必克流体技术对集团整体利润或者剩余利润所做的贡献，以及其所承担的功能风险，对中国转让定价法规以及OECD转让定价指南中列明的常用转让定价评估方法进行了比较和研究。我们最终选择斯必克流体技术作为验证对象，选用交易净利润法作为分析方法，以完全成本加成率作为利润水平指标对斯必克流体技术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斯必克流体技术作为本报告的被验证对象从而分析其完全成本加成率。原因如下：1）斯必克流体技术相对于关联方承担相对简单的制造相关的功能和风险；2）在关联交易中，相对于关联方，斯必克流体技术的利润水平可以被更为有效地确定。因此，我们选择斯必克流体技术作为本报告的被验证对象。我们通过选取与斯必克流体技术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{{清单模板-PL}}</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如上图表所示，2021到2023财年加权平均完全成本加成率独立交易四分位区间为3.00%到12.74%，中位值为8.41%。斯必克流体技术在2024年度关联销售交易和非关联销售交易中取得的完全成本加成率分别为22.93%和21.63%，均高于可比非受控公司在2021到2023财年三年加权平均完全成本加成率的独立交易区间的中位值。因此，从中国转让定价角度，斯必克流体技术在2024年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斯必克流体技术及其关联方在转让定价调查中免于税务调整的保证。但本报告应可以为斯必克流体技术提供良好的文件支持以应对中国税务机关对斯必克流体技术转让定价安排的初步质询，并有助斯必克流体技术向税务机关展示其严肃对待纳税义务的努力。本报告所引用的斯必克流体技术的数据均来源于斯必克流体技术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斯必克流体技术公司提供的相关事实而准备的。本报告以特定的事实和情况为基础，可能不适用于斯必克流体技术公司之外的第三方。我们在准备本报告时仅从与斯必克流体技术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本报告是依照[2016]42号公告第14条对同期资料的相关规定而准备，斯必克流体技术公司可以在中国税务机关要求的情况下将本报告提交给中国税务机关。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任何包括在我们的服务合同中的限制性条款将同样适用于本报告。</w:t>
      </w:r>
      <w:r>
        <w:rPr>
          <w:rFonts w:ascii="Arial" w:hAnsi="Arial" w:eastAsia="微软雅黑" w:cs="Arial"/>
          <w:sz w:val="22"/>
          <w:szCs w:val="22"/>
        </w:rPr>
        <w:br w:type="page"/>
        <w:t/>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t/>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公司基本信息</w:t>
      </w:r>
      <w:bookmarkEnd w:id="71"/>
      <w:bookmarkEnd w:id="72"/>
      <w:bookmarkEnd w:id="73"/>
      <w:bookmarkEnd w:id="74"/>
      <w:r>
        <w:rPr>
          <w:rStyle w:val="38"/>
          <w:rFonts w:ascii="Arial" w:hAnsi="Arial" w:eastAsia="微软雅黑" w:cs="Arial"/>
          <w:bCs w:val="0"/>
          <w:color w:val="4F81BD"/>
          <w:sz w:val="18"/>
          <w:szCs w:val="15"/>
        </w:rPr>
        <w:footnoteReference w:id="1"/>
        <w:t/>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图表2：斯必克流体技术基本信息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2024年度适用的企业所得税率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t/>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截至2024年12月31日，斯必克流体技术的管理组织结构显示如下：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图表3：斯必克流体技术的组织结构图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截至2024年12月31日，斯必克流体技术的主要业务部门和职责范围显示如下，各部门负责人汇报的对象均为位于上海的工厂厂长办公室：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图表4：斯必克流体技术部门结构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主要部门</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人数</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主要职责范围</w:t>
            </w:r>
          </w:p>
        </w:tc>
      </w:tr>
      <w:tr w14:paraId="2A76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7056E6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生产营运部</w:t>
            </w:r>
          </w:p>
        </w:tc>
        <w:tc>
          <w:tcPr>
            <w:tcW w:w="919" w:type="dxa"/>
            <w:shd w:val="clear" w:color="auto" w:fill="auto"/>
            <w:vAlign w:val="center"/>
          </w:tcPr>
          <w:p w14:paraId="6669670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4A2F3F9">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全面负责工厂车间、仓库、物流、质量控制等运营库</w:t>
            </w:r>
          </w:p>
        </w:tc>
      </w:tr>
      <w:tr w14:paraId="70D4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25763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采购部</w:t>
            </w:r>
          </w:p>
        </w:tc>
        <w:tc>
          <w:tcPr>
            <w:tcW w:w="919" w:type="dxa"/>
            <w:shd w:val="clear" w:color="auto" w:fill="auto"/>
            <w:vAlign w:val="center"/>
          </w:tcPr>
          <w:p w14:paraId="0D933A85">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438C46D">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负责公司各类原材料的采购，以及各供应商的管理</w:t>
            </w:r>
          </w:p>
        </w:tc>
      </w:tr>
      <w:tr w14:paraId="3FD1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F9B69FD">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生产部</w:t>
            </w:r>
          </w:p>
        </w:tc>
        <w:tc>
          <w:tcPr>
            <w:tcW w:w="919" w:type="dxa"/>
            <w:shd w:val="clear" w:color="auto" w:fill="auto"/>
            <w:vAlign w:val="center"/>
          </w:tcPr>
          <w:p w14:paraId="283DE3A8">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69536837">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全面负责工厂生产车间的日常生产、运作工作</w:t>
            </w:r>
          </w:p>
        </w:tc>
      </w:tr>
      <w:tr w14:paraId="213A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33379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物流仓储部</w:t>
            </w:r>
          </w:p>
        </w:tc>
        <w:tc>
          <w:tcPr>
            <w:tcW w:w="919" w:type="dxa"/>
            <w:shd w:val="clear" w:color="auto" w:fill="auto"/>
            <w:vAlign w:val="center"/>
          </w:tcPr>
          <w:p w14:paraId="18CB5E5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CEFA931">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负责工厂的仓库存储，以及进出口物流操作，保税仓库管理</w:t>
            </w:r>
          </w:p>
        </w:tc>
      </w:tr>
      <w:tr w14:paraId="72B8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FF4004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质量控制部</w:t>
            </w:r>
          </w:p>
        </w:tc>
        <w:tc>
          <w:tcPr>
            <w:tcW w:w="919" w:type="dxa"/>
            <w:shd w:val="clear" w:color="auto" w:fill="auto"/>
            <w:vAlign w:val="center"/>
          </w:tcPr>
          <w:p w14:paraId="2EBB6B2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098177">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负责各类产成品、半成品的质量管控</w:t>
            </w:r>
          </w:p>
        </w:tc>
      </w:tr>
      <w:tr w14:paraId="1CA0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FE1DDA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财务部</w:t>
            </w:r>
          </w:p>
        </w:tc>
        <w:tc>
          <w:tcPr>
            <w:tcW w:w="919" w:type="dxa"/>
            <w:shd w:val="clear" w:color="auto" w:fill="auto"/>
            <w:vAlign w:val="center"/>
          </w:tcPr>
          <w:p w14:paraId="070241E4">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CA68DF5">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负责财务记账、纳税申报、收付款等财务工作以及公司各类财务风险的控制，包括项目的财务风险，资金的财务风险，供应商的信用风险等</w:t>
            </w:r>
          </w:p>
        </w:tc>
      </w:tr>
      <w:tr w14:paraId="11D0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6542F1F7">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后勤部</w:t>
            </w:r>
          </w:p>
        </w:tc>
        <w:tc>
          <w:tcPr>
            <w:tcW w:w="919" w:type="dxa"/>
            <w:shd w:val="clear" w:color="auto" w:fill="auto"/>
            <w:vAlign w:val="center"/>
          </w:tcPr>
          <w:p w14:paraId="5449767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1534026">
            <w:pPr>
              <w:snapToGrid w:val="0"/>
              <w:spacing w:before="0" w:after="0"/>
              <w:ind w:left="0" w:right="0"/>
              <w:rPr>
                <w:rFonts w:ascii="Arial" w:hAnsi="Arial" w:eastAsia="微软雅黑" w:cs="Arial"/>
                <w:sz w:val="18"/>
                <w:szCs w:val="18"/>
              </w:rPr>
            </w:pPr>
            <w:r>
              <w:rPr>
                <w:rFonts w:hint="eastAsia" w:ascii="Arial" w:hAnsi="Arial" w:eastAsia="微软雅黑"/>
                <w:sz w:val="18"/>
                <w:szCs w:val="18"/>
              </w:rPr>
              <w:t>全面负责员工餐厅，工厂行政、厂区管理等</w:t>
            </w:r>
          </w:p>
        </w:tc>
      </w:tr>
      <w:tr w14:paraId="3552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19A30B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项目执行部</w:t>
            </w:r>
          </w:p>
        </w:tc>
        <w:tc>
          <w:tcPr>
            <w:tcW w:w="919" w:type="dxa"/>
            <w:shd w:val="clear" w:color="auto" w:fill="auto"/>
            <w:vAlign w:val="center"/>
          </w:tcPr>
          <w:p w14:paraId="634AD190">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856644B">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负责各类销售项目的执行，包括产品的生产，客户的管理，收款的进度等</w:t>
            </w:r>
          </w:p>
        </w:tc>
      </w:tr>
      <w:tr w14:paraId="1C7C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595602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项目控制部</w:t>
            </w:r>
          </w:p>
        </w:tc>
        <w:tc>
          <w:tcPr>
            <w:tcW w:w="919" w:type="dxa"/>
            <w:shd w:val="clear" w:color="auto" w:fill="auto"/>
            <w:vAlign w:val="center"/>
          </w:tcPr>
          <w:p w14:paraId="3E96B41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36880D8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负责各类项目的风险控制，包括生产风险，收款风险、质量风险、违约风险等</w:t>
            </w:r>
          </w:p>
        </w:tc>
      </w:tr>
      <w:tr w14:paraId="541A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D7831E5">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研发部</w:t>
            </w:r>
          </w:p>
        </w:tc>
        <w:tc>
          <w:tcPr>
            <w:tcW w:w="919" w:type="dxa"/>
            <w:shd w:val="clear" w:color="auto" w:fill="auto"/>
            <w:vAlign w:val="center"/>
          </w:tcPr>
          <w:p w14:paraId="071F193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F178370">
            <w:pPr>
              <w:snapToGrid w:val="0"/>
              <w:spacing w:before="0" w:after="0"/>
              <w:ind w:left="0" w:right="0"/>
              <w:jc w:val="left"/>
              <w:rPr>
                <w:rFonts w:ascii="Arial" w:hAnsi="Arial" w:eastAsia="微软雅黑" w:cs="Arial"/>
                <w:sz w:val="18"/>
                <w:szCs w:val="18"/>
              </w:rPr>
            </w:pPr>
            <w:r>
              <w:rPr>
                <w:rFonts w:hint="eastAsia" w:ascii="Arial" w:hAnsi="Arial" w:eastAsia="微软雅黑"/>
                <w:sz w:val="18"/>
                <w:szCs w:val="18"/>
              </w:rPr>
              <w:t>负责公司各类产品的研发，本地化研发等</w:t>
            </w:r>
          </w:p>
        </w:tc>
      </w:tr>
      <w:tr w14:paraId="513C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C1F15E">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售后服务部</w:t>
            </w:r>
          </w:p>
        </w:tc>
        <w:tc>
          <w:tcPr>
            <w:tcW w:w="919" w:type="dxa"/>
            <w:shd w:val="clear" w:color="auto" w:fill="auto"/>
            <w:vAlign w:val="center"/>
          </w:tcPr>
          <w:p w14:paraId="2A55561A">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6D4EAB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负责与客户沟通各类售后问题，包括质保、赔偿、维修等</w:t>
            </w:r>
          </w:p>
        </w:tc>
      </w:tr>
      <w:tr w14:paraId="4819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44EBB4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提案部</w:t>
            </w:r>
          </w:p>
        </w:tc>
        <w:tc>
          <w:tcPr>
            <w:tcW w:w="919" w:type="dxa"/>
            <w:shd w:val="clear" w:color="auto" w:fill="auto"/>
            <w:vAlign w:val="center"/>
          </w:tcPr>
          <w:p w14:paraId="7B7483BD">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3FEED2C9">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向各类客户提交方案、报价、竞标书等。对内提交客户要求、产品条件等</w:t>
            </w:r>
          </w:p>
        </w:tc>
      </w:tr>
      <w:tr w14:paraId="7E17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40CDF1">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工程部</w:t>
            </w:r>
          </w:p>
        </w:tc>
        <w:tc>
          <w:tcPr>
            <w:tcW w:w="919" w:type="dxa"/>
            <w:shd w:val="clear" w:color="auto" w:fill="auto"/>
            <w:vAlign w:val="center"/>
          </w:tcPr>
          <w:p w14:paraId="5029605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5E6259AD">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负责各类新产品的生产落实等</w:t>
            </w:r>
          </w:p>
        </w:tc>
      </w:tr>
      <w:tr w14:paraId="3858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76B822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销售部</w:t>
            </w:r>
          </w:p>
        </w:tc>
        <w:tc>
          <w:tcPr>
            <w:tcW w:w="919" w:type="dxa"/>
            <w:shd w:val="clear" w:color="auto" w:fill="auto"/>
            <w:vAlign w:val="center"/>
          </w:tcPr>
          <w:p w14:paraId="526D4386">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4C4435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负责各类半成品、产成品、成套系列产品的销售，以及客户的维护管理</w:t>
            </w:r>
          </w:p>
        </w:tc>
      </w:tr>
      <w:tr w14:paraId="7BEE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483547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法务部</w:t>
            </w:r>
          </w:p>
        </w:tc>
        <w:tc>
          <w:tcPr>
            <w:tcW w:w="919" w:type="dxa"/>
            <w:shd w:val="clear" w:color="auto" w:fill="auto"/>
            <w:vAlign w:val="center"/>
          </w:tcPr>
          <w:p w14:paraId="2D4C6952">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712D9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负责公司各类法务合规性的审核，以及与各供应商、客户之间的法律纠纷</w:t>
            </w:r>
          </w:p>
        </w:tc>
      </w:tr>
      <w:tr w14:paraId="78CC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4391DC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人事部</w:t>
            </w:r>
          </w:p>
        </w:tc>
        <w:tc>
          <w:tcPr>
            <w:tcW w:w="919" w:type="dxa"/>
            <w:shd w:val="clear" w:color="auto" w:fill="auto"/>
            <w:vAlign w:val="center"/>
          </w:tcPr>
          <w:p w14:paraId="1E37558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BD9ACE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负责公司内部员工的培训发展、招聘、薪酬计划、职业规划等</w:t>
            </w:r>
          </w:p>
        </w:tc>
      </w:tr>
      <w:tr w14:paraId="5346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847F83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财务控制部</w:t>
            </w:r>
          </w:p>
        </w:tc>
        <w:tc>
          <w:tcPr>
            <w:tcW w:w="919" w:type="dxa"/>
            <w:shd w:val="clear" w:color="auto" w:fill="auto"/>
            <w:vAlign w:val="center"/>
          </w:tcPr>
          <w:p w14:paraId="0C09F86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58A3CA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负责公司各类财务风险的控制</w:t>
            </w:r>
          </w:p>
        </w:tc>
      </w:tr>
      <w:tr w14:paraId="0B17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13A64BB">
            <w:pPr>
              <w:snapToGrid w:val="0"/>
              <w:spacing w:before="0" w:after="0"/>
              <w:ind w:left="0" w:right="0"/>
              <w:jc w:val="center"/>
              <w:rPr>
                <w:rFonts w:ascii="Arial" w:hAnsi="Arial" w:eastAsia="微软雅黑" w:cs="Arial"/>
                <w:b w:val="0"/>
                <w:bCs/>
                <w:sz w:val="18"/>
                <w:szCs w:val="18"/>
              </w:rPr>
            </w:pPr>
            <w:r>
              <w:rPr>
                <w:rFonts w:ascii="Arial" w:hAnsi="Arial" w:eastAsia="微软雅黑" w:cs="Arial"/>
                <w:b/>
                <w:bCs w:val="0"/>
                <w:sz w:val="18"/>
                <w:szCs w:val="18"/>
              </w:rPr>
              <w:t>总计</w:t>
            </w:r>
          </w:p>
        </w:tc>
        <w:tc>
          <w:tcPr>
            <w:tcW w:w="919" w:type="dxa"/>
            <w:shd w:val="clear" w:color="auto" w:fill="auto"/>
            <w:vAlign w:val="center"/>
          </w:tcPr>
          <w:p w14:paraId="783729F4">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bCs/>
                <w:sz w:val="18"/>
                <w:szCs w:val="18"/>
              </w:rPr>
              <w:t>{{清单模板-PL含特殊因素调整}}</w:t>
            </w:r>
          </w:p>
        </w:tc>
        <w:tc>
          <w:tcPr>
            <w:tcW w:w="5975" w:type="dxa"/>
            <w:shd w:val="clear" w:color="auto" w:fill="auto"/>
            <w:vAlign w:val="center"/>
          </w:tcPr>
          <w:p w14:paraId="7751758A">
            <w:pPr>
              <w:snapToGrid w:val="0"/>
              <w:spacing w:before="0" w:after="0"/>
              <w:ind w:left="0" w:right="0"/>
              <w:rPr>
                <w:rFonts w:ascii="Arial" w:hAnsi="Arial" w:eastAsia="微软雅黑" w:cs="Arial"/>
                <w:sz w:val="18"/>
                <w:szCs w:val="18"/>
              </w:rPr>
            </w:pP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评估期间，斯必克流体技术主要从事生产业务。下表列示了2024年度斯必克流体技术的具体财务状况。由于斯必克流体技术主要从事生产业务，因此并不存在财务数据需要在不同类型的业务中拆分的情况：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图表5：斯必克流体技术财务状况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t/>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金额（人民币元）</w:t>
            </w:r>
          </w:p>
        </w:tc>
      </w:tr>
      <w:tr w14:paraId="49DCD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67FA3995">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主营业务收入 </w:t>
            </w:r>
          </w:p>
        </w:tc>
        <w:tc>
          <w:tcPr>
            <w:tcW w:w="1537" w:type="pct"/>
            <w:shd w:val="clear" w:color="auto" w:fill="auto"/>
            <w:tcMar>
              <w:top w:w="15" w:type="dxa"/>
              <w:left w:w="15" w:type="dxa"/>
              <w:bottom w:w="0" w:type="dxa"/>
              <w:right w:w="15" w:type="dxa"/>
            </w:tcMar>
            <w:vAlign w:val="center"/>
          </w:tcPr>
          <w:p w14:paraId="058003F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a</w:t>
            </w:r>
          </w:p>
        </w:tc>
        <w:tc>
          <w:tcPr>
            <w:tcW w:w="1842" w:type="pct"/>
            <w:shd w:val="clear" w:color="auto" w:fill="auto"/>
            <w:tcMar>
              <w:top w:w="15" w:type="dxa"/>
              <w:left w:w="15" w:type="dxa"/>
              <w:bottom w:w="0" w:type="dxa"/>
              <w:right w:w="15" w:type="dxa"/>
            </w:tcMar>
            <w:vAlign w:val="center"/>
          </w:tcPr>
          <w:p w14:paraId="1B23DCDD">
            <w:pPr>
              <w:snapToGrid w:val="0"/>
              <w:spacing w:before="0" w:after="0"/>
              <w:ind w:left="0" w:right="0"/>
              <w:jc w:val="right"/>
              <w:rPr>
                <w:rFonts w:ascii="Arial" w:hAnsi="Arial" w:eastAsia="微软雅黑" w:cs="Arial"/>
                <w:bCs/>
                <w:color w:val="000000"/>
                <w:sz w:val="18"/>
                <w:szCs w:val="18"/>
              </w:rPr>
            </w:pPr>
            <w:r>
              <w:rPr>
                <w:rFonts w:hint="eastAsia"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t xml:space="preserve"/>
            </w:r>
          </w:p>
        </w:tc>
      </w:tr>
      <w:tr w14:paraId="343BF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389043A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主营业务成本</w:t>
            </w:r>
          </w:p>
        </w:tc>
        <w:tc>
          <w:tcPr>
            <w:tcW w:w="1537" w:type="pct"/>
            <w:shd w:val="clear" w:color="auto" w:fill="auto"/>
            <w:tcMar>
              <w:top w:w="15" w:type="dxa"/>
              <w:left w:w="15" w:type="dxa"/>
              <w:bottom w:w="0" w:type="dxa"/>
              <w:right w:w="15" w:type="dxa"/>
            </w:tcMar>
            <w:vAlign w:val="center"/>
          </w:tcPr>
          <w:p w14:paraId="11808D8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b</w:t>
            </w:r>
          </w:p>
        </w:tc>
        <w:tc>
          <w:tcPr>
            <w:tcW w:w="1842" w:type="pct"/>
            <w:shd w:val="clear" w:color="auto" w:fill="auto"/>
            <w:tcMar>
              <w:top w:w="15" w:type="dxa"/>
              <w:left w:w="15" w:type="dxa"/>
              <w:bottom w:w="0" w:type="dxa"/>
              <w:right w:w="15" w:type="dxa"/>
            </w:tcMar>
            <w:vAlign w:val="center"/>
          </w:tcPr>
          <w:p w14:paraId="0BC23370">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E0CA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B6989E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1537" w:type="pct"/>
            <w:shd w:val="clear" w:color="auto" w:fill="auto"/>
            <w:tcMar>
              <w:top w:w="15" w:type="dxa"/>
              <w:left w:w="15" w:type="dxa"/>
              <w:bottom w:w="0" w:type="dxa"/>
              <w:right w:w="15" w:type="dxa"/>
            </w:tcMar>
            <w:vAlign w:val="center"/>
          </w:tcPr>
          <w:p w14:paraId="1ADCB97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c</w:t>
            </w:r>
          </w:p>
        </w:tc>
        <w:tc>
          <w:tcPr>
            <w:tcW w:w="1842" w:type="pct"/>
            <w:shd w:val="clear" w:color="auto" w:fill="auto"/>
            <w:tcMar>
              <w:top w:w="15" w:type="dxa"/>
              <w:left w:w="15" w:type="dxa"/>
              <w:bottom w:w="0" w:type="dxa"/>
              <w:right w:w="15" w:type="dxa"/>
            </w:tcMar>
            <w:vAlign w:val="center"/>
          </w:tcPr>
          <w:p w14:paraId="20C2D907">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230D2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627B6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1537" w:type="pct"/>
            <w:shd w:val="clear" w:color="auto" w:fill="auto"/>
            <w:tcMar>
              <w:top w:w="15" w:type="dxa"/>
              <w:left w:w="15" w:type="dxa"/>
              <w:bottom w:w="0" w:type="dxa"/>
              <w:right w:w="15" w:type="dxa"/>
            </w:tcMar>
            <w:vAlign w:val="center"/>
          </w:tcPr>
          <w:p w14:paraId="6C982D5D">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d</w:t>
            </w:r>
          </w:p>
        </w:tc>
        <w:tc>
          <w:tcPr>
            <w:tcW w:w="1842" w:type="pct"/>
            <w:shd w:val="clear" w:color="auto" w:fill="auto"/>
            <w:tcMar>
              <w:top w:w="15" w:type="dxa"/>
              <w:left w:w="15" w:type="dxa"/>
              <w:bottom w:w="0" w:type="dxa"/>
              <w:right w:w="15" w:type="dxa"/>
            </w:tcMar>
            <w:vAlign w:val="center"/>
          </w:tcPr>
          <w:p w14:paraId="2511483D">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B8E8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4A4F617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管理费用 </w:t>
            </w:r>
          </w:p>
        </w:tc>
        <w:tc>
          <w:tcPr>
            <w:tcW w:w="1537" w:type="pct"/>
            <w:shd w:val="clear" w:color="auto" w:fill="auto"/>
            <w:tcMar>
              <w:top w:w="15" w:type="dxa"/>
              <w:left w:w="15" w:type="dxa"/>
              <w:bottom w:w="0" w:type="dxa"/>
              <w:right w:w="15" w:type="dxa"/>
            </w:tcMar>
            <w:vAlign w:val="center"/>
          </w:tcPr>
          <w:p w14:paraId="625B986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e</w:t>
            </w:r>
          </w:p>
        </w:tc>
        <w:tc>
          <w:tcPr>
            <w:tcW w:w="1842" w:type="pct"/>
            <w:shd w:val="clear" w:color="auto" w:fill="auto"/>
            <w:tcMar>
              <w:top w:w="15" w:type="dxa"/>
              <w:left w:w="15" w:type="dxa"/>
              <w:bottom w:w="0" w:type="dxa"/>
              <w:right w:w="15" w:type="dxa"/>
            </w:tcMar>
            <w:vAlign w:val="center"/>
          </w:tcPr>
          <w:p w14:paraId="6EF296C2">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3DDD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6D87A63">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总成本</w:t>
            </w:r>
          </w:p>
        </w:tc>
        <w:tc>
          <w:tcPr>
            <w:tcW w:w="1537" w:type="pct"/>
            <w:shd w:val="clear" w:color="auto" w:fill="auto"/>
            <w:tcMar>
              <w:top w:w="15" w:type="dxa"/>
              <w:left w:w="15" w:type="dxa"/>
              <w:bottom w:w="0" w:type="dxa"/>
              <w:right w:w="15" w:type="dxa"/>
            </w:tcMar>
            <w:vAlign w:val="center"/>
          </w:tcPr>
          <w:p w14:paraId="49DC1C0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f = b+c+d+e</w:t>
            </w:r>
          </w:p>
        </w:tc>
        <w:tc>
          <w:tcPr>
            <w:tcW w:w="1842" w:type="pct"/>
            <w:shd w:val="clear" w:color="auto" w:fill="auto"/>
            <w:tcMar>
              <w:top w:w="15" w:type="dxa"/>
              <w:left w:w="15" w:type="dxa"/>
              <w:bottom w:w="0" w:type="dxa"/>
              <w:right w:w="15" w:type="dxa"/>
            </w:tcMar>
            <w:vAlign w:val="center"/>
          </w:tcPr>
          <w:p w14:paraId="1C2C203F">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022B4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001DB97">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息税前利润</w:t>
            </w:r>
          </w:p>
        </w:tc>
        <w:tc>
          <w:tcPr>
            <w:tcW w:w="1537" w:type="pct"/>
            <w:shd w:val="clear" w:color="auto" w:fill="auto"/>
            <w:tcMar>
              <w:top w:w="15" w:type="dxa"/>
              <w:left w:w="15" w:type="dxa"/>
              <w:bottom w:w="0" w:type="dxa"/>
              <w:right w:w="15" w:type="dxa"/>
            </w:tcMar>
            <w:vAlign w:val="center"/>
          </w:tcPr>
          <w:p w14:paraId="72521D06">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g = a-f</w:t>
            </w:r>
          </w:p>
        </w:tc>
        <w:tc>
          <w:tcPr>
            <w:tcW w:w="1842" w:type="pct"/>
            <w:shd w:val="clear" w:color="auto" w:fill="auto"/>
            <w:tcMar>
              <w:top w:w="15" w:type="dxa"/>
              <w:left w:w="15" w:type="dxa"/>
              <w:bottom w:w="0" w:type="dxa"/>
              <w:right w:w="15" w:type="dxa"/>
            </w:tcMar>
            <w:vAlign w:val="center"/>
          </w:tcPr>
          <w:p w14:paraId="533061F8">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6D8CB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1F95064">
            <w:pPr>
              <w:snapToGrid w:val="0"/>
              <w:spacing w:before="0" w:after="0"/>
              <w:ind w:left="0" w:right="0"/>
              <w:jc w:val="left"/>
              <w:rPr>
                <w:rFonts w:ascii="Arial" w:hAnsi="Arial" w:eastAsia="微软雅黑" w:cs="Arial"/>
                <w:bCs/>
                <w:color w:val="000000"/>
                <w:sz w:val="18"/>
                <w:szCs w:val="18"/>
              </w:rPr>
            </w:pPr>
            <w:r>
              <w:rPr>
                <w:rFonts w:ascii="Arial" w:hAnsi="Arial" w:eastAsia="微软雅黑" w:cs="Arial"/>
                <w:bCs/>
                <w:color w:val="000000"/>
                <w:sz w:val="18"/>
                <w:szCs w:val="18"/>
              </w:rPr>
              <w:t>完全成本加成率</w:t>
            </w:r>
          </w:p>
        </w:tc>
        <w:tc>
          <w:tcPr>
            <w:tcW w:w="1537" w:type="pct"/>
            <w:shd w:val="clear" w:color="auto" w:fill="auto"/>
            <w:tcMar>
              <w:top w:w="15" w:type="dxa"/>
              <w:left w:w="15" w:type="dxa"/>
              <w:bottom w:w="0" w:type="dxa"/>
              <w:right w:w="15" w:type="dxa"/>
            </w:tcMar>
            <w:vAlign w:val="center"/>
          </w:tcPr>
          <w:p w14:paraId="648DE438">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h = g/f</w:t>
            </w:r>
          </w:p>
        </w:tc>
        <w:tc>
          <w:tcPr>
            <w:tcW w:w="1842" w:type="pct"/>
            <w:shd w:val="clear" w:color="auto" w:fill="auto"/>
            <w:tcMar>
              <w:top w:w="15" w:type="dxa"/>
              <w:left w:w="15" w:type="dxa"/>
              <w:bottom w:w="0" w:type="dxa"/>
              <w:right w:w="15" w:type="dxa"/>
            </w:tcMar>
            <w:vAlign w:val="center"/>
          </w:tcPr>
          <w:p w14:paraId="32792BA9">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评估期间，斯必克流体技术未发生重组和无形资产转让的情况，无重大对外投资，也无关联股权转让。企业的经营状况未受到重大影响。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t/>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因此，我们将对斯必克流体技术相关的行业领域，即工业自动化设备制造业，进行分析。分析的具体方面如下：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斯必克流体技术生产公司总部位于美国北卡罗来纳州的夏洛特市，该公司的产品主要集中于在食品、饮料和工业市场的旋转、制动和液压技术以及自动化处理系统。斯必克流体技术生产的主要产品为板式换热器、均质机、泵、搅拌机和阀门以及工艺工程解决方案，因此斯必克流体技术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斯必克流体技术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行业政策描述</w:t>
      </w:r>
      <w:r>
        <w:rPr>
          <w:rStyle w:val="38"/>
          <w:rFonts w:ascii="Arial" w:hAnsi="Arial" w:eastAsia="微软雅黑" w:cs="Arial"/>
          <w:b w:val="0"/>
          <w:i w:val="0"/>
          <w:color w:val="4F81BD"/>
          <w:sz w:val="22"/>
          <w:szCs w:val="22"/>
        </w:rPr>
        <w:footnoteReference w:id="5"/>
        <w:t/>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t/>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根据联合国2024年度《世界经济形势与展望》报告，2023年，一系列相互影响的严重冲击，包括俄乌冲突、巴以色列冲突、美元持续高息以及气候紧急状况等，导致世界经济遭受重创。预计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t/>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2024年全球制造业PMI均值为49.3%，较2023年均值上升0.8个百分点。2024年制造业整体增长水平要好于2023年，全球经济保持平稳恢复态势。指数均值水平仍低于50%，意味着全球经济恢复的推动力仍显不足。从各季走势看，全球经济恢复呈现前高后低走势。2024年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t/>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根据MIR DATABANK，2023年我国工业自动化市场规模近 3000 亿元，同比下降 1.7%。另一方面，2024年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t/>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斯必克流体技术主要下游产业为乳制品行业和工业行业，因此斯必克流体技术受到乳制品行业和工业行业的影响较大。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2024年12月中国乳制品产量为267万吨，同比增长4.4%；2024年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t/>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2024年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t/>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斯必克流体技术所处的工业自动化制造行业在结束下探走势，开始稳步回升。斯必克流体技术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综上所述，斯必克流体技术容易受到下游行业发展情况影响，面临的市场竞争非常激烈。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t/>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斯必克流体技术2024年度主要关联方的基本信息如下所示：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1）斯必克流体技术的母公司情况：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t/>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2）斯必克流体技术的其他关联方情况如下：</w:t>
      </w:r>
      <w:r>
        <w:rPr>
          <w:rStyle w:val="38"/>
          <w:rFonts w:ascii="Arial" w:hAnsi="Arial" w:eastAsia="微软雅黑" w:cs="Arial"/>
          <w:sz w:val="22"/>
          <w:szCs w:val="22"/>
        </w:rPr>
        <w:footnoteReference w:id="14"/>
        <w:t/>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在2024年度，没有个人关联方直接或间接持有斯必克流体技术的股份（如:个人持有最终母公司超过25%的股份）或与斯必克流体技术发生关联交易。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评估期间，斯必克流体技术涉及的关联交易包括有形资产的采购及销售；接受及提供关联劳务；以及参与集团现金池协议。主要关联交易金额及类型如下图所示：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t/>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关联交易类型</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境外交易金额</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A</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境内交易金额</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B</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交易总额</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C=A+B</w:t>
            </w:r>
          </w:p>
        </w:tc>
      </w:tr>
      <w:tr w14:paraId="3026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0E4206F2">
            <w:pPr>
              <w:snapToGrid w:val="0"/>
              <w:spacing w:before="0" w:after="0"/>
              <w:ind w:left="0" w:right="0"/>
              <w:jc w:val="center"/>
              <w:rPr>
                <w:rFonts w:ascii="Arial" w:hAnsi="Arial" w:eastAsia="微软雅黑" w:cs="Arial"/>
                <w:b w:val="0"/>
                <w:bCs w:val="0"/>
                <w:sz w:val="18"/>
                <w:szCs w:val="18"/>
              </w:rPr>
            </w:pPr>
            <w:r>
              <w:rPr>
                <w:rFonts w:hint="eastAsia" w:ascii="Arial" w:hAnsi="Arial" w:eastAsia="微软雅黑" w:cs="Arial"/>
                <w:b w:val="0"/>
                <w:bCs/>
                <w:sz w:val="18"/>
                <w:szCs w:val="18"/>
              </w:rPr>
              <w:t>关联采购</w:t>
            </w:r>
          </w:p>
        </w:tc>
        <w:tc>
          <w:tcPr>
            <w:tcW w:w="1255" w:type="pct"/>
            <w:shd w:val="clear" w:color="auto" w:fill="auto"/>
            <w:vAlign w:val="center"/>
          </w:tcPr>
          <w:p w14:paraId="16113CC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2E5516A7">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{{清单模板-主要产品-A列中所列所有产品}}</w:t>
            </w:r>
            <w:r>
              <w:rPr>
                <w:rFonts w:ascii="Arial" w:hAnsi="Arial" w:eastAsia="微软雅黑" w:cs="Arial"/>
                <w:sz w:val="18"/>
                <w:szCs w:val="18"/>
              </w:rPr>
              <w:t/>
            </w:r>
          </w:p>
        </w:tc>
        <w:tc>
          <w:tcPr>
            <w:tcW w:w="2095" w:type="dxa"/>
            <w:shd w:val="clear" w:color="auto" w:fill="auto"/>
            <w:vAlign w:val="center"/>
          </w:tcPr>
          <w:p w14:paraId="1152CA4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35E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5CE58C77">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关联销售</w:t>
            </w:r>
          </w:p>
        </w:tc>
        <w:tc>
          <w:tcPr>
            <w:tcW w:w="1255" w:type="pct"/>
            <w:shd w:val="clear" w:color="auto" w:fill="auto"/>
            <w:vAlign w:val="center"/>
          </w:tcPr>
          <w:p w14:paraId="6D4A8D64">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01F1F3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{{清单模板-主要产品-A列中所列所有产品}}</w:t>
            </w:r>
            <w:r>
              <w:rPr>
                <w:rFonts w:ascii="Arial" w:hAnsi="Arial" w:eastAsia="微软雅黑" w:cs="Arial"/>
                <w:sz w:val="18"/>
                <w:szCs w:val="18"/>
              </w:rPr>
              <w:t/>
            </w:r>
          </w:p>
        </w:tc>
        <w:tc>
          <w:tcPr>
            <w:tcW w:w="2095" w:type="dxa"/>
            <w:shd w:val="clear" w:color="auto" w:fill="auto"/>
            <w:vAlign w:val="center"/>
          </w:tcPr>
          <w:p w14:paraId="24FCDAB2">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04D9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2F2494B9">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接受关联劳务</w:t>
            </w:r>
          </w:p>
        </w:tc>
        <w:tc>
          <w:tcPr>
            <w:tcW w:w="1255" w:type="pct"/>
            <w:shd w:val="clear" w:color="auto" w:fill="auto"/>
            <w:vAlign w:val="center"/>
          </w:tcPr>
          <w:p w14:paraId="296A56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F97592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1C44576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522C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3A0A5C20">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val="0"/>
                <w:bCs w:val="0"/>
                <w:sz w:val="18"/>
                <w:szCs w:val="18"/>
              </w:rPr>
              <w:t>提供关联劳务</w:t>
            </w:r>
          </w:p>
        </w:tc>
        <w:tc>
          <w:tcPr>
            <w:tcW w:w="1255" w:type="pct"/>
            <w:shd w:val="clear" w:color="auto" w:fill="auto"/>
            <w:vAlign w:val="center"/>
          </w:tcPr>
          <w:p w14:paraId="3A7D183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C16884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{{清单模板-主要产品-A列中所列所有产品}}</w:t>
            </w:r>
            <w:r>
              <w:rPr>
                <w:rFonts w:ascii="Arial" w:hAnsi="Arial" w:eastAsia="微软雅黑" w:cs="Arial"/>
                <w:sz w:val="18"/>
                <w:szCs w:val="18"/>
              </w:rPr>
              <w:t/>
            </w:r>
          </w:p>
        </w:tc>
        <w:tc>
          <w:tcPr>
            <w:tcW w:w="2095" w:type="dxa"/>
            <w:shd w:val="clear" w:color="auto" w:fill="auto"/>
            <w:vAlign w:val="center"/>
          </w:tcPr>
          <w:p w14:paraId="3776587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1DD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196508E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资金融通利息收入</w:t>
            </w:r>
            <w:r>
              <w:rPr>
                <w:rFonts w:hint="eastAsia" w:ascii="Arial" w:hAnsi="Arial" w:eastAsia="微软雅黑" w:cs="Arial"/>
                <w:b w:val="0"/>
                <w:bCs/>
                <w:sz w:val="18"/>
                <w:szCs w:val="18"/>
              </w:rPr>
              <w:t/>
            </w:r>
            <w:r>
              <w:rPr>
                <w:rFonts w:ascii="Arial" w:hAnsi="Arial" w:eastAsia="微软雅黑" w:cs="Arial"/>
                <w:b w:val="0"/>
                <w:bCs/>
                <w:sz w:val="18"/>
                <w:szCs w:val="18"/>
              </w:rPr>
              <w:t/>
            </w:r>
          </w:p>
        </w:tc>
        <w:tc>
          <w:tcPr>
            <w:tcW w:w="1255" w:type="pct"/>
            <w:shd w:val="clear" w:color="auto" w:fill="auto"/>
            <w:vAlign w:val="center"/>
          </w:tcPr>
          <w:p w14:paraId="541473A4">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{{清单模板-主要产品-A列中所列所有产品}}</w:t>
            </w:r>
            <w:r>
              <w:rPr>
                <w:rFonts w:ascii="Arial" w:hAnsi="Arial" w:eastAsia="微软雅黑" w:cs="Arial"/>
                <w:sz w:val="18"/>
                <w:szCs w:val="18"/>
              </w:rPr>
              <w:t/>
            </w:r>
          </w:p>
        </w:tc>
        <w:tc>
          <w:tcPr>
            <w:tcW w:w="1171" w:type="pct"/>
            <w:shd w:val="clear" w:color="auto" w:fill="auto"/>
            <w:vAlign w:val="center"/>
          </w:tcPr>
          <w:p w14:paraId="2FA54A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7339F79D">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4167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6E4626D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bCs/>
                <w:sz w:val="18"/>
                <w:szCs w:val="18"/>
              </w:rPr>
              <w:t>总计</w:t>
            </w:r>
          </w:p>
        </w:tc>
        <w:tc>
          <w:tcPr>
            <w:tcW w:w="1255" w:type="pct"/>
            <w:shd w:val="clear" w:color="auto" w:fill="auto"/>
            <w:vAlign w:val="center"/>
          </w:tcPr>
          <w:p w14:paraId="144E20DE">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171" w:type="pct"/>
            <w:shd w:val="clear" w:color="auto" w:fill="auto"/>
            <w:vAlign w:val="center"/>
          </w:tcPr>
          <w:p w14:paraId="144F8ED6">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236" w:type="pct"/>
            <w:shd w:val="clear" w:color="auto" w:fill="auto"/>
            <w:vAlign w:val="center"/>
          </w:tcPr>
          <w:p w14:paraId="4B276555">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斯必克流体技术的关联购销流程如下图所示：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t/>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图表10：2024年度关联采购交易明细表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境外采购</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4.17%</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Danmark A/S </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{{清单模板-2_关联公司信息}}</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2.63%</w:t>
            </w:r>
          </w:p>
        </w:tc>
      </w:tr>
      <w:tr w14:paraId="2D53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B8BB313">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6961BF95">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Santorso s.r.l.</w:t>
            </w:r>
          </w:p>
        </w:tc>
        <w:tc>
          <w:tcPr>
            <w:tcW w:w="1985" w:type="dxa"/>
            <w:shd w:val="clear" w:color="auto" w:fill="auto"/>
            <w:vAlign w:val="center"/>
          </w:tcPr>
          <w:p w14:paraId="65FFB5A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1DE9CC6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2.38%</w:t>
            </w:r>
          </w:p>
        </w:tc>
      </w:tr>
      <w:tr w14:paraId="75A4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9E653C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429ABF9">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US,LLC </w:t>
            </w:r>
          </w:p>
        </w:tc>
        <w:tc>
          <w:tcPr>
            <w:tcW w:w="1985" w:type="dxa"/>
            <w:shd w:val="clear" w:color="auto" w:fill="auto"/>
            <w:vAlign w:val="center"/>
          </w:tcPr>
          <w:p w14:paraId="0DB75AC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4E217C2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1.25%</w:t>
            </w:r>
          </w:p>
        </w:tc>
      </w:tr>
      <w:tr w14:paraId="3028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461E0954">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958BEC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Germany GmbH </w:t>
            </w:r>
          </w:p>
        </w:tc>
        <w:tc>
          <w:tcPr>
            <w:tcW w:w="1985" w:type="dxa"/>
            <w:shd w:val="clear" w:color="auto" w:fill="auto"/>
            <w:vAlign w:val="center"/>
          </w:tcPr>
          <w:p w14:paraId="2C9C65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06EC3E8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0.87%</w:t>
            </w:r>
          </w:p>
        </w:tc>
      </w:tr>
      <w:tr w14:paraId="3735B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16C1FB7D">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AD99C7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7954419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30653F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0.95%</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境外采购合计</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{{清单模板-2_关联公司信息}}</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12.25%</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关联采购总计</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{{清单模板-2_关联公司信息}}</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{{清单模板-2_关联公司信息}}</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评估期间，斯必克流体技术关联销售的关联方和交易金额如下表所示：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境外销售</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Singapore Pte. Ltd. </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3.95%</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3.67%</w:t>
            </w:r>
          </w:p>
        </w:tc>
      </w:tr>
      <w:tr w14:paraId="525B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B3F515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7211BB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985" w:type="dxa"/>
            <w:shd w:val="clear" w:color="auto" w:fill="auto"/>
            <w:vAlign w:val="center"/>
          </w:tcPr>
          <w:p w14:paraId="1C31783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30DE11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3.54%</w:t>
            </w:r>
          </w:p>
        </w:tc>
      </w:tr>
      <w:tr w14:paraId="235E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7DE41DB">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149133B8">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Japan,Inc.</w:t>
            </w:r>
          </w:p>
        </w:tc>
        <w:tc>
          <w:tcPr>
            <w:tcW w:w="1985" w:type="dxa"/>
            <w:shd w:val="clear" w:color="auto" w:fill="auto"/>
            <w:vAlign w:val="center"/>
          </w:tcPr>
          <w:p w14:paraId="2179E66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{{清单模板-关联方个人信息}}</w:t>
            </w:r>
          </w:p>
        </w:tc>
        <w:tc>
          <w:tcPr>
            <w:tcW w:w="1848" w:type="dxa"/>
            <w:shd w:val="clear" w:color="auto" w:fill="auto"/>
            <w:vAlign w:val="center"/>
          </w:tcPr>
          <w:p w14:paraId="5C898923">
            <w:pPr>
              <w:autoSpaceDE w:val="0"/>
              <w:autoSpaceDN w:val="0"/>
              <w:adjustRightInd w:val="0"/>
              <w:snapToGrid w:val="0"/>
              <w:spacing w:before="0" w:after="0"/>
              <w:ind w:left="0" w:right="0"/>
              <w:jc w:val="right"/>
              <w:rPr>
                <w:rFonts w:ascii="Arial" w:hAnsi="Arial" w:eastAsia="宋体" w:cs="Arial"/>
                <w:color w:val="000000"/>
                <w:sz w:val="18"/>
                <w:szCs w:val="18"/>
              </w:rPr>
            </w:pPr>
            <w:r>
              <w:rPr>
                <w:rFonts w:hint="eastAsia" w:ascii="Arial" w:hAnsi="Arial" w:eastAsia="宋体" w:cs="Arial"/>
                <w:color w:val="000000"/>
                <w:sz w:val="18"/>
                <w:szCs w:val="18"/>
              </w:rPr>
              <w:t>3.49%</w:t>
            </w:r>
          </w:p>
        </w:tc>
      </w:tr>
      <w:tr w14:paraId="33CD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9694222">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61AC14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(India) Private Ltd </w:t>
            </w:r>
          </w:p>
        </w:tc>
        <w:tc>
          <w:tcPr>
            <w:tcW w:w="1985" w:type="dxa"/>
            <w:shd w:val="clear" w:color="auto" w:fill="auto"/>
            <w:vAlign w:val="center"/>
          </w:tcPr>
          <w:p w14:paraId="6B74CF9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7B4C28F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1.82%</w:t>
            </w:r>
          </w:p>
        </w:tc>
      </w:tr>
      <w:tr w14:paraId="4358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567B740">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76EDB81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18BC19C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0335D5D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8.12%</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境外销售合计</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{{清单模板-关联方个人信息}}</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24.59%</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关联销售总计</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{{清单模板-关联方个人信息}}</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{{清单模板-关联方个人信息}}</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在向关联方客户销售产品时不进行营销活动，销售价格的定价方式为根据标准成本加成一定比例。在第三方销售中，斯必克流体技术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已经加入斯必克中国投资设立的服务共享中心，接受斯必克中国投资提供的相关劳务，包括：人力资源管理服务、财务经济管理服务、内部数据分析和信息系统服务。此外，斯必克流体技术还接受SPX Flow, Inc.等关联公司提供的支持性服务和终端市场服务等。评估期间，斯必克流体技术向斯必克中国投资以及SPX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在2024财年，斯必克流体技术还向境外关联方提供工程设计、设备调试等劳务服务，共收取服务费人民币5,726,497.38元，仅占营业收入的0.40%。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t/>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图表13：2024年度接受关联劳务明细表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{{清单模板-关联关系变化情况}}</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{{清单模板-关联关系变化情况}}</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{{清单模板-关联关系变化情况}}</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图表14：2024年度提供关联劳务明细表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{{模板清单-关联交易汇总表}}</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{{模板清单-关联交易汇总表}}</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{{模板清单-关联交易汇总表}}</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{{模板清单-关联交易汇总表}}</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{{模板清单-关联交易汇总表}}</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{{模板清单-关联交易汇总表}}</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{{模板清单-关联交易汇总表}}</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{{模板清单-关联交易汇总表}}</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{{模板清单-关联交易汇总表}}</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流体技术加入斯必克中国投资设立的服务共享中心，接受斯必克中国投资提供的人力资源管理服务、财务经济管理服务、内部数据分析和信息系统服务。作为相关服务的接受方和受益方，斯必克流体技术从上述服务中获益或预期获益，因此，斯必克流体技术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以下将对斯必克流体技术从斯必克中国投资和SPX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Inc.以其现有的成熟团队的技能和经验向斯必克流体技术提供上述人力资源管理服务、财务经济管理服务、内部数据分析服务、信息系统服务、支持性服务以及终端市场服务。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人力资源管理服务可以更好地降低斯必克流体技术的用人成本，集中员工的专业度，为企业做好人员管理和薪酬规划，提高企业的核心竞争力以及为企业未来的发展做好准备。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斯必克流体技术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斯必克流体技术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支持性服务对斯必克流体技术的日常运营起到了辅助作用，维持与保障企业的稳定。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终端市场服务为斯必克流体技术在越发重要的终端市场提供了保障，从而对企业的销售和运营起到了积极的推动作用。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斯必克流体技术的整体发展和稳定起到了至关重要的作用。斯必克流体技术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Flow,Inc提供上述服务的成本由斯必克流体技术与关联方共同分担，因此可以实现集团的效率最大化。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综上所述，可以认为斯必克流体技术向斯必克中国投资等关联方支付其提供劳务相关的服务费用是必要的、合理的。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t/>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接受关联方提供的劳务服务，根据斯必克流体技术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根据斯必克流体技术与SPX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为充分利用各公司闲置资金，提高资金的使用效率，斯必克流体技术与斯必克集团在中国境内的关联公司通过商业银行进行现金池业务。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2024年现金池业务通过招商银行股份有限公司上海市淮海支行进行。以委托存款形式存放在该现金池的资金，年利率为浮动利率；以委托贷款形式向现金池借入的资金，年利率为0.50%。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斯必克流体技术原则上根据实际情况在不同的交易类型中归集、划分成本和费用，对于不能按照实际情况划分的成本和费用，斯必克流体技术按照合理比例进行划分。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t/>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的主要关联交易是从关联方采购和销售货物。斯必克流体技术向关联方进行采购，金额为人民币108,545,585.51元。收入端，斯必克流体技术向关联方销售加工后的成品，同时，斯必克流体技术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同时，本报告通过对现金池协议中利率水平进行高阶分析，来分析集团间的资金融通行为是否符合独立交易原则。</w:t>
      </w:r>
      <w:r>
        <w:rPr>
          <w:rFonts w:ascii="Arial" w:hAnsi="Arial" w:eastAsia="微软雅黑" w:cs="Arial"/>
          <w:sz w:val="22"/>
          <w:szCs w:val="22"/>
        </w:rPr>
        <w:br w:type="page"/>
        <w:t/>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在本报告的功能和风险分析部分，我们将对斯必克流体技术在受测关联交易中与其关联方之间形成的经济关系进行分析和评估。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此处我们将主要分析斯必克流体技术及其关联企业各个业务部门在关联交易中所从事的业务活动，以及关联交易的各个参与方所执行的功能。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执行斯必克产品的本地化技术改良及产品设计功能，如对从国外关联方处转移到斯必克流体技术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斯必克流体技术的工程部主要负责工艺工程解决方案的设计，具体流程为：斯必克流体技术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评估期间，针对第三方销售的交易，斯必克流体技术承担产品的工程设计功能；而在境外关联销售交易中，斯必克流体技术仅负责所生产设备的部分工程设计，而境外关联方负责完整设备生产线的工程设计。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因此，评估期间，斯必克流体技术与其关联方共同执行研发功能：在第三方销售中，执行正常的研发功能；在关联销售中，执行有限的研发功能。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生产的原材料大部分向境内外第三方供应商采购，小部分从关联公司采购。评估期间，关联方采购额约占主营业务成本的12.25%。在首次选择第三方供应商时，斯必克流体技术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斯必克流体技术的采购部会决定是否最终采用该供应商。在对采购价格进行谈判时，斯必克流体技术会向集团总部报价，在得到其初步确认后，再由斯必克流体技术和供应商确定最终价格，发出采购订单。在供应商选择过程中，斯必克流体技术主要对各供应商提供的产品价格、质量和发货期进行比较。此外，斯必克流体技术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根据实际订单安排生产计划，会根据生产计划预测对备料的需求量。评估期间，斯必克流体技术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斯必克流体技术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斯必克流体技术根据该质量要求以及国家标准在斯必克流体技术的日常生产过程执行并进行相关检测。斯必克流体技术在产成品质量控制工作中负责使用专业检测设备对所生产的产成品进行测试，以检查外观是否渗漏；斯必克流体技术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技术拥有自己的仓库用于存货，主要存放原材料和零部件。在客户成功验收之前，斯必克流体技术持有产品的所有权。因此，斯必克流体技术持有一定量的存货。同时，斯必克流体技术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评估期间，在斯必克流体技术销售产成品给境内外关联企业的交易中，由关联企业负责与最终第三方客户的联系和相关市场开拓及广告营销工作。斯必克流体技术仅负责从关联企业接到订单后组织生产。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在斯必克流体技术销售产品给境内第三方客户的交易中，斯必克流体技术负责开展市场开拓及广告营销，包括参加同行业内的相关展会，在专业杂志上刊登广告等。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因此，斯必克流体技术执行有限的市场营销功能。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评估期间，在斯必克流体技术销售产品给境内外关联企业的交易中，由关联企业的销售团队负责对第三方客户的销售活动。斯必克流体技术的销售团队仅负责与关联企业间的订单联络。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对国内销售的产品和提供的专业工程服务，负责处理相关客户投诉，协助客户解决产品使用过程中的问题，如有必要斯必克流体技术会派专人上门维修。其中产品卖出一年半内发生投诉的全部成本由斯必克流体技术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对于向境外关联方销售的产品，斯必克流体技术不承担相关的售后维修等服务，相关功能由境外关联公司负责。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因此，斯必克流体技术执行有限的售后服务功能。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评估期间，对于销售产品给境内外关联企业的交易，由关联企业承担对第三方客户的付款请求和回收功能。对于斯必克流体技术直接销售给境内第三方客户的交易，斯必克流体技术承担付款请求和回收功能。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自行承担主要的经营管理以及一般管理功能。日常管理工作，包括监督生产运转、保存会计记录、进行税务申报、准备财务报告、遵循政府规定等，均由斯必克流体技术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斯必克流体技术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评估期间，斯必克流体技术执行斯必克产品的本地化技术改良及产品设计功能，并承担相应设计投入。斯必克流体技术承担有限的研发风险。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斯必克流体技术的关联销售交易，斯必克流体技术销售给关联方的价格为在标准成本上加成一定比例。当由于行业或市场因素而导致产品需求减少或产品价格发生波动时，关联方订单会随着终端客户订单的减少而减少。因此，斯必克流体技术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对于斯必克流体技术的第三方销售交易，斯必克流体技术承担因市场需求不足、产品销量变化而导致的市场风险；斯必克流体技术亦承担因市场价格波动导致的市场风险。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斯必克流体技术每季度会针对该波动调整标准成本，而销售给关联方的价格是在标准成本的基础上加成一定的比例。因此，斯必克流体技术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对于向境内第三方客户销售产品的交易，销售价格根据市场价格制定，斯必克流体技术承担生产成本变动风险。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斯必克流体技术已备货的情况下，存货只能滞留于仓库，相应的仓储费用由斯必克流体技术承担。在客户取消订单的情况下，斯必克流体技术会首先和关联供应商协商，如未果，则斯必克流体技术需自行与上游供应商进行协商。如果供应商同意取消采购订单，则斯必克流体技术无需承担相应损失，相反，如果供应商不同意取消采购订单，斯必克流体技术则将采购的原材料用于其他项目上；如已生产完毕，可能会将产成品拆散，重新变回原材料，由此产生的存货风险仍需由斯必克流体技术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斯必克流体技术自行完成，因此斯必克流体技术需承担由于生产环节问题造成的产品质量保证风险。在实际运营中，斯必克流体技术提供的产品或在向第三方客户所提供的流水线设计及安装过程中如出现质量问题，所发生的客户索赔等质保和产品责任风险均由斯必克流体技术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斯必克流体技术的关联销售交易中，不论关联方是否从最终客户收到款项，都会按期向斯必克流体技术付款。因此，关联方承担债权回收风险，斯必克流体技术不承担债权回收风险。在斯必克流体技术与第三方销售交易中，斯必克流体技术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评估期间，斯必克流体技术和境外关联公司的采购和销售交易通常以美元结算，其中关联销售价格为标准成本加成一定比例，且每季度会对标准成本进行调整，因此斯必克流体技术承担部分汇率风险。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本节描述了评估期间，斯必克流体技术及其关联企业在受测关联交易中所使用的资产。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斯必克流体技术拥有生产所需的厂房和设备等有形资产所有权。与同行业的其他公司相比，斯必克流体技术拥有的有形资产水平没有显着差异。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斯必克流体技术不拥有由其境外关联方创造的非常规制造类无形资产，但在评估期间，斯必克流体技术执行斯必克产品的本地化技术改良及产品设计，并拥有与产品本地化相关的技术。此外，斯必克流体技术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评估期间，斯必克流体技术并不拥有非常规营销类无形资产。评估期间，斯必克流体技术在第三方销售中会发生广告营销费用但金额非常小，在关联方销售中未发生广告营销费用。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评估期间，斯必克流体技术承担的主要功能和风险，以及拥有的资产总结如下：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主要承担有限的研发功能、采购功能、生产功能、质量控制功能、存货管理功能以及一般行政管理功能；相比关联销售，斯必克流体技术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斯必克流体技术主要承担有限的市场风险、有限的研发风险、有限的生产风险、有限的存货风险、产品责任风险以及汇率风险；从功能和风险分析应归类为承担一定风险的生产制造商。相比关联销售，斯必克流体技术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斯必克流体技术不拥有非常规营销类无形资产和由其境外关联方创造的非常规制造类无形资产的所有权，但评估期间，斯必克流体技术执行斯必克产品的本地化技术改良及产品设计，并拥有与产品本地化相关的技术。斯必克流体技术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评估期间，斯必克流体集团的价值链以及斯必克流体技术在其中所处的位置如下图所示：</w:t>
      </w:r>
      <w:r>
        <w:rPr>
          <w:rStyle w:val="38"/>
          <w:rFonts w:ascii="Arial" w:hAnsi="Arial" w:eastAsia="微软雅黑" w:cs="Arial"/>
          <w:sz w:val="22"/>
          <w:szCs w:val="22"/>
        </w:rPr>
        <w:footnoteReference w:id="19"/>
        <w:t/>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斯必克流体技术承担的功能以及风险，斯必克流体技术在集团价值链中主要针对中国市场承担生产、销售、部分研发的职能，是集团整体业务链条整体的常规组成部分；境外关联供应商为斯必克流体技术提供生产所需的关键原材料和核心技术，是构成斯必克流体技术产品特性的关键组成部分；斯必克流体技术的下游关联制造商或分销商采购斯必克流体技术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t/>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t/>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截至2025年1月1日，第一档月最低工资标准超过2000元省市共有29个，分别是上海、江苏、浙江、北京、深圳、重庆、四川、天津、广东、内蒙古等。其中，上海最高为2690元，江苏、浙江2490元并列第二，北京2420元位列第三。2015年到2024年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t/>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图表17：2015年到2024年城镇私营单位就业人员平均工资及增速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t/>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图表18：2015年到2024年城镇非私营单位就业人员平均工资及增速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t/>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2024年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因此，随着劳动力成本逐年上升，斯必克流体技术并没有从劳动力成本中受益。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t/>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斯必克流体技术为客户提供量身定制的整体解决方案，并且国内和国外市场对产品的要求也不相同。斯必克流体技术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斯必克流体技术不仅要与跨国企业的中国子公司竞争，还要面临来自快速发展的本土竞争对手的挑战。因此，斯必克流体技术的设备类产品面临着激烈的市场竞争。此外，由于斯必克流体技术最主要的收入来自于大型成套设备的销售，而国内市场上有如此规模需求的客户数量并不多，客户具有很高的议价能力，因此并没有明显的证据表明斯必克流体技术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在本报告编制时，尚无法获得相关价值链参与方2024财务年度的财务报表。如有要求，可在本公司征求关联方同意之后提供该数据。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t/>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斯必克流体技术与关联方和非关联方签订合同的合同标的、合同条款、交易数量有明显差异，无法获得可辨认的内部可比交易或外部可比交易的价格作为关联交易的独立交易价格。因此，对于斯必克流体技术，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由于该方法对外部可比交易成本数据的可比性要求较高。因此，对于斯必克流体技术，该方法不适用。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斯必克流体技术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利润分割法为根据企业与其关联方对关联交易合并利润的贡献计算各自应该分配的利润额，适用于关联交易双方高度整合的情形。由于斯必克流体技术的与关联方间并非高度整合，因此该方法不适用。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斯必克流体技术主要承担有限的研发功能、采购功能、生产功能、质量控制功能、存货管理功能以及一般行政管理功能；斯必克流体技术主要承担有限的市场风险、有限的研发风险、有限的生产风险、有限的存货风险、产品责任风险以及汇率风险。斯必克流体技术的关联企业主要负责有限的采购功能、研发功能、生产功能、质量控制功能、存货管理、工程设计功能、市场营销与销售功能、售后服务功能、付款请求和回收功能以及一般行政管理功能；斯必克流体技术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斯必克流体技术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综上所述，我们选择斯必克流体技术作为受测关联交易的验证对象。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t/>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斯必克流体技术作为受测关联交易的验证对象，鉴于斯必克流体技术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图表20：斯必克流体技术2024年度财务数据</w:t>
      </w:r>
      <w:r>
        <w:rPr>
          <w:rStyle w:val="38"/>
          <w:rFonts w:ascii="Arial" w:hAnsi="Arial" w:eastAsia="微软雅黑" w:cs="Arial"/>
          <w:bCs w:val="0"/>
          <w:sz w:val="18"/>
          <w:szCs w:val="18"/>
        </w:rPr>
        <w:footnoteReference w:id="28"/>
        <w:t/>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关联销售</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非关联销售</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r w14:paraId="7F6F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tcBorders>
              <w:top w:val="single" w:color="auto" w:sz="4" w:space="0"/>
            </w:tcBorders>
            <w:shd w:val="clear" w:color="auto" w:fill="auto"/>
            <w:vAlign w:val="center"/>
          </w:tcPr>
          <w:p w14:paraId="03C03B88">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主营业务收入</w:t>
            </w:r>
          </w:p>
        </w:tc>
        <w:tc>
          <w:tcPr>
            <w:tcW w:w="1417" w:type="dxa"/>
            <w:tcBorders>
              <w:top w:val="single" w:color="auto" w:sz="4" w:space="0"/>
            </w:tcBorders>
            <w:shd w:val="clear" w:color="auto" w:fill="auto"/>
            <w:vAlign w:val="center"/>
          </w:tcPr>
          <w:p w14:paraId="00B88DC7">
            <w:pPr>
              <w:snapToGrid w:val="0"/>
              <w:spacing w:before="60" w:after="60"/>
              <w:jc w:val="center"/>
              <w:rPr>
                <w:rFonts w:ascii="Arial" w:hAnsi="Arial" w:eastAsia="微软雅黑" w:cs="Arial"/>
                <w:b/>
                <w:sz w:val="18"/>
                <w:szCs w:val="18"/>
              </w:rPr>
            </w:pPr>
            <w:r>
              <w:rPr>
                <w:rFonts w:ascii="Arial" w:hAnsi="Arial" w:eastAsia="微软雅黑" w:cs="Arial"/>
                <w:color w:val="000000"/>
                <w:sz w:val="18"/>
                <w:szCs w:val="18"/>
              </w:rPr>
              <w:t>a</w:t>
            </w:r>
          </w:p>
        </w:tc>
        <w:tc>
          <w:tcPr>
            <w:tcW w:w="1985" w:type="dxa"/>
            <w:tcBorders>
              <w:top w:val="single" w:color="auto" w:sz="4" w:space="0"/>
            </w:tcBorders>
            <w:shd w:val="clear" w:color="auto" w:fill="auto"/>
            <w:vAlign w:val="center"/>
          </w:tcPr>
          <w:p w14:paraId="4323B5B4">
            <w:pPr>
              <w:snapToGrid w:val="0"/>
              <w:spacing w:before="60" w:after="60"/>
              <w:jc w:val="right"/>
              <w:rPr>
                <w:rFonts w:ascii="Arial" w:hAnsi="Arial" w:cs="Arial"/>
                <w:sz w:val="18"/>
                <w:szCs w:val="18"/>
              </w:rPr>
            </w:pPr>
            <w:r>
              <w:rPr>
                <w:rFonts w:hint="eastAsia" w:ascii="Arial" w:hAnsi="Arial" w:cs="Arial"/>
                <w:sz w:val="18"/>
                <w:szCs w:val="18"/>
              </w:rPr>
              <w:t xml:space="preserve">{{清单模板-5_客户清单}}</w:t>
            </w:r>
          </w:p>
        </w:tc>
        <w:tc>
          <w:tcPr>
            <w:tcW w:w="1984" w:type="dxa"/>
            <w:tcBorders>
              <w:top w:val="single" w:color="auto" w:sz="4" w:space="0"/>
            </w:tcBorders>
            <w:shd w:val="clear" w:color="auto" w:fill="auto"/>
            <w:vAlign w:val="center"/>
          </w:tcPr>
          <w:p w14:paraId="4BFE8CE3">
            <w:pPr>
              <w:snapToGrid w:val="0"/>
              <w:spacing w:before="60" w:after="60"/>
              <w:jc w:val="right"/>
              <w:rPr>
                <w:rFonts w:ascii="Arial" w:hAnsi="Arial" w:cs="Arial"/>
                <w:sz w:val="18"/>
                <w:szCs w:val="18"/>
              </w:rPr>
            </w:pPr>
            <w:r>
              <w:rPr>
                <w:rFonts w:hint="eastAsia" w:ascii="Arial" w:hAnsi="Arial" w:cs="Arial"/>
                <w:sz w:val="18"/>
                <w:szCs w:val="18"/>
              </w:rPr>
              <w:t xml:space="preserve">{{清单模板-5_客户清单}}</w:t>
            </w:r>
          </w:p>
        </w:tc>
      </w:tr>
      <w:tr w14:paraId="0C39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DEEC11F">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减：主营业务成本</w:t>
            </w:r>
            <w:r>
              <w:rPr>
                <w:rFonts w:ascii="Arial" w:hAnsi="Arial" w:eastAsia="微软雅黑" w:cs="Arial"/>
                <w:b w:val="0"/>
                <w:bCs/>
                <w:color w:val="000000"/>
                <w:sz w:val="18"/>
                <w:szCs w:val="18"/>
              </w:rPr>
              <w:t/>
            </w:r>
          </w:p>
        </w:tc>
        <w:tc>
          <w:tcPr>
            <w:tcW w:w="1417" w:type="dxa"/>
            <w:shd w:val="clear" w:color="auto" w:fill="auto"/>
            <w:vAlign w:val="center"/>
          </w:tcPr>
          <w:p w14:paraId="4B73CE27">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b</w:t>
            </w:r>
          </w:p>
        </w:tc>
        <w:tc>
          <w:tcPr>
            <w:tcW w:w="1985" w:type="dxa"/>
            <w:shd w:val="clear" w:color="auto" w:fill="auto"/>
            <w:vAlign w:val="center"/>
          </w:tcPr>
          <w:p w14:paraId="34B88CC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{{清单模板-5_客户清单}}</w:t>
            </w:r>
          </w:p>
        </w:tc>
        <w:tc>
          <w:tcPr>
            <w:tcW w:w="1984" w:type="dxa"/>
            <w:shd w:val="clear" w:color="auto" w:fill="auto"/>
            <w:vAlign w:val="center"/>
          </w:tcPr>
          <w:p w14:paraId="26FE7E20">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35F7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0CC3809F">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主营业务税金及附加</w:t>
            </w:r>
          </w:p>
        </w:tc>
        <w:tc>
          <w:tcPr>
            <w:tcW w:w="1417" w:type="dxa"/>
            <w:shd w:val="clear" w:color="auto" w:fill="auto"/>
            <w:vAlign w:val="center"/>
          </w:tcPr>
          <w:p w14:paraId="4329FDF2">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c</w:t>
            </w:r>
          </w:p>
        </w:tc>
        <w:tc>
          <w:tcPr>
            <w:tcW w:w="1985" w:type="dxa"/>
            <w:shd w:val="clear" w:color="auto" w:fill="auto"/>
            <w:vAlign w:val="center"/>
          </w:tcPr>
          <w:p w14:paraId="3D0010DE">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r>
              <w:rPr>
                <w:rFonts w:hint="eastAsia" w:ascii="Arial" w:hAnsi="Arial" w:cs="Arial"/>
                <w:sz w:val="18"/>
                <w:szCs w:val="18"/>
              </w:rPr>
              <w:t/>
            </w:r>
            <w:r>
              <w:rPr>
                <w:rFonts w:ascii="Arial" w:hAnsi="Arial" w:cs="Arial"/>
                <w:sz w:val="18"/>
                <w:szCs w:val="18"/>
              </w:rPr>
              <w:t/>
            </w:r>
          </w:p>
        </w:tc>
        <w:tc>
          <w:tcPr>
            <w:tcW w:w="1984" w:type="dxa"/>
            <w:shd w:val="clear" w:color="auto" w:fill="auto"/>
            <w:vAlign w:val="center"/>
          </w:tcPr>
          <w:p w14:paraId="4693FA53">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3BCA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66C570BE">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主营业务利润</w:t>
            </w:r>
          </w:p>
        </w:tc>
        <w:tc>
          <w:tcPr>
            <w:tcW w:w="0" w:type="dxa"/>
            <w:shd w:val="clear" w:color="auto" w:fill="auto"/>
            <w:vAlign w:val="center"/>
          </w:tcPr>
          <w:p w14:paraId="3F830C14">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d = a-b-c</w:t>
            </w:r>
          </w:p>
        </w:tc>
        <w:tc>
          <w:tcPr>
            <w:tcW w:w="0" w:type="dxa"/>
            <w:shd w:val="clear" w:color="auto" w:fill="auto"/>
            <w:vAlign w:val="center"/>
          </w:tcPr>
          <w:p w14:paraId="21733A0D">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c>
          <w:tcPr>
            <w:tcW w:w="0" w:type="dxa"/>
            <w:shd w:val="clear" w:color="auto" w:fill="auto"/>
            <w:vAlign w:val="center"/>
          </w:tcPr>
          <w:p w14:paraId="5C86D5F2">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r>
      <w:tr w14:paraId="6051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61D80A82">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减：营业费用</w:t>
            </w:r>
          </w:p>
        </w:tc>
        <w:tc>
          <w:tcPr>
            <w:tcW w:w="1417" w:type="dxa"/>
            <w:shd w:val="clear" w:color="auto" w:fill="auto"/>
            <w:vAlign w:val="center"/>
          </w:tcPr>
          <w:p w14:paraId="38180D18">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e</w:t>
            </w:r>
          </w:p>
        </w:tc>
        <w:tc>
          <w:tcPr>
            <w:tcW w:w="1985" w:type="dxa"/>
            <w:shd w:val="clear" w:color="auto" w:fill="auto"/>
            <w:vAlign w:val="center"/>
          </w:tcPr>
          <w:p w14:paraId="0DBB32D4">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6199B213">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5C2C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2FA43110">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管理费用</w:t>
            </w:r>
          </w:p>
        </w:tc>
        <w:tc>
          <w:tcPr>
            <w:tcW w:w="1417" w:type="dxa"/>
            <w:shd w:val="clear" w:color="auto" w:fill="auto"/>
            <w:vAlign w:val="center"/>
          </w:tcPr>
          <w:p w14:paraId="48FB023C">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f</w:t>
            </w:r>
          </w:p>
        </w:tc>
        <w:tc>
          <w:tcPr>
            <w:tcW w:w="1985" w:type="dxa"/>
            <w:shd w:val="clear" w:color="auto" w:fill="auto"/>
            <w:vAlign w:val="center"/>
          </w:tcPr>
          <w:p w14:paraId="6091A650">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4EA64831">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0B3E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2E6BE3C0">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息税前利润</w:t>
            </w:r>
          </w:p>
        </w:tc>
        <w:tc>
          <w:tcPr>
            <w:tcW w:w="0" w:type="dxa"/>
            <w:shd w:val="clear" w:color="auto" w:fill="auto"/>
            <w:vAlign w:val="center"/>
          </w:tcPr>
          <w:p w14:paraId="7C0CFB9D">
            <w:pPr>
              <w:snapToGrid w:val="0"/>
              <w:spacing w:before="60" w:after="60"/>
              <w:jc w:val="center"/>
              <w:rPr>
                <w:rFonts w:ascii="Arial" w:hAnsi="Arial" w:eastAsia="微软雅黑" w:cs="Arial"/>
                <w:sz w:val="18"/>
                <w:szCs w:val="18"/>
              </w:rPr>
            </w:pPr>
            <w:r>
              <w:rPr>
                <w:rFonts w:ascii="Arial" w:hAnsi="Arial" w:eastAsia="微软雅黑" w:cs="Arial"/>
                <w:sz w:val="18"/>
                <w:szCs w:val="18"/>
              </w:rPr>
              <w:t>g = d-e-f</w:t>
            </w:r>
          </w:p>
        </w:tc>
        <w:tc>
          <w:tcPr>
            <w:tcW w:w="0" w:type="dxa"/>
            <w:shd w:val="clear" w:color="auto" w:fill="auto"/>
            <w:vAlign w:val="center"/>
          </w:tcPr>
          <w:p w14:paraId="191D9F16">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c>
          <w:tcPr>
            <w:tcW w:w="0" w:type="dxa"/>
            <w:shd w:val="clear" w:color="auto" w:fill="auto"/>
            <w:vAlign w:val="center"/>
          </w:tcPr>
          <w:p w14:paraId="206CDBF2">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r>
      <w:tr w14:paraId="545A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BD877EA">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主营业务成本及费用</w:t>
            </w:r>
          </w:p>
        </w:tc>
        <w:tc>
          <w:tcPr>
            <w:tcW w:w="1417" w:type="dxa"/>
            <w:shd w:val="clear" w:color="auto" w:fill="auto"/>
            <w:vAlign w:val="center"/>
          </w:tcPr>
          <w:p w14:paraId="3A7D4CE3">
            <w:pPr>
              <w:snapToGrid w:val="0"/>
              <w:spacing w:before="60" w:after="60"/>
              <w:jc w:val="center"/>
              <w:rPr>
                <w:rFonts w:ascii="Arial" w:hAnsi="Arial" w:eastAsia="微软雅黑" w:cs="Arial"/>
                <w:sz w:val="18"/>
                <w:szCs w:val="18"/>
              </w:rPr>
            </w:pPr>
            <w:r>
              <w:rPr>
                <w:rFonts w:ascii="Arial" w:hAnsi="Arial" w:eastAsia="微软雅黑" w:cs="Arial"/>
                <w:sz w:val="18"/>
                <w:szCs w:val="18"/>
              </w:rPr>
              <w:t>h = b+c+e+f</w:t>
            </w:r>
          </w:p>
        </w:tc>
        <w:tc>
          <w:tcPr>
            <w:tcW w:w="1985" w:type="dxa"/>
            <w:shd w:val="clear" w:color="auto" w:fill="auto"/>
            <w:vAlign w:val="center"/>
          </w:tcPr>
          <w:p w14:paraId="73FB641F">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0E3CFA4B">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63FB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37B692D9">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完全成本加成率</w:t>
            </w:r>
          </w:p>
        </w:tc>
        <w:tc>
          <w:tcPr>
            <w:tcW w:w="1417" w:type="dxa"/>
            <w:shd w:val="clear" w:color="auto" w:fill="auto"/>
            <w:vAlign w:val="center"/>
          </w:tcPr>
          <w:p w14:paraId="722C58EF">
            <w:pPr>
              <w:snapToGrid w:val="0"/>
              <w:spacing w:before="60" w:after="60"/>
              <w:jc w:val="center"/>
              <w:rPr>
                <w:rFonts w:ascii="Arial" w:hAnsi="Arial" w:eastAsia="微软雅黑" w:cs="Arial"/>
                <w:sz w:val="18"/>
                <w:szCs w:val="18"/>
              </w:rPr>
            </w:pPr>
            <w:r>
              <w:rPr>
                <w:rFonts w:ascii="Arial" w:hAnsi="Arial" w:eastAsia="微软雅黑" w:cs="Arial"/>
                <w:sz w:val="18"/>
                <w:szCs w:val="18"/>
              </w:rPr>
              <w:t>i = g/h</w:t>
            </w:r>
          </w:p>
        </w:tc>
        <w:tc>
          <w:tcPr>
            <w:tcW w:w="1985" w:type="dxa"/>
            <w:shd w:val="clear" w:color="auto" w:fill="auto"/>
            <w:vAlign w:val="center"/>
          </w:tcPr>
          <w:p w14:paraId="2A5CBB51">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428ADAE2">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基于2024年度的财务数据，斯必克流体技术在关联销售中的完全成本加成率为22.93%，在非关联销售中的完全成本加成率为21.63%。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为了对外部可比公司（即所执行的功能与斯必克流体技术的活动宽泛可比的独立企业）进行一次基准搜索，我们使用由Bureau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我们对美国SIC编码列表进行了全面查阅，并选择了最合适的SIC编码（见下图表）来搜寻与斯必克流体技术在制造活动中承担的职能宽泛可比的潜在可比公司。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通过对斯必克流体技术地理位置及商业描述的分析，我们将搜索范围确定在亚太地区，包括：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连续亏损：有连续亏损的独立公司对于斯必克流体技术这样持续经营的公司而言，不具备足够的可比性。因此，我们将2021到2023财年期间三年连续经营亏损或只有两年数据且两年均亏损的公司从可比样本中排除。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Catalyst数据库中的业务描述，以此来排除执行的功能（例如，研发，生产，服务等）与斯必克流体技术的在受测关联交易中执行的职能不具有宽泛可比性的公司。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通过定性筛选，我们排除了总计180家公司，它们因满足以下一项或多项条件使得它们与斯必克流体技术的关联企业的受测关联交易不具备充足的可比性：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企业执行的功能与斯必克流体技术存在显著差异；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企业销售的产品或服务与斯必克流体技术存在显著差异。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我们最终选定17家营业地位于亚太地区的公司作为斯必克流体技术的可比公司。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综上所述，我们选择了完全成本加成率作为评估斯必克流体技术受测关联交易是否符合独立交易原则最合理的利润水平指标。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t/>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t/>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了在交易净利润分析中运用多年度数据，我们通过比较斯必克流体技术2024年度受测关联交易的利润水平和可比公司2021到2023财年的加权平均利润水平，来评估斯必克流体技术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t/>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斯必克流体技术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然而应该承认，尽管选定的可比公司已经是可获得的最可比的样本了，在他们与斯必克流体技术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t/>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上述交易净利润法分析，2021到2023财年加权平均完全成本加成率独立交易区间为3.00%到12.74%，中位值为8.41%。斯必克流体技术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因此，从中国转让定价的角度，斯必克流体技术的关联交易的定价符合独立交易原则。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斯必克流体技术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评估期间，根据斯必克流体参与的集团现金池协议，2024年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图表24：中国人民银行2024年贷款利率与现金池委托贷款利率比较</w:t>
      </w:r>
      <w:r>
        <w:rPr>
          <w:rFonts w:ascii="Arial" w:hAnsi="Arial" w:eastAsia="微软雅黑" w:cs="Arial"/>
          <w:bCs w:val="0"/>
          <w:sz w:val="18"/>
          <w:szCs w:val="18"/>
          <w:vertAlign w:val="superscript"/>
        </w:rPr>
        <w:footnoteReference w:id="34"/>
        <w:t/>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LPR</w:t>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金融机构一年以内人民币贷款基准利率</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集团现金池贷款利率</w:t>
            </w:r>
          </w:p>
        </w:tc>
      </w:tr>
      <w:tr w14:paraId="2C7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auto"/>
            <w:vAlign w:val="center"/>
          </w:tcPr>
          <w:p w14:paraId="2955D64A">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1211" w:type="pct"/>
            <w:vAlign w:val="center"/>
          </w:tcPr>
          <w:p w14:paraId="5D0AA5F4">
            <w:pPr>
              <w:widowControl w:val="0"/>
              <w:snapToGrid w:val="0"/>
              <w:jc w:val="center"/>
              <w:rPr>
                <w:rFonts w:ascii="Arial" w:hAnsi="Arial" w:eastAsia="微软雅黑" w:cs="Arial"/>
                <w:sz w:val="18"/>
                <w:szCs w:val="18"/>
              </w:rPr>
            </w:pPr>
            <w:r>
              <w:rPr>
                <w:rFonts w:ascii="Arial" w:hAnsi="Arial" w:eastAsia="微软雅黑" w:cs="Arial"/>
                <w:sz w:val="18"/>
                <w:szCs w:val="18"/>
              </w:rPr>
              <w:t>3.10%-3.45%</w:t>
            </w:r>
          </w:p>
        </w:tc>
        <w:tc>
          <w:tcPr>
            <w:tcW w:w="1367" w:type="pct"/>
            <w:shd w:val="clear" w:color="auto" w:fill="auto"/>
            <w:vAlign w:val="center"/>
          </w:tcPr>
          <w:p w14:paraId="7C8D7002">
            <w:pPr>
              <w:widowControl w:val="0"/>
              <w:snapToGrid w:val="0"/>
              <w:jc w:val="center"/>
              <w:rPr>
                <w:rFonts w:ascii="Arial" w:hAnsi="Arial" w:eastAsia="微软雅黑" w:cs="Arial"/>
                <w:sz w:val="18"/>
                <w:szCs w:val="18"/>
              </w:rPr>
            </w:pPr>
            <w:r>
              <w:rPr>
                <w:rFonts w:ascii="Arial" w:hAnsi="Arial" w:eastAsia="微软雅黑" w:cs="Arial"/>
                <w:sz w:val="18"/>
                <w:szCs w:val="18"/>
              </w:rPr>
              <w:t>4.35%</w:t>
            </w:r>
          </w:p>
        </w:tc>
        <w:tc>
          <w:tcPr>
            <w:tcW w:w="1329" w:type="pct"/>
            <w:shd w:val="clear" w:color="auto" w:fill="auto"/>
            <w:vAlign w:val="center"/>
          </w:tcPr>
          <w:p w14:paraId="590EEBE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同时，评估期间，如果现金池成员公司希望在保证资金流动性的前提下运用闲置资金，适用的银行同期活期存款的市场利率如下表所示。根据现金池协议，2024年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图表25：中国人民银行2024年存款利率与现金池委托存款利率比较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t/>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根据分析，可比公司2021到2023财年加权平均完全成本加成率独立交易区间为3.00%到12.74%，中位值为8.41%。斯必克流体技术在关联销售中的完全成本加成率为22.93%，在非关联销售中的完全成本加成率为21.63%，均高于中位值，因此，从中国转让定价的角度，我们认为斯必克流体技术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下表中的财务数据均由斯必克流体技术提供，所有金额均以人民币元为单位。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立信未对提供的财务数据进行核实，也未进行任何的财务分析以验证斯必克流体技术在下述财务数据中所选用分摊标准的合理性。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项目</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境外关联交易</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境外非关联交易</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境内关联交易</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境内非关联交易</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合计</w:t>
            </w:r>
            <w:r>
              <w:rPr>
                <w:rFonts w:ascii="Arial" w:hAnsi="Arial" w:eastAsia="微软雅黑" w:cs="Arial"/>
                <w:b/>
                <w:color w:val="FFFFFF" w:themeColor="background1"/>
                <w:sz w:val="18"/>
                <w:szCs w:val="18"/>
                <w14:textFill>
                  <w14:solidFill>
                    <w14:schemeClr w14:val="bg1"/>
                  </w14:solidFill>
                </w14:textFill>
              </w:rPr>
              <w:t/>
            </w:r>
          </w:p>
        </w:tc>
      </w:tr>
      <w:tr w14:paraId="458E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A084C22">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一、营业收入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DA1A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01D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5E9E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BBF4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5D7A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487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05E331">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9966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CEC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0863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985A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A49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06C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4D0A6507">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2907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DE82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0B4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7ED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D04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3226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E495F09">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FDF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85A0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20FF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A44C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D50E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16EF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11629D8">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FF2F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91A7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83A2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B4F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3DAD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0E04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22055B">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4246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4C9E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15D0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AE0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D5F0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E1F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1CFAE2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853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6861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26E9A">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9F2C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364D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A64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1C3E5B84">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管理费用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994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FFDA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2F20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C6BE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584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1E2E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3F62AA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财务费用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F7A9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00ED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50E8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AA6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BF68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6A08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3356B51">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资产减值损失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3037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84AE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DC6D2">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B156C1">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A1C9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3B34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3690" w:type="dxa"/>
            <w:shd w:val="clear" w:color="auto" w:fill="auto"/>
            <w:vAlign w:val="center"/>
          </w:tcPr>
          <w:p w14:paraId="56F6E17B">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加：公允价值变动收益（损失以“-”号填列）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5021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D7D4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CCA1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29DE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0081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7DE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660EB3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投资收益（损失以“-”号填列）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CE8F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102F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CD93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6C28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1151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CCC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8FA3A3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其中：对联营企业和合营企业的投资收益</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7C5DD">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E9B7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FA29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E2E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FAAE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66FC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2A26FB5">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二、营业利润（亏损以“-”号填列）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452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2CB3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9EE05">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CF9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71778">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r>
      <w:tr w14:paraId="789D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02C0E6A">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加：营业外收入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1DAE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723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3712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9005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F10A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6EE3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479B77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减：营业外支出</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FA71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A284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7D62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E7B8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5546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3FB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202FB62A">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其中：非流动资产处置损失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C311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506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26A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5E26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C3C8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r>
      <w:tr w14:paraId="4A0D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A72C09F">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三、利润总额</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447E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79F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53DD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2F9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9FEB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7970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DFC25F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减：所得税费用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92FA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4DE4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FF2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344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75EE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541D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1FEDA86">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四、净利润</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2349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8BD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700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9266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42572">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序号</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公司名</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国家</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业务描述</w:t>
            </w:r>
          </w:p>
        </w:tc>
      </w:tr>
      <w:tr w14:paraId="5A60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CD81A3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3370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Noritz Corporation</w:t>
            </w:r>
          </w:p>
        </w:tc>
        <w:tc>
          <w:tcPr>
            <w:tcW w:w="1275" w:type="dxa"/>
            <w:vAlign w:val="center"/>
          </w:tcPr>
          <w:p w14:paraId="4413E3F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A1D1FF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该公司主要从事热水空调设备、住房系统、厨房设备、新能源设备以及相关零部件的生产和销售。</w:t>
            </w:r>
          </w:p>
        </w:tc>
      </w:tr>
      <w:tr w14:paraId="0259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C235E43">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2</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041C">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Kitz Corporati ON</w:t>
            </w:r>
          </w:p>
        </w:tc>
        <w:tc>
          <w:tcPr>
            <w:tcW w:w="1275" w:type="dxa"/>
            <w:vAlign w:val="center"/>
          </w:tcPr>
          <w:p w14:paraId="4D7E82D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6EFFDA">
            <w:pPr>
              <w:widowControl w:val="0"/>
              <w:snapToGrid w:val="0"/>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该公司主要从事开发和销售水、空气、石油和天然气等流体的阀门产品。</w:t>
            </w:r>
            <w:r>
              <w:rPr>
                <w:rFonts w:hint="eastAsia" w:ascii="微软雅黑" w:hAnsi="微软雅黑" w:eastAsia="微软雅黑" w:cs="Arial"/>
                <w:b/>
                <w:bCs/>
                <w:i/>
                <w:iCs/>
                <w:color w:val="000000"/>
                <w:sz w:val="18"/>
                <w:szCs w:val="18"/>
              </w:rPr>
              <w:t/>
            </w:r>
          </w:p>
        </w:tc>
      </w:tr>
      <w:tr w14:paraId="1E1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74FB5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3</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BFE2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Wuxi Smart Auto-Control Engineering Co., Ltd.</w:t>
            </w:r>
          </w:p>
        </w:tc>
        <w:tc>
          <w:tcPr>
            <w:tcW w:w="1275" w:type="dxa"/>
            <w:vAlign w:val="center"/>
          </w:tcPr>
          <w:p w14:paraId="05B2B13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3345F6B5">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该公司主要生产角阀、自动阀、球阀、压缩气瓶阀等阀门。</w:t>
            </w:r>
          </w:p>
        </w:tc>
      </w:tr>
      <w:tr w14:paraId="5F6F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F518E0">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4</w:t>
            </w:r>
          </w:p>
        </w:tc>
        <w:tc>
          <w:tcPr>
            <w:tcW w:w="4820" w:type="dxa"/>
            <w:vAlign w:val="center"/>
          </w:tcPr>
          <w:p w14:paraId="13C83E7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Founder Valve Group Co., LTD</w:t>
            </w:r>
          </w:p>
        </w:tc>
        <w:tc>
          <w:tcPr>
            <w:tcW w:w="1275" w:type="dxa"/>
            <w:vAlign w:val="center"/>
          </w:tcPr>
          <w:p w14:paraId="04121795">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451F5E4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该公司主要生产球阀、闸阀、截止阀、止回阀、蝶阀、插板阀、特种阀及低温、高温和高压阀门等。</w:t>
            </w:r>
          </w:p>
        </w:tc>
      </w:tr>
      <w:tr w14:paraId="47D7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3F669E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5</w:t>
            </w:r>
          </w:p>
        </w:tc>
        <w:tc>
          <w:tcPr>
            <w:tcW w:w="4820" w:type="dxa"/>
            <w:vAlign w:val="center"/>
          </w:tcPr>
          <w:p w14:paraId="7F4A14D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HS Valve Co.,Ltd.</w:t>
            </w:r>
          </w:p>
        </w:tc>
        <w:tc>
          <w:tcPr>
            <w:tcW w:w="1275" w:type="dxa"/>
            <w:vAlign w:val="center"/>
          </w:tcPr>
          <w:p w14:paraId="580F60D7">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6102EA00">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该公司主要生产球阀、闸阀、截止阀、止回阀，以及液化石油气阀、螺纹球阀、法兰端球阀、隔热型阀门、地下球阀等。</w:t>
            </w:r>
          </w:p>
        </w:tc>
      </w:tr>
      <w:tr w14:paraId="1DD6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2A557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6</w:t>
            </w:r>
          </w:p>
        </w:tc>
        <w:tc>
          <w:tcPr>
            <w:tcW w:w="4820" w:type="dxa"/>
            <w:vAlign w:val="center"/>
          </w:tcPr>
          <w:p w14:paraId="6D1DCFD5">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Okumura Engineering Corp.</w:t>
            </w:r>
          </w:p>
        </w:tc>
        <w:tc>
          <w:tcPr>
            <w:tcW w:w="1275" w:type="dxa"/>
            <w:vAlign w:val="center"/>
          </w:tcPr>
          <w:p w14:paraId="2BBB0628">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0E7F60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该公司总部位于日本，从事一系列工业阀门的生产。</w:t>
            </w:r>
          </w:p>
        </w:tc>
      </w:tr>
      <w:tr w14:paraId="3B58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A0844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7</w:t>
            </w:r>
          </w:p>
        </w:tc>
        <w:tc>
          <w:tcPr>
            <w:tcW w:w="4820" w:type="dxa"/>
            <w:vAlign w:val="center"/>
          </w:tcPr>
          <w:p w14:paraId="4500474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Yoshitake Inc.</w:t>
            </w:r>
          </w:p>
        </w:tc>
        <w:tc>
          <w:tcPr>
            <w:tcW w:w="1275" w:type="dxa"/>
            <w:vAlign w:val="center"/>
          </w:tcPr>
          <w:p w14:paraId="36BA54D1">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2554A55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该公司总部位于日本名古屋，主要从事液体自动压力调节阀及过滤器、膨胀管接头、流量指示器等相关产品的制造和销售。它还生产减压阀、安全阀和电磁阀。</w:t>
            </w:r>
          </w:p>
        </w:tc>
      </w:tr>
      <w:tr w14:paraId="4C77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16C2F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8</w:t>
            </w:r>
          </w:p>
        </w:tc>
        <w:tc>
          <w:tcPr>
            <w:tcW w:w="4820" w:type="dxa"/>
            <w:vAlign w:val="center"/>
          </w:tcPr>
          <w:p w14:paraId="7E423E3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Nepon Inc.</w:t>
            </w:r>
          </w:p>
        </w:tc>
        <w:tc>
          <w:tcPr>
            <w:tcW w:w="1275" w:type="dxa"/>
            <w:vAlign w:val="center"/>
          </w:tcPr>
          <w:p w14:paraId="4E5AB96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884977">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该公司主要从事空气加热设备、地热加热设备、热泵和水锅炉的生产和销售。</w:t>
            </w:r>
          </w:p>
        </w:tc>
      </w:tr>
      <w:tr w14:paraId="44C4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9D302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9</w:t>
            </w:r>
          </w:p>
        </w:tc>
        <w:tc>
          <w:tcPr>
            <w:tcW w:w="4820" w:type="dxa"/>
            <w:vAlign w:val="center"/>
          </w:tcPr>
          <w:p w14:paraId="794DE8CA">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MIE Corporation Co., LTD</w:t>
            </w:r>
          </w:p>
        </w:tc>
        <w:tc>
          <w:tcPr>
            <w:tcW w:w="1275" w:type="dxa"/>
            <w:vAlign w:val="center"/>
          </w:tcPr>
          <w:p w14:paraId="3CE8814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3EB51A7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该公司从事加工金属产品的制造和销售，包括不锈钢管接头、工业接头、建筑接头、法兰和螺纹焊接接头，以及预制加工产品。</w:t>
            </w:r>
          </w:p>
        </w:tc>
      </w:tr>
      <w:tr w14:paraId="52B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15A382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10</w:t>
            </w:r>
            <w:r>
              <w:rPr>
                <w:rFonts w:ascii="Arial" w:hAnsi="Arial" w:eastAsia="等线" w:cs="Arial"/>
                <w:color w:val="333333"/>
                <w:sz w:val="18"/>
                <w:szCs w:val="18"/>
              </w:rPr>
              <w:t/>
            </w:r>
          </w:p>
        </w:tc>
        <w:tc>
          <w:tcPr>
            <w:tcW w:w="4820" w:type="dxa"/>
            <w:vAlign w:val="center"/>
          </w:tcPr>
          <w:p w14:paraId="3D2997D9">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JDV Control Valves Co., Ltd.</w:t>
            </w:r>
          </w:p>
        </w:tc>
        <w:tc>
          <w:tcPr>
            <w:tcW w:w="1275" w:type="dxa"/>
            <w:vAlign w:val="center"/>
          </w:tcPr>
          <w:p w14:paraId="7FB32B95">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中国台湾</w:t>
            </w:r>
          </w:p>
        </w:tc>
        <w:tc>
          <w:tcPr>
            <w:tcW w:w="7149" w:type="dxa"/>
            <w:vAlign w:val="center"/>
          </w:tcPr>
          <w:p w14:paraId="179BE57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该公司主要生产球阀、蝶阀、控制阀、闸阀、截止阀、止回阀，以及配件与执行器等高端工业阀门。</w:t>
            </w:r>
          </w:p>
        </w:tc>
      </w:tr>
      <w:tr w14:paraId="75B9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7A959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11</w:t>
            </w:r>
            <w:r>
              <w:rPr>
                <w:rFonts w:ascii="Arial" w:hAnsi="Arial" w:eastAsia="等线" w:cs="Arial"/>
                <w:color w:val="333333"/>
                <w:sz w:val="18"/>
                <w:szCs w:val="18"/>
              </w:rPr>
              <w:t/>
            </w:r>
          </w:p>
        </w:tc>
        <w:tc>
          <w:tcPr>
            <w:tcW w:w="4820" w:type="dxa"/>
            <w:vAlign w:val="center"/>
          </w:tcPr>
          <w:p w14:paraId="27C9428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Wuhu Jinmao Liquid Science &amp; Technology Co.,Ltd.</w:t>
            </w:r>
          </w:p>
        </w:tc>
        <w:tc>
          <w:tcPr>
            <w:tcW w:w="1275" w:type="dxa"/>
            <w:vAlign w:val="center"/>
          </w:tcPr>
          <w:p w14:paraId="6F0A273B">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738FFBBD">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该公司主要从事球墨铸铁、特种材质金属管件、快速连接器、阀门等各类流体工程产品及轨道交通关键零部件的研发、生产、销售。</w:t>
            </w:r>
          </w:p>
        </w:tc>
      </w:tr>
      <w:tr w14:paraId="5095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92AC7D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12</w:t>
            </w:r>
            <w:r>
              <w:rPr>
                <w:rFonts w:ascii="Arial" w:hAnsi="Arial" w:eastAsia="等线" w:cs="Arial"/>
                <w:color w:val="333333"/>
                <w:sz w:val="18"/>
                <w:szCs w:val="18"/>
              </w:rPr>
              <w:t/>
            </w:r>
          </w:p>
        </w:tc>
        <w:tc>
          <w:tcPr>
            <w:tcW w:w="4820" w:type="dxa"/>
            <w:vAlign w:val="center"/>
          </w:tcPr>
          <w:p w14:paraId="294217F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Kunshan Visa Valve Co., LTD</w:t>
            </w:r>
          </w:p>
        </w:tc>
        <w:tc>
          <w:tcPr>
            <w:tcW w:w="1275" w:type="dxa"/>
            <w:vAlign w:val="center"/>
          </w:tcPr>
          <w:p w14:paraId="679E3EC9">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w:t>
            </w:r>
          </w:p>
        </w:tc>
        <w:tc>
          <w:tcPr>
            <w:tcW w:w="7149" w:type="dxa"/>
            <w:vAlign w:val="center"/>
          </w:tcPr>
          <w:p w14:paraId="3CDB9FF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该公司主要生产高中低压球阀、浮动球阀与支座式球阀，以及铸钢和锻钢球阀。</w:t>
            </w:r>
          </w:p>
        </w:tc>
      </w:tr>
      <w:tr w14:paraId="31E7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A674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13</w:t>
            </w:r>
            <w:r>
              <w:rPr>
                <w:rFonts w:ascii="Arial" w:hAnsi="Arial" w:eastAsia="等线" w:cs="Arial"/>
                <w:color w:val="333333"/>
                <w:sz w:val="18"/>
                <w:szCs w:val="18"/>
              </w:rPr>
              <w:t/>
            </w:r>
          </w:p>
        </w:tc>
        <w:tc>
          <w:tcPr>
            <w:tcW w:w="4820" w:type="dxa"/>
            <w:vAlign w:val="center"/>
          </w:tcPr>
          <w:p w14:paraId="12A90F8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Jokwang I.L.I Co.,Ltd.</w:t>
            </w:r>
          </w:p>
        </w:tc>
        <w:tc>
          <w:tcPr>
            <w:tcW w:w="1275" w:type="dxa"/>
            <w:vAlign w:val="center"/>
          </w:tcPr>
          <w:p w14:paraId="7AC53D67">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韩国</w:t>
            </w:r>
          </w:p>
        </w:tc>
        <w:tc>
          <w:tcPr>
            <w:tcW w:w="7149" w:type="dxa"/>
            <w:vAlign w:val="center"/>
          </w:tcPr>
          <w:p w14:paraId="7BD1925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该公司从事阀门的生产和批发销售。</w:t>
            </w:r>
          </w:p>
        </w:tc>
      </w:tr>
      <w:tr w14:paraId="7A1F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9BE5D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14</w:t>
            </w:r>
            <w:r>
              <w:rPr>
                <w:rFonts w:ascii="Arial" w:hAnsi="Arial" w:eastAsia="等线" w:cs="Arial"/>
                <w:color w:val="333333"/>
                <w:sz w:val="18"/>
                <w:szCs w:val="18"/>
              </w:rPr>
              <w:t/>
            </w:r>
          </w:p>
        </w:tc>
        <w:tc>
          <w:tcPr>
            <w:tcW w:w="4820" w:type="dxa"/>
            <w:vAlign w:val="center"/>
          </w:tcPr>
          <w:p w14:paraId="18CD6770">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Enertork Ltd.</w:t>
            </w:r>
          </w:p>
        </w:tc>
        <w:tc>
          <w:tcPr>
            <w:tcW w:w="1275" w:type="dxa"/>
            <w:vAlign w:val="center"/>
          </w:tcPr>
          <w:p w14:paraId="1B05F09B">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4DEC37A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该公司主要生产电动执行器与减速器，包括多回转执行器、四分之一次回转执行器、蜗杆减速器、用于球阀、蝶阀、闸阀、截止阀、插板阀及风门等的系列产品。</w:t>
            </w:r>
          </w:p>
        </w:tc>
      </w:tr>
      <w:tr w14:paraId="2B11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1108F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15</w:t>
            </w:r>
            <w:r>
              <w:rPr>
                <w:rFonts w:ascii="Arial" w:hAnsi="Arial" w:eastAsia="等线" w:cs="Arial"/>
                <w:color w:val="333333"/>
                <w:sz w:val="18"/>
                <w:szCs w:val="18"/>
              </w:rPr>
              <w:t/>
            </w:r>
          </w:p>
        </w:tc>
        <w:tc>
          <w:tcPr>
            <w:tcW w:w="4820" w:type="dxa"/>
            <w:vAlign w:val="center"/>
          </w:tcPr>
          <w:p w14:paraId="3D91EEA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Shri Balaji Valve Components Limited</w:t>
            </w:r>
          </w:p>
        </w:tc>
        <w:tc>
          <w:tcPr>
            <w:tcW w:w="1275" w:type="dxa"/>
            <w:vAlign w:val="center"/>
          </w:tcPr>
          <w:p w14:paraId="227C7CD8">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印度</w:t>
            </w:r>
          </w:p>
        </w:tc>
        <w:tc>
          <w:tcPr>
            <w:tcW w:w="7149" w:type="dxa"/>
            <w:vAlign w:val="center"/>
          </w:tcPr>
          <w:p w14:paraId="1CCE229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该公司主要生产球阀组件、蝶阀组件、截止阀组件、闸阀组件及其他阀门精密零部件，并承接定制加工与组装。</w:t>
            </w:r>
          </w:p>
        </w:tc>
      </w:tr>
      <w:tr w14:paraId="2A09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615F1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16</w:t>
            </w:r>
            <w:r>
              <w:rPr>
                <w:rFonts w:ascii="Arial" w:hAnsi="Arial" w:eastAsia="等线" w:cs="Arial"/>
                <w:color w:val="333333"/>
                <w:sz w:val="18"/>
                <w:szCs w:val="18"/>
              </w:rPr>
              <w:t/>
            </w:r>
          </w:p>
        </w:tc>
        <w:tc>
          <w:tcPr>
            <w:tcW w:w="4820" w:type="dxa"/>
            <w:vAlign w:val="center"/>
          </w:tcPr>
          <w:p w14:paraId="408A4DE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Meson Valves India Limited</w:t>
            </w:r>
          </w:p>
        </w:tc>
        <w:tc>
          <w:tcPr>
            <w:tcW w:w="1275" w:type="dxa"/>
            <w:vAlign w:val="center"/>
          </w:tcPr>
          <w:p w14:paraId="14DB482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3B6B9A3E">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该公司主要从事工业阀门以及供水工程和供水系统阀门的制造。</w:t>
            </w:r>
          </w:p>
        </w:tc>
      </w:tr>
      <w:tr w14:paraId="4F8C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E2317E">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17</w:t>
            </w:r>
            <w:r>
              <w:rPr>
                <w:rFonts w:ascii="Arial" w:hAnsi="Arial" w:eastAsia="等线" w:cs="Arial"/>
                <w:color w:val="333333"/>
                <w:sz w:val="18"/>
                <w:szCs w:val="18"/>
              </w:rPr>
              <w:t/>
            </w:r>
          </w:p>
        </w:tc>
        <w:tc>
          <w:tcPr>
            <w:tcW w:w="4820" w:type="dxa"/>
            <w:vAlign w:val="center"/>
          </w:tcPr>
          <w:p w14:paraId="12917117">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Chemtech Industrial Valves Limited</w:t>
            </w:r>
          </w:p>
        </w:tc>
        <w:tc>
          <w:tcPr>
            <w:tcW w:w="1275" w:type="dxa"/>
            <w:vAlign w:val="center"/>
          </w:tcPr>
          <w:p w14:paraId="70AC2950">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17B9D77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该公司是一家从事阀门及工程配套产品生产的实体。</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斯必克（上海）流体技术有限公司</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2024</w:t>
    </w:r>
    <w:r>
      <w:rPr>
        <w:rFonts w:ascii="Arial" w:hAnsi="Arial" w:eastAsia="微软雅黑" w:cs="Arial"/>
        <w:sz w:val="16"/>
        <w:szCs w:val="16"/>
      </w:rPr>
      <w:t>财务年度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