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openxmlformats-officedocument.drawingml.chart+xml" PartName="/word/charts/chart5.xml"/>
  <Override ContentType="application/vnd.ms-office.chartcolorstyle+xml" PartName="/word/charts/colors1.xml"/>
  <Override ContentType="application/vnd.ms-office.chartcolorstyle+xml" PartName="/word/charts/colors2.xml"/>
  <Override ContentType="application/vnd.ms-office.chartcolorstyle+xml" PartName="/word/charts/colors3.xml"/>
  <Override ContentType="application/vnd.ms-office.chartcolorstyle+xml" PartName="/word/charts/colors4.xml"/>
  <Override ContentType="application/vnd.ms-office.chartcolorstyle+xml" PartName="/word/charts/colors5.xml"/>
  <Override ContentType="application/vnd.ms-office.chartstyle+xml" PartName="/word/charts/style1.xml"/>
  <Override ContentType="application/vnd.ms-office.chartstyle+xml" PartName="/word/charts/style2.xml"/>
  <Override ContentType="application/vnd.ms-office.chartstyle+xml" PartName="/word/charts/style3.xml"/>
  <Override ContentType="application/vnd.ms-office.chartstyle+xml" PartName="/word/charts/style4.xml"/>
  <Override ContentType="application/vnd.ms-office.chartstyle+xml" PartName="/word/charts/style5.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92E914" w14:textId="77777777" w:rsidR="004D1721" w:rsidRDefault="004D1721">
      <w:pPr>
        <w:pStyle w:val="Documentsubtitle"/>
        <w:jc w:val="both"/>
        <w:rPr>
          <w:rFonts w:ascii="Arial Narrow" w:eastAsia="仿宋_GB2312" w:hAnsi="Arial Narrow" w:cs="Arial"/>
          <w:b/>
          <w:bCs/>
          <w:szCs w:val="36"/>
          <w:lang w:val="en-GB" w:eastAsia="zh-CN"/>
        </w:rPr>
      </w:pPr>
    </w:p>
    <w:p w14:paraId="5A049BED" w14:textId="77777777" w:rsidR="004D1721" w:rsidRDefault="004D1721">
      <w:pPr>
        <w:pStyle w:val="Documentsubtitle"/>
        <w:jc w:val="both"/>
        <w:rPr>
          <w:rFonts w:ascii="Arial Narrow" w:eastAsia="仿宋_GB2312" w:hAnsi="Arial Narrow" w:cs="Arial"/>
          <w:b/>
          <w:bCs/>
          <w:szCs w:val="36"/>
          <w:lang w:val="en-GB" w:eastAsia="zh-CN"/>
        </w:rPr>
      </w:pPr>
    </w:p>
    <w:p w14:paraId="7DDEB015" w14:textId="77777777" w:rsidR="004D1721" w:rsidRDefault="004D1721">
      <w:pPr>
        <w:pStyle w:val="Documentsubtitle"/>
        <w:jc w:val="both"/>
        <w:rPr>
          <w:rFonts w:ascii="Arial Narrow" w:eastAsia="仿宋_GB2312" w:hAnsi="Arial Narrow" w:cs="Arial"/>
          <w:b/>
          <w:bCs/>
          <w:color w:val="00B0F0"/>
          <w:szCs w:val="36"/>
          <w:lang w:val="en-GB" w:eastAsia="zh-CN"/>
        </w:rPr>
      </w:pPr>
    </w:p>
    <w:p w14:paraId="6315FF6D" w14:textId="77777777" w:rsidR="004D1721" w:rsidRDefault="009B16BC">
      <w:pPr>
        <w:widowControl w:val="0"/>
        <w:spacing w:beforeLines="50" w:before="163" w:afterLines="50" w:after="163"/>
        <w:ind w:rightChars="-435" w:right="-870"/>
        <w:rPr>
          <w:rFonts w:ascii="Arial Narrow" w:eastAsia="仿宋_GB2312" w:hAnsi="Arial Narrow" w:cs="Arial"/>
          <w:color w:val="00B0F0"/>
          <w:sz w:val="48"/>
          <w:szCs w:val="22"/>
        </w:rPr>
      </w:pPr>
      <w:r>
        <w:rPr>
          <w:rFonts w:ascii="Arial Narrow" w:eastAsia="仿宋_GB2312" w:hAnsi="Arial Narrow" w:cs="Arial"/>
          <w:color w:val="002060"/>
          <w:sz w:val="48"/>
          <w:szCs w:val="22"/>
        </w:rPr>
        <w:t>{{企业名称}}</w:t>
      </w:r>
    </w:p>
    <w:p w14:paraId="5DF4E4B8" w14:textId="295A02FC" w:rsidR="004D1721" w:rsidRDefault="004D1721">
      <w:pPr>
        <w:widowControl w:val="0"/>
        <w:ind w:rightChars="-435" w:right="-870"/>
        <w:rPr>
          <w:rFonts w:ascii="Arial Narrow" w:eastAsia="仿宋_GB2312" w:hAnsi="Arial Narrow" w:cs="Arial"/>
          <w:b/>
          <w:color w:val="C75B12"/>
          <w:sz w:val="52"/>
          <w:szCs w:val="22"/>
        </w:rPr>
      </w:pPr>
    </w:p>
    <w:p w14:paraId="16F744CF" w14:textId="77777777" w:rsidR="004D1721" w:rsidRDefault="009B16BC">
      <w:pPr>
        <w:pStyle w:val="Documentsubtitle"/>
        <w:jc w:val="both"/>
        <w:rPr>
          <w:rFonts w:ascii="Arial Narrow" w:eastAsia="仿宋_GB2312" w:hAnsi="Arial Narrow" w:cs="Arial"/>
          <w:b/>
          <w:szCs w:val="36"/>
          <w:lang w:eastAsia="zh-CN"/>
        </w:rPr>
      </w:pPr>
      <w:r>
        <w:rPr>
          <w:rFonts w:ascii="Arial Narrow" w:eastAsia="仿宋_GB2312" w:hAnsi="Arial Narrow" w:cs="Arial"/>
          <w:color w:val="000000"/>
          <w:kern w:val="2"/>
          <w:sz w:val="32"/>
          <w:szCs w:val="32"/>
          <w:lang w:eastAsia="zh-CN"/>
        </w:rPr>
        <w:t>关联交易同期资料的本地文档</w:t>
      </w:r>
    </w:p>
    <w:p w14:paraId="27176423" w14:textId="6A2629B8" w:rsidR="004D1721" w:rsidRDefault="009B16BC">
      <w:pPr>
        <w:widowControl w:val="0"/>
        <w:spacing w:before="50" w:afterLines="50" w:after="163" w:line="360" w:lineRule="exact"/>
        <w:rPr>
          <w:rFonts w:ascii="Arial Narrow" w:eastAsia="仿宋_GB2312" w:hAnsi="Arial Narrow" w:cs="Arial"/>
          <w:color w:val="000000"/>
          <w:sz w:val="32"/>
          <w:szCs w:val="32"/>
        </w:rPr>
      </w:pPr>
      <w:r>
        <w:rPr>
          <w:rFonts w:ascii="Arial Narrow" w:eastAsia="仿宋_GB2312" w:hAnsi="Arial Narrow" w:cs="Arial"/>
          <w:color w:val="000000"/>
          <w:sz w:val="32"/>
          <w:szCs w:val="32"/>
        </w:rPr>
        <w:t>2023财务年度（截至 2023年 12 月 31 日）</w:t>
      </w:r>
      <w:r>
        <w:rPr>
          <w:rFonts w:ascii="Arial Narrow" w:eastAsia="仿宋_GB2312" w:hAnsi="Arial Narrow" w:cs="Arial" w:hint="eastAsia"/>
          <w:color w:val="000000"/>
          <w:sz w:val="32"/>
          <w:szCs w:val="32"/>
        </w:rPr>
        <w:t/>
      </w:r>
      <w:r>
        <w:rPr>
          <w:rFonts w:ascii="Arial Narrow" w:eastAsia="仿宋_GB2312" w:hAnsi="Arial Narrow" w:cs="Arial"/>
          <w:color w:val="000000"/>
          <w:sz w:val="32"/>
          <w:szCs w:val="32"/>
        </w:rPr>
        <w:t/>
      </w:r>
      <w:r>
        <w:rPr>
          <w:rFonts w:ascii="Arial Narrow" w:eastAsia="仿宋_GB2312" w:hAnsi="Arial Narrow" w:cs="Arial"/>
          <w:color w:val="000000"/>
          <w:sz w:val="32"/>
          <w:szCs w:val="32"/>
        </w:rPr>
        <w:t xml:space="preserve"/>
      </w:r>
      <w:r>
        <w:rPr>
          <w:rFonts w:ascii="Arial Narrow" w:eastAsia="仿宋_GB2312" w:hAnsi="Arial Narrow" w:cs="Arial" w:hint="eastAsia"/>
          <w:color w:val="000000"/>
          <w:sz w:val="32"/>
          <w:szCs w:val="32"/>
        </w:rPr>
        <w:t/>
      </w:r>
      <w:r>
        <w:rPr>
          <w:rFonts w:ascii="Arial Narrow" w:eastAsia="仿宋_GB2312" w:hAnsi="Arial Narrow" w:cs="Arial"/>
          <w:color w:val="000000"/>
          <w:sz w:val="32"/>
          <w:szCs w:val="32"/>
        </w:rPr>
        <w:t/>
      </w:r>
      <w:r>
        <w:rPr>
          <w:rFonts w:ascii="Arial Narrow" w:eastAsia="仿宋_GB2312" w:hAnsi="Arial Narrow" w:cs="Arial"/>
          <w:color w:val="000000"/>
          <w:sz w:val="32"/>
          <w:szCs w:val="32"/>
        </w:rPr>
        <w:t xml:space="preserve"/>
      </w:r>
      <w:r>
        <w:rPr>
          <w:rFonts w:ascii="Arial Narrow" w:eastAsia="仿宋_GB2312" w:hAnsi="Arial Narrow" w:cs="Arial"/>
          <w:color w:val="000000"/>
          <w:sz w:val="32"/>
          <w:szCs w:val="32"/>
        </w:rPr>
        <w:t/>
      </w:r>
      <w:r>
        <w:rPr>
          <w:rFonts w:ascii="Arial Narrow" w:eastAsia="仿宋_GB2312" w:hAnsi="Arial Narrow" w:cs="Arial"/>
          <w:color w:val="000000"/>
          <w:sz w:val="32"/>
          <w:szCs w:val="32"/>
        </w:rPr>
        <w:t xml:space="preserve"/>
      </w:r>
      <w:r>
        <w:rPr>
          <w:rFonts w:ascii="Arial Narrow" w:eastAsia="仿宋_GB2312" w:hAnsi="Arial Narrow" w:cs="Arial"/>
          <w:color w:val="000000"/>
          <w:sz w:val="32"/>
          <w:szCs w:val="32"/>
        </w:rPr>
        <w:t/>
      </w:r>
    </w:p>
    <w:p w14:paraId="47694943" w14:textId="77777777" w:rsidR="004D1721" w:rsidRDefault="004D1721">
      <w:pPr>
        <w:widowControl w:val="0"/>
        <w:spacing w:before="50" w:afterLines="50" w:after="163" w:line="360" w:lineRule="exact"/>
        <w:rPr>
          <w:rFonts w:ascii="Arial Narrow" w:eastAsia="仿宋_GB2312" w:hAnsi="Arial Narrow" w:cs="Arial"/>
          <w:color w:val="000000"/>
          <w:sz w:val="32"/>
          <w:szCs w:val="32"/>
        </w:rPr>
      </w:pPr>
    </w:p>
    <w:p w14:paraId="2D2C722C" w14:textId="77777777" w:rsidR="004D1721" w:rsidRDefault="004D1721">
      <w:pPr>
        <w:widowControl w:val="0"/>
        <w:spacing w:before="50" w:afterLines="50" w:after="163" w:line="360" w:lineRule="exact"/>
        <w:rPr>
          <w:rFonts w:ascii="Arial Narrow" w:eastAsia="仿宋_GB2312" w:hAnsi="Arial Narrow" w:cs="Arial"/>
          <w:color w:val="000000"/>
          <w:sz w:val="32"/>
          <w:szCs w:val="32"/>
        </w:rPr>
      </w:pPr>
    </w:p>
    <w:bookmarkStart w:id="0" w:name="_Toc485214855"/>
    <w:bookmarkStart w:id="1" w:name="_Toc485214858"/>
    <w:bookmarkStart w:id="2" w:name="_Toc485215941"/>
    <w:bookmarkStart w:id="3" w:name="_Toc485215930"/>
    <w:bookmarkStart w:id="4" w:name="_Toc485215492"/>
    <w:bookmarkStart w:id="5" w:name="_Toc485215949"/>
    <w:bookmarkStart w:id="6" w:name="_Toc485214851"/>
    <w:bookmarkStart w:id="7" w:name="_Toc485215481"/>
    <w:bookmarkStart w:id="8" w:name="_Toc485215932"/>
    <w:bookmarkStart w:id="9" w:name="_Toc485215486"/>
    <w:bookmarkStart w:id="10" w:name="_Toc485215484"/>
    <w:bookmarkStart w:id="11" w:name="_Toc485215488"/>
    <w:bookmarkStart w:id="12" w:name="_Toc485215931"/>
    <w:bookmarkStart w:id="13" w:name="_Toc485215934"/>
    <w:bookmarkStart w:id="14" w:name="_Toc485215482"/>
    <w:bookmarkStart w:id="15" w:name="_Toc485215494"/>
    <w:bookmarkStart w:id="16" w:name="_Toc485214849"/>
    <w:bookmarkStart w:id="17" w:name="_Toc485215936"/>
    <w:bookmarkStart w:id="18" w:name="_Toc485214848"/>
    <w:bookmarkStart w:id="19" w:name="_Toc485215933"/>
    <w:bookmarkStart w:id="20" w:name="_Toc485214853"/>
    <w:bookmarkStart w:id="21" w:name="_Toc485214850"/>
    <w:bookmarkStart w:id="22" w:name="_Toc485215483"/>
    <w:bookmarkStart w:id="23" w:name="_Toc485215928"/>
    <w:bookmarkStart w:id="24" w:name="_Toc485214852"/>
    <w:bookmarkStart w:id="25" w:name="_Toc485215487"/>
    <w:bookmarkStart w:id="26" w:name="_Toc485215489"/>
    <w:bookmarkStart w:id="27" w:name="_Toc485214866"/>
    <w:bookmarkStart w:id="28" w:name="_Toc485215938"/>
    <w:bookmarkStart w:id="29" w:name="_Toc485215502"/>
    <w:bookmarkStart w:id="30" w:name="_Toc485215950"/>
    <w:bookmarkStart w:id="31" w:name="_Toc485215929"/>
    <w:bookmarkStart w:id="32" w:name="_Toc485214846"/>
    <w:bookmarkStart w:id="33" w:name="_Toc485215503"/>
    <w:bookmarkStart w:id="34" w:name="_Toc485215485"/>
    <w:bookmarkStart w:id="35" w:name="_Toc485215956"/>
    <w:bookmarkStart w:id="36" w:name="_Toc485215939"/>
    <w:bookmarkStart w:id="37" w:name="_Toc485214867"/>
    <w:bookmarkStart w:id="38" w:name="_Toc485215935"/>
    <w:bookmarkStart w:id="39" w:name="_Toc485214856"/>
    <w:bookmarkStart w:id="40" w:name="_Toc485215491"/>
    <w:bookmarkStart w:id="41" w:name="_Toc516737738"/>
    <w:bookmarkStart w:id="42" w:name="_Toc485214845"/>
    <w:bookmarkStart w:id="43" w:name="_Toc485214847"/>
    <w:bookmarkStart w:id="44" w:name="_Toc485215509"/>
    <w:bookmarkStart w:id="45" w:name="_Toc485214873"/>
    <w:bookmarkStart w:id="46" w:name="_GoBack"/>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14:paraId="25BBE9F9" w14:textId="77777777" w:rsidR="004D1721" w:rsidRDefault="009B16BC">
      <w:pPr>
        <w:rPr>
          <w:rFonts w:ascii="Arial Narrow" w:eastAsia="仿宋_GB2312" w:hAnsi="Arial Narrow" w:cs="Arial"/>
          <w:sz w:val="22"/>
          <w:szCs w:val="22"/>
        </w:rPr>
        <w:sectPr w:rsidR="004D1721">
          <w:headerReference w:type="default" r:id="rId9"/>
          <w:footerReference w:type="even" r:id="rId10"/>
          <w:pgSz w:w="11906" w:h="16838"/>
          <w:pgMar w:top="1440" w:right="1797" w:bottom="1440" w:left="1797" w:header="0" w:footer="992" w:gutter="0"/>
          <w:pgNumType w:chapStyle="1"/>
          <w:cols w:space="425"/>
          <w:docGrid w:type="linesAndChars" w:linePitch="326"/>
        </w:sectPr>
      </w:pPr>
      <w:r>
        <w:rPr>
          <w:rFonts w:ascii="Arial Narrow" w:eastAsia="仿宋_GB2312" w:hAnsi="Arial Narrow" w:cs="Arial"/>
          <w:noProof/>
          <w:sz w:val="21"/>
          <w:szCs w:val="22"/>
        </w:rPr>
        <mc:AlternateContent>
          <mc:Choice Requires="wps">
            <w:drawing>
              <wp:anchor distT="0" distB="0" distL="114300" distR="114300" simplePos="0" relativeHeight="251659264" behindDoc="0" locked="0" layoutInCell="1" allowOverlap="1">
                <wp:simplePos x="0" y="0"/>
                <wp:positionH relativeFrom="column">
                  <wp:posOffset>-702310</wp:posOffset>
                </wp:positionH>
                <wp:positionV relativeFrom="paragraph">
                  <wp:posOffset>7322185</wp:posOffset>
                </wp:positionV>
                <wp:extent cx="3291840" cy="1952625"/>
                <wp:effectExtent l="0" t="0" r="0" b="4445"/>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3" o:spid="_x0000_s1026" o:spt="1" style="position:absolute;left:0pt;margin-left:-55.3pt;margin-top:576.55pt;height:153.75pt;width:259.2pt;z-index:251659264;mso-width-relative:page;mso-height-relative:page;" fillcolor="#FFFFFF" filled="t" stroked="f" coordsize="21600,21600" o:gfxdata="UEsDBAoAAAAAAIdO4kAAAAAAAAAAAAAAAAAEAAAAZHJzL1BLAwQUAAAACACHTuJAQSXctNkAAAAO AQAADwAAAGRycy9kb3ducmV2LnhtbE2PwU7DMBBE70j8g7VI3FrbNA0Q4vSA1BNwoEXiuo23SURs h9hpw9+znOhxZ0azb8rN7HpxojF2wRvQSwWCfB1s5xsDH/vt4gFETOgt9sGTgR+KsKmur0osbDj7 dzrtUiO4xMcCDbQpDYWUsW7JYVyGgTx7xzA6THyOjbQjnrnc9fJOqVw67Dx/aHGg55bqr93kDGCe 2e+34+p1/zLl+NjMarv+VMbc3mj1BCLRnP7D8IfP6FAx0yFM3kbRG1horXLOsqPXKw2CM5m65zkH lrKcTVmV8nJG9QtQSwMEFAAAAAgAh07iQApdSR8SAgAAKgQAAA4AAABkcnMvZTJvRG9jLnhtbK1T wW7bMAy9D9g/CLovjt2ka4w4RZEgw4BuK9btAxRZtoXJokYpcbqvHyWnWdZdepgPhiiST+89Ucvb Y2/YQaHXYCueT6acKSuh1rat+Pdv23c3nPkgbC0MWFXxJ+X57ertm+XgSlVAB6ZWyAjE+nJwFe9C cGWWedmpXvgJOGUp2QD2IlCIbVajGAi9N1kxnV5nA2DtEKTynnY3Y5KfEPE1gNA0WqoNyH2vbBhR URkRSJLvtPN8ldg2jZLhS9N4FZipOCkN6U+H0HoX/9lqKcoWheu0PFEQr6HwQlMvtKVDz1AbEQTb o/4HqtcSwUMTJhL6bBSSHCEV+fSFN4+dcCppIau9O5vu/x+s/Hx4QKbris85s6KnC/9KpgnbGsWu oj2D8yVVPboHjAK9uwf5wzML646q1B0iDJ0SNZHKY332V0MMPLWy3fAJakIX+wDJqWODfQQkD9gx XcjT+ULUMTBJm1fFIr+Z0V1JyuWLeXFdzNMZonxud+jDBwU9i4uKI5FP8OJw70OkI8rnkkQfjK63 2pgUYLtbG2QHQdOxTd8J3V+WGRuLLcS2ETHuJJ1R2mjRDuonkokwjhg9MFp0gL84G2i8Ku5/7gUq zsxHS1Yt8lnUFVIwm78vKMDLzO4yI6wkqIoHzsblOowzvHeo245OypNoC3dkb6OT8Gj9yOpElkYo +XEa9zijl3Gq+vPEV78BUEsDBAoAAAAAAIdO4kAAAAAAAAAAAAAAAAAGAAAAX3JlbHMvUEsDBBQA AAAIAIdO4kCKFGY80QAAAJQBAAALAAAAX3JlbHMvLnJlbHOlkMFqwzAMhu+DvYPRfXGawxijTi+j 0GvpHsDYimMaW0Yy2fr28w6DZfS2o36h7xP//vCZFrUiS6RsYNf1oDA78jEHA++X49MLKKk2e7tQ RgM3FDiMjw/7My62tiOZYxHVKFkMzLWWV63FzZisdFQwt81EnGxtIwddrLvagHro+2fNvxkwbpjq 5A3wyQ+gLrfSzH/YKTomoal2jpKmaYruHlUHtmWO7sg24Ru5RrMcsBrwLBoHalnXfgR9X7/7p97T Rz7jutV+h4zrj1dvuhy/AFBLAwQUAAAACACHTuJAfublIPcAAADhAQAAEwAAAFtDb250ZW50X1R5 cGVzXS54bWyVkUFOwzAQRfdI3MHyFiVOu0AIJemCtEtAqBxgZE8Si2RseUxob4+TthtEkVjaM/+/ J7vcHMZBTBjYOqrkKi+kQNLOWOoq+b7fZQ9ScAQyMDjCSh6R5aa+vSn3R48sUpq4kn2M/lEp1j2O wLnzSGnSujBCTMfQKQ/6AzpU66K4V9pRRIpZnDtkXTbYwucQxfaQrk8mAQeW4um0OLMqCd4PVkNM pmoi84OSnQl5Si473FvPd0lDql8J8+Q64Jx7SU8TrEHxCiE+w5g0lAmsjPuigFP+d8lsOXLm2tZq zJvATYq94XSxutaOa9c4/d/y7ZK6dKvlg+pvUEsBAhQAFAAAAAgAh07iQH7m5SD3AAAA4QEAABMA AAAAAAAAAQAgAAAAhAQAAFtDb250ZW50X1R5cGVzXS54bWxQSwECFAAKAAAAAACHTuJAAAAAAAAA AAAAAAAABgAAAAAAAAAAABAAAABmAwAAX3JlbHMvUEsBAhQAFAAAAAgAh07iQIoUZjzRAAAAlAEA AAsAAAAAAAAAAQAgAAAAigMAAF9yZWxzLy5yZWxzUEsBAhQACgAAAAAAh07iQAAAAAAAAAAAAAAA AAQAAAAAAAAAAAAQAAAAAAAAAGRycy9QSwECFAAUAAAACACHTuJAQSXctNkAAAAOAQAADwAAAAAA AAABACAAAAAiAAAAZHJzL2Rvd25yZXYueG1sUEsBAhQAFAAAAAgAh07iQApdSR8SAgAAKgQAAA4A AAAAAAAAAQAgAAAAKAEAAGRycy9lMm9Eb2MueG1sUEsFBgAAAAAGAAYAWQEAAKwFAAAAAA== ">
                <v:fill on="t" focussize="0,0"/>
                <v:stroke on="f"/>
                <v:imagedata o:title=""/>
                <o:lock v:ext="edit" aspectratio="f"/>
              </v:rect>
            </w:pict>
          </mc:Fallback>
        </mc:AlternateContent>
      </w:r>
    </w:p>
    <w:p w14:paraId="350BBD9D" w14:textId="77777777" w:rsidR="004D1721" w:rsidRDefault="009B16BC">
      <w:pPr>
        <w:adjustRightInd w:val="0"/>
        <w:snapToGrid w:val="0"/>
        <w:spacing w:before="240" w:line="360" w:lineRule="auto"/>
        <w:ind w:leftChars="71" w:left="142" w:rightChars="42" w:right="84"/>
        <w:jc w:val="center"/>
        <w:rPr>
          <w:rFonts w:ascii="Arial Narrow" w:eastAsia="仿宋_GB2312" w:hAnsi="Arial Narrow" w:cs="Arial"/>
          <w:sz w:val="22"/>
          <w:szCs w:val="22"/>
        </w:rPr>
      </w:pPr>
      <w:r>
        <w:rPr>
          <w:rFonts w:ascii="Arial Narrow" w:eastAsia="仿宋_GB2312" w:hAnsi="Arial Narrow" w:cs="Arial"/>
          <w:b/>
          <w:sz w:val="28"/>
          <w:szCs w:val="22"/>
        </w:rPr>
        <w:lastRenderedPageBreak/>
        <w:t>{{企业名称}}声明</w:t>
      </w:r>
    </w:p>
    <w:p w14:paraId="1E7606CE" w14:textId="16BFD9BA"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本公司根据以下规定准备2023年度同期资料的本地文档（以下简称“本报告”）：</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0EFCD5A"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7AA5B83A" w14:textId="59108079"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本报告的目的在于从中国特别纳税调整税制的角度，分析本公司2023年度与关联方之间关联交易定价的合理性。为此，本公司按以下规定以及程序准备本报告：</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429994A9" w14:textId="77777777" w:rsidR="004D1721" w:rsidRDefault="009B16BC">
      <w:pPr>
        <w:adjustRightInd w:val="0"/>
        <w:snapToGrid w:val="0"/>
        <w:spacing w:before="240" w:after="240"/>
        <w:ind w:leftChars="70" w:left="140" w:rightChars="42" w:right="84" w:firstLine="1"/>
        <w:rPr>
          <w:rFonts w:ascii="Arial Narrow" w:eastAsia="仿宋_GB2312" w:hAnsi="Arial Narrow" w:cs="Arial"/>
          <w:sz w:val="22"/>
          <w:szCs w:val="22"/>
        </w:rPr>
      </w:pPr>
      <w:r>
        <w:rPr>
          <w:rFonts w:ascii="Arial Narrow" w:eastAsia="仿宋_GB2312" w:hAnsi="Arial Narrow" w:cs="Arial"/>
          <w:sz w:val="22"/>
          <w:szCs w:val="22"/>
        </w:rPr>
        <w:t>一、本公司保证根据下列政策法规及实施办法制作本报告</w:t>
      </w:r>
    </w:p>
    <w:p w14:paraId="18E90086"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1、 《中华人民共和国企业所得税法》及其实施条例</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3DC5C216"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2、 《中华人民共和国税收征收管理法》及其实施细则</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66B3A2AD"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3、 《国家税务总局关于完善关联申报和同期资料管理有关事项的公告》（国家税务总局2016年第42号公告，以下简称“[2016]42号公告”）</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474BB2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4、 《国家税务总局关于发布&lt;特别纳税调查调整及相互协商程序管理办法&gt;的公告》（国家税务总局2017年第6号公告，以下简称“[2017]6号公告”）</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D3C03F5" w14:textId="77777777" w:rsidR="004D1721" w:rsidRDefault="009B16BC">
      <w:pPr>
        <w:adjustRightInd w:val="0"/>
        <w:snapToGrid w:val="0"/>
        <w:spacing w:before="240" w:after="240"/>
        <w:ind w:leftChars="71" w:left="142" w:rightChars="42" w:right="84"/>
        <w:rPr>
          <w:rFonts w:ascii="Arial Narrow" w:eastAsia="仿宋_GB2312" w:hAnsi="Arial Narrow" w:cs="Arial"/>
          <w:sz w:val="22"/>
          <w:szCs w:val="22"/>
        </w:rPr>
      </w:pPr>
      <w:r>
        <w:rPr>
          <w:rFonts w:ascii="Arial Narrow" w:eastAsia="仿宋_GB2312" w:hAnsi="Arial Narrow" w:cs="Arial"/>
          <w:sz w:val="22"/>
          <w:szCs w:val="22"/>
        </w:rPr>
        <w:t>二、本公司保证实施以下程序，并保证提供任何与同期资料有关的数据及资料</w:t>
      </w:r>
    </w:p>
    <w:p w14:paraId="6270AA77"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1、 整理本公司基本资料信息，包括公司及所属集团的组织结构、企业生产经营情况、以及企业所处的行业分析等；</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1748769E"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2、 整理本公司关联交易的资料，包括关联交易情况、关联交易业务流程、与关联公司签订的合同、关联交易的定价情况及其他相关信息；</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51FB47A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3、 分析本公司和关联公司在关联业务往来中各自承担的功能和风险；</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2FF839EB"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4、 比较分析并选择适当的关联交易转让定价方法，用以分析和验证本公司与关联公司交易定价的合理性；</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60D2AFF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5、 选取可比企业，说明可比信息来源、可比企业选择过程，实施经济分析；</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0DB51DB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6、 运用合理的转让定价方法和可比性分析结果，确定可比非关联交易利润，确定正常情况下本公司与关联公司关联交易定价的合理范围；</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784131BE"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7、 根据以上实施程序，制作本报告。</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781E3E6E"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3B4DFE45"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3A205DBB"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06B89F69"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73C835C4" w14:textId="77777777" w:rsidR="004D1721" w:rsidRDefault="009B16BC">
      <w:pPr>
        <w:widowControl w:val="0"/>
        <w:tabs>
          <w:tab w:val="left" w:pos="5320"/>
        </w:tabs>
        <w:autoSpaceDE w:val="0"/>
        <w:autoSpaceDN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地址：邮编：</w:t>
      </w:r>
      <w:r>
        <w:rPr>
          <w:rFonts w:ascii="Arial Narrow" w:eastAsia="仿宋_GB2312" w:hAnsi="Arial Narrow" w:cs="Arial"/>
          <w:sz w:val="22"/>
          <w:szCs w:val="22"/>
        </w:rPr>
        <w:tab/>
        <w:t/>
      </w:r>
      <w:r>
        <w:rPr>
          <w:rFonts w:ascii="Arial Narrow" w:eastAsia="仿宋_GB2312" w:hAnsi="Arial Narrow" w:cs="Arial"/>
          <w:sz w:val="22"/>
          <w:szCs w:val="22"/>
        </w:rPr>
        <w:t/>
      </w:r>
    </w:p>
    <w:p w14:paraId="62C38A00" w14:textId="77777777" w:rsidR="004D1721" w:rsidRDefault="009B16BC">
      <w:pPr>
        <w:widowControl w:val="0"/>
        <w:tabs>
          <w:tab w:val="left" w:pos="5320"/>
        </w:tabs>
        <w:autoSpaceDE w:val="0"/>
        <w:autoSpaceDN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电话：传真：</w:t>
      </w:r>
      <w:r>
        <w:rPr>
          <w:rFonts w:ascii="Arial Narrow" w:eastAsia="仿宋_GB2312" w:hAnsi="Arial Narrow" w:cs="Arial"/>
          <w:sz w:val="22"/>
          <w:szCs w:val="22"/>
        </w:rPr>
        <w:tab/>
        <w:t/>
      </w:r>
      <w:r>
        <w:rPr>
          <w:rFonts w:ascii="Arial Narrow" w:eastAsia="仿宋_GB2312" w:hAnsi="Arial Narrow" w:cs="Arial"/>
          <w:sz w:val="22"/>
          <w:szCs w:val="22"/>
        </w:rPr>
        <w:t/>
      </w:r>
    </w:p>
    <w:p w14:paraId="02920E20" w14:textId="77777777" w:rsidR="004D1721" w:rsidRDefault="009B16BC">
      <w:pPr>
        <w:widowControl w:val="0"/>
        <w:autoSpaceDE w:val="0"/>
        <w:autoSpaceDN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电子信箱：</w:t>
      </w:r>
    </w:p>
    <w:p w14:paraId="38349939" w14:textId="77777777" w:rsidR="004D1721" w:rsidRDefault="004D1721">
      <w:pPr>
        <w:adjustRightInd w:val="0"/>
        <w:snapToGrid w:val="0"/>
        <w:spacing w:before="120" w:after="120"/>
        <w:ind w:leftChars="71" w:left="142" w:rightChars="42" w:right="84" w:firstLineChars="200" w:firstLine="440"/>
        <w:rPr>
          <w:rFonts w:ascii="Arial Narrow" w:eastAsia="仿宋_GB2312" w:hAnsi="Arial Narrow" w:cs="Arial"/>
          <w:sz w:val="22"/>
          <w:szCs w:val="22"/>
        </w:rPr>
      </w:pPr>
    </w:p>
    <w:p w14:paraId="54E6F101" w14:textId="77777777" w:rsidR="004D1721" w:rsidRDefault="009B16BC">
      <w:pPr>
        <w:widowControl w:val="0"/>
        <w:tabs>
          <w:tab w:val="left" w:pos="5320"/>
          <w:tab w:val="left" w:pos="5381"/>
          <w:tab w:val="left" w:pos="5861"/>
          <w:tab w:val="left" w:pos="6341"/>
        </w:tabs>
        <w:autoSpaceDE w:val="0"/>
        <w:autoSpaceDN w:val="0"/>
        <w:adjustRightInd w:val="0"/>
        <w:snapToGrid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声明单位（盖章）：法定代表人（签章）：</w:t>
      </w:r>
      <w:r>
        <w:rPr>
          <w:rFonts w:ascii="Arial Narrow" w:eastAsia="仿宋_GB2312" w:hAnsi="Arial Narrow" w:cs="Arial"/>
          <w:sz w:val="22"/>
          <w:szCs w:val="22"/>
        </w:rPr>
        <w:tab/>
        <w:t/>
      </w:r>
      <w:r>
        <w:rPr>
          <w:rFonts w:ascii="Arial Narrow" w:eastAsia="仿宋_GB2312" w:hAnsi="Arial Narrow" w:cs="Arial"/>
          <w:sz w:val="22"/>
          <w:szCs w:val="22"/>
        </w:rPr>
        <w:t/>
      </w:r>
    </w:p>
    <w:p w14:paraId="3AB8A747" w14:textId="77777777" w:rsidR="004D1721" w:rsidRDefault="009B16BC">
      <w:pPr>
        <w:widowControl w:val="0"/>
        <w:tabs>
          <w:tab w:val="left" w:pos="5330"/>
          <w:tab w:val="left" w:pos="5605"/>
          <w:tab w:val="left" w:pos="5861"/>
        </w:tabs>
        <w:autoSpaceDE w:val="0"/>
        <w:autoSpaceDN w:val="0"/>
        <w:adjustRightInd w:val="0"/>
        <w:snapToGrid w:val="0"/>
        <w:spacing w:before="120" w:after="120"/>
        <w:ind w:leftChars="71" w:left="142" w:rightChars="42" w:right="84"/>
        <w:rPr>
          <w:rFonts w:ascii="Arial Narrow" w:eastAsia="仿宋_GB2312" w:hAnsi="Arial Narrow" w:cs="Arial"/>
          <w:sz w:val="22"/>
          <w:szCs w:val="22"/>
        </w:rPr>
      </w:pPr>
      <w:r>
        <w:rPr>
          <w:rFonts w:ascii="Arial Narrow" w:eastAsia="仿宋_GB2312" w:hAnsi="Arial Narrow" w:cs="Arial"/>
          <w:sz w:val="22"/>
          <w:szCs w:val="22"/>
        </w:rPr>
        <w:tab/>
        <w:t>日期：年月日</w:t>
      </w:r>
      <w:r>
        <w:rPr>
          <w:rFonts w:ascii="Arial Narrow" w:eastAsia="仿宋_GB2312" w:hAnsi="Arial Narrow" w:cs="Arial"/>
          <w:sz w:val="22"/>
          <w:szCs w:val="22"/>
        </w:rPr>
        <w:t/>
      </w:r>
      <w:r>
        <w:rPr>
          <w:rFonts w:ascii="Arial Narrow" w:eastAsia="仿宋_GB2312" w:hAnsi="Arial Narrow" w:cs="Arial"/>
          <w:sz w:val="22"/>
          <w:szCs w:val="22"/>
        </w:rPr>
        <w:tab/>
        <w:t/>
      </w:r>
      <w:r>
        <w:rPr>
          <w:rFonts w:ascii="Arial Narrow" w:eastAsia="仿宋_GB2312" w:hAnsi="Arial Narrow" w:cs="Arial"/>
          <w:sz w:val="22"/>
          <w:szCs w:val="22"/>
        </w:rPr>
        <w:t/>
      </w:r>
      <w:r>
        <w:rPr>
          <w:rFonts w:ascii="Arial Narrow" w:eastAsia="仿宋_GB2312" w:hAnsi="Arial Narrow" w:cs="Arial"/>
          <w:sz w:val="22"/>
          <w:szCs w:val="22"/>
        </w:rPr>
        <w:tab/>
        <w:t/>
      </w:r>
      <w:r>
        <w:rPr>
          <w:rFonts w:ascii="Arial Narrow" w:eastAsia="仿宋_GB2312" w:hAnsi="Arial Narrow" w:cs="Arial"/>
          <w:sz w:val="22"/>
          <w:szCs w:val="22"/>
        </w:rPr>
        <w:t/>
      </w:r>
      <w:r>
        <w:rPr>
          <w:rFonts w:ascii="Arial Narrow" w:eastAsia="仿宋_GB2312" w:hAnsi="Arial Narrow" w:cs="Arial"/>
          <w:sz w:val="22"/>
          <w:szCs w:val="22"/>
        </w:rPr>
        <w:tab/>
        <w:t/>
      </w:r>
      <w:r>
        <w:rPr>
          <w:rFonts w:ascii="Arial Narrow" w:eastAsia="仿宋_GB2312" w:hAnsi="Arial Narrow" w:cs="Arial"/>
          <w:sz w:val="22"/>
          <w:szCs w:val="22"/>
        </w:rPr>
        <w:t/>
      </w:r>
    </w:p>
    <w:p w14:paraId="189E7D5D" w14:textId="77777777" w:rsidR="004D1721" w:rsidRDefault="009B16BC">
      <w:pPr>
        <w:rPr>
          <w:rFonts w:ascii="Arial Narrow" w:eastAsia="仿宋_GB2312" w:hAnsi="Arial Narrow" w:cs="Arial"/>
          <w:sz w:val="22"/>
          <w:szCs w:val="22"/>
        </w:rPr>
        <w:sectPr w:rsidR="004D1721">
          <w:headerReference w:type="even" r:id="rId11"/>
          <w:headerReference w:type="default" r:id="rId12"/>
          <w:footerReference w:type="default" r:id="rId13"/>
          <w:headerReference w:type="first" r:id="rId14"/>
          <w:pgSz w:w="11906" w:h="16838"/>
          <w:pgMar w:top="1440" w:right="1800" w:bottom="1440" w:left="1800" w:header="851" w:footer="992" w:gutter="0"/>
          <w:pgNumType w:fmt="upperRoman" w:start="1"/>
          <w:cols w:space="720"/>
          <w:docGrid w:type="lines" w:linePitch="312"/>
        </w:sectPr>
      </w:pPr>
      <w:r>
        <w:rPr>
          <w:rFonts w:ascii="Arial Narrow" w:eastAsia="仿宋_GB2312" w:hAnsi="Arial Narrow" w:cs="Arial"/>
          <w:sz w:val="22"/>
          <w:szCs w:val="22"/>
        </w:rPr>
        <w:br w:type="page"/>
      </w:r>
    </w:p>
    <w:sdt>
      <w:sdtPr>
        <w:rPr>
          <w:rFonts w:ascii="Times New Roman" w:eastAsia="宋体" w:hAnsi="Times New Roman"/>
          <w:b/>
          <w:bCs w:val="0"/>
          <w:color w:val="auto"/>
          <w:kern w:val="2"/>
          <w:sz w:val="20"/>
          <w:szCs w:val="20"/>
          <w:lang w:val="zh-CN" w:eastAsia="zh-CN"/>
        </w:rPr>
        <w:id w:val="1708448268"/>
      </w:sdtPr>
      <w:sdtEndPr>
        <w:rPr>
          <w:rFonts w:ascii="Arial Narrow" w:hAnsi="Arial Narrow" w:cs="Arial"/>
          <w:b w:val="0"/>
          <w:sz w:val="22"/>
          <w:szCs w:val="22"/>
        </w:rPr>
      </w:sdtEndPr>
      <w:sdtContent>
        <w:p w14:paraId="133C05BF" w14:textId="77777777" w:rsidR="004D1721" w:rsidRDefault="009B16BC">
          <w:pPr>
            <w:pStyle w:val="TOC10"/>
            <w:numPr>
              <w:ilvl w:val="0"/>
              <w:numId w:val="0"/>
            </w:numPr>
          </w:pPr>
          <w:r>
            <w:t>目录</w:t>
          </w:r>
        </w:p>
        <w:p w14:paraId="00B52344" w14:textId="77777777" w:rsidR="004D1721" w:rsidRDefault="009B16BC">
          <w:pPr>
            <w:pStyle w:val="TOC1"/>
            <w:rPr>
              <w:rFonts w:asciiTheme="minorHAnsi" w:eastAsiaTheme="minorEastAsia" w:hAnsiTheme="minorHAnsi" w:cstheme="minorBidi"/>
              <w:bCs w:val="0"/>
              <w:caps w:val="0"/>
              <w:sz w:val="21"/>
              <w:szCs w:val="22"/>
            </w:rPr>
          </w:pPr>
          <w:r>
            <w:rPr>
              <w:rFonts w:ascii="Arial Narrow" w:eastAsia="仿宋_GB2312" w:hAnsi="Arial Narrow" w:cs="Arial"/>
              <w:sz w:val="24"/>
              <w:szCs w:val="24"/>
              <w:lang w:val="zh-CN"/>
            </w:rPr>
            <w:fldChar w:fldCharType="begin"/>
          </w:r>
          <w:r>
            <w:rPr>
              <w:rFonts w:ascii="Arial Narrow" w:eastAsia="仿宋_GB2312" w:hAnsi="Arial Narrow" w:cs="Arial"/>
              <w:sz w:val="24"/>
              <w:szCs w:val="24"/>
              <w:lang w:val="zh-CN"/>
            </w:rPr>
            <w:instrText xml:space="preserve"> TOC \o "1-3" \h \z \u </w:instrText>
          </w:r>
          <w:r>
            <w:rPr>
              <w:rFonts w:ascii="Arial Narrow" w:eastAsia="仿宋_GB2312" w:hAnsi="Arial Narrow" w:cs="Arial"/>
              <w:sz w:val="24"/>
              <w:szCs w:val="24"/>
              <w:lang w:val="zh-CN"/>
            </w:rPr>
            <w:fldChar w:fldCharType="separate"/>
          </w:r>
          <w:hyperlink w:anchor="_Toc140505093" w:history="1">
            <w:r>
              <w:rPr>
                <w:rStyle w:val="Hyperlink"/>
                <w:rFonts w:ascii="Arial Narrow" w:eastAsia="仿宋_GB2312" w:hAnsi="Arial Narrow"/>
                <w:color w:val="auto"/>
              </w:rPr>
              <w:t>同期资料本地文档对照表</w:t>
            </w:r>
            <w:r>
              <w:tab/>
            </w:r>
            <w:r>
              <w:fldChar w:fldCharType="begin"/>
            </w:r>
            <w:r>
              <w:instrText xml:space="preserve"> PAGEREF _Toc140505093 \h </w:instrText>
            </w:r>
            <w:r>
              <w:fldChar w:fldCharType="separate"/>
            </w:r>
            <w:r>
              <w:t>i</w:t>
            </w:r>
            <w:r>
              <w:fldChar w:fldCharType="end"/>
            </w:r>
          </w:hyperlink>
        </w:p>
        <w:p w14:paraId="4016A7FE" w14:textId="77777777" w:rsidR="004D1721" w:rsidRDefault="00B35ABF">
          <w:pPr>
            <w:pStyle w:val="TOC1"/>
            <w:rPr>
              <w:rFonts w:asciiTheme="minorHAnsi" w:eastAsiaTheme="minorEastAsia" w:hAnsiTheme="minorHAnsi" w:cstheme="minorBidi"/>
              <w:bCs w:val="0"/>
              <w:caps w:val="0"/>
              <w:sz w:val="21"/>
              <w:szCs w:val="22"/>
            </w:rPr>
          </w:pPr>
          <w:hyperlink w:anchor="_Toc140505094" w:history="1">
            <w:r w:rsidR="009B16BC">
              <w:rPr>
                <w:rStyle w:val="Hyperlink"/>
                <w:rFonts w:ascii="Arial Narrow" w:eastAsia="仿宋_GB2312" w:hAnsi="Arial Narrow"/>
                <w:color w:val="auto"/>
              </w:rPr>
              <w:t>缩略语索引表</w:t>
            </w:r>
            <w:r w:rsidR="009B16BC">
              <w:tab/>
            </w:r>
            <w:r w:rsidR="009B16BC">
              <w:fldChar w:fldCharType="begin"/>
            </w:r>
            <w:r w:rsidR="009B16BC">
              <w:instrText xml:space="preserve"> PAGEREF _Toc140505094 \h </w:instrText>
            </w:r>
            <w:r w:rsidR="009B16BC">
              <w:fldChar w:fldCharType="separate"/>
            </w:r>
            <w:r w:rsidR="009B16BC">
              <w:t>iv</w:t>
            </w:r>
            <w:r w:rsidR="009B16BC">
              <w:fldChar w:fldCharType="end"/>
            </w:r>
          </w:hyperlink>
        </w:p>
        <w:p w14:paraId="40378F45" w14:textId="77777777" w:rsidR="004D1721" w:rsidRDefault="00B35ABF">
          <w:pPr>
            <w:pStyle w:val="TOC1"/>
            <w:tabs>
              <w:tab w:val="left" w:pos="480"/>
            </w:tabs>
            <w:rPr>
              <w:rFonts w:asciiTheme="minorHAnsi" w:eastAsiaTheme="minorEastAsia" w:hAnsiTheme="minorHAnsi" w:cstheme="minorBidi"/>
              <w:bCs w:val="0"/>
              <w:caps w:val="0"/>
              <w:sz w:val="21"/>
              <w:szCs w:val="22"/>
            </w:rPr>
          </w:pPr>
          <w:hyperlink w:anchor="_Toc140505095" w:history="1">
            <w:r w:rsidR="009B16BC">
              <w:rPr>
                <w:rStyle w:val="Hyperlink"/>
                <w:rFonts w:ascii="Arial Narrow" w:eastAsia="仿宋_GB2312" w:hAnsi="Arial Narrow"/>
                <w:color w:val="auto"/>
              </w:rPr>
              <w:t>1.</w:t>
            </w:r>
            <w:r w:rsidR="009B16BC">
              <w:rPr>
                <w:rFonts w:asciiTheme="minorHAnsi" w:eastAsiaTheme="minorEastAsia" w:hAnsiTheme="minorHAnsi" w:cstheme="minorBidi"/>
                <w:bCs w:val="0"/>
                <w:caps w:val="0"/>
                <w:sz w:val="21"/>
                <w:szCs w:val="22"/>
              </w:rPr>
              <w:tab/>
            </w:r>
            <w:r w:rsidR="009B16BC">
              <w:rPr>
                <w:rStyle w:val="Hyperlink"/>
                <w:rFonts w:ascii="Arial Narrow" w:eastAsia="仿宋_GB2312" w:hAnsi="Arial Narrow"/>
                <w:color w:val="auto"/>
              </w:rPr>
              <w:t>报告摘要</w:t>
            </w:r>
            <w:r w:rsidR="009B16BC">
              <w:tab/>
            </w:r>
            <w:r w:rsidR="009B16BC">
              <w:fldChar w:fldCharType="begin"/>
            </w:r>
            <w:r w:rsidR="009B16BC">
              <w:instrText xml:space="preserve"> PAGEREF _Toc140505095 \h </w:instrText>
            </w:r>
            <w:r w:rsidR="009B16BC">
              <w:fldChar w:fldCharType="separate"/>
            </w:r>
            <w:r w:rsidR="009B16BC">
              <w:t>1</w:t>
            </w:r>
            <w:r w:rsidR="009B16BC">
              <w:fldChar w:fldCharType="end"/>
            </w:r>
          </w:hyperlink>
        </w:p>
        <w:p w14:paraId="2E8020C3" w14:textId="77777777" w:rsidR="004D1721" w:rsidRDefault="00B35ABF">
          <w:pPr>
            <w:pStyle w:val="TOC2"/>
            <w:rPr>
              <w:rFonts w:asciiTheme="minorHAnsi" w:eastAsiaTheme="minorEastAsia" w:hAnsiTheme="minorHAnsi" w:cstheme="minorBidi"/>
              <w:sz w:val="21"/>
              <w:szCs w:val="22"/>
            </w:rPr>
          </w:pPr>
          <w:hyperlink w:anchor="_Toc140505096"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1.1</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范围和目的</w:t>
            </w:r>
            <w:r w:rsidR="009B16BC">
              <w:tab/>
            </w:r>
            <w:r w:rsidR="009B16BC">
              <w:fldChar w:fldCharType="begin"/>
            </w:r>
            <w:r w:rsidR="009B16BC">
              <w:instrText xml:space="preserve"> PAGEREF _Toc140505096 \h </w:instrText>
            </w:r>
            <w:r w:rsidR="009B16BC">
              <w:fldChar w:fldCharType="separate"/>
            </w:r>
            <w:r w:rsidR="009B16BC">
              <w:t>1</w:t>
            </w:r>
            <w:r w:rsidR="009B16BC">
              <w:fldChar w:fldCharType="end"/>
            </w:r>
          </w:hyperlink>
        </w:p>
        <w:p w14:paraId="04759264" w14:textId="77777777" w:rsidR="004D1721" w:rsidRDefault="00B35ABF">
          <w:pPr>
            <w:pStyle w:val="TOC2"/>
            <w:rPr>
              <w:rFonts w:asciiTheme="minorHAnsi" w:eastAsiaTheme="minorEastAsia" w:hAnsiTheme="minorHAnsi" w:cstheme="minorBidi"/>
              <w:sz w:val="21"/>
              <w:szCs w:val="22"/>
            </w:rPr>
          </w:pPr>
          <w:hyperlink w:anchor="_Toc140505097"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1.2</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受测关联交易</w:t>
            </w:r>
            <w:r w:rsidR="009B16BC">
              <w:tab/>
            </w:r>
            <w:r w:rsidR="009B16BC">
              <w:fldChar w:fldCharType="begin"/>
            </w:r>
            <w:r w:rsidR="009B16BC">
              <w:instrText xml:space="preserve"> PAGEREF _Toc140505097 \h </w:instrText>
            </w:r>
            <w:r w:rsidR="009B16BC">
              <w:fldChar w:fldCharType="separate"/>
            </w:r>
            <w:r w:rsidR="009B16BC">
              <w:t>1</w:t>
            </w:r>
            <w:r w:rsidR="009B16BC">
              <w:fldChar w:fldCharType="end"/>
            </w:r>
          </w:hyperlink>
        </w:p>
        <w:p w14:paraId="2D7DA6A0" w14:textId="77777777" w:rsidR="004D1721" w:rsidRDefault="00B35ABF">
          <w:pPr>
            <w:pStyle w:val="TOC2"/>
            <w:rPr>
              <w:rFonts w:asciiTheme="minorHAnsi" w:eastAsiaTheme="minorEastAsia" w:hAnsiTheme="minorHAnsi" w:cstheme="minorBidi"/>
              <w:sz w:val="21"/>
              <w:szCs w:val="22"/>
            </w:rPr>
          </w:pPr>
          <w:hyperlink w:anchor="_Toc140505098"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1.3</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功能和风险分析及价值链分析总结</w:t>
            </w:r>
            <w:r w:rsidR="009B16BC">
              <w:tab/>
            </w:r>
            <w:r w:rsidR="009B16BC">
              <w:fldChar w:fldCharType="begin"/>
            </w:r>
            <w:r w:rsidR="009B16BC">
              <w:instrText xml:space="preserve"> PAGEREF _Toc140505098 \h </w:instrText>
            </w:r>
            <w:r w:rsidR="009B16BC">
              <w:fldChar w:fldCharType="separate"/>
            </w:r>
            <w:r w:rsidR="009B16BC">
              <w:t>2</w:t>
            </w:r>
            <w:r w:rsidR="009B16BC">
              <w:fldChar w:fldCharType="end"/>
            </w:r>
          </w:hyperlink>
        </w:p>
        <w:p w14:paraId="486E069D" w14:textId="77777777" w:rsidR="004D1721" w:rsidRDefault="00B35ABF">
          <w:pPr>
            <w:pStyle w:val="TOC2"/>
            <w:rPr>
              <w:rFonts w:asciiTheme="minorHAnsi" w:eastAsiaTheme="minorEastAsia" w:hAnsiTheme="minorHAnsi" w:cstheme="minorBidi"/>
              <w:sz w:val="21"/>
              <w:szCs w:val="22"/>
            </w:rPr>
          </w:pPr>
          <w:hyperlink w:anchor="_Toc140505099"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1.4</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经济分析总结</w:t>
            </w:r>
            <w:r w:rsidR="009B16BC">
              <w:rPr>
                <w:rStyle w:val="Hyperlink"/>
                <w:rFonts w:ascii="Arial Narrow" w:eastAsia="仿宋_GB2312" w:hAnsi="Arial Narrow" w:cs="Arial"/>
                <w:color w:val="auto"/>
              </w:rPr>
              <w:t xml:space="preserve"> —— </w:t>
            </w:r>
            <w:r w:rsidR="009B16BC">
              <w:rPr>
                <w:rStyle w:val="Hyperlink"/>
                <w:rFonts w:ascii="Arial Narrow" w:eastAsia="仿宋_GB2312" w:hAnsi="Arial Narrow" w:cs="Arial"/>
                <w:color w:val="auto"/>
              </w:rPr>
              <w:t>对受测关联交易的分析</w:t>
            </w:r>
            <w:r w:rsidR="009B16BC">
              <w:tab/>
            </w:r>
            <w:r w:rsidR="009B16BC">
              <w:fldChar w:fldCharType="begin"/>
            </w:r>
            <w:r w:rsidR="009B16BC">
              <w:instrText xml:space="preserve"> PAGEREF _Toc140505099 \h </w:instrText>
            </w:r>
            <w:r w:rsidR="009B16BC">
              <w:fldChar w:fldCharType="separate"/>
            </w:r>
            <w:r w:rsidR="009B16BC">
              <w:t>2</w:t>
            </w:r>
            <w:r w:rsidR="009B16BC">
              <w:fldChar w:fldCharType="end"/>
            </w:r>
          </w:hyperlink>
        </w:p>
        <w:p w14:paraId="4000A19B" w14:textId="77777777" w:rsidR="004D1721" w:rsidRDefault="00B35ABF">
          <w:pPr>
            <w:pStyle w:val="TOC2"/>
            <w:rPr>
              <w:rFonts w:asciiTheme="minorHAnsi" w:eastAsiaTheme="minorEastAsia" w:hAnsiTheme="minorHAnsi" w:cstheme="minorBidi"/>
              <w:sz w:val="21"/>
              <w:szCs w:val="22"/>
            </w:rPr>
          </w:pPr>
          <w:hyperlink w:anchor="_Toc140505105"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1.5</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局限性</w:t>
            </w:r>
            <w:r w:rsidR="009B16BC">
              <w:tab/>
            </w:r>
            <w:r w:rsidR="009B16BC">
              <w:fldChar w:fldCharType="begin"/>
            </w:r>
            <w:r w:rsidR="009B16BC">
              <w:instrText xml:space="preserve"> PAGEREF _Toc140505105 \h </w:instrText>
            </w:r>
            <w:r w:rsidR="009B16BC">
              <w:fldChar w:fldCharType="separate"/>
            </w:r>
            <w:r w:rsidR="009B16BC">
              <w:t>3</w:t>
            </w:r>
            <w:r w:rsidR="009B16BC">
              <w:fldChar w:fldCharType="end"/>
            </w:r>
          </w:hyperlink>
        </w:p>
        <w:p w14:paraId="734498B6" w14:textId="77777777" w:rsidR="004D1721" w:rsidRDefault="00B35ABF">
          <w:pPr>
            <w:pStyle w:val="TOC1"/>
            <w:tabs>
              <w:tab w:val="left" w:pos="480"/>
            </w:tabs>
            <w:rPr>
              <w:rFonts w:asciiTheme="minorHAnsi" w:eastAsiaTheme="minorEastAsia" w:hAnsiTheme="minorHAnsi" w:cstheme="minorBidi"/>
              <w:bCs w:val="0"/>
              <w:caps w:val="0"/>
              <w:sz w:val="21"/>
              <w:szCs w:val="22"/>
            </w:rPr>
          </w:pPr>
          <w:hyperlink w:anchor="_Toc140505106" w:history="1">
            <w:r w:rsidR="009B16BC">
              <w:rPr>
                <w:rStyle w:val="Hyperlink"/>
                <w:rFonts w:ascii="Arial Narrow" w:eastAsia="仿宋_GB2312" w:hAnsi="Arial Narrow"/>
                <w:color w:val="auto"/>
              </w:rPr>
              <w:t>2.</w:t>
            </w:r>
            <w:r w:rsidR="009B16BC">
              <w:rPr>
                <w:rFonts w:asciiTheme="minorHAnsi" w:eastAsiaTheme="minorEastAsia" w:hAnsiTheme="minorHAnsi" w:cstheme="minorBidi"/>
                <w:bCs w:val="0"/>
                <w:caps w:val="0"/>
                <w:sz w:val="21"/>
                <w:szCs w:val="22"/>
              </w:rPr>
              <w:tab/>
            </w:r>
            <w:r w:rsidR="009B16BC">
              <w:rPr>
                <w:rStyle w:val="Hyperlink"/>
                <w:rFonts w:ascii="Arial Narrow" w:eastAsia="仿宋_GB2312" w:hAnsi="Arial Narrow"/>
                <w:color w:val="auto"/>
              </w:rPr>
              <w:t>企业概况</w:t>
            </w:r>
            <w:r w:rsidR="009B16BC">
              <w:tab/>
            </w:r>
            <w:r w:rsidR="009B16BC">
              <w:fldChar w:fldCharType="begin"/>
            </w:r>
            <w:r w:rsidR="009B16BC">
              <w:instrText xml:space="preserve"> PAGEREF _Toc140505106 \h </w:instrText>
            </w:r>
            <w:r w:rsidR="009B16BC">
              <w:fldChar w:fldCharType="separate"/>
            </w:r>
            <w:r w:rsidR="009B16BC">
              <w:t>5</w:t>
            </w:r>
            <w:r w:rsidR="009B16BC">
              <w:fldChar w:fldCharType="end"/>
            </w:r>
          </w:hyperlink>
        </w:p>
        <w:p w14:paraId="29A3836B" w14:textId="77777777" w:rsidR="004D1721" w:rsidRDefault="00B35ABF">
          <w:pPr>
            <w:pStyle w:val="TOC2"/>
            <w:rPr>
              <w:rFonts w:asciiTheme="minorHAnsi" w:eastAsiaTheme="minorEastAsia" w:hAnsiTheme="minorHAnsi" w:cstheme="minorBidi"/>
              <w:sz w:val="21"/>
              <w:szCs w:val="22"/>
            </w:rPr>
          </w:pPr>
          <w:hyperlink w:anchor="_Toc140505107"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2.1</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集团概况</w:t>
            </w:r>
            <w:r w:rsidR="009B16BC">
              <w:tab/>
            </w:r>
            <w:r w:rsidR="009B16BC">
              <w:fldChar w:fldCharType="begin"/>
            </w:r>
            <w:r w:rsidR="009B16BC">
              <w:instrText xml:space="preserve"> PAGEREF _Toc140505107 \h </w:instrText>
            </w:r>
            <w:r w:rsidR="009B16BC">
              <w:fldChar w:fldCharType="separate"/>
            </w:r>
            <w:r w:rsidR="009B16BC">
              <w:t>5</w:t>
            </w:r>
            <w:r w:rsidR="009B16BC">
              <w:fldChar w:fldCharType="end"/>
            </w:r>
          </w:hyperlink>
        </w:p>
        <w:p w14:paraId="00F558BF" w14:textId="77777777" w:rsidR="004D1721" w:rsidRDefault="00B35ABF">
          <w:pPr>
            <w:pStyle w:val="TOC2"/>
            <w:rPr>
              <w:rFonts w:asciiTheme="minorHAnsi" w:eastAsiaTheme="minorEastAsia" w:hAnsiTheme="minorHAnsi" w:cstheme="minorBidi"/>
              <w:sz w:val="21"/>
              <w:szCs w:val="22"/>
            </w:rPr>
          </w:pPr>
          <w:hyperlink w:anchor="_Toc140505108"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2.2</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公司概况</w:t>
            </w:r>
            <w:r w:rsidR="009B16BC">
              <w:tab/>
            </w:r>
            <w:r w:rsidR="009B16BC">
              <w:fldChar w:fldCharType="begin"/>
            </w:r>
            <w:r w:rsidR="009B16BC">
              <w:instrText xml:space="preserve"> PAGEREF _Toc140505108 \h </w:instrText>
            </w:r>
            <w:r w:rsidR="009B16BC">
              <w:fldChar w:fldCharType="separate"/>
            </w:r>
            <w:r w:rsidR="009B16BC">
              <w:t>5</w:t>
            </w:r>
            <w:r w:rsidR="009B16BC">
              <w:fldChar w:fldCharType="end"/>
            </w:r>
          </w:hyperlink>
        </w:p>
        <w:p w14:paraId="5F5A45B1" w14:textId="77777777" w:rsidR="004D1721" w:rsidRDefault="00B35ABF">
          <w:pPr>
            <w:pStyle w:val="TOC3"/>
            <w:rPr>
              <w:rFonts w:asciiTheme="minorHAnsi" w:eastAsiaTheme="minorEastAsia" w:hAnsiTheme="minorHAnsi" w:cstheme="minorBidi"/>
              <w:i w:val="0"/>
              <w:iCs w:val="0"/>
              <w:sz w:val="21"/>
              <w:szCs w:val="22"/>
            </w:rPr>
          </w:pPr>
          <w:hyperlink w:anchor="_Toc140505109"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2.2.1</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公司基本信息</w:t>
            </w:r>
            <w:r w:rsidR="009B16BC">
              <w:tab/>
            </w:r>
            <w:r w:rsidR="009B16BC">
              <w:fldChar w:fldCharType="begin"/>
            </w:r>
            <w:r w:rsidR="009B16BC">
              <w:instrText xml:space="preserve"> PAGEREF _Toc140505109 \h </w:instrText>
            </w:r>
            <w:r w:rsidR="009B16BC">
              <w:fldChar w:fldCharType="separate"/>
            </w:r>
            <w:r w:rsidR="009B16BC">
              <w:t>5</w:t>
            </w:r>
            <w:r w:rsidR="009B16BC">
              <w:fldChar w:fldCharType="end"/>
            </w:r>
          </w:hyperlink>
        </w:p>
        <w:p w14:paraId="25307AE2" w14:textId="77777777" w:rsidR="004D1721" w:rsidRDefault="00B35ABF">
          <w:pPr>
            <w:pStyle w:val="TOC3"/>
            <w:rPr>
              <w:rFonts w:asciiTheme="minorHAnsi" w:eastAsiaTheme="minorEastAsia" w:hAnsiTheme="minorHAnsi" w:cstheme="minorBidi"/>
              <w:i w:val="0"/>
              <w:iCs w:val="0"/>
              <w:sz w:val="21"/>
              <w:szCs w:val="22"/>
            </w:rPr>
          </w:pPr>
          <w:hyperlink w:anchor="_Toc140505110"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2.2.2</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公司组织结构图和主要部门</w:t>
            </w:r>
            <w:r w:rsidR="009B16BC">
              <w:tab/>
            </w:r>
            <w:r w:rsidR="009B16BC">
              <w:fldChar w:fldCharType="begin"/>
            </w:r>
            <w:r w:rsidR="009B16BC">
              <w:instrText xml:space="preserve"> PAGEREF _Toc140505110 \h </w:instrText>
            </w:r>
            <w:r w:rsidR="009B16BC">
              <w:fldChar w:fldCharType="separate"/>
            </w:r>
            <w:r w:rsidR="009B16BC">
              <w:t>6</w:t>
            </w:r>
            <w:r w:rsidR="009B16BC">
              <w:fldChar w:fldCharType="end"/>
            </w:r>
          </w:hyperlink>
        </w:p>
        <w:p w14:paraId="4FE6FE67" w14:textId="77777777" w:rsidR="004D1721" w:rsidRDefault="00B35ABF">
          <w:pPr>
            <w:pStyle w:val="TOC2"/>
            <w:rPr>
              <w:rFonts w:asciiTheme="minorHAnsi" w:eastAsiaTheme="minorEastAsia" w:hAnsiTheme="minorHAnsi" w:cstheme="minorBidi"/>
              <w:sz w:val="21"/>
              <w:szCs w:val="22"/>
            </w:rPr>
          </w:pPr>
          <w:hyperlink w:anchor="_Toc140505111"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2.3</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主营业务及财务状况</w:t>
            </w:r>
            <w:r w:rsidR="009B16BC">
              <w:tab/>
            </w:r>
            <w:r w:rsidR="009B16BC">
              <w:fldChar w:fldCharType="begin"/>
            </w:r>
            <w:r w:rsidR="009B16BC">
              <w:instrText xml:space="preserve"> PAGEREF _Toc140505111 \h </w:instrText>
            </w:r>
            <w:r w:rsidR="009B16BC">
              <w:fldChar w:fldCharType="separate"/>
            </w:r>
            <w:r w:rsidR="009B16BC">
              <w:t>7</w:t>
            </w:r>
            <w:r w:rsidR="009B16BC">
              <w:fldChar w:fldCharType="end"/>
            </w:r>
          </w:hyperlink>
        </w:p>
        <w:p w14:paraId="6BBA8823" w14:textId="77777777" w:rsidR="004D1721" w:rsidRDefault="00B35ABF">
          <w:pPr>
            <w:pStyle w:val="TOC2"/>
            <w:rPr>
              <w:rFonts w:asciiTheme="minorHAnsi" w:eastAsiaTheme="minorEastAsia" w:hAnsiTheme="minorHAnsi" w:cstheme="minorBidi"/>
              <w:sz w:val="21"/>
              <w:szCs w:val="22"/>
            </w:rPr>
          </w:pPr>
          <w:hyperlink w:anchor="_Toc140505112"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2.4</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本年度重大变化事项</w:t>
            </w:r>
            <w:r w:rsidR="009B16BC">
              <w:tab/>
            </w:r>
            <w:r w:rsidR="009B16BC">
              <w:fldChar w:fldCharType="begin"/>
            </w:r>
            <w:r w:rsidR="009B16BC">
              <w:instrText xml:space="preserve"> PAGEREF _Toc140505112 \h </w:instrText>
            </w:r>
            <w:r w:rsidR="009B16BC">
              <w:fldChar w:fldCharType="separate"/>
            </w:r>
            <w:r w:rsidR="009B16BC">
              <w:t>9</w:t>
            </w:r>
            <w:r w:rsidR="009B16BC">
              <w:fldChar w:fldCharType="end"/>
            </w:r>
          </w:hyperlink>
        </w:p>
        <w:p w14:paraId="6E0594EF" w14:textId="77777777" w:rsidR="004D1721" w:rsidRDefault="00B35ABF">
          <w:pPr>
            <w:pStyle w:val="TOC1"/>
            <w:tabs>
              <w:tab w:val="left" w:pos="480"/>
            </w:tabs>
            <w:rPr>
              <w:rFonts w:asciiTheme="minorHAnsi" w:eastAsiaTheme="minorEastAsia" w:hAnsiTheme="minorHAnsi" w:cstheme="minorBidi"/>
              <w:bCs w:val="0"/>
              <w:caps w:val="0"/>
              <w:sz w:val="21"/>
              <w:szCs w:val="22"/>
            </w:rPr>
          </w:pPr>
          <w:hyperlink w:anchor="_Toc140505113" w:history="1">
            <w:r w:rsidR="009B16BC">
              <w:rPr>
                <w:rStyle w:val="Hyperlink"/>
                <w:rFonts w:ascii="Arial Narrow" w:eastAsia="仿宋_GB2312" w:hAnsi="Arial Narrow"/>
                <w:color w:val="auto"/>
              </w:rPr>
              <w:t>3.</w:t>
            </w:r>
            <w:r w:rsidR="009B16BC">
              <w:rPr>
                <w:rFonts w:asciiTheme="minorHAnsi" w:eastAsiaTheme="minorEastAsia" w:hAnsiTheme="minorHAnsi" w:cstheme="minorBidi"/>
                <w:bCs w:val="0"/>
                <w:caps w:val="0"/>
                <w:sz w:val="21"/>
                <w:szCs w:val="22"/>
              </w:rPr>
              <w:tab/>
            </w:r>
            <w:r w:rsidR="009B16BC">
              <w:rPr>
                <w:rStyle w:val="Hyperlink"/>
                <w:rFonts w:ascii="Arial Narrow" w:eastAsia="仿宋_GB2312" w:hAnsi="Arial Narrow"/>
                <w:color w:val="auto"/>
              </w:rPr>
              <w:t>行业分析</w:t>
            </w:r>
            <w:r w:rsidR="009B16BC">
              <w:tab/>
            </w:r>
            <w:r w:rsidR="009B16BC">
              <w:fldChar w:fldCharType="begin"/>
            </w:r>
            <w:r w:rsidR="009B16BC">
              <w:instrText xml:space="preserve"> PAGEREF _Toc140505113 \h </w:instrText>
            </w:r>
            <w:r w:rsidR="009B16BC">
              <w:fldChar w:fldCharType="separate"/>
            </w:r>
            <w:r w:rsidR="009B16BC">
              <w:t>10</w:t>
            </w:r>
            <w:r w:rsidR="009B16BC">
              <w:fldChar w:fldCharType="end"/>
            </w:r>
          </w:hyperlink>
        </w:p>
        <w:p w14:paraId="672F7627" w14:textId="77777777" w:rsidR="004D1721" w:rsidRDefault="00B35ABF">
          <w:pPr>
            <w:pStyle w:val="TOC2"/>
            <w:rPr>
              <w:rFonts w:asciiTheme="minorHAnsi" w:eastAsiaTheme="minorEastAsia" w:hAnsiTheme="minorHAnsi" w:cstheme="minorBidi"/>
              <w:sz w:val="21"/>
              <w:szCs w:val="22"/>
            </w:rPr>
          </w:pPr>
          <w:hyperlink w:anchor="_Toc140505114"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3.1</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化妆品行业分析</w:t>
            </w:r>
            <w:r w:rsidR="009B16BC">
              <w:tab/>
            </w:r>
            <w:r w:rsidR="009B16BC">
              <w:fldChar w:fldCharType="begin"/>
            </w:r>
            <w:r w:rsidR="009B16BC">
              <w:instrText xml:space="preserve"> PAGEREF _Toc140505114 \h </w:instrText>
            </w:r>
            <w:r w:rsidR="009B16BC">
              <w:fldChar w:fldCharType="separate"/>
            </w:r>
            <w:r w:rsidR="009B16BC">
              <w:t>10</w:t>
            </w:r>
            <w:r w:rsidR="009B16BC">
              <w:fldChar w:fldCharType="end"/>
            </w:r>
          </w:hyperlink>
        </w:p>
        <w:p w14:paraId="22D4B493" w14:textId="77777777" w:rsidR="004D1721" w:rsidRDefault="00B35ABF">
          <w:pPr>
            <w:pStyle w:val="TOC3"/>
            <w:rPr>
              <w:rFonts w:asciiTheme="minorHAnsi" w:eastAsiaTheme="minorEastAsia" w:hAnsiTheme="minorHAnsi" w:cstheme="minorBidi"/>
              <w:i w:val="0"/>
              <w:iCs w:val="0"/>
              <w:sz w:val="21"/>
              <w:szCs w:val="22"/>
            </w:rPr>
          </w:pPr>
          <w:hyperlink w:anchor="_Toc140505115"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3.1.1</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化妆品概述</w:t>
            </w:r>
            <w:r w:rsidR="009B16BC">
              <w:tab/>
            </w:r>
            <w:r w:rsidR="009B16BC">
              <w:fldChar w:fldCharType="begin"/>
            </w:r>
            <w:r w:rsidR="009B16BC">
              <w:instrText xml:space="preserve"> PAGEREF _Toc140505115 \h </w:instrText>
            </w:r>
            <w:r w:rsidR="009B16BC">
              <w:fldChar w:fldCharType="separate"/>
            </w:r>
            <w:r w:rsidR="009B16BC">
              <w:t>10</w:t>
            </w:r>
            <w:r w:rsidR="009B16BC">
              <w:fldChar w:fldCharType="end"/>
            </w:r>
          </w:hyperlink>
        </w:p>
        <w:p w14:paraId="55202F49" w14:textId="77777777" w:rsidR="004D1721" w:rsidRDefault="00B35ABF">
          <w:pPr>
            <w:pStyle w:val="TOC3"/>
            <w:rPr>
              <w:rFonts w:asciiTheme="minorHAnsi" w:eastAsiaTheme="minorEastAsia" w:hAnsiTheme="minorHAnsi" w:cstheme="minorBidi"/>
              <w:i w:val="0"/>
              <w:iCs w:val="0"/>
              <w:sz w:val="21"/>
              <w:szCs w:val="22"/>
            </w:rPr>
          </w:pPr>
          <w:hyperlink w:anchor="_Toc140505116"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3.1.2</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全球行业分析</w:t>
            </w:r>
            <w:r w:rsidR="009B16BC">
              <w:tab/>
            </w:r>
            <w:r w:rsidR="009B16BC">
              <w:fldChar w:fldCharType="begin"/>
            </w:r>
            <w:r w:rsidR="009B16BC">
              <w:instrText xml:space="preserve"> PAGEREF _Toc140505116 \h </w:instrText>
            </w:r>
            <w:r w:rsidR="009B16BC">
              <w:fldChar w:fldCharType="separate"/>
            </w:r>
            <w:r w:rsidR="009B16BC">
              <w:t>11</w:t>
            </w:r>
            <w:r w:rsidR="009B16BC">
              <w:fldChar w:fldCharType="end"/>
            </w:r>
          </w:hyperlink>
        </w:p>
        <w:p w14:paraId="4EC2F316" w14:textId="691D7BDE" w:rsidR="004D1721" w:rsidRDefault="009B16BC">
          <w:pPr>
            <w:pStyle w:val="TOC3"/>
            <w:rPr>
              <w:rFonts w:asciiTheme="minorHAnsi" w:eastAsiaTheme="minorEastAsia" w:hAnsiTheme="minorHAnsi" w:cstheme="minorBidi"/>
              <w:i w:val="0"/>
              <w:iCs w:val="0"/>
              <w:sz w:val="21"/>
              <w:szCs w:val="22"/>
            </w:rPr>
          </w:pPr>
          <w:hyperlink w:anchor="_Toc140505117" w:history="1">
            <w:r>
              <w:rPr>
                <w:rStyle w:val="Hyperlink"/>
                <w:rFonts w:ascii="Arial Narrow" w:eastAsia="仿宋_GB2312" w:hAnsi="Arial Narrow" w:cs="Arial"/>
                <w:color w:val="auto"/>
                <w14:scene3d>
                  <w14:camera w14:prst="orthographicFront"/>
                  <w14:lightRig w14:rig="threePt" w14:dir="t">
                    <w14:rot w14:lat="0" w14:lon="0" w14:rev="0"/>
                  </w14:lightRig>
                </w14:scene3d>
              </w:rPr>
              <w:t>3.1.3</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中国行业分析</w:t>
            </w:r>
            <w:r>
              <w:tab/>
            </w:r>
            <w:r>
              <w:fldChar w:fldCharType="begin"/>
            </w:r>
            <w:r>
              <w:instrText xml:space="preserve"> PAGEREF _Toc140505117 \h </w:instrText>
            </w:r>
            <w:r>
              <w:fldChar w:fldCharType="separate"/>
            </w:r>
            <w:r>
              <w:t>13</w:t>
            </w:r>
            <w:r>
              <w:fldChar w:fldCharType="end"/>
            </w:r>
          </w:hyperlink>
        </w:p>
        <w:p w14:paraId="27F47E97" w14:textId="2B25F2A7" w:rsidR="004D1721" w:rsidRDefault="009B16BC">
          <w:pPr>
            <w:pStyle w:val="TOC3"/>
            <w:rPr>
              <w:rFonts w:asciiTheme="minorHAnsi" w:eastAsiaTheme="minorEastAsia" w:hAnsiTheme="minorHAnsi" w:cstheme="minorBidi"/>
              <w:i w:val="0"/>
              <w:iCs w:val="0"/>
              <w:sz w:val="21"/>
              <w:szCs w:val="22"/>
            </w:rPr>
          </w:pPr>
          <w:hyperlink w:anchor="_Toc140505118" w:history="1">
            <w:r>
              <w:rPr>
                <w:rStyle w:val="Hyperlink"/>
                <w:rFonts w:ascii="Arial Narrow" w:eastAsia="仿宋_GB2312" w:hAnsi="Arial Narrow" w:cs="Arial"/>
                <w:color w:val="auto"/>
                <w14:scene3d>
                  <w14:camera w14:prst="orthographicFront"/>
                  <w14:lightRig w14:rig="threePt" w14:dir="t">
                    <w14:rot w14:lat="0" w14:lon="0" w14:rev="0"/>
                  </w14:lightRig>
                </w14:scene3d>
              </w:rPr>
              <w:t>3.1.4</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中国化妆品行业存在问题分析</w:t>
            </w:r>
            <w:r>
              <w:tab/>
            </w:r>
            <w:r>
              <w:fldChar w:fldCharType="begin"/>
            </w:r>
            <w:r>
              <w:instrText xml:space="preserve"> PAGEREF _Toc140505118 \h </w:instrText>
            </w:r>
            <w:r>
              <w:fldChar w:fldCharType="separate"/>
            </w:r>
            <w:r>
              <w:t>16</w:t>
            </w:r>
            <w:r>
              <w:fldChar w:fldCharType="end"/>
            </w:r>
          </w:hyperlink>
        </w:p>
        <w:p w14:paraId="69A93A66" w14:textId="77777777" w:rsidR="004D1721" w:rsidRDefault="00B35ABF">
          <w:pPr>
            <w:pStyle w:val="TOC2"/>
            <w:rPr>
              <w:rFonts w:asciiTheme="minorHAnsi" w:eastAsiaTheme="minorEastAsia" w:hAnsiTheme="minorHAnsi" w:cstheme="minorBidi"/>
              <w:sz w:val="21"/>
              <w:szCs w:val="22"/>
            </w:rPr>
          </w:pPr>
          <w:hyperlink w:anchor="_Toc140505119"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3.2</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结论</w:t>
            </w:r>
            <w:r w:rsidR="009B16BC">
              <w:tab/>
            </w:r>
            <w:r w:rsidR="009B16BC">
              <w:fldChar w:fldCharType="begin"/>
            </w:r>
            <w:r w:rsidR="009B16BC">
              <w:instrText xml:space="preserve"> PAGEREF _Toc140505119 \h </w:instrText>
            </w:r>
            <w:r w:rsidR="009B16BC">
              <w:fldChar w:fldCharType="separate"/>
            </w:r>
            <w:r w:rsidR="009B16BC">
              <w:t>17</w:t>
            </w:r>
            <w:r w:rsidR="009B16BC">
              <w:fldChar w:fldCharType="end"/>
            </w:r>
          </w:hyperlink>
        </w:p>
        <w:p w14:paraId="1C324934" w14:textId="69DAC5EF"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20" w:history="1">
            <w:r>
              <w:rPr>
                <w:rStyle w:val="Hyperlink"/>
                <w:rFonts w:ascii="Arial Narrow" w:eastAsia="仿宋_GB2312" w:hAnsi="Arial Narrow"/>
                <w:color w:val="auto"/>
              </w:rPr>
              <w:t>4.</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关联交易</w:t>
            </w:r>
            <w:r>
              <w:tab/>
            </w:r>
            <w:r>
              <w:fldChar w:fldCharType="begin"/>
            </w:r>
            <w:r>
              <w:instrText xml:space="preserve"> PAGEREF _Toc140505120 \h </w:instrText>
            </w:r>
            <w:r>
              <w:fldChar w:fldCharType="separate"/>
            </w:r>
            <w:r>
              <w:t>18</w:t>
            </w:r>
            <w:r>
              <w:fldChar w:fldCharType="end"/>
            </w:r>
          </w:hyperlink>
        </w:p>
        <w:p w14:paraId="502F03D1" w14:textId="08E856CA" w:rsidR="004D1721" w:rsidRDefault="009B16BC">
          <w:pPr>
            <w:pStyle w:val="TOC2"/>
            <w:rPr>
              <w:rFonts w:asciiTheme="minorHAnsi" w:eastAsiaTheme="minorEastAsia" w:hAnsiTheme="minorHAnsi" w:cstheme="minorBidi"/>
              <w:sz w:val="21"/>
              <w:szCs w:val="22"/>
            </w:rPr>
          </w:pPr>
          <w:hyperlink w:anchor="_Toc140505121" w:history="1">
            <w:r>
              <w:rPr>
                <w:rStyle w:val="Hyperlink"/>
                <w:rFonts w:ascii="Arial Narrow" w:eastAsia="仿宋_GB2312" w:hAnsi="Arial Narrow" w:cs="Arial"/>
                <w:color w:val="auto"/>
                <w14:scene3d>
                  <w14:camera w14:prst="orthographicFront"/>
                  <w14:lightRig w14:rig="threePt" w14:dir="t">
                    <w14:rot w14:lat="0" w14:lon="0" w14:rev="0"/>
                  </w14:lightRig>
                </w14:scene3d>
              </w:rPr>
              <w:t>4.1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关联方信息</w:t>
            </w:r>
            <w:r>
              <w:tab/>
            </w:r>
            <w:r>
              <w:fldChar w:fldCharType="begin"/>
            </w:r>
            <w:r>
              <w:instrText xml:space="preserve"> PAGEREF _Toc140505121 \h </w:instrText>
            </w:r>
            <w:r>
              <w:fldChar w:fldCharType="separate"/>
            </w:r>
            <w:r>
              <w:t>18</w:t>
            </w:r>
            <w:r>
              <w:fldChar w:fldCharType="end"/>
            </w:r>
          </w:hyperlink>
        </w:p>
        <w:p w14:paraId="36B23E0C" w14:textId="54564B9D" w:rsidR="004D1721" w:rsidRDefault="009B16BC">
          <w:pPr>
            <w:pStyle w:val="TOC2"/>
            <w:rPr>
              <w:rFonts w:asciiTheme="minorHAnsi" w:eastAsiaTheme="minorEastAsia" w:hAnsiTheme="minorHAnsi" w:cstheme="minorBidi"/>
              <w:sz w:val="21"/>
              <w:szCs w:val="22"/>
            </w:rPr>
          </w:pPr>
          <w:hyperlink w:anchor="_Toc140505122" w:history="1">
            <w:r>
              <w:rPr>
                <w:rStyle w:val="Hyperlink"/>
                <w:rFonts w:ascii="Arial Narrow" w:eastAsia="仿宋_GB2312" w:hAnsi="Arial Narrow" w:cs="Arial"/>
                <w:color w:val="auto"/>
                <w14:scene3d>
                  <w14:camera w14:prst="orthographicFront"/>
                  <w14:lightRig w14:rig="threePt" w14:dir="t">
                    <w14:rot w14:lat="0" w14:lon="0" w14:rev="0"/>
                  </w14:lightRig>
                </w14:scene3d>
              </w:rPr>
              <w:t>4.2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主要关联交易</w:t>
            </w:r>
            <w:r>
              <w:tab/>
            </w:r>
            <w:r>
              <w:fldChar w:fldCharType="begin"/>
            </w:r>
            <w:r>
              <w:instrText xml:space="preserve"> PAGEREF _Toc140505122 \h </w:instrText>
            </w:r>
            <w:r>
              <w:fldChar w:fldCharType="separate"/>
            </w:r>
            <w:r>
              <w:t>18</w:t>
            </w:r>
            <w:r>
              <w:fldChar w:fldCharType="end"/>
            </w:r>
          </w:hyperlink>
        </w:p>
        <w:p w14:paraId="6F031305" w14:textId="0D9FA3C6" w:rsidR="004D1721" w:rsidRDefault="009B16BC">
          <w:pPr>
            <w:pStyle w:val="TOC2"/>
            <w:rPr>
              <w:rFonts w:asciiTheme="minorHAnsi" w:eastAsiaTheme="minorEastAsia" w:hAnsiTheme="minorHAnsi" w:cstheme="minorBidi"/>
              <w:sz w:val="21"/>
              <w:szCs w:val="22"/>
            </w:rPr>
          </w:pPr>
          <w:hyperlink w:anchor="_Toc140505123" w:history="1">
            <w:r>
              <w:rPr>
                <w:rStyle w:val="Hyperlink"/>
                <w:rFonts w:ascii="Arial Narrow" w:eastAsia="仿宋_GB2312" w:hAnsi="Arial Narrow" w:cs="Arial"/>
                <w:color w:val="auto"/>
                <w14:scene3d>
                  <w14:camera w14:prst="orthographicFront"/>
                  <w14:lightRig w14:rig="threePt" w14:dir="t">
                    <w14:rot w14:lat="0" w14:lon="0" w14:rev="0"/>
                  </w14:lightRig>
                </w14:scene3d>
              </w:rPr>
              <w:t>4.3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关联购销</w:t>
            </w:r>
            <w:r>
              <w:tab/>
            </w:r>
            <w:r>
              <w:fldChar w:fldCharType="begin"/>
            </w:r>
            <w:r>
              <w:instrText xml:space="preserve"> PAGEREF _Toc140505123 \h </w:instrText>
            </w:r>
            <w:r>
              <w:fldChar w:fldCharType="separate"/>
            </w:r>
            <w:r>
              <w:t>19</w:t>
            </w:r>
            <w:r>
              <w:fldChar w:fldCharType="end"/>
            </w:r>
          </w:hyperlink>
        </w:p>
        <w:p w14:paraId="63FD9DA7" w14:textId="405A9F52" w:rsidR="004D1721" w:rsidRDefault="009B16BC">
          <w:pPr>
            <w:pStyle w:val="TOC3"/>
            <w:rPr>
              <w:rFonts w:asciiTheme="minorHAnsi" w:eastAsiaTheme="minorEastAsia" w:hAnsiTheme="minorHAnsi" w:cstheme="minorBidi"/>
              <w:i w:val="0"/>
              <w:iCs w:val="0"/>
              <w:sz w:val="21"/>
              <w:szCs w:val="22"/>
            </w:rPr>
          </w:pPr>
          <w:hyperlink w:anchor="_Toc140505124" w:history="1">
            <w:r>
              <w:rPr>
                <w:rStyle w:val="Hyperlink"/>
                <w:rFonts w:ascii="Arial Narrow" w:eastAsia="仿宋_GB2312" w:hAnsi="Arial Narrow" w:cs="Arial"/>
                <w:color w:val="auto"/>
                <w14:scene3d>
                  <w14:camera w14:prst="orthographicFront"/>
                  <w14:lightRig w14:rig="threePt" w14:dir="t">
                    <w14:rot w14:lat="0" w14:lon="0" w14:rev="0"/>
                  </w14:lightRig>
                </w14:scene3d>
              </w:rPr>
              <w:t>4.3.1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交易流程</w:t>
            </w:r>
            <w:r>
              <w:tab/>
            </w:r>
            <w:r>
              <w:fldChar w:fldCharType="begin"/>
            </w:r>
            <w:r>
              <w:instrText xml:space="preserve"> PAGEREF _Toc140505124 \h </w:instrText>
            </w:r>
            <w:r>
              <w:fldChar w:fldCharType="separate"/>
            </w:r>
            <w:r>
              <w:t>19</w:t>
            </w:r>
            <w:r>
              <w:fldChar w:fldCharType="end"/>
            </w:r>
          </w:hyperlink>
        </w:p>
        <w:p w14:paraId="1395ECCF" w14:textId="6F9EF610" w:rsidR="004D1721" w:rsidRDefault="009B16BC">
          <w:pPr>
            <w:pStyle w:val="TOC3"/>
            <w:rPr>
              <w:rFonts w:asciiTheme="minorHAnsi" w:eastAsiaTheme="minorEastAsia" w:hAnsiTheme="minorHAnsi" w:cstheme="minorBidi"/>
              <w:i w:val="0"/>
              <w:iCs w:val="0"/>
              <w:sz w:val="21"/>
              <w:szCs w:val="22"/>
            </w:rPr>
          </w:pPr>
          <w:hyperlink w:anchor="_Toc140505125" w:history="1">
            <w:r>
              <w:rPr>
                <w:rStyle w:val="Hyperlink"/>
                <w:rFonts w:ascii="Arial Narrow" w:eastAsia="仿宋_GB2312" w:hAnsi="Arial Narrow" w:cs="Arial"/>
                <w:color w:val="auto"/>
                <w14:scene3d>
                  <w14:camera w14:prst="orthographicFront"/>
                  <w14:lightRig w14:rig="threePt" w14:dir="t">
                    <w14:rot w14:lat="0" w14:lon="0" w14:rev="0"/>
                  </w14:lightRig>
                </w14:scene3d>
              </w:rPr>
              <w:t>4.3.2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交易明细</w:t>
            </w:r>
            <w:r>
              <w:tab/>
            </w:r>
            <w:r>
              <w:fldChar w:fldCharType="begin"/>
            </w:r>
            <w:r>
              <w:instrText xml:space="preserve"> PAGEREF _Toc140505125 \h </w:instrText>
            </w:r>
            <w:r>
              <w:fldChar w:fldCharType="separate"/>
            </w:r>
            <w:r>
              <w:t>19</w:t>
            </w:r>
            <w:r>
              <w:fldChar w:fldCharType="end"/>
            </w:r>
          </w:hyperlink>
        </w:p>
        <w:p w14:paraId="79AA6C34" w14:textId="4052A585" w:rsidR="004D1721" w:rsidRDefault="009B16BC">
          <w:pPr>
            <w:pStyle w:val="TOC3"/>
            <w:rPr>
              <w:rFonts w:asciiTheme="minorHAnsi" w:eastAsiaTheme="minorEastAsia" w:hAnsiTheme="minorHAnsi" w:cstheme="minorBidi"/>
              <w:i w:val="0"/>
              <w:iCs w:val="0"/>
              <w:sz w:val="21"/>
              <w:szCs w:val="22"/>
            </w:rPr>
          </w:pPr>
          <w:hyperlink w:anchor="_Toc140505126" w:history="1">
            <w:r>
              <w:rPr>
                <w:rStyle w:val="Hyperlink"/>
                <w:rFonts w:ascii="Arial Narrow" w:eastAsia="仿宋_GB2312" w:hAnsi="Arial Narrow" w:cs="Arial"/>
                <w:color w:val="auto"/>
                <w14:scene3d>
                  <w14:camera w14:prst="orthographicFront"/>
                  <w14:lightRig w14:rig="threePt" w14:dir="t">
                    <w14:rot w14:lat="0" w14:lon="0" w14:rev="0"/>
                  </w14:lightRig>
                </w14:scene3d>
              </w:rPr>
              <w:t>4.3.3</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交易定价政策</w:t>
            </w:r>
            <w:r>
              <w:tab/>
            </w:r>
            <w:r>
              <w:fldChar w:fldCharType="begin"/>
            </w:r>
            <w:r>
              <w:instrText xml:space="preserve"> PAGEREF _Toc140505126 \h </w:instrText>
            </w:r>
            <w:r>
              <w:fldChar w:fldCharType="separate"/>
            </w:r>
            <w:r>
              <w:t>20</w:t>
            </w:r>
            <w:r>
              <w:fldChar w:fldCharType="end"/>
            </w:r>
          </w:hyperlink>
        </w:p>
        <w:p w14:paraId="1A061123" w14:textId="3DA4B3C3" w:rsidR="004D1721" w:rsidRDefault="009B16BC">
          <w:pPr>
            <w:pStyle w:val="TOC2"/>
            <w:rPr>
              <w:rFonts w:asciiTheme="minorHAnsi" w:eastAsiaTheme="minorEastAsia" w:hAnsiTheme="minorHAnsi" w:cstheme="minorBidi"/>
              <w:sz w:val="21"/>
              <w:szCs w:val="22"/>
            </w:rPr>
          </w:pPr>
          <w:hyperlink w:anchor="_Toc140505127" w:history="1">
            <w:r>
              <w:rPr>
                <w:rStyle w:val="Hyperlink"/>
                <w:rFonts w:ascii="Arial Narrow" w:eastAsia="仿宋_GB2312" w:hAnsi="Arial Narrow" w:cs="Arial"/>
                <w:color w:val="auto"/>
                <w14:scene3d>
                  <w14:camera w14:prst="orthographicFront"/>
                  <w14:lightRig w14:rig="threePt" w14:dir="t">
                    <w14:rot w14:lat="0" w14:lon="0" w14:rev="0"/>
                  </w14:lightRig>
                </w14:scene3d>
              </w:rPr>
              <w:t>4.4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关联交易合同及执行汇总</w:t>
            </w:r>
            <w:r>
              <w:tab/>
            </w:r>
            <w:r>
              <w:fldChar w:fldCharType="begin"/>
            </w:r>
            <w:r>
              <w:instrText xml:space="preserve"> PAGEREF _Toc140505127 \h </w:instrText>
            </w:r>
            <w:r>
              <w:fldChar w:fldCharType="separate"/>
            </w:r>
            <w:r>
              <w:t>20</w:t>
            </w:r>
            <w:r>
              <w:fldChar w:fldCharType="end"/>
            </w:r>
          </w:hyperlink>
        </w:p>
        <w:p w14:paraId="75CC2422" w14:textId="72910E83" w:rsidR="004D1721" w:rsidRDefault="009B16BC">
          <w:pPr>
            <w:pStyle w:val="TOC2"/>
            <w:rPr>
              <w:rFonts w:asciiTheme="minorHAnsi" w:eastAsiaTheme="minorEastAsia" w:hAnsiTheme="minorHAnsi" w:cstheme="minorBidi"/>
              <w:sz w:val="21"/>
              <w:szCs w:val="22"/>
            </w:rPr>
          </w:pPr>
          <w:hyperlink w:anchor="_Toc140505128" w:history="1">
            <w:r>
              <w:rPr>
                <w:rStyle w:val="Hyperlink"/>
                <w:rFonts w:ascii="Arial Narrow" w:eastAsia="仿宋_GB2312" w:hAnsi="Arial Narrow" w:cs="Arial"/>
                <w:color w:val="auto"/>
                <w14:scene3d>
                  <w14:camera w14:prst="orthographicFront"/>
                  <w14:lightRig w14:rig="threePt" w14:dir="t">
                    <w14:rot w14:lat="0" w14:lon="0" w14:rev="0"/>
                  </w14:lightRig>
                </w14:scene3d>
              </w:rPr>
              <w:t>4.5</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与企业关联交易直接相关的预约定价安排和其他税收裁定</w:t>
            </w:r>
            <w:r>
              <w:tab/>
            </w:r>
            <w:r>
              <w:fldChar w:fldCharType="begin"/>
            </w:r>
            <w:r>
              <w:instrText xml:space="preserve"> PAGEREF _Toc140505128 \h </w:instrText>
            </w:r>
            <w:r>
              <w:fldChar w:fldCharType="separate"/>
            </w:r>
            <w:r>
              <w:t>20</w:t>
            </w:r>
            <w:r>
              <w:fldChar w:fldCharType="end"/>
            </w:r>
          </w:hyperlink>
        </w:p>
        <w:p w14:paraId="339323F0" w14:textId="41E6AD27" w:rsidR="004D1721" w:rsidRDefault="009B16BC">
          <w:pPr>
            <w:pStyle w:val="TOC2"/>
            <w:rPr>
              <w:rFonts w:asciiTheme="minorHAnsi" w:eastAsiaTheme="minorEastAsia" w:hAnsiTheme="minorHAnsi" w:cstheme="minorBidi"/>
              <w:sz w:val="21"/>
              <w:szCs w:val="22"/>
            </w:rPr>
          </w:pPr>
          <w:hyperlink w:anchor="_Toc140505129" w:history="1">
            <w:r>
              <w:rPr>
                <w:rStyle w:val="Hyperlink"/>
                <w:rFonts w:ascii="Arial Narrow" w:eastAsia="仿宋_GB2312" w:hAnsi="Arial Narrow" w:cs="Arial"/>
                <w:color w:val="auto"/>
                <w14:scene3d>
                  <w14:camera w14:prst="orthographicFront"/>
                  <w14:lightRig w14:rig="threePt" w14:dir="t">
                    <w14:rot w14:lat="0" w14:lon="0" w14:rev="0"/>
                  </w14:lightRig>
                </w14:scene3d>
              </w:rPr>
              <w:t>4.6</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关联交易财务状况</w:t>
            </w:r>
            <w:r>
              <w:tab/>
            </w:r>
            <w:r>
              <w:fldChar w:fldCharType="begin"/>
            </w:r>
            <w:r>
              <w:instrText xml:space="preserve"> PAGEREF _Toc140505129 \h </w:instrText>
            </w:r>
            <w:r>
              <w:fldChar w:fldCharType="separate"/>
            </w:r>
            <w:r>
              <w:t>20</w:t>
            </w:r>
            <w:r>
              <w:fldChar w:fldCharType="end"/>
            </w:r>
          </w:hyperlink>
        </w:p>
        <w:p w14:paraId="2ED68422" w14:textId="498D8ADB" w:rsidR="004D1721" w:rsidRDefault="009B16BC">
          <w:pPr>
            <w:pStyle w:val="TOC2"/>
            <w:rPr>
              <w:rFonts w:asciiTheme="minorHAnsi" w:eastAsiaTheme="minorEastAsia" w:hAnsiTheme="minorHAnsi" w:cstheme="minorBidi"/>
              <w:sz w:val="21"/>
              <w:szCs w:val="22"/>
            </w:rPr>
          </w:pPr>
          <w:hyperlink w:anchor="_Toc140505130" w:history="1">
            <w:r>
              <w:rPr>
                <w:rStyle w:val="Hyperlink"/>
                <w:rFonts w:ascii="Arial Narrow" w:eastAsia="仿宋_GB2312" w:hAnsi="Arial Narrow" w:cs="Arial"/>
                <w:color w:val="auto"/>
                <w14:scene3d>
                  <w14:camera w14:prst="orthographicFront"/>
                  <w14:lightRig w14:rig="threePt" w14:dir="t">
                    <w14:rot w14:lat="0" w14:lon="0" w14:rev="0"/>
                  </w14:lightRig>
                </w14:scene3d>
              </w:rPr>
              <w:t>4.7</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结论</w:t>
            </w:r>
            <w:r>
              <w:tab/>
            </w:r>
            <w:r>
              <w:fldChar w:fldCharType="begin"/>
            </w:r>
            <w:r>
              <w:instrText xml:space="preserve"> PAGEREF _Toc140505130 \h </w:instrText>
            </w:r>
            <w:r>
              <w:fldChar w:fldCharType="separate"/>
            </w:r>
            <w:r>
              <w:t>21</w:t>
            </w:r>
            <w:r>
              <w:fldChar w:fldCharType="end"/>
            </w:r>
          </w:hyperlink>
        </w:p>
        <w:p w14:paraId="7697CCF0" w14:textId="5614DDA8"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31" w:history="1">
            <w:r>
              <w:rPr>
                <w:rStyle w:val="Hyperlink"/>
                <w:rFonts w:ascii="Arial Narrow" w:eastAsia="仿宋_GB2312" w:hAnsi="Arial Narrow"/>
                <w:color w:val="auto"/>
              </w:rPr>
              <w:t>5.</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功能和风险分析</w:t>
            </w:r>
            <w:r>
              <w:tab/>
            </w:r>
            <w:r>
              <w:fldChar w:fldCharType="begin"/>
            </w:r>
            <w:r>
              <w:instrText xml:space="preserve"> PAGEREF _Toc140505131 \h </w:instrText>
            </w:r>
            <w:r>
              <w:fldChar w:fldCharType="separate"/>
            </w:r>
            <w:r>
              <w:t>22</w:t>
            </w:r>
            <w:r>
              <w:fldChar w:fldCharType="end"/>
            </w:r>
          </w:hyperlink>
        </w:p>
        <w:p w14:paraId="389E030E" w14:textId="798857A9" w:rsidR="004D1721" w:rsidRDefault="009B16BC">
          <w:pPr>
            <w:pStyle w:val="TOC2"/>
            <w:rPr>
              <w:rFonts w:asciiTheme="minorHAnsi" w:eastAsiaTheme="minorEastAsia" w:hAnsiTheme="minorHAnsi" w:cstheme="minorBidi"/>
              <w:sz w:val="21"/>
              <w:szCs w:val="22"/>
            </w:rPr>
          </w:pPr>
          <w:hyperlink w:anchor="_Toc140505132" w:history="1">
            <w:r>
              <w:rPr>
                <w:rStyle w:val="Hyperlink"/>
                <w:rFonts w:ascii="Arial Narrow" w:eastAsia="仿宋_GB2312" w:hAnsi="Arial Narrow" w:cs="Arial"/>
                <w:color w:val="auto"/>
                <w14:scene3d>
                  <w14:camera w14:prst="orthographicFront"/>
                  <w14:lightRig w14:rig="threePt" w14:dir="t">
                    <w14:rot w14:lat="0" w14:lon="0" w14:rev="0"/>
                  </w14:lightRig>
                </w14:scene3d>
              </w:rPr>
              <w:t>5.1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简介</w:t>
            </w:r>
            <w:r>
              <w:tab/>
            </w:r>
            <w:r>
              <w:fldChar w:fldCharType="begin"/>
            </w:r>
            <w:r>
              <w:instrText xml:space="preserve"> PAGEREF _Toc140505132 \h </w:instrText>
            </w:r>
            <w:r>
              <w:fldChar w:fldCharType="separate"/>
            </w:r>
            <w:r>
              <w:t>22</w:t>
            </w:r>
            <w:r>
              <w:fldChar w:fldCharType="end"/>
            </w:r>
          </w:hyperlink>
        </w:p>
        <w:p w14:paraId="20E81145" w14:textId="7E97E23B" w:rsidR="004D1721" w:rsidRDefault="009B16BC">
          <w:pPr>
            <w:pStyle w:val="TOC2"/>
            <w:rPr>
              <w:rFonts w:asciiTheme="minorHAnsi" w:eastAsiaTheme="minorEastAsia" w:hAnsiTheme="minorHAnsi" w:cstheme="minorBidi"/>
              <w:sz w:val="21"/>
              <w:szCs w:val="22"/>
            </w:rPr>
          </w:pPr>
          <w:hyperlink w:anchor="_Toc140505133" w:history="1">
            <w:r>
              <w:rPr>
                <w:rStyle w:val="Hyperlink"/>
                <w:rFonts w:ascii="Arial Narrow" w:eastAsia="仿宋_GB2312" w:hAnsi="Arial Narrow" w:cs="Arial"/>
                <w:color w:val="auto"/>
                <w14:scene3d>
                  <w14:camera w14:prst="orthographicFront"/>
                  <w14:lightRig w14:rig="threePt" w14:dir="t">
                    <w14:rot w14:lat="0" w14:lon="0" w14:rev="0"/>
                  </w14:lightRig>
                </w14:scene3d>
              </w:rPr>
              <w:t>5.2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功能及风险分析</w:t>
            </w:r>
            <w:r>
              <w:tab/>
            </w:r>
            <w:r>
              <w:fldChar w:fldCharType="begin"/>
            </w:r>
            <w:r>
              <w:instrText xml:space="preserve"> PAGEREF _Toc140505133 \h </w:instrText>
            </w:r>
            <w:r>
              <w:fldChar w:fldCharType="separate"/>
            </w:r>
            <w:r>
              <w:t>22</w:t>
            </w:r>
            <w:r>
              <w:fldChar w:fldCharType="end"/>
            </w:r>
          </w:hyperlink>
        </w:p>
        <w:p w14:paraId="01EB4E1A" w14:textId="23CEEABF" w:rsidR="004D1721" w:rsidRDefault="009B16BC">
          <w:pPr>
            <w:pStyle w:val="TOC3"/>
            <w:rPr>
              <w:rFonts w:asciiTheme="minorHAnsi" w:eastAsiaTheme="minorEastAsia" w:hAnsiTheme="minorHAnsi" w:cstheme="minorBidi"/>
              <w:i w:val="0"/>
              <w:iCs w:val="0"/>
              <w:sz w:val="21"/>
              <w:szCs w:val="22"/>
            </w:rPr>
          </w:pPr>
          <w:hyperlink w:anchor="_Toc140505134" w:history="1">
            <w:r>
              <w:rPr>
                <w:rStyle w:val="Hyperlink"/>
                <w:rFonts w:ascii="Arial Narrow" w:eastAsia="仿宋_GB2312" w:hAnsi="Arial Narrow" w:cs="Arial"/>
                <w:color w:val="auto"/>
                <w14:scene3d>
                  <w14:camera w14:prst="orthographicFront"/>
                  <w14:lightRig w14:rig="threePt" w14:dir="t">
                    <w14:rot w14:lat="0" w14:lon="0" w14:rev="0"/>
                  </w14:lightRig>
                </w14:scene3d>
              </w:rPr>
              <w:t>5.2.1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功能分析</w:t>
            </w:r>
            <w:r>
              <w:tab/>
            </w:r>
            <w:r>
              <w:fldChar w:fldCharType="begin"/>
            </w:r>
            <w:r>
              <w:instrText xml:space="preserve"> PAGEREF _Toc140505134 \h </w:instrText>
            </w:r>
            <w:r>
              <w:fldChar w:fldCharType="separate"/>
            </w:r>
            <w:r>
              <w:t>22</w:t>
            </w:r>
            <w:r>
              <w:fldChar w:fldCharType="end"/>
            </w:r>
          </w:hyperlink>
        </w:p>
        <w:p w14:paraId="3B1FDA3E" w14:textId="541057DC" w:rsidR="004D1721" w:rsidRDefault="009B16BC">
          <w:pPr>
            <w:pStyle w:val="TOC3"/>
            <w:rPr>
              <w:rFonts w:asciiTheme="minorHAnsi" w:eastAsiaTheme="minorEastAsia" w:hAnsiTheme="minorHAnsi" w:cstheme="minorBidi"/>
              <w:i w:val="0"/>
              <w:iCs w:val="0"/>
              <w:sz w:val="21"/>
              <w:szCs w:val="22"/>
            </w:rPr>
          </w:pPr>
          <w:hyperlink w:anchor="_Toc140505135" w:history="1">
            <w:r>
              <w:rPr>
                <w:rStyle w:val="Hyperlink"/>
                <w:rFonts w:ascii="Arial Narrow" w:eastAsia="仿宋_GB2312" w:hAnsi="Arial Narrow" w:cs="Arial"/>
                <w:color w:val="auto"/>
                <w14:scene3d>
                  <w14:camera w14:prst="orthographicFront"/>
                  <w14:lightRig w14:rig="threePt" w14:dir="t">
                    <w14:rot w14:lat="0" w14:lon="0" w14:rev="0"/>
                  </w14:lightRig>
                </w14:scene3d>
              </w:rPr>
              <w:t>5.2.2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风险分析</w:t>
            </w:r>
            <w:r>
              <w:tab/>
            </w:r>
            <w:r>
              <w:fldChar w:fldCharType="begin"/>
            </w:r>
            <w:r>
              <w:instrText xml:space="preserve"> PAGEREF _Toc140505135 \h </w:instrText>
            </w:r>
            <w:r>
              <w:fldChar w:fldCharType="separate"/>
            </w:r>
            <w:r>
              <w:t>27</w:t>
            </w:r>
            <w:r>
              <w:fldChar w:fldCharType="end"/>
            </w:r>
          </w:hyperlink>
        </w:p>
        <w:p w14:paraId="5004491A" w14:textId="12076EC9" w:rsidR="004D1721" w:rsidRDefault="009B16BC">
          <w:pPr>
            <w:pStyle w:val="TOC2"/>
            <w:rPr>
              <w:rFonts w:asciiTheme="minorHAnsi" w:eastAsiaTheme="minorEastAsia" w:hAnsiTheme="minorHAnsi" w:cstheme="minorBidi"/>
              <w:sz w:val="21"/>
              <w:szCs w:val="22"/>
            </w:rPr>
          </w:pPr>
          <w:hyperlink w:anchor="_Toc140505136" w:history="1">
            <w:r>
              <w:rPr>
                <w:rStyle w:val="Hyperlink"/>
                <w:rFonts w:ascii="Arial Narrow" w:eastAsia="仿宋_GB2312" w:hAnsi="Arial Narrow" w:cs="Arial"/>
                <w:color w:val="auto"/>
                <w14:scene3d>
                  <w14:camera w14:prst="orthographicFront"/>
                  <w14:lightRig w14:rig="threePt" w14:dir="t">
                    <w14:rot w14:lat="0" w14:lon="0" w14:rev="0"/>
                  </w14:lightRig>
                </w14:scene3d>
              </w:rPr>
              <w:t>5.3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资产分析</w:t>
            </w:r>
            <w:r>
              <w:tab/>
            </w:r>
            <w:r>
              <w:fldChar w:fldCharType="begin"/>
            </w:r>
            <w:r>
              <w:instrText xml:space="preserve"> PAGEREF _Toc140505136 \h </w:instrText>
            </w:r>
            <w:r>
              <w:fldChar w:fldCharType="separate"/>
            </w:r>
            <w:r>
              <w:t>29</w:t>
            </w:r>
            <w:r>
              <w:fldChar w:fldCharType="end"/>
            </w:r>
          </w:hyperlink>
        </w:p>
        <w:p w14:paraId="4F754D5A" w14:textId="4231E305" w:rsidR="004D1721" w:rsidRDefault="009B16BC">
          <w:pPr>
            <w:pStyle w:val="TOC3"/>
            <w:rPr>
              <w:rFonts w:asciiTheme="minorHAnsi" w:eastAsiaTheme="minorEastAsia" w:hAnsiTheme="minorHAnsi" w:cstheme="minorBidi"/>
              <w:i w:val="0"/>
              <w:iCs w:val="0"/>
              <w:sz w:val="21"/>
              <w:szCs w:val="22"/>
            </w:rPr>
          </w:pPr>
          <w:hyperlink w:anchor="_Toc140505137" w:history="1">
            <w:r>
              <w:rPr>
                <w:rStyle w:val="Hyperlink"/>
                <w:rFonts w:ascii="Arial Narrow" w:eastAsia="仿宋_GB2312" w:hAnsi="Arial Narrow" w:cs="Arial"/>
                <w:color w:val="auto"/>
                <w14:scene3d>
                  <w14:camera w14:prst="orthographicFront"/>
                  <w14:lightRig w14:rig="threePt" w14:dir="t">
                    <w14:rot w14:lat="0" w14:lon="0" w14:rev="0"/>
                  </w14:lightRig>
                </w14:scene3d>
              </w:rPr>
              <w:t>5.3.1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有形资产</w:t>
            </w:r>
            <w:r>
              <w:tab/>
            </w:r>
            <w:r>
              <w:fldChar w:fldCharType="begin"/>
            </w:r>
            <w:r>
              <w:instrText xml:space="preserve"> PAGEREF _Toc140505137 \h </w:instrText>
            </w:r>
            <w:r>
              <w:fldChar w:fldCharType="separate"/>
            </w:r>
            <w:r>
              <w:t>30</w:t>
            </w:r>
            <w:r>
              <w:fldChar w:fldCharType="end"/>
            </w:r>
          </w:hyperlink>
        </w:p>
        <w:p w14:paraId="6225468B" w14:textId="0EDF1408" w:rsidR="004D1721" w:rsidRDefault="009B16BC">
          <w:pPr>
            <w:pStyle w:val="TOC3"/>
            <w:rPr>
              <w:rFonts w:asciiTheme="minorHAnsi" w:eastAsiaTheme="minorEastAsia" w:hAnsiTheme="minorHAnsi" w:cstheme="minorBidi"/>
              <w:i w:val="0"/>
              <w:iCs w:val="0"/>
              <w:sz w:val="21"/>
              <w:szCs w:val="22"/>
            </w:rPr>
          </w:pPr>
          <w:hyperlink w:anchor="_Toc140505138" w:history="1">
            <w:r>
              <w:rPr>
                <w:rStyle w:val="Hyperlink"/>
                <w:rFonts w:ascii="Arial Narrow" w:eastAsia="仿宋_GB2312" w:hAnsi="Arial Narrow" w:cs="Arial"/>
                <w:color w:val="auto"/>
                <w14:scene3d>
                  <w14:camera w14:prst="orthographicFront"/>
                  <w14:lightRig w14:rig="threePt" w14:dir="t">
                    <w14:rot w14:lat="0" w14:lon="0" w14:rev="0"/>
                  </w14:lightRig>
                </w14:scene3d>
              </w:rPr>
              <w:t>5.3.2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无形资产</w:t>
            </w:r>
            <w:r>
              <w:tab/>
            </w:r>
            <w:r>
              <w:fldChar w:fldCharType="begin"/>
            </w:r>
            <w:r>
              <w:instrText xml:space="preserve"> PAGEREF _Toc140505138 \h </w:instrText>
            </w:r>
            <w:r>
              <w:fldChar w:fldCharType="separate"/>
            </w:r>
            <w:r>
              <w:t>30</w:t>
            </w:r>
            <w:r>
              <w:fldChar w:fldCharType="end"/>
            </w:r>
          </w:hyperlink>
        </w:p>
        <w:p w14:paraId="4B101BF6" w14:textId="1F1028E3" w:rsidR="004D1721" w:rsidRDefault="009B16BC">
          <w:pPr>
            <w:pStyle w:val="TOC2"/>
            <w:rPr>
              <w:rFonts w:asciiTheme="minorHAnsi" w:eastAsiaTheme="minorEastAsia" w:hAnsiTheme="minorHAnsi" w:cstheme="minorBidi"/>
              <w:sz w:val="21"/>
              <w:szCs w:val="22"/>
            </w:rPr>
          </w:pPr>
          <w:hyperlink w:anchor="_Toc140505139" w:history="1">
            <w:r>
              <w:rPr>
                <w:rStyle w:val="Hyperlink"/>
                <w:rFonts w:ascii="Arial Narrow" w:eastAsia="仿宋_GB2312" w:hAnsi="Arial Narrow" w:cs="Arial"/>
                <w:color w:val="auto"/>
                <w14:scene3d>
                  <w14:camera w14:prst="orthographicFront"/>
                  <w14:lightRig w14:rig="threePt" w14:dir="t">
                    <w14:rot w14:lat="0" w14:lon="0" w14:rev="0"/>
                  </w14:lightRig>
                </w14:scene3d>
              </w:rPr>
              <w:t>5.4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小结</w:t>
            </w:r>
            <w:r>
              <w:tab/>
            </w:r>
            <w:r>
              <w:fldChar w:fldCharType="begin"/>
            </w:r>
            <w:r>
              <w:instrText xml:space="preserve"> PAGEREF _Toc140505139 \h </w:instrText>
            </w:r>
            <w:r>
              <w:fldChar w:fldCharType="separate"/>
            </w:r>
            <w:r>
              <w:t>30</w:t>
            </w:r>
            <w:r>
              <w:fldChar w:fldCharType="end"/>
            </w:r>
          </w:hyperlink>
        </w:p>
        <w:p w14:paraId="440D8190" w14:textId="49FD45DC"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40" w:history="1">
            <w:r>
              <w:rPr>
                <w:rStyle w:val="Hyperlink"/>
                <w:rFonts w:ascii="Arial Narrow" w:eastAsia="仿宋_GB2312" w:hAnsi="Arial Narrow"/>
                <w:color w:val="auto"/>
              </w:rPr>
              <w:t>6.</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价值链分析</w:t>
            </w:r>
            <w:r>
              <w:tab/>
            </w:r>
            <w:r>
              <w:fldChar w:fldCharType="begin"/>
            </w:r>
            <w:r>
              <w:instrText xml:space="preserve"> PAGEREF _Toc140505140 \h </w:instrText>
            </w:r>
            <w:r>
              <w:fldChar w:fldCharType="separate"/>
            </w:r>
            <w:r>
              <w:t>31</w:t>
            </w:r>
            <w:r>
              <w:fldChar w:fldCharType="end"/>
            </w:r>
          </w:hyperlink>
        </w:p>
        <w:p w14:paraId="553038F1" w14:textId="146DE802" w:rsidR="004D1721" w:rsidRDefault="009B16BC">
          <w:pPr>
            <w:pStyle w:val="TOC2"/>
            <w:rPr>
              <w:rFonts w:asciiTheme="minorHAnsi" w:eastAsiaTheme="minorEastAsia" w:hAnsiTheme="minorHAnsi" w:cstheme="minorBidi"/>
              <w:sz w:val="21"/>
              <w:szCs w:val="22"/>
            </w:rPr>
          </w:pPr>
          <w:hyperlink w:anchor="_Toc140505141" w:history="1">
            <w:r>
              <w:rPr>
                <w:rStyle w:val="Hyperlink"/>
                <w:rFonts w:ascii="Arial Narrow" w:eastAsia="仿宋_GB2312" w:hAnsi="Arial Narrow" w:cs="Arial"/>
                <w:color w:val="auto"/>
                <w14:scene3d>
                  <w14:camera w14:prst="orthographicFront"/>
                  <w14:lightRig w14:rig="threePt" w14:dir="t">
                    <w14:rot w14:lat="0" w14:lon="0" w14:rev="0"/>
                  </w14:lightRig>
                </w14:scene3d>
              </w:rPr>
              <w:t>6.1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确定关键价值驱动因素</w:t>
            </w:r>
            <w:r>
              <w:tab/>
            </w:r>
            <w:r>
              <w:fldChar w:fldCharType="begin"/>
            </w:r>
            <w:r>
              <w:instrText xml:space="preserve"> PAGEREF _Toc140505141 \h </w:instrText>
            </w:r>
            <w:r>
              <w:fldChar w:fldCharType="separate"/>
            </w:r>
            <w:r>
              <w:t>31</w:t>
            </w:r>
            <w:r>
              <w:fldChar w:fldCharType="end"/>
            </w:r>
          </w:hyperlink>
        </w:p>
        <w:p w14:paraId="36056844" w14:textId="576A5B75" w:rsidR="004D1721" w:rsidRDefault="009B16BC">
          <w:pPr>
            <w:pStyle w:val="TOC2"/>
            <w:rPr>
              <w:rFonts w:asciiTheme="minorHAnsi" w:eastAsiaTheme="minorEastAsia" w:hAnsiTheme="minorHAnsi" w:cstheme="minorBidi"/>
              <w:sz w:val="21"/>
              <w:szCs w:val="22"/>
            </w:rPr>
          </w:pPr>
          <w:hyperlink w:anchor="_Toc140505142" w:history="1">
            <w:r>
              <w:rPr>
                <w:rStyle w:val="Hyperlink"/>
                <w:rFonts w:ascii="Arial Narrow" w:eastAsia="仿宋_GB2312" w:hAnsi="Arial Narrow" w:cs="Arial"/>
                <w:color w:val="auto"/>
                <w14:scene3d>
                  <w14:camera w14:prst="orthographicFront"/>
                  <w14:lightRig w14:rig="threePt" w14:dir="t">
                    <w14:rot w14:lat="0" w14:lon="0" w14:rev="0"/>
                  </w14:lightRig>
                </w14:scene3d>
              </w:rPr>
              <w:t>6.2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集团价值链</w:t>
            </w:r>
            <w:r>
              <w:tab/>
            </w:r>
            <w:r>
              <w:fldChar w:fldCharType="begin"/>
            </w:r>
            <w:r>
              <w:instrText xml:space="preserve"> PAGEREF _Toc140505142 \h </w:instrText>
            </w:r>
            <w:r>
              <w:fldChar w:fldCharType="separate"/>
            </w:r>
            <w:r>
              <w:t>32</w:t>
            </w:r>
            <w:r>
              <w:fldChar w:fldCharType="end"/>
            </w:r>
          </w:hyperlink>
        </w:p>
        <w:p w14:paraId="087DD611" w14:textId="26438354" w:rsidR="004D1721" w:rsidRDefault="009B16BC">
          <w:pPr>
            <w:pStyle w:val="TOC2"/>
            <w:rPr>
              <w:rFonts w:asciiTheme="minorHAnsi" w:eastAsiaTheme="minorEastAsia" w:hAnsiTheme="minorHAnsi" w:cstheme="minorBidi"/>
              <w:sz w:val="21"/>
              <w:szCs w:val="22"/>
            </w:rPr>
          </w:pPr>
          <w:hyperlink w:anchor="_Toc140505143" w:history="1">
            <w:r>
              <w:rPr>
                <w:rStyle w:val="Hyperlink"/>
                <w:rFonts w:ascii="Arial Narrow" w:eastAsia="仿宋_GB2312" w:hAnsi="Arial Narrow" w:cs="Arial"/>
                <w:color w:val="auto"/>
                <w14:scene3d>
                  <w14:camera w14:prst="orthographicFront"/>
                  <w14:lightRig w14:rig="threePt" w14:dir="t">
                    <w14:rot w14:lat="0" w14:lon="0" w14:rev="0"/>
                  </w14:lightRig>
                </w14:scene3d>
              </w:rPr>
              <w:t>6.3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交易定价影响要素</w:t>
            </w:r>
            <w:r>
              <w:tab/>
            </w:r>
            <w:r>
              <w:fldChar w:fldCharType="begin"/>
            </w:r>
            <w:r>
              <w:instrText xml:space="preserve"> PAGEREF _Toc140505143 \h </w:instrText>
            </w:r>
            <w:r>
              <w:fldChar w:fldCharType="separate"/>
            </w:r>
            <w:r>
              <w:t>33</w:t>
            </w:r>
            <w:r>
              <w:fldChar w:fldCharType="end"/>
            </w:r>
          </w:hyperlink>
        </w:p>
        <w:p w14:paraId="5E8A0A17" w14:textId="0711EF9B" w:rsidR="004D1721" w:rsidRDefault="009B16BC">
          <w:pPr>
            <w:pStyle w:val="TOC3"/>
            <w:rPr>
              <w:rFonts w:asciiTheme="minorHAnsi" w:eastAsiaTheme="minorEastAsia" w:hAnsiTheme="minorHAnsi" w:cstheme="minorBidi"/>
              <w:i w:val="0"/>
              <w:iCs w:val="0"/>
              <w:sz w:val="21"/>
              <w:szCs w:val="22"/>
            </w:rPr>
          </w:pPr>
          <w:hyperlink w:anchor="_Toc140505144" w:history="1">
            <w:r>
              <w:rPr>
                <w:rStyle w:val="Hyperlink"/>
                <w:rFonts w:ascii="Arial Narrow" w:eastAsia="仿宋_GB2312" w:hAnsi="Arial Narrow" w:cs="Arial"/>
                <w:color w:val="auto"/>
                <w14:scene3d>
                  <w14:camera w14:prst="orthographicFront"/>
                  <w14:lightRig w14:rig="threePt" w14:dir="t">
                    <w14:rot w14:lat="0" w14:lon="0" w14:rev="0"/>
                  </w14:lightRig>
                </w14:scene3d>
              </w:rPr>
              <w:t>6.3.1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地域成本节约</w:t>
            </w:r>
            <w:r>
              <w:tab/>
            </w:r>
            <w:r>
              <w:fldChar w:fldCharType="begin"/>
            </w:r>
            <w:r>
              <w:instrText xml:space="preserve"> PAGEREF _Toc140505144 \h </w:instrText>
            </w:r>
            <w:r>
              <w:fldChar w:fldCharType="separate"/>
            </w:r>
            <w:r>
              <w:t>34</w:t>
            </w:r>
            <w:r>
              <w:fldChar w:fldCharType="end"/>
            </w:r>
          </w:hyperlink>
        </w:p>
        <w:p w14:paraId="70B1EBDE" w14:textId="5621C8BA" w:rsidR="004D1721" w:rsidRDefault="009B16BC">
          <w:pPr>
            <w:pStyle w:val="TOC3"/>
            <w:rPr>
              <w:rFonts w:asciiTheme="minorHAnsi" w:eastAsiaTheme="minorEastAsia" w:hAnsiTheme="minorHAnsi" w:cstheme="minorBidi"/>
              <w:i w:val="0"/>
              <w:iCs w:val="0"/>
              <w:sz w:val="21"/>
              <w:szCs w:val="22"/>
            </w:rPr>
          </w:pPr>
          <w:hyperlink w:anchor="_Toc140505145" w:history="1">
            <w:r>
              <w:rPr>
                <w:rStyle w:val="Hyperlink"/>
                <w:rFonts w:ascii="Arial Narrow" w:eastAsia="仿宋_GB2312" w:hAnsi="Arial Narrow" w:cs="Arial"/>
                <w:color w:val="auto"/>
                <w14:scene3d>
                  <w14:camera w14:prst="orthographicFront"/>
                  <w14:lightRig w14:rig="threePt" w14:dir="t">
                    <w14:rot w14:lat="0" w14:lon="0" w14:rev="0"/>
                  </w14:lightRig>
                </w14:scene3d>
              </w:rPr>
              <w:t>6.3.2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市场溢价</w:t>
            </w:r>
            <w:r>
              <w:tab/>
            </w:r>
            <w:r>
              <w:fldChar w:fldCharType="begin"/>
            </w:r>
            <w:r>
              <w:instrText xml:space="preserve"> PAGEREF _Toc140505145 \h </w:instrText>
            </w:r>
            <w:r>
              <w:fldChar w:fldCharType="separate"/>
            </w:r>
            <w:r>
              <w:t>35</w:t>
            </w:r>
            <w:r>
              <w:fldChar w:fldCharType="end"/>
            </w:r>
          </w:hyperlink>
        </w:p>
        <w:p w14:paraId="74B2A9D8" w14:textId="691E62FB" w:rsidR="004D1721" w:rsidRDefault="009B16BC">
          <w:pPr>
            <w:pStyle w:val="TOC2"/>
            <w:rPr>
              <w:rFonts w:asciiTheme="minorHAnsi" w:eastAsiaTheme="minorEastAsia" w:hAnsiTheme="minorHAnsi" w:cstheme="minorBidi"/>
              <w:sz w:val="21"/>
              <w:szCs w:val="22"/>
            </w:rPr>
          </w:pPr>
          <w:hyperlink w:anchor="_Toc140505146" w:history="1">
            <w:r>
              <w:rPr>
                <w:rStyle w:val="Hyperlink"/>
                <w:rFonts w:ascii="Arial Narrow" w:eastAsia="仿宋_GB2312" w:hAnsi="Arial Narrow" w:cs="Arial"/>
                <w:color w:val="auto"/>
                <w14:scene3d>
                  <w14:camera w14:prst="orthographicFront"/>
                  <w14:lightRig w14:rig="threePt" w14:dir="t">
                    <w14:rot w14:lat="0" w14:lon="0" w14:rev="0"/>
                  </w14:lightRig>
                </w14:scene3d>
              </w:rPr>
              <w:t>6.4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价值链各参与方财务报表</w:t>
            </w:r>
            <w:r>
              <w:tab/>
            </w:r>
            <w:r>
              <w:fldChar w:fldCharType="begin"/>
            </w:r>
            <w:r>
              <w:instrText xml:space="preserve"> PAGEREF _Toc140505146 \h </w:instrText>
            </w:r>
            <w:r>
              <w:fldChar w:fldCharType="separate"/>
            </w:r>
            <w:r>
              <w:t>36</w:t>
            </w:r>
            <w:r>
              <w:fldChar w:fldCharType="end"/>
            </w:r>
          </w:hyperlink>
        </w:p>
        <w:p w14:paraId="052AA99A" w14:textId="4DC8281A"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47" w:history="1">
            <w:r>
              <w:rPr>
                <w:rStyle w:val="Hyperlink"/>
                <w:rFonts w:ascii="Arial Narrow" w:eastAsia="仿宋_GB2312" w:hAnsi="Arial Narrow"/>
                <w:color w:val="auto"/>
              </w:rPr>
              <w:t>7.</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可比性分析</w:t>
            </w:r>
            <w:r>
              <w:tab/>
            </w:r>
            <w:r>
              <w:fldChar w:fldCharType="begin"/>
            </w:r>
            <w:r>
              <w:instrText xml:space="preserve"> PAGEREF _Toc140505147 \h </w:instrText>
            </w:r>
            <w:r>
              <w:fldChar w:fldCharType="separate"/>
            </w:r>
            <w:r>
              <w:t>37</w:t>
            </w:r>
            <w:r>
              <w:fldChar w:fldCharType="end"/>
            </w:r>
          </w:hyperlink>
        </w:p>
        <w:p w14:paraId="50B91C3C" w14:textId="12B73D06" w:rsidR="004D1721" w:rsidRDefault="009B16BC">
          <w:pPr>
            <w:pStyle w:val="TOC2"/>
            <w:rPr>
              <w:rFonts w:asciiTheme="minorHAnsi" w:eastAsiaTheme="minorEastAsia" w:hAnsiTheme="minorHAnsi" w:cstheme="minorBidi"/>
              <w:sz w:val="21"/>
              <w:szCs w:val="22"/>
            </w:rPr>
          </w:pPr>
          <w:hyperlink w:anchor="_Toc140505148" w:history="1">
            <w:r>
              <w:rPr>
                <w:rStyle w:val="Hyperlink"/>
                <w:rFonts w:ascii="Arial Narrow" w:eastAsia="仿宋_GB2312" w:hAnsi="Arial Narrow" w:cs="Arial"/>
                <w:color w:val="auto"/>
                <w14:scene3d>
                  <w14:camera w14:prst="orthographicFront"/>
                  <w14:lightRig w14:rig="threePt" w14:dir="t">
                    <w14:rot w14:lat="0" w14:lon="0" w14:rev="0"/>
                  </w14:lightRig>
                </w14:scene3d>
              </w:rPr>
              <w:t>7.1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简介</w:t>
            </w:r>
            <w:r>
              <w:tab/>
            </w:r>
            <w:r>
              <w:fldChar w:fldCharType="begin"/>
            </w:r>
            <w:r>
              <w:instrText xml:space="preserve"> PAGEREF _Toc140505148 \h </w:instrText>
            </w:r>
            <w:r>
              <w:fldChar w:fldCharType="separate"/>
            </w:r>
            <w:r>
              <w:t>37</w:t>
            </w:r>
            <w:r>
              <w:fldChar w:fldCharType="end"/>
            </w:r>
          </w:hyperlink>
        </w:p>
        <w:p w14:paraId="687D18D7" w14:textId="1AACBEE9" w:rsidR="004D1721" w:rsidRDefault="009B16BC">
          <w:pPr>
            <w:pStyle w:val="TOC2"/>
            <w:rPr>
              <w:rFonts w:asciiTheme="minorHAnsi" w:eastAsiaTheme="minorEastAsia" w:hAnsiTheme="minorHAnsi" w:cstheme="minorBidi"/>
              <w:sz w:val="21"/>
              <w:szCs w:val="22"/>
            </w:rPr>
          </w:pPr>
          <w:hyperlink w:anchor="_Toc140505149" w:history="1">
            <w:r>
              <w:rPr>
                <w:rStyle w:val="Hyperlink"/>
                <w:rFonts w:ascii="Arial Narrow" w:eastAsia="仿宋_GB2312" w:hAnsi="Arial Narrow" w:cs="Arial"/>
                <w:color w:val="auto"/>
                <w14:scene3d>
                  <w14:camera w14:prst="orthographicFront"/>
                  <w14:lightRig w14:rig="threePt" w14:dir="t">
                    <w14:rot w14:lat="0" w14:lon="0" w14:rev="0"/>
                  </w14:lightRig>
                </w14:scene3d>
              </w:rPr>
              <w:t>7.2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转让定价方法的选择</w:t>
            </w:r>
            <w:r>
              <w:tab/>
            </w:r>
            <w:r>
              <w:fldChar w:fldCharType="begin"/>
            </w:r>
            <w:r>
              <w:instrText xml:space="preserve"> PAGEREF _Toc140505149 \h </w:instrText>
            </w:r>
            <w:r>
              <w:fldChar w:fldCharType="separate"/>
            </w:r>
            <w:r>
              <w:t>37</w:t>
            </w:r>
            <w:r>
              <w:fldChar w:fldCharType="end"/>
            </w:r>
          </w:hyperlink>
        </w:p>
        <w:p w14:paraId="222ED14A" w14:textId="7024BF2B" w:rsidR="004D1721" w:rsidRDefault="009B16BC">
          <w:pPr>
            <w:pStyle w:val="TOC2"/>
            <w:rPr>
              <w:rFonts w:asciiTheme="minorHAnsi" w:eastAsiaTheme="minorEastAsia" w:hAnsiTheme="minorHAnsi" w:cstheme="minorBidi"/>
              <w:sz w:val="21"/>
              <w:szCs w:val="22"/>
            </w:rPr>
          </w:pPr>
          <w:hyperlink w:anchor="_Toc140505150" w:history="1">
            <w:r>
              <w:rPr>
                <w:rStyle w:val="Hyperlink"/>
                <w:rFonts w:ascii="Arial Narrow" w:eastAsia="仿宋_GB2312" w:hAnsi="Arial Narrow" w:cs="Arial"/>
                <w:color w:val="auto"/>
                <w14:scene3d>
                  <w14:camera w14:prst="orthographicFront"/>
                  <w14:lightRig w14:rig="threePt" w14:dir="t">
                    <w14:rot w14:lat="0" w14:lon="0" w14:rev="0"/>
                  </w14:lightRig>
                </w14:scene3d>
              </w:rPr>
              <w:t>7.3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验证对象的选择</w:t>
            </w:r>
            <w:r>
              <w:tab/>
            </w:r>
            <w:r>
              <w:fldChar w:fldCharType="begin"/>
            </w:r>
            <w:r>
              <w:instrText xml:space="preserve"> PAGEREF _Toc140505150 \h </w:instrText>
            </w:r>
            <w:r>
              <w:fldChar w:fldCharType="separate"/>
            </w:r>
            <w:r>
              <w:t>39</w:t>
            </w:r>
            <w:r>
              <w:fldChar w:fldCharType="end"/>
            </w:r>
          </w:hyperlink>
        </w:p>
        <w:p w14:paraId="791FCDE9" w14:textId="4CC6BC3F" w:rsidR="004D1721" w:rsidRDefault="009B16BC">
          <w:pPr>
            <w:pStyle w:val="TOC2"/>
            <w:rPr>
              <w:rFonts w:asciiTheme="minorHAnsi" w:eastAsiaTheme="minorEastAsia" w:hAnsiTheme="minorHAnsi" w:cstheme="minorBidi"/>
              <w:sz w:val="21"/>
              <w:szCs w:val="22"/>
            </w:rPr>
          </w:pPr>
          <w:hyperlink w:anchor="_Toc140505168" w:history="1">
            <w:r>
              <w:rPr>
                <w:rStyle w:val="Hyperlink"/>
                <w:rFonts w:ascii="Arial Narrow" w:eastAsia="仿宋_GB2312" w:hAnsi="Arial Narrow" w:cs="Arial"/>
                <w:color w:val="auto"/>
                <w14:scene3d>
                  <w14:camera w14:prst="orthographicFront"/>
                  <w14:lightRig w14:rig="threePt" w14:dir="t">
                    <w14:rot w14:lat="0" w14:lon="0" w14:rev="0"/>
                  </w14:lightRig>
                </w14:scene3d>
              </w:rPr>
              <w:t>7.4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转让定价方法的应用</w:t>
            </w:r>
            <w:r>
              <w:tab/>
            </w:r>
            <w:r>
              <w:fldChar w:fldCharType="begin"/>
            </w:r>
            <w:r>
              <w:instrText xml:space="preserve"> PAGEREF _Toc140505168 \h </w:instrText>
            </w:r>
            <w:r>
              <w:fldChar w:fldCharType="separate"/>
            </w:r>
            <w:r>
              <w:t>40</w:t>
            </w:r>
            <w:r>
              <w:fldChar w:fldCharType="end"/>
            </w:r>
          </w:hyperlink>
        </w:p>
        <w:p w14:paraId="542B4F2A" w14:textId="7F309ED1" w:rsidR="004D1721" w:rsidRDefault="009B16BC">
          <w:pPr>
            <w:pStyle w:val="TOC3"/>
            <w:rPr>
              <w:rFonts w:asciiTheme="minorHAnsi" w:eastAsiaTheme="minorEastAsia" w:hAnsiTheme="minorHAnsi" w:cstheme="minorBidi"/>
              <w:i w:val="0"/>
              <w:iCs w:val="0"/>
              <w:sz w:val="21"/>
              <w:szCs w:val="22"/>
            </w:rPr>
          </w:pPr>
          <w:hyperlink w:anchor="_Toc140505169" w:history="1">
            <w:r>
              <w:rPr>
                <w:rStyle w:val="Hyperlink"/>
                <w:rFonts w:ascii="Arial Narrow" w:eastAsia="仿宋_GB2312" w:hAnsi="Arial Narrow" w:cs="Arial"/>
                <w:color w:val="auto"/>
                <w14:scene3d>
                  <w14:camera w14:prst="orthographicFront"/>
                  <w14:lightRig w14:rig="threePt" w14:dir="t">
                    <w14:rot w14:lat="0" w14:lon="0" w14:rev="0"/>
                  </w14:lightRig>
                </w14:scene3d>
              </w:rPr>
              <w:t>7.4.1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概述</w:t>
            </w:r>
            <w:r>
              <w:tab/>
            </w:r>
            <w:r>
              <w:fldChar w:fldCharType="begin"/>
            </w:r>
            <w:r>
              <w:instrText xml:space="preserve"> PAGEREF _Toc140505169 \h </w:instrText>
            </w:r>
            <w:r>
              <w:fldChar w:fldCharType="separate"/>
            </w:r>
            <w:r>
              <w:t>40</w:t>
            </w:r>
            <w:r>
              <w:fldChar w:fldCharType="end"/>
            </w:r>
          </w:hyperlink>
        </w:p>
        <w:p w14:paraId="1C88F146" w14:textId="0749A147" w:rsidR="004D1721" w:rsidRDefault="009B16BC">
          <w:pPr>
            <w:pStyle w:val="TOC3"/>
            <w:rPr>
              <w:rFonts w:asciiTheme="minorHAnsi" w:eastAsiaTheme="minorEastAsia" w:hAnsiTheme="minorHAnsi" w:cstheme="minorBidi"/>
              <w:i w:val="0"/>
              <w:iCs w:val="0"/>
              <w:sz w:val="21"/>
              <w:szCs w:val="22"/>
            </w:rPr>
          </w:pPr>
          <w:hyperlink w:anchor="_Toc140505170" w:history="1">
            <w:r>
              <w:rPr>
                <w:rStyle w:val="Hyperlink"/>
                <w:rFonts w:ascii="Arial Narrow" w:eastAsia="仿宋_GB2312" w:hAnsi="Arial Narrow" w:cs="Arial"/>
                <w:color w:val="auto"/>
                <w14:scene3d>
                  <w14:camera w14:prst="orthographicFront"/>
                  <w14:lightRig w14:rig="threePt" w14:dir="t">
                    <w14:rot w14:lat="0" w14:lon="0" w14:rev="0"/>
                  </w14:lightRig>
                </w14:scene3d>
              </w:rPr>
              <w:t>7.4.2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确定与受测关联交易相关的财务数据</w:t>
            </w:r>
            <w:r>
              <w:tab/>
            </w:r>
            <w:r>
              <w:fldChar w:fldCharType="begin"/>
            </w:r>
            <w:r>
              <w:instrText xml:space="preserve"> PAGEREF _Toc140505170 \h </w:instrText>
            </w:r>
            <w:r>
              <w:fldChar w:fldCharType="separate"/>
            </w:r>
            <w:r>
              <w:t>40</w:t>
            </w:r>
            <w:r>
              <w:fldChar w:fldCharType="end"/>
            </w:r>
          </w:hyperlink>
        </w:p>
        <w:p w14:paraId="38E2A8C4" w14:textId="504BE22E" w:rsidR="004D1721" w:rsidRDefault="009B16BC">
          <w:pPr>
            <w:pStyle w:val="TOC3"/>
            <w:rPr>
              <w:rFonts w:asciiTheme="minorHAnsi" w:eastAsiaTheme="minorEastAsia" w:hAnsiTheme="minorHAnsi" w:cstheme="minorBidi"/>
              <w:i w:val="0"/>
              <w:iCs w:val="0"/>
              <w:sz w:val="21"/>
              <w:szCs w:val="22"/>
            </w:rPr>
          </w:pPr>
          <w:hyperlink w:anchor="_Toc140505173" w:history="1">
            <w:r>
              <w:rPr>
                <w:rStyle w:val="Hyperlink"/>
                <w:rFonts w:ascii="Arial Narrow" w:eastAsia="仿宋_GB2312" w:hAnsi="Arial Narrow" w:cs="Arial"/>
                <w:color w:val="auto"/>
                <w14:scene3d>
                  <w14:camera w14:prst="orthographicFront"/>
                  <w14:lightRig w14:rig="threePt" w14:dir="t">
                    <w14:rot w14:lat="0" w14:lon="0" w14:rev="0"/>
                  </w14:lightRig>
                </w14:scene3d>
              </w:rPr>
              <w:t>7.4.3</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搜寻外部可比公司</w:t>
            </w:r>
            <w:r>
              <w:tab/>
            </w:r>
            <w:r>
              <w:fldChar w:fldCharType="begin"/>
            </w:r>
            <w:r>
              <w:instrText xml:space="preserve"> PAGEREF _Toc140505173 \h </w:instrText>
            </w:r>
            <w:r>
              <w:fldChar w:fldCharType="separate"/>
            </w:r>
            <w:r>
              <w:t>41</w:t>
            </w:r>
            <w:r>
              <w:fldChar w:fldCharType="end"/>
            </w:r>
          </w:hyperlink>
        </w:p>
        <w:p w14:paraId="6A714037" w14:textId="12AD9FD5" w:rsidR="004D1721" w:rsidRDefault="009B16BC">
          <w:pPr>
            <w:pStyle w:val="TOC3"/>
            <w:rPr>
              <w:rFonts w:asciiTheme="minorHAnsi" w:eastAsiaTheme="minorEastAsia" w:hAnsiTheme="minorHAnsi" w:cstheme="minorBidi"/>
              <w:i w:val="0"/>
              <w:iCs w:val="0"/>
              <w:sz w:val="21"/>
              <w:szCs w:val="22"/>
            </w:rPr>
          </w:pPr>
          <w:hyperlink w:anchor="_Toc140505174" w:history="1">
            <w:r>
              <w:rPr>
                <w:rStyle w:val="Hyperlink"/>
                <w:rFonts w:ascii="Arial Narrow" w:eastAsia="仿宋_GB2312" w:hAnsi="Arial Narrow" w:cs="Arial"/>
                <w:color w:val="auto"/>
                <w14:scene3d>
                  <w14:camera w14:prst="orthographicFront"/>
                  <w14:lightRig w14:rig="threePt" w14:dir="t">
                    <w14:rot w14:lat="0" w14:lon="0" w14:rev="0"/>
                  </w14:lightRig>
                </w14:scene3d>
              </w:rPr>
              <w:t>7.4.4</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可比公司利润水平</w:t>
            </w:r>
            <w:r>
              <w:tab/>
            </w:r>
            <w:r>
              <w:fldChar w:fldCharType="begin"/>
            </w:r>
            <w:r>
              <w:instrText xml:space="preserve"> PAGEREF _Toc140505174 \h </w:instrText>
            </w:r>
            <w:r>
              <w:fldChar w:fldCharType="separate"/>
            </w:r>
            <w:r>
              <w:t>44</w:t>
            </w:r>
            <w:r>
              <w:fldChar w:fldCharType="end"/>
            </w:r>
          </w:hyperlink>
        </w:p>
        <w:p w14:paraId="15B97618" w14:textId="29D96A2C"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75" w:history="1">
            <w:r>
              <w:rPr>
                <w:rStyle w:val="Hyperlink"/>
                <w:rFonts w:ascii="Arial Narrow" w:eastAsia="仿宋_GB2312" w:hAnsi="Arial Narrow"/>
                <w:color w:val="auto"/>
              </w:rPr>
              <w:t>8.</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结论</w:t>
            </w:r>
            <w:r>
              <w:tab/>
            </w:r>
            <w:r>
              <w:fldChar w:fldCharType="begin"/>
            </w:r>
            <w:r>
              <w:instrText xml:space="preserve"> PAGEREF _Toc140505175 \h </w:instrText>
            </w:r>
            <w:r>
              <w:fldChar w:fldCharType="separate"/>
            </w:r>
            <w:r>
              <w:t>48</w:t>
            </w:r>
            <w:r>
              <w:fldChar w:fldCharType="end"/>
            </w:r>
          </w:hyperlink>
        </w:p>
        <w:p w14:paraId="06F430B8" w14:textId="14CAF1E1" w:rsidR="004D1721" w:rsidRDefault="009B16BC">
          <w:pPr>
            <w:pStyle w:val="TOC1"/>
            <w:rPr>
              <w:rFonts w:asciiTheme="minorHAnsi" w:eastAsiaTheme="minorEastAsia" w:hAnsiTheme="minorHAnsi" w:cstheme="minorBidi"/>
              <w:bCs w:val="0"/>
              <w:caps w:val="0"/>
              <w:sz w:val="21"/>
              <w:szCs w:val="22"/>
            </w:rPr>
          </w:pPr>
          <w:hyperlink w:anchor="_Toc140505176" w:history="1">
            <w:r>
              <w:rPr>
                <w:rStyle w:val="Hyperlink"/>
                <w:rFonts w:ascii="Arial Narrow" w:eastAsia="仿宋_GB2312" w:hAnsi="Arial Narrow" w:cs="Arial"/>
                <w:color w:val="auto"/>
              </w:rPr>
              <w:t>附件列表</w:t>
            </w:r>
            <w:r>
              <w:tab/>
            </w:r>
            <w:r>
              <w:fldChar w:fldCharType="begin"/>
            </w:r>
            <w:r>
              <w:instrText xml:space="preserve"> PAGEREF _Toc140505176 \h </w:instrText>
            </w:r>
            <w:r>
              <w:fldChar w:fldCharType="separate"/>
            </w:r>
            <w:r>
              <w:t>49</w:t>
            </w:r>
            <w:r>
              <w:fldChar w:fldCharType="end"/>
            </w:r>
          </w:hyperlink>
        </w:p>
        <w:p w14:paraId="60FDA695" w14:textId="48ADFAB0" w:rsidR="004D1721" w:rsidRDefault="009B16BC">
          <w:pPr>
            <w:pStyle w:val="TOC1"/>
            <w:rPr>
              <w:rFonts w:asciiTheme="minorHAnsi" w:eastAsiaTheme="minorEastAsia" w:hAnsiTheme="minorHAnsi" w:cstheme="minorBidi"/>
              <w:bCs w:val="0"/>
              <w:caps w:val="0"/>
              <w:sz w:val="21"/>
              <w:szCs w:val="22"/>
            </w:rPr>
          </w:pPr>
          <w:hyperlink w:anchor="_Toc140505177"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1</w:t>
            </w:r>
            <w:r>
              <w:rPr>
                <w:rStyle w:val="Hyperlink"/>
                <w:rFonts w:ascii="Arial Narrow" w:eastAsia="仿宋_GB2312" w:hAnsi="Arial Narrow" w:cs="Arial"/>
                <w:color w:val="auto"/>
              </w:rPr>
              <w:t>转让定价方法简介</w:t>
            </w:r>
            <w:r>
              <w:tab/>
            </w:r>
            <w:r>
              <w:fldChar w:fldCharType="begin"/>
            </w:r>
            <w:r>
              <w:instrText xml:space="preserve"> PAGEREF _Toc140505177 \h </w:instrText>
            </w:r>
            <w:r>
              <w:fldChar w:fldCharType="separate"/>
            </w:r>
            <w:r>
              <w:t>50</w:t>
            </w:r>
            <w:r>
              <w:fldChar w:fldCharType="end"/>
            </w:r>
          </w:hyperlink>
        </w:p>
        <w:p w14:paraId="7DEC949E" w14:textId="55770362" w:rsidR="004D1721" w:rsidRDefault="009B16BC">
          <w:pPr>
            <w:pStyle w:val="TOC1"/>
            <w:rPr>
              <w:rFonts w:asciiTheme="minorHAnsi" w:eastAsiaTheme="minorEastAsia" w:hAnsiTheme="minorHAnsi" w:cstheme="minorBidi"/>
              <w:bCs w:val="0"/>
              <w:caps w:val="0"/>
              <w:sz w:val="21"/>
              <w:szCs w:val="22"/>
            </w:rPr>
          </w:pPr>
          <w:hyperlink w:anchor="_Toc140505178"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2</w:t>
            </w:r>
            <w:r>
              <w:rPr>
                <w:rStyle w:val="Hyperlink"/>
                <w:rFonts w:ascii="Arial Narrow" w:eastAsia="仿宋_GB2312" w:hAnsi="Arial Narrow" w:cs="Arial"/>
                <w:color w:val="auto"/>
              </w:rPr>
              <w:t>企业年度关联交易财务状况分析表</w:t>
            </w:r>
            <w:r>
              <w:tab/>
            </w:r>
            <w:r>
              <w:fldChar w:fldCharType="begin"/>
            </w:r>
            <w:r>
              <w:instrText xml:space="preserve"> PAGEREF _Toc140505178 \h </w:instrText>
            </w:r>
            <w:r>
              <w:fldChar w:fldCharType="separate"/>
            </w:r>
            <w:r>
              <w:t>53</w:t>
            </w:r>
            <w:r>
              <w:fldChar w:fldCharType="end"/>
            </w:r>
          </w:hyperlink>
        </w:p>
        <w:p w14:paraId="780E6037" w14:textId="51C9B173" w:rsidR="004D1721" w:rsidRDefault="009B16BC">
          <w:pPr>
            <w:pStyle w:val="TOC1"/>
            <w:rPr>
              <w:rFonts w:asciiTheme="minorHAnsi" w:eastAsiaTheme="minorEastAsia" w:hAnsiTheme="minorHAnsi" w:cstheme="minorBidi"/>
              <w:bCs w:val="0"/>
              <w:caps w:val="0"/>
              <w:sz w:val="21"/>
              <w:szCs w:val="22"/>
            </w:rPr>
          </w:pPr>
          <w:hyperlink w:anchor="_Toc140505179"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3</w:t>
            </w:r>
            <w:r>
              <w:rPr>
                <w:rStyle w:val="Hyperlink"/>
                <w:rFonts w:ascii="Arial Narrow" w:eastAsia="仿宋_GB2312" w:hAnsi="Arial Narrow" w:cs="Arial"/>
                <w:color w:val="auto"/>
              </w:rPr>
              <w:t>被选可比公司的业务简介</w:t>
            </w:r>
            <w:r>
              <w:tab/>
            </w:r>
            <w:r>
              <w:fldChar w:fldCharType="begin"/>
            </w:r>
            <w:r>
              <w:instrText xml:space="preserve"> PAGEREF _Toc140505179 \h </w:instrText>
            </w:r>
            <w:r>
              <w:fldChar w:fldCharType="separate"/>
            </w:r>
            <w:r>
              <w:t>54</w:t>
            </w:r>
            <w:r>
              <w:fldChar w:fldCharType="end"/>
            </w:r>
          </w:hyperlink>
        </w:p>
        <w:p w14:paraId="5A8E10B2" w14:textId="41A9635E" w:rsidR="004D1721" w:rsidRDefault="009B16BC">
          <w:pPr>
            <w:pStyle w:val="TOC1"/>
            <w:rPr>
              <w:rFonts w:asciiTheme="minorHAnsi" w:eastAsiaTheme="minorEastAsia" w:hAnsiTheme="minorHAnsi" w:cstheme="minorBidi"/>
              <w:bCs w:val="0"/>
              <w:caps w:val="0"/>
              <w:sz w:val="21"/>
              <w:szCs w:val="22"/>
            </w:rPr>
          </w:pPr>
          <w:hyperlink w:anchor="_Toc140505180"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4</w:t>
            </w:r>
            <w:r>
              <w:rPr>
                <w:rStyle w:val="Hyperlink"/>
                <w:rFonts w:ascii="Arial Narrow" w:eastAsia="仿宋_GB2312" w:hAnsi="Arial Narrow" w:cs="Arial"/>
                <w:color w:val="auto"/>
              </w:rPr>
              <w:t>被选可比公司完全成本加成率的计算</w:t>
            </w:r>
            <w:r>
              <w:tab/>
            </w:r>
            <w:r>
              <w:fldChar w:fldCharType="begin"/>
            </w:r>
            <w:r>
              <w:instrText xml:space="preserve"> PAGEREF _Toc140505180 \h </w:instrText>
            </w:r>
            <w:r>
              <w:fldChar w:fldCharType="separate"/>
            </w:r>
            <w:r>
              <w:t>57</w:t>
            </w:r>
            <w:r>
              <w:fldChar w:fldCharType="end"/>
            </w:r>
          </w:hyperlink>
        </w:p>
        <w:p w14:paraId="17235A1A" w14:textId="77777777" w:rsidR="004D1721" w:rsidRDefault="009B16BC">
          <w:pPr>
            <w:spacing w:before="100" w:beforeAutospacing="1" w:after="100" w:afterAutospacing="1"/>
            <w:rPr>
              <w:rFonts w:ascii="Arial Narrow" w:eastAsia="仿宋_GB2312" w:hAnsi="Arial Narrow" w:cs="Arial"/>
              <w:sz w:val="22"/>
              <w:szCs w:val="22"/>
            </w:rPr>
          </w:pPr>
          <w:r>
            <w:rPr>
              <w:rFonts w:ascii="Arial Narrow" w:eastAsia="仿宋_GB2312" w:hAnsi="Arial Narrow" w:cs="Arial"/>
              <w:b/>
              <w:bCs/>
              <w:sz w:val="24"/>
              <w:szCs w:val="24"/>
              <w:lang w:val="zh-CN"/>
            </w:rPr>
            <w:fldChar w:fldCharType="end"/>
          </w:r>
        </w:p>
      </w:sdtContent>
    </w:sdt>
    <w:p w14:paraId="42445E54" w14:textId="77777777" w:rsidR="004D1721" w:rsidRDefault="004D1721">
      <w:pPr>
        <w:spacing w:after="240"/>
        <w:jc w:val="center"/>
        <w:rPr>
          <w:rFonts w:ascii="Arial Narrow" w:eastAsia="仿宋_GB2312" w:hAnsi="Arial Narrow" w:cs="Arial"/>
          <w:b/>
          <w:sz w:val="36"/>
        </w:rPr>
      </w:pPr>
      <w:bookmarkStart w:id="47" w:name="OLE_LINK2"/>
      <w:bookmarkEnd w:id="47"/>
    </w:p>
    <w:p w14:paraId="13387767" w14:textId="77777777" w:rsidR="004D1721" w:rsidRDefault="004D1721">
      <w:pPr>
        <w:tabs>
          <w:tab w:val="left" w:pos="900"/>
        </w:tabs>
        <w:adjustRightInd w:val="0"/>
        <w:snapToGrid w:val="0"/>
        <w:spacing w:before="240"/>
        <w:jc w:val="both"/>
        <w:rPr>
          <w:rFonts w:ascii="Arial Narrow" w:eastAsia="仿宋_GB2312" w:hAnsi="Arial Narrow" w:cs="Arial"/>
          <w:sz w:val="22"/>
          <w:szCs w:val="22"/>
        </w:rPr>
        <w:sectPr w:rsidR="004D1721">
          <w:headerReference w:type="even" r:id="rId15"/>
          <w:headerReference w:type="default" r:id="rId16"/>
          <w:footerReference w:type="default" r:id="rId17"/>
          <w:headerReference w:type="first" r:id="rId18"/>
          <w:pgSz w:w="11907" w:h="16839"/>
          <w:pgMar w:top="1440" w:right="1800" w:bottom="1440" w:left="1800" w:header="709" w:footer="709" w:gutter="0"/>
          <w:pgNumType w:fmt="lowerRoman"/>
          <w:cols w:space="720"/>
          <w:docGrid w:linePitch="360"/>
        </w:sectPr>
      </w:pPr>
    </w:p>
    <w:p w14:paraId="78495520" w14:textId="77777777" w:rsidR="004D1721" w:rsidRDefault="009B16BC">
      <w:pPr>
        <w:pStyle w:val="Heading1"/>
        <w:numPr>
          <w:ilvl w:val="0"/>
          <w:numId w:val="0"/>
        </w:numPr>
        <w:ind w:left="360"/>
      </w:pPr>
      <w:bookmarkStart w:id="48" w:name="_Toc140505093"/>
      <w:bookmarkStart w:id="49" w:name="_Toc53229044"/>
      <w:r>
        <w:lastRenderedPageBreak/>
        <w:t>同期资料本地文档对照表</w:t>
      </w:r>
      <w:bookmarkEnd w:id="48"/>
      <w:bookmarkEnd w:id="49"/>
    </w:p>
    <w:p w14:paraId="30539AFF" w14:textId="28638B39" w:rsidR="004D1721" w:rsidRDefault="009B16BC">
      <w:pPr>
        <w:adjustRightInd w:val="0"/>
        <w:snapToGrid w:val="0"/>
        <w:spacing w:before="240" w:after="240"/>
        <w:ind w:firstLine="475"/>
        <w:rPr>
          <w:rFonts w:ascii="Arial Narrow" w:eastAsia="仿宋_GB2312" w:hAnsi="Arial Narrow" w:cs="Arial"/>
          <w:sz w:val="22"/>
        </w:rPr>
      </w:pPr>
      <w:r>
        <w:rPr>
          <w:rFonts w:ascii="Arial Narrow" w:eastAsia="仿宋_GB2312" w:hAnsi="Arial Narrow" w:cs="Arial"/>
          <w:sz w:val="22"/>
          <w:szCs w:val="22"/>
        </w:rPr>
        <w:t>以下是{{企业名称}}2023年度关联交易同期资料本地文档报告内容与[2016]42号公告第十四条规定的本地文档内容对照表。</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bl>
      <w:tblPr>
        <w:tblStyle w:val="4-41"/>
        <w:tblW w:w="8217" w:type="dxa"/>
        <w:tblBorders>
          <w:top w:val="single" w:sz="4" w:space="0" w:color="00A7E1"/>
          <w:left w:val="single" w:sz="4" w:space="0" w:color="00A7E1"/>
          <w:bottom w:val="single" w:sz="4" w:space="0" w:color="00A7E1"/>
          <w:right w:val="single" w:sz="4" w:space="0" w:color="00A7E1"/>
          <w:insideH w:val="single" w:sz="4" w:space="0" w:color="00A7E1"/>
          <w:insideV w:val="single" w:sz="4" w:space="0" w:color="00A7E1"/>
        </w:tblBorders>
        <w:tblLook w:val="04A0" w:firstRow="1" w:lastRow="0" w:firstColumn="1" w:lastColumn="0" w:noHBand="0" w:noVBand="1"/>
      </w:tblPr>
      <w:tblGrid>
        <w:gridCol w:w="988"/>
        <w:gridCol w:w="6095"/>
        <w:gridCol w:w="1134"/>
      </w:tblGrid>
      <w:tr w:rsidR="004D1721" w14:paraId="7D71CA28" w14:textId="77777777" w:rsidTr="004D1721">
        <w:trPr>
          <w:cnfStyle w:val="100000000000" w:firstRow="1" w:lastRow="0" w:firstColumn="0" w:lastColumn="0" w:oddVBand="0" w:evenVBand="0" w:oddHBand="0" w:evenHBand="0" w:firstRowFirstColumn="0" w:firstRowLastColumn="0" w:lastRowFirstColumn="0" w:lastRowLastColumn="0"/>
          <w:trHeight w:val="427"/>
          <w:tblHead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single" w:sz="4" w:space="0" w:color="000000"/>
            </w:tcBorders>
            <w:shd w:val="clear" w:color="auto" w:fill="002060"/>
            <w:vAlign w:val="center"/>
          </w:tcPr>
          <w:p w14:paraId="126DF18C"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条文</w:t>
            </w:r>
          </w:p>
        </w:tc>
        <w:tc>
          <w:tcPr>
            <w:tcW w:w="6095" w:type="dxa"/>
            <w:tcBorders>
              <w:top w:val="nil"/>
              <w:bottom w:val="single" w:sz="4" w:space="0" w:color="000000"/>
            </w:tcBorders>
            <w:shd w:val="clear" w:color="auto" w:fill="002060"/>
            <w:vAlign w:val="center"/>
          </w:tcPr>
          <w:p w14:paraId="1ED83139" w14:textId="77777777" w:rsidR="004D1721" w:rsidRDefault="009B16BC">
            <w:pPr>
              <w:pStyle w:val="F"/>
              <w:adjustRightInd w:val="0"/>
              <w:snapToGrid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法规要求</w:t>
            </w:r>
          </w:p>
        </w:tc>
        <w:tc>
          <w:tcPr>
            <w:tcW w:w="1134" w:type="dxa"/>
            <w:tcBorders>
              <w:top w:val="nil"/>
              <w:bottom w:val="single" w:sz="4" w:space="0" w:color="000000"/>
              <w:right w:val="nil"/>
            </w:tcBorders>
            <w:shd w:val="clear" w:color="auto" w:fill="002060"/>
            <w:vAlign w:val="center"/>
          </w:tcPr>
          <w:p w14:paraId="66E5155F" w14:textId="77777777" w:rsidR="004D1721" w:rsidRDefault="009B16BC">
            <w:pPr>
              <w:pStyle w:val="F"/>
              <w:adjustRightInd w:val="0"/>
              <w:snapToGrid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报告索引</w:t>
            </w:r>
          </w:p>
        </w:tc>
      </w:tr>
      <w:tr w:rsidR="004D1721" w14:paraId="4129C8A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16548E9"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（一）企业概况</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AAC72B"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组织结构，包括企业各职能部门的设置、职责范围和雇员数量等；</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A7A320"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tc>
      </w:tr>
      <w:tr w:rsidR="004D1721" w14:paraId="47B9F361"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04B50B"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EA24E2B"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管理架构，包括企业各级管理层的汇报对象以及汇报对象主要办公所在地等；</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39DCC78"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tc>
      </w:tr>
      <w:tr w:rsidR="004D1721" w14:paraId="74A88813"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BABDA2"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09D12E"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业务描述，包括企业所属行业的发展概况、产业政策、行业限制等影响企业和行业的主要经济和法律问题，主要竞争者等；</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AAD00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p w14:paraId="78FBF30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3</w:t>
            </w:r>
          </w:p>
        </w:tc>
      </w:tr>
      <w:tr w:rsidR="004D1721" w14:paraId="7EA203FC" w14:textId="77777777" w:rsidTr="004D1721">
        <w:trPr>
          <w:trHeight w:val="737"/>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792409"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42682CBC"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经营策略，包括企业各部门、各环节的业务流程，运营模式，价值贡献因素等；</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188FC5E"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p w14:paraId="6F467FCE"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0592988E" w14:textId="77777777" w:rsidTr="004D1721">
        <w:trPr>
          <w:trHeight w:val="593"/>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7FC805"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2929D4"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财务数据，包括企业不同类型业务及产品的收入、成本、费用及利润；</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3684D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2.3</w:t>
            </w:r>
          </w:p>
        </w:tc>
      </w:tr>
      <w:tr w:rsidR="004D1721" w14:paraId="6EB44088" w14:textId="77777777" w:rsidTr="004D1721">
        <w:trPr>
          <w:trHeight w:val="647"/>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F32366"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1A1F984"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涉及本企业或者对本企业产生影响的重组或者无形资产转让情况，以及对本企业的影响分析；</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DEE014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2.4</w:t>
            </w:r>
          </w:p>
        </w:tc>
      </w:tr>
      <w:tr w:rsidR="004D1721" w14:paraId="50BB79B4"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41CA61B"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（二）关联关系</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1D27A9" w14:textId="77777777" w:rsidR="004D1721" w:rsidRDefault="009B16BC">
            <w:pPr>
              <w:pStyle w:val="F"/>
              <w:numPr>
                <w:ilvl w:val="0"/>
                <w:numId w:val="10"/>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874DA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4.1</w:t>
            </w:r>
          </w:p>
        </w:tc>
      </w:tr>
      <w:tr w:rsidR="004D1721" w14:paraId="32E9DAE5"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38CD66"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52CA82E" w14:textId="77777777" w:rsidR="004D1721" w:rsidRDefault="009B16BC">
            <w:pPr>
              <w:pStyle w:val="F"/>
              <w:numPr>
                <w:ilvl w:val="0"/>
                <w:numId w:val="10"/>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上述关联方适用的具有所得税性质的税种、税率及相应可享受的税收优惠。</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4D3CDCA7"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4.1</w:t>
            </w:r>
          </w:p>
        </w:tc>
      </w:tr>
      <w:tr w:rsidR="004D1721" w14:paraId="3C5E19AE"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7F5011"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2F83F4" w14:textId="77777777" w:rsidR="004D1721" w:rsidRDefault="009B16BC">
            <w:pPr>
              <w:pStyle w:val="F"/>
              <w:numPr>
                <w:ilvl w:val="0"/>
                <w:numId w:val="10"/>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本会计年度内，企业关联关系的变化情况。</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E5F113" w14:textId="77777777" w:rsidR="004D1721" w:rsidRDefault="009B16BC">
            <w:pPr>
              <w:pStyle w:val="F"/>
              <w:keepNext/>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4.1</w:t>
            </w:r>
          </w:p>
        </w:tc>
      </w:tr>
      <w:tr w:rsidR="004D1721" w14:paraId="33EFE114"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010BEF66"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41EBBE99"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1.关联交易概况</w:t>
            </w:r>
            <w:r>
              <w:rPr>
                <w:rFonts w:ascii="Arial Narrow" w:eastAsia="仿宋_GB2312" w:hAnsi="Arial Narrow" w:cs="Arial"/>
                <w:sz w:val="20"/>
                <w:szCs w:val="20"/>
                <w:lang w:eastAsia="zh-CN"/>
              </w:rPr>
              <w:t/>
            </w: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BFBC34F"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548076D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4.2</w:t>
            </w:r>
          </w:p>
          <w:p w14:paraId="5F5B87A5"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4.3</w:t>
            </w:r>
          </w:p>
          <w:p w14:paraId="556F9C9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4.4</w:t>
            </w:r>
          </w:p>
          <w:p w14:paraId="35D7D41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4.5</w:t>
            </w:r>
          </w:p>
        </w:tc>
      </w:tr>
      <w:tr w:rsidR="004D1721" w14:paraId="3951550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9A7FA1"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1F0248"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关联交易流程，包括关联交易的信息流、物流和资金流，与非关联交易业务流程的异同；</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A73FD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4.3</w:t>
            </w:r>
          </w:p>
          <w:p w14:paraId="214A454D"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4.4</w:t>
            </w:r>
          </w:p>
        </w:tc>
      </w:tr>
      <w:tr w:rsidR="004D1721" w14:paraId="396FB66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385813"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C97728C"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功能风险描述，包括企业及其关联方在各类关联交易中执行的功能、承担的风险和使用的资产；</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29122DB1"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5</w:t>
            </w:r>
          </w:p>
        </w:tc>
      </w:tr>
      <w:tr w:rsidR="004D1721" w14:paraId="46A24BD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B6946F"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6928DD"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516526"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6.3</w:t>
            </w:r>
          </w:p>
        </w:tc>
      </w:tr>
      <w:tr w:rsidR="004D1721" w14:paraId="7926BA8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44DD5C"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BECF33A"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4C3BEBFC"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4.2</w:t>
            </w:r>
          </w:p>
          <w:p w14:paraId="31D8FC63"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4.3</w:t>
            </w:r>
          </w:p>
          <w:p w14:paraId="6C5733A2"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4.4</w:t>
            </w:r>
          </w:p>
          <w:p w14:paraId="6864CD9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4.5</w:t>
            </w:r>
          </w:p>
          <w:p w14:paraId="7E30819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4.6</w:t>
            </w:r>
          </w:p>
          <w:p w14:paraId="25E91065"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附件2</w:t>
            </w:r>
            <w:r>
              <w:rPr>
                <w:rFonts w:ascii="Arial Narrow" w:eastAsia="仿宋_GB2312" w:hAnsi="Arial Narrow" w:cs="Arial"/>
                <w:sz w:val="20"/>
                <w:szCs w:val="20"/>
                <w:lang w:eastAsia="zh-CN"/>
              </w:rPr>
              <w:t/>
            </w:r>
          </w:p>
        </w:tc>
      </w:tr>
      <w:tr w:rsidR="004D1721" w14:paraId="2FCDDEF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auto"/>
              <w:bottom w:val="single" w:sz="4" w:space="0" w:color="auto"/>
              <w:right w:val="single" w:sz="4" w:space="0" w:color="auto"/>
            </w:tcBorders>
            <w:shd w:val="clear" w:color="auto" w:fill="auto"/>
            <w:vAlign w:val="center"/>
          </w:tcPr>
          <w:p w14:paraId="5DCF6E1D"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lastRenderedPageBreak/>
              <w:t>（三）关联交易</w:t>
            </w:r>
          </w:p>
          <w:p w14:paraId="79C0460B"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2.价值链分析</w:t>
            </w:r>
            <w:r>
              <w:rPr>
                <w:rFonts w:ascii="Arial Narrow" w:eastAsia="仿宋_GB2312" w:hAnsi="Arial Narrow" w:cs="Arial"/>
                <w:sz w:val="20"/>
                <w:szCs w:val="20"/>
                <w:lang w:eastAsia="zh-CN"/>
              </w:rPr>
              <w:t/>
            </w:r>
          </w:p>
        </w:tc>
        <w:tc>
          <w:tcPr>
            <w:tcW w:w="6095" w:type="dxa"/>
            <w:tcBorders>
              <w:top w:val="single" w:sz="4" w:space="0" w:color="000000"/>
              <w:left w:val="single" w:sz="4" w:space="0" w:color="auto"/>
              <w:bottom w:val="single" w:sz="4" w:space="0" w:color="auto"/>
              <w:right w:val="single" w:sz="4" w:space="0" w:color="auto"/>
            </w:tcBorders>
            <w:shd w:val="clear" w:color="auto" w:fill="auto"/>
            <w:vAlign w:val="center"/>
          </w:tcPr>
          <w:p w14:paraId="604C0955"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企业集团内业务流、物流和资金流，包括商品、劳务或者其他交易标的从设计、开发、生产制造、营销、销售、交货、结算、消费、售后服务、循环利用等各环节及其参与方；</w:t>
            </w:r>
          </w:p>
        </w:tc>
        <w:tc>
          <w:tcPr>
            <w:tcW w:w="1134" w:type="dxa"/>
            <w:tcBorders>
              <w:top w:val="single" w:sz="4" w:space="0" w:color="000000"/>
              <w:left w:val="single" w:sz="4" w:space="0" w:color="auto"/>
              <w:bottom w:val="single" w:sz="4" w:space="0" w:color="auto"/>
              <w:right w:val="single" w:sz="4" w:space="0" w:color="auto"/>
            </w:tcBorders>
            <w:shd w:val="clear" w:color="auto" w:fill="auto"/>
            <w:vAlign w:val="center"/>
          </w:tcPr>
          <w:p w14:paraId="600EED1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w:t>
            </w:r>
          </w:p>
          <w:p w14:paraId="37AAD583"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7132210C"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7EFF53D"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1B9FE587"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上述各环节参与方最近会计年度的财务报表；</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603520A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待税局要求后配合提供</w:t>
            </w:r>
          </w:p>
        </w:tc>
      </w:tr>
      <w:tr w:rsidR="004D1721" w14:paraId="6113BAB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B2AB1A9"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1FEE743E"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地域特殊因素对企业创造价值贡献的计量及其归属；</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9EE2BD1"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681DABB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CEF6E8D"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1870F02A"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企业集团利润在全球价值链条中的分配原则和分配结果；</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3FBA4609"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48DBC8B7"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552AE7A"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5FFC745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3.对外投资</w:t>
            </w:r>
            <w:r>
              <w:rPr>
                <w:rFonts w:ascii="Arial Narrow" w:eastAsia="仿宋_GB2312" w:hAnsi="Arial Narrow" w:cs="Arial"/>
                <w:sz w:val="20"/>
                <w:szCs w:val="20"/>
                <w:lang w:eastAsia="zh-CN"/>
              </w:rPr>
              <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7307BDF0" w14:textId="77777777" w:rsidR="004D1721" w:rsidRDefault="009B16BC">
            <w:pPr>
              <w:pStyle w:val="F"/>
              <w:numPr>
                <w:ilvl w:val="0"/>
                <w:numId w:val="13"/>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color w:val="000000"/>
                <w:sz w:val="20"/>
                <w:szCs w:val="20"/>
                <w:lang w:eastAsia="zh-CN"/>
              </w:rPr>
              <w:t>对外投资基本信息，包括对外投资项目的投资地区、金额、主营业务及战略规划。</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B0E90F5"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2.4</w:t>
            </w:r>
          </w:p>
        </w:tc>
      </w:tr>
      <w:tr w:rsidR="004D1721" w14:paraId="03FEE23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2AFF9C9"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240E5DAD" w14:textId="77777777" w:rsidR="004D1721" w:rsidRDefault="009B16BC">
            <w:pPr>
              <w:pStyle w:val="F"/>
              <w:numPr>
                <w:ilvl w:val="0"/>
                <w:numId w:val="13"/>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color w:val="000000"/>
                <w:sz w:val="20"/>
                <w:szCs w:val="20"/>
                <w:lang w:eastAsia="zh-CN"/>
              </w:rPr>
              <w:t>对外投资项目概况，包括对外投资项目的股权架构、组织结构，高级管理人员的雇佣方式，项目决策权限的归属。</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62C7E87" w14:textId="77777777" w:rsidR="004D1721" w:rsidRDefault="004D1721">
            <w:pPr>
              <w:pStyle w:val="F"/>
              <w:adjustRightInd w:val="0"/>
              <w:snapToGrid w:val="0"/>
              <w:spacing w:before="60" w:after="60" w:line="240" w:lineRule="auto"/>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7448615D" w14:textId="77777777" w:rsidTr="004D1721">
        <w:trPr>
          <w:trHeight w:val="291"/>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4399519"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1019CB9B" w14:textId="77777777" w:rsidR="004D1721" w:rsidRDefault="009B16BC">
            <w:pPr>
              <w:pStyle w:val="F"/>
              <w:numPr>
                <w:ilvl w:val="0"/>
                <w:numId w:val="13"/>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color w:val="000000"/>
                <w:sz w:val="20"/>
                <w:szCs w:val="20"/>
                <w:lang w:eastAsia="zh-CN"/>
              </w:rPr>
              <w:t>对外投资项目数据，包括对外投资项目的营运数据。</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8A4C5E3" w14:textId="77777777" w:rsidR="004D1721" w:rsidRDefault="004D1721">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10DFAB9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DDEBF7"/>
            <w:vAlign w:val="center"/>
          </w:tcPr>
          <w:p w14:paraId="17CC2D11"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0EE9977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4.关联股权转让</w:t>
            </w:r>
            <w:r>
              <w:rPr>
                <w:rFonts w:ascii="Arial Narrow" w:eastAsia="仿宋_GB2312" w:hAnsi="Arial Narrow" w:cs="Arial"/>
                <w:sz w:val="20"/>
                <w:szCs w:val="20"/>
                <w:lang w:eastAsia="zh-CN"/>
              </w:rPr>
              <w:t/>
            </w: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32641269" w14:textId="77777777" w:rsidR="004D1721" w:rsidRDefault="009B16BC">
            <w:pPr>
              <w:pStyle w:val="F"/>
              <w:numPr>
                <w:ilvl w:val="0"/>
                <w:numId w:val="14"/>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股权转让概况，包括转让背景、参与方、时间、价格、支付方式，以及影响股权转让的其他因素。</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DDEBF7"/>
            <w:vAlign w:val="center"/>
          </w:tcPr>
          <w:p w14:paraId="442314B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2.4</w:t>
            </w:r>
          </w:p>
        </w:tc>
      </w:tr>
      <w:tr w:rsidR="004D1721" w14:paraId="0AC02D15"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FC7AA22"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59D6BD1B" w14:textId="77777777" w:rsidR="004D1721" w:rsidRDefault="009B16BC">
            <w:pPr>
              <w:pStyle w:val="F"/>
              <w:numPr>
                <w:ilvl w:val="0"/>
                <w:numId w:val="14"/>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股权转让标的的相关信息，包括股权转让标的所在地，出让方获取该股权的时间、方式和成本，股权转让收益等信息。</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E219E3C" w14:textId="77777777" w:rsidR="004D1721" w:rsidRDefault="004D1721">
            <w:pPr>
              <w:pStyle w:val="F"/>
              <w:adjustRightInd w:val="0"/>
              <w:snapToGrid w:val="0"/>
              <w:spacing w:before="60" w:after="60" w:line="240" w:lineRule="auto"/>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55194939"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98E2479"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2D19DF05" w14:textId="77777777" w:rsidR="004D1721" w:rsidRDefault="009B16BC">
            <w:pPr>
              <w:pStyle w:val="F"/>
              <w:numPr>
                <w:ilvl w:val="0"/>
                <w:numId w:val="14"/>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尽职调查报告或者资产评估报告等与股权转让相关的其他信息。</w:t>
            </w:r>
          </w:p>
        </w:tc>
        <w:tc>
          <w:tcPr>
            <w:tcW w:w="1134" w:type="dxa"/>
            <w:vMerge/>
            <w:tcBorders>
              <w:top w:val="single" w:sz="4" w:space="0" w:color="auto"/>
              <w:left w:val="single" w:sz="4" w:space="0" w:color="auto"/>
              <w:bottom w:val="single" w:sz="4" w:space="0" w:color="auto"/>
              <w:right w:val="single" w:sz="4" w:space="0" w:color="auto"/>
            </w:tcBorders>
            <w:shd w:val="clear" w:color="auto" w:fill="DDEBF7"/>
            <w:vAlign w:val="center"/>
          </w:tcPr>
          <w:p w14:paraId="548D8AF9" w14:textId="77777777" w:rsidR="004D1721" w:rsidRDefault="004D1721">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4916B033"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61AF69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13729B08"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5.关联劳务</w:t>
            </w:r>
            <w:r>
              <w:rPr>
                <w:rFonts w:ascii="Arial Narrow" w:eastAsia="仿宋_GB2312" w:hAnsi="Arial Narrow" w:cs="Arial"/>
                <w:sz w:val="20"/>
                <w:szCs w:val="20"/>
                <w:lang w:eastAsia="zh-CN"/>
              </w:rPr>
              <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2EB240C6" w14:textId="77777777" w:rsidR="004D1721" w:rsidRDefault="009B16BC">
            <w:pPr>
              <w:pStyle w:val="F"/>
              <w:numPr>
                <w:ilvl w:val="0"/>
                <w:numId w:val="15"/>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关联劳务概况，包括劳务提供方和接受方，劳务的具体内容、特性、开展方式、定价原则、支付形式，以及劳务发生后各方受益情况等。</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76BAE9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hint="eastAsia"/>
                <w:sz w:val="20"/>
                <w:szCs w:val="20"/>
                <w:lang w:eastAsia="zh-CN"/>
              </w:rPr>
              <w:t>不适用</w:t>
            </w:r>
          </w:p>
        </w:tc>
      </w:tr>
      <w:tr w:rsidR="004D1721" w14:paraId="6ED5F671"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6727557"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700C31CA" w14:textId="77777777" w:rsidR="004D1721" w:rsidRDefault="009B16BC">
            <w:pPr>
              <w:pStyle w:val="F"/>
              <w:numPr>
                <w:ilvl w:val="0"/>
                <w:numId w:val="15"/>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劳务成本费用的归集方法、项目、金额、分配标准、计算过程及结果等。</w:t>
            </w:r>
          </w:p>
        </w:tc>
        <w:tc>
          <w:tcPr>
            <w:tcW w:w="1134" w:type="dxa"/>
            <w:vMerge/>
            <w:tcBorders>
              <w:top w:val="single" w:sz="4" w:space="0" w:color="auto"/>
              <w:left w:val="single" w:sz="4" w:space="0" w:color="auto"/>
              <w:bottom w:val="single" w:sz="4" w:space="0" w:color="auto"/>
              <w:right w:val="single" w:sz="4" w:space="0" w:color="auto"/>
            </w:tcBorders>
            <w:shd w:val="clear" w:color="auto" w:fill="DDEBF7"/>
            <w:vAlign w:val="center"/>
          </w:tcPr>
          <w:p w14:paraId="1EDF1283" w14:textId="77777777" w:rsidR="004D1721" w:rsidRDefault="004D1721">
            <w:pPr>
              <w:pStyle w:val="F"/>
              <w:adjustRightInd w:val="0"/>
              <w:snapToGrid w:val="0"/>
              <w:spacing w:before="60" w:after="60" w:line="240" w:lineRule="auto"/>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1CE2917D"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15C3880"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69F04C42" w14:textId="77777777" w:rsidR="004D1721" w:rsidRDefault="009B16BC">
            <w:pPr>
              <w:pStyle w:val="F"/>
              <w:numPr>
                <w:ilvl w:val="0"/>
                <w:numId w:val="15"/>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企业及其所属企业集团与非关联方存在相同或者类似劳务交易的，还应当详细说明关联劳务与非关联劳务在定价原则和交易结果上的异同。</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2AA5DF0" w14:textId="77777777" w:rsidR="004D1721" w:rsidRDefault="004D1721">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3E79E627" w14:textId="77777777" w:rsidTr="004D1721">
        <w:trPr>
          <w:trHeight w:val="1263"/>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auto"/>
              <w:left w:val="single" w:sz="4" w:space="0" w:color="auto"/>
              <w:bottom w:val="single" w:sz="4" w:space="0" w:color="auto"/>
              <w:right w:val="single" w:sz="4" w:space="0" w:color="auto"/>
            </w:tcBorders>
            <w:shd w:val="clear" w:color="auto" w:fill="DDEBF7"/>
            <w:vAlign w:val="center"/>
          </w:tcPr>
          <w:p w14:paraId="3AF41EF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42547FD6"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6.预约定价安排和作出的其他税收裁定</w:t>
            </w:r>
            <w:r>
              <w:rPr>
                <w:rFonts w:ascii="Arial Narrow" w:eastAsia="仿宋_GB2312" w:hAnsi="Arial Narrow" w:cs="Arial"/>
                <w:sz w:val="20"/>
                <w:szCs w:val="20"/>
                <w:lang w:eastAsia="zh-CN"/>
              </w:rPr>
              <w:t/>
            </w: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3EB8FE9F" w14:textId="77777777" w:rsidR="004D1721" w:rsidRDefault="009B16BC">
            <w:pPr>
              <w:pStyle w:val="F"/>
              <w:adjustRightInd w:val="0"/>
              <w:snapToGrid w:val="0"/>
              <w:spacing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与企业关联交易直接相关的，中国以外其他国家税务主管当局签订的预约定价安排和作出的其他税收裁定</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5A0CF759"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4.5</w:t>
            </w:r>
          </w:p>
        </w:tc>
      </w:tr>
      <w:tr w:rsidR="004D1721" w14:paraId="0EE3A3E6" w14:textId="77777777" w:rsidTr="004D1721">
        <w:trPr>
          <w:trHeight w:val="718"/>
        </w:trPr>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57F3152"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（四）可比性分析</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5B93F7BF"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可比性分析考虑的因素，包括交易资产或者劳务特性，交易各方功能、风险和资产，合同条款，经济环境，经营策略等。</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69435E0"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w:t>
            </w:r>
          </w:p>
        </w:tc>
      </w:tr>
      <w:tr w:rsidR="004D1721" w14:paraId="78A5C54E" w14:textId="77777777" w:rsidTr="004D1721">
        <w:trPr>
          <w:trHeight w:val="502"/>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E137A02"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5C3C7531"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可比企业执行的功能、承担的风险以及使用的资产等相关信息。</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1668CA2C"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5</w:t>
            </w:r>
          </w:p>
          <w:p w14:paraId="4D20A6A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附件3</w:t>
            </w:r>
            <w:r>
              <w:rPr>
                <w:rFonts w:ascii="Arial Narrow" w:eastAsia="仿宋_GB2312" w:hAnsi="Arial Narrow" w:cs="Arial"/>
                <w:sz w:val="20"/>
                <w:szCs w:val="20"/>
                <w:lang w:eastAsia="zh-CN"/>
              </w:rPr>
              <w:t/>
            </w:r>
          </w:p>
        </w:tc>
      </w:tr>
      <w:tr w:rsidR="004D1721" w14:paraId="40663E8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A8F387A"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33764C9B"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可比对象搜索方法、信息来源、选择条件及理由。</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C659732"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47AAE857"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D7A2B1F"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42D508D2"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所选取的内部或者外部可比非受控交易信息和可比企业的财务信息。</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01C041D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附件4</w:t>
            </w:r>
            <w:r>
              <w:rPr>
                <w:rFonts w:ascii="Arial Narrow" w:eastAsia="仿宋_GB2312" w:hAnsi="Arial Narrow" w:cs="Arial"/>
                <w:sz w:val="20"/>
                <w:szCs w:val="20"/>
                <w:lang w:eastAsia="zh-CN"/>
              </w:rPr>
              <w:t/>
            </w:r>
          </w:p>
        </w:tc>
      </w:tr>
      <w:tr w:rsidR="004D1721" w14:paraId="6A06005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bottom w:val="single" w:sz="4" w:space="0" w:color="auto"/>
              <w:right w:val="single" w:sz="4" w:space="0" w:color="auto"/>
            </w:tcBorders>
            <w:shd w:val="clear" w:color="auto" w:fill="auto"/>
            <w:vAlign w:val="center"/>
          </w:tcPr>
          <w:p w14:paraId="02A02887"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553F8222"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可比数据的差异调整及理由。</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07029F3"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7EF2A9B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DDEBF7"/>
            <w:vAlign w:val="center"/>
          </w:tcPr>
          <w:p w14:paraId="03487BEE"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（五）转让定价方法的选择和适用</w:t>
            </w: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0EC70260"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被测试方的选择及理由。</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03B2D71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w:t>
            </w:r>
          </w:p>
        </w:tc>
      </w:tr>
      <w:tr w:rsidR="004D1721" w14:paraId="541AC7CE"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E6647FF"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74E4CC30"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转让定价方法的选用及理由，无论选择何种转让定价方法，均须说明企业对集团整体利润或者剩余利润所做的贡献。</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87A4361"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p w14:paraId="5577901E"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w:t>
            </w:r>
          </w:p>
          <w:p w14:paraId="66E0AB5C"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附件1</w:t>
            </w:r>
            <w:r>
              <w:rPr>
                <w:rFonts w:ascii="Arial Narrow" w:eastAsia="仿宋_GB2312" w:hAnsi="Arial Narrow" w:cs="Arial"/>
                <w:sz w:val="20"/>
                <w:szCs w:val="20"/>
                <w:lang w:eastAsia="zh-CN"/>
              </w:rPr>
              <w:t/>
            </w:r>
          </w:p>
        </w:tc>
      </w:tr>
      <w:tr w:rsidR="004D1721" w14:paraId="2AB41DB4"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2700C72"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3F9A2664"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确定可比非关联交易价格或者利润的过程中所做的假设和判断。</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17BF8DE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17ECE59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AE4581B"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0514FC39"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运用合理的转让定价方法和可比性分析结果，确定可比非关联交易价格或者利润。</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11CC637"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3746AC59"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6311291"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53A24BC5"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其他支持所选用转让定价方法的资料。</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1441B197"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不适用</w:t>
            </w:r>
          </w:p>
        </w:tc>
      </w:tr>
      <w:tr w:rsidR="004D1721" w14:paraId="4762E356"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D4E988B"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3B3EC78A"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关联交易定价是否符合独立交易原则的分析及结论。</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279D810"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8</w:t>
            </w:r>
          </w:p>
        </w:tc>
      </w:tr>
    </w:tbl>
    <w:p w14:paraId="37B82818" w14:textId="77777777" w:rsidR="004D1721" w:rsidRDefault="004D1721">
      <w:pPr>
        <w:adjustRightInd w:val="0"/>
        <w:snapToGrid w:val="0"/>
        <w:jc w:val="both"/>
        <w:rPr>
          <w:rFonts w:ascii="Arial Narrow" w:eastAsia="仿宋_GB2312" w:hAnsi="Arial Narrow" w:cs="Arial"/>
          <w:sz w:val="22"/>
          <w:szCs w:val="22"/>
        </w:rPr>
      </w:pPr>
    </w:p>
    <w:p w14:paraId="2EE6EFFF" w14:textId="77777777" w:rsidR="004D1721" w:rsidRDefault="004D1721">
      <w:pPr>
        <w:adjustRightInd w:val="0"/>
        <w:snapToGrid w:val="0"/>
        <w:jc w:val="both"/>
        <w:rPr>
          <w:rFonts w:ascii="Arial Narrow" w:eastAsia="仿宋_GB2312" w:hAnsi="Arial Narrow" w:cs="Arial"/>
          <w:sz w:val="22"/>
          <w:szCs w:val="22"/>
        </w:rPr>
      </w:pPr>
    </w:p>
    <w:p w14:paraId="347FC76B" w14:textId="77777777" w:rsidR="004D1721" w:rsidRDefault="004D1721">
      <w:pPr>
        <w:adjustRightInd w:val="0"/>
        <w:snapToGrid w:val="0"/>
        <w:jc w:val="both"/>
        <w:rPr>
          <w:rFonts w:ascii="Arial Narrow" w:eastAsia="仿宋_GB2312" w:hAnsi="Arial Narrow" w:cs="Arial"/>
          <w:sz w:val="22"/>
          <w:szCs w:val="22"/>
        </w:rPr>
        <w:sectPr w:rsidR="004D1721">
          <w:footerReference w:type="default" r:id="rId19"/>
          <w:pgSz w:w="11907" w:h="16839"/>
          <w:pgMar w:top="1440" w:right="1800" w:bottom="1440" w:left="1800" w:header="709" w:footer="709" w:gutter="0"/>
          <w:pgNumType w:fmt="lowerRoman" w:start="1"/>
          <w:cols w:space="720"/>
          <w:docGrid w:linePitch="360"/>
        </w:sectPr>
      </w:pPr>
    </w:p>
    <w:p w14:paraId="25121596" w14:textId="77777777" w:rsidR="004D1721" w:rsidRDefault="009B16BC">
      <w:pPr>
        <w:pStyle w:val="Heading1"/>
        <w:numPr>
          <w:ilvl w:val="0"/>
          <w:numId w:val="0"/>
        </w:numPr>
        <w:ind w:left="360"/>
      </w:pPr>
      <w:bookmarkStart w:id="50" w:name="_Toc140505094"/>
      <w:bookmarkStart w:id="51" w:name="_Toc53229045"/>
      <w:r>
        <w:lastRenderedPageBreak/>
        <w:t>缩略语索引表</w:t>
      </w:r>
      <w:bookmarkEnd w:id="50"/>
      <w:bookmarkEnd w:id="51"/>
    </w:p>
    <w:tbl>
      <w:tblPr>
        <w:tblW w:w="836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3"/>
        <w:gridCol w:w="5380"/>
      </w:tblGrid>
      <w:tr w:rsidR="004D1721" w14:paraId="52436EDD" w14:textId="77777777" w:rsidTr="005D08A5">
        <w:trPr>
          <w:trHeight w:hRule="exact" w:val="555"/>
          <w:tblHeader/>
          <w:tblCellSpacing w:w="0" w:type="dxa"/>
          <w:jc w:val="center"/>
        </w:trPr>
        <w:tc>
          <w:tcPr>
            <w:tcW w:w="2983" w:type="dxa"/>
            <w:shd w:val="clear" w:color="auto" w:fill="002060"/>
            <w:vAlign w:val="center"/>
          </w:tcPr>
          <w:p w14:paraId="41D2DA6F" w14:textId="77777777" w:rsidR="004D1721" w:rsidRDefault="009B16BC">
            <w:pPr>
              <w:jc w:val="center"/>
              <w:rPr>
                <w:rFonts w:ascii="Arial Narrow" w:eastAsia="仿宋_GB2312" w:hAnsi="Arial Narrow" w:cs="Arial"/>
                <w:b/>
                <w:color w:val="FFFFFF"/>
                <w:sz w:val="22"/>
                <w:szCs w:val="22"/>
              </w:rPr>
            </w:pPr>
            <w:r>
              <w:rPr>
                <w:rFonts w:ascii="Arial Narrow" w:eastAsia="仿宋_GB2312" w:hAnsi="Arial Narrow" w:cs="Arial"/>
                <w:b/>
                <w:color w:val="FFFFFF"/>
                <w:sz w:val="22"/>
                <w:szCs w:val="22"/>
              </w:rPr>
              <w:t>缩略语</w:t>
            </w:r>
          </w:p>
        </w:tc>
        <w:tc>
          <w:tcPr>
            <w:tcW w:w="5380" w:type="dxa"/>
            <w:shd w:val="clear" w:color="auto" w:fill="002060"/>
            <w:vAlign w:val="center"/>
          </w:tcPr>
          <w:p w14:paraId="51129DFA" w14:textId="77777777" w:rsidR="004D1721" w:rsidRDefault="009B16BC">
            <w:pPr>
              <w:jc w:val="center"/>
              <w:rPr>
                <w:rFonts w:ascii="Arial Narrow" w:eastAsia="仿宋_GB2312" w:hAnsi="Arial Narrow" w:cs="Arial"/>
                <w:b/>
                <w:color w:val="FFFFFF"/>
                <w:sz w:val="22"/>
                <w:szCs w:val="22"/>
              </w:rPr>
            </w:pPr>
            <w:r>
              <w:rPr>
                <w:rFonts w:ascii="Arial Narrow" w:eastAsia="仿宋_GB2312" w:hAnsi="Arial Narrow" w:cs="Arial"/>
                <w:b/>
                <w:color w:val="FFFFFF"/>
                <w:sz w:val="22"/>
                <w:szCs w:val="22"/>
              </w:rPr>
              <w:t>全称</w:t>
            </w:r>
          </w:p>
        </w:tc>
      </w:tr>
      <w:tr w:rsidR="004D1721" w14:paraId="0731AD4A" w14:textId="77777777">
        <w:trPr>
          <w:trHeight w:val="615"/>
          <w:tblCellSpacing w:w="0" w:type="dxa"/>
          <w:jc w:val="center"/>
        </w:trPr>
        <w:tc>
          <w:tcPr>
            <w:tcW w:w="2983" w:type="dxa"/>
            <w:shd w:val="clear" w:color="auto" w:fill="auto"/>
            <w:vAlign w:val="center"/>
          </w:tcPr>
          <w:p w14:paraId="0000F579"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立信或我们</w:t>
            </w:r>
            <w:r>
              <w:rPr>
                <w:rFonts w:ascii="Arial Narrow" w:eastAsia="仿宋_GB2312" w:hAnsi="Arial Narrow" w:cs="Arial"/>
                <w:sz w:val="22"/>
                <w:szCs w:val="22"/>
              </w:rPr>
              <w:t/>
            </w:r>
          </w:p>
        </w:tc>
        <w:tc>
          <w:tcPr>
            <w:tcW w:w="5380" w:type="dxa"/>
            <w:shd w:val="clear" w:color="auto" w:fill="auto"/>
            <w:vAlign w:val="center"/>
          </w:tcPr>
          <w:p w14:paraId="3FD5C6A0"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{{事务所名称}}</w:t>
            </w:r>
          </w:p>
        </w:tc>
      </w:tr>
      <w:tr w:rsidR="004D1721" w14:paraId="0099A159" w14:textId="77777777">
        <w:trPr>
          <w:trHeight w:val="615"/>
          <w:tblCellSpacing w:w="0" w:type="dxa"/>
          <w:jc w:val="center"/>
        </w:trPr>
        <w:tc>
          <w:tcPr>
            <w:tcW w:w="2983" w:type="dxa"/>
            <w:shd w:val="clear" w:color="auto" w:fill="auto"/>
            <w:vAlign w:val="center"/>
          </w:tcPr>
          <w:p w14:paraId="17D1A3E3"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松莉科技或贵公司</w:t>
            </w:r>
          </w:p>
        </w:tc>
        <w:tc>
          <w:tcPr>
            <w:tcW w:w="5380" w:type="dxa"/>
            <w:shd w:val="clear" w:color="auto" w:fill="auto"/>
            <w:vAlign w:val="center"/>
          </w:tcPr>
          <w:p w14:paraId="6088F130"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{{企业名称}}</w:t>
            </w:r>
          </w:p>
        </w:tc>
      </w:tr>
      <w:tr w:rsidR="004D1721" w14:paraId="3DBBA106" w14:textId="77777777">
        <w:trPr>
          <w:trHeight w:val="615"/>
          <w:tblCellSpacing w:w="0" w:type="dxa"/>
          <w:jc w:val="center"/>
        </w:trPr>
        <w:tc>
          <w:tcPr>
            <w:tcW w:w="2983" w:type="dxa"/>
            <w:shd w:val="clear" w:color="auto" w:fill="auto"/>
            <w:vAlign w:val="center"/>
          </w:tcPr>
          <w:p w14:paraId="20CF7DD2"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Markwins集团</w:t>
            </w:r>
            <w:r>
              <w:rPr>
                <w:rFonts w:ascii="Arial Narrow" w:eastAsia="仿宋_GB2312" w:hAnsi="Arial Narrow" w:cs="Arial"/>
                <w:sz w:val="22"/>
                <w:szCs w:val="22"/>
              </w:rPr>
              <w:t/>
            </w:r>
          </w:p>
        </w:tc>
        <w:tc>
          <w:tcPr>
            <w:tcW w:w="5380" w:type="dxa"/>
            <w:shd w:val="clear" w:color="auto" w:fill="auto"/>
            <w:vAlign w:val="center"/>
          </w:tcPr>
          <w:p w14:paraId="531A9464"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{{母公司全称}}及其关联公司</w:t>
            </w:r>
            <w:r>
              <w:rPr>
                <w:rFonts w:ascii="Arial Narrow" w:eastAsia="仿宋_GB2312" w:hAnsi="Arial Narrow" w:cs="Arial"/>
                <w:sz w:val="22"/>
                <w:szCs w:val="22"/>
              </w:rPr>
              <w:t/>
            </w:r>
          </w:p>
        </w:tc>
      </w:tr>
      <w:tr w:rsidR="004D1721" w14:paraId="55A3B5F0" w14:textId="77777777">
        <w:trPr>
          <w:trHeight w:val="615"/>
          <w:tblCellSpacing w:w="0" w:type="dxa"/>
          <w:jc w:val="center"/>
        </w:trPr>
        <w:tc>
          <w:tcPr>
            <w:tcW w:w="2983" w:type="dxa"/>
            <w:shd w:val="clear" w:color="auto" w:fill="auto"/>
            <w:vAlign w:val="center"/>
          </w:tcPr>
          <w:p w14:paraId="621D397F"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Markwins US</w:t>
            </w:r>
          </w:p>
        </w:tc>
        <w:tc>
          <w:tcPr>
            <w:tcW w:w="5380" w:type="dxa"/>
            <w:shd w:val="clear" w:color="auto" w:fill="auto"/>
            <w:vAlign w:val="center"/>
          </w:tcPr>
          <w:p w14:paraId="1633A092"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Markwins Beauty Brands, Inc.</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p>
        </w:tc>
      </w:tr>
      <w:tr w:rsidR="004D1721" w14:paraId="1EDCD608" w14:textId="77777777">
        <w:trPr>
          <w:trHeight w:val="615"/>
          <w:tblCellSpacing w:w="0" w:type="dxa"/>
          <w:jc w:val="center"/>
        </w:trPr>
        <w:tc>
          <w:tcPr>
            <w:tcW w:w="2983" w:type="dxa"/>
            <w:shd w:val="clear" w:color="auto" w:fill="auto"/>
            <w:vAlign w:val="center"/>
          </w:tcPr>
          <w:p w14:paraId="04879B2C"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Markwins HK</w:t>
            </w:r>
          </w:p>
        </w:tc>
        <w:tc>
          <w:tcPr>
            <w:tcW w:w="5380" w:type="dxa"/>
            <w:shd w:val="clear" w:color="auto" w:fill="auto"/>
            <w:vAlign w:val="center"/>
          </w:tcPr>
          <w:p w14:paraId="6158986F"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hint="eastAsia"/>
                <w:sz w:val="22"/>
                <w:szCs w:val="22"/>
              </w:rPr>
              <w:t>Markwins International Corporation Limited</w:t>
            </w:r>
          </w:p>
        </w:tc>
      </w:tr>
      <w:tr w:rsidR="004D1721" w14:paraId="26992C13" w14:textId="77777777">
        <w:trPr>
          <w:trHeight w:val="615"/>
          <w:tblCellSpacing w:w="0" w:type="dxa"/>
          <w:jc w:val="center"/>
        </w:trPr>
        <w:tc>
          <w:tcPr>
            <w:tcW w:w="2983" w:type="dxa"/>
            <w:shd w:val="clear" w:color="auto" w:fill="auto"/>
            <w:vAlign w:val="center"/>
          </w:tcPr>
          <w:p w14:paraId="190BC67A"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Markwins Pro Art</w:t>
            </w:r>
          </w:p>
        </w:tc>
        <w:tc>
          <w:tcPr>
            <w:tcW w:w="5380" w:type="dxa"/>
            <w:shd w:val="clear" w:color="auto" w:fill="auto"/>
            <w:vAlign w:val="center"/>
          </w:tcPr>
          <w:p w14:paraId="73C9FA6D"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hint="eastAsia"/>
                <w:sz w:val="22"/>
                <w:szCs w:val="22"/>
              </w:rPr>
              <w:t>Pro Art Cosmetics Limited</w:t>
            </w:r>
          </w:p>
        </w:tc>
      </w:tr>
      <w:tr w:rsidR="004D1721" w14:paraId="64380629" w14:textId="77777777">
        <w:trPr>
          <w:trHeight w:val="615"/>
          <w:tblCellSpacing w:w="0" w:type="dxa"/>
          <w:jc w:val="center"/>
        </w:trPr>
        <w:tc>
          <w:tcPr>
            <w:tcW w:w="2983" w:type="dxa"/>
            <w:shd w:val="clear" w:color="auto" w:fill="auto"/>
            <w:vAlign w:val="center"/>
          </w:tcPr>
          <w:p w14:paraId="5D3C8DC5" w14:textId="0DE0C79A"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评估期间或2023年度</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tc>
        <w:tc>
          <w:tcPr>
            <w:tcW w:w="5380" w:type="dxa"/>
            <w:shd w:val="clear" w:color="auto" w:fill="auto"/>
            <w:vAlign w:val="center"/>
          </w:tcPr>
          <w:p w14:paraId="7717B998" w14:textId="18414895"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2023年1月1日至2023年12月31日</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4084ADF6" w14:textId="77777777">
        <w:trPr>
          <w:trHeight w:val="615"/>
          <w:tblCellSpacing w:w="0" w:type="dxa"/>
          <w:jc w:val="center"/>
        </w:trPr>
        <w:tc>
          <w:tcPr>
            <w:tcW w:w="2983" w:type="dxa"/>
            <w:shd w:val="clear" w:color="auto" w:fill="auto"/>
            <w:vAlign w:val="center"/>
          </w:tcPr>
          <w:p w14:paraId="54513C2B"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国税总局</w:t>
            </w:r>
          </w:p>
        </w:tc>
        <w:tc>
          <w:tcPr>
            <w:tcW w:w="5380" w:type="dxa"/>
            <w:shd w:val="clear" w:color="auto" w:fill="auto"/>
            <w:vAlign w:val="center"/>
          </w:tcPr>
          <w:p w14:paraId="4B7E1F54"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中华人民共和国国家税务总局</w:t>
            </w:r>
          </w:p>
        </w:tc>
      </w:tr>
      <w:tr w:rsidR="004D1721" w14:paraId="6F6E45C7" w14:textId="77777777">
        <w:trPr>
          <w:trHeight w:val="615"/>
          <w:tblCellSpacing w:w="0" w:type="dxa"/>
          <w:jc w:val="center"/>
        </w:trPr>
        <w:tc>
          <w:tcPr>
            <w:tcW w:w="2983" w:type="dxa"/>
            <w:shd w:val="clear" w:color="auto" w:fill="auto"/>
            <w:vAlign w:val="center"/>
          </w:tcPr>
          <w:p w14:paraId="3D12850B"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企业所得税法</w:t>
            </w:r>
          </w:p>
        </w:tc>
        <w:tc>
          <w:tcPr>
            <w:tcW w:w="5380" w:type="dxa"/>
            <w:shd w:val="clear" w:color="auto" w:fill="auto"/>
            <w:vAlign w:val="center"/>
          </w:tcPr>
          <w:p w14:paraId="0A86C633"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《中华人民共和国企业所得税法》及其实施条例</w:t>
            </w:r>
          </w:p>
        </w:tc>
      </w:tr>
      <w:tr w:rsidR="004D1721" w14:paraId="5EF650F5" w14:textId="77777777">
        <w:trPr>
          <w:trHeight w:val="615"/>
          <w:tblCellSpacing w:w="0" w:type="dxa"/>
          <w:jc w:val="center"/>
        </w:trPr>
        <w:tc>
          <w:tcPr>
            <w:tcW w:w="2983" w:type="dxa"/>
            <w:shd w:val="clear" w:color="auto" w:fill="auto"/>
            <w:vAlign w:val="center"/>
          </w:tcPr>
          <w:p w14:paraId="7477C66C"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税收征管法</w:t>
            </w:r>
          </w:p>
        </w:tc>
        <w:tc>
          <w:tcPr>
            <w:tcW w:w="5380" w:type="dxa"/>
            <w:shd w:val="clear" w:color="auto" w:fill="auto"/>
            <w:vAlign w:val="center"/>
          </w:tcPr>
          <w:p w14:paraId="32040310"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《中华人民共和国税收征收管理法》及其实施细则</w:t>
            </w:r>
          </w:p>
        </w:tc>
      </w:tr>
      <w:tr w:rsidR="004D1721" w14:paraId="69AC9573" w14:textId="77777777">
        <w:trPr>
          <w:trHeight w:val="615"/>
          <w:tblCellSpacing w:w="0" w:type="dxa"/>
          <w:jc w:val="center"/>
        </w:trPr>
        <w:tc>
          <w:tcPr>
            <w:tcW w:w="2983" w:type="dxa"/>
            <w:shd w:val="clear" w:color="auto" w:fill="auto"/>
            <w:vAlign w:val="center"/>
          </w:tcPr>
          <w:p w14:paraId="2A8CA02C"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[2016]42号公告</w:t>
            </w:r>
            <w:r>
              <w:rPr>
                <w:rFonts w:ascii="Arial Narrow" w:eastAsia="仿宋_GB2312" w:hAnsi="Arial Narrow" w:cs="Arial"/>
                <w:sz w:val="22"/>
                <w:szCs w:val="22"/>
              </w:rPr>
              <w:t/>
            </w:r>
          </w:p>
        </w:tc>
        <w:tc>
          <w:tcPr>
            <w:tcW w:w="5380" w:type="dxa"/>
            <w:shd w:val="clear" w:color="auto" w:fill="auto"/>
            <w:vAlign w:val="center"/>
          </w:tcPr>
          <w:p w14:paraId="6FE9714D"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国家税务总局公告2016年第42号《关于完善关联申报和同期资料管理有关事项的公告》</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26E322D1" w14:textId="77777777">
        <w:trPr>
          <w:trHeight w:val="615"/>
          <w:tblCellSpacing w:w="0" w:type="dxa"/>
          <w:jc w:val="center"/>
        </w:trPr>
        <w:tc>
          <w:tcPr>
            <w:tcW w:w="2983" w:type="dxa"/>
            <w:shd w:val="clear" w:color="auto" w:fill="auto"/>
            <w:vAlign w:val="center"/>
          </w:tcPr>
          <w:p w14:paraId="1CEE4DFF"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[2017]6号公告</w:t>
            </w:r>
            <w:r>
              <w:rPr>
                <w:rFonts w:ascii="Arial Narrow" w:eastAsia="仿宋_GB2312" w:hAnsi="Arial Narrow" w:cs="Arial"/>
                <w:sz w:val="22"/>
                <w:szCs w:val="22"/>
              </w:rPr>
              <w:t/>
            </w:r>
          </w:p>
        </w:tc>
        <w:tc>
          <w:tcPr>
            <w:tcW w:w="5380" w:type="dxa"/>
            <w:shd w:val="clear" w:color="auto" w:fill="auto"/>
            <w:vAlign w:val="center"/>
          </w:tcPr>
          <w:p w14:paraId="7D32F4B8"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国家税务总局公告2017年第6号关于发布《特别纳税调查调整及相互协商程序管理办法》的公告</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7E4C81FA" w14:textId="77777777">
        <w:trPr>
          <w:trHeight w:val="615"/>
          <w:tblCellSpacing w:w="0" w:type="dxa"/>
          <w:jc w:val="center"/>
        </w:trPr>
        <w:tc>
          <w:tcPr>
            <w:tcW w:w="2983" w:type="dxa"/>
            <w:shd w:val="clear" w:color="auto" w:fill="auto"/>
            <w:vAlign w:val="center"/>
          </w:tcPr>
          <w:p w14:paraId="72BB7C05"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OECD或经合组织</w:t>
            </w:r>
            <w:r>
              <w:rPr>
                <w:rFonts w:ascii="Arial Narrow" w:eastAsia="仿宋_GB2312" w:hAnsi="Arial Narrow" w:cs="Arial"/>
                <w:sz w:val="22"/>
                <w:szCs w:val="22"/>
              </w:rPr>
              <w:t/>
            </w:r>
          </w:p>
        </w:tc>
        <w:tc>
          <w:tcPr>
            <w:tcW w:w="5380" w:type="dxa"/>
            <w:shd w:val="clear" w:color="auto" w:fill="auto"/>
            <w:vAlign w:val="center"/>
          </w:tcPr>
          <w:p w14:paraId="1D91D2B1"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经济合作与发展组织</w:t>
            </w:r>
          </w:p>
        </w:tc>
      </w:tr>
      <w:tr w:rsidR="004D1721" w14:paraId="3682815D" w14:textId="77777777">
        <w:trPr>
          <w:trHeight w:val="615"/>
          <w:tblCellSpacing w:w="0" w:type="dxa"/>
          <w:jc w:val="center"/>
        </w:trPr>
        <w:tc>
          <w:tcPr>
            <w:tcW w:w="2983" w:type="dxa"/>
            <w:shd w:val="clear" w:color="auto" w:fill="auto"/>
            <w:vAlign w:val="center"/>
          </w:tcPr>
          <w:p w14:paraId="58233E11"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OECD指南</w:t>
            </w:r>
            <w:r>
              <w:rPr>
                <w:rFonts w:ascii="Arial Narrow" w:eastAsia="仿宋_GB2312" w:hAnsi="Arial Narrow" w:cs="Arial"/>
                <w:sz w:val="22"/>
                <w:szCs w:val="22"/>
              </w:rPr>
              <w:t/>
            </w:r>
          </w:p>
        </w:tc>
        <w:tc>
          <w:tcPr>
            <w:tcW w:w="5380" w:type="dxa"/>
            <w:shd w:val="clear" w:color="auto" w:fill="auto"/>
            <w:vAlign w:val="center"/>
          </w:tcPr>
          <w:p w14:paraId="5B1101E4"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《OECD跨国企业与税务机关转让定价指南》</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3A1041B6" w14:textId="77777777">
        <w:trPr>
          <w:trHeight w:hRule="exact" w:val="1712"/>
          <w:tblCellSpacing w:w="0" w:type="dxa"/>
          <w:jc w:val="center"/>
        </w:trPr>
        <w:tc>
          <w:tcPr>
            <w:tcW w:w="2983" w:type="dxa"/>
            <w:shd w:val="clear" w:color="auto" w:fill="auto"/>
            <w:vAlign w:val="center"/>
          </w:tcPr>
          <w:p w14:paraId="47A99817"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中国转让定价法律、法规</w:t>
            </w:r>
          </w:p>
        </w:tc>
        <w:tc>
          <w:tcPr>
            <w:tcW w:w="5380" w:type="dxa"/>
            <w:shd w:val="clear" w:color="auto" w:fill="auto"/>
            <w:vAlign w:val="center"/>
          </w:tcPr>
          <w:p w14:paraId="503C72E3"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《中华人民共和国企业所得税法》及其实施条例第六章“特别纳税调整”，《中华人民共和国税收征收管理法》第三十六条，国税总局颁布[2016]42号公告、[2017]6号公告及其他有关转让定价管理的规章和规范性文件</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4F0A0348" w14:textId="77777777">
        <w:trPr>
          <w:trHeight w:hRule="exact" w:val="649"/>
          <w:tblCellSpacing w:w="0" w:type="dxa"/>
          <w:jc w:val="center"/>
        </w:trPr>
        <w:tc>
          <w:tcPr>
            <w:tcW w:w="2983" w:type="dxa"/>
            <w:shd w:val="clear" w:color="auto" w:fill="auto"/>
            <w:vAlign w:val="center"/>
          </w:tcPr>
          <w:p w14:paraId="1CB5B564"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SIC代码</w:t>
            </w:r>
            <w:r>
              <w:rPr>
                <w:rFonts w:ascii="Arial Narrow" w:eastAsia="仿宋_GB2312" w:hAnsi="Arial Narrow" w:cs="Arial"/>
                <w:sz w:val="22"/>
                <w:szCs w:val="22"/>
              </w:rPr>
              <w:t/>
            </w:r>
          </w:p>
        </w:tc>
        <w:tc>
          <w:tcPr>
            <w:tcW w:w="5380" w:type="dxa"/>
            <w:shd w:val="clear" w:color="auto" w:fill="auto"/>
            <w:vAlign w:val="center"/>
          </w:tcPr>
          <w:p w14:paraId="01FC81BE"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美国标准行业分类代码</w:t>
            </w:r>
          </w:p>
        </w:tc>
      </w:tr>
    </w:tbl>
    <w:p w14:paraId="4E2CAFE8" w14:textId="77777777" w:rsidR="004D1721" w:rsidRDefault="004D1721">
      <w:pPr>
        <w:tabs>
          <w:tab w:val="left" w:pos="900"/>
        </w:tabs>
        <w:adjustRightInd w:val="0"/>
        <w:snapToGrid w:val="0"/>
        <w:spacing w:before="240"/>
        <w:jc w:val="both"/>
        <w:rPr>
          <w:rFonts w:ascii="Arial Narrow" w:eastAsia="仿宋_GB2312" w:hAnsi="Arial Narrow" w:cs="Arial"/>
          <w:iCs/>
          <w:kern w:val="24"/>
          <w:sz w:val="22"/>
          <w:szCs w:val="22"/>
        </w:rPr>
      </w:pPr>
    </w:p>
    <w:p w14:paraId="23654474" w14:textId="77777777" w:rsidR="004D1721" w:rsidRDefault="004D1721">
      <w:pPr>
        <w:tabs>
          <w:tab w:val="left" w:pos="900"/>
        </w:tabs>
        <w:adjustRightInd w:val="0"/>
        <w:snapToGrid w:val="0"/>
        <w:spacing w:before="240"/>
        <w:jc w:val="both"/>
        <w:rPr>
          <w:rFonts w:ascii="Arial Narrow" w:eastAsia="仿宋_GB2312" w:hAnsi="Arial Narrow" w:cs="Arial"/>
          <w:iCs/>
          <w:kern w:val="24"/>
          <w:sz w:val="22"/>
          <w:szCs w:val="22"/>
        </w:rPr>
        <w:sectPr w:rsidR="004D1721">
          <w:pgSz w:w="11907" w:h="16839"/>
          <w:pgMar w:top="1440" w:right="1800" w:bottom="1440" w:left="1800" w:header="709" w:footer="709" w:gutter="0"/>
          <w:pgNumType w:fmt="lowerRoman"/>
          <w:cols w:space="720"/>
          <w:docGrid w:linePitch="360"/>
        </w:sectPr>
      </w:pPr>
    </w:p>
    <w:p w14:paraId="7EFFE290" w14:textId="77777777" w:rsidR="004D1721" w:rsidRDefault="009B16BC">
      <w:pPr>
        <w:pStyle w:val="Heading1"/>
        <w:rPr>
          <w:b/>
        </w:rPr>
      </w:pPr>
      <w:bookmarkStart w:id="52" w:name="_Toc140505095"/>
      <w:bookmarkStart w:id="53" w:name="_Toc245032302"/>
      <w:bookmarkStart w:id="54" w:name="_Toc53229046"/>
      <w:bookmarkStart w:id="55" w:name="_Toc62016489"/>
      <w:bookmarkStart w:id="56" w:name="_Toc129167478"/>
      <w:bookmarkStart w:id="57" w:name="_Toc63759077"/>
      <w:bookmarkStart w:id="58" w:name="_Toc129167483"/>
      <w:bookmarkStart w:id="59" w:name="_Toc63759081"/>
      <w:bookmarkStart w:id="60" w:name="_Toc62016493"/>
      <w:bookmarkStart w:id="61" w:name="_Toc527388043"/>
      <w:bookmarkStart w:id="62" w:name="_Toc517684893"/>
      <w:bookmarkStart w:id="63" w:name="_Toc494184194"/>
      <w:bookmarkStart w:id="64" w:name="_Toc127024140"/>
      <w:bookmarkStart w:id="65" w:name="_Toc441821680"/>
      <w:r>
        <w:lastRenderedPageBreak/>
        <w:t>报告摘要</w:t>
      </w:r>
      <w:bookmarkEnd w:id="52"/>
      <w:bookmarkEnd w:id="53"/>
      <w:bookmarkEnd w:id="54"/>
    </w:p>
    <w:p w14:paraId="39A3B901" w14:textId="77777777" w:rsidR="004D1721" w:rsidRDefault="009B16BC">
      <w:pPr>
        <w:pStyle w:val="Heading2"/>
        <w:rPr>
          <w:b/>
          <w:bCs/>
        </w:rPr>
      </w:pPr>
      <w:bookmarkStart w:id="66" w:name="_Toc140505096"/>
      <w:bookmarkStart w:id="67" w:name="_Toc53229047"/>
      <w:r>
        <w:t>范围和目的</w:t>
      </w:r>
      <w:bookmarkEnd w:id="66"/>
      <w:bookmarkEnd w:id="67"/>
    </w:p>
    <w:p w14:paraId="58FD3D98" w14:textId="2F6B5479"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事务所名称}}（以下简称“立信”或“我们”）受{{企业名称}}（以下简称“松莉科技”或“贵公司”）的委托，协助准备2023财务年度（以下简称“评估期间”或“2023年度”）的关联交易同期资料的本地文档报告（以下简称“本报告”）。</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630CF15" w14:textId="570799A4"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2023年度，松莉科技和其境内外关联方进行了一系列关联交易，交易类型为关联购销交易。由于松莉科技与关联方之间的关联购销交易合计金额为人民币 295,427,614.07元，因此松莉科技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r w:rsidRPr="005D08A5">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9850A75" w14:textId="599DFF0B"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依照[2016]42号公告第14条的相关规定，本报告作为松莉科技2023年度的同期资料本地文档，旨在对其与其关联方在评估期间发生的受测关联交易进行分析和说明。</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FEEFC5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仅旨在说明松莉科技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r>
        <w:rPr>
          <w:rFonts w:ascii="Arial Narrow" w:eastAsia="仿宋_GB2312" w:hAnsi="Arial Narrow" w:cs="Arial"/>
          <w:sz w:val="22"/>
          <w:szCs w:val="22"/>
        </w:rPr>
        <w:t/>
      </w:r>
      <w:r>
        <w:rPr>
          <w:rFonts w:ascii="Arial Narrow" w:eastAsia="仿宋_GB2312" w:hAnsi="Arial Narrow" w:cs="Arial"/>
          <w:sz w:val="22"/>
          <w:szCs w:val="22"/>
        </w:rPr>
        <w:t/>
      </w:r>
    </w:p>
    <w:p w14:paraId="2E52E37B" w14:textId="77777777" w:rsidR="004D1721" w:rsidRDefault="009B16BC">
      <w:pPr>
        <w:pStyle w:val="Heading2"/>
        <w:rPr>
          <w:b/>
          <w:bCs/>
        </w:rPr>
      </w:pPr>
      <w:bookmarkStart w:id="68" w:name="_Toc53229048"/>
      <w:bookmarkStart w:id="69" w:name="_Toc140505097"/>
      <w:r>
        <w:t>受测关联交易</w:t>
      </w:r>
      <w:bookmarkEnd w:id="68"/>
      <w:bookmarkEnd w:id="69"/>
    </w:p>
    <w:p w14:paraId="3CEDABA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评估期间，松莉科技的主要关联交易为：</w:t>
      </w:r>
    </w:p>
    <w:p w14:paraId="04DF8BA0"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松莉科技与境内外关联方的关联购销交易。</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hint="eastAsia"/>
        </w:rPr>
        <w:t/>
      </w:r>
      <w:r>
        <w:rPr>
          <w:rFonts w:ascii="Arial Narrow" w:eastAsia="仿宋_GB2312" w:hAnsi="Arial Narrow" w:cs="Arial"/>
        </w:rPr>
        <w:t/>
      </w:r>
    </w:p>
    <w:p w14:paraId="0EFC3E1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上述关联交易，以下简称“受测关联交易”。其他任何涉及松莉科技和其他关联公司或分支机构的关联交易不在本报告的分析范围内。</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DE5A37B" w14:textId="77777777" w:rsidR="004D1721" w:rsidRDefault="009B16BC">
      <w:pPr>
        <w:pStyle w:val="Heading2"/>
        <w:rPr>
          <w:b/>
          <w:bCs/>
        </w:rPr>
      </w:pPr>
      <w:bookmarkStart w:id="70" w:name="_Toc48317194"/>
      <w:bookmarkStart w:id="71" w:name="_Toc489951794"/>
      <w:bookmarkStart w:id="72" w:name="_Toc48317093"/>
      <w:bookmarkStart w:id="73" w:name="_Toc48582499"/>
      <w:bookmarkStart w:id="74" w:name="_Toc48582912"/>
      <w:bookmarkStart w:id="75" w:name="_Toc48582501"/>
      <w:bookmarkStart w:id="76" w:name="_Toc48582913"/>
      <w:bookmarkStart w:id="77" w:name="_Toc48317092"/>
      <w:bookmarkStart w:id="78" w:name="_Toc48317380"/>
      <w:bookmarkStart w:id="79" w:name="_Toc48317195"/>
      <w:bookmarkStart w:id="80" w:name="_Toc48317193"/>
      <w:bookmarkStart w:id="81" w:name="_Toc48399516"/>
      <w:bookmarkStart w:id="82" w:name="_Toc48317379"/>
      <w:bookmarkStart w:id="83" w:name="_Toc48399518"/>
      <w:bookmarkStart w:id="84" w:name="_Toc48399517"/>
      <w:bookmarkStart w:id="85" w:name="_Toc48582500"/>
      <w:bookmarkStart w:id="86" w:name="_Toc48582914"/>
      <w:bookmarkStart w:id="87" w:name="_Toc48317378"/>
      <w:bookmarkStart w:id="88" w:name="_Toc48317091"/>
      <w:bookmarkStart w:id="89" w:name="_Toc53229049"/>
      <w:bookmarkStart w:id="90" w:name="_Toc140505098"/>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r>
        <w:lastRenderedPageBreak/>
        <w:t>功能和风险分析及价值链分析总结</w:t>
      </w:r>
      <w:bookmarkEnd w:id="89"/>
      <w:bookmarkEnd w:id="90"/>
    </w:p>
    <w:p w14:paraId="6DBDA44F"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bookmarkStart w:id="91" w:name="_Toc48582921"/>
      <w:bookmarkStart w:id="92" w:name="_Toc48317384"/>
      <w:bookmarkStart w:id="93" w:name="_Toc48317386"/>
      <w:bookmarkStart w:id="94" w:name="_Toc48317201"/>
      <w:bookmarkStart w:id="95" w:name="_Toc48317197"/>
      <w:bookmarkStart w:id="96" w:name="_Toc48317199"/>
      <w:bookmarkStart w:id="97" w:name="_Toc274480740"/>
      <w:bookmarkStart w:id="98" w:name="_Toc274409730"/>
      <w:bookmarkStart w:id="99" w:name="_Toc274409731"/>
      <w:bookmarkStart w:id="100" w:name="_Toc274409412"/>
      <w:bookmarkStart w:id="101" w:name="_Toc48582917"/>
      <w:bookmarkStart w:id="102" w:name="_Toc48317100"/>
      <w:bookmarkStart w:id="103" w:name="_Toc48399523"/>
      <w:bookmarkStart w:id="104" w:name="_Toc48317095"/>
      <w:bookmarkStart w:id="105" w:name="_Toc274409088"/>
      <w:bookmarkStart w:id="106" w:name="_Toc48399525"/>
      <w:bookmarkStart w:id="107" w:name="_Toc48317200"/>
      <w:bookmarkStart w:id="108" w:name="_Toc48582919"/>
      <w:bookmarkStart w:id="109" w:name="_Toc48399521"/>
      <w:bookmarkStart w:id="110" w:name="_Toc274409307"/>
      <w:bookmarkStart w:id="111" w:name="_Toc48582504"/>
      <w:bookmarkStart w:id="112" w:name="_Toc274409411"/>
      <w:bookmarkStart w:id="113" w:name="_Toc274480739"/>
      <w:bookmarkStart w:id="114" w:name="_Toc274409733"/>
      <w:bookmarkStart w:id="115" w:name="_Toc48582920"/>
      <w:bookmarkStart w:id="116" w:name="_Toc48582918"/>
      <w:bookmarkStart w:id="117" w:name="_Toc48582508"/>
      <w:bookmarkStart w:id="118" w:name="_Toc48317385"/>
      <w:bookmarkStart w:id="119" w:name="_Toc274409410"/>
      <w:bookmarkStart w:id="120" w:name="_Toc274480738"/>
      <w:bookmarkStart w:id="121" w:name="_Toc274409623"/>
      <w:bookmarkStart w:id="122" w:name="_Toc274409087"/>
      <w:bookmarkStart w:id="123" w:name="_Toc48317097"/>
      <w:bookmarkStart w:id="124" w:name="_Toc48317383"/>
      <w:bookmarkStart w:id="125" w:name="_Toc274409306"/>
      <w:bookmarkStart w:id="126" w:name="_Toc48399524"/>
      <w:bookmarkStart w:id="127" w:name="_Toc48317096"/>
      <w:bookmarkStart w:id="128" w:name="_Toc274409305"/>
      <w:bookmarkStart w:id="129" w:name="_Toc48399522"/>
      <w:bookmarkStart w:id="130" w:name="_Toc48317382"/>
      <w:bookmarkStart w:id="131" w:name="_Toc48582506"/>
      <w:bookmarkStart w:id="132" w:name="_Toc274409413"/>
      <w:bookmarkStart w:id="133" w:name="_Toc48317202"/>
      <w:bookmarkStart w:id="134" w:name="_Toc48582507"/>
      <w:bookmarkStart w:id="135" w:name="_Toc48399520"/>
      <w:bookmarkStart w:id="136" w:name="_Toc48317098"/>
      <w:bookmarkStart w:id="137" w:name="_Toc48582505"/>
      <w:bookmarkStart w:id="138" w:name="_Toc274409622"/>
      <w:bookmarkStart w:id="139" w:name="_Toc274409304"/>
      <w:bookmarkStart w:id="140" w:name="_Toc48317099"/>
      <w:bookmarkStart w:id="141" w:name="_Toc48582503"/>
      <w:bookmarkStart w:id="142" w:name="_Toc274409624"/>
      <w:bookmarkStart w:id="143" w:name="_Toc274480737"/>
      <w:bookmarkStart w:id="144" w:name="_Toc48582916"/>
      <w:bookmarkStart w:id="145" w:name="_Toc274409732"/>
      <w:bookmarkStart w:id="146" w:name="_Toc48317387"/>
      <w:bookmarkStart w:id="147" w:name="_Toc274409089"/>
      <w:bookmarkStart w:id="148" w:name="_Toc48317198"/>
      <w:bookmarkStart w:id="149" w:name="_Toc274409625"/>
      <w:bookmarkStart w:id="150" w:name="_Toc274409086"/>
      <w:bookmarkStart w:id="151" w:name="_Toc48317101"/>
      <w:bookmarkStart w:id="152" w:name="_Toc48317388"/>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r>
        <w:rPr>
          <w:rFonts w:ascii="Arial Narrow" w:eastAsia="仿宋_GB2312" w:hAnsi="Arial Narrow" w:cs="Arial"/>
          <w:sz w:val="22"/>
          <w:szCs w:val="22"/>
        </w:rPr>
        <w:t>从功能和风险角度判断，松莉科技执行有限的研发、生产、采购、质量控制、库存管理、物流、有限的销售、有限的售后服务和一般行政管理的功能；松莉科技主要承担生产风险、存货风险、市场风险、有限的信用风险、汇率风险；从功能和风险分析应归为承担一定功能及风险的合约生产制造商。</w:t>
      </w:r>
      <w:r>
        <w:rPr>
          <w:rFonts w:ascii="Arial Narrow" w:eastAsia="仿宋_GB2312" w:hAnsi="Arial Narrow" w:cs="Arial" w:hint="eastAsia"/>
          <w:sz w:val="22"/>
          <w:szCs w:val="22"/>
        </w:rPr>
        <w:t/>
      </w:r>
    </w:p>
    <w:p w14:paraId="1F556A01"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此外，松莉科技拥有全部的生产和测试所需的有形资产，不拥有核心技术专利及品牌等有价值的无形资产。</w:t>
      </w:r>
    </w:p>
    <w:p w14:paraId="2AD07338"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在整个集团经营活动中，松莉科技执行上述功能并且承担上述风险，其在集团价值链中的主要角色主要为承担一定功能及风险的合约生产制造商。</w:t>
      </w:r>
      <w:r>
        <w:rPr>
          <w:rFonts w:ascii="Arial Narrow" w:eastAsia="仿宋_GB2312" w:hAnsi="Arial Narrow" w:cs="Arial" w:hint="eastAsia"/>
          <w:sz w:val="22"/>
          <w:szCs w:val="22"/>
        </w:rPr>
        <w:t/>
      </w:r>
      <w:bookmarkEnd w:id="151"/>
      <w:bookmarkEnd w:id="152"/>
    </w:p>
    <w:p w14:paraId="19E0F06E" w14:textId="77777777" w:rsidR="004D1721" w:rsidRDefault="009B16BC">
      <w:pPr>
        <w:pStyle w:val="Heading2"/>
      </w:pPr>
      <w:bookmarkStart w:id="153" w:name="_Toc140505099"/>
      <w:bookmarkStart w:id="154" w:name="_Toc53229050"/>
      <w:r>
        <w:t>经济分析总结 —— 对受测关联交易的分析</w:t>
      </w:r>
      <w:r>
        <w:t xml:space="preserve"/>
      </w:r>
      <w:bookmarkStart w:id="155" w:name="_Toc447817171"/>
      <w:bookmarkStart w:id="156" w:name="_Toc15689"/>
      <w:bookmarkStart w:id="157" w:name="_Toc435807829"/>
      <w:r>
        <w:t/>
      </w:r>
      <w:bookmarkEnd w:id="153"/>
      <w:bookmarkEnd w:id="154"/>
      <w:bookmarkEnd w:id="155"/>
      <w:bookmarkEnd w:id="156"/>
      <w:bookmarkEnd w:id="157"/>
    </w:p>
    <w:p w14:paraId="65747191"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基于松莉科技对集团整体利润或者剩余利润所做的贡献，以及其所承担的功能风险，对中国转让定价法规以及《OECD转让定价指南》中列明的常用转让定价评估方法进行了比较和研究。我们最终选择松莉科技作为验证对象，选用交易净利润法作为分析方法，以完全成本加成率作为利润水平指标对松莉科技的受测关联交易和转让定价进行了评估。</w:t>
      </w:r>
      <w:bookmarkStart w:id="158" w:name="OLE_LINK1"/>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bookmarkEnd w:id="158"/>
      <w:r>
        <w:rPr>
          <w:rFonts w:ascii="Arial Narrow" w:eastAsia="仿宋_GB2312" w:hAnsi="Arial Narrow" w:cs="Arial"/>
          <w:sz w:val="22"/>
          <w:szCs w:val="22"/>
        </w:rPr>
        <w:t/>
      </w:r>
    </w:p>
    <w:p w14:paraId="3F35BE10"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选择松莉科技作为本报告的被验证对象从而分析其完全成本加成率，主要由于在关联交易中，相对于关联方，松莉科技的功能风险相对简单，利润水平可以被有效地确定。因此，我们选择松莉科技作为本报告的被验证对象。我们通过选取与松莉科技在受测关联交易中从事相似业务的非受控公司，分析其财务数据，建立了一组符合独立交易原则的利润率区间。</w:t>
      </w:r>
      <w:r>
        <w:rPr>
          <w:rFonts w:ascii="Arial Narrow" w:eastAsia="仿宋_GB2312" w:hAnsi="Arial Narrow" w:cs="Arial" w:hint="eastAsia"/>
          <w:sz w:val="22"/>
          <w:szCs w:val="22"/>
        </w:rPr>
        <w:t/>
      </w:r>
      <w:r>
        <w:rPr>
          <w:rFonts w:ascii="Arial Narrow" w:eastAsia="仿宋_GB2312" w:hAnsi="Arial Narrow" w:cs="Arial"/>
          <w:sz w:val="22"/>
          <w:szCs w:val="22"/>
        </w:rPr>
        <w:t/>
      </w:r>
    </w:p>
    <w:p w14:paraId="0BC9455B" w14:textId="5D21D4CE"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选取的可比非受控公司样本在2020到2022财务年度（“财年”）实现的加权平均完全成本加成率水平总结如下：</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37669DB" w14:textId="3DE77973" w:rsidR="004D1721" w:rsidRDefault="009B16BC">
      <w:pPr>
        <w:pStyle w:val="Caption"/>
        <w:keepNext/>
        <w:jc w:val="center"/>
        <w:rPr>
          <w:rFonts w:ascii="Arial Narrow" w:eastAsia="仿宋_GB2312" w:hAnsi="Arial Narrow" w:cs="Arial"/>
          <w:sz w:val="22"/>
        </w:rPr>
      </w:pPr>
      <w:r>
        <w:rPr>
          <w:rFonts w:ascii="Arial Narrow" w:eastAsia="仿宋_GB2312" w:hAnsi="Arial Narrow" w:cs="Arial"/>
          <w:sz w:val="22"/>
        </w:rPr>
        <w:lastRenderedPageBreak/>
        <w:t>图表 1：完全成本加成率的独立交易区间（2020财年到2022财年）</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p>
    <w:tbl>
      <w:tblPr>
        <w:tblW w:w="6379" w:type="dxa"/>
        <w:jc w:val="center"/>
        <w:tblLayout w:type="fixed"/>
        <w:tblLook w:val="04A0" w:firstRow="1" w:lastRow="0" w:firstColumn="1" w:lastColumn="0" w:noHBand="0" w:noVBand="1"/>
      </w:tblPr>
      <w:tblGrid>
        <w:gridCol w:w="2863"/>
        <w:gridCol w:w="3516"/>
      </w:tblGrid>
      <w:tr w:rsidR="004D1721" w14:paraId="328564CF" w14:textId="77777777">
        <w:trPr>
          <w:trHeight w:val="454"/>
          <w:jc w:val="center"/>
        </w:trPr>
        <w:tc>
          <w:tcPr>
            <w:tcW w:w="2863" w:type="dxa"/>
            <w:tcBorders>
              <w:top w:val="single" w:sz="8" w:space="0" w:color="auto"/>
              <w:left w:val="single" w:sz="8" w:space="0" w:color="auto"/>
              <w:bottom w:val="single" w:sz="8" w:space="0" w:color="auto"/>
              <w:right w:val="single" w:sz="8" w:space="0" w:color="auto"/>
            </w:tcBorders>
            <w:shd w:val="clear" w:color="auto" w:fill="002060"/>
            <w:vAlign w:val="center"/>
          </w:tcPr>
          <w:p w14:paraId="30C7E06F" w14:textId="77777777" w:rsidR="004D1721" w:rsidRDefault="009B16BC">
            <w:pPr>
              <w:pStyle w:val="NormalWeb"/>
              <w:widowControl w:val="0"/>
              <w:autoSpaceDE w:val="0"/>
              <w:autoSpaceDN w:val="0"/>
              <w:spacing w:before="0" w:beforeAutospacing="0" w:after="0" w:afterAutospacing="0"/>
              <w:jc w:val="center"/>
              <w:rPr>
                <w:rFonts w:ascii="Arial Narrow" w:eastAsia="仿宋_GB2312" w:hAnsi="Arial Narrow" w:cs="Arial"/>
                <w:b/>
                <w:color w:val="FFFFFF"/>
                <w:w w:val="95"/>
                <w:sz w:val="22"/>
                <w:szCs w:val="22"/>
                <w:lang w:bidi="ar"/>
              </w:rPr>
            </w:pPr>
            <w:r>
              <w:rPr>
                <w:rFonts w:ascii="Arial Narrow" w:eastAsia="仿宋_GB2312" w:hAnsi="Arial Narrow" w:cs="Arial"/>
                <w:b/>
                <w:color w:val="FFFFFF"/>
                <w:w w:val="95"/>
                <w:sz w:val="22"/>
                <w:szCs w:val="22"/>
                <w:lang w:bidi="ar"/>
              </w:rPr>
              <w:t>四分位区间</w:t>
            </w:r>
          </w:p>
        </w:tc>
        <w:tc>
          <w:tcPr>
            <w:tcW w:w="3516" w:type="dxa"/>
            <w:tcBorders>
              <w:top w:val="single" w:sz="8" w:space="0" w:color="auto"/>
              <w:left w:val="nil"/>
              <w:bottom w:val="single" w:sz="8" w:space="0" w:color="auto"/>
              <w:right w:val="single" w:sz="8" w:space="0" w:color="auto"/>
            </w:tcBorders>
            <w:shd w:val="clear" w:color="auto" w:fill="002060"/>
            <w:vAlign w:val="center"/>
          </w:tcPr>
          <w:p w14:paraId="7EF9CF0C" w14:textId="77777777" w:rsidR="004D1721" w:rsidRDefault="009B16BC">
            <w:pPr>
              <w:pStyle w:val="NormalWeb"/>
              <w:widowControl w:val="0"/>
              <w:autoSpaceDE w:val="0"/>
              <w:autoSpaceDN w:val="0"/>
              <w:spacing w:before="0" w:beforeAutospacing="0" w:after="0" w:afterAutospacing="0"/>
              <w:jc w:val="center"/>
              <w:rPr>
                <w:rFonts w:ascii="Arial Narrow" w:eastAsia="仿宋_GB2312" w:hAnsi="Arial Narrow" w:cs="Arial"/>
                <w:b/>
                <w:color w:val="FFFFFF"/>
                <w:w w:val="95"/>
                <w:sz w:val="22"/>
                <w:szCs w:val="22"/>
                <w:lang w:bidi="ar"/>
              </w:rPr>
            </w:pPr>
            <w:r>
              <w:rPr>
                <w:rFonts w:ascii="Arial Narrow" w:eastAsia="仿宋_GB2312" w:hAnsi="Arial Narrow" w:cs="Arial"/>
                <w:b/>
                <w:color w:val="FFFFFF"/>
                <w:w w:val="95"/>
                <w:sz w:val="22"/>
                <w:szCs w:val="22"/>
                <w:lang w:bidi="ar"/>
              </w:rPr>
              <w:t>加权平均完全成本加成率</w:t>
            </w:r>
          </w:p>
        </w:tc>
      </w:tr>
      <w:tr w:rsidR="004D1721" w14:paraId="525F24AF"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4279234E"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可比公司数量</w:t>
            </w:r>
          </w:p>
        </w:tc>
        <w:tc>
          <w:tcPr>
            <w:tcW w:w="3516" w:type="dxa"/>
            <w:tcBorders>
              <w:top w:val="nil"/>
              <w:left w:val="nil"/>
              <w:bottom w:val="single" w:sz="8" w:space="0" w:color="auto"/>
              <w:right w:val="single" w:sz="8" w:space="0" w:color="auto"/>
            </w:tcBorders>
            <w:vAlign w:val="center"/>
          </w:tcPr>
          <w:p w14:paraId="3C4C3377" w14:textId="742B036C"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9</w:t>
            </w:r>
          </w:p>
        </w:tc>
      </w:tr>
      <w:tr w:rsidR="004D1721" w14:paraId="3FF4AAE9"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270F4037"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上四分位数</w:t>
            </w:r>
          </w:p>
        </w:tc>
        <w:tc>
          <w:tcPr>
            <w:tcW w:w="3516" w:type="dxa"/>
            <w:tcBorders>
              <w:top w:val="nil"/>
              <w:left w:val="nil"/>
              <w:bottom w:val="single" w:sz="8" w:space="0" w:color="auto"/>
              <w:right w:val="single" w:sz="8" w:space="0" w:color="auto"/>
            </w:tcBorders>
            <w:vAlign w:val="center"/>
          </w:tcPr>
          <w:p w14:paraId="0F1F5460" w14:textId="312F2D7D" w:rsidR="004D1721" w:rsidRDefault="009B16BC">
            <w:pPr>
              <w:jc w:val="center"/>
              <w:rPr>
                <w:rFonts w:ascii="Arial Narrow" w:eastAsia="仿宋_GB2312" w:hAnsi="Arial Narrow" w:cs="Arial"/>
                <w:color w:val="000000"/>
                <w:sz w:val="22"/>
                <w:szCs w:val="22"/>
                <w:highlight w:val="yellow"/>
              </w:rPr>
            </w:pPr>
            <w:r>
              <w:rPr>
                <w:rFonts w:ascii="Arial Narrow" w:eastAsia="仿宋_GB2312" w:hAnsi="Arial Narrow" w:cs="Arial" w:hint="eastAsia"/>
                <w:color w:val="000000"/>
                <w:sz w:val="22"/>
                <w:szCs w:val="22"/>
              </w:rPr>
              <w:t>7.29%</w:t>
            </w:r>
          </w:p>
        </w:tc>
      </w:tr>
      <w:tr w:rsidR="004D1721" w14:paraId="7799CC2B"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284D83CA"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中位值</w:t>
            </w:r>
          </w:p>
        </w:tc>
        <w:tc>
          <w:tcPr>
            <w:tcW w:w="3516" w:type="dxa"/>
            <w:tcBorders>
              <w:top w:val="nil"/>
              <w:left w:val="nil"/>
              <w:bottom w:val="single" w:sz="8" w:space="0" w:color="auto"/>
              <w:right w:val="single" w:sz="8" w:space="0" w:color="auto"/>
            </w:tcBorders>
            <w:vAlign w:val="center"/>
          </w:tcPr>
          <w:p w14:paraId="40C59960" w14:textId="26F18CF7" w:rsidR="004D1721" w:rsidRDefault="009B16BC">
            <w:pPr>
              <w:jc w:val="center"/>
              <w:rPr>
                <w:rFonts w:ascii="Arial Narrow" w:eastAsia="仿宋_GB2312" w:hAnsi="Arial Narrow" w:cs="Arial"/>
                <w:color w:val="000000"/>
                <w:sz w:val="22"/>
                <w:szCs w:val="22"/>
                <w:highlight w:val="yellow"/>
              </w:rPr>
            </w:pPr>
            <w:r>
              <w:rPr>
                <w:rFonts w:ascii="Arial Narrow" w:eastAsia="仿宋_GB2312" w:hAnsi="Arial Narrow" w:cs="Arial" w:hint="eastAsia"/>
                <w:color w:val="000000"/>
                <w:sz w:val="22"/>
                <w:szCs w:val="22"/>
              </w:rPr>
              <w:t>1.39%</w:t>
            </w:r>
          </w:p>
        </w:tc>
      </w:tr>
      <w:tr w:rsidR="004D1721" w14:paraId="51CB1D2B"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623A74B8"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下四分位数</w:t>
            </w:r>
          </w:p>
        </w:tc>
        <w:tc>
          <w:tcPr>
            <w:tcW w:w="3516" w:type="dxa"/>
            <w:tcBorders>
              <w:top w:val="nil"/>
              <w:left w:val="nil"/>
              <w:bottom w:val="single" w:sz="8" w:space="0" w:color="auto"/>
              <w:right w:val="single" w:sz="8" w:space="0" w:color="auto"/>
            </w:tcBorders>
            <w:vAlign w:val="center"/>
          </w:tcPr>
          <w:p w14:paraId="779CB4A5" w14:textId="3AAA1A68" w:rsidR="004D1721" w:rsidRDefault="009B16BC">
            <w:pPr>
              <w:jc w:val="center"/>
              <w:rPr>
                <w:rFonts w:ascii="Arial Narrow" w:eastAsia="仿宋_GB2312" w:hAnsi="Arial Narrow" w:cs="Arial"/>
                <w:color w:val="000000"/>
                <w:sz w:val="22"/>
                <w:szCs w:val="22"/>
                <w:highlight w:val="yellow"/>
              </w:rPr>
            </w:pPr>
            <w:r>
              <w:rPr>
                <w:rFonts w:ascii="Arial Narrow" w:eastAsia="仿宋_GB2312" w:hAnsi="Arial Narrow" w:cs="Arial" w:hint="eastAsia"/>
                <w:color w:val="000000"/>
                <w:sz w:val="22"/>
                <w:szCs w:val="22"/>
              </w:rPr>
              <w:t>0.59%</w:t>
            </w:r>
          </w:p>
        </w:tc>
      </w:tr>
    </w:tbl>
    <w:bookmarkEnd w:id="55"/>
    <w:bookmarkEnd w:id="56"/>
    <w:bookmarkEnd w:id="57"/>
    <w:p w14:paraId="209DE817" w14:textId="70AAF827" w:rsidR="004D1721" w:rsidRPr="005D08A5" w:rsidRDefault="009B16BC">
      <w:pPr>
        <w:spacing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如上图表所示，2020到2022财年加权平均完全成本加成率独立交易区间为0.59%到7.29%，中位值为1.39%。松莉科技2023年的完全成本加成率为5.25%，位于可比非受控公司在2020到2022财年加权平均完全成本加成率的四分位区间之内，且高于中位值。</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p w14:paraId="64DD7B9E" w14:textId="71672024" w:rsidR="004D1721" w:rsidRDefault="009B16BC">
      <w:pPr>
        <w:spacing w:line="360" w:lineRule="auto"/>
        <w:ind w:firstLineChars="200" w:firstLine="440"/>
        <w:jc w:val="both"/>
        <w:rPr>
          <w:rFonts w:ascii="Arial Narrow" w:eastAsia="仿宋_GB2312" w:hAnsi="Arial Narrow" w:cs="Arial"/>
          <w:sz w:val="22"/>
          <w:szCs w:val="22"/>
          <w:highlight w:val="yellow"/>
        </w:rPr>
      </w:pPr>
      <w:r>
        <w:rPr>
          <w:rFonts w:ascii="Arial Narrow" w:eastAsia="仿宋_GB2312" w:hAnsi="Arial Narrow" w:cs="Arial" w:hint="eastAsia"/>
          <w:sz w:val="22"/>
          <w:szCs w:val="22"/>
        </w:rPr>
        <w:t>因此，从中国转让定价角度，松莉科技在2023年受测关联交易中的转让定价安排符合独立交易原则。</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sidR="001E2AB3">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1FDC3E42" w14:textId="77777777" w:rsidR="004D1721" w:rsidRDefault="009B16BC">
      <w:pPr>
        <w:pStyle w:val="Heading2"/>
        <w:rPr>
          <w:b/>
          <w:bCs/>
        </w:rPr>
      </w:pPr>
      <w:bookmarkStart w:id="159" w:name="_Toc85557479"/>
      <w:bookmarkStart w:id="160" w:name="_Toc85557612"/>
      <w:bookmarkStart w:id="161" w:name="_Toc140505104"/>
      <w:bookmarkStart w:id="162" w:name="_Toc140505100"/>
      <w:bookmarkStart w:id="163" w:name="_Toc140505102"/>
      <w:bookmarkStart w:id="164" w:name="_Toc140505101"/>
      <w:bookmarkStart w:id="165" w:name="_Toc140505103"/>
      <w:bookmarkStart w:id="166" w:name="_Toc85622846"/>
      <w:bookmarkStart w:id="167" w:name="_Toc85042475"/>
      <w:bookmarkStart w:id="168" w:name="_Toc140505105"/>
      <w:bookmarkStart w:id="169" w:name="_Toc53229051"/>
      <w:bookmarkEnd w:id="159"/>
      <w:bookmarkEnd w:id="160"/>
      <w:bookmarkEnd w:id="161"/>
      <w:bookmarkEnd w:id="162"/>
      <w:bookmarkEnd w:id="163"/>
      <w:bookmarkEnd w:id="164"/>
      <w:bookmarkEnd w:id="165"/>
      <w:bookmarkEnd w:id="166"/>
      <w:bookmarkEnd w:id="167"/>
      <w:r>
        <w:t>局限性</w:t>
      </w:r>
      <w:bookmarkEnd w:id="168"/>
      <w:bookmarkEnd w:id="169"/>
    </w:p>
    <w:p w14:paraId="5F4D25F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松莉科技及其关联方在转让定价调查中免于税务调整的保证。但本报告应可以为松莉科技提供良好的文件支持以应对中国税务机关对松莉科技转让定价安排的初步质询，并有助松莉科技向税务机关展示其严肃对待纳税义务的努力。本报告所引用的松莉科技的数据均来源于松莉科技所提供的文件或信息。</w:t>
      </w:r>
    </w:p>
    <w:p w14:paraId="2DB76E1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在本报告中，我们并未对任何消费税、增值税或其他国家及地方税的纳税义务（无论该纳税义务是否由我们的转让定价分析意见所引起）进行审查。</w:t>
      </w:r>
    </w:p>
    <w:p w14:paraId="7106787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是由立信根据截止于报告提交日由松莉科技提供的相关事实而准备的。本报告以特定的事实和情况为基础，可能不适用于松莉科技之外的第三方。我们在准备本报告时仅从与松莉科技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lastRenderedPageBreak/>
        <w:t/>
      </w:r>
      <w:r>
        <w:rPr>
          <w:rFonts w:ascii="Arial Narrow" w:eastAsia="仿宋_GB2312" w:hAnsi="Arial Narrow" w:cs="Arial" w:hint="eastAsia"/>
          <w:sz w:val="22"/>
          <w:szCs w:val="22"/>
        </w:rPr>
        <w:t/>
      </w:r>
      <w:r>
        <w:rPr>
          <w:rFonts w:ascii="Arial Narrow" w:eastAsia="仿宋_GB2312" w:hAnsi="Arial Narrow" w:cs="Arial"/>
          <w:sz w:val="22"/>
          <w:szCs w:val="22"/>
        </w:rPr>
        <w:t/>
      </w:r>
    </w:p>
    <w:p w14:paraId="204925F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本报告是依照[2016]42号公告第14条对同期资料的相关规定而准备，松莉科技可以在中国税务机关要求的情况下将本报告提交给中国税务机关。</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142EE9E" w14:textId="77777777" w:rsidR="004D1721" w:rsidRDefault="009B16BC">
      <w:pPr>
        <w:adjustRightInd w:val="0"/>
        <w:snapToGrid w:val="0"/>
        <w:spacing w:before="240" w:after="240"/>
        <w:ind w:firstLineChars="200" w:firstLine="440"/>
        <w:jc w:val="both"/>
        <w:rPr>
          <w:rFonts w:ascii="Arial Narrow" w:eastAsia="仿宋_GB2312" w:hAnsi="Arial Narrow" w:cs="Arial"/>
          <w:kern w:val="0"/>
          <w:sz w:val="22"/>
          <w:szCs w:val="22"/>
        </w:rPr>
      </w:pPr>
      <w:r>
        <w:rPr>
          <w:rFonts w:ascii="Arial Narrow" w:eastAsia="仿宋_GB2312" w:hAnsi="Arial Narrow" w:cs="Arial"/>
          <w:sz w:val="22"/>
          <w:szCs w:val="22"/>
        </w:rPr>
        <w:t>任何包括在我们的服务合同中的限制性条款将同样适用于本报告。</w:t>
      </w:r>
    </w:p>
    <w:p w14:paraId="6FC8F478" w14:textId="77777777" w:rsidR="004D1721" w:rsidRDefault="004D1721">
      <w:pPr>
        <w:adjustRightInd w:val="0"/>
        <w:snapToGrid w:val="0"/>
        <w:spacing w:before="240" w:after="240"/>
        <w:jc w:val="both"/>
        <w:rPr>
          <w:rFonts w:ascii="Arial Narrow" w:eastAsia="仿宋_GB2312" w:hAnsi="Arial Narrow" w:cs="Arial"/>
          <w:kern w:val="0"/>
          <w:sz w:val="22"/>
          <w:szCs w:val="22"/>
        </w:rPr>
      </w:pPr>
    </w:p>
    <w:p w14:paraId="26329438" w14:textId="77777777" w:rsidR="004D1721" w:rsidRDefault="004D1721">
      <w:pPr>
        <w:adjustRightInd w:val="0"/>
        <w:snapToGrid w:val="0"/>
        <w:spacing w:before="240" w:after="240"/>
        <w:jc w:val="both"/>
        <w:rPr>
          <w:rFonts w:ascii="Arial Narrow" w:eastAsia="仿宋_GB2312" w:hAnsi="Arial Narrow" w:cs="Arial"/>
          <w:kern w:val="0"/>
          <w:sz w:val="22"/>
          <w:szCs w:val="22"/>
        </w:rPr>
        <w:sectPr w:rsidR="004D1721">
          <w:footerReference w:type="default" r:id="rId20"/>
          <w:pgSz w:w="11907" w:h="16839"/>
          <w:pgMar w:top="1440" w:right="1800" w:bottom="1440" w:left="1800" w:header="709" w:footer="709" w:gutter="0"/>
          <w:pgNumType w:start="1"/>
          <w:cols w:space="720"/>
          <w:docGrid w:type="lines" w:linePitch="360"/>
        </w:sectPr>
      </w:pPr>
    </w:p>
    <w:p w14:paraId="7D6CEEA0" w14:textId="77777777" w:rsidR="004D1721" w:rsidRDefault="009B16BC">
      <w:pPr>
        <w:pStyle w:val="Heading1"/>
        <w:rPr>
          <w:b/>
        </w:rPr>
      </w:pPr>
      <w:bookmarkStart w:id="170" w:name="_Toc53229052"/>
      <w:bookmarkStart w:id="171" w:name="_Toc274825217"/>
      <w:bookmarkStart w:id="172" w:name="_Toc140505106"/>
      <w:r>
        <w:lastRenderedPageBreak/>
        <w:t>企业概况</w:t>
      </w:r>
      <w:bookmarkEnd w:id="170"/>
      <w:bookmarkEnd w:id="171"/>
      <w:bookmarkEnd w:id="172"/>
    </w:p>
    <w:p w14:paraId="570B5880" w14:textId="77777777" w:rsidR="004D1721" w:rsidRDefault="009B16BC">
      <w:pPr>
        <w:pStyle w:val="Heading2"/>
        <w:rPr>
          <w:b/>
          <w:bCs/>
        </w:rPr>
      </w:pPr>
      <w:bookmarkStart w:id="173" w:name="_Toc140505107"/>
      <w:bookmarkStart w:id="174" w:name="_Toc53229053"/>
      <w:r>
        <w:t>集团概况</w:t>
      </w:r>
      <w:r>
        <w:rPr>
          <w:rStyle w:val="FootnoteReference"/>
        </w:rPr>
        <w:footnoteReference w:id="1"/>
        <w:t/>
      </w:r>
      <w:bookmarkEnd w:id="173"/>
      <w:bookmarkEnd w:id="174"/>
    </w:p>
    <w:p w14:paraId="53DED6A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175" w:name="_Toc48317392"/>
      <w:bookmarkStart w:id="176" w:name="_Toc48317105"/>
      <w:r>
        <w:rPr>
          <w:rFonts w:ascii="Arial Narrow" w:eastAsia="仿宋_GB2312" w:hAnsi="Arial Narrow" w:cs="Arial"/>
          <w:sz w:val="22"/>
          <w:szCs w:val="22"/>
        </w:rPr>
        <w:t>Markwins Beauty Brands, Inc.（以下简称“Markwins US”）成立于1984年，总部设在美国加州洛杉矶，主要从事化妆品生产、行销及研究开发。公司拥有不断创新的设计能力、先进的生产技术、雄厚的财力、优越的行销能力，是全球化妆品行业最大的供应商之一，致力于满足不同年龄、种族、经济状况和肤色的消费者。</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26DD982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 xml:space="preserve">Markwins 集团的策略是专注于单价较低的产品。随着消费者对小众市场越来越感兴趣，Markwins 集团通过满足所有年龄组别和人群的成年人、青少年品牌，为所有年龄段的消费者提供经济适用型美容产品，从而填补了小众市场这一重大空白。</w:t>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bookmarkEnd w:id="175"/>
      <w:bookmarkEnd w:id="176"/>
    </w:p>
    <w:p w14:paraId="1E225DE5" w14:textId="77777777" w:rsidR="004D1721" w:rsidRDefault="009B16BC">
      <w:pPr>
        <w:pStyle w:val="Heading2"/>
        <w:rPr>
          <w:b/>
          <w:bCs/>
        </w:rPr>
      </w:pPr>
      <w:bookmarkStart w:id="177" w:name="_Toc53229054"/>
      <w:bookmarkStart w:id="178" w:name="_Toc140505108"/>
      <w:r>
        <w:t>公司概况</w:t>
      </w:r>
      <w:bookmarkEnd w:id="177"/>
      <w:bookmarkEnd w:id="178"/>
    </w:p>
    <w:p w14:paraId="2778D23D" w14:textId="77777777" w:rsidR="004D1721" w:rsidRDefault="009B16BC">
      <w:pPr>
        <w:pStyle w:val="Heading3"/>
        <w:rPr>
          <w:b/>
          <w:bCs/>
        </w:rPr>
      </w:pPr>
      <w:bookmarkStart w:id="179" w:name="_Toc53229055"/>
      <w:bookmarkStart w:id="180" w:name="_Toc140505109"/>
      <w:r>
        <w:t>公司基本信息</w:t>
      </w:r>
      <w:bookmarkEnd w:id="179"/>
      <w:bookmarkEnd w:id="180"/>
    </w:p>
    <w:p w14:paraId="612642E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松莉科技成立于2018年11月29日，经营期限为50年，注册资本为美元4,000万元，主要从事化妆品生产经营业务。松莉科技的基本信息详见下表。</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3E18278" w14:textId="77777777" w:rsidR="004D1721" w:rsidRDefault="009B16BC">
      <w:pPr>
        <w:pStyle w:val="Caption"/>
        <w:keepNext/>
        <w:jc w:val="center"/>
        <w:rPr>
          <w:rFonts w:ascii="Arial Narrow" w:eastAsia="仿宋_GB2312" w:hAnsi="Arial Narrow" w:cs="Arial"/>
          <w:sz w:val="22"/>
        </w:rPr>
      </w:pPr>
      <w:bookmarkStart w:id="181" w:name="_Toc48399533"/>
      <w:bookmarkStart w:id="182" w:name="_Toc48582930"/>
      <w:bookmarkStart w:id="183" w:name="_Toc48317395"/>
      <w:bookmarkStart w:id="184" w:name="_Toc48317394"/>
      <w:bookmarkStart w:id="185" w:name="_Toc48317211"/>
      <w:bookmarkStart w:id="186" w:name="_Toc48582516"/>
      <w:bookmarkStart w:id="187" w:name="_Toc48317212"/>
      <w:bookmarkStart w:id="188" w:name="_Toc48582929"/>
      <w:bookmarkStart w:id="189" w:name="_Toc48317209"/>
      <w:bookmarkStart w:id="190" w:name="_Toc48399532"/>
      <w:bookmarkStart w:id="191" w:name="_Toc48582515"/>
      <w:bookmarkStart w:id="192" w:name="_Toc48317396"/>
      <w:bookmarkStart w:id="193" w:name="_Toc48582928"/>
      <w:bookmarkStart w:id="194" w:name="_Toc48582517"/>
      <w:bookmarkStart w:id="195" w:name="_Toc48582518"/>
      <w:bookmarkStart w:id="196" w:name="_Toc48399534"/>
      <w:bookmarkStart w:id="197" w:name="_Toc48317397"/>
      <w:bookmarkStart w:id="198" w:name="_Toc48399535"/>
      <w:bookmarkStart w:id="199" w:name="_Toc48582931"/>
      <w:bookmarkStart w:id="200" w:name="_Toc48317210"/>
      <w:bookmarkStart w:id="201" w:name="_Hlk50481429"/>
      <w:bookmarkStart w:id="202" w:name="_Toc48317398"/>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r>
        <w:rPr>
          <w:rFonts w:ascii="Arial Narrow" w:eastAsia="仿宋_GB2312" w:hAnsi="Arial Narrow" w:cs="Arial"/>
          <w:sz w:val="22"/>
        </w:rPr>
        <w:t>图表 2：松莉科技基本信息</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bookmarkEnd w:id="201"/>
      <w:r>
        <w:rPr>
          <w:rFonts w:ascii="Arial Narrow" w:eastAsia="仿宋_GB2312" w:hAnsi="Arial Narrow" w:cs="Arial"/>
          <w:sz w:val="22"/>
        </w:rPr>
        <w:t/>
      </w:r>
      <w:r>
        <w:rPr>
          <w:rFonts w:ascii="Arial Narrow" w:eastAsia="仿宋_GB2312" w:hAnsi="Arial Narrow" w:cs="Arial"/>
          <w:sz w:val="22"/>
          <w:szCs w:val="22"/>
        </w:rPr>
        <w:t/>
      </w:r>
      <w:r>
        <w:rPr>
          <w:rFonts w:ascii="Arial Narrow" w:eastAsia="仿宋_GB2312" w:hAnsi="Arial Narrow" w:cs="Arial"/>
          <w:sz w:val="22"/>
        </w:rPr>
        <w:t/>
      </w:r>
    </w:p>
    <w:tbl>
      <w:tblPr>
        <w:tblW w:w="81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6029"/>
      </w:tblGrid>
      <w:tr w:rsidR="004D1721" w14:paraId="14D3E19C" w14:textId="77777777">
        <w:trPr>
          <w:trHeight w:hRule="exact" w:val="454"/>
        </w:trPr>
        <w:tc>
          <w:tcPr>
            <w:tcW w:w="2155" w:type="dxa"/>
            <w:tcBorders>
              <w:bottom w:val="single" w:sz="4" w:space="0" w:color="FFFFFF" w:themeColor="background1"/>
            </w:tcBorders>
            <w:shd w:val="clear" w:color="auto" w:fill="002060"/>
            <w:vAlign w:val="center"/>
          </w:tcPr>
          <w:p w14:paraId="4D56F44F"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公司名称</w:t>
            </w:r>
          </w:p>
        </w:tc>
        <w:tc>
          <w:tcPr>
            <w:tcW w:w="6029" w:type="dxa"/>
            <w:vAlign w:val="center"/>
          </w:tcPr>
          <w:p w14:paraId="1BE755D1"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{{企业名称}}</w:t>
            </w:r>
          </w:p>
        </w:tc>
      </w:tr>
      <w:tr w:rsidR="004D1721" w14:paraId="322226A3" w14:textId="77777777">
        <w:trPr>
          <w:trHeight w:hRule="exact" w:val="454"/>
        </w:trPr>
        <w:tc>
          <w:tcPr>
            <w:tcW w:w="2155" w:type="dxa"/>
            <w:tcBorders>
              <w:top w:val="single" w:sz="4" w:space="0" w:color="FFFFFF" w:themeColor="background1"/>
            </w:tcBorders>
            <w:shd w:val="clear" w:color="auto" w:fill="002060"/>
            <w:vAlign w:val="center"/>
          </w:tcPr>
          <w:p w14:paraId="1F82D75E"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经营地址</w:t>
            </w:r>
          </w:p>
        </w:tc>
        <w:tc>
          <w:tcPr>
            <w:tcW w:w="6029" w:type="dxa"/>
            <w:vAlign w:val="center"/>
          </w:tcPr>
          <w:p w14:paraId="798D05BD"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上海市奉贤区芝云路168号7幢1层B区、2层、3层</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p>
        </w:tc>
      </w:tr>
      <w:tr w:rsidR="004D1721" w14:paraId="620B2E6B" w14:textId="77777777">
        <w:trPr>
          <w:trHeight w:hRule="exact" w:val="454"/>
        </w:trPr>
        <w:tc>
          <w:tcPr>
            <w:tcW w:w="2155" w:type="dxa"/>
            <w:tcBorders>
              <w:bottom w:val="single" w:sz="4" w:space="0" w:color="FFFFFF" w:themeColor="background1"/>
            </w:tcBorders>
            <w:shd w:val="clear" w:color="auto" w:fill="002060"/>
            <w:vAlign w:val="center"/>
          </w:tcPr>
          <w:p w14:paraId="6331022C"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成立日期</w:t>
            </w:r>
          </w:p>
        </w:tc>
        <w:tc>
          <w:tcPr>
            <w:tcW w:w="6029" w:type="dxa"/>
            <w:vAlign w:val="center"/>
          </w:tcPr>
          <w:p w14:paraId="6A2D2C58"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2018年11月29日</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p>
        </w:tc>
      </w:tr>
      <w:tr w:rsidR="004D1721" w14:paraId="561CDE8B" w14:textId="77777777">
        <w:trPr>
          <w:trHeight w:hRule="exact" w:val="454"/>
        </w:trPr>
        <w:tc>
          <w:tcPr>
            <w:tcW w:w="2155" w:type="dxa"/>
            <w:tcBorders>
              <w:top w:val="single" w:sz="4" w:space="0" w:color="FFFFFF" w:themeColor="background1"/>
              <w:bottom w:val="single" w:sz="4" w:space="0" w:color="FFFFFF" w:themeColor="background1"/>
            </w:tcBorders>
            <w:shd w:val="clear" w:color="auto" w:fill="002060"/>
            <w:vAlign w:val="center"/>
          </w:tcPr>
          <w:p w14:paraId="6200A1C6"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公司类型</w:t>
            </w:r>
          </w:p>
        </w:tc>
        <w:tc>
          <w:tcPr>
            <w:tcW w:w="6029" w:type="dxa"/>
            <w:vAlign w:val="center"/>
          </w:tcPr>
          <w:p w14:paraId="4D4B2024"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有限责任公司（港澳台法人独资）</w:t>
            </w:r>
          </w:p>
        </w:tc>
      </w:tr>
      <w:tr w:rsidR="004D1721" w14:paraId="42189D2D" w14:textId="77777777">
        <w:trPr>
          <w:trHeight w:hRule="exact" w:val="454"/>
        </w:trPr>
        <w:tc>
          <w:tcPr>
            <w:tcW w:w="2155" w:type="dxa"/>
            <w:tcBorders>
              <w:top w:val="single" w:sz="4" w:space="0" w:color="FFFFFF" w:themeColor="background1"/>
              <w:bottom w:val="single" w:sz="4" w:space="0" w:color="FFFFFF" w:themeColor="background1"/>
            </w:tcBorders>
            <w:shd w:val="clear" w:color="auto" w:fill="002060"/>
            <w:vAlign w:val="center"/>
          </w:tcPr>
          <w:p w14:paraId="2C924FB1"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投资方</w:t>
            </w:r>
          </w:p>
        </w:tc>
        <w:tc>
          <w:tcPr>
            <w:tcW w:w="6029" w:type="dxa"/>
            <w:vAlign w:val="center"/>
          </w:tcPr>
          <w:p w14:paraId="040800F0"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Markwins International Corporation Limited</w:t>
            </w:r>
          </w:p>
        </w:tc>
      </w:tr>
      <w:tr w:rsidR="004D1721" w14:paraId="3672FC6C" w14:textId="77777777">
        <w:trPr>
          <w:trHeight w:hRule="exact" w:val="454"/>
        </w:trPr>
        <w:tc>
          <w:tcPr>
            <w:tcW w:w="2155" w:type="dxa"/>
            <w:tcBorders>
              <w:top w:val="single" w:sz="4" w:space="0" w:color="FFFFFF" w:themeColor="background1"/>
            </w:tcBorders>
            <w:shd w:val="clear" w:color="auto" w:fill="002060"/>
            <w:vAlign w:val="center"/>
          </w:tcPr>
          <w:p w14:paraId="4552A4B5"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经营期限</w:t>
            </w:r>
          </w:p>
        </w:tc>
        <w:tc>
          <w:tcPr>
            <w:tcW w:w="6029" w:type="dxa"/>
            <w:vAlign w:val="center"/>
          </w:tcPr>
          <w:p w14:paraId="0E859A09"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50年</w:t>
            </w:r>
            <w:r>
              <w:rPr>
                <w:rFonts w:ascii="Arial Narrow" w:eastAsia="仿宋_GB2312" w:hAnsi="Arial Narrow" w:cs="Arial"/>
                <w:color w:val="000000"/>
                <w:sz w:val="22"/>
                <w:szCs w:val="22"/>
              </w:rPr>
              <w:t/>
            </w:r>
          </w:p>
        </w:tc>
      </w:tr>
      <w:tr w:rsidR="004D1721" w14:paraId="42A0B732" w14:textId="77777777">
        <w:trPr>
          <w:trHeight w:hRule="exact" w:val="454"/>
        </w:trPr>
        <w:tc>
          <w:tcPr>
            <w:tcW w:w="2155" w:type="dxa"/>
            <w:shd w:val="clear" w:color="auto" w:fill="002060"/>
            <w:vAlign w:val="center"/>
          </w:tcPr>
          <w:p w14:paraId="744A9B11"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注册资本</w:t>
            </w:r>
          </w:p>
        </w:tc>
        <w:tc>
          <w:tcPr>
            <w:tcW w:w="6029" w:type="dxa"/>
            <w:vAlign w:val="center"/>
          </w:tcPr>
          <w:p w14:paraId="6D2BC13A"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4,000万美元</w:t>
            </w:r>
            <w:r>
              <w:rPr>
                <w:rFonts w:ascii="Arial Narrow" w:eastAsia="仿宋_GB2312" w:hAnsi="Arial Narrow" w:cs="Arial"/>
                <w:color w:val="000000"/>
                <w:sz w:val="22"/>
                <w:szCs w:val="22"/>
              </w:rPr>
              <w:t/>
            </w:r>
          </w:p>
        </w:tc>
      </w:tr>
      <w:tr w:rsidR="004D1721" w14:paraId="069FDE69" w14:textId="77777777">
        <w:trPr>
          <w:trHeight w:hRule="exact" w:val="2310"/>
        </w:trPr>
        <w:tc>
          <w:tcPr>
            <w:tcW w:w="2155" w:type="dxa"/>
            <w:tcBorders>
              <w:bottom w:val="single" w:sz="4" w:space="0" w:color="FFFFFF" w:themeColor="background1"/>
            </w:tcBorders>
            <w:shd w:val="clear" w:color="auto" w:fill="002060"/>
            <w:vAlign w:val="center"/>
          </w:tcPr>
          <w:p w14:paraId="2AA0CD03"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lastRenderedPageBreak/>
              <w:t>经营范围</w:t>
            </w:r>
          </w:p>
        </w:tc>
        <w:tc>
          <w:tcPr>
            <w:tcW w:w="6029" w:type="dxa"/>
            <w:vAlign w:val="center"/>
          </w:tcPr>
          <w:p w14:paraId="75E5A961"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一般项目：美容科技领域内的技术服务、技术开发、技术咨询、技术交流、技术推广；健康信息咨询（医疗诊疗除外）；化妆品的生产，销售公司自产产品，与上述产品同类、化妆品的批发、进出口，并提供相关配套服务；化工产品（不含许可类化工产品）、包装材料及制品、日用杂品、卫生用品和一次性使用医疗产品的批发、进出口、网上零售。（除依法须经批准的项目外，凭营业执照依法自主开展经营活动）</w:t>
            </w:r>
          </w:p>
        </w:tc>
      </w:tr>
      <w:tr w:rsidR="004D1721" w14:paraId="69338A4E" w14:textId="77777777">
        <w:trPr>
          <w:trHeight w:hRule="exact" w:val="704"/>
        </w:trPr>
        <w:tc>
          <w:tcPr>
            <w:tcW w:w="2155" w:type="dxa"/>
            <w:tcBorders>
              <w:top w:val="single" w:sz="4" w:space="0" w:color="FFFFFF" w:themeColor="background1"/>
            </w:tcBorders>
            <w:shd w:val="clear" w:color="auto" w:fill="002060"/>
            <w:vAlign w:val="center"/>
          </w:tcPr>
          <w:p w14:paraId="3E241279" w14:textId="1C48EAFC"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2023年度适用的企业所得税率</w:t>
            </w:r>
            <w:r>
              <w:rPr>
                <w:rFonts w:ascii="Arial Narrow" w:eastAsia="仿宋_GB2312" w:hAnsi="Arial Narrow" w:cs="Arial" w:hint="eastAsia"/>
                <w:b/>
                <w:color w:val="FFFFFF" w:themeColor="background1"/>
                <w:sz w:val="22"/>
                <w:szCs w:val="22"/>
              </w:rPr>
              <w:t/>
            </w:r>
            <w:r>
              <w:rPr>
                <w:rFonts w:ascii="Arial Narrow" w:eastAsia="仿宋_GB2312" w:hAnsi="Arial Narrow" w:cs="Arial"/>
                <w:b/>
                <w:color w:val="FFFFFF" w:themeColor="background1"/>
                <w:sz w:val="22"/>
                <w:szCs w:val="22"/>
              </w:rPr>
              <w:t/>
            </w:r>
          </w:p>
        </w:tc>
        <w:tc>
          <w:tcPr>
            <w:tcW w:w="6029" w:type="dxa"/>
            <w:vAlign w:val="center"/>
          </w:tcPr>
          <w:p w14:paraId="08E58BDE"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25%</w:t>
            </w:r>
          </w:p>
        </w:tc>
      </w:tr>
    </w:tbl>
    <w:p w14:paraId="794DB730" w14:textId="346B7A39"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信息来源：松莉科技营业执照及2023年度审计报告</w:t>
      </w:r>
      <w:r>
        <w:rPr>
          <w:rFonts w:ascii="Arial Narrow" w:eastAsia="仿宋_GB2312" w:hAnsi="Arial Narrow" w:cs="Arial"/>
          <w:i/>
          <w:iCs/>
          <w:sz w:val="16"/>
          <w:szCs w:val="16"/>
        </w:rPr>
        <w:t/>
      </w:r>
      <w:r>
        <w:rPr>
          <w:rFonts w:ascii="Arial Narrow" w:eastAsia="仿宋_GB2312" w:hAnsi="Arial Narrow" w:cs="Arial" w:hint="eastAsia"/>
          <w:i/>
          <w:iCs/>
          <w:sz w:val="16"/>
          <w:szCs w:val="16"/>
        </w:rPr>
        <w:t/>
      </w:r>
      <w:r>
        <w:rPr>
          <w:rFonts w:ascii="Arial Narrow" w:eastAsia="仿宋_GB2312" w:hAnsi="Arial Narrow" w:cs="Arial"/>
          <w:i/>
          <w:iCs/>
          <w:sz w:val="16"/>
          <w:szCs w:val="16"/>
        </w:rPr>
        <w:t/>
      </w:r>
      <w:bookmarkEnd w:id="202"/>
    </w:p>
    <w:p w14:paraId="35799902" w14:textId="77777777" w:rsidR="004D1721" w:rsidRDefault="009B16BC">
      <w:pPr>
        <w:pStyle w:val="Heading3"/>
        <w:rPr>
          <w:b/>
          <w:bCs/>
        </w:rPr>
      </w:pPr>
      <w:bookmarkStart w:id="203" w:name="_Toc140505110"/>
      <w:bookmarkStart w:id="204" w:name="_Toc53229056"/>
      <w:r>
        <w:t>公司组织结构图和主要部门</w:t>
      </w:r>
      <w:bookmarkEnd w:id="203"/>
      <w:bookmarkEnd w:id="204"/>
    </w:p>
    <w:p w14:paraId="14EFC336" w14:textId="1A3CAAC9"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Pr>
          <w:rFonts w:ascii="Arial Narrow" w:eastAsia="仿宋_GB2312" w:hAnsi="Arial Narrow" w:cs="Arial"/>
          <w:sz w:val="22"/>
          <w:szCs w:val="22"/>
        </w:rPr>
        <w:t>截至2023年12月31日，松莉科技的管理组织结构显示如下：</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9C60F91" w14:textId="0F8A4BF7" w:rsidR="004D1721" w:rsidRDefault="009B16BC">
      <w:pPr>
        <w:widowControl w:val="0"/>
        <w:snapToGrid w:val="0"/>
        <w:jc w:val="center"/>
        <w:rPr>
          <w:rFonts w:ascii="Arial Narrow" w:eastAsia="仿宋_GB2312" w:hAnsi="Arial Narrow" w:cs="Arial"/>
          <w:b/>
          <w:sz w:val="22"/>
        </w:rPr>
      </w:pPr>
      <w:bookmarkStart w:id="205" w:name="_Toc12286303"/>
      <w:r>
        <w:rPr>
          <w:rFonts w:ascii="Arial Narrow" w:eastAsia="仿宋_GB2312" w:hAnsi="Arial Narrow" w:cs="Arial"/>
          <w:b/>
          <w:bCs/>
          <w:sz w:val="22"/>
        </w:rPr>
        <w:t>图表 3：松莉科技的组织结构图</w:t>
      </w:r>
      <w:r>
        <w:rPr>
          <w:rFonts w:ascii="Arial Narrow" w:eastAsia="仿宋_GB2312" w:hAnsi="Arial Narrow" w:cs="Arial"/>
          <w:b/>
          <w:bCs/>
          <w:sz w:val="22"/>
        </w:rPr>
        <w:t xml:space="preserve"/>
      </w:r>
      <w:r>
        <w:rPr>
          <w:rFonts w:ascii="Arial Narrow" w:eastAsia="仿宋_GB2312" w:hAnsi="Arial Narrow" w:cs="Arial"/>
          <w:b/>
          <w:bCs/>
          <w:sz w:val="22"/>
        </w:rPr>
        <w:fldChar w:fldCharType="begin"/>
        <w:t/>
      </w:r>
      <w:r>
        <w:rPr>
          <w:rFonts w:ascii="Arial Narrow" w:eastAsia="仿宋_GB2312" w:hAnsi="Arial Narrow" w:cs="Arial"/>
          <w:b/>
          <w:bCs/>
          <w:sz w:val="22"/>
        </w:rPr>
        <w:instrText xml:space="preserve"> SEQ </w:instrText>
        <w:t/>
      </w:r>
      <w:r>
        <w:rPr>
          <w:rFonts w:ascii="Arial Narrow" w:eastAsia="仿宋_GB2312" w:hAnsi="Arial Narrow" w:cs="Arial"/>
          <w:b/>
          <w:bCs/>
          <w:sz w:val="22"/>
        </w:rPr>
        <w:instrText>图表</w:instrText>
        <w:t/>
      </w:r>
      <w:r>
        <w:rPr>
          <w:rFonts w:ascii="Arial Narrow" w:eastAsia="仿宋_GB2312" w:hAnsi="Arial Narrow" w:cs="Arial"/>
          <w:b/>
          <w:bCs/>
          <w:sz w:val="22"/>
        </w:rPr>
        <w:instrText xml:space="preserve"> \* ARABIC </w:instrText>
        <w:t/>
      </w:r>
      <w:r>
        <w:rPr>
          <w:rFonts w:ascii="Arial Narrow" w:eastAsia="仿宋_GB2312" w:hAnsi="Arial Narrow" w:cs="Arial"/>
          <w:b/>
          <w:bCs/>
          <w:sz w:val="22"/>
        </w:rPr>
        <w:fldChar w:fldCharType="separate"/>
        <w:t/>
      </w:r>
      <w:r>
        <w:rPr>
          <w:rFonts w:ascii="Arial Narrow" w:eastAsia="仿宋_GB2312" w:hAnsi="Arial Narrow" w:cs="Arial"/>
          <w:b/>
          <w:bCs/>
          <w:sz w:val="22"/>
        </w:rPr>
        <w:t/>
      </w:r>
      <w:r>
        <w:rPr>
          <w:rFonts w:ascii="Arial Narrow" w:eastAsia="仿宋_GB2312" w:hAnsi="Arial Narrow" w:cs="Arial"/>
          <w:b/>
          <w:bCs/>
          <w:sz w:val="22"/>
        </w:rPr>
        <w:fldChar w:fldCharType="end"/>
        <w:t/>
      </w:r>
      <w:r>
        <w:rPr>
          <w:rFonts w:ascii="Arial Narrow" w:eastAsia="仿宋_GB2312" w:hAnsi="Arial Narrow" w:cs="Arial"/>
          <w:b/>
          <w:bCs/>
          <w:sz w:val="22"/>
        </w:rPr>
        <w:t/>
      </w:r>
      <w:r>
        <w:rPr>
          <w:rFonts w:ascii="Arial Narrow" w:eastAsia="仿宋_GB2312" w:hAnsi="Arial Narrow" w:cs="Arial"/>
          <w:b/>
          <w:sz w:val="22"/>
        </w:rPr>
        <w:t/>
      </w:r>
      <w:bookmarkEnd w:id="205"/>
    </w:p>
    <w:p w14:paraId="3E50221D" w14:textId="77777777" w:rsidR="004D1721" w:rsidRDefault="004D1721">
      <w:pPr>
        <w:widowControl w:val="0"/>
        <w:snapToGrid w:val="0"/>
        <w:jc w:val="center"/>
        <w:rPr>
          <w:rFonts w:ascii="Arial Narrow" w:eastAsia="仿宋_GB2312" w:hAnsi="Arial Narrow" w:cs="Arial"/>
          <w:i/>
          <w:iCs/>
          <w:sz w:val="16"/>
          <w:szCs w:val="16"/>
        </w:rPr>
      </w:pPr>
    </w:p>
    <w:p w14:paraId="233996DE" w14:textId="4790FC80" w:rsidR="004D1721" w:rsidRDefault="009B16BC" w:rsidP="005D08A5">
      <w:pPr>
        <w:widowControl w:val="0"/>
        <w:snapToGrid w:val="0"/>
        <w:jc w:val="center"/>
        <w:rPr>
          <w:rFonts w:ascii="Arial Narrow" w:eastAsia="仿宋_GB2312" w:hAnsi="Arial Narrow" w:cs="Arial"/>
          <w:i/>
          <w:iCs/>
          <w:sz w:val="16"/>
          <w:szCs w:val="16"/>
        </w:rPr>
      </w:pPr>
      <w:r w:rsidRPr="005D08A5">
        <w:rPr>
          <w:rFonts w:ascii="Arial Narrow" w:eastAsia="仿宋_GB2312" w:hAnsi="Arial Narrow" w:cs="Arial"/>
          <w:i/>
          <w:iCs/>
          <w:noProof/>
          <w:sz w:val="16"/>
          <w:szCs w:val="16"/>
        </w:rPr>
        <w:drawing>
          <wp:inline distT="0" distB="0" distL="114300" distR="114300">
            <wp:extent cx="3767455" cy="3482340"/>
            <wp:effectExtent l="0" t="0" r="12065" b="7620"/>
            <wp:docPr id="16" name="图片 16" descr="微信截图_2024061415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微信截图_20240614153143"/>
                    <pic:cNvPicPr>
                      <a:picLocks noChangeAspect="1"/>
                    </pic:cNvPicPr>
                  </pic:nvPicPr>
                  <pic:blipFill>
                    <a:blip r:embed="rId21"/>
                    <a:stretch>
                      <a:fillRect/>
                    </a:stretch>
                  </pic:blipFill>
                  <pic:spPr>
                    <a:xfrm>
                      <a:off x="0" y="0"/>
                      <a:ext cx="3767455" cy="3482340"/>
                    </a:xfrm>
                    <a:prstGeom prst="rect">
                      <a:avLst/>
                    </a:prstGeom>
                  </pic:spPr>
                </pic:pic>
              </a:graphicData>
            </a:graphic>
          </wp:inline>
        </w:drawing>
      </w:r>
    </w:p>
    <w:p w14:paraId="735D7E70" w14:textId="77777777" w:rsidR="004D1721" w:rsidRDefault="009B16BC">
      <w:pPr>
        <w:widowControl w:val="0"/>
        <w:snapToGrid w:val="0"/>
        <w:rPr>
          <w:rFonts w:ascii="Arial Narrow" w:eastAsia="仿宋_GB2312" w:hAnsi="Arial Narrow" w:cs="Arial"/>
          <w:i/>
          <w:iCs/>
          <w:sz w:val="16"/>
          <w:szCs w:val="16"/>
        </w:rPr>
      </w:pPr>
      <w:r>
        <w:rPr>
          <w:rFonts w:ascii="Arial Narrow" w:eastAsia="仿宋_GB2312" w:hAnsi="Arial Narrow" w:cs="Arial"/>
          <w:i/>
          <w:iCs/>
          <w:sz w:val="16"/>
          <w:szCs w:val="16"/>
        </w:rPr>
        <w:t>信息来源：由松莉科技提供</w:t>
      </w:r>
    </w:p>
    <w:p w14:paraId="64C88CF1" w14:textId="20339611"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206" w:name="_Toc48317217"/>
      <w:bookmarkStart w:id="207" w:name="_Toc48582936"/>
      <w:bookmarkStart w:id="208" w:name="_Toc48317214"/>
      <w:bookmarkStart w:id="209" w:name="_Toc48582522"/>
      <w:bookmarkStart w:id="210" w:name="_Toc48317399"/>
      <w:bookmarkStart w:id="211" w:name="_Toc48399537"/>
      <w:bookmarkStart w:id="212" w:name="_Toc48317216"/>
      <w:bookmarkStart w:id="213" w:name="_Toc48317402"/>
      <w:bookmarkStart w:id="214" w:name="_Toc48582520"/>
      <w:bookmarkStart w:id="215" w:name="_Toc48582933"/>
      <w:bookmarkStart w:id="216" w:name="_Toc48582523"/>
      <w:bookmarkStart w:id="217" w:name="_Toc48317106"/>
      <w:bookmarkStart w:id="218" w:name="_Toc48399539"/>
      <w:bookmarkStart w:id="219" w:name="_Toc48582935"/>
      <w:bookmarkStart w:id="220" w:name="_Toc48317109"/>
      <w:bookmarkStart w:id="221" w:name="_Toc48317401"/>
      <w:bookmarkStart w:id="222" w:name="_Toc48399540"/>
      <w:bookmarkStart w:id="223" w:name="_Toc48317108"/>
      <w:bookmarkStart w:id="224" w:name="_Toc48317110"/>
      <w:bookmarkStart w:id="225" w:name="_Hlk50647845"/>
      <w:bookmarkStart w:id="226" w:name="_Toc48317403"/>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r>
        <w:rPr>
          <w:rFonts w:ascii="Arial Narrow" w:eastAsia="仿宋_GB2312" w:hAnsi="Arial Narrow" w:cs="Arial"/>
          <w:sz w:val="22"/>
          <w:szCs w:val="22"/>
        </w:rPr>
        <w:t>截至2023年12月31日，松莉科技的主要业务部门、职责范围显示如下：</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5C3309A" w14:textId="77777777" w:rsidR="004D1721" w:rsidRDefault="009B16BC">
      <w:pPr>
        <w:pStyle w:val="Caption"/>
        <w:ind w:left="420" w:hanging="420"/>
        <w:jc w:val="center"/>
        <w:rPr>
          <w:rFonts w:ascii="Arial Narrow" w:eastAsia="仿宋_GB2312" w:hAnsi="Arial Narrow" w:cs="Arial"/>
          <w:sz w:val="22"/>
        </w:rPr>
      </w:pPr>
      <w:bookmarkStart w:id="227" w:name="_Toc12286290"/>
      <w:r>
        <w:rPr>
          <w:rFonts w:ascii="Arial Narrow" w:eastAsia="仿宋_GB2312" w:hAnsi="Arial Narrow" w:cs="Arial"/>
          <w:sz w:val="22"/>
        </w:rPr>
        <w:t>图表 4：松莉科技的部门结构</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bookmarkEnd w:id="227"/>
    </w:p>
    <w:tbl>
      <w:tblPr>
        <w:tblStyle w:val="4-41"/>
        <w:tblW w:w="90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01"/>
        <w:gridCol w:w="930"/>
        <w:gridCol w:w="3590"/>
        <w:gridCol w:w="1390"/>
        <w:gridCol w:w="1656"/>
      </w:tblGrid>
      <w:tr w:rsidR="009B16BC" w14:paraId="23A157FF" w14:textId="77777777" w:rsidTr="004D172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501" w:type="dxa"/>
            <w:tcBorders>
              <w:top w:val="single" w:sz="4" w:space="0" w:color="auto"/>
              <w:left w:val="single" w:sz="4" w:space="0" w:color="auto"/>
              <w:bottom w:val="single" w:sz="4" w:space="0" w:color="000000" w:themeColor="text1"/>
            </w:tcBorders>
            <w:shd w:val="clear" w:color="auto" w:fill="002060"/>
            <w:vAlign w:val="center"/>
          </w:tcPr>
          <w:p w14:paraId="0C2C6AAD"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bCs w:val="0"/>
                <w:sz w:val="22"/>
                <w:szCs w:val="22"/>
              </w:rPr>
              <w:t>主要部门</w:t>
            </w:r>
          </w:p>
        </w:tc>
        <w:tc>
          <w:tcPr>
            <w:tcW w:w="930" w:type="dxa"/>
            <w:tcBorders>
              <w:top w:val="single" w:sz="4" w:space="0" w:color="auto"/>
              <w:bottom w:val="single" w:sz="4" w:space="0" w:color="000000" w:themeColor="text1"/>
            </w:tcBorders>
            <w:shd w:val="clear" w:color="auto" w:fill="002060"/>
            <w:vAlign w:val="center"/>
          </w:tcPr>
          <w:p w14:paraId="1F052373"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人数</w:t>
            </w:r>
          </w:p>
        </w:tc>
        <w:tc>
          <w:tcPr>
            <w:tcW w:w="3590" w:type="dxa"/>
            <w:tcBorders>
              <w:top w:val="single" w:sz="4" w:space="0" w:color="auto"/>
              <w:bottom w:val="single" w:sz="4" w:space="0" w:color="000000" w:themeColor="text1"/>
            </w:tcBorders>
            <w:shd w:val="clear" w:color="auto" w:fill="002060"/>
            <w:vAlign w:val="center"/>
          </w:tcPr>
          <w:p w14:paraId="232DB9E3"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主要职责范围</w:t>
            </w:r>
          </w:p>
        </w:tc>
        <w:tc>
          <w:tcPr>
            <w:tcW w:w="1390" w:type="dxa"/>
            <w:tcBorders>
              <w:top w:val="single" w:sz="4" w:space="0" w:color="auto"/>
              <w:bottom w:val="single" w:sz="4" w:space="0" w:color="000000" w:themeColor="text1"/>
            </w:tcBorders>
            <w:shd w:val="clear" w:color="auto" w:fill="002060"/>
            <w:vAlign w:val="center"/>
          </w:tcPr>
          <w:p w14:paraId="2C40FB67"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部门负责人汇报对象</w:t>
            </w:r>
          </w:p>
        </w:tc>
        <w:tc>
          <w:tcPr>
            <w:tcW w:w="1656" w:type="dxa"/>
            <w:tcBorders>
              <w:top w:val="single" w:sz="4" w:space="0" w:color="auto"/>
              <w:bottom w:val="single" w:sz="4" w:space="0" w:color="000000" w:themeColor="text1"/>
              <w:right w:val="single" w:sz="4" w:space="0" w:color="auto"/>
            </w:tcBorders>
            <w:shd w:val="clear" w:color="auto" w:fill="002060"/>
            <w:vAlign w:val="center"/>
          </w:tcPr>
          <w:p w14:paraId="53F97243"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汇报对象主要办公地（注*）</w:t>
            </w:r>
            <w:r>
              <w:rPr>
                <w:rFonts w:ascii="Arial Narrow" w:eastAsia="仿宋_GB2312" w:hAnsi="Arial Narrow" w:cs="Arial" w:hint="eastAsia"/>
                <w:bCs w:val="0"/>
                <w:sz w:val="22"/>
                <w:szCs w:val="22"/>
              </w:rPr>
              <w:t/>
            </w:r>
            <w:r>
              <w:rPr>
                <w:rFonts w:ascii="Arial Narrow" w:eastAsia="仿宋_GB2312" w:hAnsi="Arial Narrow" w:cs="Arial" w:hint="eastAsia"/>
                <w:bCs w:val="0"/>
                <w:sz w:val="22"/>
                <w:szCs w:val="22"/>
              </w:rPr>
              <w:t/>
            </w:r>
            <w:r>
              <w:rPr>
                <w:rFonts w:ascii="Arial Narrow" w:eastAsia="仿宋_GB2312" w:hAnsi="Arial Narrow" w:cs="Arial" w:hint="eastAsia"/>
                <w:bCs w:val="0"/>
                <w:sz w:val="22"/>
                <w:szCs w:val="22"/>
              </w:rPr>
              <w:t/>
            </w:r>
          </w:p>
        </w:tc>
      </w:tr>
      <w:tr w:rsidR="005D08A5" w14:paraId="5115347A"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7834B2E"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生产部</w:t>
            </w:r>
          </w:p>
        </w:tc>
        <w:tc>
          <w:tcPr>
            <w:tcW w:w="930" w:type="dxa"/>
            <w:shd w:val="clear" w:color="auto" w:fill="auto"/>
            <w:vAlign w:val="center"/>
          </w:tcPr>
          <w:p w14:paraId="62E815E6" w14:textId="7610BC4D"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352</w:t>
            </w:r>
          </w:p>
        </w:tc>
        <w:tc>
          <w:tcPr>
            <w:tcW w:w="3590" w:type="dxa"/>
            <w:shd w:val="clear" w:color="auto" w:fill="auto"/>
            <w:vAlign w:val="center"/>
          </w:tcPr>
          <w:p w14:paraId="7C9D11DC" w14:textId="7B14C3A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管理车间人员物料机器等资源，根据计划按质按量及时完成产品制造</w:t>
            </w:r>
          </w:p>
        </w:tc>
        <w:tc>
          <w:tcPr>
            <w:tcW w:w="1390" w:type="dxa"/>
            <w:shd w:val="clear" w:color="auto" w:fill="auto"/>
            <w:vAlign w:val="center"/>
          </w:tcPr>
          <w:p w14:paraId="30C3280C"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49E42967"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547E7983"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358B00EA" w14:textId="66A34DF6"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hint="eastAsia"/>
                <w:sz w:val="22"/>
                <w:szCs w:val="22"/>
              </w:rPr>
              <w:lastRenderedPageBreak/>
              <w:t>计划部</w:t>
            </w:r>
          </w:p>
        </w:tc>
        <w:tc>
          <w:tcPr>
            <w:tcW w:w="930" w:type="dxa"/>
            <w:shd w:val="clear" w:color="auto" w:fill="auto"/>
            <w:vAlign w:val="center"/>
          </w:tcPr>
          <w:p w14:paraId="30AEED9F"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7</w:t>
            </w:r>
          </w:p>
        </w:tc>
        <w:tc>
          <w:tcPr>
            <w:tcW w:w="3590" w:type="dxa"/>
            <w:shd w:val="clear" w:color="auto" w:fill="auto"/>
            <w:vAlign w:val="center"/>
          </w:tcPr>
          <w:p w14:paraId="41DEB3B8" w14:textId="21F2C44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生产计划/进度调度控制；物料管控</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tc>
        <w:tc>
          <w:tcPr>
            <w:tcW w:w="1390" w:type="dxa"/>
            <w:shd w:val="clear" w:color="auto" w:fill="auto"/>
            <w:vAlign w:val="center"/>
          </w:tcPr>
          <w:p w14:paraId="17A17436" w14:textId="79611043"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27F3F158" w14:textId="1BB9E230"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17917612"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13086771"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资材部</w:t>
            </w:r>
            <w:r>
              <w:rPr>
                <w:rFonts w:ascii="Arial Narrow" w:eastAsia="仿宋_GB2312" w:hAnsi="Arial Narrow" w:cs="Arial" w:hint="eastAsia"/>
                <w:sz w:val="22"/>
                <w:szCs w:val="22"/>
              </w:rPr>
              <w:t/>
            </w:r>
          </w:p>
        </w:tc>
        <w:tc>
          <w:tcPr>
            <w:tcW w:w="930" w:type="dxa"/>
            <w:shd w:val="clear" w:color="auto" w:fill="auto"/>
            <w:vAlign w:val="center"/>
          </w:tcPr>
          <w:p w14:paraId="44750D27" w14:textId="45270B0D"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23</w:t>
            </w:r>
          </w:p>
        </w:tc>
        <w:tc>
          <w:tcPr>
            <w:tcW w:w="3590" w:type="dxa"/>
            <w:shd w:val="clear" w:color="auto" w:fill="auto"/>
            <w:vAlign w:val="center"/>
          </w:tcPr>
          <w:p w14:paraId="5986665C" w14:textId="05DFD3BC"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货物出入库管理与存货保管盘点，存储空间/环境管理</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tc>
        <w:tc>
          <w:tcPr>
            <w:tcW w:w="1390" w:type="dxa"/>
            <w:shd w:val="clear" w:color="auto" w:fill="auto"/>
            <w:vAlign w:val="center"/>
          </w:tcPr>
          <w:p w14:paraId="1411C56B" w14:textId="76CA76E3"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08CF663A" w14:textId="503FC705"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51A4562E"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426B5074"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采购部</w:t>
            </w:r>
            <w:r>
              <w:rPr>
                <w:rFonts w:ascii="Arial Narrow" w:eastAsia="仿宋_GB2312" w:hAnsi="Arial Narrow" w:cs="Arial" w:hint="eastAsia"/>
                <w:sz w:val="22"/>
                <w:szCs w:val="22"/>
              </w:rPr>
              <w:t/>
            </w:r>
          </w:p>
        </w:tc>
        <w:tc>
          <w:tcPr>
            <w:tcW w:w="930" w:type="dxa"/>
            <w:shd w:val="clear" w:color="auto" w:fill="auto"/>
            <w:vAlign w:val="center"/>
          </w:tcPr>
          <w:p w14:paraId="29FA49A9" w14:textId="39C2DBAA"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8</w:t>
            </w:r>
          </w:p>
        </w:tc>
        <w:tc>
          <w:tcPr>
            <w:tcW w:w="3590" w:type="dxa"/>
            <w:shd w:val="clear" w:color="auto" w:fill="auto"/>
            <w:vAlign w:val="center"/>
          </w:tcPr>
          <w:p w14:paraId="01E891DE" w14:textId="0371E23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询比价开发优质供应商，采购降本，按质按量如期交货</w:t>
            </w:r>
          </w:p>
        </w:tc>
        <w:tc>
          <w:tcPr>
            <w:tcW w:w="1390" w:type="dxa"/>
            <w:shd w:val="clear" w:color="auto" w:fill="auto"/>
            <w:vAlign w:val="center"/>
          </w:tcPr>
          <w:p w14:paraId="5230B156" w14:textId="430079E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31101938" w14:textId="04515A8E"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0F1E5E04"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288AFE93" w14:textId="18F5A7C4"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关务部</w:t>
            </w:r>
            <w:r>
              <w:rPr>
                <w:rFonts w:ascii="Arial Narrow" w:eastAsia="仿宋_GB2312" w:hAnsi="Arial Narrow" w:cs="Arial" w:hint="eastAsia"/>
                <w:sz w:val="22"/>
                <w:szCs w:val="22"/>
              </w:rPr>
              <w:t/>
            </w:r>
          </w:p>
        </w:tc>
        <w:tc>
          <w:tcPr>
            <w:tcW w:w="930" w:type="dxa"/>
            <w:shd w:val="clear" w:color="auto" w:fill="auto"/>
            <w:vAlign w:val="center"/>
          </w:tcPr>
          <w:p w14:paraId="77551B66" w14:textId="2331CA1E"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4</w:t>
            </w:r>
          </w:p>
        </w:tc>
        <w:tc>
          <w:tcPr>
            <w:tcW w:w="3590" w:type="dxa"/>
            <w:shd w:val="clear" w:color="auto" w:fill="auto"/>
            <w:vAlign w:val="center"/>
          </w:tcPr>
          <w:p w14:paraId="17091BA2" w14:textId="4823B86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货物进出口申报，船运安排，海关检验检疫</w:t>
            </w:r>
          </w:p>
        </w:tc>
        <w:tc>
          <w:tcPr>
            <w:tcW w:w="1390" w:type="dxa"/>
            <w:shd w:val="clear" w:color="auto" w:fill="auto"/>
            <w:vAlign w:val="center"/>
          </w:tcPr>
          <w:p w14:paraId="5375C7D4" w14:textId="1D669A58"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687FEFC6" w14:textId="043BE1A9"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0FEF4E4D"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1B098630"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hint="eastAsia"/>
                <w:sz w:val="22"/>
                <w:szCs w:val="22"/>
              </w:rPr>
              <w:t>工程部</w:t>
            </w:r>
          </w:p>
        </w:tc>
        <w:tc>
          <w:tcPr>
            <w:tcW w:w="930" w:type="dxa"/>
            <w:shd w:val="clear" w:color="auto" w:fill="auto"/>
            <w:vAlign w:val="center"/>
          </w:tcPr>
          <w:p w14:paraId="576DA4E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245BCDA5"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基础数据维护，IE工程管理</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tc>
        <w:tc>
          <w:tcPr>
            <w:tcW w:w="1390" w:type="dxa"/>
            <w:shd w:val="clear" w:color="auto" w:fill="auto"/>
            <w:vAlign w:val="center"/>
          </w:tcPr>
          <w:p w14:paraId="70ECEE5B"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4C811AD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5D760950"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6BEAA62A"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hint="eastAsia"/>
                <w:b w:val="0"/>
                <w:sz w:val="22"/>
                <w:szCs w:val="22"/>
              </w:rPr>
              <w:t>工务部</w:t>
            </w:r>
          </w:p>
        </w:tc>
        <w:tc>
          <w:tcPr>
            <w:tcW w:w="930" w:type="dxa"/>
            <w:shd w:val="clear" w:color="auto" w:fill="auto"/>
            <w:vAlign w:val="center"/>
          </w:tcPr>
          <w:p w14:paraId="23F58E26"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1E5B0912"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机器设备零配件修理维保</w:t>
            </w:r>
          </w:p>
        </w:tc>
        <w:tc>
          <w:tcPr>
            <w:tcW w:w="1390" w:type="dxa"/>
            <w:shd w:val="clear" w:color="auto" w:fill="auto"/>
            <w:vAlign w:val="center"/>
          </w:tcPr>
          <w:p w14:paraId="2577B309"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7C1C1C49"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15D0BE4F"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14503861"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产品开发部</w:t>
            </w:r>
          </w:p>
        </w:tc>
        <w:tc>
          <w:tcPr>
            <w:tcW w:w="930" w:type="dxa"/>
            <w:shd w:val="clear" w:color="auto" w:fill="auto"/>
            <w:vAlign w:val="center"/>
          </w:tcPr>
          <w:p w14:paraId="648F8D72"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4</w:t>
            </w:r>
          </w:p>
        </w:tc>
        <w:tc>
          <w:tcPr>
            <w:tcW w:w="3590" w:type="dxa"/>
            <w:shd w:val="clear" w:color="auto" w:fill="auto"/>
            <w:vAlign w:val="center"/>
          </w:tcPr>
          <w:p w14:paraId="72322EB2"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产品设计开发</w:t>
            </w:r>
          </w:p>
        </w:tc>
        <w:tc>
          <w:tcPr>
            <w:tcW w:w="1390" w:type="dxa"/>
            <w:shd w:val="clear" w:color="auto" w:fill="auto"/>
            <w:vAlign w:val="center"/>
          </w:tcPr>
          <w:p w14:paraId="0A364C2B"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6014B781"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28E44560"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0421AC80"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业务部</w:t>
            </w:r>
          </w:p>
        </w:tc>
        <w:tc>
          <w:tcPr>
            <w:tcW w:w="930" w:type="dxa"/>
            <w:shd w:val="clear" w:color="auto" w:fill="auto"/>
            <w:vAlign w:val="center"/>
          </w:tcPr>
          <w:p w14:paraId="1AE36F23"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222B53E1"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客户关系管理，订单评审，交期出货协调</w:t>
            </w:r>
          </w:p>
        </w:tc>
        <w:tc>
          <w:tcPr>
            <w:tcW w:w="1390" w:type="dxa"/>
            <w:shd w:val="clear" w:color="auto" w:fill="auto"/>
            <w:vAlign w:val="center"/>
          </w:tcPr>
          <w:p w14:paraId="733DA11F"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1E5B1FEB"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448C82F0"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84646E5"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财务部</w:t>
            </w:r>
          </w:p>
        </w:tc>
        <w:tc>
          <w:tcPr>
            <w:tcW w:w="930" w:type="dxa"/>
            <w:shd w:val="clear" w:color="auto" w:fill="auto"/>
            <w:vAlign w:val="center"/>
          </w:tcPr>
          <w:p w14:paraId="1B1AA2EC"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6</w:t>
            </w:r>
          </w:p>
        </w:tc>
        <w:tc>
          <w:tcPr>
            <w:tcW w:w="3590" w:type="dxa"/>
            <w:shd w:val="clear" w:color="auto" w:fill="auto"/>
            <w:vAlign w:val="center"/>
          </w:tcPr>
          <w:p w14:paraId="67E90881"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会计核算，成本管理，资金管理，财税申报，财务信息化管理</w:t>
            </w:r>
          </w:p>
        </w:tc>
        <w:tc>
          <w:tcPr>
            <w:tcW w:w="1390" w:type="dxa"/>
            <w:shd w:val="clear" w:color="auto" w:fill="auto"/>
            <w:vAlign w:val="center"/>
          </w:tcPr>
          <w:p w14:paraId="71F835B8"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5A31D38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05088BEF"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D88010F"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资讯部</w:t>
            </w:r>
          </w:p>
        </w:tc>
        <w:tc>
          <w:tcPr>
            <w:tcW w:w="930" w:type="dxa"/>
            <w:shd w:val="clear" w:color="auto" w:fill="auto"/>
            <w:vAlign w:val="center"/>
          </w:tcPr>
          <w:p w14:paraId="459D8E6A"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486D5CE9"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网络管理，信息软件培训维保，机房建设与管理</w:t>
            </w:r>
          </w:p>
        </w:tc>
        <w:tc>
          <w:tcPr>
            <w:tcW w:w="1390" w:type="dxa"/>
            <w:shd w:val="clear" w:color="auto" w:fill="auto"/>
            <w:vAlign w:val="center"/>
          </w:tcPr>
          <w:p w14:paraId="26923FC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53A53C56"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5207012A"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33ECF763"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人事部</w:t>
            </w:r>
          </w:p>
        </w:tc>
        <w:tc>
          <w:tcPr>
            <w:tcW w:w="930" w:type="dxa"/>
            <w:shd w:val="clear" w:color="auto" w:fill="auto"/>
            <w:vAlign w:val="center"/>
          </w:tcPr>
          <w:p w14:paraId="24DB6736"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2</w:t>
            </w:r>
          </w:p>
        </w:tc>
        <w:tc>
          <w:tcPr>
            <w:tcW w:w="3590" w:type="dxa"/>
            <w:shd w:val="clear" w:color="auto" w:fill="auto"/>
            <w:vAlign w:val="center"/>
          </w:tcPr>
          <w:p w14:paraId="101338B8"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公司制度订立执行，员工招聘、考核、培训及劳资关系管理</w:t>
            </w:r>
          </w:p>
        </w:tc>
        <w:tc>
          <w:tcPr>
            <w:tcW w:w="1390" w:type="dxa"/>
            <w:shd w:val="clear" w:color="auto" w:fill="auto"/>
            <w:vAlign w:val="center"/>
          </w:tcPr>
          <w:p w14:paraId="4C73A3DD"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0B6237E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16FF433D"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71C49234"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管理部</w:t>
            </w:r>
          </w:p>
        </w:tc>
        <w:tc>
          <w:tcPr>
            <w:tcW w:w="930" w:type="dxa"/>
            <w:shd w:val="clear" w:color="auto" w:fill="auto"/>
            <w:vAlign w:val="center"/>
          </w:tcPr>
          <w:p w14:paraId="1D29CEF4"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7</w:t>
            </w:r>
          </w:p>
        </w:tc>
        <w:tc>
          <w:tcPr>
            <w:tcW w:w="3590" w:type="dxa"/>
            <w:shd w:val="clear" w:color="auto" w:fill="auto"/>
            <w:vAlign w:val="center"/>
          </w:tcPr>
          <w:p w14:paraId="67F51611"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安保环境管理，职工食宿等行政事务</w:t>
            </w:r>
          </w:p>
        </w:tc>
        <w:tc>
          <w:tcPr>
            <w:tcW w:w="1390" w:type="dxa"/>
            <w:shd w:val="clear" w:color="auto" w:fill="auto"/>
            <w:vAlign w:val="center"/>
          </w:tcPr>
          <w:p w14:paraId="405C898E"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3915DE5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4BC08365"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9C34543" w14:textId="08A687E2" w:rsidR="004D1721" w:rsidRDefault="009B16BC">
            <w:pPr>
              <w:jc w:val="center"/>
              <w:rPr>
                <w:rFonts w:ascii="Arial Narrow" w:eastAsia="仿宋_GB2312" w:hAnsi="Arial Narrow" w:cs="Arial"/>
                <w:sz w:val="22"/>
                <w:szCs w:val="22"/>
              </w:rPr>
            </w:pPr>
            <w:r>
              <w:rPr>
                <w:rFonts w:ascii="Arial Narrow" w:eastAsia="仿宋_GB2312" w:hAnsi="Arial Narrow" w:cs="Arial" w:hint="eastAsia"/>
                <w:b w:val="0"/>
                <w:sz w:val="22"/>
                <w:szCs w:val="22"/>
              </w:rPr>
              <w:t>品质部</w:t>
            </w:r>
          </w:p>
        </w:tc>
        <w:tc>
          <w:tcPr>
            <w:tcW w:w="930" w:type="dxa"/>
            <w:shd w:val="clear" w:color="auto" w:fill="auto"/>
            <w:vAlign w:val="center"/>
          </w:tcPr>
          <w:p w14:paraId="33450DD5" w14:textId="77B78FE9"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17</w:t>
            </w:r>
          </w:p>
        </w:tc>
        <w:tc>
          <w:tcPr>
            <w:tcW w:w="3590" w:type="dxa"/>
            <w:shd w:val="clear" w:color="auto" w:fill="auto"/>
            <w:vAlign w:val="center"/>
          </w:tcPr>
          <w:p w14:paraId="7B306CD5" w14:textId="5818E14B"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建立质量体系，制订品质，对物料、制程、产品质量检验</w:t>
            </w:r>
          </w:p>
        </w:tc>
        <w:tc>
          <w:tcPr>
            <w:tcW w:w="1390" w:type="dxa"/>
            <w:shd w:val="clear" w:color="auto" w:fill="auto"/>
            <w:vAlign w:val="center"/>
          </w:tcPr>
          <w:p w14:paraId="0BCC1A06" w14:textId="4D87D9A1"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300F085C" w14:textId="6FB4D81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3359AB76"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337D8898" w14:textId="07D2EC0F" w:rsidR="004D1721" w:rsidRDefault="009B16BC">
            <w:pPr>
              <w:jc w:val="center"/>
              <w:rPr>
                <w:rFonts w:ascii="Arial Narrow" w:eastAsia="仿宋_GB2312" w:hAnsi="Arial Narrow" w:cs="Arial"/>
                <w:sz w:val="22"/>
                <w:szCs w:val="22"/>
              </w:rPr>
            </w:pPr>
            <w:r>
              <w:rPr>
                <w:rFonts w:ascii="Arial Narrow" w:eastAsia="仿宋_GB2312" w:hAnsi="Arial Narrow" w:cs="Arial" w:hint="eastAsia"/>
                <w:b w:val="0"/>
                <w:sz w:val="22"/>
                <w:szCs w:val="22"/>
              </w:rPr>
              <w:t>研发部</w:t>
            </w:r>
          </w:p>
        </w:tc>
        <w:tc>
          <w:tcPr>
            <w:tcW w:w="930" w:type="dxa"/>
            <w:shd w:val="clear" w:color="auto" w:fill="auto"/>
            <w:vAlign w:val="center"/>
          </w:tcPr>
          <w:p w14:paraId="71EDECF5" w14:textId="41B6BF1C"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14</w:t>
            </w:r>
          </w:p>
        </w:tc>
        <w:tc>
          <w:tcPr>
            <w:tcW w:w="3590" w:type="dxa"/>
            <w:shd w:val="clear" w:color="auto" w:fill="auto"/>
            <w:vAlign w:val="center"/>
          </w:tcPr>
          <w:p w14:paraId="4FA8669E" w14:textId="1ACE6FD6"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配方管理，新产品调研立项开发，旧产品改进</w:t>
            </w:r>
          </w:p>
        </w:tc>
        <w:tc>
          <w:tcPr>
            <w:tcW w:w="1390" w:type="dxa"/>
            <w:shd w:val="clear" w:color="auto" w:fill="auto"/>
            <w:vAlign w:val="center"/>
          </w:tcPr>
          <w:p w14:paraId="0A759FBB" w14:textId="7CA53656"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5D7D84BA" w14:textId="69227A06"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2E9A40D4" w14:textId="77777777" w:rsidTr="005D08A5">
        <w:trPr>
          <w:trHeight w:val="389"/>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bottom w:val="single" w:sz="4" w:space="0" w:color="auto"/>
            </w:tcBorders>
            <w:shd w:val="clear" w:color="auto" w:fill="auto"/>
            <w:vAlign w:val="center"/>
          </w:tcPr>
          <w:p w14:paraId="1213AA2F"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bCs w:val="0"/>
                <w:sz w:val="22"/>
                <w:szCs w:val="22"/>
              </w:rPr>
              <w:t>总计</w:t>
            </w:r>
          </w:p>
        </w:tc>
        <w:tc>
          <w:tcPr>
            <w:tcW w:w="930" w:type="dxa"/>
            <w:tcBorders>
              <w:bottom w:val="single" w:sz="4" w:space="0" w:color="auto"/>
            </w:tcBorders>
            <w:shd w:val="clear" w:color="auto" w:fill="auto"/>
            <w:vAlign w:val="center"/>
          </w:tcPr>
          <w:p w14:paraId="17747829" w14:textId="6AB030E3"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b/>
                <w:sz w:val="22"/>
                <w:szCs w:val="22"/>
              </w:rPr>
              <w:t>464</w:t>
            </w:r>
          </w:p>
        </w:tc>
        <w:tc>
          <w:tcPr>
            <w:tcW w:w="6636" w:type="dxa"/>
            <w:gridSpan w:val="3"/>
            <w:tcBorders>
              <w:bottom w:val="single" w:sz="4" w:space="0" w:color="auto"/>
              <w:right w:val="single" w:sz="4" w:space="0" w:color="auto"/>
            </w:tcBorders>
            <w:shd w:val="clear" w:color="auto" w:fill="auto"/>
            <w:vAlign w:val="center"/>
          </w:tcPr>
          <w:p w14:paraId="6A328160" w14:textId="77777777" w:rsidR="004D1721" w:rsidRDefault="004D1721">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p>
        </w:tc>
      </w:tr>
    </w:tbl>
    <w:p w14:paraId="2D14FE7A" w14:textId="77777777"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信息来源：由松莉科技提供</w:t>
      </w:r>
    </w:p>
    <w:p w14:paraId="799E1384" w14:textId="77777777" w:rsidR="004D1721" w:rsidRDefault="009B16BC">
      <w:pPr>
        <w:pStyle w:val="Heading2"/>
        <w:rPr>
          <w:b/>
          <w:bCs/>
        </w:rPr>
      </w:pPr>
      <w:bookmarkStart w:id="228" w:name="_Toc140505111"/>
      <w:bookmarkStart w:id="229" w:name="_Toc53229057"/>
      <w:bookmarkEnd w:id="224"/>
      <w:bookmarkEnd w:id="225"/>
      <w:bookmarkEnd w:id="226"/>
      <w:r>
        <w:t>主营业务及财务状况</w:t>
      </w:r>
      <w:bookmarkEnd w:id="228"/>
      <w:bookmarkEnd w:id="229"/>
    </w:p>
    <w:p w14:paraId="405F97C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230" w:name="_Toc48317405"/>
      <w:bookmarkStart w:id="231" w:name="_Toc48317112"/>
      <w:bookmarkStart w:id="232" w:name="_Toc262024927"/>
      <w:bookmarkStart w:id="233" w:name="_Toc261811240"/>
      <w:bookmarkStart w:id="234" w:name="_Toc135647185"/>
      <w:bookmarkStart w:id="235" w:name="_Toc62016497"/>
      <w:bookmarkStart w:id="236" w:name="_Toc63759085"/>
      <w:r>
        <w:rPr>
          <w:rFonts w:ascii="Arial Narrow" w:eastAsia="仿宋_GB2312" w:hAnsi="Arial Narrow" w:cs="Arial"/>
          <w:sz w:val="22"/>
          <w:szCs w:val="22"/>
        </w:rPr>
        <w:t>评估期间，松莉科技主要生产Markwins 集团旗下品牌的化妆品，主要产品包括Physicians Formula品牌化妆品、Wet n Wild品牌化妆品LiP SMACKER品牌润唇膏等。</w:t>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2E4E8BA1" w14:textId="77777777" w:rsidR="004D1721" w:rsidRDefault="009B16BC">
      <w:pPr>
        <w:numPr>
          <w:ilvl w:val="0"/>
          <w:numId w:val="19"/>
        </w:num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Physicians Formula品牌</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164F6D4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致力于为全球有肌肤困扰的女性提供健康、可靠、且性价比极高的化妆品。PF品牌提倡健康可持续的生活方式，一直以来支持零残忍的彩妆和护肤理念，反对动物测试。为给中国消费者更好的品牌和产品体验，2019年5月PF品牌开启内贸。改良了部分产品的气味，优化了中国版本的配方，使其高标准符合中国法规。</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lastRenderedPageBreak/>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p w14:paraId="001F9203" w14:textId="77777777" w:rsidR="004D1721" w:rsidRDefault="009B16BC">
      <w:pPr>
        <w:numPr>
          <w:ilvl w:val="0"/>
          <w:numId w:val="19"/>
        </w:num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Wet n Wild品牌</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56313B6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作为诞生于美国洛杉矶的时尚彩妆品牌，常年蝉联美国开价彩妆第一，已入驻全美近58,000个零售店，成为全美媒体及时尚博主极力推荐的“美国最时尚彩妆品牌”。品牌持续秉承“张扬无畏、大胆自信、玩转色彩、彩妆先锋”的品牌理念，致力于打造最优品质的各类彩妆单品，在注重优质的上妆体验及出彩妆效的同时平衡性价比。</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39C1C999" w14:textId="77777777" w:rsidR="004D1721" w:rsidRDefault="009B16BC">
      <w:pPr>
        <w:numPr>
          <w:ilvl w:val="0"/>
          <w:numId w:val="19"/>
        </w:num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LiP SMACKER品牌</w:t>
      </w:r>
      <w:r>
        <w:rPr>
          <w:rFonts w:ascii="Arial Narrow" w:eastAsia="仿宋_GB2312" w:hAnsi="Arial Narrow" w:cs="Arial" w:hint="eastAsia"/>
          <w:sz w:val="22"/>
          <w:szCs w:val="22"/>
        </w:rPr>
        <w:t/>
      </w:r>
    </w:p>
    <w:p w14:paraId="5A5FC441"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LiP SMACKER以热忠于原创、趣味并专注于无与伦比的口味和优质配方而闻名。并持续通过产品创新和独家合作，成为全球青少年必备的第一款润唇膏、并深受潮玩一族的喜爱。MARKWINS将在最近两年将LiP SMACKER 推入中国润唇膏前三品牌当中去。</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p>
    <w:p w14:paraId="26F8CB01"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5：松莉科技部分产品示意图</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hint="eastAsia"/>
          <w:sz w:val="22"/>
        </w:rPr>
        <w:t/>
      </w:r>
    </w:p>
    <w:tbl>
      <w:tblPr>
        <w:tblStyle w:val="TableGrid"/>
        <w:tblW w:w="0" w:type="auto"/>
        <w:tblLook w:val="04A0" w:firstRow="1" w:lastRow="0" w:firstColumn="1" w:lastColumn="0" w:noHBand="0" w:noVBand="1"/>
      </w:tblPr>
      <w:tblGrid>
        <w:gridCol w:w="2500"/>
        <w:gridCol w:w="5797"/>
      </w:tblGrid>
      <w:tr w:rsidR="004D1721" w14:paraId="04CDF3A7" w14:textId="77777777">
        <w:trPr>
          <w:trHeight w:val="562"/>
        </w:trPr>
        <w:tc>
          <w:tcPr>
            <w:tcW w:w="2504" w:type="dxa"/>
            <w:shd w:val="clear" w:color="auto" w:fill="002060"/>
            <w:vAlign w:val="center"/>
          </w:tcPr>
          <w:p w14:paraId="3190B397"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hint="eastAsia"/>
                <w:b/>
                <w:bCs/>
                <w:color w:val="FFFFFF" w:themeColor="background1"/>
                <w:sz w:val="22"/>
                <w:szCs w:val="22"/>
              </w:rPr>
              <w:t>产品品牌</w:t>
            </w:r>
          </w:p>
        </w:tc>
        <w:tc>
          <w:tcPr>
            <w:tcW w:w="5798" w:type="dxa"/>
            <w:shd w:val="clear" w:color="auto" w:fill="002060"/>
            <w:vAlign w:val="center"/>
          </w:tcPr>
          <w:p w14:paraId="1746739C"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hint="eastAsia"/>
                <w:b/>
                <w:bCs/>
                <w:color w:val="FFFFFF" w:themeColor="background1"/>
                <w:sz w:val="22"/>
                <w:szCs w:val="22"/>
              </w:rPr>
              <w:t>产品示意图</w:t>
            </w:r>
          </w:p>
        </w:tc>
      </w:tr>
      <w:tr w:rsidR="004D1721" w14:paraId="6034A5A5" w14:textId="77777777">
        <w:trPr>
          <w:trHeight w:val="3501"/>
        </w:trPr>
        <w:tc>
          <w:tcPr>
            <w:tcW w:w="2504" w:type="dxa"/>
            <w:shd w:val="clear" w:color="auto" w:fill="auto"/>
            <w:vAlign w:val="center"/>
          </w:tcPr>
          <w:p w14:paraId="6C09082F" w14:textId="77777777" w:rsidR="004D1721" w:rsidRDefault="009B16BC">
            <w:pPr>
              <w:jc w:val="center"/>
              <w:rPr>
                <w:rFonts w:ascii="Arial Narrow" w:eastAsia="仿宋_GB2312" w:hAnsi="Arial Narrow" w:cs="Arial"/>
                <w:bCs/>
                <w:color w:val="000000" w:themeColor="text1"/>
                <w:sz w:val="22"/>
                <w:szCs w:val="22"/>
              </w:rPr>
            </w:pPr>
            <w:r>
              <w:rPr>
                <w:rFonts w:ascii="Arial Narrow" w:eastAsia="仿宋_GB2312" w:hAnsi="Arial Narrow" w:cs="Arial" w:hint="eastAsia"/>
                <w:bCs/>
                <w:color w:val="000000" w:themeColor="text1"/>
                <w:sz w:val="22"/>
                <w:szCs w:val="22"/>
              </w:rPr>
              <w:t>Physicians Formula品牌</w:t>
            </w:r>
            <w:r>
              <w:rPr>
                <w:rFonts w:ascii="Arial Narrow" w:eastAsia="仿宋_GB2312" w:hAnsi="Arial Narrow" w:cs="Arial" w:hint="eastAsia"/>
                <w:bCs/>
                <w:color w:val="000000" w:themeColor="text1"/>
                <w:sz w:val="22"/>
                <w:szCs w:val="22"/>
              </w:rPr>
              <w:t/>
            </w:r>
          </w:p>
        </w:tc>
        <w:tc>
          <w:tcPr>
            <w:tcW w:w="5798" w:type="dxa"/>
            <w:shd w:val="clear" w:color="auto" w:fill="auto"/>
            <w:vAlign w:val="center"/>
          </w:tcPr>
          <w:p w14:paraId="318BEDF5" w14:textId="77777777" w:rsidR="004D1721" w:rsidRDefault="009B16BC">
            <w:pPr>
              <w:jc w:val="center"/>
              <w:rPr>
                <w:rFonts w:ascii="Arial Narrow" w:eastAsia="仿宋_GB2312" w:hAnsi="Arial Narrow" w:cs="Arial"/>
                <w:b/>
                <w:bCs/>
                <w:color w:val="FFFFFF" w:themeColor="background1"/>
                <w:sz w:val="22"/>
                <w:szCs w:val="22"/>
              </w:rPr>
            </w:pPr>
            <w:r>
              <w:rPr>
                <w:noProof/>
              </w:rPr>
              <w:drawing>
                <wp:inline distT="0" distB="0" distL="114300" distR="114300">
                  <wp:extent cx="3006725" cy="2041525"/>
                  <wp:effectExtent l="0" t="0" r="3175" b="0"/>
                  <wp:docPr id="6" name="图片 6" descr="微信截图_20230728175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截图_20230728175250"/>
                          <pic:cNvPicPr>
                            <a:picLocks noChangeAspect="1"/>
                          </pic:cNvPicPr>
                        </pic:nvPicPr>
                        <pic:blipFill>
                          <a:blip r:embed="rId22"/>
                          <a:srcRect l="2031"/>
                          <a:stretch>
                            <a:fillRect/>
                          </a:stretch>
                        </pic:blipFill>
                        <pic:spPr>
                          <a:xfrm>
                            <a:off x="0" y="0"/>
                            <a:ext cx="3007244" cy="2041525"/>
                          </a:xfrm>
                          <a:prstGeom prst="rect">
                            <a:avLst/>
                          </a:prstGeom>
                          <a:ln>
                            <a:noFill/>
                          </a:ln>
                        </pic:spPr>
                      </pic:pic>
                    </a:graphicData>
                  </a:graphic>
                </wp:inline>
              </w:drawing>
            </w:r>
          </w:p>
        </w:tc>
      </w:tr>
      <w:tr w:rsidR="004D1721" w14:paraId="403BC177" w14:textId="77777777">
        <w:trPr>
          <w:trHeight w:val="2651"/>
        </w:trPr>
        <w:tc>
          <w:tcPr>
            <w:tcW w:w="2504" w:type="dxa"/>
            <w:shd w:val="clear" w:color="auto" w:fill="auto"/>
            <w:vAlign w:val="center"/>
          </w:tcPr>
          <w:p w14:paraId="5EC39C62" w14:textId="77777777" w:rsidR="004D1721" w:rsidRDefault="009B16BC">
            <w:pPr>
              <w:jc w:val="center"/>
              <w:rPr>
                <w:rFonts w:ascii="Arial Narrow" w:eastAsia="仿宋_GB2312" w:hAnsi="Arial Narrow" w:cs="Arial"/>
                <w:bCs/>
                <w:color w:val="000000" w:themeColor="text1"/>
                <w:sz w:val="22"/>
                <w:szCs w:val="22"/>
              </w:rPr>
            </w:pPr>
            <w:r>
              <w:rPr>
                <w:rFonts w:ascii="Arial Narrow" w:eastAsia="仿宋_GB2312" w:hAnsi="Arial Narrow" w:cs="Arial" w:hint="eastAsia"/>
                <w:bCs/>
                <w:color w:val="000000" w:themeColor="text1"/>
                <w:sz w:val="22"/>
                <w:szCs w:val="22"/>
              </w:rPr>
              <w:lastRenderedPageBreak/>
              <w:t>Wet n Wild品牌</w:t>
            </w:r>
            <w:r>
              <w:rPr>
                <w:rFonts w:ascii="Arial Narrow" w:eastAsia="仿宋_GB2312" w:hAnsi="Arial Narrow" w:cs="Arial" w:hint="eastAsia"/>
                <w:bCs/>
                <w:color w:val="000000" w:themeColor="text1"/>
                <w:sz w:val="22"/>
                <w:szCs w:val="22"/>
              </w:rPr>
              <w:t/>
            </w:r>
          </w:p>
        </w:tc>
        <w:tc>
          <w:tcPr>
            <w:tcW w:w="5798" w:type="dxa"/>
            <w:shd w:val="clear" w:color="auto" w:fill="auto"/>
            <w:vAlign w:val="center"/>
          </w:tcPr>
          <w:p w14:paraId="11533598" w14:textId="77777777" w:rsidR="004D1721" w:rsidRDefault="009B16BC">
            <w:pPr>
              <w:jc w:val="center"/>
              <w:rPr>
                <w:rFonts w:ascii="Arial Narrow" w:eastAsia="仿宋_GB2312" w:hAnsi="Arial Narrow" w:cs="Arial"/>
                <w:b/>
                <w:bCs/>
                <w:color w:val="FFFFFF" w:themeColor="background1"/>
                <w:sz w:val="22"/>
                <w:szCs w:val="22"/>
              </w:rPr>
            </w:pPr>
            <w:r>
              <w:rPr>
                <w:noProof/>
              </w:rPr>
              <w:drawing>
                <wp:inline distT="0" distB="0" distL="114300" distR="114300">
                  <wp:extent cx="2983230" cy="1346200"/>
                  <wp:effectExtent l="0" t="0" r="3810" b="10160"/>
                  <wp:docPr id="2" name="图片 2" descr="微信截图_2023072817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截图_20230728175130"/>
                          <pic:cNvPicPr>
                            <a:picLocks noChangeAspect="1"/>
                          </pic:cNvPicPr>
                        </pic:nvPicPr>
                        <pic:blipFill>
                          <a:blip r:embed="rId23"/>
                          <a:stretch>
                            <a:fillRect/>
                          </a:stretch>
                        </pic:blipFill>
                        <pic:spPr>
                          <a:xfrm>
                            <a:off x="0" y="0"/>
                            <a:ext cx="2983230" cy="1346200"/>
                          </a:xfrm>
                          <a:prstGeom prst="rect">
                            <a:avLst/>
                          </a:prstGeom>
                        </pic:spPr>
                      </pic:pic>
                    </a:graphicData>
                  </a:graphic>
                </wp:inline>
              </w:drawing>
            </w:r>
          </w:p>
        </w:tc>
      </w:tr>
      <w:tr w:rsidR="004D1721" w14:paraId="4BA515B0" w14:textId="77777777">
        <w:trPr>
          <w:trHeight w:val="4159"/>
        </w:trPr>
        <w:tc>
          <w:tcPr>
            <w:tcW w:w="2504" w:type="dxa"/>
            <w:shd w:val="clear" w:color="auto" w:fill="auto"/>
            <w:vAlign w:val="center"/>
          </w:tcPr>
          <w:p w14:paraId="4F79C361" w14:textId="77777777" w:rsidR="004D1721" w:rsidRDefault="009B16BC">
            <w:pPr>
              <w:spacing w:beforeLines="50" w:before="180" w:afterLines="50" w:after="180" w:line="360" w:lineRule="auto"/>
              <w:jc w:val="center"/>
              <w:rPr>
                <w:rFonts w:ascii="Arial Narrow" w:eastAsia="仿宋_GB2312" w:hAnsi="Arial Narrow" w:cs="Arial"/>
                <w:bCs/>
                <w:color w:val="000000" w:themeColor="text1"/>
                <w:sz w:val="22"/>
                <w:szCs w:val="22"/>
              </w:rPr>
            </w:pPr>
            <w:r>
              <w:rPr>
                <w:rFonts w:ascii="Arial Narrow" w:eastAsia="仿宋_GB2312" w:hAnsi="Arial Narrow" w:cs="Arial" w:hint="eastAsia"/>
                <w:sz w:val="22"/>
                <w:szCs w:val="22"/>
              </w:rPr>
              <w:t>LiP SMACKER品牌</w:t>
            </w:r>
            <w:r>
              <w:rPr>
                <w:rFonts w:ascii="Arial Narrow" w:eastAsia="仿宋_GB2312" w:hAnsi="Arial Narrow" w:cs="Arial" w:hint="eastAsia"/>
                <w:sz w:val="22"/>
                <w:szCs w:val="22"/>
              </w:rPr>
              <w:t/>
            </w:r>
          </w:p>
        </w:tc>
        <w:tc>
          <w:tcPr>
            <w:tcW w:w="5798" w:type="dxa"/>
            <w:shd w:val="clear" w:color="auto" w:fill="auto"/>
            <w:vAlign w:val="center"/>
          </w:tcPr>
          <w:p w14:paraId="0D492F37" w14:textId="77777777" w:rsidR="004D1721" w:rsidRDefault="009B16BC">
            <w:pPr>
              <w:jc w:val="center"/>
              <w:rPr>
                <w:rFonts w:ascii="Arial Narrow" w:eastAsia="仿宋_GB2312" w:hAnsi="Arial Narrow" w:cs="Arial"/>
                <w:b/>
                <w:bCs/>
                <w:color w:val="FFFFFF" w:themeColor="background1"/>
                <w:sz w:val="22"/>
                <w:szCs w:val="22"/>
              </w:rPr>
            </w:pPr>
            <w:r>
              <w:rPr>
                <w:noProof/>
              </w:rPr>
              <w:drawing>
                <wp:inline distT="0" distB="0" distL="114300" distR="114300">
                  <wp:extent cx="3334385" cy="2056130"/>
                  <wp:effectExtent l="0" t="0" r="3175" b="1270"/>
                  <wp:docPr id="9" name="图片 9" descr="微信截图_20230728175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截图_20230728175821"/>
                          <pic:cNvPicPr>
                            <a:picLocks noChangeAspect="1"/>
                          </pic:cNvPicPr>
                        </pic:nvPicPr>
                        <pic:blipFill>
                          <a:blip r:embed="rId24"/>
                          <a:stretch>
                            <a:fillRect/>
                          </a:stretch>
                        </pic:blipFill>
                        <pic:spPr>
                          <a:xfrm>
                            <a:off x="0" y="0"/>
                            <a:ext cx="3334385" cy="2056130"/>
                          </a:xfrm>
                          <a:prstGeom prst="rect">
                            <a:avLst/>
                          </a:prstGeom>
                        </pic:spPr>
                      </pic:pic>
                    </a:graphicData>
                  </a:graphic>
                </wp:inline>
              </w:drawing>
            </w:r>
          </w:p>
        </w:tc>
      </w:tr>
    </w:tbl>
    <w:p w14:paraId="173DF06F" w14:textId="77777777" w:rsidR="004D1721" w:rsidRDefault="009B16BC">
      <w:pPr>
        <w:rPr>
          <w:rFonts w:ascii="Arial Narrow" w:eastAsia="仿宋_GB2312" w:hAnsi="Arial Narrow" w:cs="Arial"/>
          <w:i/>
          <w:iCs/>
          <w:sz w:val="16"/>
          <w:szCs w:val="16"/>
        </w:rPr>
      </w:pPr>
      <w:r>
        <w:rPr>
          <w:rFonts w:ascii="Arial Narrow" w:eastAsia="仿宋_GB2312" w:hAnsi="Arial Narrow" w:cs="Arial" w:hint="eastAsia"/>
          <w:i/>
          <w:iCs/>
          <w:sz w:val="16"/>
          <w:szCs w:val="16"/>
        </w:rPr>
        <w:t>信息来源：Markwins 集团官网</w:t>
      </w:r>
      <w:r>
        <w:rPr>
          <w:rFonts w:ascii="Arial Narrow" w:eastAsia="仿宋_GB2312" w:hAnsi="Arial Narrow" w:cs="Arial" w:hint="eastAsia"/>
          <w:i/>
          <w:iCs/>
          <w:sz w:val="16"/>
          <w:szCs w:val="16"/>
        </w:rPr>
        <w:t xml:space="preserve"/>
      </w:r>
      <w:r>
        <w:rPr>
          <w:rFonts w:ascii="Arial Narrow" w:eastAsia="仿宋_GB2312" w:hAnsi="Arial Narrow" w:cs="Arial" w:hint="eastAsia"/>
          <w:i/>
          <w:iCs/>
          <w:sz w:val="16"/>
          <w:szCs w:val="16"/>
        </w:rPr>
        <w:t/>
      </w:r>
    </w:p>
    <w:p w14:paraId="3E3D9097" w14:textId="13A71A86" w:rsidR="004D1721" w:rsidRDefault="009B16BC">
      <w:pPr>
        <w:spacing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下表列示了2023年度松莉科技的具体财务状况。</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AE0C885"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6：松莉科技财务状况</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p>
    <w:tbl>
      <w:tblPr>
        <w:tblW w:w="7087" w:type="dxa"/>
        <w:tblInd w:w="841" w:type="dxa"/>
        <w:tblLayout w:type="fixed"/>
        <w:tblCellMar>
          <w:left w:w="0" w:type="dxa"/>
          <w:right w:w="0" w:type="dxa"/>
        </w:tblCellMar>
        <w:tblLook w:val="04A0" w:firstRow="1" w:lastRow="0" w:firstColumn="1" w:lastColumn="0" w:noHBand="0" w:noVBand="1"/>
      </w:tblPr>
      <w:tblGrid>
        <w:gridCol w:w="2126"/>
        <w:gridCol w:w="2462"/>
        <w:gridCol w:w="2499"/>
      </w:tblGrid>
      <w:tr w:rsidR="004D1721" w14:paraId="626F0251" w14:textId="77777777">
        <w:trPr>
          <w:trHeight w:val="363"/>
        </w:trPr>
        <w:tc>
          <w:tcPr>
            <w:tcW w:w="2126" w:type="dxa"/>
            <w:tcBorders>
              <w:top w:val="single" w:sz="8" w:space="0" w:color="auto"/>
              <w:left w:val="single" w:sz="8" w:space="0" w:color="000000"/>
              <w:bottom w:val="single" w:sz="4" w:space="0" w:color="auto"/>
              <w:right w:val="single" w:sz="4" w:space="0" w:color="auto"/>
            </w:tcBorders>
            <w:shd w:val="clear" w:color="auto" w:fill="002060"/>
            <w:tcMar>
              <w:top w:w="15" w:type="dxa"/>
              <w:left w:w="15" w:type="dxa"/>
              <w:bottom w:w="0" w:type="dxa"/>
              <w:right w:w="15" w:type="dxa"/>
            </w:tcMar>
            <w:vAlign w:val="center"/>
          </w:tcPr>
          <w:p w14:paraId="7C798415"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bCs/>
                <w:color w:val="FFFFFF" w:themeColor="background1"/>
                <w:sz w:val="22"/>
                <w:szCs w:val="22"/>
              </w:rPr>
              <w:t>项目</w:t>
            </w:r>
          </w:p>
        </w:tc>
        <w:tc>
          <w:tcPr>
            <w:tcW w:w="2462" w:type="dxa"/>
            <w:tcBorders>
              <w:top w:val="single" w:sz="8" w:space="0" w:color="auto"/>
              <w:left w:val="single" w:sz="4" w:space="0" w:color="auto"/>
              <w:bottom w:val="single" w:sz="4" w:space="0" w:color="auto"/>
              <w:right w:val="single" w:sz="4" w:space="0" w:color="auto"/>
            </w:tcBorders>
            <w:shd w:val="clear" w:color="auto" w:fill="002060"/>
            <w:tcMar>
              <w:top w:w="15" w:type="dxa"/>
              <w:left w:w="15" w:type="dxa"/>
              <w:bottom w:w="0" w:type="dxa"/>
              <w:right w:w="15" w:type="dxa"/>
            </w:tcMar>
            <w:vAlign w:val="center"/>
          </w:tcPr>
          <w:p w14:paraId="5CCD1DCD"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bCs/>
                <w:color w:val="FFFFFF" w:themeColor="background1"/>
                <w:sz w:val="22"/>
                <w:szCs w:val="22"/>
              </w:rPr>
              <w:t>公式</w:t>
            </w:r>
          </w:p>
        </w:tc>
        <w:tc>
          <w:tcPr>
            <w:tcW w:w="2499" w:type="dxa"/>
            <w:tcBorders>
              <w:top w:val="single" w:sz="8" w:space="0" w:color="000000"/>
              <w:left w:val="single" w:sz="4" w:space="0" w:color="auto"/>
              <w:bottom w:val="single" w:sz="4" w:space="0" w:color="auto"/>
              <w:right w:val="single" w:sz="8" w:space="0" w:color="000000"/>
            </w:tcBorders>
            <w:shd w:val="clear" w:color="auto" w:fill="002060"/>
            <w:tcMar>
              <w:top w:w="15" w:type="dxa"/>
              <w:left w:w="15" w:type="dxa"/>
              <w:bottom w:w="0" w:type="dxa"/>
              <w:right w:w="15" w:type="dxa"/>
            </w:tcMar>
            <w:vAlign w:val="center"/>
          </w:tcPr>
          <w:p w14:paraId="43FD2B32"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bCs/>
                <w:color w:val="FFFFFF" w:themeColor="background1"/>
                <w:sz w:val="22"/>
                <w:szCs w:val="22"/>
              </w:rPr>
              <w:t>金额（人民币元）</w:t>
            </w:r>
            <w:r>
              <w:rPr>
                <w:rFonts w:ascii="Arial Narrow" w:eastAsia="仿宋_GB2312" w:hAnsi="Arial Narrow" w:cs="Arial" w:hint="eastAsia"/>
                <w:b/>
                <w:bCs/>
                <w:color w:val="FFFFFF" w:themeColor="background1"/>
                <w:sz w:val="22"/>
                <w:szCs w:val="22"/>
              </w:rPr>
              <w:t/>
            </w:r>
            <w:r>
              <w:rPr>
                <w:rFonts w:ascii="Arial Narrow" w:eastAsia="仿宋_GB2312" w:hAnsi="Arial Narrow" w:cs="Arial"/>
                <w:b/>
                <w:bCs/>
                <w:color w:val="FFFFFF" w:themeColor="background1"/>
                <w:sz w:val="22"/>
                <w:szCs w:val="22"/>
              </w:rPr>
              <w:t/>
            </w:r>
            <w:r>
              <w:rPr>
                <w:rFonts w:ascii="Arial Narrow" w:eastAsia="仿宋_GB2312" w:hAnsi="Arial Narrow" w:cs="Arial" w:hint="eastAsia"/>
                <w:b/>
                <w:bCs/>
                <w:color w:val="FFFFFF" w:themeColor="background1"/>
                <w:sz w:val="22"/>
                <w:szCs w:val="22"/>
              </w:rPr>
              <w:t/>
            </w:r>
          </w:p>
        </w:tc>
      </w:tr>
      <w:tr w:rsidR="004D1721" w14:paraId="03CC663D"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7B8BF81"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 xml:space="preserve">营业收入 </w:t>
            </w:r>
            <w:r>
              <w:rPr>
                <w:rFonts w:ascii="Arial Narrow" w:eastAsia="仿宋_GB2312" w:hAnsi="Arial Narrow" w:cs="Arial"/>
                <w:color w:val="000000"/>
                <w:sz w:val="22"/>
                <w:szCs w:val="22"/>
              </w:rPr>
              <w:t xml:space="preserve"/>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6597AF26"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a</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0727253E" w14:textId="0CB13EF4"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273,356,327.70</w:t>
            </w:r>
          </w:p>
        </w:tc>
      </w:tr>
      <w:tr w:rsidR="004D1721" w14:paraId="53617F86"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37AD3CD"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营业成本</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2A1C4EAB"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b</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1B02BEE1" w14:textId="06C8D9EE"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243,696,017.20</w:t>
            </w:r>
          </w:p>
        </w:tc>
      </w:tr>
      <w:tr w:rsidR="004D1721" w14:paraId="43CF8D14"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E6623F3"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税金及附加</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0F7E0D2D"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c</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71CC4066" w14:textId="625D3748"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98,278.10</w:t>
            </w:r>
          </w:p>
        </w:tc>
      </w:tr>
      <w:tr w:rsidR="004D1721" w14:paraId="13CA61F2"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0C641435"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销售费用</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7667E3DB"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d</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0A9D4804" w14:textId="2D1EAB5C"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bCs/>
                <w:color w:val="000000"/>
                <w:sz w:val="22"/>
                <w:szCs w:val="22"/>
              </w:rPr>
              <w:t>562,576.46</w:t>
            </w:r>
          </w:p>
        </w:tc>
      </w:tr>
      <w:tr w:rsidR="004D1721" w14:paraId="2B3354A7"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61C4745"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 xml:space="preserve">管理费用 </w:t>
            </w:r>
            <w:r>
              <w:rPr>
                <w:rFonts w:ascii="Arial Narrow" w:eastAsia="仿宋_GB2312" w:hAnsi="Arial Narrow" w:cs="Arial"/>
                <w:color w:val="000000"/>
                <w:sz w:val="22"/>
                <w:szCs w:val="22"/>
              </w:rPr>
              <w:t xml:space="preserve"/>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5E7116A"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e</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5C93BFD6" w14:textId="0CA0B8F9"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15,362,250.31</w:t>
            </w:r>
          </w:p>
        </w:tc>
      </w:tr>
      <w:tr w:rsidR="004D1721" w14:paraId="37DF4DF9"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6B435153"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总成本</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093C202"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f = b+c+d+e</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0F868D16" w14:textId="0CE4E60D" w:rsidR="004D1721" w:rsidRDefault="009B16BC">
            <w:pPr>
              <w:jc w:val="right"/>
              <w:rPr>
                <w:rFonts w:ascii="Arial Narrow" w:eastAsia="仿宋_GB2312" w:hAnsi="Arial Narrow" w:cs="Arial"/>
                <w:bCs/>
                <w:color w:val="000000"/>
                <w:sz w:val="22"/>
                <w:szCs w:val="22"/>
                <w:highlight w:val="yellow"/>
              </w:rPr>
            </w:pPr>
            <w:r w:rsidRPr="005D08A5">
              <w:rPr>
                <w:rFonts w:ascii="Arial Narrow" w:eastAsia="仿宋_GB2312" w:hAnsi="Arial Narrow" w:cs="Arial"/>
                <w:sz w:val="22"/>
                <w:szCs w:val="22"/>
              </w:rPr>
              <w:t xml:space="preserve">259,719,122.07 </w:t>
            </w:r>
          </w:p>
        </w:tc>
      </w:tr>
      <w:tr w:rsidR="004D1721" w14:paraId="069B2392"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0CBF2027"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息税前利润</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B4131B7"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g = a-f</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2F1D0024" w14:textId="445A400A" w:rsidR="004D1721" w:rsidRDefault="009B16BC">
            <w:pPr>
              <w:jc w:val="right"/>
              <w:rPr>
                <w:rFonts w:ascii="Arial Narrow" w:eastAsia="仿宋_GB2312" w:hAnsi="Arial Narrow" w:cs="Arial"/>
                <w:bCs/>
                <w:color w:val="000000"/>
                <w:sz w:val="22"/>
                <w:szCs w:val="22"/>
                <w:highlight w:val="yellow"/>
              </w:rPr>
            </w:pPr>
            <w:r w:rsidRPr="005D08A5">
              <w:rPr>
                <w:rFonts w:ascii="Arial Narrow" w:eastAsia="仿宋_GB2312" w:hAnsi="Arial Narrow" w:cs="Arial"/>
                <w:sz w:val="22"/>
                <w:szCs w:val="22"/>
              </w:rPr>
              <w:t xml:space="preserve">13,637,205.63 </w:t>
            </w:r>
          </w:p>
        </w:tc>
      </w:tr>
      <w:tr w:rsidR="004D1721" w14:paraId="62F027F1" w14:textId="77777777">
        <w:trPr>
          <w:trHeight w:val="363"/>
        </w:trPr>
        <w:tc>
          <w:tcPr>
            <w:tcW w:w="2126"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vAlign w:val="center"/>
          </w:tcPr>
          <w:p w14:paraId="08B05E40" w14:textId="77777777" w:rsidR="004D1721" w:rsidRDefault="009B16BC">
            <w:pP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完全成本加成率</w:t>
            </w:r>
          </w:p>
        </w:tc>
        <w:tc>
          <w:tcPr>
            <w:tcW w:w="2462" w:type="dxa"/>
            <w:tcBorders>
              <w:top w:val="single" w:sz="4" w:space="0" w:color="auto"/>
              <w:left w:val="single" w:sz="4" w:space="0" w:color="auto"/>
              <w:bottom w:val="single" w:sz="8" w:space="0" w:color="000000"/>
              <w:right w:val="single" w:sz="4" w:space="0" w:color="auto"/>
            </w:tcBorders>
            <w:shd w:val="clear" w:color="auto" w:fill="auto"/>
            <w:tcMar>
              <w:top w:w="15" w:type="dxa"/>
              <w:left w:w="15" w:type="dxa"/>
              <w:bottom w:w="0" w:type="dxa"/>
              <w:right w:w="15" w:type="dxa"/>
            </w:tcMar>
            <w:vAlign w:val="center"/>
          </w:tcPr>
          <w:p w14:paraId="711C784A"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h = g/f</w:t>
            </w:r>
          </w:p>
        </w:tc>
        <w:tc>
          <w:tcPr>
            <w:tcW w:w="2499" w:type="dxa"/>
            <w:tcBorders>
              <w:top w:val="single" w:sz="4" w:space="0" w:color="auto"/>
              <w:left w:val="single" w:sz="4" w:space="0" w:color="auto"/>
              <w:bottom w:val="single" w:sz="8" w:space="0" w:color="000000"/>
              <w:right w:val="single" w:sz="8" w:space="0" w:color="000000"/>
            </w:tcBorders>
            <w:shd w:val="clear" w:color="auto" w:fill="auto"/>
            <w:tcMar>
              <w:top w:w="15" w:type="dxa"/>
              <w:left w:w="15" w:type="dxa"/>
              <w:bottom w:w="0" w:type="dxa"/>
              <w:right w:w="15" w:type="dxa"/>
            </w:tcMar>
            <w:vAlign w:val="center"/>
          </w:tcPr>
          <w:p w14:paraId="6C3FB42E" w14:textId="555785C4" w:rsidR="004D1721" w:rsidRDefault="009B16BC">
            <w:pPr>
              <w:jc w:val="right"/>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5.25%</w:t>
            </w:r>
          </w:p>
        </w:tc>
      </w:tr>
    </w:tbl>
    <w:p w14:paraId="323943A9" w14:textId="19B38AA5" w:rsidR="004D1721" w:rsidRDefault="009B16BC">
      <w:pPr>
        <w:ind w:left="840"/>
        <w:rPr>
          <w:rFonts w:ascii="Arial Narrow" w:eastAsia="仿宋_GB2312" w:hAnsi="Arial Narrow" w:cs="Arial"/>
          <w:i/>
          <w:iCs/>
          <w:sz w:val="16"/>
          <w:szCs w:val="16"/>
        </w:rPr>
      </w:pPr>
      <w:r>
        <w:rPr>
          <w:rFonts w:ascii="Arial Narrow" w:eastAsia="仿宋_GB2312" w:hAnsi="Arial Narrow" w:cs="Arial"/>
          <w:i/>
          <w:iCs/>
          <w:sz w:val="16"/>
          <w:szCs w:val="16"/>
        </w:rPr>
        <w:t>信息来源：松莉科技2023年度审计报告</w:t>
      </w:r>
      <w:r>
        <w:rPr>
          <w:rFonts w:ascii="Arial Narrow" w:eastAsia="仿宋_GB2312" w:hAnsi="Arial Narrow" w:cs="Arial"/>
          <w:i/>
          <w:iCs/>
          <w:sz w:val="16"/>
          <w:szCs w:val="16"/>
        </w:rPr>
        <w:t/>
      </w:r>
      <w:r>
        <w:rPr>
          <w:rFonts w:ascii="Arial Narrow" w:eastAsia="仿宋_GB2312" w:hAnsi="Arial Narrow" w:cs="Arial" w:hint="eastAsia"/>
          <w:i/>
          <w:iCs/>
          <w:sz w:val="16"/>
          <w:szCs w:val="16"/>
        </w:rPr>
        <w:t/>
      </w:r>
      <w:r>
        <w:rPr>
          <w:rFonts w:ascii="Arial Narrow" w:eastAsia="仿宋_GB2312" w:hAnsi="Arial Narrow" w:cs="Arial"/>
          <w:i/>
          <w:iCs/>
          <w:sz w:val="16"/>
          <w:szCs w:val="16"/>
        </w:rPr>
        <w:t/>
      </w:r>
      <w:bookmarkEnd w:id="230"/>
      <w:bookmarkEnd w:id="231"/>
    </w:p>
    <w:p w14:paraId="51D008D8" w14:textId="77777777" w:rsidR="004D1721" w:rsidRDefault="009B16BC">
      <w:pPr>
        <w:pStyle w:val="Heading2"/>
        <w:rPr>
          <w:b/>
          <w:bCs/>
        </w:rPr>
      </w:pPr>
      <w:bookmarkStart w:id="237" w:name="_Toc53229058"/>
      <w:bookmarkStart w:id="238" w:name="_Toc140505112"/>
      <w:r>
        <w:t>本年度重大变化事项</w:t>
      </w:r>
      <w:bookmarkEnd w:id="237"/>
      <w:bookmarkEnd w:id="238"/>
    </w:p>
    <w:p w14:paraId="34F02195"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sectPr w:rsidR="004D1721">
          <w:pgSz w:w="11907" w:h="16839"/>
          <w:pgMar w:top="1440" w:right="1800" w:bottom="1440" w:left="1800" w:header="709" w:footer="709" w:gutter="0"/>
          <w:cols w:space="720"/>
          <w:docGrid w:type="lines" w:linePitch="360"/>
        </w:sectPr>
      </w:pPr>
      <w:r>
        <w:rPr>
          <w:rFonts w:ascii="Arial Narrow" w:eastAsia="仿宋_GB2312" w:hAnsi="Arial Narrow" w:cs="Arial"/>
          <w:sz w:val="22"/>
          <w:szCs w:val="22"/>
        </w:rPr>
        <w:t>评估期间，松莉科技未发生重组和无形资产转让的情况，无重大对外投资，也无关联股权转让。企业的经营状况未受到重大影响 。</w:t>
      </w:r>
      <w:r>
        <w:rPr>
          <w:rFonts w:ascii="Arial Narrow" w:eastAsia="仿宋_GB2312" w:hAnsi="Arial Narrow" w:cs="Arial"/>
          <w:sz w:val="22"/>
          <w:szCs w:val="22"/>
        </w:rPr>
        <w:t xml:space="preserve"/>
      </w:r>
      <w:bookmarkStart w:id="239" w:name="_Toc261811243"/>
      <w:bookmarkStart w:id="240" w:name="_Toc262024930"/>
      <w:bookmarkEnd w:id="232"/>
      <w:bookmarkEnd w:id="233"/>
      <w:bookmarkEnd w:id="234"/>
      <w:r>
        <w:rPr>
          <w:rFonts w:ascii="Arial Narrow" w:eastAsia="仿宋_GB2312" w:hAnsi="Arial Narrow" w:cs="Arial"/>
          <w:sz w:val="22"/>
          <w:szCs w:val="22"/>
        </w:rPr>
        <w:t/>
      </w:r>
      <w:bookmarkEnd w:id="239"/>
      <w:bookmarkEnd w:id="240"/>
    </w:p>
    <w:p w14:paraId="7B45262B" w14:textId="77777777" w:rsidR="004D1721" w:rsidRDefault="009B16BC">
      <w:pPr>
        <w:pStyle w:val="Heading1"/>
        <w:rPr>
          <w:b/>
        </w:rPr>
      </w:pPr>
      <w:bookmarkStart w:id="241" w:name="_Toc274409435"/>
      <w:bookmarkStart w:id="242" w:name="_Toc274409330"/>
      <w:bookmarkStart w:id="243" w:name="_Toc274409649"/>
      <w:bookmarkStart w:id="244" w:name="_Toc274480764"/>
      <w:bookmarkStart w:id="245" w:name="_Toc274409647"/>
      <w:bookmarkStart w:id="246" w:name="_Toc274409331"/>
      <w:bookmarkStart w:id="247" w:name="_Toc274480766"/>
      <w:bookmarkStart w:id="248" w:name="_Toc274409436"/>
      <w:bookmarkStart w:id="249" w:name="_Toc274409755"/>
      <w:bookmarkStart w:id="250" w:name="_Toc274409648"/>
      <w:bookmarkStart w:id="251" w:name="_Toc274409113"/>
      <w:bookmarkStart w:id="252" w:name="_Toc274409329"/>
      <w:bookmarkStart w:id="253" w:name="_Toc274409111"/>
      <w:bookmarkStart w:id="254" w:name="_Toc274409756"/>
      <w:bookmarkStart w:id="255" w:name="_Toc274409437"/>
      <w:bookmarkStart w:id="256" w:name="_Toc274409757"/>
      <w:bookmarkStart w:id="257" w:name="_Toc274480765"/>
      <w:bookmarkStart w:id="258" w:name="_Toc274409112"/>
      <w:bookmarkStart w:id="259" w:name="_Toc53229059"/>
      <w:bookmarkStart w:id="260" w:name="_Toc140505113"/>
      <w:bookmarkStart w:id="261" w:name="_Toc274825225"/>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r>
        <w:lastRenderedPageBreak/>
        <w:t>行业分析</w:t>
      </w:r>
      <w:bookmarkEnd w:id="259"/>
      <w:bookmarkEnd w:id="260"/>
    </w:p>
    <w:p w14:paraId="26D6460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262" w:name="_Toc48317225"/>
      <w:bookmarkStart w:id="263" w:name="_Toc48317226"/>
      <w:bookmarkStart w:id="264" w:name="_Toc48317410"/>
      <w:bookmarkStart w:id="265" w:name="_Toc48317428"/>
      <w:bookmarkStart w:id="266" w:name="_Toc48399549"/>
      <w:bookmarkStart w:id="267" w:name="_Toc48582945"/>
      <w:bookmarkStart w:id="268" w:name="_Toc49961710"/>
      <w:bookmarkStart w:id="269" w:name="_Toc48582542"/>
      <w:bookmarkStart w:id="270" w:name="_Toc48399550"/>
      <w:bookmarkStart w:id="271" w:name="_Toc50477739"/>
      <w:bookmarkStart w:id="272" w:name="_Toc48582946"/>
      <w:bookmarkStart w:id="273" w:name="_Toc48582962"/>
      <w:bookmarkStart w:id="274" w:name="_Toc48582953"/>
      <w:bookmarkStart w:id="275" w:name="_Toc48582955"/>
      <w:bookmarkStart w:id="276" w:name="_Toc48317131"/>
      <w:bookmarkStart w:id="277" w:name="_Toc48399548"/>
      <w:bookmarkStart w:id="278" w:name="_Toc48317227"/>
      <w:bookmarkStart w:id="279" w:name="_Toc48317419"/>
      <w:bookmarkStart w:id="280" w:name="_Toc48582549"/>
      <w:bookmarkStart w:id="281" w:name="_Toc48582540"/>
      <w:bookmarkStart w:id="282" w:name="_Toc48317117"/>
      <w:bookmarkStart w:id="283" w:name="_Toc48399557"/>
      <w:bookmarkStart w:id="284" w:name="_Toc75432520"/>
      <w:bookmarkStart w:id="285" w:name="_Toc48317421"/>
      <w:bookmarkStart w:id="286" w:name="_Toc48582532"/>
      <w:bookmarkStart w:id="287" w:name="_Toc48399559"/>
      <w:bookmarkStart w:id="288" w:name="_Toc48582543"/>
      <w:bookmarkStart w:id="289" w:name="_Toc48317422"/>
      <w:bookmarkStart w:id="290" w:name="_Toc48399566"/>
      <w:bookmarkStart w:id="291" w:name="_Toc48582531"/>
      <w:bookmarkStart w:id="292" w:name="_Toc48582944"/>
      <w:bookmarkStart w:id="293" w:name="_Toc48317119"/>
      <w:bookmarkStart w:id="294" w:name="_Toc48582956"/>
      <w:bookmarkStart w:id="295" w:name="_Toc48317237"/>
      <w:bookmarkStart w:id="296" w:name="_Toc75191535"/>
      <w:bookmarkStart w:id="297" w:name="_Toc50038991"/>
      <w:bookmarkStart w:id="298" w:name="_Toc48317412"/>
      <w:bookmarkStart w:id="299" w:name="_Toc48317118"/>
      <w:bookmarkStart w:id="300" w:name="_Toc48317236"/>
      <w:bookmarkStart w:id="301" w:name="_Toc48317125"/>
      <w:bookmarkStart w:id="302" w:name="_Toc48317124"/>
      <w:bookmarkStart w:id="303" w:name="_Toc48399560"/>
      <w:bookmarkStart w:id="304" w:name="_Toc48317411"/>
      <w:bookmarkStart w:id="305" w:name="_Toc48317243"/>
      <w:bookmarkStart w:id="306" w:name="_Toc48582533"/>
      <w:bookmarkStart w:id="307" w:name="_Toc48317234"/>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r>
        <w:rPr>
          <w:rFonts w:ascii="Arial Narrow" w:eastAsia="仿宋_GB2312" w:hAnsi="Arial Narrow"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Fonts w:ascii="Arial Narrow" w:eastAsia="仿宋_GB2312" w:hAnsi="Arial Narrow" w:cs="Arial"/>
          <w:sz w:val="22"/>
          <w:szCs w:val="22"/>
        </w:rPr>
        <w:t/>
      </w:r>
      <w:r>
        <w:rPr>
          <w:rFonts w:ascii="Arial Narrow" w:eastAsia="仿宋_GB2312" w:hAnsi="Arial Narrow" w:cs="Arial"/>
          <w:sz w:val="22"/>
          <w:szCs w:val="22"/>
        </w:rPr>
        <w:t/>
      </w:r>
      <w:r>
        <w:rPr>
          <w:rStyle w:val="FootnoteReference"/>
          <w:rFonts w:ascii="Arial Narrow" w:eastAsia="仿宋_GB2312" w:hAnsi="Arial Narrow" w:cs="Arial"/>
          <w:sz w:val="22"/>
          <w:szCs w:val="22"/>
        </w:rPr>
        <w:footnoteReference w:id="2"/>
        <w:t/>
      </w:r>
      <w:r>
        <w:rPr>
          <w:rFonts w:ascii="Arial Narrow" w:eastAsia="仿宋_GB2312" w:hAnsi="Arial Narrow" w:cs="Arial"/>
          <w:sz w:val="22"/>
          <w:szCs w:val="22"/>
        </w:rPr>
        <w:t xml:space="preserve"/>
      </w:r>
    </w:p>
    <w:p w14:paraId="7F72853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因此，我们将对松莉科技相关的行业领域，即化妆品行业，进行分析。分析的具体方面如下：</w:t>
      </w:r>
      <w:r>
        <w:rPr>
          <w:rFonts w:ascii="Arial Narrow" w:eastAsia="仿宋_GB2312" w:hAnsi="Arial Narrow" w:cs="Arial" w:hint="eastAsia"/>
          <w:sz w:val="22"/>
          <w:szCs w:val="22"/>
        </w:rPr>
        <w:t/>
      </w:r>
      <w:r>
        <w:rPr>
          <w:rFonts w:ascii="Arial Narrow" w:eastAsia="仿宋_GB2312" w:hAnsi="Arial Narrow" w:cs="Arial"/>
          <w:sz w:val="22"/>
          <w:szCs w:val="22"/>
        </w:rPr>
        <w:t/>
      </w:r>
    </w:p>
    <w:p w14:paraId="676D2755" w14:textId="77777777" w:rsidR="004D1721" w:rsidRDefault="009B16BC">
      <w:pPr>
        <w:pStyle w:val="ListParagraph"/>
        <w:numPr>
          <w:ilvl w:val="0"/>
          <w:numId w:val="18"/>
        </w:numPr>
      </w:pPr>
      <w:r>
        <w:t>化妆品行业分析；</w:t>
      </w:r>
    </w:p>
    <w:p w14:paraId="618AC311" w14:textId="77777777" w:rsidR="004D1721" w:rsidRDefault="009B16BC">
      <w:pPr>
        <w:pStyle w:val="ListParagraph"/>
        <w:numPr>
          <w:ilvl w:val="0"/>
          <w:numId w:val="18"/>
        </w:numPr>
      </w:pPr>
      <w:r>
        <w:t>化妆品代加工行业分析；</w:t>
      </w:r>
    </w:p>
    <w:p w14:paraId="236A3F31" w14:textId="77777777" w:rsidR="004D1721" w:rsidRDefault="009B16BC">
      <w:pPr>
        <w:pStyle w:val="ListParagraph"/>
        <w:numPr>
          <w:ilvl w:val="0"/>
          <w:numId w:val="18"/>
        </w:numPr>
      </w:pPr>
      <w:r>
        <w:t>结论。</w:t>
      </w:r>
    </w:p>
    <w:p w14:paraId="3E06F060" w14:textId="77777777" w:rsidR="004D1721" w:rsidRDefault="009B16BC">
      <w:pPr>
        <w:pStyle w:val="Heading2"/>
      </w:pPr>
      <w:bookmarkStart w:id="308" w:name="_Toc106357747"/>
      <w:bookmarkStart w:id="309" w:name="_Toc140505114"/>
      <w:r>
        <w:t>化妆品行业分析</w:t>
      </w:r>
      <w:bookmarkEnd w:id="308"/>
      <w:bookmarkEnd w:id="309"/>
    </w:p>
    <w:p w14:paraId="60DCA28F" w14:textId="77777777" w:rsidR="004D1721" w:rsidRDefault="009B16BC">
      <w:pPr>
        <w:pStyle w:val="Heading3"/>
        <w:rPr>
          <w:b/>
          <w:bCs/>
        </w:rPr>
      </w:pPr>
      <w:bookmarkStart w:id="310" w:name="_Toc106357748"/>
      <w:bookmarkStart w:id="311" w:name="_Toc140505115"/>
      <w:r>
        <w:t>化妆品概述</w:t>
      </w:r>
      <w:bookmarkEnd w:id="310"/>
      <w:bookmarkEnd w:id="311"/>
    </w:p>
    <w:p w14:paraId="0B5520A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化妆品是指以涂抹、喷洒或者其他类似方法，散布于人体表面的任何部位，如皮肤、毛发、指趾甲、唇齿等，以达到清洁、保养、美容、修饰和改变外观，或者修正人体气味，保持良好状态为目的的化学工业品或精细化工产品。</w:t>
      </w:r>
      <w:r>
        <w:rPr>
          <w:rStyle w:val="FootnoteReference"/>
          <w:rFonts w:ascii="Arial Narrow" w:eastAsia="仿宋_GB2312" w:hAnsi="Arial Narrow" w:cs="Arial"/>
          <w:sz w:val="22"/>
          <w:szCs w:val="22"/>
        </w:rPr>
        <w:footnoteReference w:id="3"/>
        <w:t/>
      </w:r>
    </w:p>
    <w:p w14:paraId="4734021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化妆品按效果分类主要可分为如下五个类别：</w:t>
      </w:r>
    </w:p>
    <w:p w14:paraId="31420181" w14:textId="77777777" w:rsidR="004D1721" w:rsidRDefault="009B16BC">
      <w:pPr>
        <w:pStyle w:val="ListParagraph"/>
        <w:numPr>
          <w:ilvl w:val="0"/>
          <w:numId w:val="18"/>
        </w:numPr>
      </w:pPr>
      <w:r>
        <w:t>清洁型：用来洗净皮肤；</w:t>
      </w:r>
    </w:p>
    <w:p w14:paraId="4C408C14" w14:textId="77777777" w:rsidR="004D1721" w:rsidRDefault="009B16BC">
      <w:pPr>
        <w:pStyle w:val="ListParagraph"/>
        <w:numPr>
          <w:ilvl w:val="0"/>
          <w:numId w:val="18"/>
        </w:numPr>
      </w:pPr>
      <w:r>
        <w:t>护肤型：这类化妆品如清洁霜、洗面奶、浴剂、洗发护发剂、剃须膏等；</w:t>
      </w:r>
    </w:p>
    <w:p w14:paraId="634AA96A" w14:textId="77777777" w:rsidR="004D1721" w:rsidRDefault="009B16BC">
      <w:pPr>
        <w:pStyle w:val="ListParagraph"/>
        <w:numPr>
          <w:ilvl w:val="0"/>
          <w:numId w:val="18"/>
        </w:numPr>
      </w:pPr>
      <w:r>
        <w:t>基础型：化妆前，对面部头发的基础处理。这类化妆品如各种面霜、蜜、化妆水、面膜、发乳、发胶等定发剂；</w:t>
      </w:r>
    </w:p>
    <w:p w14:paraId="425232A8" w14:textId="77777777" w:rsidR="004D1721" w:rsidRDefault="009B16BC">
      <w:pPr>
        <w:pStyle w:val="ListParagraph"/>
        <w:numPr>
          <w:ilvl w:val="0"/>
          <w:numId w:val="18"/>
        </w:numPr>
      </w:pPr>
      <w:r>
        <w:t>美容型：用于面部及头发的美化用品。这类化妆品指胭脂，口红，眼影，头发染烫、发型处理、固定等用品；</w:t>
      </w:r>
    </w:p>
    <w:p w14:paraId="666E2721" w14:textId="77777777" w:rsidR="004D1721" w:rsidRDefault="009B16BC">
      <w:pPr>
        <w:pStyle w:val="ListParagraph"/>
        <w:numPr>
          <w:ilvl w:val="0"/>
          <w:numId w:val="18"/>
        </w:numPr>
      </w:pPr>
      <w:r>
        <w:lastRenderedPageBreak/>
        <w:t>疗效型：介于药品与化妆品之间的日化用品。这类化妆品如清凉剂、除臭剂、育毛剂、除毛剂、染毛剂、驱虫剂、橄榄精华等。</w:t>
      </w:r>
    </w:p>
    <w:p w14:paraId="2ADFFD7F" w14:textId="77777777" w:rsidR="004D1721" w:rsidRDefault="009B16BC">
      <w:pPr>
        <w:spacing w:beforeLines="50" w:before="180" w:afterLines="50" w:after="180" w:line="360" w:lineRule="auto"/>
        <w:ind w:firstLineChars="200" w:firstLine="440"/>
        <w:jc w:val="both"/>
        <w:rPr>
          <w:rFonts w:ascii="Arial Narrow" w:eastAsia="仿宋_GB2312" w:hAnsi="Arial Narrow" w:cs="Arial"/>
          <w:i/>
          <w:sz w:val="16"/>
          <w:szCs w:val="16"/>
        </w:rPr>
      </w:pPr>
      <w:r>
        <w:rPr>
          <w:rFonts w:ascii="Arial Narrow" w:eastAsia="仿宋_GB2312" w:hAnsi="Arial Narrow" w:cs="Arial"/>
          <w:sz w:val="22"/>
          <w:szCs w:val="22"/>
        </w:rPr>
        <w:t>由于化妆品与人体接触的特殊属性，化妆品的生产流程也如同可食用或能够直接接触身体的产品的生产流程一样，受到相关法律法规监管束缚。</w:t>
      </w:r>
    </w:p>
    <w:p w14:paraId="6E0CC92D" w14:textId="77777777" w:rsidR="004D1721" w:rsidRDefault="009B16BC">
      <w:pPr>
        <w:pStyle w:val="Heading3"/>
      </w:pPr>
      <w:bookmarkStart w:id="312" w:name="_Toc106357749"/>
      <w:bookmarkStart w:id="313" w:name="_Toc140505116"/>
      <w:r>
        <w:t>全球化妆品行业分析</w:t>
      </w:r>
      <w:bookmarkEnd w:id="312"/>
      <w:bookmarkEnd w:id="313"/>
    </w:p>
    <w:p w14:paraId="7B8EAD9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护肤品按照使用部位不同分为面部护肤品、身体护肤品、手部护肤品和护肤套装产品，根据欧睿信息咨询公布的统计数据显示，目前全球市场规模最大的护肤产品为面部护肤品。</w:t>
      </w:r>
    </w:p>
    <w:p w14:paraId="2BA68FF0" w14:textId="2D745BEE"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2010-2015年，全球经济放缓导致化妆品市场规模增速明显走低，2015年甚至出现负增长的情况，原因是欧元区需求不振及南美经济出现严重下滑。2016年以后，全球化妆品市场迎来触底反弹，扭转了此前的发展颓势。2020年，受到疫情影响，全球化妆品市场规模收缩，市场增长下降3.92%，但总体市场规模仍然保持在4800亿美元以上。2021-2023年，全球化妆品市场规模快速回升，2023年全球化妆品市场规模达到近十年最大值，为6,070.0亿美元。</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2FECBD6F" w14:textId="28D8654E"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7：2021-2026年全球化妆品市场规模情况（单位：亿美元）&amp;</w:t>
      </w:r>
      <w:r>
        <w:rPr>
          <w:rFonts w:ascii="Arial Narrow" w:eastAsia="仿宋_GB2312" w:hAnsi="Arial Narrow" w:cs="Arial"/>
          <w:sz w:val="22"/>
        </w:rPr>
        <w:t xml:space="preserve"/>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r>
        <w:rPr>
          <w:rStyle w:val="FootnoteReference"/>
          <w:rFonts w:ascii="Arial Narrow" w:eastAsia="仿宋_GB2312" w:hAnsi="Arial Narrow" w:cs="Arial"/>
          <w:sz w:val="22"/>
        </w:rPr>
        <w:footnoteReference w:id="4"/>
        <w:t/>
      </w:r>
      <w:r>
        <w:rPr>
          <w:rStyle w:val="FootnoteReference"/>
        </w:rPr>
        <w:t/>
      </w:r>
      <w:r>
        <w:rPr>
          <w:rStyle w:val="FootnoteReference"/>
          <w:rFonts w:ascii="Arial Narrow" w:eastAsia="仿宋_GB2312" w:hAnsi="Arial Narrow" w:cs="Arial"/>
          <w:sz w:val="22"/>
        </w:rPr>
        <w:footnoteReference w:id="5"/>
        <w:t/>
      </w:r>
    </w:p>
    <w:p w14:paraId="027BF5E6" w14:textId="77777777" w:rsidR="004D1721" w:rsidRDefault="009B16BC">
      <w:pPr>
        <w:jc w:val="center"/>
        <w:rPr>
          <w:rFonts w:ascii="Arial Narrow" w:hAnsi="Arial Narrow"/>
        </w:rPr>
      </w:pPr>
      <w:r>
        <w:rPr>
          <w:rFonts w:ascii="Arial Narrow" w:eastAsia="仿宋_GB2312" w:hAnsi="Arial Narrow" w:cs="Arial"/>
          <w:b/>
          <w:noProof/>
          <w:color w:val="000000" w:themeColor="text1"/>
          <w:sz w:val="22"/>
        </w:rPr>
        <w:drawing>
          <wp:inline distT="0" distB="0" distL="0" distR="0">
            <wp:extent cx="4467225" cy="2219325"/>
            <wp:effectExtent l="0" t="0" r="9525" b="9525"/>
            <wp:docPr id="4" name="图表 4"/>
            <wp:cNvGraphicFramePr/>
            <a:graphic xmlns:a="http://schemas.openxmlformats.org/drawingml/2006/main">
              <a:graphicData uri="http://schemas.openxmlformats.org/drawingml/2006/chart">
                <c:chart xmlns:c="http://schemas.openxmlformats.org/drawingml/2006/chart" r:id="rId25"/>
              </a:graphicData>
            </a:graphic>
          </wp:inline>
        </w:drawing>
      </w:r>
    </w:p>
    <w:p w14:paraId="3C1D93B9" w14:textId="62736C1A" w:rsidR="004D1721" w:rsidRDefault="009B16BC" w:rsidP="005D08A5">
      <w:pPr>
        <w:spacing w:beforeLines="50" w:before="180" w:afterLines="50" w:after="180" w:line="360" w:lineRule="auto"/>
        <w:ind w:firstLineChars="200" w:firstLine="440"/>
        <w:jc w:val="both"/>
        <w:rPr>
          <w:rFonts w:ascii="Arial Narrow" w:eastAsia="仿宋_GB2312" w:hAnsi="Arial Narrow" w:cs="Arial"/>
          <w:b/>
          <w:bCs/>
          <w:sz w:val="22"/>
        </w:rPr>
      </w:pPr>
      <w:r>
        <w:rPr>
          <w:rFonts w:ascii="Arial Narrow" w:eastAsia="仿宋_GB2312" w:hAnsi="Arial Narrow" w:cs="Arial" w:hint="eastAsia"/>
          <w:sz w:val="22"/>
          <w:szCs w:val="22"/>
        </w:rPr>
        <w:lastRenderedPageBreak/>
        <w:t>2011-2023年，护肤类产品销售占比始终保持第一位，2023年护肤类产品市场规模占比36.9%，市场规模为2,239.83亿美元。护发用品销售占比第二，占比22.7%，市场规模为1,377.89亿美元；彩妆市场及香水市场规模占比分别为18.3%及11.9%，市场规模分别为1,110.81亿美元及722.33亿美元。</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p>
    <w:p w14:paraId="55B8E657" w14:textId="01071810" w:rsidR="004D1721" w:rsidRDefault="009B16BC">
      <w:pPr>
        <w:adjustRightInd w:val="0"/>
        <w:snapToGrid w:val="0"/>
        <w:spacing w:before="240" w:after="240"/>
        <w:ind w:firstLine="475"/>
        <w:jc w:val="center"/>
        <w:rPr>
          <w:rFonts w:ascii="Arial Narrow" w:eastAsia="仿宋_GB2312" w:hAnsi="Arial Narrow"/>
          <w:b/>
        </w:rPr>
      </w:pPr>
      <w:r>
        <w:rPr>
          <w:rFonts w:ascii="Arial Narrow" w:eastAsia="仿宋_GB2312" w:hAnsi="Arial Narrow" w:cs="Arial"/>
          <w:b/>
          <w:bCs/>
          <w:sz w:val="22"/>
        </w:rPr>
        <w:t>图表 8：2023年全球化妆品消费国市场份额</w:t>
      </w:r>
      <w:r>
        <w:rPr>
          <w:rFonts w:ascii="Arial Narrow" w:eastAsia="仿宋_GB2312" w:hAnsi="Arial Narrow" w:cs="Arial"/>
          <w:b/>
          <w:bCs/>
          <w:sz w:val="22"/>
        </w:rPr>
        <w:t xml:space="preserve"/>
      </w:r>
      <w:r>
        <w:rPr>
          <w:rFonts w:ascii="Arial Narrow" w:eastAsia="仿宋_GB2312" w:hAnsi="Arial Narrow" w:cs="Arial"/>
          <w:b/>
          <w:bCs/>
          <w:sz w:val="22"/>
        </w:rPr>
        <w:t/>
      </w:r>
      <w:r>
        <w:rPr>
          <w:rFonts w:ascii="Arial Narrow" w:eastAsia="仿宋_GB2312" w:hAnsi="Arial Narrow" w:cs="Arial"/>
          <w:b/>
          <w:bCs/>
          <w:sz w:val="22"/>
        </w:rPr>
        <w:t/>
      </w:r>
      <w:r>
        <w:rPr>
          <w:rFonts w:ascii="Arial Narrow" w:eastAsia="仿宋_GB2312" w:hAnsi="Arial Narrow" w:cs="Arial" w:hint="eastAsia"/>
          <w:b/>
          <w:bCs/>
          <w:sz w:val="22"/>
        </w:rPr>
        <w:t/>
      </w:r>
      <w:r>
        <w:rPr>
          <w:rFonts w:ascii="Arial Narrow" w:eastAsia="仿宋_GB2312" w:hAnsi="Arial Narrow" w:cs="Arial"/>
          <w:b/>
          <w:bCs/>
          <w:sz w:val="22"/>
        </w:rPr>
        <w:t/>
      </w:r>
      <w:r>
        <w:rPr>
          <w:rStyle w:val="FootnoteReference"/>
          <w:rFonts w:ascii="Arial Narrow" w:eastAsia="仿宋_GB2312" w:hAnsi="Arial Narrow"/>
        </w:rPr>
        <w:footnoteReference w:id="6"/>
        <w:t/>
      </w:r>
    </w:p>
    <w:p w14:paraId="4AA11882" w14:textId="1DEA9435" w:rsidR="004D1721" w:rsidRDefault="009B16BC" w:rsidP="005D08A5">
      <w:pPr>
        <w:adjustRightInd w:val="0"/>
        <w:snapToGrid w:val="0"/>
        <w:spacing w:before="240" w:after="240"/>
        <w:ind w:firstLine="475"/>
        <w:rPr>
          <w:rFonts w:ascii="Arial Narrow" w:eastAsia="仿宋_GB2312" w:hAnsi="Arial Narrow" w:cs="Arial"/>
          <w:b/>
          <w:bCs/>
          <w:sz w:val="22"/>
        </w:rPr>
      </w:pPr>
      <w:r w:rsidRPr="005D08A5">
        <w:rPr>
          <w:rFonts w:ascii="Arial Narrow" w:eastAsia="仿宋_GB2312" w:hAnsi="Arial Narrow" w:cs="Arial"/>
          <w:noProof/>
          <w:color w:val="000000" w:themeColor="text1"/>
          <w:sz w:val="22"/>
        </w:rPr>
        <w:drawing>
          <wp:inline distT="0" distB="0" distL="0" distR="0">
            <wp:extent cx="5043170" cy="2212975"/>
            <wp:effectExtent l="4445" t="4445" r="12065" b="7620"/>
            <wp:docPr id="10" name="图表 10"/>
            <wp:cNvGraphicFramePr/>
            <a:graphic xmlns:a="http://schemas.openxmlformats.org/drawingml/2006/main">
              <a:graphicData uri="http://schemas.openxmlformats.org/drawingml/2006/chart">
                <c:chart xmlns:c="http://schemas.openxmlformats.org/drawingml/2006/chart" r:id="rId26"/>
              </a:graphicData>
            </a:graphic>
          </wp:inline>
        </w:drawing>
      </w:r>
      <w:bookmarkStart w:id="314" w:name="_Toc105453304"/>
      <w:bookmarkStart w:id="315" w:name="_Toc77264701"/>
    </w:p>
    <w:p w14:paraId="21360473" w14:textId="4B448564" w:rsidR="004D1721" w:rsidRDefault="009B16BC">
      <w:pPr>
        <w:adjustRightInd w:val="0"/>
        <w:snapToGrid w:val="0"/>
        <w:spacing w:before="240" w:after="240"/>
        <w:ind w:firstLine="475"/>
        <w:jc w:val="center"/>
        <w:rPr>
          <w:rFonts w:ascii="Arial Narrow" w:eastAsia="仿宋_GB2312" w:hAnsi="Arial Narrow"/>
          <w:b/>
        </w:rPr>
      </w:pPr>
      <w:r>
        <w:rPr>
          <w:rFonts w:ascii="Arial Narrow" w:eastAsia="仿宋_GB2312" w:hAnsi="Arial Narrow" w:cs="Arial"/>
          <w:b/>
          <w:bCs/>
          <w:sz w:val="22"/>
        </w:rPr>
        <w:t>图表 9：2023年全球化妆品产品结构</w:t>
      </w:r>
      <w:r>
        <w:rPr>
          <w:rFonts w:ascii="Arial Narrow" w:eastAsia="仿宋_GB2312" w:hAnsi="Arial Narrow" w:cs="Arial"/>
          <w:b/>
          <w:bCs/>
          <w:sz w:val="22"/>
        </w:rPr>
        <w:t xml:space="preserve"/>
      </w:r>
      <w:r>
        <w:rPr>
          <w:rFonts w:ascii="Arial Narrow" w:eastAsia="仿宋_GB2312" w:hAnsi="Arial Narrow" w:cs="Arial"/>
          <w:b/>
          <w:bCs/>
          <w:sz w:val="22"/>
        </w:rPr>
        <w:t/>
      </w:r>
      <w:r>
        <w:rPr>
          <w:rFonts w:ascii="Arial Narrow" w:eastAsia="仿宋_GB2312" w:hAnsi="Arial Narrow" w:cs="Arial"/>
          <w:b/>
          <w:bCs/>
          <w:sz w:val="22"/>
        </w:rPr>
        <w:t/>
      </w:r>
      <w:r>
        <w:rPr>
          <w:rFonts w:ascii="Arial Narrow" w:eastAsia="仿宋_GB2312" w:hAnsi="Arial Narrow" w:cs="Arial" w:hint="eastAsia"/>
          <w:b/>
          <w:bCs/>
          <w:sz w:val="22"/>
        </w:rPr>
        <w:t/>
      </w:r>
      <w:r>
        <w:rPr>
          <w:rFonts w:ascii="Arial Narrow" w:eastAsia="仿宋_GB2312" w:hAnsi="Arial Narrow" w:cs="Arial"/>
          <w:b/>
          <w:bCs/>
          <w:sz w:val="22"/>
        </w:rPr>
        <w:t/>
      </w:r>
      <w:bookmarkEnd w:id="314"/>
      <w:bookmarkEnd w:id="315"/>
      <w:r>
        <w:rPr>
          <w:rStyle w:val="FootnoteReference"/>
          <w:rFonts w:ascii="Arial Narrow" w:eastAsia="仿宋_GB2312" w:hAnsi="Arial Narrow" w:cs="Arial"/>
          <w:b/>
          <w:bCs/>
          <w:sz w:val="22"/>
        </w:rPr>
        <w:footnoteReference w:id="7"/>
        <w:t/>
      </w:r>
    </w:p>
    <w:p w14:paraId="5BF7CACB" w14:textId="1EBE1E24" w:rsidR="004D1721" w:rsidRDefault="009B16BC">
      <w:pPr>
        <w:adjustRightInd w:val="0"/>
        <w:snapToGrid w:val="0"/>
        <w:spacing w:before="240" w:after="240"/>
        <w:ind w:firstLine="475"/>
        <w:jc w:val="center"/>
        <w:rPr>
          <w:rFonts w:ascii="Arial Narrow" w:eastAsia="仿宋_GB2312" w:hAnsi="Arial Narrow" w:cs="Arial"/>
          <w:color w:val="000000"/>
          <w:sz w:val="22"/>
        </w:rPr>
      </w:pPr>
      <w:r w:rsidRPr="005D08A5">
        <w:rPr>
          <w:rFonts w:ascii="Arial Narrow" w:eastAsia="仿宋_GB2312" w:hAnsi="Arial Narrow" w:cs="Arial"/>
          <w:noProof/>
          <w:color w:val="000000" w:themeColor="text1"/>
          <w:sz w:val="22"/>
        </w:rPr>
        <w:drawing>
          <wp:inline distT="0" distB="0" distL="0" distR="0" wp14:editId="48F3E860">
            <wp:extent cx="5029200" cy="2056765"/>
            <wp:effectExtent l="0" t="0" r="0" b="635"/>
            <wp:docPr id="11" name="图表 11"/>
            <wp:cNvGraphicFramePr/>
            <a:graphic xmlns:a="http://schemas.openxmlformats.org/drawingml/2006/main">
              <a:graphicData uri="http://schemas.openxmlformats.org/drawingml/2006/chart">
                <c:chart xmlns:c="http://schemas.openxmlformats.org/drawingml/2006/chart" r:id="rId27"/>
              </a:graphicData>
            </a:graphic>
          </wp:inline>
        </w:drawing>
      </w:r>
    </w:p>
    <w:p w14:paraId="4C2BBD9D" w14:textId="77777777" w:rsidR="004D1721" w:rsidRDefault="009B16BC">
      <w:pPr>
        <w:pStyle w:val="Heading3"/>
      </w:pPr>
      <w:bookmarkStart w:id="316" w:name="_Toc106357754"/>
      <w:bookmarkStart w:id="317" w:name="_Toc106357752"/>
      <w:bookmarkStart w:id="318" w:name="_Toc106357751"/>
      <w:bookmarkStart w:id="319" w:name="_Toc106357750"/>
      <w:bookmarkStart w:id="320" w:name="_Toc106357753"/>
      <w:bookmarkStart w:id="321" w:name="_Toc106357755"/>
      <w:bookmarkStart w:id="322" w:name="_Toc106357756"/>
      <w:bookmarkStart w:id="323" w:name="_Toc140505117"/>
      <w:bookmarkEnd w:id="316"/>
      <w:bookmarkEnd w:id="317"/>
      <w:bookmarkEnd w:id="318"/>
      <w:bookmarkEnd w:id="319"/>
      <w:bookmarkEnd w:id="320"/>
      <w:bookmarkEnd w:id="321"/>
      <w:r>
        <w:t>中国化妆品行业分析</w:t>
      </w:r>
      <w:bookmarkEnd w:id="322"/>
      <w:bookmarkEnd w:id="323"/>
    </w:p>
    <w:p w14:paraId="45161124" w14:textId="60C271CE"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据国家统计局数据显示，截至2023年12月中国社会消费品零售总额为43,550亿元，同比增长7.4%。其中，除汽车以外的消费品零售额为38,131亿元，同比增长7.9%。累计方面，2023年1-12月中国社会消费品零售总额累计为471,495亿元，比上年增长7.2%。其中，除汽车以外的消费品零售额为422,881亿元，累计增长7.3%。</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lastRenderedPageBreak/>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603ACD24" w14:textId="7601A275" w:rsidR="004D1721" w:rsidRDefault="009B16BC">
      <w:pPr>
        <w:spacing w:beforeLines="50" w:before="180" w:afterLines="50" w:after="180" w:line="360" w:lineRule="auto"/>
        <w:ind w:firstLineChars="200" w:firstLine="442"/>
        <w:jc w:val="center"/>
        <w:rPr>
          <w:rFonts w:ascii="Arial Narrow" w:eastAsia="仿宋_GB2312" w:hAnsi="Arial Narrow" w:cs="Arial"/>
          <w:b/>
          <w:sz w:val="22"/>
        </w:rPr>
      </w:pPr>
      <w:bookmarkStart w:id="324" w:name="_Toc105453305"/>
      <w:r>
        <w:rPr>
          <w:rFonts w:ascii="Arial Narrow" w:eastAsia="仿宋_GB2312" w:hAnsi="Arial Narrow" w:cs="Arial"/>
          <w:b/>
          <w:sz w:val="22"/>
        </w:rPr>
        <w:t>图表 10：2023年中国化妆品零售总额（单位：亿元） &amp;</w:t>
      </w:r>
      <w:r>
        <w:rPr>
          <w:rFonts w:ascii="Arial Narrow" w:eastAsia="仿宋_GB2312" w:hAnsi="Arial Narrow" w:cs="Arial"/>
          <w:b/>
          <w:sz w:val="22"/>
        </w:rPr>
        <w:t xml:space="preserve"/>
      </w:r>
      <w:r>
        <w:rPr>
          <w:rFonts w:ascii="Arial Narrow" w:eastAsia="仿宋_GB2312" w:hAnsi="Arial Narrow" w:cs="Arial"/>
          <w:b/>
          <w:sz w:val="22"/>
        </w:rPr>
        <w:t/>
      </w:r>
      <w:r>
        <w:rPr>
          <w:rFonts w:ascii="Arial Narrow" w:eastAsia="仿宋_GB2312" w:hAnsi="Arial Narrow" w:cs="Arial"/>
          <w:b/>
          <w:sz w:val="22"/>
        </w:rPr>
        <w:t/>
      </w:r>
      <w:r>
        <w:rPr>
          <w:rFonts w:ascii="Arial Narrow" w:eastAsia="仿宋_GB2312" w:hAnsi="Arial Narrow" w:cs="Arial" w:hint="eastAsia"/>
          <w:b/>
          <w:sz w:val="22"/>
        </w:rPr>
        <w:t/>
      </w:r>
      <w:r>
        <w:rPr>
          <w:rFonts w:ascii="Arial Narrow" w:eastAsia="仿宋_GB2312" w:hAnsi="Arial Narrow" w:cs="Arial"/>
          <w:b/>
          <w:sz w:val="22"/>
        </w:rPr>
        <w:t/>
      </w:r>
      <w:r>
        <w:rPr>
          <w:rFonts w:ascii="Arial Narrow" w:eastAsia="仿宋_GB2312" w:hAnsi="Arial Narrow" w:cs="Arial" w:hint="eastAsia"/>
          <w:b/>
          <w:sz w:val="22"/>
        </w:rPr>
        <w:t/>
      </w:r>
      <w:r>
        <w:rPr>
          <w:rFonts w:ascii="Arial Narrow" w:eastAsia="仿宋_GB2312" w:hAnsi="Arial Narrow" w:cs="Arial"/>
          <w:b/>
          <w:sz w:val="22"/>
        </w:rPr>
        <w:t/>
      </w:r>
      <w:r>
        <w:rPr>
          <w:rFonts w:ascii="Arial Narrow" w:eastAsia="仿宋_GB2312" w:hAnsi="Arial Narrow" w:cs="Arial" w:hint="eastAsia"/>
          <w:b/>
          <w:sz w:val="22"/>
        </w:rPr>
        <w:t/>
      </w:r>
      <w:r>
        <w:rPr>
          <w:rStyle w:val="FootnoteReference"/>
          <w:rFonts w:ascii="Arial Narrow" w:eastAsia="仿宋_GB2312" w:hAnsi="Arial Narrow" w:cs="Arial" w:hint="eastAsia"/>
          <w:b/>
          <w:sz w:val="22"/>
        </w:rPr>
        <w:footnoteReference w:id="8"/>
        <w:t/>
      </w:r>
      <w:bookmarkEnd w:id="324"/>
      <w:r>
        <w:rPr>
          <w:rFonts w:ascii="Arial Narrow" w:eastAsia="仿宋_GB2312" w:hAnsi="Arial Narrow" w:cs="Arial" w:hint="eastAsia"/>
          <w:b/>
          <w:sz w:val="22"/>
        </w:rPr>
        <w:t xml:space="preserve"/>
      </w:r>
      <w:r>
        <w:rPr>
          <w:rStyle w:val="FootnoteReference"/>
        </w:rPr>
        <w:t/>
      </w:r>
      <w:r>
        <w:rPr>
          <w:rStyle w:val="FootnoteReference"/>
          <w:rFonts w:ascii="Arial Narrow" w:eastAsia="仿宋_GB2312" w:hAnsi="Arial Narrow" w:cs="Arial" w:hint="eastAsia"/>
          <w:b/>
          <w:sz w:val="22"/>
        </w:rPr>
        <w:footnoteReference w:id="9"/>
        <w:t/>
      </w:r>
    </w:p>
    <w:p w14:paraId="638FC715" w14:textId="77777777" w:rsidR="004D1721" w:rsidRDefault="009B16BC" w:rsidP="005D08A5">
      <w:pPr>
        <w:spacing w:beforeLines="50" w:before="180" w:afterLines="50" w:after="180" w:line="360" w:lineRule="auto"/>
        <w:ind w:firstLineChars="200" w:firstLine="442"/>
        <w:jc w:val="center"/>
        <w:rPr>
          <w:rFonts w:ascii="Arial Narrow" w:eastAsia="仿宋_GB2312" w:hAnsi="Arial Narrow" w:cs="Arial"/>
          <w:b/>
          <w:color w:val="000000" w:themeColor="text1"/>
          <w:sz w:val="22"/>
        </w:rPr>
      </w:pPr>
      <w:r>
        <w:rPr>
          <w:rFonts w:ascii="Arial Narrow" w:eastAsia="仿宋_GB2312" w:hAnsi="Arial Narrow" w:cs="Arial"/>
          <w:b/>
          <w:noProof/>
          <w:color w:val="000000" w:themeColor="text1"/>
          <w:sz w:val="22"/>
        </w:rPr>
        <w:drawing>
          <wp:inline distT="0" distB="0" distL="0" distR="0">
            <wp:extent cx="3902075" cy="1825625"/>
            <wp:effectExtent l="5080" t="4445" r="9525" b="13970"/>
            <wp:docPr id="3" name="图表 3"/>
            <wp:cNvGraphicFramePr/>
            <a:graphic xmlns:a="http://schemas.openxmlformats.org/drawingml/2006/main">
              <a:graphicData uri="http://schemas.openxmlformats.org/drawingml/2006/chart">
                <c:chart xmlns:c="http://schemas.openxmlformats.org/drawingml/2006/chart" r:id="rId28"/>
              </a:graphicData>
            </a:graphic>
          </wp:inline>
        </w:drawing>
      </w:r>
    </w:p>
    <w:p w14:paraId="1DD56E83"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color w:val="000000" w:themeColor="text1"/>
          <w:sz w:val="22"/>
        </w:rPr>
      </w:pPr>
      <w:r>
        <w:rPr>
          <w:rFonts w:ascii="Arial Narrow" w:eastAsia="仿宋_GB2312" w:hAnsi="Arial Narrow" w:cs="Arial" w:hint="eastAsia"/>
          <w:sz w:val="22"/>
          <w:szCs w:val="22"/>
        </w:rPr>
        <w:t>从化妆品零售情况来看：2022年全年中国化妆品类累计零售额达到3,936亿元，相较于2022年市场的急速下滑，2023年的累计零售额再次恢复到2022年之前的平稳增长。截至2023年12月中国化妆品类零售额为323亿元，同比增长9.1%。累计方面，2023年1-12月中国化妆品类累计零售额达到4,142亿元，累计增长5.1%。</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1FFD5110" w14:textId="2226FBAA"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2023年，全国网上零售额154,264亿元，比上年增长11.0%。其中，实物商品网上零售额130,174亿元，增长8.4%，占社会消费品零售总额的比重为27.6%；在实物商品网上零售额中，吃类、穿类、用类商品分别增长11.2%、10.8%、7.1%。从整体趋势来看，2023年6月和11月受618和双11大促影响，零售总额均达到了当时峰值，11月更是创下了全年单月最高峰值。大促月之后，化妆品零售总额均呈现断崖式下跌的趋势。</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Style w:val="FootnoteReference"/>
          <w:rFonts w:ascii="Arial Narrow" w:eastAsia="仿宋_GB2312" w:hAnsi="Arial Narrow" w:cs="Arial" w:hint="eastAsia"/>
          <w:sz w:val="22"/>
          <w:szCs w:val="22"/>
        </w:rPr>
        <w:footnoteReference w:id="10"/>
        <w:t/>
      </w:r>
      <w:r>
        <w:rPr>
          <w:rFonts w:ascii="Arial Narrow" w:eastAsia="仿宋_GB2312" w:hAnsi="Arial Narrow" w:cs="Arial"/>
          <w:sz w:val="22"/>
          <w:szCs w:val="22"/>
        </w:rPr>
        <w:t/>
      </w:r>
      <w:r>
        <w:rPr>
          <w:rFonts w:ascii="Arial Narrow" w:eastAsia="仿宋_GB2312" w:hAnsi="Arial Narrow" w:cs="Arial"/>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p w14:paraId="40D0217A" w14:textId="2666963B" w:rsidR="004D1721" w:rsidRDefault="009B16BC" w:rsidP="005D08A5">
      <w:pPr>
        <w:pStyle w:val="Heading4"/>
        <w:numPr>
          <w:ilvl w:val="255"/>
          <w:numId w:val="0"/>
        </w:numPr>
        <w:spacing w:beforeLines="50" w:before="180" w:afterLines="50" w:after="180" w:line="360" w:lineRule="auto"/>
        <w:ind w:leftChars="200" w:left="400"/>
      </w:pPr>
      <w:r w:rsidRPr="005D08A5">
        <w:rPr>
          <w:rFonts w:hint="eastAsia"/>
          <w:sz w:val="24"/>
        </w:rPr>
        <w:t>中国化妆品行业发展趋势如下：</w:t>
      </w:r>
      <w:r>
        <w:rPr>
          <w:rFonts w:hint="eastAsia"/>
          <w:sz w:val="24"/>
        </w:rPr>
        <w:t/>
      </w:r>
    </w:p>
    <w:p w14:paraId="747DD841" w14:textId="77777777" w:rsidR="004D1721" w:rsidRPr="005D08A5" w:rsidRDefault="009B16BC" w:rsidP="005D08A5">
      <w:pPr>
        <w:pStyle w:val="ListParagraph"/>
        <w:numPr>
          <w:ilvl w:val="0"/>
          <w:numId w:val="20"/>
        </w:numPr>
        <w:ind w:left="760" w:hanging="360"/>
        <w:rPr>
          <w:b/>
          <w:bCs/>
        </w:rPr>
      </w:pPr>
      <w:r w:rsidRPr="005D08A5">
        <w:rPr>
          <w:rFonts w:hint="eastAsia"/>
          <w:b/>
          <w:bCs/>
        </w:rPr>
        <w:t>市场需求增长潜力巨大</w:t>
      </w:r>
    </w:p>
    <w:p w14:paraId="1ADE3944" w14:textId="77777777" w:rsidR="004D1721" w:rsidRDefault="009B16BC" w:rsidP="005D08A5">
      <w:pPr>
        <w:numPr>
          <w:ilvl w:val="255"/>
          <w:numId w:val="0"/>
        </w:num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lastRenderedPageBreak/>
        <w:t>随着国民可支配消费的增长，中国化妆品市场规模在过去 20 余年间高速增长，中国已成为世界第一大化妆品消费国。但由于中国化妆品教育起步较晚，化妆和护肤的习惯尚未普及，我国的人均化妆品销售额与发达国家仍存在巨大差距。展望未来，我们认为化妆品市场仍将在以下因素的带动下进一步提升：（1）低线城市化妆品消费力提升；（2）男性悦己主义盛行；（3）化妆品品类和步骤的细化。</w:t>
      </w:r>
      <w:r w:rsidRPr="005D08A5">
        <w:rPr>
          <w:rFonts w:ascii="Arial Narrow" w:eastAsia="仿宋_GB2312" w:hAnsi="Arial Narrow" w:cs="Arial"/>
          <w:sz w:val="22"/>
          <w:szCs w:val="22"/>
        </w:rPr>
        <w:t xml:space="preserve"/>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p w14:paraId="5A479EB9" w14:textId="77777777" w:rsidR="004D1721" w:rsidRPr="005D08A5" w:rsidRDefault="009B16BC" w:rsidP="005D08A5">
      <w:pPr>
        <w:pStyle w:val="ListParagraph"/>
        <w:numPr>
          <w:ilvl w:val="0"/>
          <w:numId w:val="21"/>
        </w:numPr>
        <w:ind w:left="360" w:hanging="360"/>
        <w:rPr>
          <w:b/>
          <w:bCs/>
        </w:rPr>
      </w:pPr>
      <w:r w:rsidRPr="005D08A5">
        <w:rPr>
          <w:rFonts w:hint="eastAsia"/>
          <w:b/>
          <w:bCs/>
        </w:rPr>
        <w:t>日趋细分化的需求推动市场规模不断提升</w:t>
      </w:r>
    </w:p>
    <w:p w14:paraId="08A101D1" w14:textId="77777777" w:rsidR="004D1721" w:rsidRPr="005D08A5" w:rsidRDefault="009B16BC" w:rsidP="005D08A5">
      <w:pPr>
        <w:numPr>
          <w:ilvl w:val="255"/>
          <w:numId w:val="0"/>
        </w:num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随着国民可支配消费的增长，中国化妆品市场规模在过去20 余年间高速增长，但我国的人均化妆品销售额与美日韩仍存在较大差距。随着女性悦己主义盛行以及下沉市场的消费力提升，未来整体市场规模有望加速增长。</w:t>
      </w:r>
      <w:r w:rsidRPr="005D08A5">
        <w:rPr>
          <w:rFonts w:ascii="Arial Narrow" w:eastAsia="仿宋_GB2312" w:hAnsi="Arial Narrow" w:cs="Arial"/>
          <w:sz w:val="22"/>
          <w:szCs w:val="22"/>
        </w:rPr>
        <w:t xml:space="preserve"/>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23CF63E7" w14:textId="77777777" w:rsidR="004D1721" w:rsidRPr="005D08A5" w:rsidRDefault="009B16BC" w:rsidP="005D08A5">
      <w:pPr>
        <w:pStyle w:val="ListParagraph"/>
        <w:numPr>
          <w:ilvl w:val="0"/>
          <w:numId w:val="22"/>
        </w:numPr>
        <w:ind w:left="360" w:hanging="360"/>
        <w:rPr>
          <w:b/>
          <w:bCs/>
        </w:rPr>
      </w:pPr>
      <w:r w:rsidRPr="005D08A5">
        <w:rPr>
          <w:rFonts w:hint="eastAsia"/>
          <w:b/>
          <w:bCs/>
        </w:rPr>
        <w:t>功能护肤类产品市场持续增长</w:t>
      </w:r>
    </w:p>
    <w:p w14:paraId="66385880" w14:textId="77777777" w:rsidR="004D1721" w:rsidRDefault="009B16BC" w:rsidP="005D08A5">
      <w:p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消费者需求对行业趋势的发展起着决定性作用。当今，以95后和高知女性为代表的成分党群体正在崛起。不同于一般化妆品领域消费者对品牌信任度极高，新一代消费者群体越来越多地关注护肤品的功能效用，产品力和研发力影响正逐渐强于品牌力。随着消费者对高品质产品的需求以及化妆品制造工业的革新，使用专业皮肤护理产品逐渐成为市场新趋势。基于安全和功效双重需求，皮肤修复及护肤概念盛行，相应产品凭借适用性广、安全性高及功效性强等优势备受消费者青睐。</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p w14:paraId="1AA82090" w14:textId="77777777" w:rsidR="004D1721" w:rsidRPr="005D08A5" w:rsidRDefault="009B16BC" w:rsidP="005D08A5">
      <w:pPr>
        <w:pStyle w:val="ListParagraph"/>
        <w:numPr>
          <w:ilvl w:val="0"/>
          <w:numId w:val="23"/>
        </w:numPr>
        <w:ind w:left="760"/>
        <w:rPr>
          <w:b/>
          <w:bCs/>
        </w:rPr>
      </w:pPr>
      <w:r w:rsidRPr="005D08A5">
        <w:rPr>
          <w:rFonts w:hint="eastAsia"/>
          <w:b/>
          <w:bCs/>
        </w:rPr>
        <w:t>政策环境规范化：</w:t>
      </w:r>
    </w:p>
    <w:p w14:paraId="3EF5E3AB" w14:textId="77777777" w:rsidR="004D1721" w:rsidRDefault="009B16BC" w:rsidP="005D08A5">
      <w:p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化妆品强监管时代启幕，相关政策日趋严格，驱动化妆品行业往规范化的方向发展，加快规模较小的企业出清，行业集中度有望提升，为高质量发展提供支持。为保障居民切身利益，规范行业健康发展，国家先后出台了《化妆品风险监测工作规程》《化妆品功效宣称评价指导原则》等多项政策来加强行业监管，涉及了化妆品行业生产、卫生、广告、备案、进出口等各方面标准，推动行业不断向规范化的方向发展。国家对化妆品产品的严格监管提高了行业门槛，令部分不达标的小型企业被逐渐淘汰，而具备品牌优势、产品性能稳定的企业则能够在规范的环境中得到不断发展壮大的机会。</w:t>
      </w:r>
      <w:r w:rsidRPr="005D08A5">
        <w:rPr>
          <w:rFonts w:ascii="Arial Narrow" w:eastAsia="仿宋_GB2312" w:hAnsi="Arial Narrow" w:cs="Arial" w:hint="eastAsia"/>
          <w:sz w:val="22"/>
          <w:szCs w:val="22"/>
        </w:rPr>
        <w:lastRenderedPageBreak/>
        <w:t/>
      </w:r>
    </w:p>
    <w:p w14:paraId="73B0934B" w14:textId="77777777" w:rsidR="004D1721" w:rsidRPr="005D08A5" w:rsidRDefault="009B16BC" w:rsidP="005D08A5">
      <w:pPr>
        <w:pStyle w:val="ListParagraph"/>
        <w:numPr>
          <w:ilvl w:val="0"/>
          <w:numId w:val="24"/>
        </w:numPr>
        <w:ind w:left="760"/>
        <w:rPr>
          <w:b/>
          <w:bCs/>
        </w:rPr>
      </w:pPr>
      <w:r w:rsidRPr="005D08A5">
        <w:rPr>
          <w:rFonts w:hint="eastAsia"/>
          <w:b/>
          <w:bCs/>
        </w:rPr>
        <w:t>消零售渠道的迅速发展</w:t>
      </w:r>
    </w:p>
    <w:p w14:paraId="580F94C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lang w:val="en-GB"/>
        </w:rPr>
        <w:t>中国零售业的蓬勃发展为化妆品行业的发展提供了良好的平台和坚实的渠道支持。在化妆品消费尚未普及的阶段，一二线城市的高端百货商场是化妆品销售的主要场所，覆盖的区域相对有限，无法面向三四线城市居民提供产品。随着行业的发展，化妆品消费意识的不断普及，位于三四线城市及其它低线城市的消费者对化妆品的消费需求日益增加，化妆品开始进入大型的超市卖场，化妆品专卖店渠道迅速发展，促进了化妆品的不断普及。近年来，电商渠道的崛起，进一步丰富了消费者采购化妆品的方式，为消费者采购化妆品提供了更为便捷、经济的途径，提升了化妆品产品的整体消费规模。</w:t>
      </w:r>
    </w:p>
    <w:p w14:paraId="68CBDCA0" w14:textId="77777777" w:rsidR="004D1721" w:rsidRDefault="009B16BC">
      <w:pPr>
        <w:pStyle w:val="Heading3"/>
        <w:rPr>
          <w:b/>
          <w:bCs/>
        </w:rPr>
      </w:pPr>
      <w:bookmarkStart w:id="325" w:name="_Toc106357757"/>
      <w:bookmarkStart w:id="326" w:name="_Toc140505118"/>
      <w:r>
        <w:t>中国化妆品行业存在问题分析</w:t>
      </w:r>
      <w:bookmarkEnd w:id="325"/>
      <w:r>
        <w:rPr>
          <w:rStyle w:val="FootnoteReference"/>
          <w:sz w:val="22"/>
        </w:rPr>
        <w:footnoteReference w:id="11"/>
        <w:t/>
      </w:r>
      <w:bookmarkEnd w:id="326"/>
    </w:p>
    <w:p w14:paraId="60FDA33F" w14:textId="2249D582" w:rsidR="004D1721" w:rsidRDefault="009B16BC">
      <w:pPr>
        <w:pStyle w:val="ListParagraph"/>
        <w:numPr>
          <w:ilvl w:val="0"/>
          <w:numId w:val="25"/>
        </w:numPr>
      </w:pPr>
      <w:r w:rsidRPr="005D08A5">
        <w:rPr>
          <w:rFonts w:hint="eastAsia"/>
          <w:b/>
          <w:bCs/>
          <w:lang w:val="en-US"/>
        </w:rPr>
        <w:t>从业者之间竞争激烈，市场集中度低</w:t>
      </w:r>
    </w:p>
    <w:p w14:paraId="7D6CA1F1" w14:textId="05909F3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在中国化妆品市场不断成熟的过程中，外国品牌进入市场、中国品牌的崛起都带动市场中竞争者不断增加。2022年中国护肤品市场和彩妆市场前三名的总份额分别仅为 30%和 48%，低于其他消费子行业，也远低于发达国家水平。</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p>
    <w:p w14:paraId="4B8D96A2" w14:textId="77777777" w:rsidR="004D1721" w:rsidRPr="005D08A5"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在竞争激烈的市场中，较为分散的市场格局加剧了化妆品从业者之间的竞争。在竞争初期，许多企业在线上竞争中通过价格战以及大量的市场营销，以望快速抢占消费者心智，挤出竞争者。但从市占率数据上来看，想要从大众市场中突出重围，困难重重。</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p>
    <w:p w14:paraId="2C4507F9" w14:textId="61B93208" w:rsidR="004D1721" w:rsidRDefault="009B16BC">
      <w:pPr>
        <w:pStyle w:val="ListParagraph"/>
        <w:numPr>
          <w:ilvl w:val="0"/>
          <w:numId w:val="26"/>
        </w:numPr>
      </w:pPr>
      <w:r w:rsidRPr="005D08A5">
        <w:rPr>
          <w:rFonts w:hint="eastAsia"/>
          <w:b/>
          <w:bCs/>
          <w:lang w:val="en-US"/>
        </w:rPr>
        <w:t>上游议价能力低</w:t>
      </w:r>
    </w:p>
    <w:p w14:paraId="5B33AC99" w14:textId="18C1486E" w:rsidR="004D1721" w:rsidRPr="005D08A5" w:rsidRDefault="009B16BC" w:rsidP="005D08A5">
      <w:pPr>
        <w:spacing w:beforeLines="50" w:before="180" w:afterLines="50" w:after="180" w:line="360" w:lineRule="auto"/>
        <w:ind w:firstLineChars="200" w:firstLine="440"/>
        <w:jc w:val="both"/>
        <w:rPr>
          <w:rFonts w:ascii="Arial Narrow" w:eastAsia="仿宋_GB2312" w:hAnsi="Arial Narrow" w:cs="Arial"/>
          <w:sz w:val="22"/>
          <w:szCs w:val="22"/>
          <w:lang w:val="en-GB"/>
        </w:rPr>
      </w:pPr>
      <w:r w:rsidRPr="005D08A5">
        <w:rPr>
          <w:rFonts w:ascii="Arial Narrow" w:eastAsia="仿宋_GB2312" w:hAnsi="Arial Narrow" w:cs="Arial" w:hint="eastAsia"/>
          <w:sz w:val="22"/>
          <w:szCs w:val="22"/>
          <w:lang w:val="en-GB"/>
        </w:rPr>
        <w:lastRenderedPageBreak/>
        <w:t>化妆品企业在面对供应商时，在包材方面的议价能力相对更强，主要是由于包材企业的规模较小造成包材行业内竞争激烈。但在化妆品原材料方面，由于研发、技术以及生产壁垒的缘故，化妆品原材料厂商具备更强的议价能力。</w:t>
      </w:r>
    </w:p>
    <w:p w14:paraId="6871479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lang w:val="en-GB"/>
        </w:rPr>
      </w:pPr>
      <w:r w:rsidRPr="005D08A5">
        <w:rPr>
          <w:rFonts w:ascii="Arial Narrow" w:eastAsia="仿宋_GB2312" w:hAnsi="Arial Narrow" w:cs="Arial" w:hint="eastAsia"/>
          <w:sz w:val="22"/>
          <w:szCs w:val="22"/>
          <w:lang w:val="en-GB"/>
        </w:rPr>
        <w:t>在化妆品新规的影响下，化妆品企业更加关注原材料生产和研发，这也让业内国产大企业通过与原材料厂商合作发展，或自建工厂和研发团队进行核心原材料生产，使他们在与供应商议价时的能力提升</w:t>
      </w:r>
    </w:p>
    <w:p w14:paraId="69506671" w14:textId="77777777" w:rsidR="004D1721" w:rsidRPr="005D08A5" w:rsidRDefault="009B16BC">
      <w:pPr>
        <w:pStyle w:val="ListParagraph"/>
        <w:numPr>
          <w:ilvl w:val="0"/>
          <w:numId w:val="27"/>
        </w:numPr>
        <w:rPr>
          <w:b/>
          <w:bCs/>
        </w:rPr>
      </w:pPr>
      <w:r w:rsidRPr="005D08A5">
        <w:rPr>
          <w:rFonts w:hint="eastAsia"/>
          <w:b/>
          <w:bCs/>
        </w:rPr>
        <w:t>产打造高端品牌形象方面，国货品牌也缺乏经验</w:t>
      </w:r>
    </w:p>
    <w:p w14:paraId="4C76DCF5"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lang w:val="en-GB"/>
        </w:rPr>
      </w:pPr>
      <w:r>
        <w:rPr>
          <w:rFonts w:ascii="Arial Narrow" w:eastAsia="仿宋_GB2312" w:hAnsi="Arial Narrow" w:cs="Arial" w:hint="eastAsia"/>
          <w:sz w:val="22"/>
          <w:szCs w:val="22"/>
          <w:lang w:val="en-GB"/>
        </w:rPr>
        <w:t>在打造高端品牌方面，美国品牌善借用高科技，欧洲品牌善借用贵族文化，这方面国货品牌还处于集体落后的阶段。</w:t>
      </w:r>
    </w:p>
    <w:p w14:paraId="0707900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lang w:val="en-GB"/>
        </w:rPr>
      </w:pPr>
      <w:r>
        <w:rPr>
          <w:rFonts w:ascii="Arial Narrow" w:eastAsia="仿宋_GB2312" w:hAnsi="Arial Narrow" w:cs="Arial"/>
          <w:sz w:val="22"/>
          <w:szCs w:val="22"/>
          <w:lang w:val="en-GB"/>
        </w:rPr>
        <w:t>中国的美妆品牌，尚处于夯实技术底座的时代，正沿着技术升级慢慢向上进军。相比医药、IT等技术驱动型行业，化妆品行业仍然是营销驱动的。但化妆品行业之前的技术占比太低，未来一段时间将是“技术补课”的阶段，技术升级会是未来数年的行业主流关键词。所以国货品牌的机会仍然还在技术升级方面，目前的头部企业也都是从科技端崛起的。</w:t>
      </w:r>
      <w:r>
        <w:rPr>
          <w:rFonts w:ascii="Arial Narrow" w:eastAsia="仿宋_GB2312" w:hAnsi="Arial Narrow" w:cs="Arial"/>
          <w:sz w:val="22"/>
          <w:szCs w:val="22"/>
          <w:lang w:val="en-GB"/>
        </w:rPr>
        <w:t/>
      </w:r>
      <w:r>
        <w:rPr>
          <w:rFonts w:ascii="Arial Narrow" w:eastAsia="仿宋_GB2312" w:hAnsi="Arial Narrow" w:cs="Arial"/>
          <w:sz w:val="22"/>
          <w:szCs w:val="22"/>
          <w:lang w:val="en-GB"/>
        </w:rPr>
        <w:t/>
      </w:r>
      <w:r>
        <w:rPr>
          <w:rFonts w:ascii="Arial Narrow" w:eastAsia="仿宋_GB2312" w:hAnsi="Arial Narrow" w:cs="Arial"/>
          <w:sz w:val="22"/>
          <w:szCs w:val="22"/>
          <w:lang w:val="en-GB"/>
        </w:rPr>
        <w:t/>
      </w:r>
      <w:r>
        <w:rPr>
          <w:rFonts w:ascii="Arial Narrow" w:eastAsia="仿宋_GB2312" w:hAnsi="Arial Narrow" w:cs="Arial"/>
          <w:sz w:val="22"/>
          <w:szCs w:val="22"/>
          <w:lang w:val="en-GB"/>
        </w:rPr>
        <w:t/>
      </w:r>
      <w:r>
        <w:rPr>
          <w:rFonts w:ascii="Arial Narrow" w:eastAsia="仿宋_GB2312" w:hAnsi="Arial Narrow" w:cs="Arial"/>
          <w:sz w:val="22"/>
          <w:szCs w:val="22"/>
          <w:lang w:val="en-GB"/>
        </w:rPr>
        <w:t/>
      </w:r>
      <w:r>
        <w:rPr>
          <w:rFonts w:ascii="Arial Narrow" w:eastAsia="仿宋_GB2312" w:hAnsi="Arial Narrow" w:cs="Arial"/>
          <w:sz w:val="22"/>
          <w:szCs w:val="22"/>
          <w:lang w:val="en-GB"/>
        </w:rPr>
        <w:t/>
      </w:r>
    </w:p>
    <w:p w14:paraId="482D1B08" w14:textId="77777777" w:rsidR="004D1721" w:rsidRDefault="009B16BC">
      <w:pPr>
        <w:pStyle w:val="Heading2"/>
      </w:pPr>
      <w:bookmarkStart w:id="327" w:name="_Toc106357758"/>
      <w:bookmarkStart w:id="328" w:name="_Toc106106111"/>
      <w:bookmarkStart w:id="329" w:name="_Toc106106289"/>
      <w:bookmarkStart w:id="330" w:name="_Toc140505119"/>
      <w:bookmarkStart w:id="331" w:name="_Toc106357760"/>
      <w:bookmarkEnd w:id="327"/>
      <w:bookmarkEnd w:id="328"/>
      <w:bookmarkEnd w:id="329"/>
      <w:r>
        <w:rPr>
          <w:rFonts w:hint="eastAsia"/>
        </w:rPr>
        <w:t>结论</w:t>
      </w:r>
      <w:bookmarkEnd w:id="330"/>
      <w:bookmarkEnd w:id="331"/>
    </w:p>
    <w:p w14:paraId="0572EE7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综上所述，随着2023年的经济复苏，中国整体化妆品行业也从低谷中恢复。在消费者信心增强和市场需求逐渐回暖的背景下，中国化妆品行业不仅实现了销量的稳步增长，还在产品创新和品牌建设方面取得了显著进展。企业通过采用更加精细化的市场分析和针对性的营销策略，成功地吸引了更广泛的消费群体。同时，行业内部也加大了对研发的投入，推动了一系列符合现代消费者期待的新产品和技术的诞生。</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01F5E0E2" w14:textId="37BA1B21"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此外，随着全球经济环境的改善和国际市场的逐步开放，中国化妆品品牌不断扩展海外市场，加强与国际品牌的合作与竞争。这不仅增强了品牌的国际影响力，也为企业带来了更多的发展机遇。</w:t>
      </w:r>
      <w:bookmarkStart w:id="332" w:name="_Toc106357774"/>
      <w:bookmarkStart w:id="333" w:name="_Toc106106305"/>
      <w:bookmarkStart w:id="334" w:name="_Toc106106127"/>
      <w:bookmarkEnd w:id="332"/>
      <w:bookmarkEnd w:id="333"/>
      <w:bookmarkEnd w:id="334"/>
    </w:p>
    <w:p w14:paraId="50C0FF83" w14:textId="79040197" w:rsidR="004D1721" w:rsidRDefault="009B16BC">
      <w:pPr>
        <w:pStyle w:val="Heading1"/>
        <w:rPr>
          <w:b/>
        </w:rPr>
      </w:pPr>
      <w:bookmarkStart w:id="335" w:name="_Toc85557627"/>
      <w:bookmarkStart w:id="336" w:name="_Toc85622861"/>
      <w:bookmarkStart w:id="337" w:name="_Toc489951810"/>
      <w:bookmarkStart w:id="338" w:name="_Toc85557494"/>
      <w:bookmarkStart w:id="339" w:name="_Toc53229066"/>
      <w:bookmarkStart w:id="340" w:name="_Toc140505120"/>
      <w:bookmarkEnd w:id="335"/>
      <w:bookmarkEnd w:id="336"/>
      <w:bookmarkEnd w:id="337"/>
      <w:bookmarkEnd w:id="338"/>
      <w:r>
        <w:lastRenderedPageBreak/>
        <w:t>关联交易</w:t>
      </w:r>
      <w:bookmarkEnd w:id="339"/>
      <w:bookmarkEnd w:id="340"/>
    </w:p>
    <w:p w14:paraId="17173463" w14:textId="77777777" w:rsidR="004D1721" w:rsidRDefault="009B16BC">
      <w:pPr>
        <w:pStyle w:val="Heading2"/>
        <w:rPr>
          <w:b/>
        </w:rPr>
      </w:pPr>
      <w:bookmarkStart w:id="341" w:name="_Toc53229067"/>
      <w:bookmarkStart w:id="342" w:name="_Toc140505121"/>
      <w:r>
        <w:t>关联方信息</w:t>
      </w:r>
      <w:bookmarkEnd w:id="341"/>
      <w:bookmarkEnd w:id="342"/>
    </w:p>
    <w:p w14:paraId="704184BE" w14:textId="79AF8DA3"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松莉科技2023年度主要关联方的基本信息如下所示：</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AD98BA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1）松莉科技的母公司情况</w:t>
      </w:r>
      <w:r>
        <w:rPr>
          <w:rFonts w:ascii="Arial Narrow" w:eastAsia="仿宋_GB2312" w:hAnsi="Arial Narrow" w:cs="Arial"/>
          <w:sz w:val="22"/>
          <w:szCs w:val="22"/>
        </w:rPr>
        <w:t/>
      </w:r>
    </w:p>
    <w:p w14:paraId="26CFF5BD" w14:textId="5ED99F73"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7：本公司的母公司基本信息</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p>
    <w:tbl>
      <w:tblPr>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34"/>
        <w:gridCol w:w="1318"/>
        <w:gridCol w:w="3070"/>
      </w:tblGrid>
      <w:tr w:rsidR="004D1721" w14:paraId="0A055CAC" w14:textId="77777777">
        <w:trPr>
          <w:trHeight w:val="454"/>
          <w:jc w:val="center"/>
        </w:trPr>
        <w:tc>
          <w:tcPr>
            <w:tcW w:w="3834" w:type="dxa"/>
            <w:shd w:val="clear" w:color="auto" w:fill="002060"/>
            <w:vAlign w:val="center"/>
          </w:tcPr>
          <w:p w14:paraId="13132C9A"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color w:val="FFFFFF" w:themeColor="background1"/>
                <w:sz w:val="22"/>
                <w:szCs w:val="22"/>
              </w:rPr>
              <w:t>公司名称</w:t>
            </w:r>
          </w:p>
        </w:tc>
        <w:tc>
          <w:tcPr>
            <w:tcW w:w="1318" w:type="dxa"/>
            <w:shd w:val="clear" w:color="auto" w:fill="002060"/>
            <w:vAlign w:val="center"/>
          </w:tcPr>
          <w:p w14:paraId="61A2DAB9"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color w:val="FFFFFF" w:themeColor="background1"/>
                <w:sz w:val="22"/>
                <w:szCs w:val="22"/>
              </w:rPr>
              <w:t>地区/国家</w:t>
            </w:r>
            <w:r>
              <w:rPr>
                <w:rFonts w:ascii="Arial Narrow" w:eastAsia="仿宋_GB2312" w:hAnsi="Arial Narrow" w:cs="Arial"/>
                <w:b/>
                <w:color w:val="FFFFFF" w:themeColor="background1"/>
                <w:sz w:val="22"/>
                <w:szCs w:val="22"/>
              </w:rPr>
              <w:t/>
            </w:r>
            <w:r>
              <w:rPr>
                <w:rFonts w:ascii="Arial Narrow" w:eastAsia="仿宋_GB2312" w:hAnsi="Arial Narrow" w:cs="Arial"/>
                <w:b/>
                <w:color w:val="FFFFFF" w:themeColor="background1"/>
                <w:sz w:val="22"/>
                <w:szCs w:val="22"/>
              </w:rPr>
              <w:t/>
            </w:r>
          </w:p>
        </w:tc>
        <w:tc>
          <w:tcPr>
            <w:tcW w:w="3070" w:type="dxa"/>
            <w:shd w:val="clear" w:color="auto" w:fill="002060"/>
            <w:vAlign w:val="center"/>
          </w:tcPr>
          <w:p w14:paraId="3FADCFB0"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与本公司关系</w:t>
            </w:r>
          </w:p>
        </w:tc>
      </w:tr>
      <w:tr w:rsidR="004D1721" w14:paraId="10D14DD5" w14:textId="77777777">
        <w:trPr>
          <w:trHeight w:val="454"/>
          <w:jc w:val="center"/>
        </w:trPr>
        <w:tc>
          <w:tcPr>
            <w:tcW w:w="3834" w:type="dxa"/>
            <w:vAlign w:val="center"/>
          </w:tcPr>
          <w:p w14:paraId="0AC0DBC6" w14:textId="77777777" w:rsidR="004D1721" w:rsidRDefault="009B16BC">
            <w:pPr>
              <w:jc w:val="center"/>
              <w:rPr>
                <w:rFonts w:ascii="Arial Narrow" w:eastAsia="仿宋_GB2312" w:hAnsi="Arial Narrow" w:cs="Arial"/>
                <w:sz w:val="22"/>
                <w:szCs w:val="22"/>
                <w:highlight w:val="yellow"/>
              </w:rPr>
            </w:pPr>
            <w:r>
              <w:rPr>
                <w:rFonts w:ascii="Arial Narrow" w:eastAsia="仿宋_GB2312" w:hAnsi="Arial Narrow" w:cs="Arial"/>
                <w:sz w:val="22"/>
                <w:szCs w:val="22"/>
              </w:rPr>
              <w:t>Markwins International Corporation Limited</w:t>
            </w:r>
          </w:p>
        </w:tc>
        <w:tc>
          <w:tcPr>
            <w:tcW w:w="1318" w:type="dxa"/>
            <w:vAlign w:val="center"/>
          </w:tcPr>
          <w:p w14:paraId="23BBF1A1" w14:textId="77777777" w:rsidR="004D1721" w:rsidRDefault="009B16BC">
            <w:pPr>
              <w:jc w:val="center"/>
              <w:rPr>
                <w:rFonts w:ascii="Arial Narrow" w:eastAsia="仿宋_GB2312" w:hAnsi="Arial Narrow" w:cs="Arial"/>
                <w:sz w:val="22"/>
                <w:szCs w:val="22"/>
                <w:highlight w:val="yellow"/>
              </w:rPr>
            </w:pPr>
            <w:r>
              <w:rPr>
                <w:rFonts w:ascii="Arial Narrow" w:eastAsia="仿宋_GB2312" w:hAnsi="Arial Narrow" w:cs="Arial"/>
                <w:sz w:val="22"/>
                <w:szCs w:val="22"/>
              </w:rPr>
              <w:t>中国香港</w:t>
            </w:r>
          </w:p>
        </w:tc>
        <w:tc>
          <w:tcPr>
            <w:tcW w:w="3070" w:type="dxa"/>
            <w:vAlign w:val="center"/>
          </w:tcPr>
          <w:p w14:paraId="7C3177E4" w14:textId="77777777" w:rsidR="004D1721" w:rsidRDefault="009B16BC">
            <w:pPr>
              <w:jc w:val="center"/>
              <w:rPr>
                <w:rFonts w:ascii="Arial Narrow" w:eastAsia="仿宋_GB2312" w:hAnsi="Arial Narrow" w:cs="Arial"/>
                <w:sz w:val="22"/>
                <w:szCs w:val="22"/>
                <w:highlight w:val="yellow"/>
              </w:rPr>
            </w:pPr>
            <w:r>
              <w:rPr>
                <w:rFonts w:ascii="Arial Narrow" w:eastAsia="仿宋_GB2312" w:hAnsi="Arial Narrow" w:cs="Arial"/>
                <w:sz w:val="22"/>
                <w:szCs w:val="22"/>
              </w:rPr>
              <w:t>投资方</w:t>
            </w:r>
          </w:p>
        </w:tc>
      </w:tr>
    </w:tbl>
    <w:p w14:paraId="48A39C5A" w14:textId="77777777"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信息来源：由松莉科技提供</w:t>
      </w:r>
    </w:p>
    <w:p w14:paraId="47B1F679"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母公司Markwins International Corporation Limited（以下简称“Markwins HK”）对本公司的持股比例为100%，所持本公司的表决权比例为100%。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149484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2）松莉科技的其他关联方情况如下：</w:t>
      </w:r>
      <w:r>
        <w:rPr>
          <w:rFonts w:ascii="Arial Narrow" w:eastAsia="仿宋_GB2312" w:hAnsi="Arial Narrow" w:cs="Arial"/>
          <w:sz w:val="22"/>
          <w:szCs w:val="22"/>
        </w:rPr>
        <w:t/>
      </w:r>
    </w:p>
    <w:p w14:paraId="4366170B" w14:textId="5DC6D4B8"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 2023年度，没有个人关联方直接或间接持有松莉科技的股份(如：个人持有最终母公司超过25%的股份)或与松莉科技发生关联交易。</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E8EDFA2" w14:textId="77777777" w:rsidR="004D1721" w:rsidRDefault="009B16BC">
      <w:pPr>
        <w:spacing w:beforeLines="50" w:before="180" w:afterLines="50" w:after="180" w:line="360" w:lineRule="auto"/>
        <w:ind w:firstLineChars="200" w:firstLine="440"/>
        <w:jc w:val="both"/>
        <w:rPr>
          <w:rFonts w:ascii="Arial Narrow" w:eastAsia="仿宋_GB2312" w:hAnsi="Arial Narrow" w:cs="Arial"/>
        </w:rPr>
      </w:pPr>
      <w:r>
        <w:rPr>
          <w:rFonts w:ascii="Arial Narrow" w:eastAsia="仿宋_GB2312" w:hAnsi="Arial Narrow" w:cs="Arial"/>
          <w:sz w:val="22"/>
          <w:szCs w:val="22"/>
        </w:rPr>
        <w:t>松莉科技的其他关联方基本信息如下：</w:t>
      </w:r>
    </w:p>
    <w:p w14:paraId="0A260D24" w14:textId="2FDB7DCC" w:rsidR="004D1721" w:rsidRDefault="009B16BC">
      <w:pPr>
        <w:pStyle w:val="Caption"/>
        <w:ind w:left="420" w:hanging="420"/>
        <w:jc w:val="center"/>
        <w:rPr>
          <w:rFonts w:ascii="Arial Narrow" w:eastAsia="仿宋_GB2312" w:hAnsi="Arial Narrow" w:cs="Arial"/>
          <w:sz w:val="22"/>
        </w:rPr>
      </w:pPr>
      <w:bookmarkStart w:id="343" w:name="_Toc48317136"/>
      <w:bookmarkStart w:id="344" w:name="_Toc48317433"/>
      <w:r>
        <w:rPr>
          <w:rFonts w:ascii="Arial Narrow" w:eastAsia="仿宋_GB2312" w:hAnsi="Arial Narrow" w:cs="Arial"/>
          <w:sz w:val="22"/>
        </w:rPr>
        <w:t>图表 8：本公司的其他关联方的基本信息</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4"/>
        <w:gridCol w:w="1276"/>
        <w:gridCol w:w="3119"/>
        <w:gridCol w:w="1134"/>
      </w:tblGrid>
      <w:tr w:rsidR="004D1721" w14:paraId="57F25107" w14:textId="77777777">
        <w:trPr>
          <w:trHeight w:val="454"/>
          <w:tblHeader/>
          <w:jc w:val="center"/>
        </w:trPr>
        <w:tc>
          <w:tcPr>
            <w:tcW w:w="3964" w:type="dxa"/>
            <w:shd w:val="clear" w:color="auto" w:fill="002060"/>
            <w:vAlign w:val="center"/>
          </w:tcPr>
          <w:p w14:paraId="70D2D5E6"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关联方名称</w:t>
            </w:r>
          </w:p>
        </w:tc>
        <w:tc>
          <w:tcPr>
            <w:tcW w:w="1276" w:type="dxa"/>
            <w:shd w:val="clear" w:color="auto" w:fill="002060"/>
            <w:vAlign w:val="center"/>
          </w:tcPr>
          <w:p w14:paraId="6364BEC1"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地区/国家</w:t>
            </w:r>
            <w:r>
              <w:rPr>
                <w:rFonts w:ascii="Arial Narrow" w:eastAsia="仿宋_GB2312" w:hAnsi="Arial Narrow" w:cs="Arial"/>
                <w:b/>
                <w:color w:val="FFFFFF" w:themeColor="background1"/>
                <w:sz w:val="22"/>
                <w:szCs w:val="22"/>
              </w:rPr>
              <w:t/>
            </w:r>
            <w:r>
              <w:rPr>
                <w:rFonts w:ascii="Arial Narrow" w:eastAsia="仿宋_GB2312" w:hAnsi="Arial Narrow" w:cs="Arial"/>
                <w:b/>
                <w:color w:val="FFFFFF" w:themeColor="background1"/>
                <w:sz w:val="22"/>
                <w:szCs w:val="22"/>
              </w:rPr>
              <w:t/>
            </w:r>
          </w:p>
        </w:tc>
        <w:tc>
          <w:tcPr>
            <w:tcW w:w="3119" w:type="dxa"/>
            <w:shd w:val="clear" w:color="auto" w:fill="002060"/>
            <w:vAlign w:val="center"/>
          </w:tcPr>
          <w:p w14:paraId="2AF6E907"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与本公司关系</w:t>
            </w:r>
          </w:p>
        </w:tc>
        <w:tc>
          <w:tcPr>
            <w:tcW w:w="1134" w:type="dxa"/>
            <w:shd w:val="clear" w:color="auto" w:fill="002060"/>
            <w:vAlign w:val="center"/>
          </w:tcPr>
          <w:p w14:paraId="5D566F22"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适用税率</w:t>
            </w:r>
          </w:p>
        </w:tc>
      </w:tr>
      <w:tr w:rsidR="004D1721" w14:paraId="5AE14A96" w14:textId="77777777">
        <w:trPr>
          <w:trHeight w:val="454"/>
          <w:jc w:val="center"/>
        </w:trPr>
        <w:tc>
          <w:tcPr>
            <w:tcW w:w="3964" w:type="dxa"/>
            <w:shd w:val="clear" w:color="auto" w:fill="auto"/>
            <w:vAlign w:val="center"/>
          </w:tcPr>
          <w:p w14:paraId="061B660B"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Markwins International Corporation Limited</w:t>
            </w:r>
          </w:p>
        </w:tc>
        <w:tc>
          <w:tcPr>
            <w:tcW w:w="1276" w:type="dxa"/>
            <w:vAlign w:val="center"/>
          </w:tcPr>
          <w:p w14:paraId="64266812"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中国香港</w:t>
            </w:r>
          </w:p>
        </w:tc>
        <w:tc>
          <w:tcPr>
            <w:tcW w:w="3119" w:type="dxa"/>
            <w:vAlign w:val="center"/>
          </w:tcPr>
          <w:p w14:paraId="30735D98"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母公司</w:t>
            </w:r>
          </w:p>
        </w:tc>
        <w:tc>
          <w:tcPr>
            <w:tcW w:w="1134" w:type="dxa"/>
            <w:vAlign w:val="center"/>
          </w:tcPr>
          <w:p w14:paraId="54DA6F01"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16.5%</w:t>
            </w:r>
          </w:p>
        </w:tc>
      </w:tr>
      <w:tr w:rsidR="004D1721" w14:paraId="34781DE8" w14:textId="77777777">
        <w:trPr>
          <w:trHeight w:val="454"/>
          <w:jc w:val="center"/>
        </w:trPr>
        <w:tc>
          <w:tcPr>
            <w:tcW w:w="3964" w:type="dxa"/>
            <w:shd w:val="clear" w:color="auto" w:fill="auto"/>
            <w:vAlign w:val="center"/>
          </w:tcPr>
          <w:p w14:paraId="0FF73270"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Pro Art Cosmetics Limited</w:t>
            </w:r>
          </w:p>
        </w:tc>
        <w:tc>
          <w:tcPr>
            <w:tcW w:w="1276" w:type="dxa"/>
            <w:vAlign w:val="center"/>
          </w:tcPr>
          <w:p w14:paraId="1956B347"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中国香港</w:t>
            </w:r>
          </w:p>
        </w:tc>
        <w:tc>
          <w:tcPr>
            <w:tcW w:w="3119" w:type="dxa"/>
            <w:shd w:val="clear" w:color="auto" w:fill="auto"/>
            <w:vAlign w:val="center"/>
          </w:tcPr>
          <w:p w14:paraId="2E28744D"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同受最终控股公司的控制公司</w:t>
            </w:r>
          </w:p>
        </w:tc>
        <w:tc>
          <w:tcPr>
            <w:tcW w:w="1134" w:type="dxa"/>
            <w:vAlign w:val="center"/>
          </w:tcPr>
          <w:p w14:paraId="610268B7"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16.5%</w:t>
            </w:r>
          </w:p>
        </w:tc>
      </w:tr>
      <w:tr w:rsidR="004D1721" w14:paraId="6A1E3559" w14:textId="77777777">
        <w:trPr>
          <w:trHeight w:val="454"/>
          <w:jc w:val="center"/>
        </w:trPr>
        <w:tc>
          <w:tcPr>
            <w:tcW w:w="3964" w:type="dxa"/>
            <w:shd w:val="clear" w:color="auto" w:fill="auto"/>
            <w:vAlign w:val="center"/>
          </w:tcPr>
          <w:p w14:paraId="7F20168F"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hint="eastAsia"/>
                <w:sz w:val="22"/>
                <w:szCs w:val="22"/>
              </w:rPr>
              <w:t>美缤纷品牌管理（上海）有限公司</w:t>
            </w:r>
          </w:p>
        </w:tc>
        <w:tc>
          <w:tcPr>
            <w:tcW w:w="1276" w:type="dxa"/>
            <w:vAlign w:val="center"/>
          </w:tcPr>
          <w:p w14:paraId="0D0E5E85"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中国</w:t>
            </w:r>
          </w:p>
        </w:tc>
        <w:tc>
          <w:tcPr>
            <w:tcW w:w="3119" w:type="dxa"/>
            <w:shd w:val="clear" w:color="auto" w:fill="auto"/>
            <w:vAlign w:val="center"/>
          </w:tcPr>
          <w:p w14:paraId="7B4CBD73"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hint="eastAsia"/>
                <w:sz w:val="22"/>
                <w:szCs w:val="22"/>
              </w:rPr>
              <w:t>子公司</w:t>
            </w:r>
            <w:r>
              <w:rPr>
                <w:rFonts w:ascii="Arial Narrow" w:eastAsia="仿宋_GB2312" w:hAnsi="Arial Narrow" w:cs="Arial"/>
                <w:sz w:val="22"/>
                <w:szCs w:val="22"/>
              </w:rPr>
              <w:t/>
            </w:r>
          </w:p>
        </w:tc>
        <w:tc>
          <w:tcPr>
            <w:tcW w:w="1134" w:type="dxa"/>
            <w:vAlign w:val="center"/>
          </w:tcPr>
          <w:p w14:paraId="4A0CDA44"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25%</w:t>
            </w:r>
          </w:p>
        </w:tc>
      </w:tr>
    </w:tbl>
    <w:p w14:paraId="23F17E96" w14:textId="77777777" w:rsidR="004D1721" w:rsidRDefault="009B16BC">
      <w:pPr>
        <w:rPr>
          <w:rFonts w:ascii="Arial Narrow" w:eastAsia="仿宋_GB2312" w:hAnsi="Arial Narrow" w:cs="Arial"/>
          <w:sz w:val="22"/>
          <w:szCs w:val="22"/>
        </w:rPr>
      </w:pPr>
      <w:r>
        <w:rPr>
          <w:rFonts w:ascii="Arial Narrow" w:eastAsia="仿宋_GB2312" w:hAnsi="Arial Narrow" w:cs="Arial"/>
          <w:i/>
          <w:iCs/>
          <w:sz w:val="16"/>
          <w:szCs w:val="16"/>
        </w:rPr>
        <w:t>信息来源：由松莉科技提供</w:t>
      </w:r>
      <w:bookmarkEnd w:id="343"/>
      <w:bookmarkEnd w:id="344"/>
    </w:p>
    <w:p w14:paraId="0291FF83" w14:textId="77777777" w:rsidR="004D1721" w:rsidRDefault="009B16BC">
      <w:pPr>
        <w:pStyle w:val="Heading2"/>
        <w:rPr>
          <w:b/>
          <w:bCs/>
        </w:rPr>
      </w:pPr>
      <w:bookmarkStart w:id="345" w:name="_Toc140505122"/>
      <w:bookmarkStart w:id="346" w:name="_Toc53229068"/>
      <w:r>
        <w:t>主要关联交易</w:t>
      </w:r>
      <w:bookmarkEnd w:id="345"/>
      <w:bookmarkEnd w:id="346"/>
    </w:p>
    <w:p w14:paraId="3603EED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347" w:name="_Toc466642567"/>
      <w:bookmarkStart w:id="348" w:name="_Toc48317137"/>
      <w:bookmarkStart w:id="349" w:name="_Toc520786966"/>
      <w:bookmarkStart w:id="350" w:name="_Toc48317434"/>
      <w:r>
        <w:rPr>
          <w:rFonts w:ascii="Arial Narrow" w:eastAsia="仿宋_GB2312" w:hAnsi="Arial Narrow" w:cs="Arial"/>
          <w:sz w:val="22"/>
          <w:szCs w:val="22"/>
        </w:rPr>
        <w:t>评估期间，松莉科技的关联交易主要涉及关联购销，关联交易金额及类型如下图所示：</w:t>
      </w:r>
    </w:p>
    <w:p w14:paraId="4FEEE5C2"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1AF115AD" w14:textId="1275C49E"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hint="eastAsia"/>
          <w:sz w:val="22"/>
        </w:rPr>
        <w:lastRenderedPageBreak/>
        <w:t>图表 9：关联交易汇总情况表</w:t>
      </w:r>
      <w:r>
        <w:rPr>
          <w:rFonts w:ascii="Arial Narrow" w:eastAsia="仿宋_GB2312" w:hAnsi="Arial Narrow" w:cs="Arial"/>
          <w:sz w:val="22"/>
        </w:rPr>
        <w:t xml:space="preserve"/>
      </w:r>
      <w:r w:rsidRPr="00D50BC4">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hint="eastAsia"/>
          <w:sz w:val="22"/>
        </w:rPr>
        <w:instrText>图表</w:instrText>
        <w:t/>
      </w:r>
      <w:r>
        <w:rPr>
          <w:rFonts w:ascii="Arial Narrow" w:eastAsia="仿宋_GB2312" w:hAnsi="Arial Narrow" w:cs="Arial"/>
          <w:sz w:val="22"/>
        </w:rPr>
        <w:instrText xml:space="preserve"> \* ARABIC </w:instrText>
        <w:t/>
      </w:r>
      <w:r w:rsidRPr="005D08A5">
        <w:rPr>
          <w:rFonts w:ascii="Arial Narrow" w:eastAsia="仿宋_GB2312" w:hAnsi="Arial Narrow" w:cs="Arial"/>
          <w:sz w:val="22"/>
        </w:rPr>
        <w:fldChar w:fldCharType="separate"/>
        <w:t/>
      </w:r>
      <w:r>
        <w:rPr>
          <w:rFonts w:ascii="Arial Narrow" w:eastAsia="仿宋_GB2312" w:hAnsi="Arial Narrow" w:cs="Arial"/>
          <w:sz w:val="22"/>
        </w:rPr>
        <w:t/>
      </w:r>
      <w:r w:rsidRPr="00D50BC4">
        <w:rPr>
          <w:rFonts w:ascii="Arial Narrow" w:eastAsia="仿宋_GB2312" w:hAnsi="Arial Narrow" w:cs="Arial"/>
          <w:sz w:val="22"/>
        </w:rPr>
        <w:fldChar w:fldCharType="end"/>
        <w:t/>
      </w:r>
      <w:r>
        <w:rPr>
          <w:rFonts w:ascii="Arial Narrow" w:eastAsia="仿宋_GB2312" w:hAnsi="Arial Narrow" w:cs="Arial" w:hint="eastAsia"/>
          <w:sz w:val="22"/>
        </w:rPr>
        <w:t/>
      </w:r>
    </w:p>
    <w:tbl>
      <w:tblPr>
        <w:tblStyle w:val="4-41"/>
        <w:tblW w:w="497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8"/>
        <w:gridCol w:w="2071"/>
        <w:gridCol w:w="1932"/>
        <w:gridCol w:w="2040"/>
      </w:tblGrid>
      <w:tr w:rsidR="004D1721" w14:paraId="1B8FFD24" w14:textId="77777777" w:rsidTr="004D1721">
        <w:trPr>
          <w:cnfStyle w:val="100000000000" w:firstRow="1" w:lastRow="0" w:firstColumn="0" w:lastColumn="0" w:oddVBand="0" w:evenVBand="0" w:oddHBand="0"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1338" w:type="pct"/>
            <w:shd w:val="clear" w:color="auto" w:fill="002060"/>
            <w:vAlign w:val="center"/>
          </w:tcPr>
          <w:p w14:paraId="2DD94B4A"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关联交易类型</w:t>
            </w:r>
          </w:p>
        </w:tc>
        <w:tc>
          <w:tcPr>
            <w:tcW w:w="1255" w:type="pct"/>
            <w:shd w:val="clear" w:color="auto" w:fill="002060"/>
            <w:vAlign w:val="center"/>
          </w:tcPr>
          <w:p w14:paraId="042A2DA1"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境外交易金额</w:t>
            </w:r>
          </w:p>
          <w:p w14:paraId="6125218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A</w:t>
            </w:r>
          </w:p>
        </w:tc>
        <w:tc>
          <w:tcPr>
            <w:tcW w:w="1171" w:type="pct"/>
            <w:shd w:val="clear" w:color="auto" w:fill="002060"/>
            <w:vAlign w:val="center"/>
          </w:tcPr>
          <w:p w14:paraId="6883053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境内交易金额</w:t>
            </w:r>
          </w:p>
          <w:p w14:paraId="056AEC8A"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B</w:t>
            </w:r>
          </w:p>
        </w:tc>
        <w:tc>
          <w:tcPr>
            <w:tcW w:w="1236" w:type="pct"/>
            <w:shd w:val="clear" w:color="auto" w:fill="002060"/>
            <w:vAlign w:val="center"/>
          </w:tcPr>
          <w:p w14:paraId="72012566"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交易总额</w:t>
            </w:r>
          </w:p>
          <w:p w14:paraId="3104ADE5"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C=A+B</w:t>
            </w:r>
          </w:p>
        </w:tc>
      </w:tr>
      <w:tr w:rsidR="004D1721" w14:paraId="539BEEE8" w14:textId="77777777" w:rsidTr="004D1721">
        <w:trPr>
          <w:trHeight w:val="433"/>
        </w:trPr>
        <w:tc>
          <w:tcPr>
            <w:cnfStyle w:val="001000000000" w:firstRow="0" w:lastRow="0" w:firstColumn="1" w:lastColumn="0" w:oddVBand="0" w:evenVBand="0" w:oddHBand="0" w:evenHBand="0" w:firstRowFirstColumn="0" w:firstRowLastColumn="0" w:lastRowFirstColumn="0" w:lastRowLastColumn="0"/>
            <w:tcW w:w="1338" w:type="pct"/>
            <w:shd w:val="clear" w:color="auto" w:fill="auto"/>
            <w:vAlign w:val="center"/>
          </w:tcPr>
          <w:p w14:paraId="7DEF0479"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b w:val="0"/>
                <w:sz w:val="22"/>
                <w:szCs w:val="22"/>
              </w:rPr>
              <w:t>关联采购</w:t>
            </w:r>
          </w:p>
        </w:tc>
        <w:tc>
          <w:tcPr>
            <w:tcW w:w="1255" w:type="pct"/>
            <w:shd w:val="clear" w:color="auto" w:fill="auto"/>
            <w:vAlign w:val="center"/>
          </w:tcPr>
          <w:p w14:paraId="558B9137" w14:textId="4B049C24"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22,699,647.89</w:t>
            </w:r>
          </w:p>
        </w:tc>
        <w:tc>
          <w:tcPr>
            <w:tcW w:w="1171" w:type="pct"/>
            <w:shd w:val="clear" w:color="auto" w:fill="auto"/>
            <w:vAlign w:val="center"/>
          </w:tcPr>
          <w:p w14:paraId="664EBD2D"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0.00</w:t>
            </w:r>
          </w:p>
        </w:tc>
        <w:tc>
          <w:tcPr>
            <w:tcW w:w="1236" w:type="pct"/>
            <w:shd w:val="clear" w:color="auto" w:fill="auto"/>
            <w:vAlign w:val="center"/>
          </w:tcPr>
          <w:p w14:paraId="75BC4B26" w14:textId="0AE6FA81"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22,699,647.89</w:t>
            </w:r>
          </w:p>
        </w:tc>
      </w:tr>
      <w:tr w:rsidR="004D1721" w14:paraId="368511D9" w14:textId="77777777" w:rsidTr="004D1721">
        <w:trPr>
          <w:trHeight w:val="433"/>
        </w:trPr>
        <w:tc>
          <w:tcPr>
            <w:cnfStyle w:val="001000000000" w:firstRow="0" w:lastRow="0" w:firstColumn="1" w:lastColumn="0" w:oddVBand="0" w:evenVBand="0" w:oddHBand="0" w:evenHBand="0" w:firstRowFirstColumn="0" w:firstRowLastColumn="0" w:lastRowFirstColumn="0" w:lastRowLastColumn="0"/>
            <w:tcW w:w="1338" w:type="pct"/>
            <w:shd w:val="clear" w:color="auto" w:fill="auto"/>
            <w:vAlign w:val="center"/>
          </w:tcPr>
          <w:p w14:paraId="20292F19"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b w:val="0"/>
                <w:sz w:val="22"/>
                <w:szCs w:val="22"/>
              </w:rPr>
              <w:t>关联销售</w:t>
            </w:r>
          </w:p>
        </w:tc>
        <w:tc>
          <w:tcPr>
            <w:tcW w:w="1255" w:type="pct"/>
            <w:shd w:val="clear" w:color="auto" w:fill="auto"/>
            <w:vAlign w:val="center"/>
          </w:tcPr>
          <w:p w14:paraId="67008C60" w14:textId="2CEDA24E"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 xml:space="preserve"> {{　　　　其中：主营业务收入}}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xml:space="preserve"/>
            </w:r>
          </w:p>
        </w:tc>
        <w:tc>
          <w:tcPr>
            <w:tcW w:w="1171" w:type="pct"/>
            <w:shd w:val="clear" w:color="auto" w:fill="auto"/>
            <w:vAlign w:val="center"/>
          </w:tcPr>
          <w:p w14:paraId="1B1624DB" w14:textId="2C320953"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 xml:space="preserve"> 12,953,423.52 </w:t>
            </w:r>
            <w:r>
              <w:rPr>
                <w:rFonts w:ascii="Arial Narrow" w:eastAsia="仿宋_GB2312" w:hAnsi="Arial Narrow" w:cs="Arial" w:hint="eastAsia"/>
                <w:sz w:val="22"/>
                <w:szCs w:val="22"/>
              </w:rPr>
              <w:t/>
            </w:r>
            <w:r w:rsidRPr="005D08A5">
              <w:rPr>
                <w:rFonts w:ascii="Arial Narrow" w:eastAsia="仿宋_GB2312" w:hAnsi="Arial Narrow" w:cs="Arial"/>
                <w:sz w:val="22"/>
                <w:szCs w:val="22"/>
              </w:rPr>
              <w:t xml:space="preserve"/>
            </w:r>
          </w:p>
        </w:tc>
        <w:tc>
          <w:tcPr>
            <w:tcW w:w="1236" w:type="pct"/>
            <w:shd w:val="clear" w:color="auto" w:fill="auto"/>
            <w:vAlign w:val="center"/>
          </w:tcPr>
          <w:p w14:paraId="3B90A134" w14:textId="0BA8802B"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 xml:space="preserve"> 272,727,966.18 </w:t>
            </w:r>
            <w:r>
              <w:rPr>
                <w:rFonts w:ascii="Arial Narrow" w:eastAsia="仿宋_GB2312" w:hAnsi="Arial Narrow" w:cs="Arial" w:hint="eastAsia"/>
                <w:sz w:val="22"/>
                <w:szCs w:val="22"/>
              </w:rPr>
              <w:t/>
            </w:r>
            <w:r w:rsidRPr="005D08A5">
              <w:rPr>
                <w:rFonts w:ascii="Arial Narrow" w:eastAsia="仿宋_GB2312" w:hAnsi="Arial Narrow" w:cs="Arial"/>
                <w:sz w:val="22"/>
                <w:szCs w:val="22"/>
              </w:rPr>
              <w:t xml:space="preserve"/>
            </w:r>
          </w:p>
        </w:tc>
      </w:tr>
      <w:tr w:rsidR="004D1721" w14:paraId="0ECC1AF7" w14:textId="77777777" w:rsidTr="004D1721">
        <w:trPr>
          <w:trHeight w:val="433"/>
        </w:trPr>
        <w:tc>
          <w:tcPr>
            <w:cnfStyle w:val="001000000000" w:firstRow="0" w:lastRow="0" w:firstColumn="1" w:lastColumn="0" w:oddVBand="0" w:evenVBand="0" w:oddHBand="0" w:evenHBand="0" w:firstRowFirstColumn="0" w:firstRowLastColumn="0" w:lastRowFirstColumn="0" w:lastRowLastColumn="0"/>
            <w:tcW w:w="1338" w:type="pct"/>
            <w:shd w:val="clear" w:color="auto" w:fill="auto"/>
            <w:vAlign w:val="center"/>
          </w:tcPr>
          <w:p w14:paraId="2A0A7006"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总计</w:t>
            </w:r>
          </w:p>
        </w:tc>
        <w:tc>
          <w:tcPr>
            <w:tcW w:w="1255" w:type="pct"/>
            <w:shd w:val="clear" w:color="auto" w:fill="auto"/>
            <w:vAlign w:val="center"/>
          </w:tcPr>
          <w:p w14:paraId="6D7866E0" w14:textId="58970780"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hAnsi="Arial Narrow" w:cs="Arial"/>
                <w:b/>
                <w:sz w:val="22"/>
                <w:szCs w:val="22"/>
              </w:rPr>
            </w:pPr>
            <w:r>
              <w:rPr>
                <w:rFonts w:ascii="Arial Narrow" w:eastAsia="仿宋_GB2312" w:hAnsi="Arial Narrow" w:cs="Arial" w:hint="eastAsia"/>
                <w:b/>
                <w:sz w:val="22"/>
                <w:szCs w:val="22"/>
              </w:rPr>
              <w:t>282,474,190.55</w:t>
            </w:r>
          </w:p>
        </w:tc>
        <w:tc>
          <w:tcPr>
            <w:tcW w:w="1171" w:type="pct"/>
            <w:shd w:val="clear" w:color="auto" w:fill="auto"/>
            <w:vAlign w:val="center"/>
          </w:tcPr>
          <w:p w14:paraId="3F0F9144" w14:textId="7FB7963F"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
                <w:sz w:val="22"/>
                <w:szCs w:val="22"/>
              </w:rPr>
            </w:pPr>
            <w:r w:rsidRPr="005D08A5">
              <w:rPr>
                <w:rFonts w:ascii="Arial Narrow" w:eastAsia="仿宋_GB2312" w:hAnsi="Arial Narrow" w:cs="Arial"/>
                <w:b/>
                <w:sz w:val="22"/>
                <w:szCs w:val="22"/>
              </w:rPr>
              <w:t xml:space="preserve"> 12,953,423.52</w:t>
            </w:r>
            <w:r>
              <w:rPr>
                <w:rFonts w:ascii="Arial Narrow" w:eastAsia="仿宋_GB2312" w:hAnsi="Arial Narrow" w:cs="Arial" w:hint="eastAsia"/>
                <w:b/>
                <w:sz w:val="22"/>
                <w:szCs w:val="22"/>
              </w:rPr>
              <w:t/>
            </w:r>
          </w:p>
        </w:tc>
        <w:tc>
          <w:tcPr>
            <w:tcW w:w="1236" w:type="pct"/>
            <w:shd w:val="clear" w:color="auto" w:fill="auto"/>
            <w:vAlign w:val="center"/>
          </w:tcPr>
          <w:p w14:paraId="5344BB23" w14:textId="01DD3750"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
                <w:sz w:val="22"/>
                <w:szCs w:val="22"/>
              </w:rPr>
            </w:pPr>
            <w:r>
              <w:rPr>
                <w:rFonts w:ascii="Arial Narrow" w:eastAsia="仿宋_GB2312" w:hAnsi="Arial Narrow" w:cs="Arial" w:hint="eastAsia"/>
                <w:b/>
                <w:sz w:val="22"/>
                <w:szCs w:val="22"/>
              </w:rPr>
              <w:t>295,427,614.07</w:t>
            </w:r>
          </w:p>
        </w:tc>
      </w:tr>
    </w:tbl>
    <w:p w14:paraId="473322C3" w14:textId="77777777" w:rsidR="004D1721" w:rsidRDefault="009B16BC">
      <w:pPr>
        <w:rPr>
          <w:rFonts w:ascii="Arial Narrow" w:eastAsia="仿宋_GB2312" w:hAnsi="Arial Narrow" w:cs="Arial"/>
          <w:sz w:val="22"/>
          <w:szCs w:val="22"/>
        </w:rPr>
      </w:pPr>
      <w:r>
        <w:rPr>
          <w:rFonts w:ascii="Arial Narrow" w:eastAsia="仿宋_GB2312" w:hAnsi="Arial Narrow" w:cs="Arial"/>
          <w:i/>
          <w:iCs/>
          <w:sz w:val="16"/>
          <w:szCs w:val="16"/>
        </w:rPr>
        <w:t>信息来源：由松莉科技提供</w:t>
      </w:r>
      <w:bookmarkEnd w:id="347"/>
      <w:bookmarkEnd w:id="348"/>
      <w:bookmarkEnd w:id="349"/>
      <w:bookmarkEnd w:id="350"/>
    </w:p>
    <w:p w14:paraId="0FC9730D" w14:textId="77777777" w:rsidR="004D1721" w:rsidRDefault="009B16BC">
      <w:pPr>
        <w:pStyle w:val="Heading2"/>
        <w:rPr>
          <w:b/>
          <w:bCs/>
        </w:rPr>
      </w:pPr>
      <w:bookmarkStart w:id="351" w:name="_Toc53229069"/>
      <w:bookmarkStart w:id="352" w:name="_Toc140505123"/>
      <w:r>
        <w:t>关联购销</w:t>
      </w:r>
      <w:bookmarkEnd w:id="351"/>
      <w:bookmarkEnd w:id="352"/>
    </w:p>
    <w:p w14:paraId="3E4F75E4" w14:textId="77777777" w:rsidR="004D1721" w:rsidRDefault="009B16BC">
      <w:pPr>
        <w:pStyle w:val="Heading3"/>
        <w:rPr>
          <w:b/>
          <w:bCs/>
        </w:rPr>
      </w:pPr>
      <w:bookmarkStart w:id="353" w:name="_Toc140505124"/>
      <w:bookmarkStart w:id="354" w:name="_Toc53229070"/>
      <w:r>
        <w:t>交易流程</w:t>
      </w:r>
      <w:bookmarkEnd w:id="353"/>
      <w:bookmarkEnd w:id="354"/>
    </w:p>
    <w:p w14:paraId="096A8033" w14:textId="4E88C2F2"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评估期间，松莉科技从境外关联方采购原材料、半成品共计人民币22,699,647.89元，向境外关联方销售成品共计人民币 {{　　　　其中：主营业务收入}}元，向境内关联方销售成品共计人民币12,953,423.52 元。</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55C4EC3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松莉科技与关联方的关联购销交易流程如下图所示：</w:t>
      </w:r>
    </w:p>
    <w:p w14:paraId="7EA78D1D" w14:textId="6FAB95A7" w:rsidR="004D1721" w:rsidRDefault="009B16BC">
      <w:pPr>
        <w:adjustRightInd w:val="0"/>
        <w:snapToGrid w:val="0"/>
        <w:spacing w:before="240" w:after="240"/>
        <w:ind w:firstLine="475"/>
        <w:jc w:val="center"/>
        <w:rPr>
          <w:rFonts w:ascii="Arial Narrow" w:eastAsia="仿宋_GB2312" w:hAnsi="Arial Narrow" w:cs="Arial"/>
          <w:b/>
          <w:bCs/>
          <w:sz w:val="22"/>
        </w:rPr>
      </w:pPr>
      <w:r>
        <w:rPr>
          <w:rFonts w:ascii="Arial Narrow" w:eastAsia="仿宋_GB2312" w:hAnsi="Arial Narrow" w:cs="Arial"/>
          <w:b/>
          <w:sz w:val="22"/>
        </w:rPr>
        <w:t>图表 10：关联购销交易流程图</w:t>
      </w:r>
      <w:r>
        <w:rPr>
          <w:rFonts w:ascii="Arial Narrow" w:eastAsia="仿宋_GB2312" w:hAnsi="Arial Narrow" w:cs="Arial"/>
          <w:b/>
          <w:sz w:val="22"/>
        </w:rPr>
        <w:t xml:space="preserve"/>
      </w:r>
      <w:r>
        <w:rPr>
          <w:rFonts w:ascii="Arial Narrow" w:eastAsia="仿宋_GB2312" w:hAnsi="Arial Narrow" w:cs="Arial"/>
          <w:b/>
          <w:sz w:val="22"/>
        </w:rPr>
        <w:fldChar w:fldCharType="begin"/>
        <w:t/>
      </w:r>
      <w:r>
        <w:rPr>
          <w:rFonts w:ascii="Arial Narrow" w:eastAsia="仿宋_GB2312" w:hAnsi="Arial Narrow" w:cs="Arial"/>
          <w:b/>
          <w:sz w:val="22"/>
        </w:rPr>
        <w:instrText xml:space="preserve"> SEQ </w:instrText>
        <w:t/>
      </w:r>
      <w:r>
        <w:rPr>
          <w:rFonts w:ascii="Arial Narrow" w:eastAsia="仿宋_GB2312" w:hAnsi="Arial Narrow" w:cs="Arial"/>
          <w:b/>
          <w:sz w:val="22"/>
        </w:rPr>
        <w:instrText>图表</w:instrText>
        <w:t/>
      </w:r>
      <w:r>
        <w:rPr>
          <w:rFonts w:ascii="Arial Narrow" w:eastAsia="仿宋_GB2312" w:hAnsi="Arial Narrow" w:cs="Arial"/>
          <w:b/>
          <w:sz w:val="22"/>
        </w:rPr>
        <w:instrText xml:space="preserve"> \* ARABIC </w:instrText>
        <w:t/>
      </w:r>
      <w:r>
        <w:rPr>
          <w:rFonts w:ascii="Arial Narrow" w:eastAsia="仿宋_GB2312" w:hAnsi="Arial Narrow" w:cs="Arial"/>
          <w:b/>
          <w:sz w:val="22"/>
        </w:rPr>
        <w:fldChar w:fldCharType="separate"/>
        <w:t/>
      </w:r>
      <w:r>
        <w:rPr>
          <w:rFonts w:ascii="Arial Narrow" w:eastAsia="仿宋_GB2312" w:hAnsi="Arial Narrow" w:cs="Arial"/>
          <w:b/>
          <w:sz w:val="22"/>
        </w:rPr>
        <w:t/>
      </w:r>
      <w:r>
        <w:rPr>
          <w:rFonts w:ascii="Arial Narrow" w:eastAsia="仿宋_GB2312" w:hAnsi="Arial Narrow" w:cs="Arial"/>
          <w:b/>
          <w:sz w:val="22"/>
        </w:rPr>
        <w:fldChar w:fldCharType="end"/>
        <w:t/>
      </w:r>
      <w:r>
        <w:rPr>
          <w:rFonts w:ascii="Arial Narrow" w:eastAsia="仿宋_GB2312" w:hAnsi="Arial Narrow" w:cs="Arial"/>
          <w:b/>
          <w:bCs/>
          <w:sz w:val="22"/>
        </w:rPr>
        <w:t/>
      </w:r>
    </w:p>
    <w:p w14:paraId="7CDD9122" w14:textId="24991C69" w:rsidR="004D1721" w:rsidRDefault="009B16BC">
      <w:pPr>
        <w:adjustRightInd w:val="0"/>
        <w:snapToGrid w:val="0"/>
        <w:spacing w:before="240" w:after="240"/>
        <w:ind w:firstLine="475"/>
        <w:jc w:val="center"/>
        <w:rPr>
          <w:rFonts w:ascii="Arial Narrow" w:eastAsia="仿宋_GB2312" w:hAnsi="Arial Narrow" w:cs="Arial"/>
          <w:b/>
          <w:bCs/>
          <w:sz w:val="22"/>
        </w:rPr>
      </w:pPr>
      <w:r>
        <w:rPr>
          <w:noProof/>
        </w:rPr>
        <w:drawing>
          <wp:inline distT="0" distB="0" distL="0" distR="0">
            <wp:extent cx="5532755" cy="2164715"/>
            <wp:effectExtent l="0" t="0" r="14605" b="0"/>
            <wp:docPr id="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
                    <pic:cNvPicPr>
                      <a:picLocks noChangeAspect="1"/>
                    </pic:cNvPicPr>
                  </pic:nvPicPr>
                  <pic:blipFill>
                    <a:blip r:embed="rId29"/>
                    <a:stretch>
                      <a:fillRect/>
                    </a:stretch>
                  </pic:blipFill>
                  <pic:spPr>
                    <a:xfrm>
                      <a:off x="0" y="0"/>
                      <a:ext cx="5532755" cy="2164715"/>
                    </a:xfrm>
                    <a:prstGeom prst="rect">
                      <a:avLst/>
                    </a:prstGeom>
                    <a:noFill/>
                    <a:ln>
                      <a:noFill/>
                    </a:ln>
                  </pic:spPr>
                </pic:pic>
              </a:graphicData>
            </a:graphic>
          </wp:inline>
        </w:drawing>
      </w:r>
    </w:p>
    <w:p w14:paraId="5B15D271" w14:textId="77777777" w:rsidR="004D1721" w:rsidRDefault="009B16BC">
      <w:pPr>
        <w:rPr>
          <w:rFonts w:ascii="Arial Narrow" w:eastAsia="仿宋_GB2312" w:hAnsi="Arial Narrow" w:cs="Arial"/>
          <w:sz w:val="22"/>
          <w:szCs w:val="22"/>
        </w:rPr>
      </w:pPr>
      <w:r>
        <w:rPr>
          <w:rFonts w:ascii="Arial Narrow" w:eastAsia="仿宋_GB2312" w:hAnsi="Arial Narrow" w:cs="Arial"/>
          <w:i/>
          <w:iCs/>
          <w:sz w:val="16"/>
          <w:szCs w:val="16"/>
        </w:rPr>
        <w:t>信息来源：由松莉科技提供</w:t>
      </w:r>
    </w:p>
    <w:p w14:paraId="6F371416" w14:textId="77777777" w:rsidR="004D1721" w:rsidRDefault="009B16BC">
      <w:pPr>
        <w:pStyle w:val="Heading3"/>
        <w:rPr>
          <w:b/>
          <w:bCs/>
        </w:rPr>
      </w:pPr>
      <w:bookmarkStart w:id="355" w:name="_Toc53067913"/>
      <w:bookmarkStart w:id="356" w:name="_Toc53047075"/>
      <w:bookmarkStart w:id="357" w:name="_Toc53068720"/>
      <w:bookmarkStart w:id="358" w:name="_Toc53068056"/>
      <w:bookmarkStart w:id="359" w:name="_Toc53046609"/>
      <w:bookmarkStart w:id="360" w:name="_Toc53046608"/>
      <w:bookmarkStart w:id="361" w:name="_Toc53068233"/>
      <w:bookmarkStart w:id="362" w:name="_Toc53047073"/>
      <w:bookmarkStart w:id="363" w:name="_Toc53068441"/>
      <w:bookmarkStart w:id="364" w:name="_Toc53068580"/>
      <w:bookmarkStart w:id="365" w:name="_Toc53068054"/>
      <w:bookmarkStart w:id="366" w:name="_Toc53046758"/>
      <w:bookmarkStart w:id="367" w:name="_Toc53068234"/>
      <w:bookmarkStart w:id="368" w:name="_Toc53068579"/>
      <w:bookmarkStart w:id="369" w:name="_Toc53068581"/>
      <w:bookmarkStart w:id="370" w:name="_Toc53068719"/>
      <w:bookmarkStart w:id="371" w:name="_Toc53046760"/>
      <w:bookmarkStart w:id="372" w:name="_Toc53068439"/>
      <w:bookmarkStart w:id="373" w:name="_Toc53068055"/>
      <w:bookmarkStart w:id="374" w:name="_Toc53046607"/>
      <w:bookmarkStart w:id="375" w:name="_Toc53067912"/>
      <w:bookmarkStart w:id="376" w:name="_Toc53046759"/>
      <w:bookmarkStart w:id="377" w:name="_Toc53068232"/>
      <w:bookmarkStart w:id="378" w:name="_Toc53068440"/>
      <w:bookmarkStart w:id="379" w:name="_Toc53067914"/>
      <w:bookmarkStart w:id="380" w:name="_Toc53068718"/>
      <w:bookmarkStart w:id="381" w:name="_Toc53047074"/>
      <w:bookmarkStart w:id="382" w:name="_Toc53229071"/>
      <w:bookmarkStart w:id="383" w:name="_Toc140505125"/>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r>
        <w:t>交易明细</w:t>
      </w:r>
      <w:bookmarkEnd w:id="382"/>
      <w:bookmarkEnd w:id="383"/>
    </w:p>
    <w:p w14:paraId="2F0A846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384" w:name="_Toc50039003"/>
      <w:bookmarkStart w:id="385" w:name="_Toc50039000"/>
      <w:bookmarkStart w:id="386" w:name="_Toc49961739"/>
      <w:bookmarkStart w:id="387" w:name="_Toc49961722"/>
      <w:bookmarkStart w:id="388" w:name="_Toc50477773"/>
      <w:bookmarkStart w:id="389" w:name="_Toc50477752"/>
      <w:bookmarkStart w:id="390" w:name="_Toc50477749"/>
      <w:bookmarkStart w:id="391" w:name="_Toc50039004"/>
      <w:bookmarkStart w:id="392" w:name="_Toc50477751"/>
      <w:bookmarkStart w:id="393" w:name="_Toc50039020"/>
      <w:bookmarkStart w:id="394" w:name="_Toc50039035"/>
      <w:bookmarkStart w:id="395" w:name="_Toc49961734"/>
      <w:bookmarkStart w:id="396" w:name="_Toc50477763"/>
      <w:bookmarkStart w:id="397" w:name="_Toc50039040"/>
      <w:bookmarkStart w:id="398" w:name="_Toc50477788"/>
      <w:bookmarkStart w:id="399" w:name="_Toc50477778"/>
      <w:bookmarkStart w:id="400" w:name="_Toc50477768"/>
      <w:bookmarkStart w:id="401" w:name="_Toc50477750"/>
      <w:bookmarkStart w:id="402" w:name="_Toc49961721"/>
      <w:bookmarkStart w:id="403" w:name="_Toc50039002"/>
      <w:bookmarkStart w:id="404" w:name="_Toc50039001"/>
      <w:bookmarkStart w:id="405" w:name="_Toc49961719"/>
      <w:bookmarkStart w:id="406" w:name="_Toc49961720"/>
      <w:bookmarkStart w:id="407" w:name="_Toc50039015"/>
      <w:bookmarkStart w:id="408" w:name="_Toc49961744"/>
      <w:bookmarkStart w:id="409" w:name="_Toc49961754"/>
      <w:bookmarkStart w:id="410" w:name="_Toc50039025"/>
      <w:bookmarkStart w:id="411" w:name="_Toc50477748"/>
      <w:bookmarkStart w:id="412" w:name="_Toc50477783"/>
      <w:bookmarkStart w:id="413" w:name="_Toc50039030"/>
      <w:bookmarkStart w:id="414" w:name="_Toc49961759"/>
      <w:bookmarkStart w:id="415" w:name="_Toc49961749"/>
      <w:bookmarkStart w:id="416" w:name="_Toc49961773"/>
      <w:bookmarkStart w:id="417" w:name="_Toc50477802"/>
      <w:bookmarkStart w:id="418" w:name="_Toc50039054"/>
      <w:bookmarkStart w:id="419" w:name="_Toc49961723"/>
      <w:bookmarkStart w:id="420" w:name="_Toc48317437"/>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r>
        <w:rPr>
          <w:rFonts w:ascii="Arial Narrow" w:eastAsia="仿宋_GB2312" w:hAnsi="Arial Narrow" w:cs="Arial"/>
          <w:sz w:val="22"/>
          <w:szCs w:val="22"/>
        </w:rPr>
        <w:t>评估期间，松莉科技关联购销的关联方和交易金额如下表所示：</w:t>
      </w:r>
    </w:p>
    <w:p w14:paraId="4187544A"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7FB97D09" w14:textId="56D5F46F"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hint="eastAsia"/>
          <w:sz w:val="22"/>
        </w:rPr>
        <w:lastRenderedPageBreak/>
        <w:t>图表 11：2023年度关联购销明细表</w:t>
      </w:r>
      <w:r>
        <w:rPr>
          <w:rFonts w:ascii="Arial Narrow" w:eastAsia="仿宋_GB2312" w:hAnsi="Arial Narrow" w:cs="Arial"/>
          <w:sz w:val="22"/>
        </w:rPr>
        <w:t xml:space="preserve"/>
      </w:r>
      <w:r w:rsidRPr="00D50BC4">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hint="eastAsia"/>
          <w:sz w:val="22"/>
        </w:rPr>
        <w:instrText>图表</w:instrText>
        <w:t/>
      </w:r>
      <w:r>
        <w:rPr>
          <w:rFonts w:ascii="Arial Narrow" w:eastAsia="仿宋_GB2312" w:hAnsi="Arial Narrow" w:cs="Arial"/>
          <w:sz w:val="22"/>
        </w:rPr>
        <w:instrText xml:space="preserve"> \* ARABIC </w:instrText>
        <w:t/>
      </w:r>
      <w:r w:rsidRPr="005D08A5">
        <w:rPr>
          <w:rFonts w:ascii="Arial Narrow" w:eastAsia="仿宋_GB2312" w:hAnsi="Arial Narrow" w:cs="Arial"/>
          <w:sz w:val="22"/>
        </w:rPr>
        <w:fldChar w:fldCharType="separate"/>
        <w:t/>
      </w:r>
      <w:r>
        <w:rPr>
          <w:rFonts w:ascii="Arial Narrow" w:eastAsia="仿宋_GB2312" w:hAnsi="Arial Narrow" w:cs="Arial"/>
          <w:sz w:val="22"/>
        </w:rPr>
        <w:t/>
      </w:r>
      <w:r w:rsidRPr="00D50BC4">
        <w:rPr>
          <w:rFonts w:ascii="Arial Narrow" w:eastAsia="仿宋_GB2312" w:hAnsi="Arial Narrow" w:cs="Arial"/>
          <w:sz w:val="22"/>
        </w:rPr>
        <w:fldChar w:fldCharType="end"/>
        <w:t/>
      </w:r>
      <w:r>
        <w:rPr>
          <w:rFonts w:ascii="Arial Narrow" w:eastAsia="仿宋_GB2312" w:hAnsi="Arial Narrow" w:cs="Arial" w:hint="eastAsia"/>
          <w:sz w:val="22"/>
        </w:rPr>
        <w:t/>
      </w:r>
      <w:r>
        <w:rPr>
          <w:rFonts w:ascii="Arial Narrow" w:eastAsia="仿宋_GB2312" w:hAnsi="Arial Narrow" w:cs="Arial"/>
          <w:sz w:val="22"/>
        </w:rPr>
        <w:t/>
      </w:r>
      <w:r>
        <w:rPr>
          <w:rFonts w:ascii="Arial Narrow" w:eastAsia="仿宋_GB2312" w:hAnsi="Arial Narrow" w:cs="Arial" w:hint="eastAsia"/>
          <w:sz w:val="22"/>
        </w:rPr>
        <w:t/>
      </w:r>
    </w:p>
    <w:tbl>
      <w:tblPr>
        <w:tblW w:w="8495" w:type="dxa"/>
        <w:tblLayout w:type="fixed"/>
        <w:tblLook w:val="04A0" w:firstRow="1" w:lastRow="0" w:firstColumn="1" w:lastColumn="0" w:noHBand="0" w:noVBand="1"/>
      </w:tblPr>
      <w:tblGrid>
        <w:gridCol w:w="699"/>
        <w:gridCol w:w="3969"/>
        <w:gridCol w:w="2200"/>
        <w:gridCol w:w="1627"/>
      </w:tblGrid>
      <w:tr w:rsidR="004D1721" w14:paraId="1E56D496" w14:textId="77777777">
        <w:trPr>
          <w:trHeight w:val="615"/>
          <w:tblHeader/>
        </w:trPr>
        <w:tc>
          <w:tcPr>
            <w:tcW w:w="4668" w:type="dxa"/>
            <w:gridSpan w:val="2"/>
            <w:tcBorders>
              <w:top w:val="single" w:sz="8" w:space="0" w:color="auto"/>
              <w:left w:val="single" w:sz="8" w:space="0" w:color="auto"/>
              <w:bottom w:val="single" w:sz="8" w:space="0" w:color="auto"/>
              <w:right w:val="single" w:sz="8" w:space="0" w:color="auto"/>
            </w:tcBorders>
            <w:shd w:val="clear" w:color="auto" w:fill="002060"/>
            <w:vAlign w:val="center"/>
          </w:tcPr>
          <w:p w14:paraId="09FEC087" w14:textId="77777777" w:rsidR="004D1721" w:rsidRDefault="009B16BC">
            <w:pPr>
              <w:jc w:val="center"/>
              <w:rPr>
                <w:rFonts w:ascii="Arial Narrow" w:eastAsia="仿宋_GB2312" w:hAnsi="Arial Narrow" w:cs="Arial"/>
                <w:b/>
                <w:bCs/>
                <w:color w:val="FFFFFF"/>
                <w:sz w:val="22"/>
                <w:szCs w:val="22"/>
              </w:rPr>
            </w:pPr>
            <w:r>
              <w:rPr>
                <w:rFonts w:ascii="Arial Narrow" w:eastAsia="仿宋_GB2312" w:hAnsi="Arial Narrow" w:cs="Arial"/>
                <w:b/>
                <w:bCs/>
                <w:color w:val="FFFFFF"/>
                <w:sz w:val="22"/>
                <w:szCs w:val="22"/>
              </w:rPr>
              <w:t>关联方名称</w:t>
            </w:r>
          </w:p>
        </w:tc>
        <w:tc>
          <w:tcPr>
            <w:tcW w:w="2200" w:type="dxa"/>
            <w:tcBorders>
              <w:top w:val="single" w:sz="8" w:space="0" w:color="auto"/>
              <w:left w:val="single" w:sz="8" w:space="0" w:color="auto"/>
              <w:bottom w:val="single" w:sz="8" w:space="0" w:color="auto"/>
              <w:right w:val="single" w:sz="8" w:space="0" w:color="auto"/>
            </w:tcBorders>
            <w:shd w:val="clear" w:color="auto" w:fill="002060"/>
            <w:vAlign w:val="center"/>
          </w:tcPr>
          <w:p w14:paraId="0D2CB112" w14:textId="77777777" w:rsidR="004D1721" w:rsidRDefault="009B16BC">
            <w:pPr>
              <w:jc w:val="center"/>
              <w:rPr>
                <w:rFonts w:ascii="Arial Narrow" w:eastAsia="仿宋_GB2312" w:hAnsi="Arial Narrow" w:cs="Arial"/>
                <w:b/>
                <w:bCs/>
                <w:color w:val="FFFFFF"/>
                <w:sz w:val="22"/>
                <w:szCs w:val="22"/>
              </w:rPr>
            </w:pPr>
            <w:r>
              <w:rPr>
                <w:rFonts w:ascii="Arial Narrow" w:eastAsia="仿宋_GB2312" w:hAnsi="Arial Narrow" w:cs="Arial"/>
                <w:b/>
                <w:bCs/>
                <w:color w:val="FFFFFF"/>
                <w:sz w:val="22"/>
                <w:szCs w:val="22"/>
              </w:rPr>
              <w:t>交易金额</w:t>
            </w:r>
          </w:p>
        </w:tc>
        <w:tc>
          <w:tcPr>
            <w:tcW w:w="1627" w:type="dxa"/>
            <w:tcBorders>
              <w:top w:val="single" w:sz="8" w:space="0" w:color="auto"/>
              <w:left w:val="single" w:sz="8" w:space="0" w:color="auto"/>
              <w:bottom w:val="single" w:sz="8" w:space="0" w:color="auto"/>
              <w:right w:val="single" w:sz="8" w:space="0" w:color="auto"/>
            </w:tcBorders>
            <w:shd w:val="clear" w:color="auto" w:fill="002060"/>
            <w:vAlign w:val="center"/>
          </w:tcPr>
          <w:p w14:paraId="0691B198" w14:textId="77777777" w:rsidR="004D1721" w:rsidRDefault="009B16BC">
            <w:pPr>
              <w:jc w:val="center"/>
              <w:rPr>
                <w:rFonts w:ascii="Arial Narrow" w:eastAsia="仿宋_GB2312" w:hAnsi="Arial Narrow" w:cs="Arial"/>
                <w:b/>
                <w:bCs/>
                <w:color w:val="FFFFFF"/>
                <w:sz w:val="22"/>
                <w:szCs w:val="22"/>
              </w:rPr>
            </w:pPr>
            <w:r>
              <w:rPr>
                <w:rFonts w:ascii="Arial Narrow" w:eastAsia="仿宋_GB2312" w:hAnsi="Arial Narrow" w:cs="Arial"/>
                <w:b/>
                <w:bCs/>
                <w:color w:val="FFFFFF"/>
                <w:sz w:val="22"/>
                <w:szCs w:val="22"/>
              </w:rPr>
              <w:t>占采购、销售总额比例(%)</w:t>
            </w:r>
            <w:r>
              <w:rPr>
                <w:rFonts w:ascii="Arial Narrow" w:eastAsia="仿宋_GB2312" w:hAnsi="Arial Narrow" w:cs="Arial"/>
                <w:b/>
                <w:bCs/>
                <w:color w:val="FFFFFF"/>
                <w:sz w:val="22"/>
                <w:szCs w:val="22"/>
              </w:rPr>
              <w:t/>
            </w:r>
          </w:p>
        </w:tc>
      </w:tr>
      <w:tr w:rsidR="004D1721" w14:paraId="6DF84331" w14:textId="77777777">
        <w:trPr>
          <w:trHeight w:val="340"/>
        </w:trPr>
        <w:tc>
          <w:tcPr>
            <w:tcW w:w="699" w:type="dxa"/>
            <w:vMerge w:val="restart"/>
            <w:tcBorders>
              <w:top w:val="nil"/>
              <w:left w:val="single" w:sz="8" w:space="0" w:color="auto"/>
              <w:right w:val="single" w:sz="8" w:space="0" w:color="auto"/>
            </w:tcBorders>
            <w:shd w:val="clear" w:color="auto" w:fill="auto"/>
            <w:vAlign w:val="center"/>
          </w:tcPr>
          <w:p w14:paraId="04263319"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关联</w:t>
            </w:r>
          </w:p>
          <w:p w14:paraId="4882E6D3"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采购</w:t>
            </w: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60DE14F3"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Markwins International Corporation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42D6A87C" w14:textId="690F1FB6"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19,022,714.40</w:t>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400A80B4" w14:textId="1B6DCB35"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6.44%</w:t>
            </w:r>
          </w:p>
        </w:tc>
      </w:tr>
      <w:tr w:rsidR="004D1721" w14:paraId="10FE68A7" w14:textId="77777777">
        <w:trPr>
          <w:trHeight w:val="340"/>
        </w:trPr>
        <w:tc>
          <w:tcPr>
            <w:tcW w:w="699" w:type="dxa"/>
            <w:vMerge/>
            <w:tcBorders>
              <w:left w:val="single" w:sz="8" w:space="0" w:color="auto"/>
              <w:bottom w:val="single" w:sz="8" w:space="0" w:color="000000"/>
              <w:right w:val="single" w:sz="8" w:space="0" w:color="auto"/>
            </w:tcBorders>
            <w:shd w:val="clear" w:color="auto" w:fill="auto"/>
            <w:vAlign w:val="center"/>
          </w:tcPr>
          <w:p w14:paraId="6836ABC7" w14:textId="77777777" w:rsidR="004D1721" w:rsidRDefault="004D1721">
            <w:pPr>
              <w:rPr>
                <w:rFonts w:ascii="Arial Narrow" w:eastAsia="仿宋_GB2312" w:hAnsi="Arial Narrow" w:cs="Arial"/>
                <w:color w:val="000000"/>
                <w:sz w:val="22"/>
                <w:szCs w:val="22"/>
              </w:rPr>
            </w:pP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1468F099"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Pro Art Cosmetics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18E2E85D" w14:textId="5E196AC5" w:rsidR="004D1721" w:rsidRDefault="009B16BC">
            <w:pPr>
              <w:jc w:val="right"/>
              <w:rPr>
                <w:rFonts w:ascii="Arial Narrow" w:eastAsia="仿宋_GB2312" w:hAnsi="Arial Narrow" w:cs="Arial"/>
                <w:color w:val="000000"/>
                <w:kern w:val="0"/>
                <w:sz w:val="22"/>
                <w:szCs w:val="22"/>
              </w:rPr>
            </w:pPr>
            <w:r w:rsidRPr="005D08A5">
              <w:rPr>
                <w:rFonts w:ascii="Arial Narrow" w:eastAsia="仿宋_GB2312" w:hAnsi="Arial Narrow" w:cs="Arial"/>
                <w:color w:val="000000"/>
                <w:kern w:val="0"/>
                <w:sz w:val="22"/>
                <w:szCs w:val="22"/>
              </w:rPr>
              <w:t>3,676,933.49</w:t>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53F8F5E6" w14:textId="2FBCB950"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1.24%</w:t>
            </w:r>
          </w:p>
        </w:tc>
      </w:tr>
      <w:tr w:rsidR="004D1721" w14:paraId="7AD612BE" w14:textId="77777777">
        <w:trPr>
          <w:trHeight w:val="340"/>
        </w:trPr>
        <w:tc>
          <w:tcPr>
            <w:tcW w:w="4668" w:type="dxa"/>
            <w:gridSpan w:val="2"/>
            <w:tcBorders>
              <w:top w:val="nil"/>
              <w:left w:val="single" w:sz="8" w:space="0" w:color="auto"/>
              <w:bottom w:val="single" w:sz="8" w:space="0" w:color="000000"/>
              <w:right w:val="single" w:sz="8" w:space="0" w:color="auto"/>
            </w:tcBorders>
            <w:vAlign w:val="center"/>
          </w:tcPr>
          <w:p w14:paraId="0B0177F5"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b/>
                <w:bCs/>
                <w:color w:val="000000"/>
                <w:sz w:val="22"/>
                <w:szCs w:val="22"/>
              </w:rPr>
              <w:t>关联采购总计</w:t>
            </w:r>
          </w:p>
        </w:tc>
        <w:tc>
          <w:tcPr>
            <w:tcW w:w="2200" w:type="dxa"/>
            <w:tcBorders>
              <w:top w:val="single" w:sz="8" w:space="0" w:color="auto"/>
              <w:left w:val="nil"/>
              <w:bottom w:val="single" w:sz="8" w:space="0" w:color="auto"/>
              <w:right w:val="single" w:sz="8" w:space="0" w:color="auto"/>
            </w:tcBorders>
            <w:shd w:val="clear" w:color="auto" w:fill="auto"/>
            <w:vAlign w:val="center"/>
          </w:tcPr>
          <w:p w14:paraId="5263A8B3" w14:textId="761E0C0C" w:rsidR="004D1721" w:rsidRDefault="009B16BC">
            <w:pPr>
              <w:jc w:val="right"/>
              <w:rPr>
                <w:rFonts w:ascii="Arial Narrow" w:eastAsia="仿宋_GB2312" w:hAnsi="Arial Narrow" w:cs="Arial"/>
                <w:b/>
                <w:bCs/>
                <w:color w:val="000000"/>
                <w:sz w:val="22"/>
                <w:szCs w:val="22"/>
              </w:rPr>
            </w:pPr>
            <w:r w:rsidRPr="005D08A5">
              <w:rPr>
                <w:rFonts w:ascii="Arial Narrow" w:eastAsia="仿宋_GB2312" w:hAnsi="Arial Narrow" w:cs="Arial"/>
                <w:b/>
                <w:bCs/>
                <w:color w:val="000000"/>
                <w:sz w:val="22"/>
                <w:szCs w:val="22"/>
              </w:rPr>
              <w:t>22,699,647.89</w:t>
            </w:r>
          </w:p>
        </w:tc>
        <w:tc>
          <w:tcPr>
            <w:tcW w:w="1627" w:type="dxa"/>
            <w:tcBorders>
              <w:top w:val="single" w:sz="8" w:space="0" w:color="auto"/>
              <w:left w:val="nil"/>
              <w:bottom w:val="single" w:sz="8" w:space="0" w:color="auto"/>
              <w:right w:val="single" w:sz="8" w:space="0" w:color="auto"/>
            </w:tcBorders>
            <w:shd w:val="clear" w:color="auto" w:fill="auto"/>
            <w:vAlign w:val="center"/>
          </w:tcPr>
          <w:p w14:paraId="544BCBCB" w14:textId="4B4A85E6" w:rsidR="004D1721" w:rsidRDefault="009B16BC">
            <w:pPr>
              <w:jc w:val="right"/>
              <w:rPr>
                <w:rFonts w:ascii="Arial Narrow" w:eastAsia="仿宋_GB2312" w:hAnsi="Arial Narrow" w:cs="Arial"/>
                <w:b/>
                <w:color w:val="000000"/>
                <w:sz w:val="22"/>
                <w:szCs w:val="22"/>
              </w:rPr>
            </w:pPr>
            <w:r>
              <w:rPr>
                <w:rFonts w:ascii="Arial Narrow" w:eastAsia="仿宋_GB2312" w:hAnsi="Arial Narrow" w:cs="Arial" w:hint="eastAsia"/>
                <w:b/>
                <w:bCs/>
                <w:color w:val="000000"/>
                <w:sz w:val="22"/>
                <w:szCs w:val="22"/>
              </w:rPr>
              <w:t>7.68%</w:t>
            </w:r>
          </w:p>
        </w:tc>
      </w:tr>
      <w:tr w:rsidR="004D1721" w14:paraId="7C8C8DA2" w14:textId="77777777">
        <w:trPr>
          <w:trHeight w:val="340"/>
        </w:trPr>
        <w:tc>
          <w:tcPr>
            <w:tcW w:w="699" w:type="dxa"/>
            <w:vMerge w:val="restart"/>
            <w:tcBorders>
              <w:top w:val="nil"/>
              <w:left w:val="single" w:sz="8" w:space="0" w:color="auto"/>
              <w:right w:val="single" w:sz="8" w:space="0" w:color="auto"/>
            </w:tcBorders>
            <w:shd w:val="clear" w:color="auto" w:fill="auto"/>
            <w:vAlign w:val="center"/>
          </w:tcPr>
          <w:p w14:paraId="019A07BA"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关联</w:t>
            </w:r>
          </w:p>
          <w:p w14:paraId="0D271210"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销售</w:t>
            </w: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2EEC98BA"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Markwins International Corporation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45ABDD4B" w14:textId="5E592A9C"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 xml:space="preserve"> 178,594,871.60 </w:t>
            </w:r>
            <w:r>
              <w:rPr>
                <w:rFonts w:ascii="Arial Narrow" w:eastAsia="仿宋_GB2312" w:hAnsi="Arial Narrow" w:cs="Arial" w:hint="eastAsia"/>
                <w:color w:val="000000"/>
                <w:sz w:val="22"/>
                <w:szCs w:val="22"/>
              </w:rPr>
              <w:t/>
            </w:r>
            <w:r w:rsidRPr="005D08A5">
              <w:rPr>
                <w:rFonts w:ascii="Arial Narrow" w:eastAsia="仿宋_GB2312" w:hAnsi="Arial Narrow" w:cs="Arial"/>
                <w:color w:val="000000"/>
                <w:sz w:val="22"/>
                <w:szCs w:val="22"/>
              </w:rPr>
              <w:t xml:space="preserve"/>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6D554D8A" w14:textId="1AEE6575"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60.45%</w:t>
            </w:r>
          </w:p>
        </w:tc>
      </w:tr>
      <w:tr w:rsidR="004D1721" w14:paraId="0B32B2EB" w14:textId="77777777">
        <w:trPr>
          <w:trHeight w:val="340"/>
        </w:trPr>
        <w:tc>
          <w:tcPr>
            <w:tcW w:w="699" w:type="dxa"/>
            <w:vMerge/>
            <w:tcBorders>
              <w:left w:val="single" w:sz="8" w:space="0" w:color="auto"/>
              <w:right w:val="single" w:sz="8" w:space="0" w:color="auto"/>
            </w:tcBorders>
            <w:shd w:val="clear" w:color="auto" w:fill="auto"/>
            <w:vAlign w:val="center"/>
          </w:tcPr>
          <w:p w14:paraId="37226C46" w14:textId="77777777" w:rsidR="004D1721" w:rsidRDefault="004D1721">
            <w:pPr>
              <w:rPr>
                <w:rFonts w:ascii="Arial Narrow" w:eastAsia="仿宋_GB2312" w:hAnsi="Arial Narrow" w:cs="Arial"/>
                <w:color w:val="000000"/>
                <w:sz w:val="22"/>
                <w:szCs w:val="22"/>
              </w:rPr>
            </w:pP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3EA08CFA"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Pro Art Cosmetics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304D1A9A" w14:textId="46B6EBDB"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 xml:space="preserve"> 81,179,671.06 </w:t>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1902603D" w14:textId="288EB897"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27.48%</w:t>
            </w:r>
          </w:p>
        </w:tc>
      </w:tr>
      <w:tr w:rsidR="004D1721" w14:paraId="5CCB33CD" w14:textId="77777777">
        <w:trPr>
          <w:trHeight w:val="340"/>
        </w:trPr>
        <w:tc>
          <w:tcPr>
            <w:tcW w:w="699" w:type="dxa"/>
            <w:vMerge/>
            <w:tcBorders>
              <w:left w:val="single" w:sz="8" w:space="0" w:color="auto"/>
              <w:right w:val="single" w:sz="8" w:space="0" w:color="auto"/>
            </w:tcBorders>
            <w:shd w:val="clear" w:color="auto" w:fill="auto"/>
            <w:vAlign w:val="center"/>
          </w:tcPr>
          <w:p w14:paraId="3306A209" w14:textId="77777777" w:rsidR="004D1721" w:rsidRDefault="004D1721">
            <w:pPr>
              <w:rPr>
                <w:rFonts w:ascii="Arial Narrow" w:eastAsia="仿宋_GB2312" w:hAnsi="Arial Narrow" w:cs="Arial"/>
                <w:color w:val="000000"/>
                <w:sz w:val="22"/>
                <w:szCs w:val="22"/>
              </w:rPr>
            </w:pP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208303BF"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美缤纷品牌管理（上海）有限公司</w:t>
            </w:r>
          </w:p>
        </w:tc>
        <w:tc>
          <w:tcPr>
            <w:tcW w:w="220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5D336D02" w14:textId="367DE5D3"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 xml:space="preserve"> 12,953,423.52 </w:t>
            </w:r>
            <w:r>
              <w:rPr>
                <w:rFonts w:ascii="Arial Narrow" w:eastAsia="仿宋_GB2312" w:hAnsi="Arial Narrow" w:cs="Arial" w:hint="eastAsia"/>
                <w:color w:val="000000"/>
                <w:sz w:val="22"/>
                <w:szCs w:val="22"/>
              </w:rPr>
              <w:t/>
            </w:r>
            <w:r w:rsidRPr="005D08A5">
              <w:rPr>
                <w:rFonts w:ascii="Arial Narrow" w:eastAsia="仿宋_GB2312" w:hAnsi="Arial Narrow" w:cs="Arial"/>
                <w:color w:val="000000"/>
                <w:sz w:val="22"/>
                <w:szCs w:val="22"/>
              </w:rPr>
              <w:t xml:space="preserve"/>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18E9CF87" w14:textId="27047AD9"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4.38%</w:t>
            </w:r>
          </w:p>
        </w:tc>
      </w:tr>
      <w:tr w:rsidR="004D1721" w14:paraId="5917552F" w14:textId="77777777">
        <w:trPr>
          <w:trHeight w:val="340"/>
        </w:trPr>
        <w:tc>
          <w:tcPr>
            <w:tcW w:w="4668"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7A8F1D6E" w14:textId="77777777" w:rsidR="004D1721" w:rsidRDefault="009B16BC">
            <w:pPr>
              <w:rPr>
                <w:rFonts w:ascii="Arial Narrow" w:eastAsia="仿宋_GB2312" w:hAnsi="Arial Narrow" w:cs="Arial"/>
                <w:b/>
                <w:bCs/>
                <w:color w:val="000000"/>
                <w:sz w:val="22"/>
                <w:szCs w:val="22"/>
              </w:rPr>
            </w:pPr>
            <w:r>
              <w:rPr>
                <w:rFonts w:ascii="Arial Narrow" w:eastAsia="仿宋_GB2312" w:hAnsi="Arial Narrow" w:cs="Arial"/>
                <w:b/>
                <w:bCs/>
                <w:color w:val="000000"/>
                <w:sz w:val="22"/>
                <w:szCs w:val="22"/>
              </w:rPr>
              <w:t xml:space="preserve">关联销售总计 </w:t>
            </w:r>
            <w:r>
              <w:rPr>
                <w:rFonts w:ascii="Arial Narrow" w:eastAsia="仿宋_GB2312" w:hAnsi="Arial Narrow" w:cs="Arial"/>
                <w:b/>
                <w:bCs/>
                <w:color w:val="000000"/>
                <w:sz w:val="22"/>
                <w:szCs w:val="22"/>
              </w:rPr>
              <w:t xml:space="preserve"/>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5F68FC9F" w14:textId="71E99FE2" w:rsidR="004D1721" w:rsidRDefault="009B16BC">
            <w:pPr>
              <w:jc w:val="right"/>
              <w:rPr>
                <w:rFonts w:ascii="Arial Narrow" w:eastAsia="仿宋_GB2312" w:hAnsi="Arial Narrow" w:cs="Arial"/>
                <w:b/>
                <w:bCs/>
                <w:color w:val="000000"/>
                <w:sz w:val="22"/>
                <w:szCs w:val="22"/>
              </w:rPr>
            </w:pPr>
            <w:r w:rsidRPr="005D08A5">
              <w:rPr>
                <w:rFonts w:ascii="Arial Narrow" w:eastAsia="仿宋_GB2312" w:hAnsi="Arial Narrow" w:cs="Arial"/>
                <w:b/>
                <w:color w:val="000000"/>
                <w:sz w:val="22"/>
                <w:szCs w:val="22"/>
              </w:rPr>
              <w:t xml:space="preserve"> 272,727,966.18 </w:t>
            </w:r>
            <w:r>
              <w:rPr>
                <w:rFonts w:ascii="Arial Narrow" w:eastAsia="仿宋_GB2312" w:hAnsi="Arial Narrow" w:cs="Arial" w:hint="eastAsia"/>
                <w:b/>
                <w:color w:val="000000"/>
                <w:sz w:val="22"/>
                <w:szCs w:val="22"/>
              </w:rPr>
              <w:t/>
            </w:r>
            <w:r w:rsidRPr="005D08A5">
              <w:rPr>
                <w:rFonts w:ascii="Arial Narrow" w:eastAsia="仿宋_GB2312" w:hAnsi="Arial Narrow" w:cs="Arial"/>
                <w:b/>
                <w:color w:val="000000"/>
                <w:sz w:val="22"/>
                <w:szCs w:val="22"/>
              </w:rPr>
              <w:t xml:space="preserve"/>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59B03CBF" w14:textId="7C76988F" w:rsidR="004D1721" w:rsidRDefault="009B16BC">
            <w:pPr>
              <w:jc w:val="right"/>
              <w:rPr>
                <w:rFonts w:ascii="Arial Narrow" w:eastAsia="仿宋_GB2312" w:hAnsi="Arial Narrow" w:cs="Arial"/>
                <w:b/>
                <w:color w:val="000000"/>
                <w:sz w:val="22"/>
                <w:szCs w:val="22"/>
              </w:rPr>
            </w:pPr>
            <w:r>
              <w:rPr>
                <w:rFonts w:ascii="Arial Narrow" w:eastAsia="仿宋_GB2312" w:hAnsi="Arial Narrow" w:cs="Arial" w:hint="eastAsia"/>
                <w:b/>
                <w:color w:val="000000"/>
                <w:sz w:val="22"/>
                <w:szCs w:val="22"/>
              </w:rPr>
              <w:t>92.32%</w:t>
            </w:r>
          </w:p>
        </w:tc>
      </w:tr>
    </w:tbl>
    <w:p w14:paraId="6F2BD831" w14:textId="77777777"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信息来源：由松莉科技提供</w:t>
      </w:r>
      <w:bookmarkEnd w:id="420"/>
    </w:p>
    <w:p w14:paraId="0011D421" w14:textId="77777777" w:rsidR="004D1721" w:rsidRDefault="009B16BC">
      <w:pPr>
        <w:pStyle w:val="Heading3"/>
        <w:rPr>
          <w:b/>
          <w:bCs/>
        </w:rPr>
      </w:pPr>
      <w:bookmarkStart w:id="421" w:name="_Toc140505126"/>
      <w:bookmarkStart w:id="422" w:name="_Toc53229072"/>
      <w:r>
        <w:t>交易定价政策</w:t>
      </w:r>
      <w:bookmarkEnd w:id="421"/>
      <w:bookmarkEnd w:id="422"/>
    </w:p>
    <w:p w14:paraId="4703A11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423" w:name="_Toc48317443"/>
      <w:bookmarkStart w:id="424" w:name="_Toc48317139"/>
      <w:r>
        <w:rPr>
          <w:rFonts w:ascii="Arial Narrow" w:eastAsia="仿宋_GB2312" w:hAnsi="Arial Narrow" w:cs="Arial"/>
          <w:sz w:val="22"/>
          <w:szCs w:val="22"/>
        </w:rPr>
        <w:t>对于关联采购价格，松莉科技与境外关联方参考市场价格制定；对于关联销售价格，松莉科技参考标准生产成本加上一定利润率的方式以及产品市场价格进行综合制定。松莉科技与境内关联方的关联购销交易以人民币结算，与境外关联方的关联购销以外币进行结算。</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bookmarkEnd w:id="423"/>
      <w:bookmarkEnd w:id="424"/>
    </w:p>
    <w:p w14:paraId="71471A63" w14:textId="77777777" w:rsidR="004D1721" w:rsidRDefault="009B16BC">
      <w:pPr>
        <w:pStyle w:val="Heading2"/>
        <w:rPr>
          <w:b/>
        </w:rPr>
      </w:pPr>
      <w:bookmarkStart w:id="425" w:name="_Toc53067917"/>
      <w:bookmarkStart w:id="426" w:name="_Toc53067926"/>
      <w:bookmarkStart w:id="427" w:name="_Toc53068592"/>
      <w:bookmarkStart w:id="428" w:name="_Toc53046621"/>
      <w:bookmarkStart w:id="429" w:name="_Toc53068127"/>
      <w:bookmarkStart w:id="430" w:name="_Toc53068594"/>
      <w:bookmarkStart w:id="431" w:name="_Toc85042556"/>
      <w:bookmarkStart w:id="432" w:name="_Toc85042551"/>
      <w:bookmarkStart w:id="433" w:name="_Toc53068733"/>
      <w:bookmarkStart w:id="434" w:name="_Toc85042549"/>
      <w:bookmarkStart w:id="435" w:name="_Toc85557551"/>
      <w:bookmarkStart w:id="436" w:name="_Toc53067924"/>
      <w:bookmarkStart w:id="437" w:name="_Toc85622921"/>
      <w:bookmarkStart w:id="438" w:name="_Toc85557507"/>
      <w:bookmarkStart w:id="439" w:name="_Toc75432537"/>
      <w:bookmarkStart w:id="440" w:name="_Toc53067987"/>
      <w:bookmarkStart w:id="441" w:name="_Toc85557508"/>
      <w:bookmarkStart w:id="442" w:name="_Toc85042553"/>
      <w:bookmarkStart w:id="443" w:name="_Toc85622870"/>
      <w:bookmarkStart w:id="444" w:name="_Toc53067927"/>
      <w:bookmarkStart w:id="445" w:name="_Toc85622872"/>
      <w:bookmarkStart w:id="446" w:name="_Toc53068444"/>
      <w:bookmarkStart w:id="447" w:name="_Toc85622918"/>
      <w:bookmarkStart w:id="448" w:name="_Toc85557639"/>
      <w:bookmarkStart w:id="449" w:name="_Toc53068246"/>
      <w:bookmarkStart w:id="450" w:name="_Toc53068452"/>
      <w:bookmarkStart w:id="451" w:name="_Toc85557688"/>
      <w:bookmarkStart w:id="452" w:name="_Toc53068308"/>
      <w:bookmarkStart w:id="453" w:name="_Toc85042547"/>
      <w:bookmarkStart w:id="454" w:name="_Toc53068454"/>
      <w:bookmarkStart w:id="455" w:name="_Toc53068584"/>
      <w:bookmarkStart w:id="456" w:name="_Toc53068732"/>
      <w:bookmarkStart w:id="457" w:name="_Toc53068244"/>
      <w:bookmarkStart w:id="458" w:name="_Toc53046773"/>
      <w:bookmarkStart w:id="459" w:name="_Toc53068453"/>
      <w:bookmarkStart w:id="460" w:name="_Toc53068451"/>
      <w:bookmarkStart w:id="461" w:name="_Toc85622871"/>
      <w:bookmarkStart w:id="462" w:name="_Toc53046763"/>
      <w:bookmarkStart w:id="463" w:name="_Toc85622927"/>
      <w:bookmarkStart w:id="464" w:name="_Toc85557510"/>
      <w:bookmarkStart w:id="465" w:name="_Toc53068655"/>
      <w:bookmarkStart w:id="466" w:name="_Toc85557556"/>
      <w:bookmarkStart w:id="467" w:name="_Toc85557693"/>
      <w:bookmarkStart w:id="468" w:name="_Toc85557684"/>
      <w:bookmarkStart w:id="469" w:name="_Toc85622875"/>
      <w:bookmarkStart w:id="470" w:name="_Toc85557504"/>
      <w:bookmarkStart w:id="471" w:name="_Toc85622926"/>
      <w:bookmarkStart w:id="472" w:name="_Toc53067985"/>
      <w:bookmarkStart w:id="473" w:name="_Toc85557690"/>
      <w:bookmarkStart w:id="474" w:name="_Toc85622923"/>
      <w:bookmarkStart w:id="475" w:name="_Toc85042554"/>
      <w:bookmarkStart w:id="476" w:name="_Toc85042552"/>
      <w:bookmarkStart w:id="477" w:name="_Toc53046612"/>
      <w:bookmarkStart w:id="478" w:name="_Toc85557503"/>
      <w:bookmarkStart w:id="479" w:name="_Toc85622919"/>
      <w:bookmarkStart w:id="480" w:name="_Toc85557555"/>
      <w:bookmarkStart w:id="481" w:name="_Toc53047078"/>
      <w:bookmarkStart w:id="482" w:name="_Toc85042501"/>
      <w:bookmarkStart w:id="483" w:name="_Toc85042499"/>
      <w:bookmarkStart w:id="484" w:name="_Toc85622924"/>
      <w:bookmarkStart w:id="485" w:name="_Toc53068059"/>
      <w:bookmarkStart w:id="486" w:name="_Toc85557553"/>
      <w:bookmarkStart w:id="487" w:name="_Toc53068237"/>
      <w:bookmarkStart w:id="488" w:name="_Toc53068247"/>
      <w:bookmarkStart w:id="489" w:name="_Toc85557560"/>
      <w:bookmarkStart w:id="490" w:name="_Toc53068791"/>
      <w:bookmarkStart w:id="491" w:name="_Toc75432538"/>
      <w:bookmarkStart w:id="492" w:name="_Toc85557642"/>
      <w:bookmarkStart w:id="493" w:name="_Toc85042500"/>
      <w:bookmarkStart w:id="494" w:name="_Toc85042504"/>
      <w:bookmarkStart w:id="495" w:name="_Toc53067925"/>
      <w:bookmarkStart w:id="496" w:name="_Toc85622876"/>
      <w:bookmarkStart w:id="497" w:name="_Toc53067988"/>
      <w:bookmarkStart w:id="498" w:name="_Toc85622873"/>
      <w:bookmarkStart w:id="499" w:name="_Toc53068066"/>
      <w:bookmarkStart w:id="500" w:name="_Toc85557506"/>
      <w:bookmarkStart w:id="501" w:name="_Toc85557636"/>
      <w:bookmarkStart w:id="502" w:name="_Toc53068730"/>
      <w:bookmarkStart w:id="503" w:name="_Toc53046772"/>
      <w:bookmarkStart w:id="504" w:name="_Toc53068512"/>
      <w:bookmarkStart w:id="505" w:name="_Toc85042505"/>
      <w:bookmarkStart w:id="506" w:name="_Toc85622877"/>
      <w:bookmarkStart w:id="507" w:name="_Toc53068794"/>
      <w:bookmarkStart w:id="508" w:name="_Toc85622869"/>
      <w:bookmarkStart w:id="509" w:name="_Toc85557685"/>
      <w:bookmarkStart w:id="510" w:name="_Toc85042502"/>
      <w:bookmarkStart w:id="511" w:name="_Toc53068068"/>
      <w:bookmarkStart w:id="512" w:name="_Toc53068731"/>
      <w:bookmarkStart w:id="513" w:name="_Toc53068130"/>
      <w:bookmarkStart w:id="514" w:name="_Toc53068248"/>
      <w:bookmarkStart w:id="515" w:name="_Toc522205786"/>
      <w:bookmarkStart w:id="516" w:name="_Toc53068305"/>
      <w:bookmarkStart w:id="517" w:name="_Toc85557554"/>
      <w:bookmarkStart w:id="518" w:name="_Toc85042550"/>
      <w:bookmarkStart w:id="519" w:name="_Toc85622920"/>
      <w:bookmarkStart w:id="520" w:name="_Toc85622925"/>
      <w:bookmarkStart w:id="521" w:name="_Toc85557643"/>
      <w:bookmarkStart w:id="522" w:name="_Toc85557558"/>
      <w:bookmarkStart w:id="523" w:name="_Toc85557637"/>
      <w:bookmarkStart w:id="524" w:name="_Toc85557552"/>
      <w:bookmarkStart w:id="525" w:name="_Toc53068245"/>
      <w:bookmarkStart w:id="526" w:name="_Toc53068455"/>
      <w:bookmarkStart w:id="527" w:name="_Toc53067928"/>
      <w:bookmarkStart w:id="528" w:name="_Toc85042555"/>
      <w:bookmarkStart w:id="529" w:name="_Toc53068654"/>
      <w:bookmarkStart w:id="530" w:name="_Toc85557686"/>
      <w:bookmarkStart w:id="531" w:name="_Toc53046622"/>
      <w:bookmarkStart w:id="532" w:name="_Toc53068129"/>
      <w:bookmarkStart w:id="533" w:name="_Toc85557691"/>
      <w:bookmarkStart w:id="534" w:name="_Toc85557557"/>
      <w:bookmarkStart w:id="535" w:name="_Toc53068593"/>
      <w:bookmarkStart w:id="536" w:name="_Toc85557559"/>
      <w:bookmarkStart w:id="537" w:name="_Toc53068591"/>
      <w:bookmarkStart w:id="538" w:name="_Toc85557505"/>
      <w:bookmarkStart w:id="539" w:name="_Toc85557640"/>
      <w:bookmarkStart w:id="540" w:name="_Toc85557687"/>
      <w:bookmarkStart w:id="541" w:name="_Toc85557635"/>
      <w:bookmarkStart w:id="542" w:name="_Toc85042498"/>
      <w:bookmarkStart w:id="543" w:name="_Toc53068515"/>
      <w:bookmarkStart w:id="544" w:name="_Toc53047088"/>
      <w:bookmarkStart w:id="545" w:name="_Toc53068652"/>
      <w:bookmarkStart w:id="546" w:name="_Toc85557692"/>
      <w:bookmarkStart w:id="547" w:name="_Toc85557509"/>
      <w:bookmarkStart w:id="548" w:name="_Toc85042548"/>
      <w:bookmarkStart w:id="549" w:name="_Toc75432539"/>
      <w:bookmarkStart w:id="550" w:name="_Toc53068723"/>
      <w:bookmarkStart w:id="551" w:name="_Toc53068307"/>
      <w:bookmarkStart w:id="552" w:name="_Toc85042503"/>
      <w:bookmarkStart w:id="553" w:name="_Toc85622874"/>
      <w:bookmarkStart w:id="554" w:name="_Toc75432540"/>
      <w:bookmarkStart w:id="555" w:name="_Toc85557638"/>
      <w:bookmarkStart w:id="556" w:name="_Toc85557689"/>
      <w:bookmarkStart w:id="557" w:name="_Toc53068069"/>
      <w:bookmarkStart w:id="558" w:name="_Toc85557641"/>
      <w:bookmarkStart w:id="559" w:name="_Toc53068793"/>
      <w:bookmarkStart w:id="560" w:name="_Toc75432536"/>
      <w:bookmarkStart w:id="561" w:name="_Toc85622922"/>
      <w:bookmarkStart w:id="562" w:name="_Toc75432535"/>
      <w:bookmarkStart w:id="563" w:name="_Toc53047087"/>
      <w:bookmarkStart w:id="564" w:name="_Toc85557502"/>
      <w:bookmarkStart w:id="565" w:name="_Toc53068067"/>
      <w:bookmarkStart w:id="566" w:name="_Toc85042506"/>
      <w:bookmarkStart w:id="567" w:name="_Toc53068595"/>
      <w:bookmarkStart w:id="568" w:name="_Toc75432541"/>
      <w:bookmarkStart w:id="569" w:name="_Toc53068734"/>
      <w:bookmarkStart w:id="570" w:name="_Toc53068070"/>
      <w:bookmarkStart w:id="571" w:name="_Toc53068514"/>
      <w:bookmarkStart w:id="572" w:name="_Toc53229080"/>
      <w:bookmarkStart w:id="573" w:name="_Toc140505127"/>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r>
        <w:t>关联交易合同及执行汇总</w:t>
      </w:r>
      <w:bookmarkEnd w:id="572"/>
      <w:bookmarkEnd w:id="573"/>
    </w:p>
    <w:p w14:paraId="4FCC3031"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评估期间，松莉科技与关联方均依据协议中的条款和约定履行各自的责任和义务。</w:t>
      </w:r>
    </w:p>
    <w:p w14:paraId="676194C0" w14:textId="77777777" w:rsidR="004D1721" w:rsidRDefault="009B16BC">
      <w:pPr>
        <w:pStyle w:val="Heading2"/>
      </w:pPr>
      <w:bookmarkStart w:id="574" w:name="_Toc140505128"/>
      <w:bookmarkStart w:id="575" w:name="_Toc53229081"/>
      <w:r>
        <w:t>与企业关联交易直接相关的预约定价安排和其他税收裁定</w:t>
      </w:r>
      <w:bookmarkEnd w:id="574"/>
      <w:bookmarkEnd w:id="575"/>
    </w:p>
    <w:p w14:paraId="2594787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576" w:name="_Toc489951927"/>
      <w:bookmarkStart w:id="577" w:name="_Toc489951925"/>
      <w:bookmarkStart w:id="578" w:name="_Toc522205789"/>
      <w:bookmarkStart w:id="579" w:name="_Toc522205790"/>
      <w:bookmarkStart w:id="580" w:name="_Toc489951924"/>
      <w:bookmarkEnd w:id="576"/>
      <w:bookmarkEnd w:id="577"/>
      <w:bookmarkEnd w:id="578"/>
      <w:bookmarkEnd w:id="579"/>
      <w:bookmarkEnd w:id="580"/>
      <w:r>
        <w:rPr>
          <w:rFonts w:ascii="Arial Narrow" w:eastAsia="仿宋_GB2312" w:hAnsi="Arial Narrow" w:cs="Arial"/>
          <w:sz w:val="22"/>
          <w:szCs w:val="22"/>
        </w:rPr>
        <w:t>评估期间，松莉科技无与企业关联交易直接相关的预约定价安排和作出的其他税收裁定。</w:t>
      </w:r>
    </w:p>
    <w:p w14:paraId="4BDF6572" w14:textId="77777777" w:rsidR="004D1721" w:rsidRDefault="009B16BC">
      <w:pPr>
        <w:pStyle w:val="Heading2"/>
      </w:pPr>
      <w:bookmarkStart w:id="581" w:name="_Toc140505129"/>
      <w:bookmarkStart w:id="582" w:name="_Toc53229082"/>
      <w:r>
        <w:t>关联交易财务状况</w:t>
      </w:r>
      <w:bookmarkEnd w:id="581"/>
      <w:bookmarkEnd w:id="582"/>
    </w:p>
    <w:p w14:paraId="5443A0E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松莉科技按照客户类型进行收入划分，即根据客户是否是境内公司将销售收入明确划分成境内关联交易收入和境外关联交易收入。具体拆分数据详见附件2《企业年度关联交易财务状况分析表》。</w:t>
      </w:r>
      <w:r>
        <w:rPr>
          <w:rFonts w:ascii="Arial Narrow" w:eastAsia="仿宋_GB2312" w:hAnsi="Arial Narrow" w:cs="Arial"/>
          <w:sz w:val="22"/>
          <w:szCs w:val="22"/>
        </w:rPr>
        <w:t/>
      </w:r>
      <w:r>
        <w:rPr>
          <w:rFonts w:ascii="Arial Narrow" w:eastAsia="仿宋_GB2312" w:hAnsi="Arial Narrow" w:cs="Arial"/>
          <w:sz w:val="22"/>
          <w:szCs w:val="22"/>
        </w:rPr>
        <w:t/>
      </w:r>
    </w:p>
    <w:p w14:paraId="41818E1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松莉科技原则上根据实际情况在不同的交易类型中归集、划分成本和费用，对于不能按照实际情况划分的成本和费用，松莉科技按照合理比例进行划分。</w:t>
      </w:r>
    </w:p>
    <w:p w14:paraId="223615ED" w14:textId="77777777" w:rsidR="004D1721" w:rsidRDefault="009B16BC">
      <w:pPr>
        <w:pStyle w:val="Heading2"/>
        <w:rPr>
          <w:b/>
        </w:rPr>
      </w:pPr>
      <w:bookmarkStart w:id="583" w:name="_Toc141178826"/>
      <w:r>
        <w:rPr>
          <w:rFonts w:hint="eastAsia"/>
        </w:rPr>
        <w:lastRenderedPageBreak/>
        <w:t>对外投资</w:t>
      </w:r>
      <w:bookmarkEnd w:id="583"/>
    </w:p>
    <w:p w14:paraId="0FF3F6B3" w14:textId="71705B2E"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评估期间，松莉科技无对境外投资。松莉科技拥有境内子公司美缤纷品牌管理（上海）有限公司，持股比例100%。</w:t>
      </w:r>
      <w:r w:rsidR="00CD6E7E">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p w14:paraId="1D4BDD16" w14:textId="77777777" w:rsidR="004D1721" w:rsidRDefault="009B16BC">
      <w:pPr>
        <w:pStyle w:val="Heading2"/>
        <w:rPr>
          <w:b/>
        </w:rPr>
      </w:pPr>
      <w:bookmarkStart w:id="584" w:name="_Toc53229083"/>
      <w:bookmarkStart w:id="585" w:name="_Toc140505130"/>
      <w:r>
        <w:t>结论</w:t>
      </w:r>
      <w:bookmarkEnd w:id="584"/>
      <w:bookmarkEnd w:id="585"/>
    </w:p>
    <w:p w14:paraId="026D6758" w14:textId="77777777" w:rsidR="004D1721" w:rsidRDefault="009B16BC">
      <w:pPr>
        <w:spacing w:beforeLines="50" w:before="180" w:afterLines="50" w:after="180" w:line="360" w:lineRule="auto"/>
        <w:ind w:firstLineChars="200" w:firstLine="440"/>
        <w:jc w:val="both"/>
        <w:rPr>
          <w:rStyle w:val="FootnoteReference"/>
          <w:rFonts w:ascii="Arial Narrow" w:eastAsia="仿宋_GB2312" w:hAnsi="Arial Narrow" w:cs="Arial"/>
        </w:rPr>
      </w:pPr>
      <w:r>
        <w:rPr>
          <w:rFonts w:ascii="Arial Narrow" w:eastAsia="仿宋_GB2312" w:hAnsi="Arial Narrow" w:cs="Arial"/>
          <w:sz w:val="22"/>
          <w:szCs w:val="22"/>
        </w:rPr>
        <w:t>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FootnoteReference"/>
          <w:rFonts w:ascii="Arial Narrow" w:eastAsia="仿宋_GB2312" w:hAnsi="Arial Narrow" w:cs="Arial"/>
          <w:sz w:val="22"/>
          <w:szCs w:val="22"/>
        </w:rPr>
        <w:footnoteReference w:id="12"/>
        <w:t/>
      </w:r>
    </w:p>
    <w:p w14:paraId="4EFD760C" w14:textId="04418A12" w:rsidR="004D1721" w:rsidRDefault="009B16BC">
      <w:pPr>
        <w:spacing w:beforeLines="50" w:before="180" w:afterLines="50" w:after="180" w:line="360" w:lineRule="auto"/>
        <w:ind w:firstLineChars="200" w:firstLine="440"/>
        <w:jc w:val="both"/>
        <w:rPr>
          <w:rFonts w:ascii="Arial Narrow" w:eastAsia="仿宋_GB2312" w:hAnsi="Arial Narrow" w:cs="Arial"/>
          <w:b/>
          <w:kern w:val="0"/>
          <w:sz w:val="36"/>
          <w:szCs w:val="36"/>
          <w14:scene3d>
            <w14:camera w14:prst="orthographicFront"/>
            <w14:lightRig w14:rig="threePt" w14:dir="t">
              <w14:rot w14:lat="0" w14:lon="0" w14:rev="0"/>
            </w14:lightRig>
          </w14:scene3d>
        </w:rPr>
      </w:pPr>
      <w:r>
        <w:rPr>
          <w:rFonts w:ascii="Arial Narrow" w:eastAsia="仿宋_GB2312" w:hAnsi="Arial Narrow" w:cs="Arial"/>
          <w:sz w:val="22"/>
          <w:szCs w:val="22"/>
        </w:rPr>
        <w:t>评估期间，松莉科技主要从事生产经营化妆品产品，其关联交易主要涉及关联购销，共计人民币295,427,614.07元。除此以外，评估期间，松莉科技不涉及其他关联交易，我们将对松莉科技的整体财务数据进行分析。</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rPr>
        <w:br w:type="page"/>
        <w:t/>
      </w:r>
    </w:p>
    <w:p w14:paraId="6CA6907C" w14:textId="77777777" w:rsidR="004D1721" w:rsidRDefault="009B16BC">
      <w:pPr>
        <w:pStyle w:val="Heading1"/>
        <w:rPr>
          <w:b/>
        </w:rPr>
      </w:pPr>
      <w:bookmarkStart w:id="586" w:name="_Toc140505131"/>
      <w:bookmarkStart w:id="587" w:name="_Toc53229084"/>
      <w:r>
        <w:lastRenderedPageBreak/>
        <w:t>功能和风险分析</w:t>
      </w:r>
      <w:bookmarkEnd w:id="586"/>
      <w:bookmarkEnd w:id="587"/>
    </w:p>
    <w:p w14:paraId="4D01D4FD" w14:textId="77777777" w:rsidR="004D1721" w:rsidRDefault="009B16BC">
      <w:pPr>
        <w:pStyle w:val="Heading2"/>
      </w:pPr>
      <w:bookmarkStart w:id="588" w:name="_Toc140505132"/>
      <w:bookmarkStart w:id="589" w:name="_Toc53229085"/>
      <w:r>
        <w:t>简介</w:t>
      </w:r>
      <w:bookmarkEnd w:id="588"/>
      <w:bookmarkEnd w:id="589"/>
    </w:p>
    <w:p w14:paraId="5A54D622" w14:textId="77777777" w:rsidR="004D1721" w:rsidRDefault="009B16BC">
      <w:pPr>
        <w:spacing w:beforeLines="50" w:before="180" w:afterLines="50" w:after="180" w:line="360" w:lineRule="auto"/>
        <w:ind w:firstLineChars="200" w:firstLine="440"/>
        <w:jc w:val="both"/>
        <w:rPr>
          <w:rFonts w:ascii="Arial Narrow" w:eastAsia="仿宋_GB2312" w:hAnsi="Arial Narrow" w:cs="Arial"/>
        </w:rPr>
      </w:pPr>
      <w:bookmarkStart w:id="590" w:name="_Toc48582988"/>
      <w:bookmarkStart w:id="591" w:name="_Toc48317267"/>
      <w:bookmarkStart w:id="592" w:name="_Toc48317265"/>
      <w:bookmarkStart w:id="593" w:name="_Toc48317149"/>
      <w:bookmarkStart w:id="594" w:name="_Toc48317150"/>
      <w:bookmarkStart w:id="595" w:name="_Toc48317266"/>
      <w:bookmarkStart w:id="596" w:name="_Toc48317269"/>
      <w:bookmarkStart w:id="597" w:name="_Toc48317451"/>
      <w:bookmarkStart w:id="598" w:name="_Toc48317268"/>
      <w:bookmarkStart w:id="599" w:name="_Toc48582985"/>
      <w:bookmarkStart w:id="600" w:name="_Toc48399589"/>
      <w:bookmarkStart w:id="601" w:name="_Toc48582574"/>
      <w:bookmarkStart w:id="602" w:name="_Toc48317450"/>
      <w:bookmarkStart w:id="603" w:name="_Toc48582986"/>
      <w:bookmarkStart w:id="604" w:name="_Toc48317454"/>
      <w:bookmarkStart w:id="605" w:name="_Toc48582572"/>
      <w:bookmarkStart w:id="606" w:name="_Toc48582575"/>
      <w:bookmarkStart w:id="607" w:name="_Toc48317452"/>
      <w:bookmarkStart w:id="608" w:name="_Toc48399592"/>
      <w:bookmarkStart w:id="609" w:name="_Toc48317147"/>
      <w:bookmarkStart w:id="610" w:name="_Toc48582573"/>
      <w:bookmarkStart w:id="611" w:name="_Toc48582984"/>
      <w:bookmarkStart w:id="612" w:name="_Toc48582571"/>
      <w:bookmarkStart w:id="613" w:name="_Toc48317453"/>
      <w:bookmarkStart w:id="614" w:name="_Toc48399588"/>
      <w:bookmarkStart w:id="615" w:name="_Toc48399591"/>
      <w:bookmarkStart w:id="616" w:name="_Toc48317148"/>
      <w:bookmarkStart w:id="617" w:name="_Toc48582987"/>
      <w:bookmarkStart w:id="618" w:name="_Toc48399590"/>
      <w:bookmarkStart w:id="619" w:name="_Toc48317146"/>
      <w:bookmarkStart w:id="620" w:name="_Toc48317151"/>
      <w:bookmarkStart w:id="621" w:name="_Toc48317455"/>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r>
        <w:rPr>
          <w:rFonts w:ascii="Arial Narrow" w:eastAsia="仿宋_GB2312" w:hAnsi="Arial Narrow"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03A7C998"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企业及其关联方执行的主要功能（包括种类和频繁程度）；</w:t>
      </w:r>
    </w:p>
    <w:p w14:paraId="56ED8DA1"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 xml:space="preserve">企业及其关联方所承担的风险； </w:t>
      </w:r>
      <w:r>
        <w:rPr>
          <w:rFonts w:ascii="Arial Narrow" w:eastAsia="仿宋_GB2312" w:hAnsi="Arial Narrow" w:cs="Arial"/>
        </w:rPr>
        <w:t xml:space="preserve"/>
      </w:r>
    </w:p>
    <w:p w14:paraId="725F4947"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企业及其关联方所使用的资产（包括有形资产和无形资产）。</w:t>
      </w:r>
    </w:p>
    <w:p w14:paraId="4C8B294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在本报告的功能和风险分析部分，我们将对松莉科技在受测关联交易中与其关联方之间形成的经济关系进行分析和评估。</w:t>
      </w:r>
    </w:p>
    <w:p w14:paraId="11BC0FDF" w14:textId="77777777" w:rsidR="004D1721" w:rsidRDefault="009B16BC">
      <w:pPr>
        <w:pStyle w:val="Heading2"/>
      </w:pPr>
      <w:bookmarkStart w:id="622" w:name="_Toc53229086"/>
      <w:bookmarkStart w:id="623" w:name="_Toc140505133"/>
      <w:r>
        <w:t>功能及风险分析</w:t>
      </w:r>
      <w:bookmarkEnd w:id="620"/>
      <w:bookmarkEnd w:id="621"/>
      <w:bookmarkEnd w:id="622"/>
      <w:bookmarkEnd w:id="623"/>
    </w:p>
    <w:p w14:paraId="76B98785" w14:textId="77777777" w:rsidR="004D1721" w:rsidRDefault="009B16BC">
      <w:pPr>
        <w:pStyle w:val="Heading3"/>
      </w:pPr>
      <w:bookmarkStart w:id="624" w:name="_Toc48317456"/>
      <w:bookmarkStart w:id="625" w:name="_Toc140505134"/>
      <w:bookmarkStart w:id="626" w:name="_Toc53229087"/>
      <w:r>
        <w:t>功能分析</w:t>
      </w:r>
      <w:bookmarkEnd w:id="624"/>
      <w:bookmarkEnd w:id="625"/>
      <w:bookmarkEnd w:id="626"/>
    </w:p>
    <w:p w14:paraId="4690EB4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此处我们将主要分析松莉科技及其关联方各个业务部门在关联交易中所从事的业务活动，以及关联交易的各个参与方所执行的功能。</w:t>
      </w:r>
    </w:p>
    <w:p w14:paraId="409F0DA3" w14:textId="77777777" w:rsidR="004D1721" w:rsidRDefault="009B16BC">
      <w:pPr>
        <w:pStyle w:val="Heading4"/>
        <w:rPr>
          <w:b/>
          <w:bCs/>
        </w:rPr>
      </w:pPr>
      <w:r>
        <w:t>研发功能</w:t>
      </w:r>
    </w:p>
    <w:p w14:paraId="30DAEFF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研发功能包括研发活动的决策与实施、新产品的开发、现有产品的改进升级、生产工艺的开发或改进等活动。</w:t>
      </w:r>
    </w:p>
    <w:p w14:paraId="5A33E69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主要从事打样及针对原材料和产品质量方面进行改良，并没有从事实质的研发活动。Markwins集团的研发活动主要发生在Markwins集团母公司，各研发中心或团队都有相应的管理人员负责研发的发展战略、分配研发资源、监督研发运营并与商业运营联络。</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420FF60" w14:textId="77777777"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Pr>
          <w:rFonts w:ascii="Arial Narrow" w:eastAsia="仿宋_GB2312" w:hAnsi="Arial Narrow" w:cs="Arial"/>
          <w:sz w:val="22"/>
          <w:szCs w:val="22"/>
        </w:rPr>
        <w:t>因此，松莉科技在评估期间承担有限的研发功能。</w:t>
      </w:r>
      <w:r>
        <w:rPr>
          <w:rFonts w:ascii="Arial Narrow" w:eastAsia="仿宋_GB2312" w:hAnsi="Arial Narrow" w:cs="Arial" w:hint="eastAsia"/>
          <w:sz w:val="22"/>
          <w:szCs w:val="22"/>
        </w:rPr>
        <w:t/>
      </w:r>
      <w:r>
        <w:rPr>
          <w:rFonts w:ascii="Arial Narrow" w:eastAsia="仿宋_GB2312" w:hAnsi="Arial Narrow" w:cs="Arial"/>
          <w:sz w:val="22"/>
          <w:szCs w:val="22"/>
        </w:rPr>
        <w:t/>
      </w:r>
    </w:p>
    <w:p w14:paraId="50F1D047" w14:textId="77777777" w:rsidR="004D1721" w:rsidRDefault="009B16BC">
      <w:pPr>
        <w:pStyle w:val="Heading4"/>
        <w:rPr>
          <w:b/>
          <w:bCs/>
        </w:rPr>
      </w:pPr>
      <w:r>
        <w:lastRenderedPageBreak/>
        <w:t>采购功能</w:t>
      </w:r>
    </w:p>
    <w:p w14:paraId="67D01BC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采购功能是指采购在生产过程中所需原材料和其他材料的活动。</w:t>
      </w:r>
    </w:p>
    <w:p w14:paraId="35C71915"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评估期间，松莉科技的原材料大多是从境内第三方采购。松莉科技负责对第三方供应商进行评估和选择。一般而言，公司在接到订单之后，将根据订单制定物料需求计划，然后根据物料需求计划，寻找适合的供应商并进行询价，经公司的各级部门主管核价后与供应商签订采购单。</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21A086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对于境外采购，境外供应商多数为大型化工企业，由Markwins US统一询价以期获得较低的价格。境外关联方Markwins HK和Markwins Pro Art从Markwins US选择的供应商中购入原材料后，以其实际采购价格平价卖给松莉科技。由于这部分原材料的通用性较强，因此松莉科技一般可根据销售预测购入。</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2BC1461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对于所采购的原材料，松莉科技负责抽样检验的工作，以确保其质量和规格符合既定的标准。因此，松莉科技在评估期间执行采购功能。</w:t>
      </w:r>
    </w:p>
    <w:p w14:paraId="30AA9EB2" w14:textId="77777777" w:rsidR="004D1721" w:rsidRDefault="009B16BC">
      <w:pPr>
        <w:pStyle w:val="Heading4"/>
        <w:rPr>
          <w:b/>
          <w:bCs/>
        </w:rPr>
      </w:pPr>
      <w:r>
        <w:t>生产功能</w:t>
      </w:r>
    </w:p>
    <w:p w14:paraId="1C96F14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生产功能包括生产设备的采购、生产计划的制订、生产流程以及产品的制造和装配等活动。设备购置功能指选购合适的生产设备以用于产品的生产、储存和运输等。生产计划功能是指根据客户的交货要求（包括时间和数量要求）制订生产计划的活动。</w:t>
      </w:r>
    </w:p>
    <w:p w14:paraId="65B3DA4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评估期间，松莉科技根据来自Markwins HK和Markwins Pro Art的订单安排生产计划。Markwins HK和Markwins Pro Art负责监督和控制生产进度，与客户沟通以调整出货时间，并帮助松莉科技合理安排生产计划。</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FC8F429"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松莉科技单支化妆品及化妆品礼盒主要工艺流程概括如下：</w:t>
      </w:r>
    </w:p>
    <w:p w14:paraId="1B4BAF19"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418922A1"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45025E71" w14:textId="691B1362"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hint="eastAsia"/>
          <w:sz w:val="22"/>
        </w:rPr>
        <w:lastRenderedPageBreak/>
        <w:t>图表16：松莉科技主要产品工艺流程图</w:t>
      </w:r>
      <w:r>
        <w:rPr>
          <w:rFonts w:ascii="Arial Narrow" w:eastAsia="仿宋_GB2312" w:hAnsi="Arial Narrow" w:cs="Arial" w:hint="eastAsia"/>
          <w:sz w:val="22"/>
        </w:rPr>
        <w:t/>
      </w:r>
      <w:r>
        <w:rPr>
          <w:rFonts w:ascii="Arial Narrow" w:eastAsia="仿宋_GB2312" w:hAnsi="Arial Narrow" w:cs="Arial"/>
          <w:sz w:val="22"/>
        </w:rPr>
        <w:t/>
      </w:r>
      <w:r>
        <w:rPr>
          <w:rFonts w:ascii="Arial Narrow" w:eastAsia="仿宋_GB2312" w:hAnsi="Arial Narrow" w:cs="Arial" w:hint="eastAsia"/>
          <w:sz w:val="22"/>
        </w:rPr>
        <w:t/>
      </w:r>
    </w:p>
    <w:p w14:paraId="06EDFABB" w14:textId="77777777" w:rsidR="004D1721" w:rsidRDefault="009B16BC" w:rsidP="005D08A5">
      <w:pPr>
        <w:spacing w:beforeLines="50" w:before="180" w:afterLines="50" w:after="180" w:line="360" w:lineRule="auto"/>
        <w:ind w:firstLineChars="200" w:firstLine="440"/>
        <w:jc w:val="center"/>
        <w:rPr>
          <w:rFonts w:ascii="Arial Narrow" w:eastAsia="仿宋_GB2312" w:hAnsi="Arial Narrow" w:cs="Arial"/>
          <w:sz w:val="22"/>
          <w:szCs w:val="22"/>
        </w:rPr>
      </w:pPr>
      <w:r w:rsidRPr="005D08A5">
        <w:rPr>
          <w:rFonts w:ascii="Arial Narrow" w:eastAsia="仿宋_GB2312" w:hAnsi="Arial Narrow" w:cs="Arial"/>
          <w:noProof/>
          <w:sz w:val="22"/>
          <w:szCs w:val="22"/>
        </w:rPr>
        <w:drawing>
          <wp:inline distT="0" distB="0" distL="114300" distR="114300">
            <wp:extent cx="4234815" cy="3455035"/>
            <wp:effectExtent l="0" t="0" r="1905" b="4445"/>
            <wp:docPr id="12" name="图片 12" descr="微信截图_20240614105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截图_20240614105653"/>
                    <pic:cNvPicPr>
                      <a:picLocks noChangeAspect="1"/>
                    </pic:cNvPicPr>
                  </pic:nvPicPr>
                  <pic:blipFill>
                    <a:blip r:embed="rId30"/>
                    <a:stretch>
                      <a:fillRect/>
                    </a:stretch>
                  </pic:blipFill>
                  <pic:spPr>
                    <a:xfrm>
                      <a:off x="0" y="0"/>
                      <a:ext cx="4234815" cy="3455035"/>
                    </a:xfrm>
                    <a:prstGeom prst="rect">
                      <a:avLst/>
                    </a:prstGeom>
                  </pic:spPr>
                </pic:pic>
              </a:graphicData>
            </a:graphic>
          </wp:inline>
        </w:drawing>
      </w:r>
    </w:p>
    <w:p w14:paraId="72B89E1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在实际生产中，松莉科技一般直接将产成品运送出库，因此产成品的库存量较少。</w:t>
      </w:r>
    </w:p>
    <w:p w14:paraId="2F94CC9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因此，松莉科技在评估期间执行生产功能。</w:t>
      </w:r>
    </w:p>
    <w:p w14:paraId="7A7A8629" w14:textId="77777777" w:rsidR="004D1721" w:rsidRDefault="009B16BC">
      <w:pPr>
        <w:pStyle w:val="Heading4"/>
      </w:pPr>
      <w:r>
        <w:t>质量控制功能</w:t>
      </w:r>
    </w:p>
    <w:p w14:paraId="4979DF0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质量控制功能是指制订和实施产品质量标准的活动，包括对采购的原材料及辅助材料、在制品和产成品进行分析和检测等。</w:t>
      </w:r>
    </w:p>
    <w:p w14:paraId="636D435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松莉科技根据国家制定的质量、安全和环保标准，以及ISO9001和ISO14001的标准制定产品和生产质量控制标准和质量控制流程。松莉科技对原材料、产成品等均配有专门的检测设备和检测程序进行品质检测，以保证产品能符合相应的质量标准。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p>
    <w:p w14:paraId="71BD44D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收到原材料后，松莉科技会对原材料数量、品质进行检验，验收合格方进入仓库，不合格的原材料会与供应商商谈，并退货。在生产过程中，公司根据特定的要求、标准以及程序，对员工操作的合规性以及产品下线检查做出严格要求，对产成品的品质、性能进行检验。</w:t>
      </w:r>
    </w:p>
    <w:p w14:paraId="0507871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因此，松莉科技在评估期间执行质量控制功能。</w:t>
      </w:r>
    </w:p>
    <w:p w14:paraId="0CD71943" w14:textId="77777777" w:rsidR="004D1721" w:rsidRDefault="009B16BC">
      <w:pPr>
        <w:pStyle w:val="Heading4"/>
        <w:rPr>
          <w:b/>
          <w:bCs/>
        </w:rPr>
      </w:pPr>
      <w:r>
        <w:t>库存管理功能</w:t>
      </w:r>
    </w:p>
    <w:p w14:paraId="32F0DBE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627" w:name="_Toc489951948"/>
      <w:bookmarkStart w:id="628" w:name="_Toc49961788"/>
      <w:bookmarkStart w:id="629" w:name="_Toc49961799"/>
      <w:bookmarkStart w:id="630" w:name="_Toc50039086"/>
      <w:bookmarkStart w:id="631" w:name="_Toc50039067"/>
      <w:bookmarkStart w:id="632" w:name="_Toc50477823"/>
      <w:bookmarkStart w:id="633" w:name="_Toc50039076"/>
      <w:bookmarkStart w:id="634" w:name="_Toc50039075"/>
      <w:bookmarkStart w:id="635" w:name="_Toc50477830"/>
      <w:bookmarkStart w:id="636" w:name="_Toc49961804"/>
      <w:bookmarkStart w:id="637" w:name="_Toc50477824"/>
      <w:bookmarkStart w:id="638" w:name="_Toc49961802"/>
      <w:bookmarkStart w:id="639" w:name="_Toc49961810"/>
      <w:bookmarkStart w:id="640" w:name="_Toc50039085"/>
      <w:bookmarkStart w:id="641" w:name="_Toc50477815"/>
      <w:bookmarkStart w:id="642" w:name="_Toc50039068"/>
      <w:bookmarkStart w:id="643" w:name="_Toc50477825"/>
      <w:bookmarkStart w:id="644" w:name="_Toc49961791"/>
      <w:bookmarkStart w:id="645" w:name="_Toc50477832"/>
      <w:bookmarkStart w:id="646" w:name="_Toc50039079"/>
      <w:bookmarkStart w:id="647" w:name="_Toc50477819"/>
      <w:bookmarkStart w:id="648" w:name="_Toc50039088"/>
      <w:bookmarkStart w:id="649" w:name="_Toc50477820"/>
      <w:bookmarkStart w:id="650" w:name="_Toc50039083"/>
      <w:bookmarkStart w:id="651" w:name="_Toc49961793"/>
      <w:bookmarkStart w:id="652" w:name="_Toc49961809"/>
      <w:bookmarkStart w:id="653" w:name="_Toc49961794"/>
      <w:bookmarkStart w:id="654" w:name="_Toc50039090"/>
      <w:bookmarkStart w:id="655" w:name="_Toc489951950"/>
      <w:bookmarkStart w:id="656" w:name="_Toc49961808"/>
      <w:bookmarkStart w:id="657" w:name="_Toc49961792"/>
      <w:bookmarkStart w:id="658" w:name="_Toc49961805"/>
      <w:bookmarkStart w:id="659" w:name="_Toc50477827"/>
      <w:bookmarkStart w:id="660" w:name="_Toc50477831"/>
      <w:bookmarkStart w:id="661" w:name="_Toc50039081"/>
      <w:bookmarkStart w:id="662" w:name="_Toc50039084"/>
      <w:bookmarkStart w:id="663" w:name="_Toc49961790"/>
      <w:bookmarkStart w:id="664" w:name="_Toc50039082"/>
      <w:bookmarkStart w:id="665" w:name="_Toc49961800"/>
      <w:bookmarkStart w:id="666" w:name="_Toc49961786"/>
      <w:bookmarkStart w:id="667" w:name="_Toc50477836"/>
      <w:bookmarkStart w:id="668" w:name="_Toc50039091"/>
      <w:bookmarkStart w:id="669" w:name="_Toc489951955"/>
      <w:bookmarkStart w:id="670" w:name="_Toc50477829"/>
      <w:bookmarkStart w:id="671" w:name="_Toc50477834"/>
      <w:bookmarkStart w:id="672" w:name="_Toc50477816"/>
      <w:bookmarkStart w:id="673" w:name="_Toc50477835"/>
      <w:bookmarkStart w:id="674" w:name="_Toc50477838"/>
      <w:bookmarkStart w:id="675" w:name="_Toc49961787"/>
      <w:bookmarkStart w:id="676" w:name="_Toc50039070"/>
      <w:bookmarkStart w:id="677" w:name="_Toc50039074"/>
      <w:bookmarkStart w:id="678" w:name="_Toc49961806"/>
      <w:bookmarkStart w:id="679" w:name="_Toc50477818"/>
      <w:bookmarkStart w:id="680" w:name="_Toc50477837"/>
      <w:bookmarkStart w:id="681" w:name="_Toc50477839"/>
      <w:bookmarkStart w:id="682" w:name="_Toc50477833"/>
      <w:bookmarkStart w:id="683" w:name="_Toc49961795"/>
      <w:bookmarkStart w:id="684" w:name="_Toc49961798"/>
      <w:bookmarkStart w:id="685" w:name="_Toc489951939"/>
      <w:bookmarkStart w:id="686" w:name="_Toc49961789"/>
      <w:bookmarkStart w:id="687" w:name="_Toc50039089"/>
      <w:bookmarkStart w:id="688" w:name="_Toc49961785"/>
      <w:bookmarkStart w:id="689" w:name="_Toc49961801"/>
      <w:bookmarkStart w:id="690" w:name="_Toc50477817"/>
      <w:bookmarkStart w:id="691" w:name="_Toc50477814"/>
      <w:bookmarkStart w:id="692" w:name="_Toc50477828"/>
      <w:bookmarkStart w:id="693" w:name="_Toc50039066"/>
      <w:bookmarkStart w:id="694" w:name="_Toc49961797"/>
      <w:bookmarkStart w:id="695" w:name="_Toc50039087"/>
      <w:bookmarkStart w:id="696" w:name="_Toc49961807"/>
      <w:bookmarkStart w:id="697" w:name="_Toc489951951"/>
      <w:bookmarkStart w:id="698" w:name="_Toc50477821"/>
      <w:bookmarkStart w:id="699" w:name="_Toc49961803"/>
      <w:bookmarkStart w:id="700" w:name="_Toc50039080"/>
      <w:bookmarkStart w:id="701" w:name="_Toc50039069"/>
      <w:bookmarkStart w:id="702" w:name="_Toc50039071"/>
      <w:bookmarkStart w:id="703" w:name="_Toc49961796"/>
      <w:bookmarkStart w:id="704" w:name="_Toc50039072"/>
      <w:bookmarkStart w:id="705" w:name="_Toc50477826"/>
      <w:bookmarkStart w:id="706" w:name="_Toc489951938"/>
      <w:bookmarkStart w:id="707" w:name="_Toc50039077"/>
      <w:bookmarkStart w:id="708" w:name="_Toc489951949"/>
      <w:bookmarkStart w:id="709" w:name="_Toc50039078"/>
      <w:bookmarkStart w:id="710" w:name="_Toc50039073"/>
      <w:bookmarkStart w:id="711" w:name="_Toc50477822"/>
      <w:bookmarkStart w:id="712" w:name="_Toc48317457"/>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r>
        <w:rPr>
          <w:rFonts w:ascii="Arial Narrow" w:eastAsia="仿宋_GB2312" w:hAnsi="Arial Narrow" w:cs="Arial"/>
          <w:sz w:val="22"/>
          <w:szCs w:val="22"/>
        </w:rPr>
        <w:t>库存管理功能是指对存货水平（包括原材料、半成品和产成品）进行管理和控制，以降低存货成本并提高生产经营效率的活动。</w:t>
      </w:r>
    </w:p>
    <w:p w14:paraId="5D303DF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负责对原材料和产成品的存货进行管理。在原材料方面，大部分原材料是根据订单情况进行采购。就生产所需的化学原料，由于其有较强的通用性，因此，这部分原材料的存货风险较小。但对于品牌产品的包装材料，由于已经印上了商标，几乎没有再包装或销售价值，存在一定的存货风险。 在产成品方面，由于松莉科技按照销售订单进行生产，产成品会在较短时间内运往客户，所以松莉科技的产成品存货量较少。</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1EC56CB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因此，松莉科技在评估期间执行库存管理功能。</w:t>
      </w:r>
    </w:p>
    <w:p w14:paraId="16E98A38" w14:textId="77777777" w:rsidR="004D1721" w:rsidRDefault="009B16BC">
      <w:pPr>
        <w:pStyle w:val="Heading4"/>
        <w:rPr>
          <w:b/>
          <w:bCs/>
        </w:rPr>
      </w:pPr>
      <w:r>
        <w:t>物流功能</w:t>
      </w:r>
    </w:p>
    <w:p w14:paraId="18684DF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物流功能分为与采购相关的物流功能和与销售相关的物流功能。与采购相关的物流功能是指对从供应商采购的货物进行管理的活动。与销售相关的物流功能是指对发往收货方的货物进行管理和控制的活动。</w:t>
      </w:r>
    </w:p>
    <w:p w14:paraId="74843C2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通过关联方或第三方供应商所采购的原材料。一般情况下，由原材料的供应商负责把原材料运输至松莉科技，并由其安排运输计划。国外采购物料通常由松莉科技承担运输费用，而国内采购物料则由供应商承担运输费用。</w:t>
      </w:r>
    </w:p>
    <w:p w14:paraId="10054159" w14:textId="4EC3783C"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松莉科技的产成品90%以上销售给Markwins HK和Markwins Pro Art，并由松莉科技协助安排船运，运输费用由Markwins HK和Markwins Pro Art承担。境内关联销售的采取自提的形式。</w:t>
      </w:r>
      <w:r w:rsidR="00FD22CF">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4A8B366"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因此，松莉科技在评估期间执行物流功能。</w:t>
      </w:r>
    </w:p>
    <w:p w14:paraId="46F70F25" w14:textId="77777777" w:rsidR="004D1721" w:rsidRDefault="009B16BC">
      <w:pPr>
        <w:pStyle w:val="Heading4"/>
        <w:rPr>
          <w:b/>
          <w:bCs/>
        </w:rPr>
      </w:pPr>
      <w:r>
        <w:lastRenderedPageBreak/>
        <w:t>市场营销功能</w:t>
      </w:r>
    </w:p>
    <w:p w14:paraId="0F0CD609"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营销功能是指在变化的市场环境中，旨在满足消费需要、吸引客户、实现企业目标的商务活动，具体包括市场调研、选择目标市场、产品开发、产品促销等经营活动。营销活动可能包括制定新产品或服务的发布和定位计划，或针对公司利润潜力最大的特定市场细分制定计划。</w:t>
      </w:r>
    </w:p>
    <w:p w14:paraId="7A7BD7B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松莉科技的境外关联方承担主要的市场营销功能。Markwins集团的市场营销方式主要为在杂志，报纸传单，相关出版物和社交媒体上刊登广告。此外，Markwins 集团还通过提供优惠券、赞助娱乐活动，并让影视名人为其系列化妆品代言的方式进行营销。Markwins 集团将其营销活动的重点放在一年中的特殊时段，例如在返校期间进行青年产品促销活动和冬季节日期间提供季节性礼品。</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7C0F1CA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松莉科技在评估期间不执行市场营销功能。</w:t>
      </w:r>
      <w:r>
        <w:rPr>
          <w:rFonts w:ascii="Arial Narrow" w:eastAsia="仿宋_GB2312" w:hAnsi="Arial Narrow" w:cs="Arial" w:hint="eastAsia"/>
          <w:sz w:val="22"/>
          <w:szCs w:val="22"/>
        </w:rPr>
        <w:t/>
      </w:r>
      <w:r>
        <w:rPr>
          <w:rFonts w:ascii="Arial Narrow" w:eastAsia="仿宋_GB2312" w:hAnsi="Arial Narrow" w:cs="Arial"/>
          <w:sz w:val="22"/>
          <w:szCs w:val="22"/>
        </w:rPr>
        <w:t/>
      </w:r>
    </w:p>
    <w:p w14:paraId="6ACC4EFF" w14:textId="77777777" w:rsidR="004D1721" w:rsidRDefault="009B16BC">
      <w:pPr>
        <w:pStyle w:val="Heading4"/>
        <w:rPr>
          <w:b/>
          <w:bCs/>
        </w:rPr>
      </w:pPr>
      <w:r>
        <w:t>销售功能</w:t>
      </w:r>
    </w:p>
    <w:p w14:paraId="3AFF7C5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销售功能是指与客户进行协商，签订合同并将产品卖给该客户的行为。</w:t>
      </w:r>
    </w:p>
    <w:p w14:paraId="7652824D" w14:textId="364C78B3" w:rsidR="004D1721" w:rsidRDefault="00FD22CF">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少量境内的非关联客户，由松莉科技负责开拓和维护；其他境内及境外客户的销售在关联方的主导和松莉科技的参与下共同完成。松莉科技的境外关联方负责主要的客户沟通和洽谈，而松莉科技则会向境外关联方提供产品的生产成本单价等信息，为销售提供价格方面的支持信息，参与部分销售价格协商。</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p>
    <w:p w14:paraId="565DBC9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因此，松莉科技在评估期间执行有限的销售功能。</w:t>
      </w:r>
    </w:p>
    <w:p w14:paraId="6519713B" w14:textId="77777777" w:rsidR="004D1721" w:rsidRDefault="009B16BC">
      <w:pPr>
        <w:pStyle w:val="Heading4"/>
      </w:pPr>
      <w:r>
        <w:t>售后服务功能</w:t>
      </w:r>
    </w:p>
    <w:p w14:paraId="1C19C5F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售后服务功能包括指导客户进行产品的保养和维修和提供技术支持和产品售后服务等。</w:t>
      </w:r>
    </w:p>
    <w:p w14:paraId="23CD67C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在评估期间，松莉科技作为的生产商，并不直接面向终端客户。松莉科技将生产的成品销售给关联分销商，并由上述分销商进行售后服务。</w:t>
      </w:r>
    </w:p>
    <w:p w14:paraId="1A133A9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松莉科技仅在极少量非关联销售中承担售后服务功能。</w:t>
      </w:r>
    </w:p>
    <w:p w14:paraId="6EBAE7D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因此，松莉科技实际执行有限的售后服务功能。</w:t>
      </w:r>
    </w:p>
    <w:p w14:paraId="135D76DB" w14:textId="77777777" w:rsidR="004D1721" w:rsidRDefault="009B16BC">
      <w:pPr>
        <w:pStyle w:val="Heading4"/>
        <w:rPr>
          <w:b/>
          <w:bCs/>
        </w:rPr>
      </w:pPr>
      <w:r>
        <w:t>一般行政管理功能</w:t>
      </w:r>
    </w:p>
    <w:p w14:paraId="03A56F5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行政管理指企业日常的经营管理活动（如人事、信息系统等）。</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7CAC8CB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松莉科技负责管理自身的日常职能，包括会计，财务，预算和计划，税务申报和人力资源。</w:t>
      </w:r>
    </w:p>
    <w:p w14:paraId="029FCA0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因此，松莉科技在评估期间执行一般行政功能。</w:t>
      </w:r>
      <w:bookmarkEnd w:id="712"/>
    </w:p>
    <w:p w14:paraId="4715941B" w14:textId="77777777" w:rsidR="004D1721" w:rsidRDefault="009B16BC">
      <w:pPr>
        <w:pStyle w:val="Heading3"/>
        <w:rPr>
          <w:b/>
          <w:bCs/>
        </w:rPr>
      </w:pPr>
      <w:bookmarkStart w:id="713" w:name="_Toc53229088"/>
      <w:bookmarkStart w:id="714" w:name="_Toc140505135"/>
      <w:r>
        <w:t>风险分析</w:t>
      </w:r>
      <w:bookmarkEnd w:id="713"/>
      <w:bookmarkEnd w:id="714"/>
    </w:p>
    <w:p w14:paraId="21DFA07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松莉科技和其关联方在受测关联交易中所承担的风险。</w:t>
      </w:r>
    </w:p>
    <w:p w14:paraId="1B1A9DE4" w14:textId="77777777" w:rsidR="004D1721" w:rsidRDefault="009B16BC">
      <w:pPr>
        <w:pStyle w:val="Heading4"/>
        <w:rPr>
          <w:b/>
          <w:bCs/>
        </w:rPr>
      </w:pPr>
      <w:r>
        <w:t>研发风险</w:t>
      </w:r>
    </w:p>
    <w:p w14:paraId="6727E5F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00ADAF5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评估期间，松莉科技并不从事实质的产品研发活动，因此松莉科技几乎不承担研发方面的风险。</w:t>
      </w:r>
      <w:r>
        <w:rPr>
          <w:rFonts w:ascii="Arial Narrow" w:eastAsia="仿宋_GB2312" w:hAnsi="Arial Narrow" w:cs="Arial" w:hint="eastAsia"/>
          <w:sz w:val="22"/>
          <w:szCs w:val="22"/>
        </w:rPr>
        <w:t/>
      </w:r>
      <w:r>
        <w:rPr>
          <w:rFonts w:ascii="Arial Narrow" w:eastAsia="仿宋_GB2312" w:hAnsi="Arial Narrow" w:cs="Arial"/>
          <w:sz w:val="22"/>
          <w:szCs w:val="22"/>
        </w:rPr>
        <w:t/>
      </w:r>
    </w:p>
    <w:p w14:paraId="222C4D16" w14:textId="77777777" w:rsidR="004D1721" w:rsidRDefault="009B16BC">
      <w:pPr>
        <w:pStyle w:val="Heading4"/>
      </w:pPr>
      <w:bookmarkStart w:id="715" w:name="_Hlk50650070"/>
      <w:r>
        <w:t>生产风险</w:t>
      </w:r>
      <w:bookmarkEnd w:id="715"/>
    </w:p>
    <w:p w14:paraId="18960C7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16" w:name="_Hlk50650011"/>
      <w:r>
        <w:rPr>
          <w:rFonts w:ascii="Arial Narrow" w:eastAsia="仿宋_GB2312" w:hAnsi="Arial Narrow"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4F696E3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评估期间，由于在交易中所有生产功能由松莉科技执行，松莉科技承担原材料成本、劳动力成本波动以及产能利用率低等生产风险。</w:t>
      </w:r>
      <w:bookmarkEnd w:id="716"/>
    </w:p>
    <w:p w14:paraId="1AB6E80D" w14:textId="77777777" w:rsidR="004D1721" w:rsidRDefault="009B16BC">
      <w:pPr>
        <w:pStyle w:val="Heading4"/>
      </w:pPr>
      <w:r>
        <w:t>存货风险</w:t>
      </w:r>
    </w:p>
    <w:p w14:paraId="75F0FA4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17" w:name="_Hlk50650018"/>
      <w:r>
        <w:rPr>
          <w:rFonts w:ascii="Arial Narrow" w:eastAsia="仿宋_GB2312" w:hAnsi="Arial Narrow" w:cs="Arial"/>
          <w:sz w:val="22"/>
          <w:szCs w:val="22"/>
        </w:rPr>
        <w:t>存货风险指存货过多或过少而造成的损失，以及存货毁损而无法正常使用风险。损失包括存货报废、缩水，或由于市场低迷造成产品亏本销售。</w:t>
      </w:r>
    </w:p>
    <w:p w14:paraId="38BDB761"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一般而言，国内采购的原材料存货风险主要由松莉科技承担，国外进口的原材料存货风险则由关联方/供应商承担。松莉科技主要根据境外关联方订单情况进行采购，且生产中所需的化学原料通用性较强，因此这部分原材料的存货风险较小。对于品牌产品的包装材料，由于包装材料上一般会印有品牌的标识，再包装或销售价值较低，因此存在一定的存货风险。</w:t>
      </w:r>
      <w:r>
        <w:rPr>
          <w:rFonts w:ascii="Arial Narrow" w:eastAsia="仿宋_GB2312" w:hAnsi="Arial Narrow" w:cs="Arial"/>
          <w:sz w:val="22"/>
          <w:szCs w:val="22"/>
        </w:rPr>
        <w:t/>
      </w:r>
      <w:r>
        <w:rPr>
          <w:rFonts w:ascii="Arial Narrow" w:eastAsia="仿宋_GB2312" w:hAnsi="Arial Narrow" w:cs="Arial"/>
          <w:sz w:val="22"/>
          <w:szCs w:val="22"/>
        </w:rPr>
        <w:t/>
      </w:r>
    </w:p>
    <w:p w14:paraId="6130D26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产成品与半成品方面，由于松莉科技的产品主要销售给关联方，并根据销售订单进行生产，因此基本不会出现大量产成品积压的情况。松莉科技在评估期间承担原材料存货风险和一定的产成品的存货风险。</w:t>
      </w:r>
      <w:r>
        <w:rPr>
          <w:rFonts w:ascii="Arial Narrow" w:eastAsia="仿宋_GB2312" w:hAnsi="Arial Narrow" w:cs="Arial" w:hint="eastAsia"/>
          <w:sz w:val="22"/>
          <w:szCs w:val="22"/>
        </w:rPr>
        <w:t/>
      </w:r>
      <w:r>
        <w:rPr>
          <w:rFonts w:ascii="Arial Narrow" w:eastAsia="仿宋_GB2312" w:hAnsi="Arial Narrow" w:cs="Arial"/>
          <w:sz w:val="22"/>
          <w:szCs w:val="22"/>
        </w:rPr>
        <w:t/>
      </w:r>
      <w:bookmarkEnd w:id="717"/>
    </w:p>
    <w:p w14:paraId="29040B1D" w14:textId="77777777" w:rsidR="004D1721" w:rsidRDefault="009B16BC">
      <w:pPr>
        <w:pStyle w:val="Heading4"/>
      </w:pPr>
      <w:r>
        <w:t>产品责任风险</w:t>
      </w:r>
    </w:p>
    <w:p w14:paraId="1B2B27A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18" w:name="_Toc489952497"/>
      <w:bookmarkStart w:id="719" w:name="_Toc489952388"/>
      <w:bookmarkStart w:id="720" w:name="_Toc489952496"/>
      <w:bookmarkStart w:id="721" w:name="_Toc489952389"/>
      <w:bookmarkStart w:id="722" w:name="_Toc489952386"/>
      <w:bookmarkStart w:id="723" w:name="_Toc489952387"/>
      <w:bookmarkStart w:id="724" w:name="_Toc489952495"/>
      <w:bookmarkStart w:id="725" w:name="_Toc489952393"/>
      <w:bookmarkStart w:id="726" w:name="_Toc489952501"/>
      <w:bookmarkStart w:id="727" w:name="_Toc48317152"/>
      <w:bookmarkStart w:id="728" w:name="_Toc48317458"/>
      <w:bookmarkEnd w:id="718"/>
      <w:bookmarkEnd w:id="719"/>
      <w:bookmarkEnd w:id="720"/>
      <w:bookmarkEnd w:id="721"/>
      <w:bookmarkEnd w:id="722"/>
      <w:bookmarkEnd w:id="723"/>
      <w:bookmarkEnd w:id="724"/>
      <w:bookmarkEnd w:id="725"/>
      <w:bookmarkEnd w:id="726"/>
      <w:r>
        <w:rPr>
          <w:rFonts w:ascii="Arial Narrow" w:eastAsia="仿宋_GB2312" w:hAnsi="Arial Narrow" w:cs="Arial"/>
          <w:sz w:val="22"/>
          <w:szCs w:val="22"/>
        </w:rPr>
        <w:t>产品责任风险是指一个公司的产品未达到预期标准，而相应承担的赔偿责任或名誉受损的风险。</w:t>
      </w:r>
    </w:p>
    <w:p w14:paraId="619C525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如果松莉科技所生产销售的产品出现质量问题，松莉科技需要承担相应责任并支付与此相关的费用。在实际生产经营中，松莉科技对产品实行严格的质量检测与控制，产品的不良品率较低，因为松莉科技在评估期间承担一定的产品责任风险。</w:t>
      </w:r>
    </w:p>
    <w:p w14:paraId="45106B76" w14:textId="77777777" w:rsidR="004D1721" w:rsidRDefault="009B16BC">
      <w:pPr>
        <w:pStyle w:val="Heading4"/>
      </w:pPr>
      <w:r>
        <w:t>市场风险</w:t>
      </w:r>
    </w:p>
    <w:p w14:paraId="21F7781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市场风险是指由于市场竞争加剧、市场需求状况不利、无法开发市场或无法定位产品以服务目标客户而面临不利的销售状况。</w:t>
      </w:r>
    </w:p>
    <w:p w14:paraId="2DC7E01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松莉科技根据关联方的订单进行生产活动，如果市场上对相关的产品需求量下降，松莉科技的订单数量会相应减少。这将可能导致松莉科技的固定成本比如租金、折旧、其他行政管理费用无法得到补偿。这部分闲置成本将由松莉科技自行承担。</w:t>
      </w:r>
    </w:p>
    <w:p w14:paraId="67ED310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因此，评估期间，松莉科技承担一定的市场风险。</w:t>
      </w:r>
    </w:p>
    <w:p w14:paraId="117F468B" w14:textId="77777777" w:rsidR="004D1721" w:rsidRDefault="009B16BC">
      <w:pPr>
        <w:pStyle w:val="Heading4"/>
      </w:pPr>
      <w:r>
        <w:t>信用风险</w:t>
      </w:r>
    </w:p>
    <w:p w14:paraId="5AC20A4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信用风险指在先交货（或先提供劳务）后付款的情况下，销售方（或劳务提供方）在未来有可能不能如期或全额收到货款，相应的风险便是信用风险。其主要取决于两个因素：客户的信用度和应收账款的数额。</w:t>
      </w:r>
    </w:p>
    <w:p w14:paraId="6111201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评估期间，松莉科技的产成品90%以上销售给关联方，因此不承担信用风险；在向非关联方销售产品时，会承担全部信用风险。</w:t>
      </w:r>
      <w:r>
        <w:rPr>
          <w:rFonts w:ascii="Arial Narrow" w:eastAsia="仿宋_GB2312" w:hAnsi="Arial Narrow" w:cs="Arial"/>
          <w:sz w:val="22"/>
          <w:szCs w:val="22"/>
        </w:rPr>
        <w:t/>
      </w:r>
      <w:r>
        <w:rPr>
          <w:rFonts w:ascii="Arial Narrow" w:eastAsia="仿宋_GB2312" w:hAnsi="Arial Narrow" w:cs="Arial"/>
          <w:sz w:val="22"/>
          <w:szCs w:val="22"/>
        </w:rPr>
        <w:t/>
      </w:r>
    </w:p>
    <w:p w14:paraId="69089AB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因此，评估期间，松莉科技承担有限的信用风险。</w:t>
      </w:r>
    </w:p>
    <w:p w14:paraId="0A25786B" w14:textId="77777777" w:rsidR="004D1721" w:rsidRDefault="009B16BC">
      <w:pPr>
        <w:pStyle w:val="Heading4"/>
      </w:pPr>
      <w:r>
        <w:t>汇率风险</w:t>
      </w:r>
    </w:p>
    <w:p w14:paraId="5A894AF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公司在使用非本位币进行国际交易结算时，由于汇率的变化可能遭受的损失即为汇率风险。</w:t>
      </w:r>
    </w:p>
    <w:p w14:paraId="600E5C2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松莉科技的部分原材料采购为境外采购，采购款以外币结算，而记账本位币是人民币。</w:t>
      </w:r>
    </w:p>
    <w:p w14:paraId="21F2C76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因此，评估期间，松莉科技实际承担外汇风险。</w:t>
      </w:r>
      <w:r>
        <w:rPr>
          <w:rFonts w:ascii="Arial Narrow" w:eastAsia="仿宋_GB2312" w:hAnsi="Arial Narrow" w:cs="Arial" w:hint="eastAsia"/>
          <w:sz w:val="22"/>
          <w:szCs w:val="22"/>
        </w:rPr>
        <w:t/>
      </w:r>
      <w:r>
        <w:rPr>
          <w:rFonts w:ascii="Arial Narrow" w:eastAsia="仿宋_GB2312" w:hAnsi="Arial Narrow" w:cs="Arial"/>
          <w:sz w:val="22"/>
          <w:szCs w:val="22"/>
        </w:rPr>
        <w:t/>
      </w:r>
    </w:p>
    <w:p w14:paraId="79D93FFD" w14:textId="77777777" w:rsidR="004D1721" w:rsidRDefault="009B16BC">
      <w:pPr>
        <w:pStyle w:val="Heading2"/>
      </w:pPr>
      <w:bookmarkStart w:id="729" w:name="_Toc140505136"/>
      <w:bookmarkStart w:id="730" w:name="_Toc53229089"/>
      <w:r>
        <w:t>资产分析</w:t>
      </w:r>
      <w:bookmarkEnd w:id="727"/>
      <w:bookmarkEnd w:id="728"/>
      <w:bookmarkEnd w:id="729"/>
      <w:bookmarkEnd w:id="730"/>
    </w:p>
    <w:p w14:paraId="1E78D13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31" w:name="_Toc48317459"/>
      <w:r>
        <w:rPr>
          <w:rFonts w:ascii="Arial Narrow" w:eastAsia="仿宋_GB2312" w:hAnsi="Arial Narrow" w:cs="Arial"/>
          <w:sz w:val="22"/>
          <w:szCs w:val="22"/>
        </w:rPr>
        <w:t>本节描述了评估期间，松莉科技及其关联方在受测关联交易中所使用的资产。</w:t>
      </w:r>
      <w:bookmarkEnd w:id="731"/>
    </w:p>
    <w:p w14:paraId="1BFFBC3F" w14:textId="77777777" w:rsidR="004D1721" w:rsidRDefault="009B16BC">
      <w:pPr>
        <w:pStyle w:val="Heading3"/>
        <w:rPr>
          <w:b/>
          <w:bCs/>
        </w:rPr>
      </w:pPr>
      <w:bookmarkStart w:id="732" w:name="_Toc53229090"/>
      <w:bookmarkStart w:id="733" w:name="_Toc140505137"/>
      <w:r>
        <w:lastRenderedPageBreak/>
        <w:t>有形资产</w:t>
      </w:r>
      <w:bookmarkEnd w:id="732"/>
      <w:bookmarkEnd w:id="733"/>
    </w:p>
    <w:p w14:paraId="3CE5815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34" w:name="_Hlk50650154"/>
      <w:r>
        <w:rPr>
          <w:rFonts w:ascii="Arial Narrow" w:eastAsia="仿宋_GB2312" w:hAnsi="Arial Narrow" w:cs="Arial"/>
          <w:sz w:val="22"/>
          <w:szCs w:val="22"/>
        </w:rPr>
        <w:t>松莉科技拥有生产和测试所需的机器设备、运输设备、电子设备、办公及其他设备和生产工具等有形资产所有权。与同行业的其他公司相比，松莉科技拥有的有形资产水平没有显著差异。</w:t>
      </w:r>
      <w:bookmarkEnd w:id="734"/>
    </w:p>
    <w:p w14:paraId="4BA0F41A" w14:textId="77777777" w:rsidR="004D1721" w:rsidRDefault="009B16BC">
      <w:pPr>
        <w:pStyle w:val="Heading3"/>
        <w:rPr>
          <w:b/>
          <w:bCs/>
        </w:rPr>
      </w:pPr>
      <w:bookmarkStart w:id="735" w:name="_Toc53229091"/>
      <w:bookmarkStart w:id="736" w:name="_Toc140505138"/>
      <w:r>
        <w:t xml:space="preserve">无形资产 </w:t>
      </w:r>
      <w:bookmarkEnd w:id="735"/>
      <w:bookmarkEnd w:id="736"/>
      <w:r>
        <w:t xml:space="preserve"/>
      </w:r>
    </w:p>
    <w:p w14:paraId="78C1541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2BC3337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松莉科技不拥有任何非常规的无形资产。</w:t>
      </w:r>
      <w:r>
        <w:rPr>
          <w:rFonts w:ascii="Arial Narrow" w:eastAsia="仿宋_GB2312" w:hAnsi="Arial Narrow" w:cs="Arial" w:hint="eastAsia"/>
          <w:sz w:val="22"/>
          <w:szCs w:val="22"/>
        </w:rPr>
        <w:t/>
      </w:r>
      <w:r>
        <w:rPr>
          <w:rFonts w:ascii="Arial Narrow" w:eastAsia="仿宋_GB2312" w:hAnsi="Arial Narrow" w:cs="Arial"/>
          <w:sz w:val="22"/>
          <w:szCs w:val="22"/>
        </w:rPr>
        <w:t/>
      </w:r>
    </w:p>
    <w:p w14:paraId="7A996E75" w14:textId="77777777" w:rsidR="004D1721" w:rsidRDefault="009B16BC">
      <w:pPr>
        <w:pStyle w:val="Heading2"/>
        <w:rPr>
          <w:b/>
          <w:bCs/>
        </w:rPr>
      </w:pPr>
      <w:bookmarkStart w:id="737" w:name="_Toc154394529"/>
      <w:bookmarkStart w:id="738" w:name="_Toc154394611"/>
      <w:bookmarkStart w:id="739" w:name="_Toc85042571"/>
      <w:bookmarkStart w:id="740" w:name="_Toc154394609"/>
      <w:bookmarkStart w:id="741" w:name="_Toc85557706"/>
      <w:bookmarkStart w:id="742" w:name="_Toc85042574"/>
      <w:bookmarkStart w:id="743" w:name="_Toc85557708"/>
      <w:bookmarkStart w:id="744" w:name="_Toc85622940"/>
      <w:bookmarkStart w:id="745" w:name="_Toc85042573"/>
      <w:bookmarkStart w:id="746" w:name="_Toc154394537"/>
      <w:bookmarkStart w:id="747" w:name="_Toc154394604"/>
      <w:bookmarkStart w:id="748" w:name="_Toc85557711"/>
      <w:bookmarkStart w:id="749" w:name="_Toc489952546"/>
      <w:bookmarkStart w:id="750" w:name="_Toc154394601"/>
      <w:bookmarkStart w:id="751" w:name="_Toc85042570"/>
      <w:bookmarkStart w:id="752" w:name="_Toc154394612"/>
      <w:bookmarkStart w:id="753" w:name="_Toc85557707"/>
      <w:bookmarkStart w:id="754" w:name="_Toc85557576"/>
      <w:bookmarkStart w:id="755" w:name="_Toc154394549"/>
      <w:bookmarkStart w:id="756" w:name="_Toc154394540"/>
      <w:bookmarkStart w:id="757" w:name="_Toc85042572"/>
      <w:bookmarkStart w:id="758" w:name="_Toc154394539"/>
      <w:bookmarkStart w:id="759" w:name="_Toc85557577"/>
      <w:bookmarkStart w:id="760" w:name="_Toc154394602"/>
      <w:bookmarkStart w:id="761" w:name="_Toc85557710"/>
      <w:bookmarkStart w:id="762" w:name="_Toc85042569"/>
      <w:bookmarkStart w:id="763" w:name="_Toc85557574"/>
      <w:bookmarkStart w:id="764" w:name="_Toc154394621"/>
      <w:bookmarkStart w:id="765" w:name="_Toc85622942"/>
      <w:bookmarkStart w:id="766" w:name="_Toc85557578"/>
      <w:bookmarkStart w:id="767" w:name="_Toc85622945"/>
      <w:bookmarkStart w:id="768" w:name="_Toc85622941"/>
      <w:bookmarkStart w:id="769" w:name="_Toc85557709"/>
      <w:bookmarkStart w:id="770" w:name="_Toc85622944"/>
      <w:bookmarkStart w:id="771" w:name="_Toc154394600"/>
      <w:bookmarkStart w:id="772" w:name="_Toc85557573"/>
      <w:bookmarkStart w:id="773" w:name="_Toc85622943"/>
      <w:bookmarkStart w:id="774" w:name="_Toc154394528"/>
      <w:bookmarkStart w:id="775" w:name="_Toc154394530"/>
      <w:bookmarkStart w:id="776" w:name="_Toc85557575"/>
      <w:bookmarkStart w:id="777" w:name="_Toc154394532"/>
      <w:bookmarkStart w:id="778" w:name="_Toc140505139"/>
      <w:bookmarkStart w:id="779" w:name="_Toc53229092"/>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r>
        <w:t>小结</w:t>
      </w:r>
      <w:bookmarkEnd w:id="261"/>
      <w:bookmarkEnd w:id="778"/>
      <w:bookmarkEnd w:id="779"/>
    </w:p>
    <w:p w14:paraId="6B2F7ABC" w14:textId="77777777" w:rsidR="004D1721" w:rsidRDefault="009B16BC">
      <w:pPr>
        <w:adjustRightInd w:val="0"/>
        <w:snapToGrid w:val="0"/>
        <w:spacing w:before="240" w:after="240"/>
        <w:ind w:firstLine="475"/>
        <w:jc w:val="both"/>
        <w:rPr>
          <w:rFonts w:ascii="Arial Narrow" w:eastAsia="仿宋_GB2312" w:hAnsi="Arial Narrow" w:cs="Arial"/>
          <w:sz w:val="22"/>
          <w:szCs w:val="22"/>
        </w:rPr>
      </w:pPr>
      <w:r>
        <w:rPr>
          <w:rFonts w:ascii="Arial Narrow" w:eastAsia="仿宋_GB2312" w:hAnsi="Arial Narrow" w:cs="Arial"/>
          <w:sz w:val="22"/>
          <w:szCs w:val="22"/>
        </w:rPr>
        <w:t>评估期间，松莉科技承担的主要功能和风险，以及拥有的资产总结如下：</w:t>
      </w:r>
    </w:p>
    <w:p w14:paraId="17845E6F" w14:textId="77777777" w:rsidR="004D1721" w:rsidRDefault="009B16BC">
      <w:pPr>
        <w:pStyle w:val="10"/>
        <w:numPr>
          <w:ilvl w:val="0"/>
          <w:numId w:val="28"/>
        </w:numPr>
        <w:spacing w:beforeLines="50" w:before="180" w:afterLines="50" w:after="180" w:line="360" w:lineRule="auto"/>
        <w:ind w:right="113"/>
        <w:contextualSpacing w:val="0"/>
        <w:jc w:val="both"/>
        <w:rPr>
          <w:rFonts w:ascii="Arial Narrow" w:eastAsia="仿宋_GB2312" w:hAnsi="Arial Narrow" w:cs="Arial"/>
        </w:rPr>
      </w:pPr>
      <w:r>
        <w:rPr>
          <w:rFonts w:ascii="Arial Narrow" w:eastAsia="仿宋_GB2312" w:hAnsi="Arial Narrow" w:cs="Arial"/>
        </w:rPr>
        <w:t>松莉科技执行有限的研发、生产、采购、质量控制、库存管理、物流、有限的销售、有限的售后服务和一般行政管理的功能；松莉科技主要承担生产风险、存货风险、市场风险、有限的信用风险、汇率风险；从功能和风险分析应归为承担一定功能及风险的合约生产制造商。</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hint="eastAsia"/>
        </w:rPr>
        <w:t/>
      </w:r>
      <w:r>
        <w:rPr>
          <w:rFonts w:ascii="Arial Narrow" w:eastAsia="仿宋_GB2312" w:hAnsi="Arial Narrow" w:cs="Arial"/>
        </w:rPr>
        <w:t/>
      </w:r>
    </w:p>
    <w:p w14:paraId="4C277D99" w14:textId="77777777" w:rsidR="004D1721" w:rsidRDefault="009B16BC">
      <w:pPr>
        <w:pStyle w:val="10"/>
        <w:numPr>
          <w:ilvl w:val="0"/>
          <w:numId w:val="28"/>
        </w:numPr>
        <w:adjustRightInd w:val="0"/>
        <w:snapToGrid w:val="0"/>
        <w:spacing w:beforeLines="50" w:before="180" w:afterLines="50" w:after="180" w:line="360" w:lineRule="auto"/>
        <w:ind w:right="113"/>
        <w:contextualSpacing w:val="0"/>
        <w:jc w:val="both"/>
        <w:rPr>
          <w:rFonts w:ascii="Arial Narrow" w:eastAsia="仿宋_GB2312" w:hAnsi="Arial Narrow" w:cs="Arial"/>
          <w:kern w:val="24"/>
        </w:rPr>
      </w:pPr>
      <w:r>
        <w:rPr>
          <w:rFonts w:ascii="Arial Narrow" w:eastAsia="仿宋_GB2312" w:hAnsi="Arial Narrow" w:cs="Arial"/>
        </w:rPr>
        <w:t>此外，松莉科技拥有全部的生产和测试所需的有形资产，不拥有技术专利及品牌等有价值的无形资产。</w:t>
      </w:r>
      <w:bookmarkEnd w:id="235"/>
      <w:bookmarkEnd w:id="236"/>
    </w:p>
    <w:p w14:paraId="67B7B2F8" w14:textId="77777777" w:rsidR="004D1721" w:rsidRDefault="004D1721">
      <w:pPr>
        <w:adjustRightInd w:val="0"/>
        <w:snapToGrid w:val="0"/>
        <w:spacing w:before="240" w:after="240"/>
        <w:jc w:val="both"/>
        <w:rPr>
          <w:rFonts w:ascii="Arial Narrow" w:eastAsia="仿宋_GB2312" w:hAnsi="Arial Narrow" w:cs="Arial"/>
          <w:kern w:val="24"/>
          <w:sz w:val="22"/>
          <w:szCs w:val="22"/>
          <w:lang w:val="en-GB"/>
        </w:rPr>
        <w:sectPr w:rsidR="004D1721">
          <w:headerReference w:type="even" r:id="rId31"/>
          <w:headerReference w:type="first" r:id="rId32"/>
          <w:pgSz w:w="11907" w:h="16839"/>
          <w:pgMar w:top="1440" w:right="1800" w:bottom="1440" w:left="1800" w:header="709" w:footer="709" w:gutter="0"/>
          <w:cols w:space="720"/>
          <w:docGrid w:type="lines" w:linePitch="360"/>
        </w:sectPr>
      </w:pPr>
    </w:p>
    <w:p w14:paraId="0D59CE61" w14:textId="77777777" w:rsidR="004D1721" w:rsidRDefault="009B16BC">
      <w:pPr>
        <w:pStyle w:val="Heading1"/>
        <w:rPr>
          <w:b/>
        </w:rPr>
      </w:pPr>
      <w:bookmarkStart w:id="780" w:name="_Toc140505140"/>
      <w:bookmarkStart w:id="781" w:name="_Toc53229093"/>
      <w:bookmarkStart w:id="782" w:name="_Toc274825238"/>
      <w:r>
        <w:lastRenderedPageBreak/>
        <w:t>价值链分析</w:t>
      </w:r>
      <w:bookmarkEnd w:id="780"/>
      <w:bookmarkEnd w:id="781"/>
    </w:p>
    <w:p w14:paraId="494F237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783" w:name="_Toc522205826"/>
      <w:bookmarkStart w:id="784" w:name="_Toc48582998"/>
      <w:bookmarkStart w:id="785" w:name="_Toc489952573"/>
      <w:bookmarkStart w:id="786" w:name="_Toc489952567"/>
      <w:bookmarkStart w:id="787" w:name="_Toc522205827"/>
      <w:bookmarkStart w:id="788" w:name="_Toc48582585"/>
      <w:bookmarkStart w:id="789" w:name="_Toc489952561"/>
      <w:bookmarkStart w:id="790" w:name="_Toc522205825"/>
      <w:bookmarkStart w:id="791" w:name="_Toc489952569"/>
      <w:bookmarkStart w:id="792" w:name="_Toc15995719"/>
      <w:bookmarkStart w:id="793" w:name="_Toc48317464"/>
      <w:bookmarkStart w:id="794" w:name="_Toc48317156"/>
      <w:bookmarkEnd w:id="783"/>
      <w:bookmarkEnd w:id="784"/>
      <w:bookmarkEnd w:id="785"/>
      <w:bookmarkEnd w:id="786"/>
      <w:bookmarkEnd w:id="787"/>
      <w:bookmarkEnd w:id="788"/>
      <w:bookmarkEnd w:id="789"/>
      <w:bookmarkEnd w:id="790"/>
      <w:bookmarkEnd w:id="791"/>
      <w:r>
        <w:rPr>
          <w:rFonts w:ascii="Arial Narrow" w:eastAsia="仿宋_GB2312" w:hAnsi="Arial Narrow" w:cs="Arial"/>
          <w:sz w:val="22"/>
          <w:szCs w:val="22"/>
        </w:rPr>
        <w:t>根据[2016]42号公告的相关规定，在分析关联交易是否符合独立交易原则的过程中应当对集团价值链进行分析。因此，本节将阐述Markwins 集团价值链情况。</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7C11AB2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价值链分析能够提供以下与经营活动相关的有效信息：</w:t>
      </w:r>
    </w:p>
    <w:p w14:paraId="4CE10111"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与交易有关的关键价值驱动因素，其中包括各相关方是如何使其自身区别于同业竞争者进而赢取市场的；</w:t>
      </w:r>
    </w:p>
    <w:p w14:paraId="6EF2BEAB"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相关企业在资产、功能及风险方面对价值驱动的贡献，包括哪些贡献是独特且有价值的；</w:t>
      </w:r>
    </w:p>
    <w:p w14:paraId="718989A0"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企业集团内业务流、物流和资金流，包括商品、劳务或者其他交易标的从设计、开发、生产制造、营销、销售、交货、结算、消费、售后服务、循环利用等各环节及其参与方；</w:t>
      </w:r>
    </w:p>
    <w:p w14:paraId="4471A15B"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各相关方在价值链中是如何协同运作，以及是如何分配功能和资产的。</w:t>
      </w:r>
    </w:p>
    <w:p w14:paraId="5647FEF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p>
    <w:p w14:paraId="230E356F" w14:textId="77777777" w:rsidR="004D1721" w:rsidRDefault="009B16BC">
      <w:pPr>
        <w:pStyle w:val="Heading2"/>
      </w:pPr>
      <w:bookmarkStart w:id="795" w:name="_Toc140505141"/>
      <w:bookmarkStart w:id="796" w:name="_Toc53229094"/>
      <w:r>
        <w:t>确定关键价值驱动因素</w:t>
      </w:r>
      <w:bookmarkEnd w:id="792"/>
      <w:bookmarkEnd w:id="793"/>
      <w:bookmarkEnd w:id="794"/>
      <w:bookmarkEnd w:id="795"/>
      <w:bookmarkEnd w:id="796"/>
    </w:p>
    <w:p w14:paraId="7324B10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在化妆品行业中竞争十分激烈，Markwins集团的利润水平主要由专注细分市场、集中采购和分销网络、营销技术经验和有效产品推广和客户关系等因素决定。</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61A81AE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（1）专注细分市场</w:t>
      </w:r>
      <w:r>
        <w:rPr>
          <w:rFonts w:ascii="Arial Narrow" w:eastAsia="仿宋_GB2312" w:hAnsi="Arial Narrow" w:cs="Arial"/>
          <w:sz w:val="22"/>
          <w:szCs w:val="22"/>
        </w:rPr>
        <w:t/>
      </w:r>
      <w:r>
        <w:rPr>
          <w:rFonts w:ascii="Arial Narrow" w:eastAsia="仿宋_GB2312" w:hAnsi="Arial Narrow" w:cs="Arial"/>
          <w:sz w:val="22"/>
          <w:szCs w:val="22"/>
        </w:rPr>
        <w:t/>
      </w:r>
    </w:p>
    <w:p w14:paraId="091C129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Markwins 集团的策略是专注于较便宜的产品。随着消费者对小众市场越来越感兴趣，Markwins 集团通过满足所有年龄组别和人群的成年人、青少年品牌，为所有年龄段的消费者提供经济适用型美容产品，从而填补了小众市场这一重大空白。</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500FC9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（2）集中采购和分销网络</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p w14:paraId="61E65A3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 xml:space="preserve">Markwins 集团通过集中采购，能够利用规模经济，发挥市场支配力，以较低成本创造更好的产品，而结构较分散的企业则难以望其项背。</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D1F960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通过多年来的多次收购，Markwins 集团已经成为一个拥有广泛的分销网络垂直整合的化妆品产品供应商。Markwins 集团还通过内部开发和战略收购拥有专利配方和产品，如修容粉饼、散粉、润唇膏和指甲油。这些配方的专利性质使得 Markwins 集团能够有效地创造独特的产品，从而获得与对手竞争的战略优势。</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1FCC085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（3）营销技术经验和有效产品推广</w:t>
      </w:r>
      <w:r>
        <w:rPr>
          <w:rFonts w:ascii="Arial Narrow" w:eastAsia="仿宋_GB2312" w:hAnsi="Arial Narrow" w:cs="Arial"/>
          <w:sz w:val="22"/>
          <w:szCs w:val="22"/>
        </w:rPr>
        <w:t/>
      </w:r>
      <w:r>
        <w:rPr>
          <w:rFonts w:ascii="Arial Narrow" w:eastAsia="仿宋_GB2312" w:hAnsi="Arial Narrow" w:cs="Arial"/>
          <w:sz w:val="22"/>
          <w:szCs w:val="22"/>
        </w:rPr>
        <w:t/>
      </w:r>
    </w:p>
    <w:p w14:paraId="71683A4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Markwins 集团专注于成为一个平均销售价格比市场平均零售价格低 40％的品牌。如何在适当的时间、适当的地点以适当的价格、适当的信息沟通和促销渠道，向适当的消费者提供市场的产品和服务是营销的关键，Markwins 集团通过针对性的方案持续的进行产品的营销。</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p>
    <w:p w14:paraId="4691C09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 （4）客户关系</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0963D3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通过其作为低价化妆品供应商的地位，Markwins 集团已经与主要的大型和折扣零售商建立了稳固的合作关系。Markwins 集团的客户主要为大型连锁超市和药店，包括Walmart, Target,  CVS, Walgreens., Dollar General。</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EB84BEF" w14:textId="77777777" w:rsidR="004D1721" w:rsidRDefault="009B16BC">
      <w:pPr>
        <w:pStyle w:val="Heading2"/>
        <w:rPr>
          <w:b/>
        </w:rPr>
      </w:pPr>
      <w:bookmarkStart w:id="797" w:name="_Toc85557582"/>
      <w:bookmarkStart w:id="798" w:name="_Toc85042578"/>
      <w:bookmarkStart w:id="799" w:name="_Toc85622949"/>
      <w:bookmarkStart w:id="800" w:name="_Toc85557715"/>
      <w:bookmarkStart w:id="801" w:name="_Toc140505142"/>
      <w:bookmarkStart w:id="802" w:name="_Toc53229095"/>
      <w:bookmarkEnd w:id="797"/>
      <w:bookmarkEnd w:id="798"/>
      <w:bookmarkEnd w:id="799"/>
      <w:bookmarkEnd w:id="800"/>
      <w:r>
        <w:t>集团价值链</w:t>
      </w:r>
      <w:bookmarkEnd w:id="801"/>
      <w:bookmarkEnd w:id="802"/>
    </w:p>
    <w:p w14:paraId="7F461CE9"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评估期间，Markwins集团的价值链以及松莉科技在其中所处的位置如下图所示：</w:t>
      </w:r>
      <w:r>
        <w:rPr>
          <w:rFonts w:ascii="Arial Narrow" w:eastAsia="仿宋_GB2312" w:hAnsi="Arial Narrow" w:cs="Arial"/>
          <w:sz w:val="22"/>
          <w:szCs w:val="22"/>
        </w:rPr>
        <w:t/>
      </w:r>
      <w:r>
        <w:rPr>
          <w:rFonts w:ascii="Arial Narrow" w:eastAsia="仿宋_GB2312" w:hAnsi="Arial Narrow" w:cs="Arial"/>
          <w:sz w:val="22"/>
          <w:szCs w:val="22"/>
        </w:rPr>
        <w:t/>
      </w:r>
    </w:p>
    <w:p w14:paraId="3FD0180C" w14:textId="77777777" w:rsidR="004D1721" w:rsidRDefault="004D1721">
      <w:pPr>
        <w:jc w:val="center"/>
        <w:rPr>
          <w:rFonts w:ascii="Arial Narrow" w:eastAsia="仿宋_GB2312" w:hAnsi="Arial Narrow" w:cs="Arial"/>
          <w:b/>
          <w:sz w:val="22"/>
        </w:rPr>
      </w:pPr>
    </w:p>
    <w:p w14:paraId="2D375283" w14:textId="77777777" w:rsidR="004D1721" w:rsidRDefault="004D1721">
      <w:pPr>
        <w:jc w:val="center"/>
        <w:rPr>
          <w:rFonts w:ascii="Arial Narrow" w:eastAsia="仿宋_GB2312" w:hAnsi="Arial Narrow" w:cs="Arial"/>
          <w:b/>
          <w:sz w:val="22"/>
        </w:rPr>
      </w:pPr>
    </w:p>
    <w:p w14:paraId="3E653060" w14:textId="77777777" w:rsidR="004D1721" w:rsidRDefault="004D1721">
      <w:pPr>
        <w:jc w:val="center"/>
        <w:rPr>
          <w:rFonts w:ascii="Arial Narrow" w:eastAsia="仿宋_GB2312" w:hAnsi="Arial Narrow" w:cs="Arial"/>
          <w:b/>
          <w:sz w:val="22"/>
        </w:rPr>
      </w:pPr>
    </w:p>
    <w:p w14:paraId="4AFDA2F9" w14:textId="77777777" w:rsidR="004D1721" w:rsidRDefault="004D1721">
      <w:pPr>
        <w:jc w:val="center"/>
        <w:rPr>
          <w:rFonts w:ascii="Arial Narrow" w:eastAsia="仿宋_GB2312" w:hAnsi="Arial Narrow" w:cs="Arial"/>
          <w:b/>
          <w:sz w:val="22"/>
        </w:rPr>
      </w:pPr>
    </w:p>
    <w:p w14:paraId="7F620AF6" w14:textId="77777777" w:rsidR="004D1721" w:rsidRDefault="004D1721">
      <w:pPr>
        <w:jc w:val="center"/>
        <w:rPr>
          <w:rFonts w:ascii="Arial Narrow" w:eastAsia="仿宋_GB2312" w:hAnsi="Arial Narrow" w:cs="Arial"/>
          <w:b/>
          <w:sz w:val="22"/>
        </w:rPr>
      </w:pPr>
    </w:p>
    <w:p w14:paraId="6F4B7DC5" w14:textId="77777777" w:rsidR="004D1721" w:rsidRDefault="004D1721">
      <w:pPr>
        <w:jc w:val="center"/>
        <w:rPr>
          <w:rFonts w:ascii="Arial Narrow" w:eastAsia="仿宋_GB2312" w:hAnsi="Arial Narrow" w:cs="Arial"/>
          <w:b/>
          <w:sz w:val="22"/>
        </w:rPr>
      </w:pPr>
    </w:p>
    <w:p w14:paraId="3E24D8E4" w14:textId="77777777" w:rsidR="004D1721" w:rsidRDefault="004D1721">
      <w:pPr>
        <w:jc w:val="center"/>
        <w:rPr>
          <w:rFonts w:ascii="Arial Narrow" w:eastAsia="仿宋_GB2312" w:hAnsi="Arial Narrow" w:cs="Arial"/>
          <w:b/>
          <w:sz w:val="22"/>
        </w:rPr>
      </w:pPr>
    </w:p>
    <w:p w14:paraId="26A17314" w14:textId="77777777" w:rsidR="004D1721" w:rsidRDefault="004D1721">
      <w:pPr>
        <w:jc w:val="center"/>
        <w:rPr>
          <w:rFonts w:ascii="Arial Narrow" w:eastAsia="仿宋_GB2312" w:hAnsi="Arial Narrow" w:cs="Arial"/>
          <w:b/>
          <w:sz w:val="22"/>
        </w:rPr>
      </w:pPr>
    </w:p>
    <w:p w14:paraId="1AC88E59" w14:textId="77777777" w:rsidR="004D1721" w:rsidRDefault="004D1721">
      <w:pPr>
        <w:jc w:val="center"/>
        <w:rPr>
          <w:rFonts w:ascii="Arial Narrow" w:eastAsia="仿宋_GB2312" w:hAnsi="Arial Narrow" w:cs="Arial"/>
          <w:b/>
          <w:sz w:val="22"/>
        </w:rPr>
      </w:pPr>
    </w:p>
    <w:p w14:paraId="1B09BC22" w14:textId="77777777" w:rsidR="004D1721" w:rsidRDefault="004D1721">
      <w:pPr>
        <w:jc w:val="center"/>
        <w:rPr>
          <w:rFonts w:ascii="Arial Narrow" w:eastAsia="仿宋_GB2312" w:hAnsi="Arial Narrow" w:cs="Arial"/>
          <w:b/>
          <w:sz w:val="22"/>
        </w:rPr>
      </w:pPr>
    </w:p>
    <w:p w14:paraId="5F8328FC" w14:textId="77777777" w:rsidR="004D1721" w:rsidRDefault="004D1721">
      <w:pPr>
        <w:jc w:val="center"/>
        <w:rPr>
          <w:rFonts w:ascii="Arial Narrow" w:eastAsia="仿宋_GB2312" w:hAnsi="Arial Narrow" w:cs="Arial"/>
          <w:b/>
          <w:sz w:val="22"/>
        </w:rPr>
      </w:pPr>
    </w:p>
    <w:p w14:paraId="45C83412" w14:textId="77777777" w:rsidR="004D1721" w:rsidRDefault="004D1721">
      <w:pPr>
        <w:jc w:val="center"/>
        <w:rPr>
          <w:rFonts w:ascii="Arial Narrow" w:eastAsia="仿宋_GB2312" w:hAnsi="Arial Narrow" w:cs="Arial"/>
          <w:b/>
          <w:sz w:val="22"/>
        </w:rPr>
      </w:pPr>
    </w:p>
    <w:p w14:paraId="2C827F4A" w14:textId="77777777" w:rsidR="004D1721" w:rsidRDefault="004D1721">
      <w:pPr>
        <w:jc w:val="center"/>
        <w:rPr>
          <w:rFonts w:ascii="Arial Narrow" w:eastAsia="仿宋_GB2312" w:hAnsi="Arial Narrow" w:cs="Arial"/>
          <w:b/>
          <w:sz w:val="22"/>
        </w:rPr>
      </w:pPr>
    </w:p>
    <w:p w14:paraId="255A112D" w14:textId="77777777" w:rsidR="004D1721" w:rsidRDefault="004D1721">
      <w:pPr>
        <w:jc w:val="center"/>
        <w:rPr>
          <w:rFonts w:ascii="Arial Narrow" w:eastAsia="仿宋_GB2312" w:hAnsi="Arial Narrow" w:cs="Arial"/>
          <w:b/>
          <w:sz w:val="22"/>
        </w:rPr>
      </w:pPr>
    </w:p>
    <w:p w14:paraId="0B51B648" w14:textId="5D354739" w:rsidR="004D1721" w:rsidRDefault="009B16BC">
      <w:pPr>
        <w:jc w:val="center"/>
        <w:rPr>
          <w:rFonts w:ascii="Arial Narrow" w:eastAsia="仿宋_GB2312" w:hAnsi="Arial Narrow" w:cs="Arial"/>
          <w:b/>
          <w:bCs/>
          <w:sz w:val="22"/>
        </w:rPr>
      </w:pPr>
      <w:r>
        <w:rPr>
          <w:rFonts w:ascii="Arial Narrow" w:eastAsia="仿宋_GB2312" w:hAnsi="Arial Narrow" w:cs="Arial"/>
          <w:b/>
          <w:sz w:val="22"/>
        </w:rPr>
        <w:lastRenderedPageBreak/>
        <w:t>图表 12：集团价值链</w:t>
      </w:r>
      <w:r>
        <w:rPr>
          <w:rFonts w:ascii="Arial Narrow" w:eastAsia="仿宋_GB2312" w:hAnsi="Arial Narrow" w:cs="Arial"/>
          <w:b/>
          <w:sz w:val="22"/>
        </w:rPr>
        <w:t xml:space="preserve"/>
      </w:r>
      <w:r>
        <w:rPr>
          <w:rFonts w:ascii="Arial Narrow" w:eastAsia="仿宋_GB2312" w:hAnsi="Arial Narrow" w:cs="Arial"/>
          <w:b/>
          <w:sz w:val="22"/>
        </w:rPr>
        <w:fldChar w:fldCharType="begin"/>
        <w:t/>
      </w:r>
      <w:r>
        <w:rPr>
          <w:rFonts w:ascii="Arial Narrow" w:eastAsia="仿宋_GB2312" w:hAnsi="Arial Narrow" w:cs="Arial"/>
          <w:b/>
          <w:sz w:val="22"/>
        </w:rPr>
        <w:instrText xml:space="preserve"> SEQ </w:instrText>
        <w:t/>
      </w:r>
      <w:r>
        <w:rPr>
          <w:rFonts w:ascii="Arial Narrow" w:eastAsia="仿宋_GB2312" w:hAnsi="Arial Narrow" w:cs="Arial"/>
          <w:b/>
          <w:sz w:val="22"/>
        </w:rPr>
        <w:instrText>图表</w:instrText>
        <w:t/>
      </w:r>
      <w:r>
        <w:rPr>
          <w:rFonts w:ascii="Arial Narrow" w:eastAsia="仿宋_GB2312" w:hAnsi="Arial Narrow" w:cs="Arial"/>
          <w:b/>
          <w:sz w:val="22"/>
        </w:rPr>
        <w:instrText xml:space="preserve"> \* ARABIC </w:instrText>
        <w:t/>
      </w:r>
      <w:r>
        <w:rPr>
          <w:rFonts w:ascii="Arial Narrow" w:eastAsia="仿宋_GB2312" w:hAnsi="Arial Narrow" w:cs="Arial"/>
          <w:b/>
          <w:sz w:val="22"/>
        </w:rPr>
        <w:fldChar w:fldCharType="separate"/>
        <w:t/>
      </w:r>
      <w:r>
        <w:rPr>
          <w:rFonts w:ascii="Arial Narrow" w:eastAsia="仿宋_GB2312" w:hAnsi="Arial Narrow" w:cs="Arial"/>
          <w:b/>
          <w:sz w:val="22"/>
        </w:rPr>
        <w:t/>
      </w:r>
      <w:r>
        <w:rPr>
          <w:rFonts w:ascii="Arial Narrow" w:eastAsia="仿宋_GB2312" w:hAnsi="Arial Narrow" w:cs="Arial"/>
          <w:b/>
          <w:sz w:val="22"/>
        </w:rPr>
        <w:fldChar w:fldCharType="end"/>
        <w:t/>
      </w:r>
      <w:r>
        <w:rPr>
          <w:rFonts w:ascii="Arial Narrow" w:eastAsia="仿宋_GB2312" w:hAnsi="Arial Narrow" w:cs="Arial" w:hint="eastAsia"/>
          <w:b/>
          <w:bCs/>
          <w:sz w:val="22"/>
        </w:rPr>
        <w:t/>
      </w:r>
    </w:p>
    <w:p w14:paraId="54039FEE" w14:textId="39DA64FD" w:rsidR="004D1721" w:rsidRDefault="00966331">
      <w:pPr>
        <w:jc w:val="center"/>
        <w:rPr>
          <w:b/>
          <w:bCs/>
        </w:rPr>
      </w:pPr>
      <w:r>
        <w:rPr>
          <w:rFonts w:ascii="Arial Narrow" w:eastAsia="仿宋_GB2312" w:hAnsi="Arial Narrow" w:cs="Arial"/>
          <w:b/>
          <w:bCs/>
          <w:noProof/>
        </w:rPr>
        <mc:AlternateContent>
          <mc:Choice Requires="wps">
            <w:drawing>
              <wp:anchor distT="0" distB="0" distL="114300" distR="114300" simplePos="0" relativeHeight="251660288" behindDoc="0" locked="0" layoutInCell="1" allowOverlap="1" wp14:editId="64F8660A">
                <wp:simplePos x="0" y="0"/>
                <wp:positionH relativeFrom="column">
                  <wp:posOffset>3794270</wp:posOffset>
                </wp:positionH>
                <wp:positionV relativeFrom="paragraph">
                  <wp:posOffset>668969</wp:posOffset>
                </wp:positionV>
                <wp:extent cx="946150" cy="400050"/>
                <wp:effectExtent l="0" t="0" r="0" b="0"/>
                <wp:wrapNone/>
                <wp:docPr id="90" name="TextBox 89"/>
                <wp:cNvGraphicFramePr/>
                <a:graphic xmlns:a="http://schemas.openxmlformats.org/drawingml/2006/main">
                  <a:graphicData uri="http://schemas.microsoft.com/office/word/2010/wordprocessingShape">
                    <wps:wsp>
                      <wps:cNvSpPr txBox="1"/>
                      <wps:spPr>
                        <a:xfrm rot="3772198">
                          <a:off x="0" y="0"/>
                          <a:ext cx="946150" cy="400050"/>
                        </a:xfrm>
                        <a:prstGeom prst="rect">
                          <a:avLst/>
                        </a:prstGeom>
                        <a:noFill/>
                      </wps:spPr>
                      <wps:txbx>
                        <w:txbxContent>
                          <w:p w14:paraId="5B653087" w14:textId="77777777" w:rsidR="009B16BC" w:rsidRDefault="009B16BC">
                            <w:pPr>
                              <w:pStyle w:val="NormalWeb"/>
                              <w:spacing w:before="0" w:after="0" w:afterAutospacing="0"/>
                              <w:jc w:val="center"/>
                              <w:rPr>
                                <w:rFonts w:ascii="仿宋_GB2312" w:eastAsia="仿宋_GB2312" w:hAnsi="仿宋"/>
                                <w:color w:val="FFFFFF" w:themeColor="background1"/>
                                <w:sz w:val="22"/>
                                <w:szCs w:val="22"/>
                              </w:rPr>
                            </w:pPr>
                            <w:r>
                              <w:rPr>
                                <w:rFonts w:ascii="仿宋_GB2312" w:eastAsia="仿宋_GB2312" w:hAnsi="仿宋" w:cstheme="minorBidi" w:hint="eastAsia"/>
                                <w:b/>
                                <w:bCs/>
                                <w:color w:val="FFFFFF" w:themeColor="background1"/>
                                <w:kern w:val="24"/>
                                <w:sz w:val="22"/>
                                <w:szCs w:val="22"/>
                              </w:rPr>
                              <w:t>利润</w:t>
                            </w:r>
                          </w:p>
                        </w:txbxContent>
                      </wps:txbx>
                      <wps:bodyPr wrap="none" rtlCol="0" anchor="ctr">
                        <a:spAutoFit/>
                      </wps:bodyPr>
                    </wps:wsp>
                  </a:graphicData>
                </a:graphic>
              </wp:anchor>
            </w:drawing>
          </mc:Choice>
          <mc:Fallback>
            <w:pict>
              <v:shapetype id="_x0000_t202" coordsize="21600,21600" o:spt="202" path="m,l,21600r21600,l21600,xe">
                <v:stroke joinstyle="miter"/>
                <v:path gradientshapeok="t" o:connecttype="rect"/>
              </v:shapetype>
              <v:shape id="TextBox 89" o:spid="_x0000_s1026" type="#_x0000_t202" style="position:absolute;left:0;text-align:left;margin-left:298.75pt;margin-top:52.65pt;width:74.5pt;height:31.5pt;rotation:4120246fd;z-index:25166028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TRSMpQEAACcDAAAOAAAAZHJzL2Uyb0RvYy54bWysUsFu2zAMvQ/YPwi6L3ayrk2MOMW2orsM W4G2H6DIUizAEgVSjZ2/HyWn2bDdhl4EiXx65Hvk9nbygzgaJAehlctFLYUJGjoXDq18frr/sJaC kgqdGiCYVp4Mydvd+3fbMTZmBT0MnUHBJIGaMbayTyk2VUW6N17RAqIJnLSAXiV+4qHqUI3M7odq VdfX1QjYRQRtiDh6NyflrvBba3T6aS2ZJIZWcm+pnFjOfT6r3VY1B1Sxd/rchvqPLrxygYteqO5U UuIF3T9U3mkEApsWGnwF1jptigZWs6z/UvPYq2iKFjaH4sUmejta/eP4gMJ1rdywPUF5ntGTmdIX mMR6k+0ZIzWMeoyMSxPHecyvceJgVj1Z9AKB3f14c7NabtbFC1YnGM28p4vVTC00BzdX18tPnNGc uqrrmu9cq5qpMmVESt8MeJEvrUSeZCFVx++UZugrJMMD3LthyPHc79xXvqVpP51F7KE7sYaRh93K wNsoBabhK8yboYLugRdDJyx1KH5+SUxaamWm+fu5AE+jdHvenDzuP98F9Xu/d78AAAD//wMAUEsD BBQABgAIAAAAIQAUu2ER3wAAAAoBAAAPAAAAZHJzL2Rvd25yZXYueG1sTI/LTsMwEEX3SPyDNUhs ELUTQ4EQp6oQSLCjD6lbNx6cgB9R7Lbh7xlWsJvH0Z0z9WLyjh1xTH0MCoqZAIahjaYPVsF283J9 DyxlHYx2MaCCb0ywaM7Pal2ZeAorPK6zZRQSUqUVdDkPFeep7dDrNIsDBtp9xNHrTO1ouRn1icK9 46UQc+51H+hCpwd86rD9Wh+8Aru9etu8SvO5FO5drh7sTvvnnVKXF9PyEVjGKf/B8KtP6tCQ0z4e gknMKZjfiFtCqSglMALuhKTBXkFZFBJ4U/P/LzQ/AAAA//8DAFBLAQItABQABgAIAAAAIQC2gziS /gAAAOEBAAATAAAAAAAAAAAAAAAAAAAAAABbQ29udGVudF9UeXBlc10ueG1sUEsBAi0AFAAGAAgA AAAhADj9If/WAAAAlAEAAAsAAAAAAAAAAAAAAAAALwEAAF9yZWxzLy5yZWxzUEsBAi0AFAAGAAgA AAAhAMhNFIylAQAAJwMAAA4AAAAAAAAAAAAAAAAALgIAAGRycy9lMm9Eb2MueG1sUEsBAi0AFAAG AAgAAAAhABS7YRHfAAAACgEAAA8AAAAAAAAAAAAAAAAA/wMAAGRycy9kb3ducmV2LnhtbFBLBQYA AAAABAAEAPMAAAALBQAAAAA= " filled="f" stroked="f">
                <v:textbox style="mso-fit-shape-to-text:t">
                  <w:txbxContent>
                    <w:p w14:paraId="5B653087" w14:textId="77777777" w:rsidR="009B16BC" w:rsidRDefault="009B16BC">
                      <w:pPr>
                        <w:pStyle w:val="NormalWeb"/>
                        <w:spacing w:before="0" w:after="0" w:afterAutospacing="0"/>
                        <w:jc w:val="center"/>
                        <w:rPr>
                          <w:rFonts w:ascii="仿宋_GB2312" w:eastAsia="仿宋_GB2312" w:hAnsi="仿宋"/>
                          <w:color w:val="FFFFFF" w:themeColor="background1"/>
                          <w:sz w:val="22"/>
                          <w:szCs w:val="22"/>
                        </w:rPr>
                      </w:pPr>
                      <w:r>
                        <w:rPr>
                          <w:rFonts w:ascii="仿宋_GB2312" w:eastAsia="仿宋_GB2312" w:hAnsi="仿宋" w:cstheme="minorBidi" w:hint="eastAsia"/>
                          <w:b/>
                          <w:bCs/>
                          <w:color w:val="FFFFFF" w:themeColor="background1"/>
                          <w:kern w:val="24"/>
                          <w:sz w:val="22"/>
                          <w:szCs w:val="22"/>
                        </w:rPr>
                        <w:t>利润</w:t>
                      </w:r>
                    </w:p>
                  </w:txbxContent>
                </v:textbox>
              </v:shape>
            </w:pict>
          </mc:Fallback>
        </mc:AlternateContent>
        <w:t/>
      </w:r>
      <w:r w:rsidR="009B16BC">
        <w:rPr>
          <w:noProof/>
        </w:rPr>
        <w:drawing>
          <wp:inline distT="0" distB="0" distL="0" distR="0">
            <wp:extent cx="4134485" cy="2794635"/>
            <wp:effectExtent l="0" t="0" r="10795" b="9525"/>
            <wp:docPr id="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
                    <pic:cNvPicPr>
                      <a:picLocks noChangeAspect="1"/>
                    </pic:cNvPicPr>
                  </pic:nvPicPr>
                  <pic:blipFill>
                    <a:blip r:embed="rId33"/>
                    <a:stretch>
                      <a:fillRect/>
                    </a:stretch>
                  </pic:blipFill>
                  <pic:spPr>
                    <a:xfrm>
                      <a:off x="0" y="0"/>
                      <a:ext cx="4134485" cy="2794635"/>
                    </a:xfrm>
                    <a:prstGeom prst="rect">
                      <a:avLst/>
                    </a:prstGeom>
                    <a:noFill/>
                    <a:ln>
                      <a:noFill/>
                    </a:ln>
                  </pic:spPr>
                </pic:pic>
              </a:graphicData>
            </a:graphic>
          </wp:inline>
        </w:drawing>
        <w:t/>
      </w:r>
    </w:p>
    <w:p w14:paraId="2A1B5517" w14:textId="77777777" w:rsidR="004D1721" w:rsidRDefault="009B16BC">
      <w:pPr>
        <w:pStyle w:val="Caption"/>
        <w:rPr>
          <w:rFonts w:ascii="Arial Narrow" w:eastAsia="仿宋_GB2312" w:hAnsi="Arial Narrow" w:cs="Arial"/>
          <w:b w:val="0"/>
          <w:bCs w:val="0"/>
          <w:sz w:val="18"/>
          <w:szCs w:val="18"/>
        </w:rPr>
      </w:pPr>
      <w:r>
        <w:rPr>
          <w:rFonts w:ascii="Arial Narrow" w:eastAsia="仿宋_GB2312" w:hAnsi="Arial Narrow" w:cs="Arial"/>
          <w:b w:val="0"/>
          <w:bCs w:val="0"/>
          <w:i/>
          <w:iCs/>
          <w:sz w:val="16"/>
          <w:szCs w:val="16"/>
        </w:rPr>
        <w:t>信息来源：由松莉科技提供</w:t>
      </w:r>
    </w:p>
    <w:p w14:paraId="759C0ED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03" w:name="_Toc48317466"/>
      <w:bookmarkStart w:id="804" w:name="_Toc48317158"/>
      <w:r>
        <w:rPr>
          <w:rFonts w:ascii="Arial Narrow" w:eastAsia="仿宋_GB2312" w:hAnsi="Arial Narrow" w:cs="Arial"/>
          <w:sz w:val="22"/>
          <w:szCs w:val="22"/>
        </w:rPr>
        <w:t>结合松莉科技承担的功能以及风险，松莉科技在集团价值链中主要承担采购及常规生产环节的工作，是集团整体业务链条的常规组成部分，对整体利润做出常规贡献。</w:t>
      </w:r>
    </w:p>
    <w:p w14:paraId="7EF27D36" w14:textId="77777777" w:rsidR="004D1721" w:rsidRDefault="009B16BC">
      <w:pPr>
        <w:pStyle w:val="Heading2"/>
        <w:rPr>
          <w:b/>
        </w:rPr>
      </w:pPr>
      <w:bookmarkStart w:id="805" w:name="_Toc53229096"/>
      <w:bookmarkStart w:id="806" w:name="_Toc140505143"/>
      <w:r>
        <w:t>交易定价影响要素</w:t>
      </w:r>
      <w:bookmarkEnd w:id="803"/>
      <w:bookmarkEnd w:id="804"/>
      <w:bookmarkEnd w:id="805"/>
      <w:bookmarkEnd w:id="806"/>
    </w:p>
    <w:p w14:paraId="37BA6D7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07" w:name="_Toc48583005"/>
      <w:bookmarkStart w:id="808" w:name="_Toc48583003"/>
      <w:bookmarkStart w:id="809" w:name="_Toc48399606"/>
      <w:bookmarkStart w:id="810" w:name="_Toc48583004"/>
      <w:bookmarkStart w:id="811" w:name="_Toc15995723"/>
      <w:bookmarkStart w:id="812" w:name="_Toc48399605"/>
      <w:bookmarkStart w:id="813" w:name="_Toc48317284"/>
      <w:bookmarkStart w:id="814" w:name="_Toc48317511"/>
      <w:bookmarkStart w:id="815" w:name="_Toc15995726"/>
      <w:bookmarkStart w:id="816" w:name="_Toc48582634"/>
      <w:bookmarkStart w:id="817" w:name="_Toc15995725"/>
      <w:bookmarkStart w:id="818" w:name="_Toc48317283"/>
      <w:bookmarkStart w:id="819" w:name="_Toc48582590"/>
      <w:bookmarkStart w:id="820" w:name="_Toc48582591"/>
      <w:bookmarkStart w:id="821" w:name="_Toc15995728"/>
      <w:bookmarkStart w:id="822" w:name="_Toc48317469"/>
      <w:bookmarkStart w:id="823" w:name="_Toc15995727"/>
      <w:bookmarkStart w:id="824" w:name="_Toc48317282"/>
      <w:bookmarkStart w:id="825" w:name="_Toc15995730"/>
      <w:bookmarkStart w:id="826" w:name="_Toc48583047"/>
      <w:bookmarkStart w:id="827" w:name="_Toc15995724"/>
      <w:bookmarkStart w:id="828" w:name="_Toc48317467"/>
      <w:bookmarkStart w:id="829" w:name="_Toc48399607"/>
      <w:bookmarkStart w:id="830" w:name="_Toc48582592"/>
      <w:bookmarkStart w:id="831" w:name="_Toc48317468"/>
      <w:bookmarkStart w:id="832" w:name="_Toc48399649"/>
      <w:bookmarkStart w:id="833" w:name="_Toc15995721"/>
      <w:bookmarkStart w:id="834" w:name="_Toc15995729"/>
      <w:bookmarkStart w:id="835" w:name="_Toc15995722"/>
      <w:bookmarkStart w:id="836" w:name="_Toc48317326"/>
      <w:bookmarkStart w:id="837" w:name="_Toc48317512"/>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r>
        <w:rPr>
          <w:rFonts w:ascii="Arial Narrow" w:eastAsia="仿宋_GB2312" w:hAnsi="Arial Narrow" w:cs="Arial"/>
          <w:sz w:val="22"/>
          <w:szCs w:val="22"/>
        </w:rPr>
        <w:t xml:space="preserve">中国国家税务总局首次在发布的《联合国转让定价操作手册》（“《手册》”）中正式提出地域特殊因素的概念。《手册》指出：“贸易和经济全球化引发了‘成本节约’、‘市场溢价’等概念，统称为‘地域特殊优势’。”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p>
    <w:p w14:paraId="06072B6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手册》中进一步阐述了选址节约和市场溢价的定义，第10.3.3.2节和第10.3.3.3节指出：“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第10.3.3.2节）</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C18E3D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“市场溢价指跨国企业将经营活动安排在有独特特质的地区而获得的额外利润，这些地区的特质会对一项服务或产品的销售和需求造成影响。”（第10.3.3.3节）</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1E9654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[2016]42号公告进一步指出，地域特殊因素应从劳动力成本、环境成本、市场规模、市场竞争程度、消费者购买力、商品或者劳务的可替代性、政府管制等方面进行分析。</w:t>
      </w:r>
      <w:r>
        <w:rPr>
          <w:rFonts w:ascii="Arial Narrow" w:eastAsia="仿宋_GB2312" w:hAnsi="Arial Narrow" w:cs="Arial"/>
          <w:sz w:val="22"/>
          <w:szCs w:val="22"/>
        </w:rPr>
        <w:t/>
      </w:r>
    </w:p>
    <w:p w14:paraId="31DF3B2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经济合作发展组织（“OECD”）在税基侵蚀和利润转移第8-10项行动计划的最终报告中，修订了OECD转让定价指南第一章独立交易原则的内容，新增了一节选址节约和其他本地市场特征的内容。</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BECD8E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新的OECD转让定价指南指出：“在评估是否需要对本地市场特征进行可比性调整时，最可靠的方法为参照对应地域市场中执行类似功能、承担类似风险并使用类似资产的独立企业间的可比非受控交易数据。这些交易的市场条件和受控交易一致，因此，当可以找到本地市场的可比交易时，无需对本地市场特征进行特殊调整。”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p>
    <w:p w14:paraId="284AD7D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新的OECD转让定价指南指出：“当无法找到可靠的本地市场可比对象时，对本地市场特征进行可比性调整需要考虑所有相关的实施和情况。与选址节约的分析相同，在无法找到可靠的本地市场可比企业的情况下，需要考虑（1）是否存在市场优势或劣势；（2）与其他市场中找到的可比对象相比，本地市场优势或劣势带来的收入、成本或利润的增加或减少的金额；（3）本地市场特征带来的利益或损失在何种程度上转嫁给独立的客户或供应商；（4）当存在由本地市场特征带来的利益或损失且未完全转嫁给独立的客户或供应商时，独立企业在相似运营条件下回保留多少净收益或损失。”</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bookmarkEnd w:id="837"/>
    </w:p>
    <w:p w14:paraId="5A4606A0" w14:textId="77777777" w:rsidR="004D1721" w:rsidRDefault="009B16BC">
      <w:pPr>
        <w:pStyle w:val="Heading3"/>
      </w:pPr>
      <w:bookmarkStart w:id="838" w:name="_Toc140505144"/>
      <w:bookmarkStart w:id="839" w:name="_Toc53229097"/>
      <w:r>
        <w:t>地域成本节约</w:t>
      </w:r>
      <w:bookmarkEnd w:id="838"/>
      <w:bookmarkEnd w:id="839"/>
    </w:p>
    <w:p w14:paraId="7D358FD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40" w:name="_Toc48317513"/>
      <w:r>
        <w:rPr>
          <w:rFonts w:ascii="Arial Narrow" w:eastAsia="仿宋_GB2312" w:hAnsi="Arial Narrow" w:cs="Arial"/>
          <w:sz w:val="22"/>
          <w:szCs w:val="22"/>
        </w:rPr>
        <w:t>作为制造公司，松莉科技的主要经营成本为人力成本和原材料成本。</w:t>
      </w:r>
    </w:p>
    <w:p w14:paraId="0ADCCCD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随着中国人口老龄化、结婚率以及生育率下降，近几年中国的劳动力成本加速上升、劳动力供给增长的速度在放缓。2018年度的《中国与全球制造业竞争力》报告指出，中国制造业竞争力相对优势下滑，劳动力成本上升是主因。反映为单位劳动力成本值与全球平均水平差距的缩小，其中名义劳动力成本的大幅上升是主要原因。</w:t>
      </w:r>
      <w:r>
        <w:rPr>
          <w:rFonts w:ascii="Arial Narrow" w:eastAsia="仿宋_GB2312" w:hAnsi="Arial Narrow" w:cs="Arial"/>
          <w:sz w:val="22"/>
          <w:szCs w:val="22"/>
        </w:rPr>
        <w:t/>
      </w:r>
      <w:r>
        <w:rPr>
          <w:rFonts w:ascii="Arial Narrow" w:eastAsia="仿宋_GB2312" w:hAnsi="Arial Narrow" w:cs="Arial"/>
          <w:sz w:val="22"/>
          <w:szCs w:val="22"/>
        </w:rPr>
        <w:t/>
      </w:r>
    </w:p>
    <w:p w14:paraId="53ABB09E" w14:textId="257EB4B2" w:rsidR="004D1721" w:rsidRDefault="009B16BC">
      <w:pPr>
        <w:adjustRightInd w:val="0"/>
        <w:snapToGrid w:val="0"/>
        <w:spacing w:before="240" w:after="240" w:line="360" w:lineRule="auto"/>
        <w:ind w:firstLine="475"/>
        <w:rPr>
          <w:rFonts w:ascii="Arial Narrow" w:eastAsia="仿宋_GB2312" w:hAnsi="Arial Narrow" w:cs="Arial"/>
          <w:iCs/>
          <w:kern w:val="24"/>
          <w:sz w:val="22"/>
          <w:szCs w:val="22"/>
        </w:rPr>
      </w:pPr>
      <w:r>
        <w:rPr>
          <w:rFonts w:ascii="Arial Narrow" w:eastAsia="仿宋_GB2312" w:hAnsi="Arial Narrow" w:cs="Arial Narrow" w:hint="eastAsia"/>
          <w:kern w:val="24"/>
          <w:sz w:val="22"/>
        </w:rPr>
        <w:t>截至目前，第一档月最低工资标准超过2000元省市共有19个，分别是北京、天津、河北、上海、江苏、浙江、安徽、福建、山东、湖北、广东、深圳、河南、四川、重庆、福建等。其中，上海最高为2690元，江苏及浙江2490元位列第二，北京2420位列第三。2017年到2023年中国平均工资变化的趋势如下图。</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Style w:val="FootnoteReference"/>
          <w:rFonts w:ascii="Arial Narrow" w:eastAsia="仿宋_GB2312" w:hAnsi="Arial Narrow" w:cs="Arial Narrow"/>
          <w:sz w:val="22"/>
          <w:szCs w:val="22"/>
        </w:rPr>
        <w:footnoteReference w:id="13"/>
        <w:t/>
      </w:r>
      <w:r>
        <w:rPr>
          <w:rFonts w:ascii="Arial Narrow" w:eastAsia="仿宋_GB2312" w:hAnsi="Arial Narrow" w:cs="Arial Narrow"/>
          <w:iCs/>
          <w:kern w:val="24"/>
          <w:sz w:val="22"/>
          <w:szCs w:val="22"/>
        </w:rPr>
        <w:t/>
      </w:r>
      <w:r>
        <w:rPr>
          <w:rFonts w:ascii="Arial Narrow" w:eastAsia="仿宋_GB2312" w:hAnsi="Arial Narrow" w:cs="Arial"/>
          <w:iCs/>
          <w:kern w:val="24"/>
          <w:sz w:val="22"/>
          <w:szCs w:val="22"/>
        </w:rPr>
        <w:t/>
      </w:r>
      <w:r>
        <w:rPr>
          <w:rFonts w:ascii="Arial Narrow" w:eastAsia="仿宋_GB2312" w:hAnsi="Arial Narrow" w:cs="Arial" w:hint="eastAsia"/>
          <w:iCs/>
          <w:kern w:val="24"/>
          <w:sz w:val="22"/>
          <w:szCs w:val="22"/>
        </w:rPr>
        <w:t/>
      </w:r>
      <w:r>
        <w:rPr>
          <w:rFonts w:ascii="Arial Narrow" w:eastAsia="仿宋_GB2312" w:hAnsi="Arial Narrow" w:cs="Arial" w:hint="eastAsia"/>
          <w:iCs/>
          <w:kern w:val="24"/>
          <w:sz w:val="22"/>
          <w:szCs w:val="22"/>
        </w:rPr>
        <w:t/>
      </w:r>
      <w:r>
        <w:rPr>
          <w:rFonts w:ascii="Arial Narrow" w:eastAsia="仿宋_GB2312" w:hAnsi="Arial Narrow" w:cs="Arial"/>
          <w:iCs/>
          <w:kern w:val="24"/>
          <w:sz w:val="22"/>
          <w:szCs w:val="22"/>
        </w:rPr>
        <w:t/>
      </w:r>
      <w:r>
        <w:rPr>
          <w:rFonts w:ascii="Arial Narrow" w:eastAsia="仿宋_GB2312" w:hAnsi="Arial Narrow" w:cs="Arial" w:hint="eastAsia"/>
          <w:iCs/>
          <w:kern w:val="24"/>
          <w:sz w:val="22"/>
          <w:szCs w:val="22"/>
        </w:rPr>
        <w:t/>
      </w:r>
      <w:r>
        <w:rPr>
          <w:rFonts w:ascii="Arial Narrow" w:eastAsia="仿宋_GB2312" w:hAnsi="Arial Narrow" w:cs="Arial" w:hint="eastAsia"/>
          <w:iCs/>
          <w:kern w:val="24"/>
          <w:sz w:val="22"/>
          <w:szCs w:val="22"/>
        </w:rPr>
        <w:t/>
      </w:r>
      <w:r>
        <w:rPr>
          <w:rFonts w:ascii="Arial Narrow" w:eastAsia="仿宋_GB2312" w:hAnsi="Arial Narrow" w:cs="Arial"/>
          <w:iCs/>
          <w:kern w:val="24"/>
          <w:sz w:val="22"/>
          <w:szCs w:val="22"/>
        </w:rPr>
        <w:t/>
      </w:r>
    </w:p>
    <w:p w14:paraId="2966AB33" w14:textId="77777777" w:rsidR="004D1721" w:rsidRDefault="004D1721">
      <w:pPr>
        <w:adjustRightInd w:val="0"/>
        <w:snapToGrid w:val="0"/>
        <w:spacing w:before="240" w:after="240" w:line="360" w:lineRule="auto"/>
        <w:ind w:firstLine="475"/>
        <w:rPr>
          <w:rFonts w:ascii="Arial Narrow" w:eastAsia="仿宋_GB2312" w:hAnsi="Arial Narrow" w:cs="Arial"/>
          <w:iCs/>
          <w:kern w:val="24"/>
          <w:sz w:val="22"/>
          <w:szCs w:val="22"/>
        </w:rPr>
      </w:pPr>
    </w:p>
    <w:p w14:paraId="62C29306" w14:textId="6F596DDE" w:rsidR="004D1721" w:rsidRDefault="009B16BC">
      <w:pPr>
        <w:pStyle w:val="Caption"/>
        <w:jc w:val="center"/>
        <w:rPr>
          <w:rFonts w:ascii="Arial Narrow" w:eastAsia="仿宋_GB2312" w:hAnsi="Arial Narrow" w:cs="Arial"/>
          <w:kern w:val="0"/>
          <w:sz w:val="22"/>
          <w:szCs w:val="22"/>
          <w:lang w:val="en-GB"/>
        </w:rPr>
      </w:pPr>
      <w:bookmarkStart w:id="841" w:name="_Toc46935051"/>
      <w:bookmarkStart w:id="842" w:name="_Toc76039352"/>
      <w:bookmarkStart w:id="843" w:name="_Toc75452036"/>
      <w:r>
        <w:rPr>
          <w:rFonts w:ascii="Arial Narrow" w:eastAsia="仿宋_GB2312" w:hAnsi="Arial Narrow" w:cs="Arial"/>
          <w:sz w:val="22"/>
        </w:rPr>
        <w:lastRenderedPageBreak/>
        <w:t>图表 13：2017年到2023年中国平均工资</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kern w:val="0"/>
          <w:sz w:val="22"/>
          <w:szCs w:val="22"/>
          <w:lang w:val="en-GB"/>
        </w:rPr>
        <w:t/>
      </w:r>
      <w:r>
        <w:rPr>
          <w:rFonts w:ascii="Arial Narrow" w:eastAsia="仿宋_GB2312" w:hAnsi="Arial Narrow" w:cs="Arial"/>
          <w:kern w:val="0"/>
          <w:sz w:val="22"/>
          <w:szCs w:val="22"/>
          <w:lang w:val="en-GB"/>
        </w:rPr>
        <w:t/>
      </w:r>
      <w:r>
        <w:rPr>
          <w:rFonts w:ascii="Arial Narrow" w:eastAsia="仿宋_GB2312" w:hAnsi="Arial Narrow" w:cs="Arial" w:hint="eastAsia"/>
          <w:kern w:val="0"/>
          <w:sz w:val="22"/>
          <w:szCs w:val="22"/>
        </w:rPr>
        <w:t/>
      </w:r>
      <w:r>
        <w:rPr>
          <w:rFonts w:ascii="Arial Narrow" w:eastAsia="仿宋_GB2312" w:hAnsi="Arial Narrow" w:cs="Arial"/>
          <w:kern w:val="0"/>
          <w:sz w:val="22"/>
          <w:szCs w:val="22"/>
          <w:lang w:val="en-GB"/>
        </w:rPr>
        <w:t/>
      </w:r>
      <w:r>
        <w:rPr>
          <w:rFonts w:ascii="Arial Narrow" w:eastAsia="仿宋_GB2312" w:hAnsi="Arial Narrow" w:cs="Arial"/>
          <w:kern w:val="0"/>
          <w:sz w:val="22"/>
          <w:szCs w:val="22"/>
          <w:lang w:val="en-GB"/>
        </w:rPr>
        <w:t/>
      </w:r>
      <w:r>
        <w:rPr>
          <w:rFonts w:ascii="Arial Narrow" w:eastAsia="仿宋_GB2312" w:hAnsi="Arial Narrow" w:cs="Arial" w:hint="eastAsia"/>
          <w:kern w:val="0"/>
          <w:sz w:val="22"/>
          <w:szCs w:val="22"/>
        </w:rPr>
        <w:t/>
      </w:r>
      <w:r>
        <w:rPr>
          <w:rFonts w:ascii="Arial Narrow" w:eastAsia="仿宋_GB2312" w:hAnsi="Arial Narrow" w:cs="Arial"/>
          <w:kern w:val="0"/>
          <w:sz w:val="22"/>
          <w:szCs w:val="22"/>
          <w:lang w:val="en-GB"/>
        </w:rPr>
        <w:t/>
      </w:r>
      <w:r>
        <w:rPr>
          <w:rStyle w:val="FootnoteReference"/>
          <w:rFonts w:ascii="Arial Narrow" w:eastAsia="仿宋_GB2312" w:hAnsi="Arial Narrow" w:cs="Arial"/>
          <w:sz w:val="22"/>
          <w:szCs w:val="22"/>
        </w:rPr>
        <w:footnoteReference w:id="14"/>
        <w:t/>
      </w:r>
      <w:bookmarkEnd w:id="841"/>
    </w:p>
    <w:p w14:paraId="5BFD6CC4" w14:textId="77777777" w:rsidR="004D1721" w:rsidRDefault="009B16BC">
      <w:pPr>
        <w:pStyle w:val="Caption"/>
        <w:jc w:val="center"/>
        <w:rPr>
          <w:rFonts w:ascii="Arial Narrow" w:eastAsia="仿宋_GB2312" w:hAnsi="Arial Narrow"/>
        </w:rPr>
      </w:pPr>
      <w:r>
        <w:rPr>
          <w:rFonts w:ascii="Arial Narrow" w:eastAsia="仿宋_GB2312" w:hAnsi="Arial Narrow" w:cs="Arial"/>
          <w:noProof/>
          <w:sz w:val="22"/>
          <w:szCs w:val="22"/>
        </w:rPr>
        <w:drawing>
          <wp:inline distT="0" distB="0" distL="0" distR="0">
            <wp:extent cx="4493260" cy="2131695"/>
            <wp:effectExtent l="4445" t="4445" r="13335" b="12700"/>
            <wp:docPr id="8" name="图表 8"/>
            <wp:cNvGraphicFramePr/>
            <a:graphic xmlns:a="http://schemas.openxmlformats.org/drawingml/2006/main">
              <a:graphicData uri="http://schemas.openxmlformats.org/drawingml/2006/chart">
                <c:chart xmlns:c="http://schemas.openxmlformats.org/drawingml/2006/chart" r:id="rId34"/>
              </a:graphicData>
            </a:graphic>
          </wp:inline>
        </w:drawing>
      </w:r>
    </w:p>
    <w:bookmarkEnd w:id="842"/>
    <w:bookmarkEnd w:id="843"/>
    <w:p w14:paraId="2693818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同时，随着劳动力成本逐年上升，松莉科技并没有从劳动力成本中收益。</w:t>
      </w:r>
    </w:p>
    <w:p w14:paraId="03DC9BF1" w14:textId="77777777" w:rsidR="004D1721" w:rsidRDefault="009B16BC">
      <w:pPr>
        <w:pStyle w:val="Heading3"/>
      </w:pPr>
      <w:bookmarkStart w:id="844" w:name="_Toc140505145"/>
      <w:bookmarkStart w:id="845" w:name="_Toc53229098"/>
      <w:r>
        <w:t>市场溢价</w:t>
      </w:r>
      <w:bookmarkEnd w:id="840"/>
      <w:bookmarkEnd w:id="844"/>
      <w:bookmarkEnd w:id="845"/>
    </w:p>
    <w:p w14:paraId="4157311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46" w:name="_Toc48317330"/>
      <w:bookmarkStart w:id="847" w:name="_Toc48317515"/>
      <w:bookmarkStart w:id="848" w:name="_Toc48317159"/>
      <w:bookmarkStart w:id="849" w:name="_Toc49961823"/>
      <w:bookmarkStart w:id="850" w:name="_Toc48317160"/>
      <w:bookmarkStart w:id="851" w:name="_Toc48582637"/>
      <w:bookmarkStart w:id="852" w:name="_Toc48582638"/>
      <w:bookmarkStart w:id="853" w:name="_Toc48317329"/>
      <w:bookmarkStart w:id="854" w:name="_Toc50039104"/>
      <w:bookmarkStart w:id="855" w:name="_Toc48317514"/>
      <w:bookmarkStart w:id="856" w:name="_Toc48399653"/>
      <w:bookmarkStart w:id="857" w:name="_Toc48399652"/>
      <w:bookmarkStart w:id="858" w:name="_Toc48583051"/>
      <w:bookmarkStart w:id="859" w:name="_Toc48583050"/>
      <w:bookmarkStart w:id="860" w:name="_Toc50477851"/>
      <w:bookmarkStart w:id="861" w:name="_Toc489952578"/>
      <w:bookmarkStart w:id="862" w:name="_Toc49961822"/>
      <w:bookmarkStart w:id="863" w:name="_Toc50039103"/>
      <w:bookmarkStart w:id="864" w:name="_Toc50477852"/>
      <w:bookmarkStart w:id="865" w:name="_Toc48317516"/>
      <w:bookmarkStart w:id="866" w:name="_Toc48317161"/>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r>
        <w:rPr>
          <w:rFonts w:ascii="Arial Narrow" w:eastAsia="仿宋_GB2312" w:hAnsi="Arial Narrow" w:cs="Arial"/>
          <w:sz w:val="22"/>
          <w:szCs w:val="22"/>
        </w:rPr>
        <w:t>市场溢价，是指跨国企业将经营活动安排在有独特特质的地区而获得的额外利润，这些地区的特质会对一项服务或产品的销售和需求造成影响。</w:t>
      </w:r>
      <w:r>
        <w:rPr>
          <w:rStyle w:val="FootnoteReference"/>
          <w:rFonts w:ascii="Arial Narrow" w:eastAsia="仿宋_GB2312" w:hAnsi="Arial Narrow" w:cs="Arial"/>
          <w:sz w:val="22"/>
          <w:szCs w:val="22"/>
        </w:rPr>
        <w:footnoteReference w:id="15"/>
        <w:t/>
      </w:r>
    </w:p>
    <w:p w14:paraId="34D12C7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所生产的产品主要进行出口销售，不受中国市场消费者的偏好、需求以及收入水平变动的影响。松莉科技出口的产品主要针对的市场为价格较低的化妆品领域，该领域的化妆品主要采用开架销售的模式，价格竞争激烈。因此，松莉科技的产品不存在市场溢价。</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7A2C1F7" w14:textId="77777777" w:rsidR="004D1721" w:rsidRDefault="009B16BC">
      <w:pPr>
        <w:pStyle w:val="Heading2"/>
      </w:pPr>
      <w:bookmarkStart w:id="867" w:name="_Toc85557587"/>
      <w:bookmarkStart w:id="868" w:name="_Toc85622954"/>
      <w:bookmarkStart w:id="869" w:name="_Toc53229099"/>
      <w:bookmarkStart w:id="870" w:name="_Toc85042583"/>
      <w:bookmarkStart w:id="871" w:name="_Toc85557720"/>
      <w:bookmarkStart w:id="872" w:name="_Toc140505146"/>
      <w:bookmarkStart w:id="873" w:name="_Toc53229100"/>
      <w:bookmarkEnd w:id="867"/>
      <w:bookmarkEnd w:id="868"/>
      <w:bookmarkEnd w:id="869"/>
      <w:bookmarkEnd w:id="870"/>
      <w:bookmarkEnd w:id="871"/>
      <w:r>
        <w:t>价值链各参与方财务报表</w:t>
      </w:r>
      <w:bookmarkEnd w:id="58"/>
      <w:bookmarkEnd w:id="59"/>
      <w:bookmarkEnd w:id="60"/>
      <w:bookmarkEnd w:id="782"/>
      <w:bookmarkEnd w:id="865"/>
      <w:bookmarkEnd w:id="866"/>
      <w:bookmarkEnd w:id="872"/>
      <w:bookmarkEnd w:id="873"/>
    </w:p>
    <w:p w14:paraId="19F8158C" w14:textId="4EE7D79C"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本报告编制时，基于以下几点原因，价值链上其他关联方2023年的财务数据和信息获取存在难度，在报告完成时尚无法获得：（1）这些关联方的财务数据均属于非公开信息；（2）该关联方（可能）并非仅与松莉科技发生交易往来；（3）集团内企业都有独立的业绩考核指标，各关联方之间存在一定的竞争关系。如有要求，可在本公司征求关联方同意之后提供该数据。</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D5F5627" w14:textId="77777777" w:rsidR="004D1721" w:rsidRDefault="009B16BC">
      <w:pPr>
        <w:snapToGrid w:val="0"/>
        <w:spacing w:before="120" w:after="120"/>
        <w:jc w:val="both"/>
        <w:rPr>
          <w:rFonts w:ascii="Arial Narrow" w:eastAsia="仿宋_GB2312" w:hAnsi="Arial Narrow" w:cs="Arial"/>
          <w:b/>
          <w:kern w:val="0"/>
          <w:sz w:val="36"/>
          <w:szCs w:val="36"/>
          <w14:scene3d>
            <w14:camera w14:prst="orthographicFront"/>
            <w14:lightRig w14:rig="threePt" w14:dir="t">
              <w14:rot w14:lat="0" w14:lon="0" w14:rev="0"/>
            </w14:lightRig>
          </w14:scene3d>
        </w:rPr>
      </w:pPr>
      <w:r>
        <w:rPr>
          <w:rFonts w:ascii="Arial Narrow" w:eastAsia="仿宋_GB2312" w:hAnsi="Arial Narrow" w:cs="Arial"/>
          <w:sz w:val="21"/>
          <w:szCs w:val="22"/>
        </w:rPr>
        <w:br w:type="page"/>
      </w:r>
      <w:bookmarkEnd w:id="61"/>
      <w:bookmarkEnd w:id="62"/>
      <w:bookmarkEnd w:id="63"/>
      <w:bookmarkEnd w:id="64"/>
      <w:bookmarkEnd w:id="65"/>
    </w:p>
    <w:p w14:paraId="2D78FC26" w14:textId="77777777" w:rsidR="004D1721" w:rsidRDefault="009B16BC">
      <w:pPr>
        <w:pStyle w:val="Heading1"/>
        <w:rPr>
          <w:b/>
        </w:rPr>
      </w:pPr>
      <w:bookmarkStart w:id="874" w:name="_Toc522205842"/>
      <w:bookmarkStart w:id="875" w:name="_Toc522205839"/>
      <w:bookmarkStart w:id="876" w:name="_Toc522205841"/>
      <w:bookmarkStart w:id="877" w:name="_Toc522205840"/>
      <w:bookmarkStart w:id="878" w:name="_Toc53229101"/>
      <w:bookmarkStart w:id="879" w:name="_Toc48317517"/>
      <w:bookmarkStart w:id="880" w:name="_Toc140505147"/>
      <w:bookmarkStart w:id="881" w:name="_Toc48317162"/>
      <w:bookmarkEnd w:id="874"/>
      <w:bookmarkEnd w:id="875"/>
      <w:bookmarkEnd w:id="876"/>
      <w:bookmarkEnd w:id="877"/>
      <w:r>
        <w:lastRenderedPageBreak/>
        <w:t>可比性分析</w:t>
      </w:r>
      <w:bookmarkEnd w:id="878"/>
      <w:bookmarkEnd w:id="879"/>
      <w:bookmarkEnd w:id="880"/>
      <w:bookmarkEnd w:id="881"/>
    </w:p>
    <w:p w14:paraId="156DF973" w14:textId="77777777" w:rsidR="004D1721" w:rsidRDefault="009B16BC">
      <w:pPr>
        <w:pStyle w:val="Heading2"/>
      </w:pPr>
      <w:bookmarkStart w:id="882" w:name="_Toc48583054"/>
      <w:bookmarkStart w:id="883" w:name="_Toc48317333"/>
      <w:bookmarkStart w:id="884" w:name="_Toc48317163"/>
      <w:bookmarkStart w:id="885" w:name="_Toc48317518"/>
      <w:bookmarkStart w:id="886" w:name="_Toc48399656"/>
      <w:bookmarkStart w:id="887" w:name="_Toc48582641"/>
      <w:bookmarkStart w:id="888" w:name="_Toc53229102"/>
      <w:bookmarkStart w:id="889" w:name="_Toc48317519"/>
      <w:bookmarkStart w:id="890" w:name="_Toc140505148"/>
      <w:bookmarkStart w:id="891" w:name="_Toc48317164"/>
      <w:bookmarkEnd w:id="882"/>
      <w:bookmarkEnd w:id="883"/>
      <w:bookmarkEnd w:id="884"/>
      <w:bookmarkEnd w:id="885"/>
      <w:bookmarkEnd w:id="886"/>
      <w:bookmarkEnd w:id="887"/>
      <w:r>
        <w:t>简介</w:t>
      </w:r>
      <w:bookmarkEnd w:id="888"/>
      <w:bookmarkEnd w:id="889"/>
      <w:bookmarkEnd w:id="890"/>
      <w:bookmarkEnd w:id="891"/>
    </w:p>
    <w:p w14:paraId="37077AB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92" w:name="_Toc489952584"/>
      <w:bookmarkStart w:id="893" w:name="_Toc522205845"/>
      <w:bookmarkStart w:id="894" w:name="_Toc48317520"/>
      <w:bookmarkStart w:id="895" w:name="_Toc48317165"/>
      <w:bookmarkEnd w:id="892"/>
      <w:bookmarkEnd w:id="893"/>
      <w:r>
        <w:rPr>
          <w:rFonts w:ascii="Arial Narrow" w:eastAsia="仿宋_GB2312" w:hAnsi="Arial Narrow" w:cs="Arial"/>
          <w:sz w:val="22"/>
          <w:szCs w:val="22"/>
        </w:rPr>
        <w:t>《中华人民共和国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OECD所认可的指导原则。</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4FC3C7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方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r>
        <w:rPr>
          <w:rFonts w:ascii="Arial Narrow" w:eastAsia="仿宋_GB2312" w:hAnsi="Arial Narrow" w:cs="Arial"/>
          <w:sz w:val="22"/>
          <w:szCs w:val="22"/>
        </w:rPr>
        <w:t/>
      </w:r>
      <w:r>
        <w:rPr>
          <w:rFonts w:ascii="Arial Narrow" w:eastAsia="仿宋_GB2312" w:hAnsi="Arial Narrow" w:cs="Arial"/>
          <w:sz w:val="22"/>
          <w:szCs w:val="22"/>
        </w:rPr>
        <w:t/>
      </w:r>
    </w:p>
    <w:p w14:paraId="4BA9581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对以上各种方法的详细描述，请见附件1。</w:t>
      </w:r>
      <w:r>
        <w:rPr>
          <w:rFonts w:ascii="Arial Narrow" w:eastAsia="仿宋_GB2312" w:hAnsi="Arial Narrow" w:cs="Arial"/>
          <w:sz w:val="22"/>
          <w:szCs w:val="22"/>
        </w:rPr>
        <w:t/>
      </w:r>
      <w:r>
        <w:rPr>
          <w:rFonts w:ascii="Arial Narrow" w:eastAsia="仿宋_GB2312" w:hAnsi="Arial Narrow" w:cs="Arial"/>
          <w:sz w:val="22"/>
          <w:szCs w:val="22"/>
        </w:rPr>
        <w:t/>
      </w:r>
    </w:p>
    <w:p w14:paraId="3AA5F5B3" w14:textId="77777777" w:rsidR="004D1721" w:rsidRDefault="009B16BC">
      <w:pPr>
        <w:pStyle w:val="Heading2"/>
      </w:pPr>
      <w:bookmarkStart w:id="896" w:name="_Toc140505149"/>
      <w:bookmarkStart w:id="897" w:name="_Toc53229103"/>
      <w:r>
        <w:t>转让定价方法的选择</w:t>
      </w:r>
      <w:bookmarkEnd w:id="894"/>
      <w:bookmarkEnd w:id="895"/>
      <w:bookmarkEnd w:id="896"/>
      <w:bookmarkEnd w:id="897"/>
    </w:p>
    <w:p w14:paraId="0BCFB17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98" w:name="_Toc48582650"/>
      <w:bookmarkStart w:id="899" w:name="_Toc48582644"/>
      <w:bookmarkStart w:id="900" w:name="_Toc48399659"/>
      <w:bookmarkStart w:id="901" w:name="_Toc48317171"/>
      <w:bookmarkStart w:id="902" w:name="_Toc48317336"/>
      <w:bookmarkStart w:id="903" w:name="_Toc48583061"/>
      <w:bookmarkStart w:id="904" w:name="_Toc48317167"/>
      <w:bookmarkStart w:id="905" w:name="_Toc48582647"/>
      <w:bookmarkStart w:id="906" w:name="_Toc48583060"/>
      <w:bookmarkStart w:id="907" w:name="_Toc48399663"/>
      <w:bookmarkStart w:id="908" w:name="_Toc48399664"/>
      <w:bookmarkStart w:id="909" w:name="_Toc48317170"/>
      <w:bookmarkStart w:id="910" w:name="_Toc48582645"/>
      <w:bookmarkStart w:id="911" w:name="_Toc48583059"/>
      <w:bookmarkStart w:id="912" w:name="_Toc48583058"/>
      <w:bookmarkStart w:id="913" w:name="_Toc48317169"/>
      <w:bookmarkStart w:id="914" w:name="_Toc48317166"/>
      <w:bookmarkStart w:id="915" w:name="_Toc48317521"/>
      <w:bookmarkStart w:id="916" w:name="_Toc48317522"/>
      <w:bookmarkStart w:id="917" w:name="_Toc48317525"/>
      <w:bookmarkStart w:id="918" w:name="_Toc48399662"/>
      <w:bookmarkStart w:id="919" w:name="_Toc48582649"/>
      <w:bookmarkStart w:id="920" w:name="_Toc48317526"/>
      <w:bookmarkStart w:id="921" w:name="_Toc48317168"/>
      <w:bookmarkStart w:id="922" w:name="_Toc489952586"/>
      <w:bookmarkStart w:id="923" w:name="_Toc48317342"/>
      <w:bookmarkStart w:id="924" w:name="_Toc48399661"/>
      <w:bookmarkStart w:id="925" w:name="_Toc48317172"/>
      <w:bookmarkStart w:id="926" w:name="_Toc48583057"/>
      <w:bookmarkStart w:id="927" w:name="_Toc48583063"/>
      <w:bookmarkStart w:id="928" w:name="_Toc48317527"/>
      <w:bookmarkStart w:id="929" w:name="_Toc48317524"/>
      <w:bookmarkStart w:id="930" w:name="_Toc48583062"/>
      <w:bookmarkStart w:id="931" w:name="_Toc48582646"/>
      <w:bookmarkStart w:id="932" w:name="_Toc48317337"/>
      <w:bookmarkStart w:id="933" w:name="_Toc48317340"/>
      <w:bookmarkStart w:id="934" w:name="_Toc48582648"/>
      <w:bookmarkStart w:id="935" w:name="_Toc48914087"/>
      <w:bookmarkStart w:id="936" w:name="_Toc48399665"/>
      <w:bookmarkStart w:id="937" w:name="_Toc48317338"/>
      <w:bookmarkStart w:id="938" w:name="_Toc48317341"/>
      <w:bookmarkStart w:id="939" w:name="_Toc48317339"/>
      <w:bookmarkStart w:id="940" w:name="_Toc48399660"/>
      <w:bookmarkStart w:id="941" w:name="_Toc48317523"/>
      <w:bookmarkStart w:id="942" w:name="_Toc48317173"/>
      <w:bookmarkStart w:id="943" w:name="_Toc48317528"/>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r>
        <w:rPr>
          <w:rFonts w:ascii="Arial Narrow" w:eastAsia="仿宋_GB2312" w:hAnsi="Arial Narrow" w:cs="Arial"/>
          <w:sz w:val="22"/>
          <w:szCs w:val="22"/>
        </w:rPr>
        <w:t>[2016] 42号公告第14条规定，可比性分析考虑的因素，包括交易资产或者劳务特性，交易各方功能、风险和资产，合同条款，经济环境，经营策略等。</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9D7E91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Narrow" w:eastAsia="仿宋_GB2312" w:hAnsi="Arial Narrow" w:cs="Arial"/>
          <w:sz w:val="22"/>
          <w:szCs w:val="22"/>
          <w:vertAlign w:val="superscript"/>
        </w:rPr>
        <w:footnoteReference w:id="16"/>
        <w:t/>
      </w:r>
      <w:r>
        <w:rPr>
          <w:rFonts w:ascii="Arial Narrow" w:eastAsia="仿宋_GB2312" w:hAnsi="Arial Narrow" w:cs="Arial"/>
          <w:sz w:val="22"/>
          <w:szCs w:val="22"/>
        </w:rPr>
        <w:t/>
      </w:r>
    </w:p>
    <w:p w14:paraId="255A1AA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以下图表总结了转让定价方法的选择过程。</w:t>
      </w:r>
    </w:p>
    <w:p w14:paraId="0CBDF4A8"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19：合适转让定价方法的选择</w:t>
      </w:r>
      <w:r>
        <w:rPr>
          <w:rFonts w:ascii="Arial Narrow" w:eastAsia="仿宋_GB2312" w:hAnsi="Arial Narrow" w:cs="Arial"/>
          <w:sz w:val="22"/>
        </w:rPr>
        <w:t xml:space="preserve"/>
      </w:r>
      <w:r>
        <w:rPr>
          <w:rFonts w:ascii="Arial Narrow" w:eastAsia="仿宋_GB2312" w:hAnsi="Arial Narrow" w:cs="Arial"/>
          <w:sz w:val="22"/>
        </w:rPr>
        <w:t/>
      </w:r>
    </w:p>
    <w:tbl>
      <w:tblPr>
        <w:tblW w:w="8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835"/>
        <w:gridCol w:w="3370"/>
      </w:tblGrid>
      <w:tr w:rsidR="004D1721" w14:paraId="7BF66334" w14:textId="77777777">
        <w:trPr>
          <w:trHeight w:val="550"/>
          <w:tblHeader/>
          <w:jc w:val="center"/>
        </w:trPr>
        <w:tc>
          <w:tcPr>
            <w:tcW w:w="1980" w:type="dxa"/>
            <w:shd w:val="clear" w:color="auto" w:fill="002060"/>
            <w:vAlign w:val="center"/>
          </w:tcPr>
          <w:p w14:paraId="6E5F7F09"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转让定价的方法</w:t>
            </w:r>
          </w:p>
        </w:tc>
        <w:tc>
          <w:tcPr>
            <w:tcW w:w="2835" w:type="dxa"/>
            <w:shd w:val="clear" w:color="auto" w:fill="002060"/>
            <w:vAlign w:val="center"/>
          </w:tcPr>
          <w:p w14:paraId="60996A56"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适用情形</w:t>
            </w:r>
          </w:p>
        </w:tc>
        <w:tc>
          <w:tcPr>
            <w:tcW w:w="3370" w:type="dxa"/>
            <w:shd w:val="clear" w:color="auto" w:fill="002060"/>
            <w:vAlign w:val="center"/>
          </w:tcPr>
          <w:p w14:paraId="78915EFF"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选择/排除的原因</w:t>
            </w:r>
            <w:r>
              <w:rPr>
                <w:rFonts w:ascii="Arial Narrow" w:eastAsia="仿宋_GB2312" w:hAnsi="Arial Narrow" w:cs="Arial"/>
                <w:b/>
                <w:color w:val="FFFFFF" w:themeColor="background1"/>
                <w:sz w:val="22"/>
                <w:szCs w:val="22"/>
              </w:rPr>
              <w:t/>
            </w:r>
            <w:r>
              <w:rPr>
                <w:rFonts w:ascii="Arial Narrow" w:eastAsia="仿宋_GB2312" w:hAnsi="Arial Narrow" w:cs="Arial"/>
                <w:b/>
                <w:color w:val="FFFFFF" w:themeColor="background1"/>
                <w:sz w:val="22"/>
                <w:szCs w:val="22"/>
              </w:rPr>
              <w:t/>
            </w:r>
          </w:p>
        </w:tc>
      </w:tr>
      <w:tr w:rsidR="004D1721" w14:paraId="43DE877B" w14:textId="77777777">
        <w:trPr>
          <w:trHeight w:val="2070"/>
          <w:jc w:val="center"/>
        </w:trPr>
        <w:tc>
          <w:tcPr>
            <w:tcW w:w="1980" w:type="dxa"/>
            <w:vAlign w:val="center"/>
          </w:tcPr>
          <w:p w14:paraId="3648CAC9"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可比非受控价格法</w:t>
            </w:r>
          </w:p>
        </w:tc>
        <w:tc>
          <w:tcPr>
            <w:tcW w:w="2835" w:type="dxa"/>
            <w:vAlign w:val="center"/>
          </w:tcPr>
          <w:p w14:paraId="21985577"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适用于高度相似交易条件下同一产品或服务既存在关联方之间又在非关联方之间交易的情况。</w:t>
            </w:r>
          </w:p>
        </w:tc>
        <w:tc>
          <w:tcPr>
            <w:tcW w:w="3370" w:type="dxa"/>
            <w:vAlign w:val="center"/>
          </w:tcPr>
          <w:p w14:paraId="6C1384E7" w14:textId="2B14F585" w:rsidR="004D1721" w:rsidRDefault="009B16BC" w:rsidP="00966331">
            <w:pPr>
              <w:rPr>
                <w:rFonts w:ascii="Arial Narrow" w:eastAsia="仿宋_GB2312" w:hAnsi="Arial Narrow" w:cs="Arial"/>
                <w:sz w:val="22"/>
                <w:szCs w:val="22"/>
              </w:rPr>
            </w:pPr>
            <w:r>
              <w:rPr>
                <w:rFonts w:ascii="Arial Narrow" w:eastAsia="仿宋_GB2312" w:hAnsi="Arial Narrow" w:cs="Arial"/>
                <w:sz w:val="22"/>
                <w:szCs w:val="22"/>
              </w:rPr>
              <w:t>松莉科技2023年主要关联交易为关联购销，未与非关联方发生交易条件类似的交易。无法获得可辨认的内部可比交易或外部可比交易的价格作为关联交易的独立交易价格。因此，对于松莉科技，该方法不适用。</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sidR="00966331">
              <w:rPr>
                <w:rFonts w:ascii="Arial Narrow" w:eastAsia="仿宋_GB2312" w:hAnsi="Arial Narrow" w:cs="Arial"/>
                <w:sz w:val="22"/>
                <w:szCs w:val="22"/>
              </w:rPr>
              <w:t/>
            </w:r>
            <w:r>
              <w:rPr>
                <w:rFonts w:ascii="Arial Narrow" w:eastAsia="仿宋_GB2312" w:hAnsi="Arial Narrow" w:cs="Arial"/>
                <w:sz w:val="22"/>
                <w:szCs w:val="22"/>
              </w:rPr>
              <w:t/>
            </w:r>
            <w:r w:rsidR="00966331">
              <w:rPr>
                <w:rFonts w:ascii="Arial Narrow" w:eastAsia="仿宋_GB2312" w:hAnsi="Arial Narrow" w:cs="Arial"/>
                <w:sz w:val="22"/>
                <w:szCs w:val="22"/>
              </w:rPr>
              <w:t/>
            </w:r>
            <w:r>
              <w:rPr>
                <w:rFonts w:ascii="Arial Narrow" w:eastAsia="仿宋_GB2312" w:hAnsi="Arial Narrow" w:cs="Arial"/>
                <w:sz w:val="22"/>
                <w:szCs w:val="22"/>
              </w:rPr>
              <w:t/>
            </w:r>
          </w:p>
        </w:tc>
      </w:tr>
      <w:tr w:rsidR="004D1721" w14:paraId="2748ECD0" w14:textId="77777777">
        <w:trPr>
          <w:jc w:val="center"/>
        </w:trPr>
        <w:tc>
          <w:tcPr>
            <w:tcW w:w="1980" w:type="dxa"/>
            <w:vAlign w:val="center"/>
          </w:tcPr>
          <w:p w14:paraId="4B00535F"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再销售价格法</w:t>
            </w:r>
          </w:p>
        </w:tc>
        <w:tc>
          <w:tcPr>
            <w:tcW w:w="2835" w:type="dxa"/>
            <w:vAlign w:val="center"/>
          </w:tcPr>
          <w:p w14:paraId="668B4D9C"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适用于再销售者未对商品进行改变外型、性能、结构或更换商标等实质性增值加工的简单加工或单纯购销业务。</w:t>
            </w:r>
          </w:p>
        </w:tc>
        <w:tc>
          <w:tcPr>
            <w:tcW w:w="3370" w:type="dxa"/>
            <w:vAlign w:val="center"/>
          </w:tcPr>
          <w:p w14:paraId="092D3B4F"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由于该方法对外部可比交易成本数据的可比性要求较高。因此，对于松莉科技，该方法不适用。</w:t>
            </w:r>
          </w:p>
        </w:tc>
      </w:tr>
      <w:tr w:rsidR="004D1721" w14:paraId="3D9E078D" w14:textId="77777777">
        <w:trPr>
          <w:jc w:val="center"/>
        </w:trPr>
        <w:tc>
          <w:tcPr>
            <w:tcW w:w="1980" w:type="dxa"/>
            <w:vAlign w:val="center"/>
          </w:tcPr>
          <w:p w14:paraId="33B1BA5C"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成本加成法</w:t>
            </w:r>
          </w:p>
        </w:tc>
        <w:tc>
          <w:tcPr>
            <w:tcW w:w="2835" w:type="dxa"/>
            <w:vAlign w:val="center"/>
          </w:tcPr>
          <w:p w14:paraId="44472A3F"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成本加成法通常适用于涉及有形资产购销、转让和使用、劳务提供或资金融通的关联交易。</w:t>
            </w:r>
          </w:p>
        </w:tc>
        <w:tc>
          <w:tcPr>
            <w:tcW w:w="3370" w:type="dxa"/>
            <w:vAlign w:val="center"/>
          </w:tcPr>
          <w:p w14:paraId="792C900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由于成本加成法通常适用于成本数据详尽的涉及劳务或有形产品生产或组装的关联交易，尽管松莉科技向关联方提供相似的有形产品生产及劳务，但有形产品生产及劳务提供的市场环境不同，且也难以获取可以适用成本加成法的外部可比交易成本数据，因此该方法不适用。</w:t>
            </w:r>
          </w:p>
        </w:tc>
      </w:tr>
      <w:tr w:rsidR="004D1721" w14:paraId="1B90B53C" w14:textId="77777777">
        <w:trPr>
          <w:jc w:val="center"/>
        </w:trPr>
        <w:tc>
          <w:tcPr>
            <w:tcW w:w="1980" w:type="dxa"/>
            <w:vAlign w:val="center"/>
          </w:tcPr>
          <w:p w14:paraId="72949040"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交易净利润法</w:t>
            </w:r>
          </w:p>
        </w:tc>
        <w:tc>
          <w:tcPr>
            <w:tcW w:w="2835" w:type="dxa"/>
            <w:vAlign w:val="center"/>
          </w:tcPr>
          <w:p w14:paraId="486ED3E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370" w:type="dxa"/>
            <w:vAlign w:val="center"/>
          </w:tcPr>
          <w:p w14:paraId="5EC3E0B7"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由于应用交易净利润法所需要的信息数据可以获得，因此选择该方法为评估受测关联交易是否符合独立交易原则的最合适的方法。因此，我们选择交易净利润法作为分析关联交易的转让定价方法。</w:t>
            </w:r>
          </w:p>
        </w:tc>
      </w:tr>
      <w:tr w:rsidR="004D1721" w14:paraId="1E9E8013" w14:textId="77777777">
        <w:trPr>
          <w:jc w:val="center"/>
        </w:trPr>
        <w:tc>
          <w:tcPr>
            <w:tcW w:w="1980" w:type="dxa"/>
            <w:vAlign w:val="center"/>
          </w:tcPr>
          <w:p w14:paraId="19856FBA"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利润分割法</w:t>
            </w:r>
          </w:p>
        </w:tc>
        <w:tc>
          <w:tcPr>
            <w:tcW w:w="2835" w:type="dxa"/>
            <w:vAlign w:val="center"/>
          </w:tcPr>
          <w:p w14:paraId="2F1BFD80"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利润分割法适用于各参与方关联交易高度整合且难以单独评估各方交易结果的情况。该方法也适用于交易各方拥有或贡献独特无形资产的情形。</w:t>
            </w:r>
          </w:p>
        </w:tc>
        <w:tc>
          <w:tcPr>
            <w:tcW w:w="3370" w:type="dxa"/>
            <w:vAlign w:val="center"/>
          </w:tcPr>
          <w:p w14:paraId="5FD8E38D"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利润分割法为根据企业与其关联方对关联交易合并利润的贡献计算各自应该分配的利润额，适用于关联交易双方高度整合的情况。松莉科技的关联交易不存在上述情况，因此该方法不适用。</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tc>
      </w:tr>
    </w:tbl>
    <w:p w14:paraId="41A4294D" w14:textId="77777777" w:rsidR="004D1721" w:rsidRDefault="009B16BC">
      <w:pPr>
        <w:pStyle w:val="Heading2"/>
      </w:pPr>
      <w:bookmarkStart w:id="944" w:name="_Toc53229104"/>
      <w:bookmarkStart w:id="945" w:name="_Toc140505150"/>
      <w:r>
        <w:t>验证对象的选择</w:t>
      </w:r>
      <w:bookmarkEnd w:id="942"/>
      <w:bookmarkEnd w:id="943"/>
      <w:bookmarkEnd w:id="944"/>
      <w:bookmarkEnd w:id="945"/>
    </w:p>
    <w:p w14:paraId="51D144F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946" w:name="_Toc48317529"/>
      <w:bookmarkStart w:id="947" w:name="_Toc48317174"/>
      <w:bookmarkStart w:id="948" w:name="_Toc274480832"/>
      <w:r>
        <w:rPr>
          <w:rFonts w:ascii="Arial Narrow" w:eastAsia="仿宋_GB2312" w:hAnsi="Arial Narrow"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r>
        <w:rPr>
          <w:rFonts w:ascii="Arial Narrow" w:eastAsia="仿宋_GB2312" w:hAnsi="Arial Narrow" w:cs="Arial"/>
          <w:sz w:val="22"/>
          <w:szCs w:val="22"/>
        </w:rPr>
        <w:lastRenderedPageBreak/>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4508BD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01112FC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松莉科技执行有限的研发、生产、采购、质量控制、库存管理、物流、有限的销售、有限的售后服务和一般行政管理的功能；松莉科技主要承担生产风险、存货风险、市场风险、有限的信用风险、汇率风险；从功能和风险分析应归为承担一定功能及风险的合约生产制造商。此外，松莉科技拥有全部的生产和测试所需的有形资产，不拥有技术专利及品牌等有价值的无形资产。</w:t>
      </w:r>
    </w:p>
    <w:p w14:paraId="0B622D5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综上所述，在关联交易中，松莉科技为承担一定功能和风险的合约生产商，且其在关联交易中的利润水平可以有效的确定。因此。我们选择松莉科技作为受测关联交易的验证对象。</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07188B1" w14:textId="77777777" w:rsidR="004D1721" w:rsidRDefault="009B16BC">
      <w:pPr>
        <w:pStyle w:val="Heading2"/>
      </w:pPr>
      <w:bookmarkStart w:id="949" w:name="_Toc140505158"/>
      <w:bookmarkStart w:id="950" w:name="_Toc140505152"/>
      <w:bookmarkStart w:id="951" w:name="_Toc140505155"/>
      <w:bookmarkStart w:id="952" w:name="_Toc140505167"/>
      <w:bookmarkStart w:id="953" w:name="_Toc140505151"/>
      <w:bookmarkStart w:id="954" w:name="_Toc140505157"/>
      <w:bookmarkStart w:id="955" w:name="_Toc140505161"/>
      <w:bookmarkStart w:id="956" w:name="_Toc140505154"/>
      <w:bookmarkStart w:id="957" w:name="_Toc140505162"/>
      <w:bookmarkStart w:id="958" w:name="_Toc140505166"/>
      <w:bookmarkStart w:id="959" w:name="_Toc140505164"/>
      <w:bookmarkStart w:id="960" w:name="_Toc140505156"/>
      <w:bookmarkStart w:id="961" w:name="_Toc140505159"/>
      <w:bookmarkStart w:id="962" w:name="_Toc140505160"/>
      <w:bookmarkStart w:id="963" w:name="_Toc140505165"/>
      <w:bookmarkStart w:id="964" w:name="_Toc140505153"/>
      <w:bookmarkStart w:id="965" w:name="_Toc140505163"/>
      <w:bookmarkStart w:id="966" w:name="_Toc140505168"/>
      <w:bookmarkStart w:id="967" w:name="_Toc53229105"/>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r>
        <w:t>转让定价方法的应用</w:t>
      </w:r>
      <w:bookmarkEnd w:id="946"/>
      <w:bookmarkEnd w:id="947"/>
      <w:bookmarkEnd w:id="966"/>
      <w:bookmarkEnd w:id="967"/>
    </w:p>
    <w:p w14:paraId="2E95D4D7" w14:textId="77777777" w:rsidR="004D1721" w:rsidRDefault="009B16BC">
      <w:pPr>
        <w:pStyle w:val="Heading3"/>
      </w:pPr>
      <w:bookmarkStart w:id="968" w:name="_Toc140505169"/>
      <w:bookmarkStart w:id="969" w:name="_Toc53229106"/>
      <w:r>
        <w:t>概述</w:t>
      </w:r>
      <w:bookmarkEnd w:id="948"/>
      <w:bookmarkEnd w:id="968"/>
      <w:bookmarkEnd w:id="969"/>
    </w:p>
    <w:p w14:paraId="451318D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970" w:name="_Toc48317347"/>
      <w:bookmarkStart w:id="971" w:name="_Toc48582675"/>
      <w:bookmarkStart w:id="972" w:name="_Toc48399669"/>
      <w:bookmarkStart w:id="973" w:name="_Toc48317348"/>
      <w:bookmarkStart w:id="974" w:name="_Toc48399675"/>
      <w:bookmarkStart w:id="975" w:name="_Toc48582671"/>
      <w:bookmarkStart w:id="976" w:name="_Toc48582656"/>
      <w:bookmarkStart w:id="977" w:name="_Toc522205849"/>
      <w:bookmarkStart w:id="978" w:name="_Toc48317535"/>
      <w:bookmarkStart w:id="979" w:name="_Toc48317352"/>
      <w:bookmarkStart w:id="980" w:name="_Toc48583071"/>
      <w:bookmarkStart w:id="981" w:name="_Toc48583092"/>
      <w:bookmarkStart w:id="982" w:name="_Toc48582655"/>
      <w:bookmarkStart w:id="983" w:name="_Toc48583073"/>
      <w:bookmarkStart w:id="984" w:name="_Toc48583068"/>
      <w:bookmarkStart w:id="985" w:name="_Toc48583084"/>
      <w:bookmarkStart w:id="986" w:name="_Toc48317532"/>
      <w:bookmarkStart w:id="987" w:name="_Toc48399692"/>
      <w:bookmarkStart w:id="988" w:name="_Toc48582658"/>
      <w:bookmarkStart w:id="989" w:name="_Toc48399670"/>
      <w:bookmarkStart w:id="990" w:name="_Toc48583069"/>
      <w:bookmarkStart w:id="991" w:name="_Toc48399671"/>
      <w:bookmarkStart w:id="992" w:name="_Toc48583088"/>
      <w:bookmarkStart w:id="993" w:name="_Toc489952591"/>
      <w:bookmarkStart w:id="994" w:name="_Toc522205850"/>
      <w:bookmarkStart w:id="995" w:name="_Toc48582679"/>
      <w:bookmarkStart w:id="996" w:name="_Toc48317346"/>
      <w:bookmarkStart w:id="997" w:name="_Toc48317533"/>
      <w:bookmarkStart w:id="998" w:name="_Toc48582654"/>
      <w:bookmarkStart w:id="999" w:name="_Toc48317350"/>
      <w:bookmarkStart w:id="1000" w:name="_Toc48317531"/>
      <w:bookmarkStart w:id="1001" w:name="_Toc48317554"/>
      <w:bookmarkStart w:id="1002" w:name="_Toc48582660"/>
      <w:bookmarkStart w:id="1003" w:name="_Toc48399673"/>
      <w:bookmarkStart w:id="1004" w:name="_Toc48583067"/>
      <w:bookmarkStart w:id="1005" w:name="_Toc48317537"/>
      <w:bookmarkStart w:id="1006" w:name="_Toc522205851"/>
      <w:bookmarkStart w:id="1007" w:name="_Toc48317369"/>
      <w:bookmarkStart w:id="1008" w:name="_Toc48317555"/>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r>
        <w:rPr>
          <w:rFonts w:ascii="Arial Narrow" w:eastAsia="仿宋_GB2312" w:hAnsi="Arial Narrow" w:cs="Arial"/>
          <w:sz w:val="22"/>
          <w:szCs w:val="22"/>
        </w:rPr>
        <w:t>[2016]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vertAlign w:val="superscript"/>
        </w:rPr>
        <w:footnoteReference w:id="17"/>
        <w:t/>
      </w:r>
    </w:p>
    <w:p w14:paraId="0F4C939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下面我们将应用交易净利润法进行可比分析。</w:t>
      </w:r>
    </w:p>
    <w:p w14:paraId="07C7F13D" w14:textId="77777777" w:rsidR="004D1721" w:rsidRDefault="009B16BC">
      <w:pPr>
        <w:pStyle w:val="Heading3"/>
      </w:pPr>
      <w:bookmarkStart w:id="1009" w:name="_Toc140505170"/>
      <w:bookmarkStart w:id="1010" w:name="_Toc53229107"/>
      <w:r>
        <w:lastRenderedPageBreak/>
        <w:t>确定与受测关联交易相关的财务数据</w:t>
      </w:r>
      <w:bookmarkStart w:id="1011" w:name="_Hlk43068633"/>
      <w:r>
        <w:t/>
      </w:r>
      <w:bookmarkEnd w:id="1011"/>
      <w:r>
        <w:t/>
      </w:r>
      <w:bookmarkEnd w:id="1008"/>
      <w:bookmarkEnd w:id="1009"/>
      <w:bookmarkEnd w:id="1010"/>
    </w:p>
    <w:p w14:paraId="1C7E66A9" w14:textId="26280140"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我们选择松莉科技作为受测关联交易的验证对象，鉴于松莉科技2023年主营化妆品的生产业务，因此本报告将对松莉科技的生产业务是否符合独立交易原则进行分析和验证。</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8352F65" w14:textId="6467C296"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20：松莉科技2023年度生产业务财务数据</w:t>
      </w:r>
      <w:r>
        <w:rPr>
          <w:rFonts w:ascii="Arial Narrow" w:eastAsia="仿宋_GB2312" w:hAnsi="Arial Narrow" w:cs="Arial"/>
          <w:sz w:val="22"/>
        </w:rPr>
        <w:t xml:space="preserve"/>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p>
    <w:tbl>
      <w:tblPr>
        <w:tblStyle w:val="4-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7"/>
        <w:gridCol w:w="2040"/>
        <w:gridCol w:w="2603"/>
      </w:tblGrid>
      <w:tr w:rsidR="004D1721" w14:paraId="0BD048FB" w14:textId="77777777" w:rsidTr="004D1721">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002060"/>
            <w:vAlign w:val="center"/>
          </w:tcPr>
          <w:p w14:paraId="12AA0043" w14:textId="77777777" w:rsidR="004D1721" w:rsidRDefault="009B16BC">
            <w:pPr>
              <w:spacing w:before="60" w:after="60"/>
              <w:jc w:val="center"/>
              <w:rPr>
                <w:rFonts w:ascii="Arial Narrow" w:eastAsia="仿宋_GB2312" w:hAnsi="Arial Narrow" w:cs="Arial"/>
                <w:b w:val="0"/>
                <w:bCs w:val="0"/>
                <w:sz w:val="22"/>
                <w:szCs w:val="22"/>
              </w:rPr>
            </w:pPr>
            <w:r>
              <w:rPr>
                <w:rFonts w:ascii="Arial Narrow" w:eastAsia="仿宋_GB2312" w:hAnsi="Arial Narrow" w:cs="Arial"/>
                <w:sz w:val="22"/>
                <w:szCs w:val="22"/>
              </w:rPr>
              <w:t>项目</w:t>
            </w:r>
          </w:p>
        </w:tc>
        <w:tc>
          <w:tcPr>
            <w:tcW w:w="2040" w:type="dxa"/>
            <w:shd w:val="clear" w:color="auto" w:fill="002060"/>
            <w:vAlign w:val="center"/>
          </w:tcPr>
          <w:p w14:paraId="1ED8C3D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sz w:val="22"/>
                <w:szCs w:val="22"/>
              </w:rPr>
              <w:t>公式</w:t>
            </w:r>
          </w:p>
        </w:tc>
        <w:tc>
          <w:tcPr>
            <w:tcW w:w="2603" w:type="dxa"/>
            <w:shd w:val="clear" w:color="auto" w:fill="002060"/>
            <w:vAlign w:val="center"/>
          </w:tcPr>
          <w:p w14:paraId="7CDCC24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金额</w:t>
            </w:r>
          </w:p>
          <w:p w14:paraId="3C14FA3A"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人民币元</w:t>
            </w:r>
          </w:p>
        </w:tc>
      </w:tr>
      <w:tr w:rsidR="004D1721" w14:paraId="21521FC5"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508C8AB7"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color w:val="000000"/>
                <w:sz w:val="22"/>
                <w:szCs w:val="22"/>
              </w:rPr>
              <w:t>营业收入</w:t>
            </w:r>
          </w:p>
        </w:tc>
        <w:tc>
          <w:tcPr>
            <w:tcW w:w="2040" w:type="dxa"/>
            <w:shd w:val="clear" w:color="auto" w:fill="auto"/>
            <w:vAlign w:val="center"/>
          </w:tcPr>
          <w:p w14:paraId="3AB27DE6"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
                <w:sz w:val="22"/>
                <w:szCs w:val="22"/>
              </w:rPr>
            </w:pPr>
            <w:r>
              <w:rPr>
                <w:rFonts w:ascii="Arial Narrow" w:eastAsia="仿宋_GB2312" w:hAnsi="Arial Narrow" w:cs="Arial"/>
                <w:color w:val="000000"/>
                <w:sz w:val="22"/>
                <w:szCs w:val="22"/>
              </w:rPr>
              <w:t>a</w:t>
            </w:r>
          </w:p>
        </w:tc>
        <w:tc>
          <w:tcPr>
            <w:tcW w:w="2603" w:type="dxa"/>
            <w:shd w:val="clear" w:color="auto" w:fill="auto"/>
            <w:vAlign w:val="center"/>
          </w:tcPr>
          <w:p w14:paraId="6C94BE36"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273,356,327.70</w:t>
            </w:r>
          </w:p>
        </w:tc>
      </w:tr>
      <w:tr w:rsidR="004D1721" w14:paraId="614054F0"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66998FAC"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减：营业成本</w:t>
            </w:r>
            <w:r>
              <w:rPr>
                <w:rFonts w:ascii="Arial Narrow" w:eastAsia="仿宋_GB2312" w:hAnsi="Arial Narrow" w:cs="Arial"/>
                <w:b w:val="0"/>
                <w:color w:val="000000"/>
                <w:sz w:val="22"/>
                <w:szCs w:val="22"/>
              </w:rPr>
              <w:t/>
            </w:r>
          </w:p>
        </w:tc>
        <w:tc>
          <w:tcPr>
            <w:tcW w:w="2040" w:type="dxa"/>
            <w:shd w:val="clear" w:color="auto" w:fill="auto"/>
            <w:vAlign w:val="center"/>
          </w:tcPr>
          <w:p w14:paraId="2C29A1C9"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color w:val="000000"/>
                <w:sz w:val="22"/>
                <w:szCs w:val="22"/>
              </w:rPr>
              <w:t>b</w:t>
            </w:r>
          </w:p>
        </w:tc>
        <w:tc>
          <w:tcPr>
            <w:tcW w:w="2603" w:type="dxa"/>
            <w:shd w:val="clear" w:color="auto" w:fill="auto"/>
            <w:vAlign w:val="center"/>
          </w:tcPr>
          <w:p w14:paraId="54306FDD"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243,696,017.20</w:t>
            </w:r>
          </w:p>
        </w:tc>
      </w:tr>
      <w:tr w:rsidR="004D1721" w14:paraId="3C59B929"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7C076B5A" w14:textId="77777777" w:rsidR="004D1721" w:rsidRDefault="009B16BC">
            <w:pPr>
              <w:snapToGrid w:val="0"/>
              <w:spacing w:before="60" w:after="60"/>
              <w:ind w:firstLineChars="200" w:firstLine="440"/>
              <w:rPr>
                <w:rFonts w:ascii="Arial Narrow" w:eastAsia="仿宋_GB2312" w:hAnsi="Arial Narrow" w:cs="Arial"/>
                <w:b w:val="0"/>
                <w:sz w:val="22"/>
                <w:szCs w:val="22"/>
              </w:rPr>
            </w:pPr>
            <w:r>
              <w:rPr>
                <w:rFonts w:ascii="Arial Narrow" w:eastAsia="仿宋_GB2312" w:hAnsi="Arial Narrow" w:cs="Arial"/>
                <w:b w:val="0"/>
                <w:color w:val="000000"/>
                <w:sz w:val="22"/>
                <w:szCs w:val="22"/>
              </w:rPr>
              <w:t>税金及附加</w:t>
            </w:r>
          </w:p>
        </w:tc>
        <w:tc>
          <w:tcPr>
            <w:tcW w:w="2040" w:type="dxa"/>
            <w:shd w:val="clear" w:color="auto" w:fill="auto"/>
            <w:vAlign w:val="center"/>
          </w:tcPr>
          <w:p w14:paraId="43AE58AD"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color w:val="000000"/>
                <w:sz w:val="22"/>
                <w:szCs w:val="22"/>
              </w:rPr>
              <w:t>c</w:t>
            </w:r>
          </w:p>
        </w:tc>
        <w:tc>
          <w:tcPr>
            <w:tcW w:w="2603" w:type="dxa"/>
            <w:shd w:val="clear" w:color="auto" w:fill="auto"/>
            <w:vAlign w:val="center"/>
          </w:tcPr>
          <w:p w14:paraId="128CBDCA"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98,278.10</w:t>
            </w:r>
          </w:p>
        </w:tc>
      </w:tr>
      <w:tr w:rsidR="004D1721" w14:paraId="3FDE70A8"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59213E5F" w14:textId="77777777" w:rsidR="004D1721" w:rsidRDefault="009B16BC">
            <w:pPr>
              <w:snapToGrid w:val="0"/>
              <w:spacing w:before="60" w:after="60"/>
              <w:ind w:firstLineChars="200" w:firstLine="440"/>
              <w:rPr>
                <w:rFonts w:ascii="Arial Narrow" w:eastAsia="仿宋_GB2312" w:hAnsi="Arial Narrow" w:cs="Arial"/>
                <w:b w:val="0"/>
                <w:sz w:val="22"/>
                <w:szCs w:val="22"/>
              </w:rPr>
            </w:pPr>
            <w:r>
              <w:rPr>
                <w:rFonts w:ascii="Arial Narrow" w:eastAsia="仿宋_GB2312" w:hAnsi="Arial Narrow" w:cs="Arial"/>
                <w:b w:val="0"/>
                <w:sz w:val="22"/>
                <w:szCs w:val="22"/>
              </w:rPr>
              <w:t>销售费用</w:t>
            </w:r>
          </w:p>
        </w:tc>
        <w:tc>
          <w:tcPr>
            <w:tcW w:w="2040" w:type="dxa"/>
            <w:shd w:val="clear" w:color="auto" w:fill="auto"/>
            <w:vAlign w:val="center"/>
          </w:tcPr>
          <w:p w14:paraId="6B62B29A"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color w:val="000000"/>
                <w:sz w:val="22"/>
                <w:szCs w:val="22"/>
              </w:rPr>
              <w:t>d</w:t>
            </w:r>
          </w:p>
        </w:tc>
        <w:tc>
          <w:tcPr>
            <w:tcW w:w="2603" w:type="dxa"/>
            <w:shd w:val="clear" w:color="auto" w:fill="auto"/>
            <w:vAlign w:val="center"/>
          </w:tcPr>
          <w:p w14:paraId="446AB3F5"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bCs/>
                <w:color w:val="000000"/>
                <w:sz w:val="22"/>
                <w:szCs w:val="22"/>
              </w:rPr>
              <w:t>562,576.46</w:t>
            </w:r>
          </w:p>
        </w:tc>
      </w:tr>
      <w:tr w:rsidR="004D1721" w14:paraId="2B206323"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5394BBBD" w14:textId="77777777" w:rsidR="004D1721" w:rsidRDefault="009B16BC">
            <w:pPr>
              <w:snapToGrid w:val="0"/>
              <w:spacing w:before="60" w:after="60"/>
              <w:ind w:firstLineChars="200" w:firstLine="440"/>
              <w:rPr>
                <w:rFonts w:ascii="Arial Narrow" w:eastAsia="仿宋_GB2312" w:hAnsi="Arial Narrow" w:cs="Arial"/>
                <w:b w:val="0"/>
                <w:sz w:val="22"/>
                <w:szCs w:val="22"/>
              </w:rPr>
            </w:pPr>
            <w:r>
              <w:rPr>
                <w:rFonts w:ascii="Arial Narrow" w:eastAsia="仿宋_GB2312" w:hAnsi="Arial Narrow" w:cs="Arial"/>
                <w:b w:val="0"/>
                <w:color w:val="000000"/>
                <w:sz w:val="22"/>
                <w:szCs w:val="22"/>
              </w:rPr>
              <w:t>管理费用</w:t>
            </w:r>
          </w:p>
        </w:tc>
        <w:tc>
          <w:tcPr>
            <w:tcW w:w="2040" w:type="dxa"/>
            <w:shd w:val="clear" w:color="auto" w:fill="auto"/>
            <w:vAlign w:val="center"/>
          </w:tcPr>
          <w:p w14:paraId="0BF33248"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color w:val="000000"/>
                <w:sz w:val="22"/>
                <w:szCs w:val="22"/>
              </w:rPr>
              <w:t>e</w:t>
            </w:r>
          </w:p>
        </w:tc>
        <w:tc>
          <w:tcPr>
            <w:tcW w:w="2603" w:type="dxa"/>
            <w:shd w:val="clear" w:color="auto" w:fill="auto"/>
            <w:vAlign w:val="center"/>
          </w:tcPr>
          <w:p w14:paraId="0BDCA7DC"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15,362,250.31</w:t>
            </w:r>
          </w:p>
        </w:tc>
      </w:tr>
      <w:tr w:rsidR="004D1721" w14:paraId="4F0CE6B3"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148802BE"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息税前利润</w:t>
            </w:r>
          </w:p>
        </w:tc>
        <w:tc>
          <w:tcPr>
            <w:tcW w:w="2040" w:type="dxa"/>
            <w:shd w:val="clear" w:color="auto" w:fill="auto"/>
            <w:vAlign w:val="center"/>
          </w:tcPr>
          <w:p w14:paraId="40DE025F"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 xml:space="preserve">f = a-b-c-d-e</w:t>
            </w:r>
            <w:r>
              <w:rPr>
                <w:rFonts w:ascii="Arial Narrow" w:eastAsia="仿宋_GB2312" w:hAnsi="Arial Narrow" w:cs="Arial" w:hint="eastAsia"/>
                <w:sz w:val="22"/>
                <w:szCs w:val="22"/>
              </w:rPr>
              <w:t/>
            </w:r>
            <w:r>
              <w:rPr>
                <w:rFonts w:ascii="Arial Narrow" w:eastAsia="仿宋_GB2312" w:hAnsi="Arial Narrow" w:cs="Arial"/>
                <w:sz w:val="22"/>
                <w:szCs w:val="22"/>
              </w:rPr>
              <w:t/>
            </w:r>
          </w:p>
        </w:tc>
        <w:tc>
          <w:tcPr>
            <w:tcW w:w="2603" w:type="dxa"/>
            <w:shd w:val="clear" w:color="auto" w:fill="auto"/>
            <w:vAlign w:val="center"/>
          </w:tcPr>
          <w:p w14:paraId="200DDE11"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 xml:space="preserve">259,719,122.07 </w:t>
            </w:r>
          </w:p>
        </w:tc>
      </w:tr>
      <w:tr w:rsidR="004D1721" w14:paraId="676DC434"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3CFB4788"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营业成本及费用</w:t>
            </w:r>
          </w:p>
        </w:tc>
        <w:tc>
          <w:tcPr>
            <w:tcW w:w="2040" w:type="dxa"/>
            <w:shd w:val="clear" w:color="auto" w:fill="auto"/>
            <w:vAlign w:val="center"/>
          </w:tcPr>
          <w:p w14:paraId="0EF3F278"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g = b+c+d+e</w:t>
            </w:r>
          </w:p>
        </w:tc>
        <w:tc>
          <w:tcPr>
            <w:tcW w:w="2603" w:type="dxa"/>
            <w:shd w:val="clear" w:color="auto" w:fill="auto"/>
            <w:vAlign w:val="center"/>
          </w:tcPr>
          <w:p w14:paraId="3FA992B3"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 xml:space="preserve">13,637,205.63 </w:t>
            </w:r>
          </w:p>
        </w:tc>
      </w:tr>
      <w:tr w:rsidR="004D1721" w14:paraId="6C128B91"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790CDD4C"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完全成本加成率</w:t>
            </w:r>
          </w:p>
        </w:tc>
        <w:tc>
          <w:tcPr>
            <w:tcW w:w="2040" w:type="dxa"/>
            <w:shd w:val="clear" w:color="auto" w:fill="auto"/>
            <w:vAlign w:val="center"/>
          </w:tcPr>
          <w:p w14:paraId="7D92A7B7"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h= f/g</w:t>
            </w:r>
            <w:r>
              <w:rPr>
                <w:rFonts w:ascii="Arial Narrow" w:eastAsia="仿宋_GB2312" w:hAnsi="Arial Narrow" w:cs="Arial"/>
                <w:sz w:val="22"/>
                <w:szCs w:val="22"/>
              </w:rPr>
              <w:t/>
            </w:r>
          </w:p>
        </w:tc>
        <w:tc>
          <w:tcPr>
            <w:tcW w:w="2603" w:type="dxa"/>
            <w:shd w:val="clear" w:color="auto" w:fill="auto"/>
            <w:vAlign w:val="center"/>
          </w:tcPr>
          <w:p w14:paraId="7E39021A"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5.25%</w:t>
            </w:r>
          </w:p>
        </w:tc>
      </w:tr>
    </w:tbl>
    <w:p w14:paraId="1E8117B7" w14:textId="77777777" w:rsidR="004D1721" w:rsidRDefault="009B16BC">
      <w:pPr>
        <w:ind w:firstLineChars="300" w:firstLine="480"/>
        <w:rPr>
          <w:rFonts w:ascii="Arial Narrow" w:eastAsia="仿宋_GB2312" w:hAnsi="Arial Narrow" w:cs="Arial"/>
          <w:i/>
          <w:iCs/>
          <w:sz w:val="16"/>
          <w:szCs w:val="16"/>
        </w:rPr>
      </w:pPr>
      <w:r>
        <w:rPr>
          <w:rFonts w:ascii="Arial Narrow" w:eastAsia="仿宋_GB2312" w:hAnsi="Arial Narrow" w:cs="Arial"/>
          <w:i/>
          <w:iCs/>
          <w:sz w:val="16"/>
          <w:szCs w:val="16"/>
        </w:rPr>
        <w:t>信息来源：由松莉科技提供</w:t>
      </w:r>
    </w:p>
    <w:p w14:paraId="1F8BC31E" w14:textId="38CAB58A" w:rsidR="004D1721" w:rsidRDefault="009B16BC">
      <w:pPr>
        <w:pStyle w:val="Heading3"/>
      </w:pPr>
      <w:bookmarkStart w:id="1012" w:name="_Toc53046872"/>
      <w:bookmarkStart w:id="1013" w:name="_Toc53047116"/>
      <w:bookmarkStart w:id="1014" w:name="_Toc53046652"/>
      <w:bookmarkStart w:id="1015" w:name="_Toc140505172"/>
      <w:bookmarkStart w:id="1016" w:name="_Toc53047122"/>
      <w:bookmarkStart w:id="1017" w:name="_Toc53047120"/>
      <w:bookmarkStart w:id="1018" w:name="_Toc53046805"/>
      <w:bookmarkStart w:id="1019" w:name="_Toc53046804"/>
      <w:bookmarkStart w:id="1020" w:name="_Toc53046653"/>
      <w:bookmarkStart w:id="1021" w:name="_Toc53046657"/>
      <w:bookmarkStart w:id="1022" w:name="_Toc53047119"/>
      <w:bookmarkStart w:id="1023" w:name="_Toc53047123"/>
      <w:bookmarkStart w:id="1024" w:name="_Toc53046808"/>
      <w:bookmarkStart w:id="1025" w:name="_Toc53046656"/>
      <w:bookmarkStart w:id="1026" w:name="_Toc53047118"/>
      <w:bookmarkStart w:id="1027" w:name="_Toc53047187"/>
      <w:bookmarkStart w:id="1028" w:name="_Toc53046654"/>
      <w:bookmarkStart w:id="1029" w:name="_Toc53046807"/>
      <w:bookmarkStart w:id="1030" w:name="_Toc53046721"/>
      <w:bookmarkStart w:id="1031" w:name="_Toc53046655"/>
      <w:bookmarkStart w:id="1032" w:name="_Toc53047121"/>
      <w:bookmarkStart w:id="1033" w:name="_Toc53046803"/>
      <w:bookmarkStart w:id="1034" w:name="_Toc53046801"/>
      <w:bookmarkStart w:id="1035" w:name="_Toc53046806"/>
      <w:bookmarkStart w:id="1036" w:name="_Toc53046650"/>
      <w:bookmarkStart w:id="1037" w:name="_Toc140505173"/>
      <w:bookmarkStart w:id="1038" w:name="_Toc274480835"/>
      <w:bookmarkStart w:id="1039" w:name="_Toc53229108"/>
      <w:bookmarkStart w:id="1040" w:name="_Toc48317556"/>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r>
        <w:t>搜寻外部可比公司</w:t>
      </w:r>
      <w:bookmarkEnd w:id="1037"/>
      <w:bookmarkEnd w:id="1038"/>
      <w:bookmarkEnd w:id="1039"/>
      <w:bookmarkEnd w:id="1040"/>
    </w:p>
    <w:p w14:paraId="4FC915F6" w14:textId="77777777" w:rsidR="004D1721" w:rsidRDefault="009B16BC">
      <w:pPr>
        <w:pStyle w:val="Heading4"/>
      </w:pPr>
      <w:r>
        <w:t>数据库</w:t>
      </w:r>
    </w:p>
    <w:p w14:paraId="705C63D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为了对外部可比公司（即所执行的功能与松莉科技的活动宽泛可比的独立企业）进行一次基准搜索，我们使用了由Bureau van Dijk Electronic发布的TP Catalyst数据库（2023年版）。</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236E46E2"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TP Catalyst数据库提供逾190个国家的私人企业及全球上市公司（包括银行、保险公司等）的财务数据、所有者信息、评级数据、预期收益、股票信息和相关新闻。</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8A20C9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BCACBE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DFE750E" w14:textId="77777777" w:rsidR="004D1721" w:rsidRDefault="009B16BC">
      <w:pPr>
        <w:pStyle w:val="Heading4"/>
      </w:pPr>
      <w:r>
        <w:t>SIC编码及地区的选择</w:t>
      </w:r>
      <w:r>
        <w:t/>
      </w:r>
    </w:p>
    <w:p w14:paraId="75DD5CC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83CE4B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我们对美国SIC编码列表进行了全面查阅，并选择了最合适的SIC编码（见下图表）来搜寻与松莉科技的关联方在制造活动中承担的职能宽泛可比的潜在可比公司。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31FBAD0"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br w:type="page"/>
      </w:r>
    </w:p>
    <w:p w14:paraId="534EB872" w14:textId="25016F68"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lastRenderedPageBreak/>
        <w:t>图表 14：SIC编码的选择</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sz w:val="22"/>
        </w:rPr>
        <w:t/>
      </w:r>
    </w:p>
    <w:tbl>
      <w:tblPr>
        <w:tblW w:w="6521"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4961"/>
      </w:tblGrid>
      <w:tr w:rsidR="004D1721" w14:paraId="2959D209" w14:textId="77777777">
        <w:trPr>
          <w:trHeight w:val="505"/>
        </w:trPr>
        <w:tc>
          <w:tcPr>
            <w:tcW w:w="1560" w:type="dxa"/>
            <w:shd w:val="clear" w:color="auto" w:fill="002060"/>
            <w:vAlign w:val="center"/>
          </w:tcPr>
          <w:p w14:paraId="0E06C30F" w14:textId="77777777" w:rsidR="004D1721" w:rsidRDefault="009B16BC">
            <w:pPr>
              <w:jc w:val="center"/>
              <w:rPr>
                <w:rStyle w:val="CommentReference"/>
                <w:rFonts w:ascii="Arial Narrow" w:eastAsia="仿宋_GB2312" w:hAnsi="Arial Narrow" w:cs="Arial"/>
                <w:b/>
                <w:color w:val="FFFFFF" w:themeColor="background1"/>
                <w:sz w:val="22"/>
                <w:szCs w:val="24"/>
              </w:rPr>
            </w:pPr>
            <w:r>
              <w:rPr>
                <w:rFonts w:ascii="Arial Narrow" w:eastAsia="仿宋_GB2312" w:hAnsi="Arial Narrow" w:cs="Arial"/>
                <w:b/>
                <w:color w:val="FFFFFF" w:themeColor="background1"/>
                <w:sz w:val="22"/>
              </w:rPr>
              <w:t>SIC编码</w:t>
            </w:r>
            <w:r>
              <w:rPr>
                <w:rFonts w:ascii="Arial Narrow" w:eastAsia="仿宋_GB2312" w:hAnsi="Arial Narrow" w:cs="Arial"/>
                <w:b/>
                <w:color w:val="FFFFFF" w:themeColor="background1"/>
                <w:sz w:val="22"/>
              </w:rPr>
              <w:t/>
            </w:r>
          </w:p>
        </w:tc>
        <w:tc>
          <w:tcPr>
            <w:tcW w:w="4961" w:type="dxa"/>
            <w:shd w:val="clear" w:color="auto" w:fill="002060"/>
            <w:vAlign w:val="center"/>
          </w:tcPr>
          <w:p w14:paraId="3475E187" w14:textId="77777777" w:rsidR="004D1721" w:rsidRDefault="009B16BC">
            <w:pPr>
              <w:jc w:val="center"/>
              <w:rPr>
                <w:rStyle w:val="CommentReference"/>
                <w:rFonts w:ascii="Arial Narrow" w:eastAsia="仿宋_GB2312" w:hAnsi="Arial Narrow" w:cs="Arial"/>
                <w:b/>
                <w:color w:val="FFFFFF" w:themeColor="background1"/>
                <w:sz w:val="22"/>
                <w:szCs w:val="24"/>
              </w:rPr>
            </w:pPr>
            <w:r>
              <w:rPr>
                <w:rStyle w:val="CommentReference"/>
                <w:rFonts w:ascii="Arial Narrow" w:eastAsia="仿宋_GB2312" w:hAnsi="Arial Narrow" w:cs="Arial"/>
                <w:b/>
                <w:color w:val="FFFFFF" w:themeColor="background1"/>
                <w:sz w:val="22"/>
                <w:szCs w:val="24"/>
              </w:rPr>
              <w:t>描述</w:t>
            </w:r>
          </w:p>
        </w:tc>
      </w:tr>
      <w:tr w:rsidR="004D1721" w14:paraId="6CC5857E" w14:textId="77777777">
        <w:trPr>
          <w:trHeight w:val="505"/>
        </w:trPr>
        <w:tc>
          <w:tcPr>
            <w:tcW w:w="1560" w:type="dxa"/>
            <w:vAlign w:val="center"/>
          </w:tcPr>
          <w:p w14:paraId="75DB5C83"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2841</w:t>
            </w:r>
          </w:p>
        </w:tc>
        <w:tc>
          <w:tcPr>
            <w:tcW w:w="4961" w:type="dxa"/>
            <w:vAlign w:val="center"/>
          </w:tcPr>
          <w:p w14:paraId="7B790519"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肥皂和其他清洁剂，除特殊清洁产品</w:t>
            </w:r>
          </w:p>
        </w:tc>
      </w:tr>
      <w:tr w:rsidR="004D1721" w14:paraId="3A4941AA" w14:textId="77777777">
        <w:trPr>
          <w:trHeight w:val="505"/>
        </w:trPr>
        <w:tc>
          <w:tcPr>
            <w:tcW w:w="1560" w:type="dxa"/>
            <w:vAlign w:val="center"/>
          </w:tcPr>
          <w:p w14:paraId="709F24E3"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2842</w:t>
            </w:r>
          </w:p>
        </w:tc>
        <w:tc>
          <w:tcPr>
            <w:tcW w:w="4961" w:type="dxa"/>
            <w:vAlign w:val="center"/>
          </w:tcPr>
          <w:p w14:paraId="24570AE2"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特殊清洁产品、抛光和卫生设施清洁</w:t>
            </w:r>
          </w:p>
        </w:tc>
      </w:tr>
      <w:tr w:rsidR="004D1721" w14:paraId="08EDC39D" w14:textId="77777777">
        <w:trPr>
          <w:trHeight w:val="505"/>
        </w:trPr>
        <w:tc>
          <w:tcPr>
            <w:tcW w:w="1560" w:type="dxa"/>
            <w:vAlign w:val="center"/>
          </w:tcPr>
          <w:p w14:paraId="2768EE20"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2843</w:t>
            </w:r>
          </w:p>
        </w:tc>
        <w:tc>
          <w:tcPr>
            <w:tcW w:w="4961" w:type="dxa"/>
            <w:vAlign w:val="center"/>
          </w:tcPr>
          <w:p w14:paraId="7F841385"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生产表面活性剂、溶剂等</w:t>
            </w:r>
          </w:p>
        </w:tc>
      </w:tr>
      <w:tr w:rsidR="004D1721" w14:paraId="76026EBC" w14:textId="77777777">
        <w:trPr>
          <w:trHeight w:val="505"/>
        </w:trPr>
        <w:tc>
          <w:tcPr>
            <w:tcW w:w="1560" w:type="dxa"/>
            <w:vAlign w:val="center"/>
          </w:tcPr>
          <w:p w14:paraId="24761FE6"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2844</w:t>
            </w:r>
          </w:p>
        </w:tc>
        <w:tc>
          <w:tcPr>
            <w:tcW w:w="4961" w:type="dxa"/>
            <w:vAlign w:val="center"/>
          </w:tcPr>
          <w:p w14:paraId="62B2876E"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香水、化妆品和其他洁厕用品</w:t>
            </w:r>
          </w:p>
        </w:tc>
      </w:tr>
    </w:tbl>
    <w:p w14:paraId="565F121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通过以上图表中所选定的SIC编码，我们在TP Catalyst数据库中进行了初步搜索，通过这种SIC编码的筛选，我们得到了一部分潜在的可比公司。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845D67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通过对松莉科技地理位置及商业描述的分析，我们将搜索范围确定在亚太地区，包括：</w:t>
      </w:r>
    </w:p>
    <w:tbl>
      <w:tblPr>
        <w:tblStyle w:val="TableNormal3"/>
        <w:tblW w:w="8081" w:type="dxa"/>
        <w:tblInd w:w="284" w:type="dxa"/>
        <w:tblLayout w:type="fixed"/>
        <w:tblLook w:val="04A0" w:firstRow="1" w:lastRow="0" w:firstColumn="1" w:lastColumn="0" w:noHBand="0" w:noVBand="1"/>
      </w:tblPr>
      <w:tblGrid>
        <w:gridCol w:w="1134"/>
        <w:gridCol w:w="1701"/>
        <w:gridCol w:w="1900"/>
        <w:gridCol w:w="1673"/>
        <w:gridCol w:w="1673"/>
      </w:tblGrid>
      <w:tr w:rsidR="004D1721" w14:paraId="54FA93BF" w14:textId="77777777">
        <w:trPr>
          <w:trHeight w:hRule="exact" w:val="505"/>
        </w:trPr>
        <w:tc>
          <w:tcPr>
            <w:tcW w:w="1134" w:type="dxa"/>
          </w:tcPr>
          <w:p w14:paraId="4A428D51"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阿富汗</w:t>
            </w:r>
          </w:p>
        </w:tc>
        <w:tc>
          <w:tcPr>
            <w:tcW w:w="1701" w:type="dxa"/>
          </w:tcPr>
          <w:p w14:paraId="76344BB1"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亚美尼亚</w:t>
            </w:r>
          </w:p>
        </w:tc>
        <w:tc>
          <w:tcPr>
            <w:tcW w:w="1900" w:type="dxa"/>
          </w:tcPr>
          <w:p w14:paraId="4F48BB63"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阿塞拜疆</w:t>
            </w:r>
          </w:p>
        </w:tc>
        <w:tc>
          <w:tcPr>
            <w:tcW w:w="1673" w:type="dxa"/>
          </w:tcPr>
          <w:p w14:paraId="3449A8FF"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孟加拉国</w:t>
            </w:r>
          </w:p>
        </w:tc>
        <w:tc>
          <w:tcPr>
            <w:tcW w:w="1673" w:type="dxa"/>
          </w:tcPr>
          <w:p w14:paraId="08E504EC"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不丹</w:t>
            </w:r>
          </w:p>
        </w:tc>
      </w:tr>
      <w:tr w:rsidR="004D1721" w14:paraId="074D887D" w14:textId="77777777">
        <w:trPr>
          <w:trHeight w:hRule="exact" w:val="505"/>
        </w:trPr>
        <w:tc>
          <w:tcPr>
            <w:tcW w:w="1134" w:type="dxa"/>
          </w:tcPr>
          <w:p w14:paraId="2C02E134"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文莱</w:t>
            </w:r>
          </w:p>
        </w:tc>
        <w:tc>
          <w:tcPr>
            <w:tcW w:w="1701" w:type="dxa"/>
          </w:tcPr>
          <w:p w14:paraId="05864111"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柬埔寨</w:t>
            </w:r>
          </w:p>
        </w:tc>
        <w:tc>
          <w:tcPr>
            <w:tcW w:w="1900" w:type="dxa"/>
          </w:tcPr>
          <w:p w14:paraId="0A7ACCFF"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中国</w:t>
            </w:r>
          </w:p>
        </w:tc>
        <w:tc>
          <w:tcPr>
            <w:tcW w:w="1673" w:type="dxa"/>
          </w:tcPr>
          <w:p w14:paraId="2416FF5F"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格鲁吉亚</w:t>
            </w:r>
          </w:p>
        </w:tc>
        <w:tc>
          <w:tcPr>
            <w:tcW w:w="1673" w:type="dxa"/>
          </w:tcPr>
          <w:p w14:paraId="214FA3D9"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香港</w:t>
            </w:r>
          </w:p>
        </w:tc>
      </w:tr>
      <w:tr w:rsidR="004D1721" w14:paraId="201A4B03" w14:textId="77777777">
        <w:trPr>
          <w:trHeight w:hRule="exact" w:val="505"/>
        </w:trPr>
        <w:tc>
          <w:tcPr>
            <w:tcW w:w="1134" w:type="dxa"/>
          </w:tcPr>
          <w:p w14:paraId="4479CFEB" w14:textId="77777777" w:rsidR="004D1721" w:rsidRDefault="009B16BC">
            <w:pPr>
              <w:pStyle w:val="TableParagraph"/>
              <w:spacing w:before="37"/>
              <w:ind w:left="50"/>
              <w:rPr>
                <w:rFonts w:ascii="Arial Narrow" w:eastAsia="仿宋_GB2312" w:hAnsi="Arial Narrow" w:cs="Arial"/>
              </w:rPr>
            </w:pPr>
            <w:r>
              <w:rPr>
                <w:rFonts w:ascii="Arial Narrow" w:eastAsia="仿宋_GB2312" w:hAnsi="Arial Narrow" w:cs="Arial"/>
              </w:rPr>
              <w:t>印度</w:t>
            </w:r>
          </w:p>
        </w:tc>
        <w:tc>
          <w:tcPr>
            <w:tcW w:w="1701" w:type="dxa"/>
          </w:tcPr>
          <w:p w14:paraId="102A402B" w14:textId="77777777" w:rsidR="004D1721" w:rsidRDefault="009B16BC">
            <w:pPr>
              <w:pStyle w:val="TableParagraph"/>
              <w:spacing w:before="37"/>
              <w:ind w:left="328"/>
              <w:rPr>
                <w:rFonts w:ascii="Arial Narrow" w:eastAsia="仿宋_GB2312" w:hAnsi="Arial Narrow" w:cs="Arial"/>
              </w:rPr>
            </w:pPr>
            <w:r>
              <w:rPr>
                <w:rFonts w:ascii="Arial Narrow" w:eastAsia="仿宋_GB2312" w:hAnsi="Arial Narrow" w:cs="Arial"/>
              </w:rPr>
              <w:t>印度尼西亚</w:t>
            </w:r>
          </w:p>
        </w:tc>
        <w:tc>
          <w:tcPr>
            <w:tcW w:w="1900" w:type="dxa"/>
          </w:tcPr>
          <w:p w14:paraId="3FEC6446" w14:textId="77777777" w:rsidR="004D1721" w:rsidRDefault="009B16BC">
            <w:pPr>
              <w:pStyle w:val="TableParagraph"/>
              <w:spacing w:before="37"/>
              <w:ind w:left="374"/>
              <w:rPr>
                <w:rFonts w:ascii="Arial Narrow" w:eastAsia="仿宋_GB2312" w:hAnsi="Arial Narrow" w:cs="Arial"/>
              </w:rPr>
            </w:pPr>
            <w:r>
              <w:rPr>
                <w:rFonts w:ascii="Arial Narrow" w:eastAsia="仿宋_GB2312" w:hAnsi="Arial Narrow" w:cs="Arial"/>
              </w:rPr>
              <w:t>日本</w:t>
            </w:r>
          </w:p>
        </w:tc>
        <w:tc>
          <w:tcPr>
            <w:tcW w:w="1673" w:type="dxa"/>
          </w:tcPr>
          <w:p w14:paraId="6ACFA32D" w14:textId="77777777" w:rsidR="004D1721" w:rsidRDefault="009B16BC">
            <w:pPr>
              <w:pStyle w:val="TableParagraph"/>
              <w:spacing w:before="37"/>
              <w:ind w:left="388"/>
              <w:rPr>
                <w:rFonts w:ascii="Arial Narrow" w:eastAsia="仿宋_GB2312" w:hAnsi="Arial Narrow" w:cs="Arial"/>
              </w:rPr>
            </w:pPr>
            <w:r>
              <w:rPr>
                <w:rFonts w:ascii="Arial Narrow" w:eastAsia="仿宋_GB2312" w:hAnsi="Arial Narrow" w:cs="Arial"/>
              </w:rPr>
              <w:t>哈萨克斯坦</w:t>
            </w:r>
          </w:p>
        </w:tc>
        <w:tc>
          <w:tcPr>
            <w:tcW w:w="1673" w:type="dxa"/>
          </w:tcPr>
          <w:p w14:paraId="3AB3D5B5" w14:textId="77777777" w:rsidR="004D1721" w:rsidRDefault="009B16BC">
            <w:pPr>
              <w:pStyle w:val="TableParagraph"/>
              <w:spacing w:before="37"/>
              <w:ind w:left="307"/>
              <w:rPr>
                <w:rFonts w:ascii="Arial Narrow" w:eastAsia="仿宋_GB2312" w:hAnsi="Arial Narrow" w:cs="Arial"/>
              </w:rPr>
            </w:pPr>
            <w:r>
              <w:rPr>
                <w:rFonts w:ascii="Arial Narrow" w:eastAsia="仿宋_GB2312" w:hAnsi="Arial Narrow" w:cs="Arial"/>
              </w:rPr>
              <w:t>朝鲜</w:t>
            </w:r>
          </w:p>
        </w:tc>
      </w:tr>
      <w:tr w:rsidR="004D1721" w14:paraId="681D411C" w14:textId="77777777">
        <w:trPr>
          <w:trHeight w:hRule="exact" w:val="505"/>
        </w:trPr>
        <w:tc>
          <w:tcPr>
            <w:tcW w:w="1134" w:type="dxa"/>
          </w:tcPr>
          <w:p w14:paraId="2BBC65CB"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韩国</w:t>
            </w:r>
          </w:p>
        </w:tc>
        <w:tc>
          <w:tcPr>
            <w:tcW w:w="1701" w:type="dxa"/>
          </w:tcPr>
          <w:p w14:paraId="7599DCF5"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吉尔吉斯斯坦</w:t>
            </w:r>
          </w:p>
        </w:tc>
        <w:tc>
          <w:tcPr>
            <w:tcW w:w="1900" w:type="dxa"/>
          </w:tcPr>
          <w:p w14:paraId="2ABE9665"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老挝</w:t>
            </w:r>
          </w:p>
        </w:tc>
        <w:tc>
          <w:tcPr>
            <w:tcW w:w="1673" w:type="dxa"/>
          </w:tcPr>
          <w:p w14:paraId="6C9C700A"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澳门</w:t>
            </w:r>
          </w:p>
        </w:tc>
        <w:tc>
          <w:tcPr>
            <w:tcW w:w="1673" w:type="dxa"/>
          </w:tcPr>
          <w:p w14:paraId="4883172F"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马来西亚</w:t>
            </w:r>
          </w:p>
        </w:tc>
      </w:tr>
      <w:tr w:rsidR="004D1721" w14:paraId="787A6891" w14:textId="77777777">
        <w:trPr>
          <w:trHeight w:hRule="exact" w:val="505"/>
        </w:trPr>
        <w:tc>
          <w:tcPr>
            <w:tcW w:w="1134" w:type="dxa"/>
          </w:tcPr>
          <w:p w14:paraId="4557C39C" w14:textId="77777777" w:rsidR="004D1721" w:rsidRDefault="009B16BC">
            <w:pPr>
              <w:pStyle w:val="TableParagraph"/>
              <w:spacing w:before="37"/>
              <w:ind w:left="50"/>
              <w:rPr>
                <w:rFonts w:ascii="Arial Narrow" w:eastAsia="仿宋_GB2312" w:hAnsi="Arial Narrow" w:cs="Arial"/>
              </w:rPr>
            </w:pPr>
            <w:r>
              <w:rPr>
                <w:rFonts w:ascii="Arial Narrow" w:eastAsia="仿宋_GB2312" w:hAnsi="Arial Narrow" w:cs="Arial"/>
              </w:rPr>
              <w:t>马尔代夫</w:t>
            </w:r>
          </w:p>
        </w:tc>
        <w:tc>
          <w:tcPr>
            <w:tcW w:w="1701" w:type="dxa"/>
          </w:tcPr>
          <w:p w14:paraId="52F81BDA" w14:textId="77777777" w:rsidR="004D1721" w:rsidRDefault="009B16BC">
            <w:pPr>
              <w:pStyle w:val="TableParagraph"/>
              <w:spacing w:before="37"/>
              <w:ind w:left="328"/>
              <w:rPr>
                <w:rFonts w:ascii="Arial Narrow" w:eastAsia="仿宋_GB2312" w:hAnsi="Arial Narrow" w:cs="Arial"/>
              </w:rPr>
            </w:pPr>
            <w:r>
              <w:rPr>
                <w:rFonts w:ascii="Arial Narrow" w:eastAsia="仿宋_GB2312" w:hAnsi="Arial Narrow" w:cs="Arial"/>
              </w:rPr>
              <w:t>蒙古</w:t>
            </w:r>
          </w:p>
        </w:tc>
        <w:tc>
          <w:tcPr>
            <w:tcW w:w="1900" w:type="dxa"/>
          </w:tcPr>
          <w:p w14:paraId="13514E6B" w14:textId="77777777" w:rsidR="004D1721" w:rsidRDefault="009B16BC">
            <w:pPr>
              <w:pStyle w:val="TableParagraph"/>
              <w:spacing w:before="37"/>
              <w:ind w:left="374"/>
              <w:rPr>
                <w:rFonts w:ascii="Arial Narrow" w:eastAsia="仿宋_GB2312" w:hAnsi="Arial Narrow" w:cs="Arial"/>
              </w:rPr>
            </w:pPr>
            <w:r>
              <w:rPr>
                <w:rFonts w:ascii="Arial Narrow" w:eastAsia="仿宋_GB2312" w:hAnsi="Arial Narrow" w:cs="Arial"/>
              </w:rPr>
              <w:t>缅甸</w:t>
            </w:r>
          </w:p>
        </w:tc>
        <w:tc>
          <w:tcPr>
            <w:tcW w:w="1673" w:type="dxa"/>
          </w:tcPr>
          <w:p w14:paraId="313A18A4" w14:textId="77777777" w:rsidR="004D1721" w:rsidRDefault="009B16BC">
            <w:pPr>
              <w:pStyle w:val="TableParagraph"/>
              <w:spacing w:before="37"/>
              <w:ind w:left="388"/>
              <w:rPr>
                <w:rFonts w:ascii="Arial Narrow" w:eastAsia="仿宋_GB2312" w:hAnsi="Arial Narrow" w:cs="Arial"/>
              </w:rPr>
            </w:pPr>
            <w:r>
              <w:rPr>
                <w:rFonts w:ascii="Arial Narrow" w:eastAsia="仿宋_GB2312" w:hAnsi="Arial Narrow" w:cs="Arial"/>
              </w:rPr>
              <w:t>尼泊尔</w:t>
            </w:r>
          </w:p>
        </w:tc>
        <w:tc>
          <w:tcPr>
            <w:tcW w:w="1673" w:type="dxa"/>
          </w:tcPr>
          <w:p w14:paraId="1CD02725" w14:textId="77777777" w:rsidR="004D1721" w:rsidRDefault="009B16BC">
            <w:pPr>
              <w:pStyle w:val="TableParagraph"/>
              <w:spacing w:before="37"/>
              <w:ind w:left="307"/>
              <w:rPr>
                <w:rFonts w:ascii="Arial Narrow" w:eastAsia="仿宋_GB2312" w:hAnsi="Arial Narrow" w:cs="Arial"/>
              </w:rPr>
            </w:pPr>
            <w:r>
              <w:rPr>
                <w:rFonts w:ascii="Arial Narrow" w:eastAsia="仿宋_GB2312" w:hAnsi="Arial Narrow" w:cs="Arial"/>
              </w:rPr>
              <w:t>巴基斯坦</w:t>
            </w:r>
          </w:p>
        </w:tc>
      </w:tr>
      <w:tr w:rsidR="004D1721" w14:paraId="0977CD6B" w14:textId="77777777">
        <w:trPr>
          <w:trHeight w:hRule="exact" w:val="505"/>
        </w:trPr>
        <w:tc>
          <w:tcPr>
            <w:tcW w:w="1134" w:type="dxa"/>
          </w:tcPr>
          <w:p w14:paraId="0B0A7060"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菲律宾</w:t>
            </w:r>
          </w:p>
        </w:tc>
        <w:tc>
          <w:tcPr>
            <w:tcW w:w="1701" w:type="dxa"/>
          </w:tcPr>
          <w:p w14:paraId="2A85C35B"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新加坡</w:t>
            </w:r>
          </w:p>
        </w:tc>
        <w:tc>
          <w:tcPr>
            <w:tcW w:w="1900" w:type="dxa"/>
          </w:tcPr>
          <w:p w14:paraId="68A4418A"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斯里兰卡</w:t>
            </w:r>
          </w:p>
        </w:tc>
        <w:tc>
          <w:tcPr>
            <w:tcW w:w="1673" w:type="dxa"/>
          </w:tcPr>
          <w:p w14:paraId="00732FEA"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台湾</w:t>
            </w:r>
          </w:p>
        </w:tc>
        <w:tc>
          <w:tcPr>
            <w:tcW w:w="1673" w:type="dxa"/>
          </w:tcPr>
          <w:p w14:paraId="5E01E33F"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塔吉克斯坦</w:t>
            </w:r>
          </w:p>
        </w:tc>
      </w:tr>
      <w:tr w:rsidR="004D1721" w14:paraId="09512832" w14:textId="77777777">
        <w:trPr>
          <w:trHeight w:hRule="exact" w:val="505"/>
        </w:trPr>
        <w:tc>
          <w:tcPr>
            <w:tcW w:w="1134" w:type="dxa"/>
          </w:tcPr>
          <w:p w14:paraId="54104588" w14:textId="77777777" w:rsidR="004D1721" w:rsidRDefault="009B16BC">
            <w:pPr>
              <w:pStyle w:val="TableParagraph"/>
              <w:spacing w:before="35"/>
              <w:ind w:left="50"/>
              <w:rPr>
                <w:rFonts w:ascii="Arial Narrow" w:eastAsia="仿宋_GB2312" w:hAnsi="Arial Narrow" w:cs="Arial"/>
                <w:lang w:eastAsia="zh-CN"/>
              </w:rPr>
            </w:pPr>
            <w:r>
              <w:rPr>
                <w:rFonts w:ascii="Arial Narrow" w:eastAsia="仿宋_GB2312" w:hAnsi="Arial Narrow" w:cs="Arial"/>
              </w:rPr>
              <w:t>泰国</w:t>
            </w:r>
          </w:p>
        </w:tc>
        <w:tc>
          <w:tcPr>
            <w:tcW w:w="1701" w:type="dxa"/>
          </w:tcPr>
          <w:p w14:paraId="0F484D13" w14:textId="77777777" w:rsidR="004D1721" w:rsidRDefault="009B16BC">
            <w:pPr>
              <w:pStyle w:val="TableParagraph"/>
              <w:spacing w:before="35"/>
              <w:ind w:left="328"/>
              <w:rPr>
                <w:rFonts w:ascii="Arial Narrow" w:eastAsia="仿宋_GB2312" w:hAnsi="Arial Narrow" w:cs="Arial"/>
                <w:lang w:eastAsia="zh-CN"/>
              </w:rPr>
            </w:pPr>
            <w:r>
              <w:rPr>
                <w:rFonts w:ascii="Arial Narrow" w:eastAsia="仿宋_GB2312" w:hAnsi="Arial Narrow" w:cs="Arial"/>
              </w:rPr>
              <w:t>土库曼斯坦</w:t>
            </w:r>
          </w:p>
        </w:tc>
        <w:tc>
          <w:tcPr>
            <w:tcW w:w="1900" w:type="dxa"/>
          </w:tcPr>
          <w:p w14:paraId="63C17D22" w14:textId="77777777" w:rsidR="004D1721" w:rsidRDefault="009B16BC">
            <w:pPr>
              <w:pStyle w:val="TableParagraph"/>
              <w:spacing w:before="35"/>
              <w:ind w:left="374"/>
              <w:rPr>
                <w:rFonts w:ascii="Arial Narrow" w:eastAsia="仿宋_GB2312" w:hAnsi="Arial Narrow" w:cs="Arial"/>
                <w:lang w:eastAsia="zh-CN"/>
              </w:rPr>
            </w:pPr>
            <w:r>
              <w:rPr>
                <w:rFonts w:ascii="Arial Narrow" w:eastAsia="仿宋_GB2312" w:hAnsi="Arial Narrow" w:cs="Arial"/>
              </w:rPr>
              <w:t>乌兹别克斯坦</w:t>
            </w:r>
          </w:p>
        </w:tc>
        <w:tc>
          <w:tcPr>
            <w:tcW w:w="1673" w:type="dxa"/>
          </w:tcPr>
          <w:p w14:paraId="10EA7A24" w14:textId="77777777" w:rsidR="004D1721" w:rsidRDefault="009B16BC">
            <w:pPr>
              <w:pStyle w:val="TableParagraph"/>
              <w:spacing w:before="35"/>
              <w:ind w:left="388"/>
              <w:rPr>
                <w:rFonts w:ascii="Arial Narrow" w:eastAsia="仿宋_GB2312" w:hAnsi="Arial Narrow" w:cs="Arial"/>
                <w:lang w:eastAsia="zh-CN"/>
              </w:rPr>
            </w:pPr>
            <w:r>
              <w:rPr>
                <w:rFonts w:ascii="Arial Narrow" w:eastAsia="仿宋_GB2312" w:hAnsi="Arial Narrow" w:cs="Arial"/>
              </w:rPr>
              <w:t>越南</w:t>
            </w:r>
          </w:p>
        </w:tc>
        <w:tc>
          <w:tcPr>
            <w:tcW w:w="1673" w:type="dxa"/>
          </w:tcPr>
          <w:p w14:paraId="0E5C6310" w14:textId="77777777" w:rsidR="004D1721" w:rsidRDefault="009B16BC">
            <w:pPr>
              <w:pStyle w:val="TableParagraph"/>
              <w:spacing w:before="35"/>
              <w:ind w:left="307"/>
              <w:rPr>
                <w:rFonts w:ascii="Arial Narrow" w:eastAsia="仿宋_GB2312" w:hAnsi="Arial Narrow" w:cs="Arial"/>
                <w:lang w:eastAsia="zh-CN"/>
              </w:rPr>
            </w:pPr>
            <w:r>
              <w:rPr>
                <w:rFonts w:ascii="Arial Narrow" w:eastAsia="仿宋_GB2312" w:hAnsi="Arial Narrow" w:cs="Arial"/>
              </w:rPr>
              <w:t>澳大利亚</w:t>
            </w:r>
          </w:p>
        </w:tc>
      </w:tr>
      <w:tr w:rsidR="004D1721" w14:paraId="42B9A90B" w14:textId="77777777">
        <w:trPr>
          <w:trHeight w:hRule="exact" w:val="505"/>
        </w:trPr>
        <w:tc>
          <w:tcPr>
            <w:tcW w:w="1134" w:type="dxa"/>
          </w:tcPr>
          <w:p w14:paraId="097FAF4E"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新西兰</w:t>
            </w:r>
          </w:p>
        </w:tc>
        <w:tc>
          <w:tcPr>
            <w:tcW w:w="1701" w:type="dxa"/>
          </w:tcPr>
          <w:p w14:paraId="0274EC1A" w14:textId="77777777" w:rsidR="004D1721" w:rsidRDefault="004D1721">
            <w:pPr>
              <w:pStyle w:val="TableParagraph"/>
              <w:spacing w:before="35"/>
              <w:ind w:left="328"/>
              <w:rPr>
                <w:rFonts w:ascii="Arial Narrow" w:eastAsia="仿宋_GB2312" w:hAnsi="Arial Narrow" w:cs="Arial"/>
                <w:lang w:eastAsia="zh-CN"/>
              </w:rPr>
            </w:pPr>
          </w:p>
        </w:tc>
        <w:tc>
          <w:tcPr>
            <w:tcW w:w="1900" w:type="dxa"/>
          </w:tcPr>
          <w:p w14:paraId="5A924DBA" w14:textId="77777777" w:rsidR="004D1721" w:rsidRDefault="004D1721">
            <w:pPr>
              <w:pStyle w:val="TableParagraph"/>
              <w:spacing w:before="35"/>
              <w:ind w:left="374"/>
              <w:rPr>
                <w:rFonts w:ascii="Arial Narrow" w:eastAsia="仿宋_GB2312" w:hAnsi="Arial Narrow" w:cs="Arial"/>
                <w:lang w:eastAsia="zh-CN"/>
              </w:rPr>
            </w:pPr>
          </w:p>
        </w:tc>
        <w:tc>
          <w:tcPr>
            <w:tcW w:w="1673" w:type="dxa"/>
          </w:tcPr>
          <w:p w14:paraId="39BCBFD3" w14:textId="77777777" w:rsidR="004D1721" w:rsidRDefault="004D1721">
            <w:pPr>
              <w:pStyle w:val="TableParagraph"/>
              <w:spacing w:before="35"/>
              <w:ind w:left="388"/>
              <w:rPr>
                <w:rFonts w:ascii="Arial Narrow" w:eastAsia="仿宋_GB2312" w:hAnsi="Arial Narrow" w:cs="Arial"/>
                <w:lang w:eastAsia="zh-CN"/>
              </w:rPr>
            </w:pPr>
          </w:p>
        </w:tc>
        <w:tc>
          <w:tcPr>
            <w:tcW w:w="1673" w:type="dxa"/>
          </w:tcPr>
          <w:p w14:paraId="1917D7AC" w14:textId="77777777" w:rsidR="004D1721" w:rsidRDefault="004D1721">
            <w:pPr>
              <w:pStyle w:val="TableParagraph"/>
              <w:spacing w:before="35"/>
              <w:ind w:left="307"/>
              <w:rPr>
                <w:rFonts w:ascii="Arial Narrow" w:eastAsia="仿宋_GB2312" w:hAnsi="Arial Narrow" w:cs="Arial"/>
                <w:lang w:eastAsia="zh-CN"/>
              </w:rPr>
            </w:pPr>
          </w:p>
        </w:tc>
      </w:tr>
    </w:tbl>
    <w:p w14:paraId="6796D061" w14:textId="431BAA0B"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通过这种地理位置筛选，我们得到了137家可比公司。</w:t>
      </w:r>
      <w:r>
        <w:rPr>
          <w:rFonts w:ascii="Arial Narrow" w:eastAsia="仿宋_GB2312" w:hAnsi="Arial Narrow" w:cs="Arial" w:hint="eastAsia"/>
          <w:sz w:val="22"/>
          <w:szCs w:val="22"/>
        </w:rPr>
        <w:t/>
      </w:r>
      <w:r>
        <w:rPr>
          <w:rFonts w:ascii="Arial Narrow" w:eastAsia="仿宋_GB2312" w:hAnsi="Arial Narrow" w:cs="Arial"/>
          <w:sz w:val="22"/>
          <w:szCs w:val="22"/>
        </w:rPr>
        <w:t/>
      </w:r>
    </w:p>
    <w:p w14:paraId="62D34ABF" w14:textId="77777777" w:rsidR="004D1721" w:rsidRDefault="009B16BC">
      <w:pPr>
        <w:pStyle w:val="Heading4"/>
        <w:rPr>
          <w:b/>
        </w:rPr>
      </w:pPr>
      <w:r>
        <w:t>独立性和上市公司筛选</w:t>
      </w:r>
    </w:p>
    <w:p w14:paraId="5EE75C6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受控企业或者非独立企业的交易价格或利润水平可能会受到其与关联公司之间进行的可能违反独立交易原则的交易的影响而发生扭曲。因此，我们采用了Bureau van Dijk Electronic的独立性指标，来排除那些可能被认定为非独立性的公司。</w:t>
      </w:r>
      <w:r>
        <w:rPr>
          <w:rFonts w:ascii="Arial Narrow" w:eastAsia="仿宋_GB2312" w:hAnsi="Arial Narrow" w:cs="Arial"/>
          <w:sz w:val="22"/>
          <w:szCs w:val="22"/>
        </w:rPr>
        <w:t/>
      </w:r>
      <w:r>
        <w:rPr>
          <w:rFonts w:ascii="Arial Narrow" w:eastAsia="仿宋_GB2312" w:hAnsi="Arial Narrow" w:cs="Arial"/>
          <w:sz w:val="22"/>
          <w:szCs w:val="22"/>
        </w:rPr>
        <w:t/>
      </w:r>
    </w:p>
    <w:p w14:paraId="6CD18FAC" w14:textId="0AB91294"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我们保留了46家被标注为如下股权关系的上市公司：</w:t>
      </w:r>
      <w:r>
        <w:rPr>
          <w:rFonts w:ascii="Arial Narrow" w:eastAsia="仿宋_GB2312" w:hAnsi="Arial Narrow" w:cs="Arial"/>
          <w:sz w:val="22"/>
          <w:szCs w:val="22"/>
        </w:rPr>
        <w:t/>
      </w:r>
      <w:r>
        <w:rPr>
          <w:rFonts w:ascii="Arial Narrow" w:eastAsia="仿宋_GB2312" w:hAnsi="Arial Narrow" w:cs="Arial"/>
          <w:sz w:val="22"/>
          <w:szCs w:val="22"/>
        </w:rPr>
        <w:t/>
      </w:r>
    </w:p>
    <w:p w14:paraId="3E819DAA" w14:textId="77777777" w:rsidR="004D1721" w:rsidRDefault="009B16BC">
      <w:pPr>
        <w:pStyle w:val="10"/>
        <w:numPr>
          <w:ilvl w:val="0"/>
          <w:numId w:val="30"/>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A+，A，A-：表明没有任何单个股东控制该公司的股份超过25%；</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p>
    <w:p w14:paraId="0D8A570E" w14:textId="77777777" w:rsidR="004D1721" w:rsidRDefault="009B16BC">
      <w:pPr>
        <w:pStyle w:val="10"/>
        <w:numPr>
          <w:ilvl w:val="0"/>
          <w:numId w:val="30"/>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lastRenderedPageBreak/>
        <w:t>U：表明持股不详。</w:t>
      </w:r>
      <w:r>
        <w:rPr>
          <w:rFonts w:ascii="Arial Narrow" w:eastAsia="仿宋_GB2312" w:hAnsi="Arial Narrow" w:cs="Arial"/>
        </w:rPr>
        <w:t/>
      </w:r>
    </w:p>
    <w:p w14:paraId="0F3A74D4" w14:textId="77777777" w:rsidR="004D1721" w:rsidRDefault="009B16BC">
      <w:pPr>
        <w:pStyle w:val="Heading4"/>
      </w:pPr>
      <w:r>
        <w:t>定量筛选</w:t>
      </w:r>
    </w:p>
    <w:p w14:paraId="50A09A18" w14:textId="74F7108F"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我们将46家样本公司中在2020到2022财年内满足以下一项或多项特征的样本公司予以排除，从而提高潜在可比公司样本的可比性：</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C446396" w14:textId="02C743F3" w:rsidR="004D1721" w:rsidRDefault="009B16BC">
      <w:pPr>
        <w:spacing w:beforeLines="50" w:before="156" w:afterLines="50" w:after="156" w:line="360" w:lineRule="auto"/>
        <w:ind w:firstLineChars="200" w:firstLine="442"/>
        <w:jc w:val="both"/>
        <w:rPr>
          <w:rFonts w:ascii="Arial Narrow" w:eastAsia="仿宋_GB2312" w:hAnsi="Arial Narrow" w:cs="Arial"/>
          <w:sz w:val="22"/>
          <w:szCs w:val="22"/>
        </w:rPr>
      </w:pPr>
      <w:r>
        <w:rPr>
          <w:rFonts w:ascii="Arial Narrow" w:eastAsia="仿宋_GB2312" w:hAnsi="Arial Narrow" w:cs="Arial"/>
          <w:b/>
          <w:sz w:val="22"/>
          <w:szCs w:val="22"/>
        </w:rPr>
        <w:t>数据完整性：正如我们将在以下章节7.5.4.2中所讨论的，使用多年度数据可以降低短期市场波动对转让定价分析的影响。因此，我们排除了那些在2020年至2022财年期间，缺少任意年度有效财务数据的公司。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26AD354E" w14:textId="3AA1149F" w:rsidR="004D1721" w:rsidRDefault="009B16BC">
      <w:pPr>
        <w:spacing w:beforeLines="50" w:before="156" w:afterLines="50" w:after="156" w:line="360" w:lineRule="auto"/>
        <w:ind w:firstLineChars="200" w:firstLine="442"/>
        <w:jc w:val="both"/>
        <w:rPr>
          <w:rFonts w:ascii="Arial Narrow" w:eastAsia="仿宋_GB2312" w:hAnsi="Arial Narrow" w:cs="Arial"/>
          <w:sz w:val="22"/>
          <w:szCs w:val="22"/>
        </w:rPr>
      </w:pPr>
      <w:r>
        <w:rPr>
          <w:rFonts w:ascii="Arial Narrow" w:eastAsia="仿宋_GB2312" w:hAnsi="Arial Narrow" w:cs="Arial"/>
          <w:b/>
          <w:sz w:val="22"/>
          <w:szCs w:val="22"/>
        </w:rPr>
        <w:t>连续亏损：有连续亏损的独立公司对于受控交易下稳定经营的公司而言，不具备足够的可比性。因此，我们将2020到2022财年期间三年连续经营亏损的公司从可比样本中排除。</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DE2B392" w14:textId="1D0EDD8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通过定量筛选，我们排除了总计11家公司，剩下35家样本公司。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D0FD7C1" w14:textId="77777777" w:rsidR="004D1721" w:rsidRDefault="009B16BC">
      <w:pPr>
        <w:pStyle w:val="Heading4"/>
      </w:pPr>
      <w:r>
        <w:t>定性筛选</w:t>
      </w:r>
    </w:p>
    <w:p w14:paraId="43D500A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我们接着审阅了剩下的每一家公司在TP Catalyst数据库中的业务描述，以此来排除执行的功能（例如，研发，生产，服务等）与松莉科技的在受测关联交易中执行的职能不具有宽泛可比性的公司。</w:t>
      </w:r>
      <w:r>
        <w:rPr>
          <w:rFonts w:ascii="Arial Narrow" w:eastAsia="仿宋_GB2312" w:hAnsi="Arial Narrow" w:cs="Arial"/>
          <w:sz w:val="22"/>
          <w:szCs w:val="22"/>
        </w:rPr>
        <w:t/>
      </w:r>
      <w:r>
        <w:rPr>
          <w:rFonts w:ascii="Arial Narrow" w:eastAsia="仿宋_GB2312" w:hAnsi="Arial Narrow" w:cs="Arial"/>
          <w:sz w:val="22"/>
          <w:szCs w:val="22"/>
        </w:rPr>
        <w:t/>
      </w:r>
    </w:p>
    <w:p w14:paraId="5D86AB9B" w14:textId="0878E163"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通过定性筛选，我们排除了总计26家公司，它们因满足以下一项或多项条件使得它们与松莉科技的受测关联交易不具备充足的可比性：</w:t>
      </w:r>
      <w:r>
        <w:rPr>
          <w:rFonts w:ascii="Arial Narrow" w:eastAsia="仿宋_GB2312" w:hAnsi="Arial Narrow" w:cs="Arial"/>
          <w:sz w:val="22"/>
          <w:szCs w:val="22"/>
        </w:rPr>
        <w:t/>
      </w:r>
      <w:r>
        <w:rPr>
          <w:rFonts w:ascii="Arial Narrow" w:eastAsia="仿宋_GB2312" w:hAnsi="Arial Narrow" w:cs="Arial"/>
          <w:sz w:val="22"/>
          <w:szCs w:val="22"/>
        </w:rPr>
        <w:t/>
      </w:r>
    </w:p>
    <w:p w14:paraId="12724835" w14:textId="77777777" w:rsidR="004D1721" w:rsidRDefault="009B16BC">
      <w:pPr>
        <w:pStyle w:val="10"/>
        <w:numPr>
          <w:ilvl w:val="0"/>
          <w:numId w:val="31"/>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企业执行的功能与松莉科技存在显著差异；</w:t>
      </w:r>
      <w:r>
        <w:rPr>
          <w:rFonts w:ascii="Arial Narrow" w:eastAsia="仿宋_GB2312" w:hAnsi="Arial Narrow" w:cs="Arial"/>
          <w:kern w:val="2"/>
        </w:rPr>
        <w:t/>
      </w:r>
      <w:r>
        <w:rPr>
          <w:rFonts w:ascii="Arial Narrow" w:eastAsia="仿宋_GB2312" w:hAnsi="Arial Narrow" w:cs="Arial"/>
        </w:rPr>
        <w:t/>
      </w:r>
    </w:p>
    <w:p w14:paraId="4548C623" w14:textId="77777777" w:rsidR="004D1721" w:rsidRDefault="009B16BC">
      <w:pPr>
        <w:pStyle w:val="10"/>
        <w:numPr>
          <w:ilvl w:val="0"/>
          <w:numId w:val="31"/>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企业生产的产品与松莉科技存在显著差异。</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kern w:val="2"/>
        </w:rPr>
        <w:t/>
      </w:r>
      <w:r>
        <w:rPr>
          <w:rFonts w:ascii="Arial Narrow" w:eastAsia="仿宋_GB2312" w:hAnsi="Arial Narrow" w:cs="Arial"/>
        </w:rPr>
        <w:t/>
      </w:r>
    </w:p>
    <w:p w14:paraId="13E5FEFD" w14:textId="206B3BA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我们最终选定9家营业地位于亚太地区的公司作为松莉科技的可比公司。</w:t>
      </w:r>
      <w:r>
        <w:rPr>
          <w:rFonts w:ascii="Arial Narrow" w:eastAsia="仿宋_GB2312" w:hAnsi="Arial Narrow" w:cs="Arial" w:hint="eastAsia"/>
          <w:sz w:val="22"/>
          <w:szCs w:val="22"/>
        </w:rPr>
        <w:t/>
      </w:r>
      <w:r>
        <w:rPr>
          <w:rFonts w:ascii="Arial Narrow" w:eastAsia="仿宋_GB2312" w:hAnsi="Arial Narrow" w:cs="Arial"/>
          <w:sz w:val="22"/>
          <w:szCs w:val="22"/>
        </w:rPr>
        <w:t/>
      </w:r>
    </w:p>
    <w:p w14:paraId="7973F451" w14:textId="77777777" w:rsidR="004D1721" w:rsidRDefault="009B16BC">
      <w:pPr>
        <w:pStyle w:val="Heading4"/>
      </w:pPr>
      <w:r>
        <w:t>外部可比公司搜寻过程</w:t>
      </w:r>
    </w:p>
    <w:p w14:paraId="7070C16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041" w:name="_Toc48583215"/>
      <w:bookmarkStart w:id="1042" w:name="_Toc48583101"/>
      <w:bookmarkStart w:id="1043" w:name="_Toc48399701"/>
      <w:bookmarkStart w:id="1044" w:name="_Toc48399737"/>
      <w:bookmarkStart w:id="1045" w:name="_Toc48582695"/>
      <w:bookmarkStart w:id="1046" w:name="_Toc48399712"/>
      <w:bookmarkStart w:id="1047" w:name="_Toc48582708"/>
      <w:bookmarkStart w:id="1048" w:name="_Toc48582808"/>
      <w:bookmarkStart w:id="1049" w:name="_Toc48583136"/>
      <w:bookmarkStart w:id="1050" w:name="_Toc48399723"/>
      <w:bookmarkStart w:id="1051" w:name="_Toc48399819"/>
      <w:bookmarkStart w:id="1052" w:name="_Toc48399736"/>
      <w:bookmarkStart w:id="1053" w:name="_Toc48583138"/>
      <w:bookmarkStart w:id="1054" w:name="_Toc48583100"/>
      <w:bookmarkStart w:id="1055" w:name="_Toc48582782"/>
      <w:bookmarkStart w:id="1056" w:name="_Toc48582895"/>
      <w:bookmarkStart w:id="1057" w:name="_Toc48582682"/>
      <w:bookmarkStart w:id="1058" w:name="_Toc48583195"/>
      <w:bookmarkStart w:id="1059" w:name="_Toc48582701"/>
      <w:bookmarkStart w:id="1060" w:name="_Toc48399815"/>
      <w:bookmarkStart w:id="1061" w:name="_Toc48583123"/>
      <w:bookmarkStart w:id="1062" w:name="_Toc48582723"/>
      <w:bookmarkStart w:id="1063" w:name="_Toc48583132"/>
      <w:bookmarkStart w:id="1064" w:name="_Toc48399821"/>
      <w:bookmarkStart w:id="1065" w:name="_Toc48399695"/>
      <w:bookmarkStart w:id="1066" w:name="_Toc48583137"/>
      <w:bookmarkStart w:id="1067" w:name="_Toc48582691"/>
      <w:bookmarkStart w:id="1068" w:name="_Toc48583222"/>
      <w:bookmarkStart w:id="1069" w:name="_Toc48399734"/>
      <w:bookmarkStart w:id="1070" w:name="_Toc48582688"/>
      <w:bookmarkStart w:id="1071" w:name="_Toc48399820"/>
      <w:bookmarkStart w:id="1072" w:name="_Toc48399823"/>
      <w:bookmarkStart w:id="1073" w:name="_Toc48399789"/>
      <w:bookmarkStart w:id="1074" w:name="_Toc48399822"/>
      <w:bookmarkStart w:id="1075" w:name="_Toc48583131"/>
      <w:bookmarkStart w:id="1076" w:name="_Toc48583121"/>
      <w:bookmarkStart w:id="1077" w:name="_Toc48583223"/>
      <w:bookmarkStart w:id="1078" w:name="_Toc48583220"/>
      <w:bookmarkStart w:id="1079" w:name="_Toc48399698"/>
      <w:bookmarkStart w:id="1080" w:name="_Toc48582726"/>
      <w:bookmarkStart w:id="1081" w:name="_Toc48583139"/>
      <w:bookmarkStart w:id="1082" w:name="_Toc48399703"/>
      <w:bookmarkStart w:id="1083" w:name="_Toc48582776"/>
      <w:bookmarkStart w:id="1084" w:name="_Toc48583113"/>
      <w:bookmarkStart w:id="1085" w:name="_Toc48399795"/>
      <w:bookmarkStart w:id="1086" w:name="_Toc48582699"/>
      <w:bookmarkStart w:id="1087" w:name="_Toc48399721"/>
      <w:bookmarkStart w:id="1088" w:name="_Toc48582687"/>
      <w:bookmarkStart w:id="1089" w:name="_Toc48583104"/>
      <w:bookmarkStart w:id="1090" w:name="_Toc48583103"/>
      <w:bookmarkStart w:id="1091" w:name="_Toc48399714"/>
      <w:bookmarkStart w:id="1092" w:name="_Toc48582710"/>
      <w:bookmarkStart w:id="1093" w:name="_Toc48399708"/>
      <w:bookmarkStart w:id="1094" w:name="_Toc48583108"/>
      <w:bookmarkStart w:id="1095" w:name="_Toc48399739"/>
      <w:bookmarkStart w:id="1096" w:name="_Toc48582685"/>
      <w:bookmarkStart w:id="1097" w:name="_Toc48583095"/>
      <w:bookmarkStart w:id="1098" w:name="_Toc48582809"/>
      <w:bookmarkStart w:id="1099" w:name="_Toc48582802"/>
      <w:bookmarkStart w:id="1100" w:name="_Toc48582718"/>
      <w:bookmarkStart w:id="1101" w:name="_Toc48399732"/>
      <w:bookmarkStart w:id="1102" w:name="_Toc48583098"/>
      <w:bookmarkStart w:id="1103" w:name="_Toc48582690"/>
      <w:bookmarkStart w:id="1104" w:name="_Toc48582725"/>
      <w:bookmarkStart w:id="1105" w:name="_Toc48582719"/>
      <w:bookmarkStart w:id="1106" w:name="_Toc48399908"/>
      <w:bookmarkStart w:id="1107" w:name="_Toc48399731"/>
      <w:bookmarkStart w:id="1108" w:name="_Toc48583114"/>
      <w:bookmarkStart w:id="1109" w:name="_Toc48583134"/>
      <w:bookmarkStart w:id="1110" w:name="_Toc48582721"/>
      <w:bookmarkStart w:id="1111" w:name="_Toc48583219"/>
      <w:bookmarkStart w:id="1112" w:name="_Toc48582806"/>
      <w:bookmarkStart w:id="1113" w:name="_Toc48582700"/>
      <w:bookmarkStart w:id="1114" w:name="_Toc48583189"/>
      <w:bookmarkStart w:id="1115" w:name="_Toc48582807"/>
      <w:bookmarkStart w:id="1116" w:name="_Toc48399738"/>
      <w:bookmarkStart w:id="1117" w:name="_Toc48399700"/>
      <w:bookmarkStart w:id="1118" w:name="_Toc48583112"/>
      <w:bookmarkStart w:id="1119" w:name="_Toc48582724"/>
      <w:bookmarkStart w:id="1120" w:name="_Toc48399713"/>
      <w:bookmarkStart w:id="1121" w:name="_Toc48583221"/>
      <w:bookmarkStart w:id="1122" w:name="_Toc48582810"/>
      <w:bookmarkStart w:id="1123" w:name="_Toc48399704"/>
      <w:bookmarkStart w:id="1124" w:name="_Toc48583308"/>
      <w:bookmarkStart w:id="1125" w:name="_Toc48317557"/>
      <w:bookmarkStart w:id="1126" w:name="_Toc261727555"/>
      <w:bookmarkStart w:id="1127" w:name="_Toc274480839"/>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r>
        <w:rPr>
          <w:rFonts w:ascii="Arial Narrow" w:eastAsia="仿宋_GB2312" w:hAnsi="Arial Narrow" w:cs="Arial"/>
          <w:sz w:val="22"/>
          <w:szCs w:val="22"/>
        </w:rPr>
        <w:t>搜索策略和结果如下：</w:t>
      </w:r>
    </w:p>
    <w:p w14:paraId="30B8A7E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br w:type="page"/>
      </w:r>
    </w:p>
    <w:p w14:paraId="62F1A006" w14:textId="4CDC4158"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lastRenderedPageBreak/>
        <w:t>图表 15：可比公司搜索表</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p>
    <w:tbl>
      <w:tblPr>
        <w:tblW w:w="8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9"/>
        <w:gridCol w:w="5662"/>
      </w:tblGrid>
      <w:tr w:rsidR="004D1721" w14:paraId="4857679D" w14:textId="77777777">
        <w:trPr>
          <w:trHeight w:val="567"/>
        </w:trPr>
        <w:tc>
          <w:tcPr>
            <w:tcW w:w="2439" w:type="dxa"/>
            <w:shd w:val="clear" w:color="auto" w:fill="002060"/>
            <w:vAlign w:val="center"/>
          </w:tcPr>
          <w:p w14:paraId="6A94E184"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数据库</w:t>
            </w:r>
          </w:p>
        </w:tc>
        <w:tc>
          <w:tcPr>
            <w:tcW w:w="5662" w:type="dxa"/>
            <w:shd w:val="clear" w:color="auto" w:fill="002060"/>
            <w:vAlign w:val="center"/>
          </w:tcPr>
          <w:p w14:paraId="6C9C6EE6" w14:textId="38C3B85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 xml:space="preserve">TP Catalyst 数据库（2024年版）</w:t>
            </w:r>
            <w:r>
              <w:rPr>
                <w:rFonts w:ascii="Arial Narrow" w:eastAsia="仿宋_GB2312" w:hAnsi="Arial Narrow" w:cs="Arial"/>
                <w:b/>
                <w:color w:val="FFFFFF" w:themeColor="background1"/>
                <w:sz w:val="22"/>
                <w:szCs w:val="22"/>
              </w:rPr>
              <w:t/>
            </w:r>
            <w:r>
              <w:rPr>
                <w:rFonts w:ascii="Arial Narrow" w:eastAsia="仿宋_GB2312" w:hAnsi="Arial Narrow" w:cs="Arial"/>
                <w:b/>
                <w:color w:val="FFFFFF" w:themeColor="background1"/>
                <w:sz w:val="22"/>
                <w:szCs w:val="22"/>
              </w:rPr>
              <w:t/>
            </w:r>
            <w:r>
              <w:rPr>
                <w:rFonts w:ascii="Arial Narrow" w:eastAsia="仿宋_GB2312" w:hAnsi="Arial Narrow" w:cs="Arial" w:hint="eastAsia"/>
                <w:b/>
                <w:color w:val="FFFFFF" w:themeColor="background1"/>
                <w:sz w:val="22"/>
                <w:szCs w:val="22"/>
              </w:rPr>
              <w:t/>
            </w:r>
            <w:r>
              <w:rPr>
                <w:rFonts w:ascii="Arial Narrow" w:eastAsia="仿宋_GB2312" w:hAnsi="Arial Narrow" w:cs="Arial"/>
                <w:b/>
                <w:color w:val="FFFFFF" w:themeColor="background1"/>
                <w:sz w:val="22"/>
                <w:szCs w:val="22"/>
              </w:rPr>
              <w:t/>
            </w:r>
          </w:p>
        </w:tc>
      </w:tr>
      <w:tr w:rsidR="004D1721" w14:paraId="7C5CA9A6" w14:textId="77777777">
        <w:trPr>
          <w:trHeight w:val="567"/>
        </w:trPr>
        <w:tc>
          <w:tcPr>
            <w:tcW w:w="2439" w:type="dxa"/>
            <w:vAlign w:val="center"/>
          </w:tcPr>
          <w:p w14:paraId="5C2EC7D4"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初步 SIC 编码检索</w:t>
            </w:r>
            <w:r>
              <w:rPr>
                <w:rFonts w:ascii="Arial Narrow" w:eastAsia="仿宋_GB2312" w:hAnsi="Arial Narrow" w:cs="Arial"/>
                <w:sz w:val="22"/>
                <w:szCs w:val="22"/>
              </w:rPr>
              <w:t xml:space="preserve"/>
            </w:r>
            <w:r>
              <w:rPr>
                <w:rFonts w:ascii="Arial Narrow" w:eastAsia="仿宋_GB2312" w:hAnsi="Arial Narrow" w:cs="Arial"/>
                <w:sz w:val="22"/>
                <w:szCs w:val="22"/>
              </w:rPr>
              <w:t/>
            </w:r>
          </w:p>
        </w:tc>
        <w:tc>
          <w:tcPr>
            <w:tcW w:w="5662" w:type="dxa"/>
            <w:vAlign w:val="center"/>
          </w:tcPr>
          <w:p w14:paraId="09B4E909"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2841、2842、2843、2844</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3F1AD62C" w14:textId="77777777">
        <w:trPr>
          <w:trHeight w:val="567"/>
        </w:trPr>
        <w:tc>
          <w:tcPr>
            <w:tcW w:w="2439" w:type="dxa"/>
            <w:vAlign w:val="center"/>
          </w:tcPr>
          <w:p w14:paraId="09E54C08"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地区筛选</w:t>
            </w:r>
          </w:p>
        </w:tc>
        <w:tc>
          <w:tcPr>
            <w:tcW w:w="5662" w:type="dxa"/>
            <w:vAlign w:val="center"/>
          </w:tcPr>
          <w:p w14:paraId="3CA272CC"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亚太地区</w:t>
            </w:r>
          </w:p>
        </w:tc>
      </w:tr>
      <w:tr w:rsidR="004D1721" w14:paraId="4E0731F4" w14:textId="77777777">
        <w:trPr>
          <w:trHeight w:val="567"/>
        </w:trPr>
        <w:tc>
          <w:tcPr>
            <w:tcW w:w="2439" w:type="dxa"/>
            <w:vAlign w:val="center"/>
          </w:tcPr>
          <w:p w14:paraId="03973C91"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独立性和上市公司筛选</w:t>
            </w:r>
          </w:p>
        </w:tc>
        <w:tc>
          <w:tcPr>
            <w:tcW w:w="5662" w:type="dxa"/>
            <w:vAlign w:val="center"/>
          </w:tcPr>
          <w:p w14:paraId="5BFB2D56"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因在TP Catalyst数据库定义中独立性为B、C、D的公司而被排除。</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5FC49D70" w14:textId="77777777">
        <w:trPr>
          <w:trHeight w:val="567"/>
        </w:trPr>
        <w:tc>
          <w:tcPr>
            <w:tcW w:w="2439" w:type="dxa"/>
            <w:vAlign w:val="center"/>
          </w:tcPr>
          <w:p w14:paraId="05144532"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定量筛选</w:t>
            </w:r>
          </w:p>
        </w:tc>
        <w:tc>
          <w:tcPr>
            <w:tcW w:w="5662" w:type="dxa"/>
            <w:vAlign w:val="center"/>
          </w:tcPr>
          <w:p w14:paraId="75AF43B0" w14:textId="6891A309" w:rsidR="004D1721" w:rsidRDefault="009B16BC">
            <w:pPr>
              <w:rPr>
                <w:rFonts w:ascii="Arial Narrow" w:eastAsia="仿宋_GB2312" w:hAnsi="Arial Narrow" w:cs="Arial"/>
                <w:sz w:val="22"/>
                <w:szCs w:val="22"/>
              </w:rPr>
            </w:pPr>
            <w:r>
              <w:rPr>
                <w:rFonts w:ascii="Arial Narrow" w:eastAsia="仿宋_GB2312" w:hAnsi="Arial Narrow" w:cs="Arial"/>
                <w:sz w:val="22"/>
                <w:szCs w:val="22"/>
              </w:rPr>
              <w:t>在2020至2022财政年度间，在TP Catalyst数据库中的财务信息不充分；在2020至2022财政年度间，三年连续经营亏损而被排除。</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4D1721" w14:paraId="1B8579C2" w14:textId="77777777">
        <w:trPr>
          <w:trHeight w:val="567"/>
        </w:trPr>
        <w:tc>
          <w:tcPr>
            <w:tcW w:w="2439" w:type="dxa"/>
            <w:vAlign w:val="center"/>
          </w:tcPr>
          <w:p w14:paraId="14D8BE1D"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定性筛选</w:t>
            </w:r>
          </w:p>
        </w:tc>
        <w:tc>
          <w:tcPr>
            <w:tcW w:w="5662" w:type="dxa"/>
            <w:vAlign w:val="center"/>
          </w:tcPr>
          <w:p w14:paraId="5A020BA4"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在企业功能（包括所使用的资产）或企业产品或服务方面存在显著差异的企业。</w:t>
            </w:r>
          </w:p>
        </w:tc>
      </w:tr>
      <w:tr w:rsidR="004D1721" w14:paraId="47BCB5C8" w14:textId="77777777">
        <w:trPr>
          <w:trHeight w:val="567"/>
        </w:trPr>
        <w:tc>
          <w:tcPr>
            <w:tcW w:w="2439" w:type="dxa"/>
            <w:vAlign w:val="center"/>
          </w:tcPr>
          <w:p w14:paraId="6A9CBF8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最终样本</w:t>
            </w:r>
          </w:p>
        </w:tc>
        <w:tc>
          <w:tcPr>
            <w:tcW w:w="5662" w:type="dxa"/>
            <w:vAlign w:val="center"/>
          </w:tcPr>
          <w:p w14:paraId="1A6C4C6D" w14:textId="36288EC0" w:rsidR="004D1721" w:rsidRDefault="009B16BC">
            <w:pPr>
              <w:rPr>
                <w:rFonts w:ascii="Arial Narrow" w:eastAsia="仿宋_GB2312" w:hAnsi="Arial Narrow" w:cs="Arial"/>
                <w:sz w:val="22"/>
                <w:szCs w:val="22"/>
              </w:rPr>
            </w:pPr>
            <w:r>
              <w:rPr>
                <w:rFonts w:ascii="Arial Narrow" w:eastAsia="仿宋_GB2312" w:hAnsi="Arial Narrow" w:cs="Arial" w:hint="eastAsia"/>
                <w:sz w:val="22"/>
                <w:szCs w:val="22"/>
              </w:rPr>
              <w:t>9家可比性公司</w:t>
            </w:r>
            <w:r>
              <w:rPr>
                <w:rFonts w:ascii="Arial Narrow" w:eastAsia="仿宋_GB2312" w:hAnsi="Arial Narrow" w:cs="Arial"/>
                <w:sz w:val="22"/>
                <w:szCs w:val="22"/>
              </w:rPr>
              <w:t/>
            </w:r>
          </w:p>
        </w:tc>
      </w:tr>
    </w:tbl>
    <w:p w14:paraId="2D969EBC" w14:textId="4CF93211"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选定的9家公司的简要业务描述，请见附件3。</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6546D6A" w14:textId="77777777" w:rsidR="004D1721" w:rsidRDefault="009B16BC">
      <w:pPr>
        <w:pStyle w:val="Heading3"/>
      </w:pPr>
      <w:bookmarkStart w:id="1128" w:name="_Toc140505174"/>
      <w:bookmarkStart w:id="1129" w:name="_Toc53229109"/>
      <w:r>
        <w:t>可比公司利润水平</w:t>
      </w:r>
      <w:bookmarkEnd w:id="1125"/>
      <w:bookmarkEnd w:id="1128"/>
      <w:bookmarkEnd w:id="1129"/>
    </w:p>
    <w:p w14:paraId="6FF62A2F" w14:textId="77777777" w:rsidR="004D1721" w:rsidRDefault="009B16BC">
      <w:pPr>
        <w:pStyle w:val="Heading4"/>
      </w:pPr>
      <w:r>
        <w:t>利润水平指标的选择</w:t>
      </w:r>
    </w:p>
    <w:p w14:paraId="51BD537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673903E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156B94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0" w:name="No100_T20K1X1"/>
      <w:bookmarkEnd w:id="1130"/>
      <w:r>
        <w:rPr>
          <w:rFonts w:ascii="Arial Narrow" w:eastAsia="仿宋_GB2312" w:hAnsi="Arial Narrow" w:cs="Arial"/>
          <w:sz w:val="22"/>
          <w:szCs w:val="22"/>
        </w:rPr>
        <w:t>（一）息税前利润率=息税前利润/营业收入×100%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70F0A99"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1" w:name="No101_T20K1X2"/>
      <w:bookmarkEnd w:id="1131"/>
      <w:r>
        <w:rPr>
          <w:rFonts w:ascii="Arial Narrow" w:eastAsia="仿宋_GB2312" w:hAnsi="Arial Narrow" w:cs="Arial"/>
          <w:sz w:val="22"/>
          <w:szCs w:val="22"/>
        </w:rPr>
        <w:t>（二）完全成本加成率=息税前利润/完全成本×100%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7166AB2"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2" w:name="No102_T20K1X3"/>
      <w:bookmarkEnd w:id="1132"/>
      <w:r>
        <w:rPr>
          <w:rFonts w:ascii="Arial Narrow" w:eastAsia="仿宋_GB2312" w:hAnsi="Arial Narrow" w:cs="Arial"/>
          <w:sz w:val="22"/>
          <w:szCs w:val="22"/>
        </w:rPr>
        <w:t>（三）资产收益率=息税前利润/[（年初资产总额+年末资产总额）/2]×100%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20803B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3" w:name="No103_T20K1X4"/>
      <w:bookmarkEnd w:id="1133"/>
      <w:r>
        <w:rPr>
          <w:rFonts w:ascii="Arial Narrow" w:eastAsia="仿宋_GB2312" w:hAnsi="Arial Narrow" w:cs="Arial"/>
          <w:sz w:val="22"/>
          <w:szCs w:val="22"/>
        </w:rPr>
        <w:t>（四）贝里比率=毛利/（营业费用+管理费用）×100%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88316D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完全成本加成率在测试生产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lastRenderedPageBreak/>
        <w:t/>
      </w:r>
    </w:p>
    <w:p w14:paraId="480EFE2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综上所述，我们选择了完全成本加成率作为评估松莉科技受测关联交易是否符合独立交易原则最合理的利润水平指标。 </w:t>
      </w:r>
      <w:r>
        <w:rPr>
          <w:rFonts w:ascii="Arial Narrow" w:eastAsia="仿宋_GB2312" w:hAnsi="Arial Narrow" w:cs="Arial"/>
          <w:sz w:val="21"/>
          <w:szCs w:val="22"/>
        </w:rPr>
        <w:t xml:space="preserve"/>
      </w:r>
      <w:bookmarkEnd w:id="1126"/>
      <w:bookmarkEnd w:id="1127"/>
    </w:p>
    <w:p w14:paraId="02392126" w14:textId="77777777" w:rsidR="004D1721" w:rsidRDefault="009B16BC">
      <w:pPr>
        <w:pStyle w:val="Heading4"/>
      </w:pPr>
      <w:r>
        <w:t>多年度数据的使用</w:t>
      </w:r>
    </w:p>
    <w:p w14:paraId="64B94F6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vertAlign w:val="superscript"/>
        </w:rPr>
        <w:footnoteReference w:id="18"/>
        <w:t/>
      </w:r>
    </w:p>
    <w:p w14:paraId="7759B9F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[2017]6号公告第20条特别指出，在使用交易净利润法进行可比性分析时，应特别考察经济周期和产品生命周期。《OECD转让定价指南》中也就行业和产品生命周期提出了如下准则：</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83FEC3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vertAlign w:val="superscript"/>
        </w:rPr>
        <w:footnoteReference w:id="19"/>
        <w:t/>
      </w:r>
    </w:p>
    <w:p w14:paraId="05F6035D" w14:textId="2CF259DF"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为了在交易净利润分析中运用多年度数据，我们通过比较松莉科技2023年度受测关联交易的利润水平和可比公司2020到2022财年的加权平均利润水平，来评估松莉科技的受测关联交易是否符合独立交易原则。</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49EBAA87" w14:textId="77777777" w:rsidR="004D1721" w:rsidRDefault="009B16BC">
      <w:pPr>
        <w:pStyle w:val="Heading4"/>
      </w:pPr>
      <w:r>
        <w:t>独立交易区间</w:t>
      </w:r>
    </w:p>
    <w:p w14:paraId="70F9C92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4" w:name="_Toc48317175"/>
      <w:bookmarkStart w:id="1135" w:name="_Toc48317558"/>
      <w:bookmarkStart w:id="1136" w:name="_Toc274480845"/>
      <w:bookmarkStart w:id="1137" w:name="_Toc261727559"/>
      <w:r>
        <w:rPr>
          <w:rFonts w:ascii="Arial Narrow" w:eastAsia="仿宋_GB2312" w:hAnsi="Arial Narrow" w:cs="Arial"/>
          <w:sz w:val="22"/>
          <w:szCs w:val="22"/>
        </w:rPr>
        <w:t>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Narrow" w:eastAsia="仿宋_GB2312" w:hAnsi="Arial Narrow" w:cs="Arial"/>
          <w:sz w:val="22"/>
          <w:szCs w:val="22"/>
        </w:rPr>
        <w:lastRenderedPageBreak/>
        <w:t/>
      </w:r>
      <w:r>
        <w:rPr>
          <w:rFonts w:ascii="Arial Narrow" w:eastAsia="仿宋_GB2312" w:hAnsi="Arial Narrow" w:cs="Arial"/>
          <w:sz w:val="22"/>
          <w:szCs w:val="22"/>
          <w:vertAlign w:val="superscript"/>
        </w:rPr>
        <w:footnoteReference w:id="20"/>
        <w:t/>
      </w:r>
    </w:p>
    <w:p w14:paraId="65EB6C6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章节7.5.3.5中所使用的筛选标准旨在寻找和消除对松莉科技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r>
        <w:rPr>
          <w:rFonts w:ascii="Arial Narrow" w:eastAsia="仿宋_GB2312" w:hAnsi="Arial Narrow" w:cs="Arial"/>
          <w:sz w:val="22"/>
          <w:szCs w:val="22"/>
        </w:rPr>
        <w:t/>
      </w:r>
      <w:r>
        <w:rPr>
          <w:rFonts w:ascii="Arial Narrow" w:eastAsia="仿宋_GB2312" w:hAnsi="Arial Narrow" w:cs="Arial"/>
          <w:sz w:val="22"/>
          <w:szCs w:val="22"/>
        </w:rPr>
        <w:t/>
      </w:r>
    </w:p>
    <w:p w14:paraId="13AA88C8" w14:textId="7422A81C"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然而应该承认，尽管选定的可比公司已经是可获得的最可比的样本了，在他们与松莉科技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2020到2022财年期间加权平均完全成本加成率的四分位区间。</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vertAlign w:val="superscript"/>
        </w:rPr>
        <w:footnoteReference w:id="21"/>
        <w:t/>
      </w:r>
    </w:p>
    <w:p w14:paraId="2044588F" w14:textId="2184CE10"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我们从TP Catalyst数据库（2024年版）提取了2020到2022财年每家可比公司的损益表中的信息。被选可比公司完全成本加成率计算详见附件4。</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9061F6B" w14:textId="5071033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我们计算了选中的9家可比公司2020到2022财年加权平均完全成本加成率。如下图所示：</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7AF031EC"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24：可比企业完全成本加成率四分位区间表</w:t>
      </w:r>
      <w:r>
        <w:rPr>
          <w:rFonts w:ascii="Arial Narrow" w:eastAsia="仿宋_GB2312" w:hAnsi="Arial Narrow" w:cs="Arial"/>
          <w:sz w:val="22"/>
        </w:rPr>
        <w:t xml:space="preserve"/>
      </w:r>
      <w:r>
        <w:rPr>
          <w:rFonts w:ascii="Arial Narrow" w:eastAsia="仿宋_GB2312" w:hAnsi="Arial Narrow" w:cs="Arial"/>
          <w:sz w:val="22"/>
        </w:rPr>
        <w:t/>
      </w:r>
    </w:p>
    <w:tbl>
      <w:tblPr>
        <w:tblW w:w="5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3"/>
        <w:gridCol w:w="3262"/>
      </w:tblGrid>
      <w:tr w:rsidR="004D1721" w14:paraId="6D7CECEE" w14:textId="77777777">
        <w:trPr>
          <w:trHeight w:val="562"/>
          <w:tblHeader/>
          <w:jc w:val="center"/>
        </w:trPr>
        <w:tc>
          <w:tcPr>
            <w:tcW w:w="1983" w:type="dxa"/>
            <w:shd w:val="clear" w:color="auto" w:fill="002060"/>
            <w:vAlign w:val="center"/>
          </w:tcPr>
          <w:p w14:paraId="6BB813DB" w14:textId="77777777" w:rsidR="004D1721" w:rsidRDefault="009B16BC">
            <w:pPr>
              <w:widowControl w:val="0"/>
              <w:jc w:val="center"/>
              <w:rPr>
                <w:rFonts w:ascii="Arial Narrow" w:eastAsia="仿宋_GB2312" w:hAnsi="Arial Narrow" w:cs="Arial"/>
                <w:b/>
                <w:color w:val="1F497D"/>
                <w:sz w:val="22"/>
                <w:szCs w:val="22"/>
              </w:rPr>
            </w:pPr>
            <w:r>
              <w:rPr>
                <w:rFonts w:ascii="Arial Narrow" w:eastAsia="仿宋_GB2312" w:hAnsi="Arial Narrow" w:cs="Arial"/>
                <w:b/>
                <w:color w:val="FFFFFF" w:themeColor="background1"/>
                <w:sz w:val="22"/>
                <w:szCs w:val="22"/>
              </w:rPr>
              <w:t>类型</w:t>
            </w:r>
          </w:p>
        </w:tc>
        <w:tc>
          <w:tcPr>
            <w:tcW w:w="3262" w:type="dxa"/>
            <w:shd w:val="clear" w:color="auto" w:fill="002060"/>
            <w:vAlign w:val="center"/>
          </w:tcPr>
          <w:p w14:paraId="0FDEB2C5" w14:textId="2FB74273" w:rsidR="004D1721" w:rsidRDefault="009B16BC">
            <w:pPr>
              <w:widowControl w:val="0"/>
              <w:jc w:val="center"/>
              <w:rPr>
                <w:rFonts w:ascii="Arial Narrow" w:eastAsia="仿宋_GB2312" w:hAnsi="Arial Narrow" w:cs="Arial"/>
                <w:b/>
                <w:color w:val="1F497D"/>
                <w:sz w:val="22"/>
                <w:szCs w:val="22"/>
              </w:rPr>
            </w:pPr>
            <w:r>
              <w:rPr>
                <w:rFonts w:ascii="Arial Narrow" w:eastAsia="仿宋_GB2312" w:hAnsi="Arial Narrow" w:cs="Arial"/>
                <w:b/>
                <w:color w:val="FFFFFF" w:themeColor="background1"/>
                <w:sz w:val="22"/>
                <w:szCs w:val="22"/>
              </w:rPr>
              <w:t>2020-2022年加权平均</w:t>
            </w:r>
            <w:r>
              <w:rPr>
                <w:rFonts w:ascii="Arial Narrow" w:eastAsia="仿宋_GB2312" w:hAnsi="Arial Narrow" w:cs="Arial" w:hint="eastAsia"/>
                <w:b/>
                <w:color w:val="FFFFFF" w:themeColor="background1"/>
                <w:sz w:val="22"/>
                <w:szCs w:val="22"/>
              </w:rPr>
              <w:t/>
            </w:r>
            <w:r>
              <w:rPr>
                <w:rFonts w:ascii="Arial Narrow" w:eastAsia="仿宋_GB2312" w:hAnsi="Arial Narrow" w:cs="Arial"/>
                <w:b/>
                <w:color w:val="FFFFFF" w:themeColor="background1"/>
                <w:sz w:val="22"/>
                <w:szCs w:val="22"/>
              </w:rPr>
              <w:t/>
            </w:r>
            <w:r>
              <w:rPr>
                <w:rFonts w:ascii="Arial Narrow" w:eastAsia="仿宋_GB2312" w:hAnsi="Arial Narrow" w:cs="Arial" w:hint="eastAsia"/>
                <w:b/>
                <w:color w:val="FFFFFF" w:themeColor="background1"/>
                <w:sz w:val="22"/>
                <w:szCs w:val="22"/>
              </w:rPr>
              <w:t/>
            </w:r>
            <w:r>
              <w:rPr>
                <w:rFonts w:ascii="Arial Narrow" w:eastAsia="仿宋_GB2312" w:hAnsi="Arial Narrow" w:cs="Arial"/>
                <w:b/>
                <w:color w:val="FFFFFF" w:themeColor="background1"/>
                <w:sz w:val="22"/>
                <w:szCs w:val="22"/>
              </w:rPr>
              <w:t/>
            </w:r>
          </w:p>
        </w:tc>
      </w:tr>
      <w:tr w:rsidR="004D1721" w14:paraId="646E5D65" w14:textId="77777777">
        <w:trPr>
          <w:trHeight w:val="454"/>
          <w:jc w:val="center"/>
        </w:trPr>
        <w:tc>
          <w:tcPr>
            <w:tcW w:w="1983" w:type="dxa"/>
            <w:shd w:val="clear" w:color="auto" w:fill="auto"/>
            <w:vAlign w:val="center"/>
          </w:tcPr>
          <w:p w14:paraId="6C9A5D98"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最高值</w:t>
            </w:r>
          </w:p>
        </w:tc>
        <w:tc>
          <w:tcPr>
            <w:tcW w:w="3262" w:type="dxa"/>
            <w:shd w:val="clear" w:color="auto" w:fill="auto"/>
            <w:vAlign w:val="center"/>
          </w:tcPr>
          <w:p w14:paraId="7905893A" w14:textId="6D2BCDCD"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18.75%</w:t>
            </w:r>
          </w:p>
        </w:tc>
      </w:tr>
      <w:tr w:rsidR="004D1721" w14:paraId="03BCA1B2" w14:textId="77777777">
        <w:trPr>
          <w:trHeight w:val="454"/>
          <w:jc w:val="center"/>
        </w:trPr>
        <w:tc>
          <w:tcPr>
            <w:tcW w:w="1983" w:type="dxa"/>
            <w:shd w:val="clear" w:color="auto" w:fill="auto"/>
            <w:vAlign w:val="center"/>
          </w:tcPr>
          <w:p w14:paraId="7901D81C"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上四分位值</w:t>
            </w:r>
          </w:p>
        </w:tc>
        <w:tc>
          <w:tcPr>
            <w:tcW w:w="3262" w:type="dxa"/>
            <w:shd w:val="clear" w:color="auto" w:fill="auto"/>
            <w:vAlign w:val="center"/>
          </w:tcPr>
          <w:p w14:paraId="56CCA401" w14:textId="44831C52"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7.29%</w:t>
            </w:r>
          </w:p>
        </w:tc>
      </w:tr>
      <w:tr w:rsidR="004D1721" w14:paraId="25292531" w14:textId="77777777">
        <w:trPr>
          <w:trHeight w:val="454"/>
          <w:jc w:val="center"/>
        </w:trPr>
        <w:tc>
          <w:tcPr>
            <w:tcW w:w="1983" w:type="dxa"/>
            <w:shd w:val="clear" w:color="auto" w:fill="auto"/>
            <w:vAlign w:val="center"/>
          </w:tcPr>
          <w:p w14:paraId="7693C948"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中位值</w:t>
            </w:r>
          </w:p>
        </w:tc>
        <w:tc>
          <w:tcPr>
            <w:tcW w:w="3262" w:type="dxa"/>
            <w:shd w:val="clear" w:color="auto" w:fill="auto"/>
            <w:vAlign w:val="center"/>
          </w:tcPr>
          <w:p w14:paraId="1E9DC206" w14:textId="2938239C"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1.39%</w:t>
            </w:r>
          </w:p>
        </w:tc>
      </w:tr>
      <w:tr w:rsidR="004D1721" w14:paraId="3E8F2D54" w14:textId="77777777">
        <w:trPr>
          <w:trHeight w:val="454"/>
          <w:jc w:val="center"/>
        </w:trPr>
        <w:tc>
          <w:tcPr>
            <w:tcW w:w="1983" w:type="dxa"/>
            <w:shd w:val="clear" w:color="auto" w:fill="auto"/>
            <w:vAlign w:val="center"/>
          </w:tcPr>
          <w:p w14:paraId="36848771"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下四分位值</w:t>
            </w:r>
          </w:p>
        </w:tc>
        <w:tc>
          <w:tcPr>
            <w:tcW w:w="3262" w:type="dxa"/>
            <w:shd w:val="clear" w:color="auto" w:fill="auto"/>
            <w:vAlign w:val="center"/>
          </w:tcPr>
          <w:p w14:paraId="154CCE33" w14:textId="421B13EB"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0.59%</w:t>
            </w:r>
          </w:p>
        </w:tc>
      </w:tr>
      <w:tr w:rsidR="004D1721" w14:paraId="440E17CB" w14:textId="77777777">
        <w:trPr>
          <w:trHeight w:val="454"/>
          <w:jc w:val="center"/>
        </w:trPr>
        <w:tc>
          <w:tcPr>
            <w:tcW w:w="1983" w:type="dxa"/>
            <w:shd w:val="clear" w:color="auto" w:fill="auto"/>
            <w:vAlign w:val="center"/>
          </w:tcPr>
          <w:p w14:paraId="15CACF34"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最低值</w:t>
            </w:r>
          </w:p>
        </w:tc>
        <w:tc>
          <w:tcPr>
            <w:tcW w:w="3262" w:type="dxa"/>
            <w:shd w:val="clear" w:color="auto" w:fill="auto"/>
            <w:vAlign w:val="center"/>
          </w:tcPr>
          <w:p w14:paraId="207BAFA5" w14:textId="23D8045A"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-3.37%</w:t>
            </w:r>
          </w:p>
        </w:tc>
      </w:tr>
    </w:tbl>
    <w:p w14:paraId="6BB3B231" w14:textId="45D48CE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通过上述交易净利润法分析，2020到2022财年加权平均完全成本加成率独立交易区间为0.59%到7.29%，中位值为1.39%。松莉科技在2023年度的完全成本加成率为5.25%，位于可比公司完全成本加成率的四分位区间之内，且高于中位值。</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67C7EDC5" w14:textId="062E44A0"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因此，松莉科技在2023年度受测关联交易中的转让定价安排不违背独立交易原则。</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bookmarkEnd w:id="1134"/>
    <w:bookmarkEnd w:id="1135"/>
    <w:p w14:paraId="7BF99506" w14:textId="77777777" w:rsidR="004D1721" w:rsidRDefault="009B16BC">
      <w:pPr>
        <w:rPr>
          <w:rFonts w:ascii="Arial Narrow" w:eastAsia="仿宋_GB2312" w:hAnsi="Arial Narrow" w:cs="Arial"/>
          <w:b/>
          <w:kern w:val="0"/>
          <w:sz w:val="36"/>
          <w:szCs w:val="36"/>
          <w14:scene3d>
            <w14:camera w14:prst="orthographicFront"/>
            <w14:lightRig w14:rig="threePt" w14:dir="t">
              <w14:rot w14:lat="0" w14:lon="0" w14:rev="0"/>
            </w14:lightRig>
          </w14:scene3d>
        </w:rPr>
      </w:pPr>
      <w:r>
        <w:rPr>
          <w:rFonts w:ascii="Arial Narrow" w:eastAsia="仿宋_GB2312" w:hAnsi="Arial Narrow" w:cs="Arial"/>
        </w:rPr>
        <w:br w:type="page"/>
      </w:r>
    </w:p>
    <w:p w14:paraId="30D70E0D" w14:textId="77777777" w:rsidR="004D1721" w:rsidRDefault="009B16BC">
      <w:pPr>
        <w:pStyle w:val="Heading1"/>
        <w:rPr>
          <w:b/>
        </w:rPr>
      </w:pPr>
      <w:bookmarkStart w:id="1138" w:name="_Toc53229110"/>
      <w:bookmarkStart w:id="1139" w:name="_Toc140505175"/>
      <w:r>
        <w:lastRenderedPageBreak/>
        <w:t>结论</w:t>
      </w:r>
      <w:bookmarkEnd w:id="1138"/>
      <w:bookmarkEnd w:id="1139"/>
    </w:p>
    <w:p w14:paraId="4542E0C3" w14:textId="74B5B678"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根据分析，可比公司2020到2022财年加权平均完全成本加成率独立交易区间为0.59%到7.29%，中位值为1.39%。松莉科技在2023年度的完全成本加成率为5.25%，位于可比公司完全成本加成率形成的四分位区间之内，且高于中位值。</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1B58317" w14:textId="7A260C88"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因此，从中国转让定价角度，我们认为松莉科技在2023年度受测关联交易中的转让定价安排不违背独立交易原则。</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B72D290" w14:textId="77777777" w:rsidR="004D1721" w:rsidRDefault="009B16BC">
      <w:pPr>
        <w:spacing w:beforeLines="50" w:before="156" w:afterLines="50" w:after="156" w:line="360" w:lineRule="auto"/>
        <w:jc w:val="both"/>
        <w:rPr>
          <w:rFonts w:ascii="Arial Narrow" w:eastAsia="仿宋_GB2312" w:hAnsi="Arial Narrow" w:cs="Arial Unicode MS"/>
          <w:sz w:val="22"/>
          <w:szCs w:val="22"/>
        </w:rPr>
      </w:pPr>
      <w:r>
        <w:rPr>
          <w:rFonts w:ascii="Arial Narrow" w:eastAsia="仿宋_GB2312" w:hAnsi="Arial Narrow" w:cs="Arial"/>
          <w:kern w:val="0"/>
          <w:sz w:val="21"/>
          <w:szCs w:val="22"/>
        </w:rPr>
        <w:br w:type="page"/>
      </w:r>
    </w:p>
    <w:p w14:paraId="1F04A38C" w14:textId="77777777" w:rsidR="004D1721" w:rsidRDefault="009B16BC">
      <w:pPr>
        <w:pStyle w:val="ListParagraph1"/>
      </w:pPr>
      <w:bookmarkStart w:id="1140" w:name="_Toc53229111"/>
      <w:bookmarkStart w:id="1141" w:name="_Toc140505176"/>
      <w:bookmarkStart w:id="1142" w:name="_Toc47700092"/>
      <w:bookmarkStart w:id="1143" w:name="_Toc522015260"/>
      <w:r>
        <w:lastRenderedPageBreak/>
        <w:t xml:space="preserve">附件列表 </w:t>
      </w:r>
      <w:bookmarkEnd w:id="1140"/>
      <w:bookmarkEnd w:id="1141"/>
      <w:r>
        <w:t xml:space="preserve"/>
      </w:r>
      <w:bookmarkEnd w:id="1142"/>
      <w:bookmarkEnd w:id="1143"/>
    </w:p>
    <w:p w14:paraId="10030568"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附件1转让定价方法简介</w:t>
      </w:r>
      <w:r>
        <w:rPr>
          <w:rFonts w:ascii="Arial Narrow" w:eastAsia="仿宋_GB2312" w:hAnsi="Arial Narrow" w:cs="Arial"/>
          <w:sz w:val="22"/>
          <w:szCs w:val="22"/>
        </w:rPr>
        <w:t/>
      </w:r>
      <w:r>
        <w:rPr>
          <w:rFonts w:ascii="Arial Narrow" w:eastAsia="仿宋_GB2312" w:hAnsi="Arial Narrow" w:cs="Arial"/>
          <w:sz w:val="22"/>
          <w:szCs w:val="22"/>
        </w:rPr>
        <w:t/>
      </w:r>
    </w:p>
    <w:p w14:paraId="5EF32E90"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附件2企业年度关联交易财务状况分析表</w:t>
      </w:r>
      <w:r>
        <w:rPr>
          <w:rFonts w:ascii="Arial Narrow" w:eastAsia="仿宋_GB2312" w:hAnsi="Arial Narrow" w:cs="Arial"/>
          <w:sz w:val="22"/>
          <w:szCs w:val="22"/>
        </w:rPr>
        <w:t/>
      </w:r>
      <w:r>
        <w:rPr>
          <w:rFonts w:ascii="Arial Narrow" w:eastAsia="仿宋_GB2312" w:hAnsi="Arial Narrow" w:cs="Arial"/>
          <w:sz w:val="22"/>
          <w:szCs w:val="22"/>
        </w:rPr>
        <w:t/>
      </w:r>
    </w:p>
    <w:p w14:paraId="324E249A"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附件3可比公司的业务简介</w:t>
      </w:r>
      <w:r>
        <w:rPr>
          <w:rFonts w:ascii="Arial Narrow" w:eastAsia="仿宋_GB2312" w:hAnsi="Arial Narrow" w:cs="Arial"/>
          <w:sz w:val="22"/>
          <w:szCs w:val="22"/>
        </w:rPr>
        <w:t/>
      </w:r>
      <w:r>
        <w:rPr>
          <w:rFonts w:ascii="Arial Narrow" w:eastAsia="仿宋_GB2312" w:hAnsi="Arial Narrow" w:cs="Arial"/>
          <w:sz w:val="22"/>
          <w:szCs w:val="22"/>
        </w:rPr>
        <w:t/>
      </w:r>
    </w:p>
    <w:p w14:paraId="7ADEFD10"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附件4可比公司完全成本加成率的计算</w:t>
      </w:r>
      <w:r>
        <w:rPr>
          <w:rFonts w:ascii="Arial Narrow" w:eastAsia="仿宋_GB2312" w:hAnsi="Arial Narrow" w:cs="Arial"/>
          <w:sz w:val="22"/>
          <w:szCs w:val="22"/>
        </w:rPr>
        <w:t/>
      </w:r>
      <w:r>
        <w:rPr>
          <w:rFonts w:ascii="Arial Narrow" w:eastAsia="仿宋_GB2312" w:hAnsi="Arial Narrow" w:cs="Arial"/>
          <w:sz w:val="22"/>
          <w:szCs w:val="22"/>
        </w:rPr>
        <w:t/>
      </w:r>
    </w:p>
    <w:p w14:paraId="579F35D6"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br w:type="page"/>
      </w:r>
    </w:p>
    <w:p w14:paraId="11E149A8" w14:textId="77777777" w:rsidR="004D1721" w:rsidRDefault="009B16BC">
      <w:pPr>
        <w:pStyle w:val="ListParagraph1"/>
      </w:pPr>
      <w:bookmarkStart w:id="1144" w:name="_Hlk417658624"/>
      <w:bookmarkStart w:id="1145" w:name="_Toc50477149"/>
      <w:bookmarkStart w:id="1146" w:name="_Toc140505177"/>
      <w:bookmarkStart w:id="1147" w:name="_Toc53229112"/>
      <w:bookmarkStart w:id="1148" w:name="_Toc522015262"/>
      <w:r>
        <w:lastRenderedPageBreak/>
        <w:t>附件1转让定价方法简介</w:t>
      </w:r>
      <w:r>
        <w:t/>
      </w:r>
      <w:r>
        <w:t/>
      </w:r>
      <w:bookmarkEnd w:id="1144"/>
      <w:bookmarkEnd w:id="1145"/>
      <w:bookmarkEnd w:id="1146"/>
      <w:bookmarkEnd w:id="1147"/>
      <w:bookmarkEnd w:id="1148"/>
    </w:p>
    <w:p w14:paraId="0AD36FA0" w14:textId="77777777" w:rsidR="004D1721" w:rsidRDefault="009B16BC">
      <w:pPr>
        <w:jc w:val="both"/>
        <w:rPr>
          <w:rFonts w:ascii="Arial Narrow" w:eastAsia="仿宋_GB2312" w:hAnsi="Arial Narrow" w:cs="Arial"/>
          <w:b/>
          <w:bCs/>
          <w:i/>
          <w:color w:val="002060"/>
          <w:sz w:val="22"/>
          <w:szCs w:val="28"/>
        </w:rPr>
      </w:pPr>
      <w:bookmarkStart w:id="1149" w:name="_Hlk417658642"/>
      <w:r>
        <w:rPr>
          <w:rFonts w:ascii="Arial Narrow" w:eastAsia="仿宋_GB2312" w:hAnsi="Arial Narrow" w:cs="Arial"/>
          <w:b/>
          <w:bCs/>
          <w:i/>
          <w:color w:val="002060"/>
          <w:sz w:val="22"/>
          <w:szCs w:val="28"/>
        </w:rPr>
        <w:t>可比非受控价格法</w:t>
      </w:r>
    </w:p>
    <w:p w14:paraId="6C6E0C7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4E0112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3300128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4D30EA6" w14:textId="77777777" w:rsidR="004D1721" w:rsidRDefault="009B16BC">
      <w:pPr>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再销售价格法</w:t>
      </w:r>
    </w:p>
    <w:p w14:paraId="4FE5AEB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96CE6C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1DECFB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[2017]6号公告第18条规定，再销售价格法通常适用于以下交易：</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BD279E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“再销售者未对商品进行改变外型、性能、结构或更换商标等实质性增值加工的简单加工或单纯的购销业务。”</w:t>
      </w:r>
      <w:r>
        <w:rPr>
          <w:rFonts w:ascii="Arial Narrow" w:eastAsia="仿宋_GB2312" w:hAnsi="Arial Narrow" w:cs="Arial"/>
          <w:sz w:val="22"/>
          <w:szCs w:val="22"/>
        </w:rPr>
        <w:t/>
      </w:r>
      <w:r>
        <w:rPr>
          <w:rFonts w:ascii="Arial Narrow" w:eastAsia="仿宋_GB2312" w:hAnsi="Arial Narrow" w:cs="Arial"/>
          <w:sz w:val="22"/>
          <w:szCs w:val="22"/>
        </w:rPr>
        <w:t/>
      </w:r>
    </w:p>
    <w:p w14:paraId="549AE955" w14:textId="77777777" w:rsidR="004D1721" w:rsidRDefault="009B16BC">
      <w:p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成本加成法</w:t>
      </w:r>
    </w:p>
    <w:p w14:paraId="55F6430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37786D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B7CD1A0" w14:textId="77777777" w:rsidR="004D1721" w:rsidRDefault="009B16BC">
      <w:p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交易净利润法</w:t>
      </w:r>
    </w:p>
    <w:p w14:paraId="7E82DA1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[2017]6号公告第20条规定，交易净利润法是以可比非关联交易的利润水平指标确定关联交易的净利润。</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CF48A3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C67BAF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交易净利润法较其它传统转让定价方法有其明显的优势，《OECD转让定价指南》2.62章节指出:</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27DA01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“…净利润指标2承受受控和非受控交易之间的某些功能差别。企业所发挥功能方面的差异，通常反映在营业费用的不同上。”</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872F82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1DA5F42A" w14:textId="77777777" w:rsidR="004D1721" w:rsidRDefault="009B16BC">
      <w:p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lastRenderedPageBreak/>
        <w:t>利润分割法</w:t>
      </w:r>
    </w:p>
    <w:p w14:paraId="0294B18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D6A1E7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[2017]6号公告第21条的规定，利润分割法一般分为以下2种：</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B209AF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CE5183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剩余利润分割法：剩余利润分割法将关联交易各参与方的合并利润减去分配给各方的常规利润的余额作为剩余利润，再根据各方对剩余利润的贡献程度进行分配。</w:t>
      </w:r>
    </w:p>
    <w:p w14:paraId="7BDF022B" w14:textId="77777777" w:rsidR="004D1721" w:rsidRDefault="009B16BC">
      <w:pPr>
        <w:jc w:val="both"/>
        <w:rPr>
          <w:rFonts w:ascii="Arial Narrow" w:eastAsia="仿宋_GB2312" w:hAnsi="Arial Narrow" w:cs="Arial"/>
          <w:b/>
          <w:bCs/>
          <w:i/>
          <w:color w:val="009CDE"/>
          <w:sz w:val="22"/>
          <w:szCs w:val="22"/>
        </w:rPr>
      </w:pPr>
      <w:bookmarkStart w:id="1150" w:name="OLE_LINK4"/>
      <w:r>
        <w:rPr>
          <w:rFonts w:ascii="Arial Narrow" w:eastAsia="仿宋_GB2312" w:hAnsi="Arial Narrow" w:cs="Arial"/>
          <w:b/>
          <w:bCs/>
          <w:i/>
          <w:color w:val="002060"/>
          <w:sz w:val="22"/>
          <w:szCs w:val="22"/>
        </w:rPr>
        <w:t>其他符合独立交易原则的方法</w:t>
      </w:r>
    </w:p>
    <w:p w14:paraId="3563262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其他符合独立交易原则的方法包括成本法、市场法和收益法等资产评估方法，以及其他能够反映利润与经济活动发生地和价值创造地相匹配原则的方法。</w:t>
      </w:r>
    </w:p>
    <w:p w14:paraId="37BA993B" w14:textId="77777777" w:rsidR="004D1721" w:rsidRDefault="009B16BC">
      <w:pPr>
        <w:numPr>
          <w:ilvl w:val="0"/>
          <w:numId w:val="32"/>
        </w:numPr>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成本法</w:t>
      </w:r>
    </w:p>
    <w:p w14:paraId="0C952CB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成本法是以替代或者重置原则为基础，通过在当前市场价格下创造一项相似资产所发生的支出确定评估标的价值的评估方法。成本法适用于能够被替代的资产价值评估。</w:t>
      </w:r>
    </w:p>
    <w:p w14:paraId="51E18933" w14:textId="77777777" w:rsidR="004D1721" w:rsidRDefault="009B16BC">
      <w:pPr>
        <w:numPr>
          <w:ilvl w:val="0"/>
          <w:numId w:val="32"/>
        </w:num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市场法</w:t>
      </w:r>
    </w:p>
    <w:p w14:paraId="54595B1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030975D4" w14:textId="77777777" w:rsidR="004D1721" w:rsidRDefault="009B16BC">
      <w:pPr>
        <w:numPr>
          <w:ilvl w:val="0"/>
          <w:numId w:val="32"/>
        </w:num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收益法</w:t>
      </w:r>
    </w:p>
    <w:p w14:paraId="1CF9F70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sectPr w:rsidR="004D1721">
          <w:pgSz w:w="11906" w:h="16838"/>
          <w:pgMar w:top="1440" w:right="1800" w:bottom="1440" w:left="1800" w:header="709" w:footer="709" w:gutter="0"/>
          <w:cols w:space="720"/>
          <w:docGrid w:type="lines" w:linePitch="312"/>
        </w:sectPr>
      </w:pPr>
      <w:r>
        <w:rPr>
          <w:rFonts w:ascii="Arial Narrow" w:eastAsia="仿宋_GB2312" w:hAnsi="Arial Narrow" w:cs="Arial"/>
          <w:sz w:val="22"/>
          <w:szCs w:val="22"/>
        </w:rPr>
        <w:t>收益法是通过评估标的未来预期收益现值来确定其价值的评估方法。收益法适用于企业整体资产和可预期未来收益的单项资产评估。</w:t>
      </w:r>
      <w:bookmarkEnd w:id="1150"/>
    </w:p>
    <w:p w14:paraId="3C864CB7" w14:textId="77777777" w:rsidR="004D1721" w:rsidRDefault="009B16BC">
      <w:pPr>
        <w:pStyle w:val="ListParagraph1"/>
      </w:pPr>
      <w:bookmarkStart w:id="1151" w:name="_Toc140505178"/>
      <w:bookmarkStart w:id="1152" w:name="_Toc50477150"/>
      <w:bookmarkStart w:id="1153" w:name="_Toc53229113"/>
      <w:r>
        <w:lastRenderedPageBreak/>
        <w:t>附件2企业年度关联交易财务状况分析表</w:t>
      </w:r>
      <w:r>
        <w:t/>
      </w:r>
      <w:r>
        <w:t/>
      </w:r>
      <w:bookmarkEnd w:id="1151"/>
      <w:bookmarkEnd w:id="1152"/>
      <w:bookmarkEnd w:id="1153"/>
    </w:p>
    <w:p w14:paraId="0739E76B" w14:textId="77777777" w:rsidR="004D1721" w:rsidRDefault="009B16BC">
      <w:pPr>
        <w:spacing w:beforeLines="50" w:before="163" w:afterLines="50" w:after="163"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下表中的财务数据均由松莉科技提供，所有金额均以人民币元为单位。</w:t>
      </w:r>
    </w:p>
    <w:p w14:paraId="536FACAA" w14:textId="77777777" w:rsidR="004D1721" w:rsidRDefault="009B16BC">
      <w:pPr>
        <w:spacing w:beforeLines="50" w:before="163" w:afterLines="50" w:after="163"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立信未对提供的财务数据进行核实，也未进行任何的财务分析以验证松莉科技在下述财务数据中所选用分摊标准的合理性。</w:t>
      </w:r>
      <w:r>
        <w:rPr>
          <w:rFonts w:ascii="Arial Narrow" w:eastAsia="仿宋_GB2312" w:hAnsi="Arial Narrow" w:cs="Arial"/>
          <w:sz w:val="22"/>
          <w:szCs w:val="22"/>
        </w:rPr>
        <w:t/>
      </w:r>
    </w:p>
    <w:tbl>
      <w:tblPr>
        <w:tblW w:w="8647" w:type="dxa"/>
        <w:tblInd w:w="-152" w:type="dxa"/>
        <w:tblLayout w:type="fixed"/>
        <w:tblLook w:val="04A0" w:firstRow="1" w:lastRow="0" w:firstColumn="1" w:lastColumn="0" w:noHBand="0" w:noVBand="1"/>
      </w:tblPr>
      <w:tblGrid>
        <w:gridCol w:w="1702"/>
        <w:gridCol w:w="1417"/>
        <w:gridCol w:w="1418"/>
        <w:gridCol w:w="1370"/>
        <w:gridCol w:w="1323"/>
        <w:gridCol w:w="1417"/>
      </w:tblGrid>
      <w:tr w:rsidR="004D1721" w14:paraId="36588258" w14:textId="77777777">
        <w:trPr>
          <w:trHeight w:val="454"/>
        </w:trPr>
        <w:tc>
          <w:tcPr>
            <w:tcW w:w="1702" w:type="dxa"/>
            <w:tcBorders>
              <w:top w:val="single" w:sz="8" w:space="0" w:color="auto"/>
              <w:left w:val="single" w:sz="8" w:space="0" w:color="auto"/>
              <w:bottom w:val="single" w:sz="8" w:space="0" w:color="auto"/>
              <w:right w:val="nil"/>
            </w:tcBorders>
            <w:shd w:val="clear" w:color="auto" w:fill="002060"/>
            <w:vAlign w:val="center"/>
          </w:tcPr>
          <w:p w14:paraId="74FA04FD" w14:textId="77777777" w:rsidR="004D1721" w:rsidRDefault="009B16BC">
            <w:pPr>
              <w:jc w:val="center"/>
              <w:rPr>
                <w:rFonts w:ascii="Arial Narrow" w:eastAsia="仿宋_GB2312" w:hAnsi="Arial Narrow" w:cs="Arial"/>
                <w:color w:val="000000"/>
                <w:sz w:val="16"/>
                <w:szCs w:val="16"/>
              </w:rPr>
            </w:pPr>
            <w:r>
              <w:rPr>
                <w:rFonts w:ascii="Arial Narrow" w:eastAsia="仿宋_GB2312" w:hAnsi="Arial Narrow" w:cs="Arial"/>
                <w:b/>
                <w:color w:val="FFFFFF" w:themeColor="background1"/>
                <w:sz w:val="16"/>
                <w:szCs w:val="16"/>
              </w:rPr>
              <w:t>项目</w:t>
            </w:r>
          </w:p>
        </w:tc>
        <w:tc>
          <w:tcPr>
            <w:tcW w:w="1417" w:type="dxa"/>
            <w:tcBorders>
              <w:top w:val="single" w:sz="8" w:space="0" w:color="auto"/>
              <w:left w:val="single" w:sz="8" w:space="0" w:color="auto"/>
              <w:bottom w:val="single" w:sz="8" w:space="0" w:color="auto"/>
              <w:right w:val="single" w:sz="8" w:space="0" w:color="auto"/>
            </w:tcBorders>
            <w:shd w:val="clear" w:color="auto" w:fill="002060"/>
            <w:vAlign w:val="center"/>
          </w:tcPr>
          <w:p w14:paraId="369E46BC" w14:textId="77777777" w:rsidR="004D1721" w:rsidRDefault="009B16BC">
            <w:pPr>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境外关联交易</w:t>
            </w:r>
          </w:p>
        </w:tc>
        <w:tc>
          <w:tcPr>
            <w:tcW w:w="1418" w:type="dxa"/>
            <w:tcBorders>
              <w:top w:val="single" w:sz="8" w:space="0" w:color="auto"/>
              <w:left w:val="nil"/>
              <w:bottom w:val="single" w:sz="8" w:space="0" w:color="auto"/>
              <w:right w:val="single" w:sz="8" w:space="0" w:color="auto"/>
            </w:tcBorders>
            <w:shd w:val="clear" w:color="auto" w:fill="002060"/>
            <w:vAlign w:val="center"/>
          </w:tcPr>
          <w:p w14:paraId="710C78A1" w14:textId="77777777" w:rsidR="004D1721" w:rsidRDefault="009B16BC">
            <w:pPr>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境外非关联交易</w:t>
            </w:r>
          </w:p>
        </w:tc>
        <w:tc>
          <w:tcPr>
            <w:tcW w:w="1370" w:type="dxa"/>
            <w:tcBorders>
              <w:top w:val="single" w:sz="8" w:space="0" w:color="auto"/>
              <w:left w:val="nil"/>
              <w:bottom w:val="single" w:sz="8" w:space="0" w:color="auto"/>
              <w:right w:val="single" w:sz="8" w:space="0" w:color="auto"/>
            </w:tcBorders>
            <w:shd w:val="clear" w:color="auto" w:fill="002060"/>
            <w:vAlign w:val="center"/>
          </w:tcPr>
          <w:p w14:paraId="067CACA2" w14:textId="77777777" w:rsidR="004D1721" w:rsidRDefault="009B16BC">
            <w:pPr>
              <w:ind w:leftChars="-20" w:left="-40" w:rightChars="-20" w:right="-40"/>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境内关联交易</w:t>
            </w:r>
          </w:p>
        </w:tc>
        <w:tc>
          <w:tcPr>
            <w:tcW w:w="1323" w:type="dxa"/>
            <w:tcBorders>
              <w:top w:val="single" w:sz="8" w:space="0" w:color="auto"/>
              <w:left w:val="nil"/>
              <w:bottom w:val="single" w:sz="8" w:space="0" w:color="auto"/>
              <w:right w:val="nil"/>
            </w:tcBorders>
            <w:shd w:val="clear" w:color="auto" w:fill="002060"/>
            <w:vAlign w:val="center"/>
          </w:tcPr>
          <w:p w14:paraId="77F764F1" w14:textId="77777777" w:rsidR="004D1721" w:rsidRDefault="009B16BC">
            <w:pPr>
              <w:ind w:leftChars="-20" w:left="-40" w:rightChars="-20" w:right="-40"/>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境内非关联交易</w:t>
            </w:r>
          </w:p>
        </w:tc>
        <w:tc>
          <w:tcPr>
            <w:tcW w:w="1417" w:type="dxa"/>
            <w:tcBorders>
              <w:top w:val="single" w:sz="8" w:space="0" w:color="auto"/>
              <w:left w:val="single" w:sz="8" w:space="0" w:color="auto"/>
              <w:bottom w:val="single" w:sz="8" w:space="0" w:color="auto"/>
              <w:right w:val="single" w:sz="8" w:space="0" w:color="auto"/>
            </w:tcBorders>
            <w:shd w:val="clear" w:color="auto" w:fill="002060"/>
            <w:vAlign w:val="center"/>
          </w:tcPr>
          <w:p w14:paraId="68E86430" w14:textId="77777777" w:rsidR="004D1721" w:rsidRDefault="009B16BC">
            <w:pPr>
              <w:ind w:leftChars="-20" w:left="-40" w:rightChars="-20" w:right="-40"/>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总计</w:t>
            </w:r>
          </w:p>
        </w:tc>
      </w:tr>
      <w:tr w:rsidR="004D1721" w14:paraId="565FDE9C"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7C8D3BF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一、营业收入</w:t>
            </w:r>
          </w:p>
        </w:tc>
        <w:tc>
          <w:tcPr>
            <w:tcW w:w="1417" w:type="dxa"/>
            <w:tcBorders>
              <w:top w:val="nil"/>
              <w:left w:val="nil"/>
              <w:bottom w:val="single" w:sz="8" w:space="0" w:color="auto"/>
              <w:right w:val="single" w:sz="8" w:space="0" w:color="auto"/>
            </w:tcBorders>
            <w:shd w:val="clear" w:color="auto" w:fill="auto"/>
            <w:vAlign w:val="center"/>
          </w:tcPr>
          <w:p w14:paraId="51415B73" w14:textId="20BBAFD3"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{{一、营业收入}}</w:t>
            </w:r>
          </w:p>
        </w:tc>
        <w:tc>
          <w:tcPr>
            <w:tcW w:w="1418" w:type="dxa"/>
            <w:tcBorders>
              <w:top w:val="nil"/>
              <w:left w:val="nil"/>
              <w:bottom w:val="single" w:sz="8" w:space="0" w:color="auto"/>
              <w:right w:val="single" w:sz="8" w:space="0" w:color="auto"/>
            </w:tcBorders>
            <w:shd w:val="clear" w:color="auto" w:fill="auto"/>
            <w:vAlign w:val="center"/>
          </w:tcPr>
          <w:p w14:paraId="535E2EF5"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F3C4139" w14:textId="5B54F33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13,250,837.84</w:t>
            </w:r>
          </w:p>
        </w:tc>
        <w:tc>
          <w:tcPr>
            <w:tcW w:w="1323" w:type="dxa"/>
            <w:tcBorders>
              <w:top w:val="nil"/>
              <w:left w:val="nil"/>
              <w:bottom w:val="single" w:sz="8" w:space="0" w:color="auto"/>
              <w:right w:val="single" w:sz="8" w:space="0" w:color="auto"/>
            </w:tcBorders>
            <w:shd w:val="clear" w:color="auto" w:fill="auto"/>
            <w:vAlign w:val="center"/>
          </w:tcPr>
          <w:p w14:paraId="259F07D8" w14:textId="65035C58"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139,170.23</w:t>
            </w:r>
          </w:p>
        </w:tc>
        <w:tc>
          <w:tcPr>
            <w:tcW w:w="1417" w:type="dxa"/>
            <w:tcBorders>
              <w:top w:val="nil"/>
              <w:left w:val="nil"/>
              <w:bottom w:val="single" w:sz="8" w:space="0" w:color="auto"/>
              <w:right w:val="single" w:sz="8" w:space="0" w:color="auto"/>
            </w:tcBorders>
            <w:shd w:val="clear" w:color="auto" w:fill="auto"/>
            <w:vAlign w:val="center"/>
          </w:tcPr>
          <w:p w14:paraId="60FC9EAB" w14:textId="4CFA943A"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273,356,327.70</w:t>
            </w:r>
          </w:p>
        </w:tc>
      </w:tr>
      <w:tr w:rsidR="004D1721" w14:paraId="1FD04DF9"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36EBF45E"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其中：主营业务收入</w:t>
            </w:r>
          </w:p>
        </w:tc>
        <w:tc>
          <w:tcPr>
            <w:tcW w:w="1417" w:type="dxa"/>
            <w:tcBorders>
              <w:top w:val="nil"/>
              <w:left w:val="nil"/>
              <w:bottom w:val="single" w:sz="8" w:space="0" w:color="auto"/>
              <w:right w:val="single" w:sz="8" w:space="0" w:color="auto"/>
            </w:tcBorders>
            <w:shd w:val="clear" w:color="auto" w:fill="auto"/>
            <w:vAlign w:val="center"/>
          </w:tcPr>
          <w:p w14:paraId="150A90FE" w14:textId="4415635D"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　　　　其中：主营业务收入}}</w:t>
            </w:r>
          </w:p>
        </w:tc>
        <w:tc>
          <w:tcPr>
            <w:tcW w:w="1418" w:type="dxa"/>
            <w:tcBorders>
              <w:top w:val="nil"/>
              <w:left w:val="nil"/>
              <w:bottom w:val="single" w:sz="8" w:space="0" w:color="auto"/>
              <w:right w:val="single" w:sz="8" w:space="0" w:color="auto"/>
            </w:tcBorders>
            <w:shd w:val="clear" w:color="auto" w:fill="auto"/>
            <w:vAlign w:val="center"/>
          </w:tcPr>
          <w:p w14:paraId="516927C1"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4A26FBE4" w14:textId="0391CF04"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12,953,423.52</w:t>
            </w:r>
          </w:p>
        </w:tc>
        <w:tc>
          <w:tcPr>
            <w:tcW w:w="1323" w:type="dxa"/>
            <w:tcBorders>
              <w:top w:val="nil"/>
              <w:left w:val="nil"/>
              <w:bottom w:val="single" w:sz="8" w:space="0" w:color="auto"/>
              <w:right w:val="single" w:sz="8" w:space="0" w:color="auto"/>
            </w:tcBorders>
            <w:shd w:val="clear" w:color="auto" w:fill="auto"/>
            <w:vAlign w:val="center"/>
          </w:tcPr>
          <w:p w14:paraId="549A3F6E" w14:textId="77777777"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47,472.11</w:t>
            </w:r>
          </w:p>
        </w:tc>
        <w:tc>
          <w:tcPr>
            <w:tcW w:w="1417" w:type="dxa"/>
            <w:tcBorders>
              <w:top w:val="nil"/>
              <w:left w:val="nil"/>
              <w:bottom w:val="single" w:sz="8" w:space="0" w:color="auto"/>
              <w:right w:val="single" w:sz="8" w:space="0" w:color="auto"/>
            </w:tcBorders>
            <w:shd w:val="clear" w:color="auto" w:fill="auto"/>
            <w:vAlign w:val="center"/>
          </w:tcPr>
          <w:p w14:paraId="3C80447D" w14:textId="0BBF72F8"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272,775,438.29</w:t>
            </w:r>
          </w:p>
        </w:tc>
      </w:tr>
      <w:tr w:rsidR="004D1721" w14:paraId="157C7DD0"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154C05C7"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减：营业成本</w:t>
            </w:r>
          </w:p>
        </w:tc>
        <w:tc>
          <w:tcPr>
            <w:tcW w:w="1417" w:type="dxa"/>
            <w:tcBorders>
              <w:top w:val="nil"/>
              <w:left w:val="nil"/>
              <w:bottom w:val="single" w:sz="8" w:space="0" w:color="auto"/>
              <w:right w:val="single" w:sz="8" w:space="0" w:color="auto"/>
            </w:tcBorders>
            <w:shd w:val="clear" w:color="auto" w:fill="auto"/>
            <w:vAlign w:val="center"/>
          </w:tcPr>
          <w:p w14:paraId="20865F3D" w14:textId="4AAA5581"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　减：营业成本}}</w:t>
            </w:r>
          </w:p>
        </w:tc>
        <w:tc>
          <w:tcPr>
            <w:tcW w:w="1418" w:type="dxa"/>
            <w:tcBorders>
              <w:top w:val="nil"/>
              <w:left w:val="nil"/>
              <w:bottom w:val="single" w:sz="8" w:space="0" w:color="auto"/>
              <w:right w:val="single" w:sz="8" w:space="0" w:color="auto"/>
            </w:tcBorders>
            <w:shd w:val="clear" w:color="auto" w:fill="auto"/>
            <w:vAlign w:val="center"/>
          </w:tcPr>
          <w:p w14:paraId="5E00669F"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06DDC32" w14:textId="039F25A9"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11,572,919.76</w:t>
            </w:r>
          </w:p>
        </w:tc>
        <w:tc>
          <w:tcPr>
            <w:tcW w:w="1323" w:type="dxa"/>
            <w:tcBorders>
              <w:top w:val="nil"/>
              <w:left w:val="nil"/>
              <w:bottom w:val="single" w:sz="8" w:space="0" w:color="auto"/>
              <w:right w:val="single" w:sz="8" w:space="0" w:color="auto"/>
            </w:tcBorders>
            <w:shd w:val="clear" w:color="auto" w:fill="auto"/>
            <w:vAlign w:val="center"/>
          </w:tcPr>
          <w:p w14:paraId="21A53C5D" w14:textId="0B74782C"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33,879.20</w:t>
            </w:r>
          </w:p>
        </w:tc>
        <w:tc>
          <w:tcPr>
            <w:tcW w:w="1417" w:type="dxa"/>
            <w:tcBorders>
              <w:top w:val="nil"/>
              <w:left w:val="nil"/>
              <w:bottom w:val="single" w:sz="8" w:space="0" w:color="auto"/>
              <w:right w:val="single" w:sz="8" w:space="0" w:color="auto"/>
            </w:tcBorders>
            <w:shd w:val="clear" w:color="auto" w:fill="auto"/>
            <w:vAlign w:val="center"/>
          </w:tcPr>
          <w:p w14:paraId="5B09793A" w14:textId="0E32F72B"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243,696,017.20</w:t>
            </w:r>
          </w:p>
        </w:tc>
      </w:tr>
      <w:tr w:rsidR="004D1721" w14:paraId="1BDB20F9"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63F362F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其中：主营业务成本</w:t>
            </w:r>
          </w:p>
        </w:tc>
        <w:tc>
          <w:tcPr>
            <w:tcW w:w="1417" w:type="dxa"/>
            <w:tcBorders>
              <w:top w:val="nil"/>
              <w:left w:val="nil"/>
              <w:bottom w:val="single" w:sz="8" w:space="0" w:color="auto"/>
              <w:right w:val="single" w:sz="8" w:space="0" w:color="auto"/>
            </w:tcBorders>
            <w:shd w:val="clear" w:color="auto" w:fill="auto"/>
            <w:vAlign w:val="center"/>
          </w:tcPr>
          <w:p w14:paraId="0B276AE1" w14:textId="5440F58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　　　　其中：主营业务成本}}</w:t>
            </w:r>
          </w:p>
        </w:tc>
        <w:tc>
          <w:tcPr>
            <w:tcW w:w="1418" w:type="dxa"/>
            <w:tcBorders>
              <w:top w:val="nil"/>
              <w:left w:val="nil"/>
              <w:bottom w:val="single" w:sz="8" w:space="0" w:color="auto"/>
              <w:right w:val="single" w:sz="8" w:space="0" w:color="auto"/>
            </w:tcBorders>
            <w:shd w:val="clear" w:color="auto" w:fill="auto"/>
            <w:vAlign w:val="center"/>
          </w:tcPr>
          <w:p w14:paraId="023BFD7A"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277EC96" w14:textId="5B180BC4"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11,572,919.76</w:t>
            </w:r>
          </w:p>
        </w:tc>
        <w:tc>
          <w:tcPr>
            <w:tcW w:w="1323" w:type="dxa"/>
            <w:tcBorders>
              <w:top w:val="nil"/>
              <w:left w:val="nil"/>
              <w:bottom w:val="single" w:sz="8" w:space="0" w:color="auto"/>
              <w:right w:val="single" w:sz="8" w:space="0" w:color="auto"/>
            </w:tcBorders>
            <w:shd w:val="clear" w:color="auto" w:fill="auto"/>
            <w:vAlign w:val="center"/>
          </w:tcPr>
          <w:p w14:paraId="5DBC2A55" w14:textId="77777777"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33,879.20</w:t>
            </w:r>
          </w:p>
        </w:tc>
        <w:tc>
          <w:tcPr>
            <w:tcW w:w="1417" w:type="dxa"/>
            <w:tcBorders>
              <w:top w:val="nil"/>
              <w:left w:val="nil"/>
              <w:bottom w:val="single" w:sz="8" w:space="0" w:color="auto"/>
              <w:right w:val="single" w:sz="8" w:space="0" w:color="auto"/>
            </w:tcBorders>
            <w:shd w:val="clear" w:color="auto" w:fill="auto"/>
            <w:vAlign w:val="center"/>
          </w:tcPr>
          <w:p w14:paraId="16B0E8AE" w14:textId="4488423C"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243,511,946.40</w:t>
            </w:r>
          </w:p>
        </w:tc>
      </w:tr>
      <w:tr w:rsidR="004D1721" w14:paraId="4F619177"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08CA80E"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营业税金及附加</w:t>
            </w:r>
          </w:p>
        </w:tc>
        <w:tc>
          <w:tcPr>
            <w:tcW w:w="1417" w:type="dxa"/>
            <w:tcBorders>
              <w:top w:val="nil"/>
              <w:left w:val="nil"/>
              <w:bottom w:val="single" w:sz="8" w:space="0" w:color="auto"/>
              <w:right w:val="single" w:sz="8" w:space="0" w:color="auto"/>
            </w:tcBorders>
            <w:shd w:val="clear" w:color="auto" w:fill="auto"/>
            <w:vAlign w:val="center"/>
          </w:tcPr>
          <w:p w14:paraId="6F17F261" w14:textId="3A61BE15"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　　　营业税金及附加}}</w:t>
            </w:r>
          </w:p>
        </w:tc>
        <w:tc>
          <w:tcPr>
            <w:tcW w:w="1418" w:type="dxa"/>
            <w:tcBorders>
              <w:top w:val="nil"/>
              <w:left w:val="nil"/>
              <w:bottom w:val="single" w:sz="8" w:space="0" w:color="auto"/>
              <w:right w:val="single" w:sz="8" w:space="0" w:color="auto"/>
            </w:tcBorders>
            <w:shd w:val="clear" w:color="auto" w:fill="auto"/>
            <w:vAlign w:val="center"/>
          </w:tcPr>
          <w:p w14:paraId="04BA7684"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0061626D" w14:textId="52C5EDA4"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4,667.79</w:t>
            </w:r>
          </w:p>
        </w:tc>
        <w:tc>
          <w:tcPr>
            <w:tcW w:w="1323" w:type="dxa"/>
            <w:tcBorders>
              <w:top w:val="nil"/>
              <w:left w:val="nil"/>
              <w:bottom w:val="single" w:sz="8" w:space="0" w:color="auto"/>
              <w:right w:val="single" w:sz="8" w:space="0" w:color="auto"/>
            </w:tcBorders>
            <w:shd w:val="clear" w:color="auto" w:fill="auto"/>
            <w:vAlign w:val="center"/>
          </w:tcPr>
          <w:p w14:paraId="3309931D" w14:textId="0E3A8765"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115D9D20" w14:textId="7668E6DC"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98,278.10</w:t>
            </w:r>
          </w:p>
        </w:tc>
      </w:tr>
      <w:tr w:rsidR="004D1721" w14:paraId="60D97BAA"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6D166EF3"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其中：主营业务税金及附加</w:t>
            </w:r>
          </w:p>
        </w:tc>
        <w:tc>
          <w:tcPr>
            <w:tcW w:w="1417" w:type="dxa"/>
            <w:tcBorders>
              <w:top w:val="nil"/>
              <w:left w:val="nil"/>
              <w:bottom w:val="single" w:sz="8" w:space="0" w:color="auto"/>
              <w:right w:val="single" w:sz="8" w:space="0" w:color="auto"/>
            </w:tcBorders>
            <w:shd w:val="clear" w:color="auto" w:fill="auto"/>
            <w:vAlign w:val="center"/>
          </w:tcPr>
          <w:p w14:paraId="10AB4FA0" w14:textId="7777777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　　　营业税金及附加}}</w:t>
            </w:r>
          </w:p>
        </w:tc>
        <w:tc>
          <w:tcPr>
            <w:tcW w:w="1418" w:type="dxa"/>
            <w:tcBorders>
              <w:top w:val="nil"/>
              <w:left w:val="nil"/>
              <w:bottom w:val="single" w:sz="8" w:space="0" w:color="auto"/>
              <w:right w:val="single" w:sz="8" w:space="0" w:color="auto"/>
            </w:tcBorders>
            <w:shd w:val="clear" w:color="auto" w:fill="auto"/>
            <w:vAlign w:val="center"/>
          </w:tcPr>
          <w:p w14:paraId="171A5D9B"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6985CACA" w14:textId="316D767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4,667.79</w:t>
            </w:r>
          </w:p>
        </w:tc>
        <w:tc>
          <w:tcPr>
            <w:tcW w:w="1323" w:type="dxa"/>
            <w:tcBorders>
              <w:top w:val="nil"/>
              <w:left w:val="nil"/>
              <w:bottom w:val="single" w:sz="8" w:space="0" w:color="auto"/>
              <w:right w:val="single" w:sz="8" w:space="0" w:color="auto"/>
            </w:tcBorders>
            <w:shd w:val="clear" w:color="auto" w:fill="auto"/>
            <w:vAlign w:val="center"/>
          </w:tcPr>
          <w:p w14:paraId="4CC18C29"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382AE680" w14:textId="7777777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98,278.10</w:t>
            </w:r>
          </w:p>
        </w:tc>
      </w:tr>
      <w:tr w:rsidR="004D1721" w14:paraId="29E1E2EB"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126A0752"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销售费用</w:t>
            </w:r>
          </w:p>
        </w:tc>
        <w:tc>
          <w:tcPr>
            <w:tcW w:w="1417" w:type="dxa"/>
            <w:tcBorders>
              <w:top w:val="nil"/>
              <w:left w:val="nil"/>
              <w:bottom w:val="single" w:sz="8" w:space="0" w:color="auto"/>
              <w:right w:val="single" w:sz="8" w:space="0" w:color="auto"/>
            </w:tcBorders>
            <w:shd w:val="clear" w:color="auto" w:fill="auto"/>
            <w:vAlign w:val="center"/>
          </w:tcPr>
          <w:p w14:paraId="08A7911C" w14:textId="4F66867A"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　　　销售费用}}</w:t>
            </w:r>
          </w:p>
        </w:tc>
        <w:tc>
          <w:tcPr>
            <w:tcW w:w="1418" w:type="dxa"/>
            <w:tcBorders>
              <w:top w:val="nil"/>
              <w:left w:val="nil"/>
              <w:bottom w:val="single" w:sz="8" w:space="0" w:color="auto"/>
              <w:right w:val="single" w:sz="8" w:space="0" w:color="auto"/>
            </w:tcBorders>
            <w:shd w:val="clear" w:color="auto" w:fill="auto"/>
            <w:vAlign w:val="center"/>
          </w:tcPr>
          <w:p w14:paraId="1F769B1E"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24298D5D" w14:textId="2B41C898"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26,720.00</w:t>
            </w:r>
          </w:p>
        </w:tc>
        <w:tc>
          <w:tcPr>
            <w:tcW w:w="1323" w:type="dxa"/>
            <w:tcBorders>
              <w:top w:val="nil"/>
              <w:left w:val="nil"/>
              <w:bottom w:val="single" w:sz="8" w:space="0" w:color="auto"/>
              <w:right w:val="single" w:sz="8" w:space="0" w:color="auto"/>
            </w:tcBorders>
            <w:shd w:val="clear" w:color="auto" w:fill="auto"/>
            <w:vAlign w:val="center"/>
          </w:tcPr>
          <w:p w14:paraId="6920FCDA" w14:textId="15B933A2"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31912FC2" w14:textId="7CFE7B1B"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562,576.46</w:t>
            </w:r>
          </w:p>
        </w:tc>
      </w:tr>
      <w:tr w:rsidR="004D1721" w14:paraId="088F1C33"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59CB291C"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管理费用</w:t>
            </w:r>
          </w:p>
        </w:tc>
        <w:tc>
          <w:tcPr>
            <w:tcW w:w="1417" w:type="dxa"/>
            <w:tcBorders>
              <w:top w:val="nil"/>
              <w:left w:val="nil"/>
              <w:bottom w:val="single" w:sz="8" w:space="0" w:color="auto"/>
              <w:right w:val="single" w:sz="8" w:space="0" w:color="auto"/>
            </w:tcBorders>
            <w:shd w:val="clear" w:color="auto" w:fill="auto"/>
            <w:vAlign w:val="center"/>
          </w:tcPr>
          <w:p w14:paraId="61F50BE9" w14:textId="49C5AFEC"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　　　管理费用}}</w:t>
            </w:r>
          </w:p>
        </w:tc>
        <w:tc>
          <w:tcPr>
            <w:tcW w:w="1418" w:type="dxa"/>
            <w:tcBorders>
              <w:top w:val="nil"/>
              <w:left w:val="nil"/>
              <w:bottom w:val="single" w:sz="8" w:space="0" w:color="auto"/>
              <w:right w:val="single" w:sz="8" w:space="0" w:color="auto"/>
            </w:tcBorders>
            <w:shd w:val="clear" w:color="auto" w:fill="auto"/>
            <w:vAlign w:val="center"/>
          </w:tcPr>
          <w:p w14:paraId="10D6C35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1A107DFB" w14:textId="3FFAC6FA"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729,641.84</w:t>
            </w:r>
          </w:p>
        </w:tc>
        <w:tc>
          <w:tcPr>
            <w:tcW w:w="1323" w:type="dxa"/>
            <w:tcBorders>
              <w:top w:val="nil"/>
              <w:left w:val="nil"/>
              <w:bottom w:val="single" w:sz="8" w:space="0" w:color="auto"/>
              <w:right w:val="single" w:sz="8" w:space="0" w:color="auto"/>
            </w:tcBorders>
            <w:shd w:val="clear" w:color="auto" w:fill="auto"/>
            <w:vAlign w:val="center"/>
          </w:tcPr>
          <w:p w14:paraId="05BDC175" w14:textId="12B04149"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5BB34C9D" w14:textId="0EC5468B"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15,362,250.31</w:t>
            </w:r>
          </w:p>
        </w:tc>
      </w:tr>
      <w:tr w:rsidR="004D1721" w14:paraId="13ED3D03"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753978FC"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研发费用</w:t>
            </w:r>
          </w:p>
        </w:tc>
        <w:tc>
          <w:tcPr>
            <w:tcW w:w="1417" w:type="dxa"/>
            <w:tcBorders>
              <w:top w:val="nil"/>
              <w:left w:val="nil"/>
              <w:bottom w:val="single" w:sz="8" w:space="0" w:color="auto"/>
              <w:right w:val="single" w:sz="8" w:space="0" w:color="auto"/>
            </w:tcBorders>
            <w:shd w:val="clear" w:color="auto" w:fill="auto"/>
            <w:vAlign w:val="center"/>
          </w:tcPr>
          <w:p w14:paraId="38E35F0C"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05C220CF"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037169B0"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30F0392A"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0ACDCAE4"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718CCD2F"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0F4A47B4"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财务费用</w:t>
            </w:r>
          </w:p>
        </w:tc>
        <w:tc>
          <w:tcPr>
            <w:tcW w:w="1417" w:type="dxa"/>
            <w:tcBorders>
              <w:top w:val="nil"/>
              <w:left w:val="nil"/>
              <w:bottom w:val="single" w:sz="8" w:space="0" w:color="auto"/>
              <w:right w:val="single" w:sz="8" w:space="0" w:color="auto"/>
            </w:tcBorders>
            <w:shd w:val="clear" w:color="auto" w:fill="auto"/>
            <w:vAlign w:val="center"/>
          </w:tcPr>
          <w:p w14:paraId="2FAD6CEE" w14:textId="412FFEBD"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　　　资产减值损失}}</w:t>
            </w:r>
          </w:p>
        </w:tc>
        <w:tc>
          <w:tcPr>
            <w:tcW w:w="1418" w:type="dxa"/>
            <w:tcBorders>
              <w:top w:val="nil"/>
              <w:left w:val="nil"/>
              <w:bottom w:val="single" w:sz="8" w:space="0" w:color="auto"/>
              <w:right w:val="single" w:sz="8" w:space="0" w:color="auto"/>
            </w:tcBorders>
            <w:shd w:val="clear" w:color="auto" w:fill="auto"/>
            <w:vAlign w:val="center"/>
          </w:tcPr>
          <w:p w14:paraId="2B38A434"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37002C24" w14:textId="694C73FF"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25,786.81</w:t>
            </w:r>
          </w:p>
        </w:tc>
        <w:tc>
          <w:tcPr>
            <w:tcW w:w="1323" w:type="dxa"/>
            <w:tcBorders>
              <w:top w:val="nil"/>
              <w:left w:val="nil"/>
              <w:bottom w:val="single" w:sz="8" w:space="0" w:color="auto"/>
              <w:right w:val="single" w:sz="8" w:space="0" w:color="auto"/>
            </w:tcBorders>
            <w:shd w:val="clear" w:color="auto" w:fill="auto"/>
            <w:vAlign w:val="center"/>
          </w:tcPr>
          <w:p w14:paraId="1CAA4556" w14:textId="350AE796"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4B32A911" w14:textId="7E63392F"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542,928.62</w:t>
            </w:r>
          </w:p>
        </w:tc>
      </w:tr>
      <w:tr w:rsidR="004D1721" w14:paraId="0131D495"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1A8866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资产减值损失</w:t>
            </w:r>
          </w:p>
        </w:tc>
        <w:tc>
          <w:tcPr>
            <w:tcW w:w="1417" w:type="dxa"/>
            <w:tcBorders>
              <w:top w:val="nil"/>
              <w:left w:val="nil"/>
              <w:bottom w:val="single" w:sz="8" w:space="0" w:color="auto"/>
              <w:right w:val="single" w:sz="8" w:space="0" w:color="auto"/>
            </w:tcBorders>
            <w:shd w:val="clear" w:color="auto" w:fill="auto"/>
            <w:vAlign w:val="center"/>
          </w:tcPr>
          <w:p w14:paraId="7937E5EA" w14:textId="6E601C93"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707C486D"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6AF378B4" w14:textId="78352FA1"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196A7C04" w14:textId="2B7139FC"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134,872.17</w:t>
            </w:r>
          </w:p>
        </w:tc>
        <w:tc>
          <w:tcPr>
            <w:tcW w:w="1417" w:type="dxa"/>
            <w:tcBorders>
              <w:top w:val="nil"/>
              <w:left w:val="nil"/>
              <w:bottom w:val="single" w:sz="8" w:space="0" w:color="auto"/>
              <w:right w:val="single" w:sz="8" w:space="0" w:color="auto"/>
            </w:tcBorders>
            <w:shd w:val="clear" w:color="auto" w:fill="auto"/>
            <w:vAlign w:val="center"/>
          </w:tcPr>
          <w:p w14:paraId="25246B37" w14:textId="31CA542F"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134,872.17</w:t>
            </w:r>
          </w:p>
        </w:tc>
      </w:tr>
      <w:tr w:rsidR="004D1721" w14:paraId="66FA1799"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6FB5030F"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加：公允价值变动收益（损失以“-”号填列）</w:t>
            </w:r>
            <w:r>
              <w:rPr>
                <w:rFonts w:ascii="Arial Narrow" w:eastAsia="仿宋_GB2312" w:hAnsi="Arial Narrow" w:cs="Arial"/>
                <w:color w:val="000000"/>
                <w:sz w:val="16"/>
                <w:szCs w:val="16"/>
              </w:rPr>
              <w:t/>
            </w:r>
            <w:r>
              <w:rPr>
                <w:rFonts w:ascii="Arial Narrow" w:eastAsia="仿宋_GB2312" w:hAnsi="Arial Narrow" w:cs="Arial"/>
                <w:color w:val="000000"/>
                <w:sz w:val="16"/>
                <w:szCs w:val="16"/>
              </w:rPr>
              <w:t/>
            </w:r>
          </w:p>
        </w:tc>
        <w:tc>
          <w:tcPr>
            <w:tcW w:w="1417" w:type="dxa"/>
            <w:tcBorders>
              <w:top w:val="nil"/>
              <w:left w:val="nil"/>
              <w:bottom w:val="single" w:sz="8" w:space="0" w:color="auto"/>
              <w:right w:val="single" w:sz="8" w:space="0" w:color="auto"/>
            </w:tcBorders>
            <w:shd w:val="clear" w:color="auto" w:fill="auto"/>
            <w:vAlign w:val="center"/>
          </w:tcPr>
          <w:p w14:paraId="0E4359BA"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48D5FC94"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4478298"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5669F056"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3935FB65"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14396A2B"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2368347B"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其他收益</w:t>
            </w:r>
            <w:r>
              <w:rPr>
                <w:rFonts w:ascii="Arial Narrow" w:eastAsia="仿宋_GB2312" w:hAnsi="Arial Narrow" w:cs="Arial"/>
                <w:color w:val="000000"/>
                <w:sz w:val="16"/>
                <w:szCs w:val="16"/>
              </w:rPr>
              <w:t/>
            </w:r>
          </w:p>
        </w:tc>
        <w:tc>
          <w:tcPr>
            <w:tcW w:w="1417" w:type="dxa"/>
            <w:tcBorders>
              <w:top w:val="nil"/>
              <w:left w:val="nil"/>
              <w:bottom w:val="single" w:sz="8" w:space="0" w:color="auto"/>
              <w:right w:val="single" w:sz="8" w:space="0" w:color="auto"/>
            </w:tcBorders>
            <w:shd w:val="clear" w:color="auto" w:fill="auto"/>
            <w:vAlign w:val="center"/>
          </w:tcPr>
          <w:p w14:paraId="6FB21BBC"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1EDEFF53"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6BF5C8B9"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4F225C8A"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7444F35F"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745A2C8E"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79AAA166"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资产处置收益</w:t>
            </w:r>
          </w:p>
        </w:tc>
        <w:tc>
          <w:tcPr>
            <w:tcW w:w="1417" w:type="dxa"/>
            <w:tcBorders>
              <w:top w:val="nil"/>
              <w:left w:val="nil"/>
              <w:bottom w:val="single" w:sz="8" w:space="0" w:color="auto"/>
              <w:right w:val="single" w:sz="8" w:space="0" w:color="auto"/>
            </w:tcBorders>
            <w:shd w:val="clear" w:color="auto" w:fill="auto"/>
            <w:vAlign w:val="center"/>
          </w:tcPr>
          <w:p w14:paraId="21FEC59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45EEC4F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7406F76B"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4A4EACD8"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4749C6BD"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53F0512C"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26C3301"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投资收益（损失以“-”号填列）</w:t>
            </w:r>
            <w:r>
              <w:rPr>
                <w:rFonts w:ascii="Arial Narrow" w:eastAsia="仿宋_GB2312" w:hAnsi="Arial Narrow" w:cs="Arial"/>
                <w:color w:val="000000"/>
                <w:sz w:val="16"/>
                <w:szCs w:val="16"/>
              </w:rPr>
              <w:t/>
            </w:r>
            <w:r>
              <w:rPr>
                <w:rFonts w:ascii="Arial Narrow" w:eastAsia="仿宋_GB2312" w:hAnsi="Arial Narrow" w:cs="Arial"/>
                <w:color w:val="000000"/>
                <w:sz w:val="16"/>
                <w:szCs w:val="16"/>
              </w:rPr>
              <w:t/>
            </w:r>
          </w:p>
        </w:tc>
        <w:tc>
          <w:tcPr>
            <w:tcW w:w="1417" w:type="dxa"/>
            <w:tcBorders>
              <w:top w:val="nil"/>
              <w:left w:val="nil"/>
              <w:bottom w:val="single" w:sz="8" w:space="0" w:color="auto"/>
              <w:right w:val="single" w:sz="8" w:space="0" w:color="auto"/>
            </w:tcBorders>
            <w:shd w:val="clear" w:color="auto" w:fill="auto"/>
            <w:vAlign w:val="center"/>
          </w:tcPr>
          <w:p w14:paraId="4BED8B19"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72FE20D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1A3E9B05" w14:textId="3A0C6E89"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90,302.14</w:t>
            </w:r>
          </w:p>
        </w:tc>
        <w:tc>
          <w:tcPr>
            <w:tcW w:w="1323" w:type="dxa"/>
            <w:tcBorders>
              <w:top w:val="nil"/>
              <w:left w:val="nil"/>
              <w:bottom w:val="single" w:sz="8" w:space="0" w:color="auto"/>
              <w:right w:val="single" w:sz="8" w:space="0" w:color="auto"/>
            </w:tcBorders>
            <w:shd w:val="clear" w:color="auto" w:fill="auto"/>
            <w:vAlign w:val="center"/>
          </w:tcPr>
          <w:p w14:paraId="6ECDCA3B" w14:textId="77777777" w:rsidR="004D1721" w:rsidRDefault="004D1721">
            <w:pPr>
              <w:ind w:leftChars="-40" w:left="-80" w:rightChars="-20" w:right="-40"/>
              <w:jc w:val="right"/>
              <w:rPr>
                <w:rFonts w:ascii="Arial Narrow" w:eastAsia="仿宋_GB2312" w:hAnsi="Arial Narrow" w:cs="Arial"/>
                <w:color w:val="000000"/>
                <w:sz w:val="16"/>
                <w:szCs w:val="16"/>
              </w:rPr>
            </w:pPr>
          </w:p>
        </w:tc>
        <w:tc>
          <w:tcPr>
            <w:tcW w:w="1417" w:type="dxa"/>
            <w:tcBorders>
              <w:top w:val="nil"/>
              <w:left w:val="nil"/>
              <w:bottom w:val="single" w:sz="8" w:space="0" w:color="auto"/>
              <w:right w:val="single" w:sz="8" w:space="0" w:color="auto"/>
            </w:tcBorders>
            <w:shd w:val="clear" w:color="auto" w:fill="auto"/>
            <w:vAlign w:val="center"/>
          </w:tcPr>
          <w:p w14:paraId="67D43B35" w14:textId="09F940FC"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90,302.14</w:t>
            </w:r>
          </w:p>
        </w:tc>
      </w:tr>
      <w:tr w:rsidR="004D1721" w14:paraId="116E65B2"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566D48F"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其中：对联营企业和合营企业的投资收益</w:t>
            </w:r>
          </w:p>
        </w:tc>
        <w:tc>
          <w:tcPr>
            <w:tcW w:w="1417" w:type="dxa"/>
            <w:tcBorders>
              <w:top w:val="nil"/>
              <w:left w:val="nil"/>
              <w:bottom w:val="single" w:sz="8" w:space="0" w:color="auto"/>
              <w:right w:val="single" w:sz="8" w:space="0" w:color="auto"/>
            </w:tcBorders>
            <w:shd w:val="clear" w:color="auto" w:fill="auto"/>
            <w:vAlign w:val="center"/>
          </w:tcPr>
          <w:p w14:paraId="14F5480B"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20D99C8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75681F1"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2CC3DC69"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70EB6429"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7C02E05F"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5340074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二、营业利润（亏损以“-”号填列）</w:t>
            </w:r>
            <w:r>
              <w:rPr>
                <w:rFonts w:ascii="Arial Narrow" w:eastAsia="仿宋_GB2312" w:hAnsi="Arial Narrow" w:cs="Arial"/>
                <w:color w:val="000000"/>
                <w:sz w:val="16"/>
                <w:szCs w:val="16"/>
              </w:rPr>
              <w:t/>
            </w:r>
            <w:r>
              <w:rPr>
                <w:rFonts w:ascii="Arial Narrow" w:eastAsia="仿宋_GB2312" w:hAnsi="Arial Narrow" w:cs="Arial"/>
                <w:color w:val="000000"/>
                <w:sz w:val="16"/>
                <w:szCs w:val="16"/>
              </w:rPr>
              <w:t/>
            </w:r>
          </w:p>
        </w:tc>
        <w:tc>
          <w:tcPr>
            <w:tcW w:w="1417" w:type="dxa"/>
            <w:tcBorders>
              <w:top w:val="nil"/>
              <w:left w:val="nil"/>
              <w:bottom w:val="single" w:sz="8" w:space="0" w:color="auto"/>
              <w:right w:val="single" w:sz="8" w:space="0" w:color="auto"/>
            </w:tcBorders>
            <w:shd w:val="clear" w:color="auto" w:fill="auto"/>
            <w:vAlign w:val="center"/>
          </w:tcPr>
          <w:p w14:paraId="5A62F4D2" w14:textId="3A3EB46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12,097,884.34</w:t>
            </w:r>
          </w:p>
        </w:tc>
        <w:tc>
          <w:tcPr>
            <w:tcW w:w="1418" w:type="dxa"/>
            <w:tcBorders>
              <w:top w:val="nil"/>
              <w:left w:val="nil"/>
              <w:bottom w:val="single" w:sz="8" w:space="0" w:color="auto"/>
              <w:right w:val="single" w:sz="8" w:space="0" w:color="auto"/>
            </w:tcBorders>
            <w:shd w:val="clear" w:color="auto" w:fill="auto"/>
            <w:vAlign w:val="center"/>
          </w:tcPr>
          <w:p w14:paraId="2156FC93"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2124568A" w14:textId="129B9762"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891,101.64</w:t>
            </w:r>
          </w:p>
        </w:tc>
        <w:tc>
          <w:tcPr>
            <w:tcW w:w="1323" w:type="dxa"/>
            <w:tcBorders>
              <w:top w:val="nil"/>
              <w:left w:val="nil"/>
              <w:bottom w:val="single" w:sz="8" w:space="0" w:color="auto"/>
              <w:right w:val="single" w:sz="8" w:space="0" w:color="auto"/>
            </w:tcBorders>
            <w:shd w:val="clear" w:color="auto" w:fill="auto"/>
            <w:vAlign w:val="center"/>
          </w:tcPr>
          <w:p w14:paraId="0A18BC62" w14:textId="760B3469"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60,721.00</w:t>
            </w:r>
          </w:p>
        </w:tc>
        <w:tc>
          <w:tcPr>
            <w:tcW w:w="1417" w:type="dxa"/>
            <w:tcBorders>
              <w:top w:val="nil"/>
              <w:left w:val="nil"/>
              <w:bottom w:val="single" w:sz="8" w:space="0" w:color="auto"/>
              <w:right w:val="single" w:sz="8" w:space="0" w:color="auto"/>
            </w:tcBorders>
            <w:shd w:val="clear" w:color="auto" w:fill="auto"/>
            <w:vAlign w:val="center"/>
          </w:tcPr>
          <w:p w14:paraId="71FFC3AE" w14:textId="26E6879F"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13,049,706.98</w:t>
            </w:r>
          </w:p>
        </w:tc>
      </w:tr>
    </w:tbl>
    <w:p w14:paraId="15668796" w14:textId="77777777" w:rsidR="004D1721" w:rsidRDefault="009B16BC">
      <w:pPr>
        <w:spacing w:beforeLines="50" w:before="163" w:afterLines="50" w:after="163" w:line="360" w:lineRule="auto"/>
        <w:ind w:firstLineChars="200" w:firstLine="440"/>
        <w:jc w:val="both"/>
        <w:rPr>
          <w:rFonts w:ascii="Arial Narrow" w:eastAsia="仿宋_GB2312" w:hAnsi="Arial Narrow" w:cs="Arial"/>
          <w:sz w:val="22"/>
          <w:szCs w:val="22"/>
        </w:rPr>
        <w:sectPr w:rsidR="004D1721">
          <w:pgSz w:w="11906" w:h="16838"/>
          <w:pgMar w:top="1440" w:right="1800" w:bottom="1440" w:left="1800" w:header="709" w:footer="709" w:gutter="0"/>
          <w:cols w:space="720"/>
          <w:docGrid w:type="lines" w:linePitch="326"/>
        </w:sectPr>
      </w:pPr>
      <w:r>
        <w:rPr>
          <w:rFonts w:ascii="Arial Narrow" w:eastAsia="仿宋_GB2312" w:hAnsi="Arial Narrow" w:cs="Arial"/>
          <w:sz w:val="22"/>
          <w:szCs w:val="22"/>
        </w:rPr>
        <w:t>注：各项税金、费用、其他收益等，无法根据境内关联交易、非关联交易明确区分的，以收入比重拆分。</w:t>
      </w:r>
    </w:p>
    <w:p w14:paraId="196C4EB3" w14:textId="77777777" w:rsidR="004D1721" w:rsidRDefault="009B16BC">
      <w:pPr>
        <w:pStyle w:val="ListParagraph1"/>
      </w:pPr>
      <w:bookmarkStart w:id="1154" w:name="_Toc53229114"/>
      <w:bookmarkStart w:id="1155" w:name="_Toc140505179"/>
      <w:bookmarkStart w:id="1156" w:name="_Toc50477151"/>
      <w:r>
        <w:lastRenderedPageBreak/>
        <w:t>附件3被选可比公司的业务简介</w:t>
      </w:r>
      <w:r>
        <w:t/>
      </w:r>
      <w:r>
        <w:t/>
      </w:r>
      <w:bookmarkEnd w:id="1149"/>
      <w:bookmarkEnd w:id="1154"/>
      <w:bookmarkEnd w:id="1155"/>
      <w:bookmarkEnd w:id="1156"/>
    </w:p>
    <w:p w14:paraId="6B13EE42" w14:textId="77777777" w:rsidR="004D1721" w:rsidRDefault="009B16BC">
      <w:pPr>
        <w:spacing w:line="360" w:lineRule="auto"/>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 xml:space="preserve">SHISEIDO COMPANY LIMITED （日本）</w:t>
      </w:r>
      <w:r>
        <w:rPr>
          <w:rFonts w:ascii="Arial Narrow" w:eastAsia="仿宋_GB2312" w:hAnsi="Arial Narrow" w:cs="Arial"/>
          <w:b/>
          <w:bCs/>
          <w:i/>
          <w:color w:val="002060"/>
          <w:sz w:val="22"/>
          <w:szCs w:val="22"/>
        </w:rPr>
        <w:t/>
      </w:r>
    </w:p>
    <w:p w14:paraId="76A853E2"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i/>
          <w:color w:val="009CDE"/>
          <w:sz w:val="22"/>
        </w:rPr>
      </w:pPr>
      <w:r>
        <w:rPr>
          <w:rFonts w:ascii="Arial Narrow" w:eastAsia="仿宋_GB2312" w:hAnsi="Arial Narrow" w:cs="Arial"/>
          <w:sz w:val="22"/>
          <w:szCs w:val="22"/>
        </w:rPr>
        <w:t>该公司是日本主要的护发和化妆品生产商，也是世界上历史最悠久的化妆品公司。该公司的主要业务是制造和销售化妆品、洗漱用品和美容产品。自营化妆品牌主要有Aupress、Cle de Peau Beaute、PURE&amp;Minor、Maquillage。</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2A6F352"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KOSE CORPORATION（日本）</w:t>
      </w:r>
      <w:r>
        <w:rPr>
          <w:rFonts w:ascii="Arial Narrow" w:eastAsia="仿宋_GB2312" w:hAnsi="Arial Narrow" w:cs="Arial"/>
          <w:b/>
          <w:bCs/>
          <w:i/>
          <w:color w:val="002060"/>
          <w:sz w:val="22"/>
          <w:szCs w:val="22"/>
        </w:rPr>
        <w:t/>
      </w:r>
    </w:p>
    <w:p w14:paraId="49D1721F"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i/>
          <w:color w:val="009CDE"/>
          <w:sz w:val="22"/>
        </w:rPr>
      </w:pPr>
      <w:r>
        <w:rPr>
          <w:rFonts w:ascii="Arial Narrow" w:eastAsia="仿宋_GB2312" w:hAnsi="Arial Narrow" w:cs="Arial"/>
          <w:sz w:val="22"/>
          <w:szCs w:val="22"/>
        </w:rPr>
        <w:t>该公司位于日本，从事化妆品、护肤品和护发用品的生产和销售。主要品牌包括Astalution、Infinity、Cosme Decorte AQ、Cosme Decorte、Jill Stuart、Stephen Knoll、Aware、Beaute de KOSE、Espirique Precious和Rimmel等。公司产品通过其子公司在零售、百货和百货商店以及其他销售渠道销售。该公司在中国大陆、台湾、韩国和美国都有业务。</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313E73B"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AFC-HD AMS LIFE SCIENCE CO., LTD.（日本）</w:t>
      </w:r>
      <w:r>
        <w:rPr>
          <w:rFonts w:ascii="Arial Narrow" w:eastAsia="仿宋_GB2312" w:hAnsi="Arial Narrow" w:cs="Arial"/>
          <w:b/>
          <w:bCs/>
          <w:i/>
          <w:color w:val="002060"/>
          <w:sz w:val="22"/>
          <w:szCs w:val="22"/>
        </w:rPr>
        <w:t/>
      </w:r>
      <w:r>
        <w:rPr>
          <w:rFonts w:ascii="Arial Narrow" w:eastAsia="仿宋_GB2312" w:hAnsi="Arial Narrow" w:cs="Arial" w:hint="eastAsia"/>
          <w:b/>
          <w:bCs/>
          <w:i/>
          <w:color w:val="002060"/>
          <w:sz w:val="22"/>
          <w:szCs w:val="22"/>
          <w:lang w:eastAsia="zh-Hans"/>
        </w:rPr>
        <w:t/>
      </w:r>
      <w:r>
        <w:rPr>
          <w:rFonts w:ascii="Arial Narrow" w:eastAsia="仿宋_GB2312" w:hAnsi="Arial Narrow" w:cs="Arial"/>
          <w:b/>
          <w:bCs/>
          <w:i/>
          <w:color w:val="002060"/>
          <w:sz w:val="22"/>
          <w:szCs w:val="22"/>
        </w:rPr>
        <w:t/>
      </w:r>
    </w:p>
    <w:p w14:paraId="2D9A7F5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lang w:eastAsia="zh-Hans"/>
        </w:rPr>
        <w:t>该公司在日本和国际上从事保健食品和化妆品的生产。其活动包括规划、研究、开发、加工和完成膳食补充剂和化妆品。其化妆品产品包括面部清洁油、面部乳液、乳白色乳液、化妆油、清洁霜和液体化妆品。该公司成立于1969年，总部位于日本静冈。</w:t>
      </w:r>
      <w:r>
        <w:rPr>
          <w:rFonts w:ascii="Arial Narrow" w:eastAsia="仿宋_GB2312" w:hAnsi="Arial Narrow" w:cs="Arial"/>
          <w:sz w:val="22"/>
          <w:szCs w:val="22"/>
          <w:lang w:eastAsia="zh-Hans"/>
        </w:rPr>
        <w:t/>
      </w:r>
      <w:r>
        <w:rPr>
          <w:rFonts w:ascii="Arial Narrow" w:eastAsia="仿宋_GB2312" w:hAnsi="Arial Narrow" w:cs="Arial" w:hint="eastAsia"/>
          <w:sz w:val="22"/>
          <w:szCs w:val="22"/>
          <w:lang w:eastAsia="zh-Hans"/>
        </w:rPr>
        <w:t/>
      </w:r>
    </w:p>
    <w:p w14:paraId="1B146D07" w14:textId="77777777" w:rsidR="004D1721" w:rsidRDefault="009B16BC">
      <w:pPr>
        <w:spacing w:line="360" w:lineRule="auto"/>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S &amp; J INTERNATIONAL ENTERPRISES PCL（泰国）</w:t>
      </w:r>
      <w:r>
        <w:rPr>
          <w:rFonts w:ascii="Arial Narrow" w:eastAsia="仿宋_GB2312" w:hAnsi="Arial Narrow" w:cs="Arial"/>
          <w:b/>
          <w:bCs/>
          <w:i/>
          <w:color w:val="002060"/>
          <w:sz w:val="22"/>
          <w:szCs w:val="22"/>
        </w:rPr>
        <w:t/>
      </w:r>
    </w:p>
    <w:p w14:paraId="79A75B0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该公司生产、销售和出口各种品牌的化妆品配方和个人护理产品。公司主要从事香水、古龙水、沐浴露、面霜和其他相关化妆品的生产和销售。</w:t>
      </w:r>
    </w:p>
    <w:p w14:paraId="245C8300"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NIPPON SHIKIZAI INC（日本）</w:t>
      </w:r>
      <w:r>
        <w:rPr>
          <w:rFonts w:ascii="Arial Narrow" w:eastAsia="仿宋_GB2312" w:hAnsi="Arial Narrow" w:cs="Arial"/>
          <w:b/>
          <w:bCs/>
          <w:i/>
          <w:color w:val="002060"/>
          <w:sz w:val="22"/>
          <w:szCs w:val="22"/>
        </w:rPr>
        <w:t/>
      </w:r>
    </w:p>
    <w:p w14:paraId="0C1A4DE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该公司主要从事化妆品、基础化妆品、准药物的研发和生产。公司的化妆品种类包括粉底、眼影、胭脂、口红、唇膏、保湿剂和防晒乳液，药妆包括益康唑、药用牙膏、漱口水、洗耳水和女性卫生用品。公司的主要客户是化妆品和制药行业，其生产工厂位于日本和法国。</w:t>
      </w:r>
      <w:r>
        <w:rPr>
          <w:rFonts w:ascii="Arial Narrow" w:eastAsia="仿宋_GB2312" w:hAnsi="Arial Narrow" w:cs="Arial"/>
          <w:sz w:val="22"/>
          <w:szCs w:val="22"/>
        </w:rPr>
        <w:lastRenderedPageBreak/>
        <w:t/>
      </w:r>
    </w:p>
    <w:p w14:paraId="682C360B" w14:textId="77777777" w:rsidR="004D1721" w:rsidRDefault="009B16BC">
      <w:pPr>
        <w:spacing w:beforeLines="50" w:before="180" w:afterLines="50" w:after="180"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COREANA COSMETICS CO.,LTD.（韩国）</w:t>
      </w:r>
      <w:r>
        <w:rPr>
          <w:rFonts w:ascii="Arial Narrow" w:eastAsia="仿宋_GB2312" w:hAnsi="Arial Narrow" w:cs="Arial"/>
          <w:b/>
          <w:bCs/>
          <w:i/>
          <w:color w:val="002060"/>
          <w:sz w:val="22"/>
          <w:szCs w:val="22"/>
        </w:rPr>
        <w:t/>
      </w:r>
    </w:p>
    <w:p w14:paraId="03221FA3"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i/>
          <w:color w:val="009CDE"/>
          <w:sz w:val="22"/>
        </w:rPr>
      </w:pPr>
      <w:r>
        <w:rPr>
          <w:rFonts w:ascii="Arial Narrow" w:eastAsia="仿宋_GB2312" w:hAnsi="Arial Narrow" w:cs="Arial"/>
          <w:sz w:val="22"/>
          <w:szCs w:val="22"/>
        </w:rPr>
        <w:t>该公司是一家在韩国和国际上从事化妆品和美容产品制造和销售的公司。公司主要产品分为三大类：护肤品、化妆品和身体及香水产品。护肤品包括洗面奶、面膜、润肤水、精华液、眼霜、保湿霜和面霜。彩妆产品包括粉底、粉底、粉底粉、腮红、眉笔、眼影、眼线、睫毛膏等。身体及香水产品包括洗发水、护发素、喷雾、身体清洁剂、肥皂、抗皱霜、美白霜、防晒霜和其他相关产品。这些产品以以下品牌销售：Bio Defense、Coreana、Entia、Nokdu、Remit、Senite、Develop和Zebec。产品远销国内外，包括中国、中国台湾、蒙古、澳大利亚、越南、新加坡和美国。</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F24694F"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HANKOOK COSMETICS MANUFACTURING CO., LTD.（韩国）</w:t>
      </w:r>
      <w:r>
        <w:rPr>
          <w:rFonts w:ascii="Arial Narrow" w:eastAsia="仿宋_GB2312" w:hAnsi="Arial Narrow" w:cs="Arial"/>
          <w:b/>
          <w:bCs/>
          <w:i/>
          <w:color w:val="002060"/>
          <w:sz w:val="22"/>
          <w:szCs w:val="22"/>
        </w:rPr>
        <w:t/>
      </w:r>
    </w:p>
    <w:p w14:paraId="42E8E54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该公司主要从事香水、化妆品和其他卫生间制剂的制造。该公司为皮肤提供基础、清洁、美白和化妆产品，以及沐浴露和香水。公司销售的产品有A3F、caLLI、TENTURE、OSSION、SANSIM、CONTINUE HM、IDEM、GALENIC、ANNICK GOUTAL、XIAN、BEUTRI、CHESS The经典等品牌。其化妆品出口到美国、中国和日本。</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755FE75" w14:textId="77777777" w:rsidR="004D1721" w:rsidRDefault="009B16BC">
      <w:pPr>
        <w:spacing w:line="360" w:lineRule="auto"/>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MAYWUFA COMPANY LTD.（中国台湾）</w:t>
      </w:r>
      <w:r>
        <w:rPr>
          <w:rFonts w:ascii="Arial Narrow" w:eastAsia="仿宋_GB2312" w:hAnsi="Arial Narrow" w:cs="Arial"/>
          <w:b/>
          <w:bCs/>
          <w:i/>
          <w:color w:val="002060"/>
          <w:sz w:val="22"/>
          <w:szCs w:val="22"/>
        </w:rPr>
        <w:t/>
      </w:r>
    </w:p>
    <w:p w14:paraId="390FC3D8" w14:textId="34B7B6CB"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Pr>
          <w:rFonts w:ascii="Arial Narrow" w:eastAsia="仿宋_GB2312" w:hAnsi="Arial Narrow" w:cs="Arial" w:hint="eastAsia"/>
          <w:sz w:val="22"/>
          <w:szCs w:val="22"/>
        </w:rPr>
        <w:t>该公司从事各种医药、美发、美容产品及其他药店产品的研发、生产和分销。该公司的产品包括药品、医疗设备、营养保健食品、洗发水、沐浴乳、染发产品、香皂、定型产品和护发产品等。除产品外，该公司还提供化妆品（着色霜、热油、洗发水、沐浴露和强力防晒乳液）、健康用品、运动器材和相关设备、维生素丸、口服营养液、医疗产品、矿物质食品、婴儿用品。</w:t>
      </w:r>
    </w:p>
    <w:p w14:paraId="2CD8FA54" w14:textId="77777777" w:rsidR="004D1721" w:rsidRDefault="004D1721">
      <w:pPr>
        <w:spacing w:line="360" w:lineRule="auto"/>
        <w:rPr>
          <w:rFonts w:ascii="Arial Narrow" w:eastAsia="仿宋_GB2312" w:hAnsi="Arial Narrow" w:cs="Arial"/>
          <w:b/>
          <w:bCs/>
          <w:i/>
          <w:color w:val="009CDE"/>
          <w:sz w:val="22"/>
          <w:szCs w:val="22"/>
        </w:rPr>
      </w:pPr>
    </w:p>
    <w:p w14:paraId="1B083F96" w14:textId="77777777" w:rsidR="004D1721" w:rsidRDefault="004D1721">
      <w:pPr>
        <w:spacing w:line="360" w:lineRule="auto"/>
        <w:rPr>
          <w:rFonts w:ascii="Arial Narrow" w:eastAsia="仿宋_GB2312" w:hAnsi="Arial Narrow" w:cs="Arial"/>
          <w:b/>
          <w:bCs/>
          <w:i/>
          <w:color w:val="009CDE"/>
          <w:sz w:val="22"/>
          <w:szCs w:val="22"/>
        </w:rPr>
      </w:pPr>
    </w:p>
    <w:p w14:paraId="267C1384" w14:textId="348490E0" w:rsidR="004D1721" w:rsidRDefault="009B16BC">
      <w:pPr>
        <w:spacing w:line="360" w:lineRule="auto"/>
        <w:rPr>
          <w:rFonts w:ascii="Arial Narrow" w:eastAsia="仿宋_GB2312" w:hAnsi="Arial Narrow" w:cs="Arial"/>
          <w:b/>
          <w:bCs/>
          <w:i/>
          <w:color w:val="009CDE"/>
          <w:sz w:val="22"/>
          <w:szCs w:val="22"/>
        </w:rPr>
      </w:pPr>
      <w:r w:rsidRPr="005D08A5">
        <w:rPr>
          <w:rFonts w:ascii="Arial Narrow" w:eastAsia="仿宋_GB2312" w:hAnsi="Arial Narrow" w:cs="Arial"/>
          <w:b/>
          <w:bCs/>
          <w:i/>
          <w:color w:val="002060"/>
          <w:sz w:val="22"/>
          <w:szCs w:val="22"/>
        </w:rPr>
        <w:lastRenderedPageBreak/>
        <w:t>COSMAX BTI INC.（韩国）</w:t>
      </w:r>
      <w:r>
        <w:rPr>
          <w:rFonts w:ascii="Arial Narrow" w:eastAsia="仿宋_GB2312" w:hAnsi="Arial Narrow" w:cs="Arial"/>
          <w:b/>
          <w:bCs/>
          <w:i/>
          <w:color w:val="002060"/>
          <w:sz w:val="22"/>
          <w:szCs w:val="22"/>
        </w:rPr>
        <w:t/>
      </w:r>
      <w:r>
        <w:rPr>
          <w:rFonts w:ascii="Arial Narrow" w:eastAsia="仿宋_GB2312" w:hAnsi="Arial Narrow" w:cs="Arial" w:hint="eastAsia"/>
          <w:b/>
          <w:bCs/>
          <w:i/>
          <w:color w:val="002060"/>
          <w:sz w:val="22"/>
          <w:szCs w:val="22"/>
        </w:rPr>
        <w:t/>
      </w:r>
      <w:r>
        <w:rPr>
          <w:rFonts w:ascii="Arial Narrow" w:eastAsia="仿宋_GB2312" w:hAnsi="Arial Narrow" w:cs="Arial"/>
          <w:b/>
          <w:bCs/>
          <w:i/>
          <w:color w:val="002060"/>
          <w:sz w:val="22"/>
          <w:szCs w:val="22"/>
        </w:rPr>
        <w:t/>
      </w:r>
    </w:p>
    <w:p w14:paraId="0105875F" w14:textId="6F6ACF30"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sidRPr="005D08A5">
        <w:rPr>
          <w:rFonts w:ascii="Arial Narrow" w:eastAsia="仿宋_GB2312" w:hAnsi="Arial Narrow" w:cs="Arial" w:hint="eastAsia"/>
          <w:sz w:val="22"/>
          <w:szCs w:val="22"/>
        </w:rPr>
        <w:t>该公司生产的产品包括了护肤品(乳液，乳液，面霜和面膜)，化妆品(粉底，遮瑕膏，粉底，眼影和口红)，护发产品(发蜡，发胶，发型和剃须泡沫)，以及特殊功能产品(防晒，美白和抗皱)。其客户包括了爱茉莉太平洋公司、TheFaceShop、Forever 21、强生、考斯威、欧莱雅和美宝莲。该公司还与意大利的Intercos、日本的ITC和法国的CLC国际化妆品公司建立了合作伙伴关系。</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p>
    <w:p w14:paraId="4C2707E0"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1065F758"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sectPr w:rsidR="004D1721">
          <w:pgSz w:w="11907" w:h="16839"/>
          <w:pgMar w:top="1440" w:right="1800" w:bottom="1440" w:left="1800" w:header="850" w:footer="992" w:gutter="0"/>
          <w:cols w:space="720"/>
          <w:docGrid w:type="lines" w:linePitch="360"/>
        </w:sectPr>
      </w:pPr>
    </w:p>
    <w:p w14:paraId="32CE972D" w14:textId="77777777" w:rsidR="004D1721" w:rsidRDefault="009B16BC">
      <w:pPr>
        <w:pStyle w:val="ListParagraph1"/>
      </w:pPr>
      <w:bookmarkStart w:id="1157" w:name="_Toc50477152"/>
      <w:bookmarkStart w:id="1158" w:name="_Toc140505180"/>
      <w:bookmarkStart w:id="1159" w:name="_Toc53229115"/>
      <w:bookmarkStart w:id="1160" w:name="_Hlk417985670"/>
      <w:bookmarkStart w:id="1161" w:name="_Hlk418599089"/>
      <w:bookmarkStart w:id="1162" w:name="_Toc522015265"/>
      <w:bookmarkStart w:id="1163" w:name="_Hlk418937229"/>
      <w:r>
        <w:lastRenderedPageBreak/>
        <w:t>附件4被选可比公司完全成本加成率的计算</w:t>
      </w:r>
      <w:r>
        <w:t/>
      </w:r>
      <w:r>
        <w:t/>
      </w:r>
      <w:bookmarkEnd w:id="1157"/>
      <w:bookmarkEnd w:id="1158"/>
      <w:bookmarkEnd w:id="1159"/>
    </w:p>
    <w:p w14:paraId="3A8A79A2" w14:textId="35ECAAB6" w:rsidR="004D1721" w:rsidRPr="005D08A5" w:rsidRDefault="009B16BC">
      <w:pPr>
        <w:rPr>
          <w:rFonts w:ascii="Arial Narrow" w:eastAsia="仿宋_GB2312" w:hAnsi="Arial Narrow" w:cs="Arial"/>
          <w:b/>
          <w:bCs/>
          <w:i/>
          <w:color w:val="002060"/>
          <w:sz w:val="22"/>
          <w:szCs w:val="22"/>
        </w:rPr>
      </w:pPr>
      <w:r w:rsidRPr="005D08A5">
        <w:rPr>
          <w:rFonts w:ascii="Arial Narrow" w:eastAsia="仿宋_GB2312" w:hAnsi="Arial Narrow" w:cs="Arial" w:hint="eastAsia"/>
          <w:b/>
          <w:bCs/>
          <w:i/>
          <w:color w:val="002060"/>
          <w:sz w:val="22"/>
          <w:szCs w:val="22"/>
        </w:rPr>
        <w:t>可比公司2020-2022年度加权平均财务数据完全成本加成率计算表</w:t>
      </w:r>
      <w:r w:rsidRPr="005D08A5">
        <w:rPr>
          <w:rFonts w:ascii="Arial Narrow" w:eastAsia="仿宋_GB2312" w:hAnsi="Arial Narrow" w:cs="Arial"/>
          <w:b/>
          <w:bCs/>
          <w:i/>
          <w:color w:val="002060"/>
          <w:sz w:val="22"/>
          <w:szCs w:val="22"/>
        </w:rPr>
        <w:t/>
      </w:r>
      <w:r w:rsidRPr="005D08A5">
        <w:rPr>
          <w:rFonts w:ascii="Arial Narrow" w:eastAsia="仿宋_GB2312" w:hAnsi="Arial Narrow" w:cs="Arial" w:hint="eastAsia"/>
          <w:b/>
          <w:bCs/>
          <w:i/>
          <w:color w:val="002060"/>
          <w:sz w:val="22"/>
          <w:szCs w:val="22"/>
        </w:rPr>
        <w:t/>
      </w:r>
    </w:p>
    <w:tbl>
      <w:tblPr>
        <w:tblW w:w="143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0"/>
        <w:gridCol w:w="2434"/>
        <w:gridCol w:w="1076"/>
        <w:gridCol w:w="651"/>
        <w:gridCol w:w="1679"/>
        <w:gridCol w:w="1736"/>
        <w:gridCol w:w="1783"/>
        <w:gridCol w:w="1660"/>
        <w:gridCol w:w="1585"/>
        <w:gridCol w:w="1076"/>
      </w:tblGrid>
      <w:tr w:rsidR="004D1721" w14:paraId="421A58B3" w14:textId="77777777">
        <w:trPr>
          <w:trHeight w:val="397"/>
        </w:trPr>
        <w:tc>
          <w:tcPr>
            <w:tcW w:w="660" w:type="dxa"/>
            <w:shd w:val="clear" w:color="auto" w:fill="002060"/>
            <w:vAlign w:val="center"/>
          </w:tcPr>
          <w:p w14:paraId="700B0028"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序号</w:t>
            </w:r>
          </w:p>
        </w:tc>
        <w:tc>
          <w:tcPr>
            <w:tcW w:w="2434" w:type="dxa"/>
            <w:shd w:val="clear" w:color="auto" w:fill="002060"/>
            <w:vAlign w:val="center"/>
          </w:tcPr>
          <w:p w14:paraId="7111ED0C"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名称</w:t>
            </w:r>
          </w:p>
        </w:tc>
        <w:tc>
          <w:tcPr>
            <w:tcW w:w="1076" w:type="dxa"/>
            <w:shd w:val="clear" w:color="auto" w:fill="002060"/>
            <w:vAlign w:val="center"/>
          </w:tcPr>
          <w:p w14:paraId="57BFE290"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所属地</w:t>
            </w:r>
          </w:p>
        </w:tc>
        <w:tc>
          <w:tcPr>
            <w:tcW w:w="651" w:type="dxa"/>
            <w:shd w:val="clear" w:color="auto" w:fill="002060"/>
            <w:vAlign w:val="center"/>
          </w:tcPr>
          <w:p w14:paraId="77639C3B"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SIC代码</w:t>
            </w:r>
            <w:r>
              <w:rPr>
                <w:rFonts w:ascii="Arial Narrow" w:eastAsia="仿宋_GB2312" w:hAnsi="Arial Narrow" w:cs="Arial"/>
                <w:b/>
                <w:bCs/>
                <w:color w:val="FFFFFF" w:themeColor="background1"/>
              </w:rPr>
              <w:t/>
            </w:r>
          </w:p>
        </w:tc>
        <w:tc>
          <w:tcPr>
            <w:tcW w:w="1679" w:type="dxa"/>
            <w:shd w:val="clear" w:color="auto" w:fill="002060"/>
            <w:vAlign w:val="center"/>
          </w:tcPr>
          <w:p w14:paraId="436D6F2E"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销售收入</w:t>
            </w:r>
          </w:p>
        </w:tc>
        <w:tc>
          <w:tcPr>
            <w:tcW w:w="1736" w:type="dxa"/>
            <w:shd w:val="clear" w:color="auto" w:fill="002060"/>
            <w:vAlign w:val="center"/>
          </w:tcPr>
          <w:p w14:paraId="584F1957"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销售成本</w:t>
            </w:r>
          </w:p>
        </w:tc>
        <w:tc>
          <w:tcPr>
            <w:tcW w:w="1783" w:type="dxa"/>
            <w:shd w:val="clear" w:color="auto" w:fill="002060"/>
            <w:vAlign w:val="center"/>
          </w:tcPr>
          <w:p w14:paraId="6D8C1271"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销售费用和管理费用</w:t>
            </w:r>
          </w:p>
        </w:tc>
        <w:tc>
          <w:tcPr>
            <w:tcW w:w="1660" w:type="dxa"/>
            <w:shd w:val="clear" w:color="auto" w:fill="002060"/>
            <w:vAlign w:val="center"/>
          </w:tcPr>
          <w:p w14:paraId="31AC7236"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折旧和摊销</w:t>
            </w:r>
          </w:p>
        </w:tc>
        <w:tc>
          <w:tcPr>
            <w:tcW w:w="1585" w:type="dxa"/>
            <w:shd w:val="clear" w:color="auto" w:fill="002060"/>
            <w:vAlign w:val="center"/>
          </w:tcPr>
          <w:p w14:paraId="3FA65084"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营业利润</w:t>
            </w:r>
          </w:p>
        </w:tc>
        <w:tc>
          <w:tcPr>
            <w:tcW w:w="1076" w:type="dxa"/>
            <w:shd w:val="clear" w:color="auto" w:fill="002060"/>
            <w:vAlign w:val="center"/>
          </w:tcPr>
          <w:p w14:paraId="6A6BBC0E"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完全成本加成率</w:t>
            </w:r>
          </w:p>
        </w:tc>
      </w:tr>
      <w:tr w:rsidR="004D1721" w14:paraId="548DB77C" w14:textId="77777777">
        <w:trPr>
          <w:trHeight w:val="397"/>
        </w:trPr>
        <w:tc>
          <w:tcPr>
            <w:tcW w:w="660" w:type="dxa"/>
            <w:shd w:val="clear" w:color="000000" w:fill="FFFFFF"/>
            <w:vAlign w:val="center"/>
          </w:tcPr>
          <w:p w14:paraId="07C9AF49" w14:textId="77777777" w:rsidR="004D1721" w:rsidRDefault="009B16BC">
            <w:pPr>
              <w:jc w:val="center"/>
              <w:rPr>
                <w:rFonts w:ascii="Arial Narrow" w:eastAsia="仿宋_GB2312" w:hAnsi="Arial Narrow" w:cs="Arial"/>
              </w:rPr>
            </w:pPr>
            <w:r>
              <w:rPr>
                <w:rFonts w:ascii="Arial Narrow" w:eastAsia="仿宋_GB2312" w:hAnsi="Arial Narrow" w:cs="Arial"/>
              </w:rPr>
              <w:t>1</w:t>
            </w:r>
          </w:p>
        </w:tc>
        <w:tc>
          <w:tcPr>
            <w:tcW w:w="2434" w:type="dxa"/>
            <w:shd w:val="clear" w:color="000000" w:fill="FFFFFF"/>
            <w:vAlign w:val="center"/>
          </w:tcPr>
          <w:p w14:paraId="5F563858" w14:textId="77777777" w:rsidR="004D1721" w:rsidRDefault="009B16BC">
            <w:pPr>
              <w:rPr>
                <w:rFonts w:ascii="Arial Narrow" w:eastAsia="仿宋_GB2312" w:hAnsi="Arial Narrow" w:cs="Arial"/>
              </w:rPr>
            </w:pPr>
            <w:r>
              <w:rPr>
                <w:rFonts w:ascii="Arial Narrow" w:eastAsia="仿宋_GB2312" w:hAnsi="Arial Narrow" w:cs="Arial"/>
              </w:rPr>
              <w:t>SHISEIDO COMPANY LIMITED</w:t>
            </w:r>
          </w:p>
        </w:tc>
        <w:tc>
          <w:tcPr>
            <w:tcW w:w="1076" w:type="dxa"/>
            <w:shd w:val="clear" w:color="000000" w:fill="FFFFFF"/>
            <w:vAlign w:val="center"/>
          </w:tcPr>
          <w:p w14:paraId="09BC63FC" w14:textId="77777777" w:rsidR="004D1721" w:rsidRDefault="009B16BC">
            <w:pPr>
              <w:jc w:val="center"/>
              <w:rPr>
                <w:rFonts w:ascii="Arial Narrow" w:eastAsia="仿宋_GB2312" w:hAnsi="Arial Narrow" w:cs="Arial"/>
              </w:rPr>
            </w:pPr>
            <w:r>
              <w:rPr>
                <w:rFonts w:ascii="Arial Narrow" w:eastAsia="仿宋_GB2312" w:hAnsi="Arial Narrow" w:cs="Arial"/>
              </w:rPr>
              <w:t>日本</w:t>
            </w:r>
          </w:p>
        </w:tc>
        <w:tc>
          <w:tcPr>
            <w:tcW w:w="651" w:type="dxa"/>
            <w:shd w:val="clear" w:color="000000" w:fill="FFFFFF"/>
            <w:vAlign w:val="center"/>
          </w:tcPr>
          <w:p w14:paraId="1B547020"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115E2A3C"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999,403,000,000.00</w:t>
            </w:r>
          </w:p>
        </w:tc>
        <w:tc>
          <w:tcPr>
            <w:tcW w:w="1736" w:type="dxa"/>
            <w:vAlign w:val="center"/>
          </w:tcPr>
          <w:p w14:paraId="6486F285"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-204,725,333,333.33</w:t>
            </w:r>
          </w:p>
        </w:tc>
        <w:tc>
          <w:tcPr>
            <w:tcW w:w="1783" w:type="dxa"/>
            <w:shd w:val="clear" w:color="auto" w:fill="auto"/>
            <w:vAlign w:val="center"/>
          </w:tcPr>
          <w:p w14:paraId="2812D76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-719,898,000,000.00</w:t>
            </w:r>
          </w:p>
        </w:tc>
        <w:tc>
          <w:tcPr>
            <w:tcW w:w="1660" w:type="dxa"/>
            <w:shd w:val="clear" w:color="auto" w:fill="auto"/>
            <w:vAlign w:val="center"/>
          </w:tcPr>
          <w:p w14:paraId="75DE19ED"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-77,193,000,000.00</w:t>
            </w:r>
          </w:p>
        </w:tc>
        <w:tc>
          <w:tcPr>
            <w:tcW w:w="1585" w:type="dxa"/>
            <w:shd w:val="clear" w:color="auto" w:fill="auto"/>
            <w:vAlign w:val="center"/>
          </w:tcPr>
          <w:p w14:paraId="649589F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-2,413,333,333.33</w:t>
            </w:r>
          </w:p>
        </w:tc>
        <w:tc>
          <w:tcPr>
            <w:tcW w:w="1076" w:type="dxa"/>
            <w:shd w:val="clear" w:color="auto" w:fill="auto"/>
            <w:vAlign w:val="center"/>
          </w:tcPr>
          <w:p w14:paraId="57D9AB4E"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-0.24%</w:t>
            </w:r>
          </w:p>
        </w:tc>
      </w:tr>
      <w:tr w:rsidR="004D1721" w14:paraId="39893974" w14:textId="77777777">
        <w:trPr>
          <w:trHeight w:val="397"/>
        </w:trPr>
        <w:tc>
          <w:tcPr>
            <w:tcW w:w="660" w:type="dxa"/>
            <w:shd w:val="clear" w:color="000000" w:fill="FFFFFF"/>
            <w:vAlign w:val="center"/>
          </w:tcPr>
          <w:p w14:paraId="5BC4FC51" w14:textId="77777777" w:rsidR="004D1721" w:rsidRDefault="009B16BC">
            <w:pPr>
              <w:jc w:val="center"/>
              <w:rPr>
                <w:rFonts w:ascii="Arial Narrow" w:eastAsia="仿宋_GB2312" w:hAnsi="Arial Narrow" w:cs="Arial"/>
              </w:rPr>
            </w:pPr>
            <w:r>
              <w:rPr>
                <w:rFonts w:ascii="Arial Narrow" w:eastAsia="仿宋_GB2312" w:hAnsi="Arial Narrow" w:cs="Arial"/>
              </w:rPr>
              <w:t>2</w:t>
            </w:r>
          </w:p>
        </w:tc>
        <w:tc>
          <w:tcPr>
            <w:tcW w:w="2434" w:type="dxa"/>
            <w:shd w:val="clear" w:color="000000" w:fill="FFFFFF"/>
            <w:vAlign w:val="center"/>
          </w:tcPr>
          <w:p w14:paraId="2F109B53" w14:textId="77777777" w:rsidR="004D1721" w:rsidRDefault="009B16BC">
            <w:pPr>
              <w:rPr>
                <w:rFonts w:ascii="Arial Narrow" w:eastAsia="仿宋_GB2312" w:hAnsi="Arial Narrow" w:cs="Arial"/>
              </w:rPr>
            </w:pPr>
            <w:r>
              <w:rPr>
                <w:rFonts w:ascii="Arial Narrow" w:eastAsia="仿宋_GB2312" w:hAnsi="Arial Narrow" w:cs="Arial"/>
              </w:rPr>
              <w:t>KOSE CORPORATION</w:t>
            </w:r>
          </w:p>
        </w:tc>
        <w:tc>
          <w:tcPr>
            <w:tcW w:w="1076" w:type="dxa"/>
            <w:shd w:val="clear" w:color="000000" w:fill="FFFFFF"/>
            <w:vAlign w:val="center"/>
          </w:tcPr>
          <w:p w14:paraId="2B238836" w14:textId="77777777" w:rsidR="004D1721" w:rsidRDefault="009B16BC">
            <w:pPr>
              <w:jc w:val="center"/>
              <w:rPr>
                <w:rFonts w:ascii="Arial Narrow" w:eastAsia="仿宋_GB2312" w:hAnsi="Arial Narrow" w:cs="Arial"/>
              </w:rPr>
            </w:pPr>
            <w:r>
              <w:rPr>
                <w:rFonts w:ascii="Arial Narrow" w:eastAsia="仿宋_GB2312" w:hAnsi="Arial Narrow" w:cs="Arial"/>
              </w:rPr>
              <w:t>日本</w:t>
            </w:r>
          </w:p>
        </w:tc>
        <w:tc>
          <w:tcPr>
            <w:tcW w:w="651" w:type="dxa"/>
            <w:shd w:val="clear" w:color="000000" w:fill="FFFFFF"/>
            <w:vAlign w:val="center"/>
          </w:tcPr>
          <w:p w14:paraId="0D2D36EB"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1AA08ACC"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264,502,666,666.67</w:t>
            </w:r>
          </w:p>
        </w:tc>
        <w:tc>
          <w:tcPr>
            <w:tcW w:w="1736" w:type="dxa"/>
            <w:vAlign w:val="center"/>
          </w:tcPr>
          <w:p w14:paraId="1BF97B25"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-70,717,000,000.00</w:t>
            </w:r>
          </w:p>
        </w:tc>
        <w:tc>
          <w:tcPr>
            <w:tcW w:w="1783" w:type="dxa"/>
            <w:shd w:val="clear" w:color="auto" w:fill="auto"/>
            <w:vAlign w:val="center"/>
          </w:tcPr>
          <w:p w14:paraId="4CF5F56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-165,600,333,333.33</w:t>
            </w:r>
          </w:p>
        </w:tc>
        <w:tc>
          <w:tcPr>
            <w:tcW w:w="1660" w:type="dxa"/>
            <w:shd w:val="clear" w:color="auto" w:fill="auto"/>
            <w:vAlign w:val="center"/>
          </w:tcPr>
          <w:p w14:paraId="12D4951D"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-10,202,000,000.00</w:t>
            </w:r>
          </w:p>
        </w:tc>
        <w:tc>
          <w:tcPr>
            <w:tcW w:w="1585" w:type="dxa"/>
            <w:shd w:val="clear" w:color="auto" w:fill="auto"/>
            <w:vAlign w:val="center"/>
          </w:tcPr>
          <w:p w14:paraId="00693675"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17,983,333,333.33</w:t>
            </w:r>
          </w:p>
        </w:tc>
        <w:tc>
          <w:tcPr>
            <w:tcW w:w="1076" w:type="dxa"/>
            <w:shd w:val="clear" w:color="auto" w:fill="auto"/>
            <w:vAlign w:val="center"/>
          </w:tcPr>
          <w:p w14:paraId="5F5ACD77"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7.29%</w:t>
            </w:r>
          </w:p>
        </w:tc>
      </w:tr>
      <w:tr w:rsidR="004D1721" w14:paraId="1464CC8E" w14:textId="77777777">
        <w:trPr>
          <w:trHeight w:val="397"/>
        </w:trPr>
        <w:tc>
          <w:tcPr>
            <w:tcW w:w="660" w:type="dxa"/>
            <w:shd w:val="clear" w:color="000000" w:fill="FFFFFF"/>
            <w:vAlign w:val="center"/>
          </w:tcPr>
          <w:p w14:paraId="606DFC98" w14:textId="77777777" w:rsidR="004D1721" w:rsidRDefault="009B16BC">
            <w:pPr>
              <w:jc w:val="center"/>
              <w:rPr>
                <w:rFonts w:ascii="Arial Narrow" w:eastAsia="仿宋_GB2312" w:hAnsi="Arial Narrow" w:cs="Arial"/>
              </w:rPr>
            </w:pPr>
            <w:r>
              <w:rPr>
                <w:rFonts w:ascii="Arial Narrow" w:eastAsia="仿宋_GB2312" w:hAnsi="Arial Narrow" w:cs="Arial" w:hint="eastAsia"/>
              </w:rPr>
              <w:t>3</w:t>
            </w:r>
          </w:p>
        </w:tc>
        <w:tc>
          <w:tcPr>
            <w:tcW w:w="2434" w:type="dxa"/>
            <w:shd w:val="clear" w:color="000000" w:fill="FFFFFF"/>
            <w:vAlign w:val="center"/>
          </w:tcPr>
          <w:p w14:paraId="76802ACF" w14:textId="77777777" w:rsidR="004D1721" w:rsidRDefault="009B16BC">
            <w:pPr>
              <w:rPr>
                <w:rFonts w:ascii="Arial Narrow" w:eastAsia="仿宋_GB2312" w:hAnsi="Arial Narrow" w:cs="Arial"/>
              </w:rPr>
            </w:pPr>
            <w:r>
              <w:rPr>
                <w:rFonts w:ascii="Arial Narrow" w:eastAsia="仿宋_GB2312" w:hAnsi="Arial Narrow" w:cs="Arial" w:hint="eastAsia"/>
              </w:rPr>
              <w:t>AFC-HD AMS LIFE SCIENCE CO.,LTD.</w:t>
            </w:r>
          </w:p>
        </w:tc>
        <w:tc>
          <w:tcPr>
            <w:tcW w:w="1076" w:type="dxa"/>
            <w:shd w:val="clear" w:color="000000" w:fill="FFFFFF"/>
            <w:vAlign w:val="center"/>
          </w:tcPr>
          <w:p w14:paraId="2DF72E01" w14:textId="77777777" w:rsidR="004D1721" w:rsidRDefault="009B16BC">
            <w:pPr>
              <w:jc w:val="center"/>
              <w:rPr>
                <w:rFonts w:ascii="Arial Narrow" w:eastAsia="仿宋_GB2312" w:hAnsi="Arial Narrow" w:cs="Arial"/>
                <w:lang w:eastAsia="zh-Hans"/>
              </w:rPr>
            </w:pPr>
            <w:r>
              <w:rPr>
                <w:rFonts w:ascii="Arial Narrow" w:eastAsia="仿宋_GB2312" w:hAnsi="Arial Narrow" w:cs="Arial" w:hint="eastAsia"/>
                <w:lang w:eastAsia="zh-Hans"/>
              </w:rPr>
              <w:t>日本</w:t>
            </w:r>
          </w:p>
        </w:tc>
        <w:tc>
          <w:tcPr>
            <w:tcW w:w="651" w:type="dxa"/>
            <w:shd w:val="clear" w:color="000000" w:fill="FFFFFF"/>
            <w:vAlign w:val="center"/>
          </w:tcPr>
          <w:p w14:paraId="7EAC97EE"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3E4D6ED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20,394,828,000.00</w:t>
            </w:r>
          </w:p>
        </w:tc>
        <w:tc>
          <w:tcPr>
            <w:tcW w:w="1736" w:type="dxa"/>
            <w:vAlign w:val="center"/>
          </w:tcPr>
          <w:p w14:paraId="3BA0E40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-13,070,575,000.00</w:t>
            </w:r>
          </w:p>
        </w:tc>
        <w:tc>
          <w:tcPr>
            <w:tcW w:w="1783" w:type="dxa"/>
            <w:shd w:val="clear" w:color="auto" w:fill="auto"/>
            <w:vAlign w:val="center"/>
          </w:tcPr>
          <w:p w14:paraId="26589871"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-5,152,082,333.33</w:t>
            </w:r>
          </w:p>
        </w:tc>
        <w:tc>
          <w:tcPr>
            <w:tcW w:w="1660" w:type="dxa"/>
            <w:shd w:val="clear" w:color="auto" w:fill="auto"/>
            <w:vAlign w:val="center"/>
          </w:tcPr>
          <w:p w14:paraId="2FDCEDDC"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-727,830,333.33</w:t>
            </w:r>
          </w:p>
        </w:tc>
        <w:tc>
          <w:tcPr>
            <w:tcW w:w="1585" w:type="dxa"/>
            <w:shd w:val="clear" w:color="auto" w:fill="auto"/>
            <w:vAlign w:val="center"/>
          </w:tcPr>
          <w:p w14:paraId="499DDD5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1,444,340,333.33</w:t>
            </w:r>
          </w:p>
        </w:tc>
        <w:tc>
          <w:tcPr>
            <w:tcW w:w="1076" w:type="dxa"/>
            <w:shd w:val="clear" w:color="auto" w:fill="auto"/>
            <w:vAlign w:val="center"/>
          </w:tcPr>
          <w:p w14:paraId="484183A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7.62%</w:t>
            </w:r>
          </w:p>
        </w:tc>
      </w:tr>
      <w:tr w:rsidR="004D1721" w14:paraId="7CB1A974" w14:textId="77777777">
        <w:trPr>
          <w:trHeight w:val="397"/>
        </w:trPr>
        <w:tc>
          <w:tcPr>
            <w:tcW w:w="660" w:type="dxa"/>
            <w:shd w:val="clear" w:color="000000" w:fill="FFFFFF"/>
            <w:vAlign w:val="center"/>
          </w:tcPr>
          <w:p w14:paraId="7A08151C" w14:textId="77777777" w:rsidR="004D1721" w:rsidRDefault="009B16BC">
            <w:pPr>
              <w:jc w:val="center"/>
              <w:rPr>
                <w:rFonts w:ascii="Arial Narrow" w:eastAsia="仿宋_GB2312" w:hAnsi="Arial Narrow" w:cs="Arial"/>
              </w:rPr>
            </w:pPr>
            <w:r>
              <w:rPr>
                <w:rFonts w:ascii="Arial Narrow" w:eastAsia="仿宋_GB2312" w:hAnsi="Arial Narrow" w:cs="Arial" w:hint="eastAsia"/>
              </w:rPr>
              <w:t>4</w:t>
            </w:r>
          </w:p>
        </w:tc>
        <w:tc>
          <w:tcPr>
            <w:tcW w:w="2434" w:type="dxa"/>
            <w:shd w:val="clear" w:color="000000" w:fill="FFFFFF"/>
            <w:vAlign w:val="center"/>
          </w:tcPr>
          <w:p w14:paraId="231ED5D9" w14:textId="77777777" w:rsidR="004D1721" w:rsidRDefault="009B16BC">
            <w:pPr>
              <w:rPr>
                <w:rFonts w:ascii="Arial Narrow" w:eastAsia="仿宋_GB2312" w:hAnsi="Arial Narrow" w:cs="Arial"/>
              </w:rPr>
            </w:pPr>
            <w:r>
              <w:rPr>
                <w:rFonts w:ascii="Arial Narrow" w:eastAsia="仿宋_GB2312" w:hAnsi="Arial Narrow" w:cs="Arial"/>
              </w:rPr>
              <w:t>S&amp;J INTERNATIONAL ENTERPRISES PCL</w:t>
            </w:r>
          </w:p>
        </w:tc>
        <w:tc>
          <w:tcPr>
            <w:tcW w:w="1076" w:type="dxa"/>
            <w:shd w:val="clear" w:color="000000" w:fill="FFFFFF"/>
            <w:vAlign w:val="center"/>
          </w:tcPr>
          <w:p w14:paraId="70FEB747" w14:textId="77777777" w:rsidR="004D1721" w:rsidRDefault="009B16BC">
            <w:pPr>
              <w:jc w:val="center"/>
              <w:rPr>
                <w:rFonts w:ascii="Arial Narrow" w:eastAsia="仿宋_GB2312" w:hAnsi="Arial Narrow" w:cs="Arial"/>
              </w:rPr>
            </w:pPr>
            <w:r>
              <w:rPr>
                <w:rFonts w:ascii="Arial Narrow" w:eastAsia="仿宋_GB2312" w:hAnsi="Arial Narrow" w:cs="Arial"/>
              </w:rPr>
              <w:t>泰国</w:t>
            </w:r>
          </w:p>
        </w:tc>
        <w:tc>
          <w:tcPr>
            <w:tcW w:w="651" w:type="dxa"/>
            <w:shd w:val="clear" w:color="000000" w:fill="FFFFFF"/>
            <w:vAlign w:val="center"/>
          </w:tcPr>
          <w:p w14:paraId="76CA09A3"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3FE0B351"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5,060,420,666.67</w:t>
            </w:r>
          </w:p>
        </w:tc>
        <w:tc>
          <w:tcPr>
            <w:tcW w:w="1736" w:type="dxa"/>
            <w:vAlign w:val="center"/>
          </w:tcPr>
          <w:p w14:paraId="2A4C0311"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-2,071,860,666.67</w:t>
            </w:r>
          </w:p>
        </w:tc>
        <w:tc>
          <w:tcPr>
            <w:tcW w:w="1783" w:type="dxa"/>
            <w:shd w:val="clear" w:color="auto" w:fill="auto"/>
            <w:vAlign w:val="center"/>
          </w:tcPr>
          <w:p w14:paraId="411E7872"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-2,411,684,000.00</w:t>
            </w:r>
          </w:p>
        </w:tc>
        <w:tc>
          <w:tcPr>
            <w:tcW w:w="1660" w:type="dxa"/>
            <w:shd w:val="clear" w:color="auto" w:fill="auto"/>
            <w:vAlign w:val="center"/>
          </w:tcPr>
          <w:p w14:paraId="48FF7C03"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-288,029,333.33</w:t>
            </w:r>
          </w:p>
        </w:tc>
        <w:tc>
          <w:tcPr>
            <w:tcW w:w="1585" w:type="dxa"/>
            <w:shd w:val="clear" w:color="auto" w:fill="auto"/>
            <w:vAlign w:val="center"/>
          </w:tcPr>
          <w:p w14:paraId="0C456DB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288,846,666.67</w:t>
            </w:r>
          </w:p>
        </w:tc>
        <w:tc>
          <w:tcPr>
            <w:tcW w:w="1076" w:type="dxa"/>
            <w:shd w:val="clear" w:color="auto" w:fill="auto"/>
            <w:vAlign w:val="center"/>
          </w:tcPr>
          <w:p w14:paraId="5E8DB04F"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6.05%</w:t>
            </w:r>
          </w:p>
        </w:tc>
      </w:tr>
      <w:tr w:rsidR="004D1721" w14:paraId="731D686A" w14:textId="77777777">
        <w:trPr>
          <w:trHeight w:val="397"/>
        </w:trPr>
        <w:tc>
          <w:tcPr>
            <w:tcW w:w="660" w:type="dxa"/>
            <w:shd w:val="clear" w:color="000000" w:fill="FFFFFF"/>
            <w:vAlign w:val="center"/>
          </w:tcPr>
          <w:p w14:paraId="46BEB06A" w14:textId="77777777" w:rsidR="004D1721" w:rsidRDefault="009B16BC">
            <w:pPr>
              <w:jc w:val="center"/>
              <w:rPr>
                <w:rFonts w:ascii="Arial Narrow" w:eastAsia="仿宋_GB2312" w:hAnsi="Arial Narrow" w:cs="Arial"/>
              </w:rPr>
            </w:pPr>
            <w:r>
              <w:rPr>
                <w:rFonts w:ascii="Arial Narrow" w:eastAsia="仿宋_GB2312" w:hAnsi="Arial Narrow" w:cs="Arial" w:hint="eastAsia"/>
              </w:rPr>
              <w:t>5</w:t>
            </w:r>
          </w:p>
        </w:tc>
        <w:tc>
          <w:tcPr>
            <w:tcW w:w="2434" w:type="dxa"/>
            <w:shd w:val="clear" w:color="000000" w:fill="FFFFFF"/>
            <w:vAlign w:val="center"/>
          </w:tcPr>
          <w:p w14:paraId="1C82B44B" w14:textId="77777777" w:rsidR="004D1721" w:rsidRDefault="009B16BC">
            <w:pPr>
              <w:rPr>
                <w:rFonts w:ascii="Arial Narrow" w:eastAsia="仿宋_GB2312" w:hAnsi="Arial Narrow" w:cs="Arial"/>
              </w:rPr>
            </w:pPr>
            <w:r>
              <w:rPr>
                <w:rFonts w:ascii="Arial Narrow" w:eastAsia="仿宋_GB2312" w:hAnsi="Arial Narrow" w:cs="Arial"/>
              </w:rPr>
              <w:t>NIPPON SHIKIZAI INC</w:t>
            </w:r>
          </w:p>
        </w:tc>
        <w:tc>
          <w:tcPr>
            <w:tcW w:w="1076" w:type="dxa"/>
            <w:shd w:val="clear" w:color="000000" w:fill="FFFFFF"/>
            <w:vAlign w:val="center"/>
          </w:tcPr>
          <w:p w14:paraId="5D4B564B" w14:textId="77777777" w:rsidR="004D1721" w:rsidRDefault="009B16BC">
            <w:pPr>
              <w:jc w:val="center"/>
              <w:rPr>
                <w:rFonts w:ascii="Arial Narrow" w:eastAsia="仿宋_GB2312" w:hAnsi="Arial Narrow" w:cs="Arial"/>
              </w:rPr>
            </w:pPr>
            <w:r>
              <w:rPr>
                <w:rFonts w:ascii="Arial Narrow" w:eastAsia="仿宋_GB2312" w:hAnsi="Arial Narrow" w:cs="Arial"/>
              </w:rPr>
              <w:t>日本</w:t>
            </w:r>
          </w:p>
        </w:tc>
        <w:tc>
          <w:tcPr>
            <w:tcW w:w="651" w:type="dxa"/>
            <w:shd w:val="clear" w:color="auto" w:fill="auto"/>
            <w:vAlign w:val="center"/>
          </w:tcPr>
          <w:p w14:paraId="2E3A6C2A"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125456D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9,868,670,666.67</w:t>
            </w:r>
          </w:p>
        </w:tc>
        <w:tc>
          <w:tcPr>
            <w:tcW w:w="1736" w:type="dxa"/>
            <w:vAlign w:val="center"/>
          </w:tcPr>
          <w:p w14:paraId="4893FF7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-8,200,078,333.33</w:t>
            </w:r>
          </w:p>
        </w:tc>
        <w:tc>
          <w:tcPr>
            <w:tcW w:w="1783" w:type="dxa"/>
            <w:shd w:val="clear" w:color="auto" w:fill="auto"/>
            <w:vAlign w:val="center"/>
          </w:tcPr>
          <w:p w14:paraId="70BC937B"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-1,177,233,333.33</w:t>
            </w:r>
          </w:p>
        </w:tc>
        <w:tc>
          <w:tcPr>
            <w:tcW w:w="1660" w:type="dxa"/>
            <w:shd w:val="clear" w:color="auto" w:fill="auto"/>
            <w:vAlign w:val="center"/>
          </w:tcPr>
          <w:p w14:paraId="0D72BD5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-835,340,000.00</w:t>
            </w:r>
          </w:p>
        </w:tc>
        <w:tc>
          <w:tcPr>
            <w:tcW w:w="1585" w:type="dxa"/>
            <w:shd w:val="clear" w:color="auto" w:fill="auto"/>
            <w:vAlign w:val="center"/>
          </w:tcPr>
          <w:p w14:paraId="05D561A2"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-343,981,000.00</w:t>
            </w:r>
          </w:p>
        </w:tc>
        <w:tc>
          <w:tcPr>
            <w:tcW w:w="1076" w:type="dxa"/>
            <w:shd w:val="clear" w:color="auto" w:fill="auto"/>
            <w:vAlign w:val="center"/>
          </w:tcPr>
          <w:p w14:paraId="660F46D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-3.37%</w:t>
            </w:r>
          </w:p>
        </w:tc>
      </w:tr>
      <w:tr w:rsidR="004D1721" w14:paraId="1CA9C95E" w14:textId="77777777">
        <w:trPr>
          <w:trHeight w:val="397"/>
        </w:trPr>
        <w:tc>
          <w:tcPr>
            <w:tcW w:w="660" w:type="dxa"/>
            <w:shd w:val="clear" w:color="000000" w:fill="FFFFFF"/>
            <w:vAlign w:val="center"/>
          </w:tcPr>
          <w:p w14:paraId="4A3BA132" w14:textId="77777777" w:rsidR="004D1721" w:rsidRDefault="009B16BC">
            <w:pPr>
              <w:jc w:val="center"/>
              <w:rPr>
                <w:rFonts w:ascii="Arial Narrow" w:eastAsia="仿宋_GB2312" w:hAnsi="Arial Narrow" w:cs="Arial"/>
              </w:rPr>
            </w:pPr>
            <w:r>
              <w:rPr>
                <w:rFonts w:ascii="Arial Narrow" w:eastAsia="仿宋_GB2312" w:hAnsi="Arial Narrow" w:cs="Arial" w:hint="eastAsia"/>
              </w:rPr>
              <w:t>6</w:t>
            </w:r>
          </w:p>
        </w:tc>
        <w:tc>
          <w:tcPr>
            <w:tcW w:w="2434" w:type="dxa"/>
            <w:shd w:val="clear" w:color="000000" w:fill="FFFFFF"/>
            <w:vAlign w:val="center"/>
          </w:tcPr>
          <w:p w14:paraId="6CA3CA36" w14:textId="77777777" w:rsidR="004D1721" w:rsidRDefault="009B16BC">
            <w:pPr>
              <w:rPr>
                <w:rFonts w:ascii="Arial Narrow" w:eastAsia="仿宋_GB2312" w:hAnsi="Arial Narrow" w:cs="Arial"/>
              </w:rPr>
            </w:pPr>
            <w:r>
              <w:rPr>
                <w:rFonts w:ascii="Arial Narrow" w:eastAsia="仿宋_GB2312" w:hAnsi="Arial Narrow" w:cs="Arial"/>
              </w:rPr>
              <w:t>COREANA COSMETICS CO., LTD.</w:t>
            </w:r>
          </w:p>
        </w:tc>
        <w:tc>
          <w:tcPr>
            <w:tcW w:w="1076" w:type="dxa"/>
            <w:shd w:val="clear" w:color="000000" w:fill="FFFFFF"/>
            <w:vAlign w:val="center"/>
          </w:tcPr>
          <w:p w14:paraId="62916BA8" w14:textId="77777777" w:rsidR="004D1721" w:rsidRDefault="009B16BC">
            <w:pPr>
              <w:jc w:val="center"/>
              <w:rPr>
                <w:rFonts w:ascii="Arial Narrow" w:eastAsia="仿宋_GB2312" w:hAnsi="Arial Narrow" w:cs="Arial"/>
              </w:rPr>
            </w:pPr>
            <w:r>
              <w:rPr>
                <w:rFonts w:ascii="Arial Narrow" w:eastAsia="仿宋_GB2312" w:hAnsi="Arial Narrow" w:cs="Arial"/>
              </w:rPr>
              <w:t>韩国</w:t>
            </w:r>
          </w:p>
        </w:tc>
        <w:tc>
          <w:tcPr>
            <w:tcW w:w="651" w:type="dxa"/>
            <w:shd w:val="clear" w:color="000000" w:fill="FFFFFF"/>
            <w:vAlign w:val="center"/>
          </w:tcPr>
          <w:p w14:paraId="7FDBF78D"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34B4CF2A"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84,700,797,000.00</w:t>
            </w:r>
          </w:p>
        </w:tc>
        <w:tc>
          <w:tcPr>
            <w:tcW w:w="1736" w:type="dxa"/>
            <w:vAlign w:val="center"/>
          </w:tcPr>
          <w:p w14:paraId="177C4A5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-46,336,465,666.67</w:t>
            </w:r>
          </w:p>
        </w:tc>
        <w:tc>
          <w:tcPr>
            <w:tcW w:w="1783" w:type="dxa"/>
            <w:shd w:val="clear" w:color="auto" w:fill="auto"/>
            <w:vAlign w:val="center"/>
          </w:tcPr>
          <w:p w14:paraId="163BA08D"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-34,204,699,000.00</w:t>
            </w:r>
          </w:p>
        </w:tc>
        <w:tc>
          <w:tcPr>
            <w:tcW w:w="1660" w:type="dxa"/>
            <w:shd w:val="clear" w:color="auto" w:fill="auto"/>
            <w:vAlign w:val="center"/>
          </w:tcPr>
          <w:p w14:paraId="088B11A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-3,002,449,000.00</w:t>
            </w:r>
          </w:p>
        </w:tc>
        <w:tc>
          <w:tcPr>
            <w:tcW w:w="1585" w:type="dxa"/>
            <w:shd w:val="clear" w:color="auto" w:fill="auto"/>
            <w:vAlign w:val="center"/>
          </w:tcPr>
          <w:p w14:paraId="5A2FD6C7"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1,157,183,333.33</w:t>
            </w:r>
          </w:p>
        </w:tc>
        <w:tc>
          <w:tcPr>
            <w:tcW w:w="1076" w:type="dxa"/>
            <w:shd w:val="clear" w:color="auto" w:fill="auto"/>
            <w:vAlign w:val="center"/>
          </w:tcPr>
          <w:p w14:paraId="784F7E3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1.39%</w:t>
            </w:r>
          </w:p>
        </w:tc>
      </w:tr>
      <w:tr w:rsidR="004D1721" w14:paraId="4FC6F2F8" w14:textId="77777777">
        <w:trPr>
          <w:trHeight w:val="397"/>
        </w:trPr>
        <w:tc>
          <w:tcPr>
            <w:tcW w:w="660" w:type="dxa"/>
            <w:tcBorders>
              <w:bottom w:val="nil"/>
            </w:tcBorders>
            <w:shd w:val="clear" w:color="000000" w:fill="FFFFFF"/>
            <w:vAlign w:val="center"/>
          </w:tcPr>
          <w:p w14:paraId="389ED66B" w14:textId="77777777" w:rsidR="004D1721" w:rsidRDefault="009B16BC">
            <w:pPr>
              <w:jc w:val="center"/>
              <w:rPr>
                <w:rFonts w:ascii="Arial Narrow" w:eastAsia="仿宋_GB2312" w:hAnsi="Arial Narrow" w:cs="Arial"/>
              </w:rPr>
            </w:pPr>
            <w:r>
              <w:rPr>
                <w:rFonts w:ascii="Arial Narrow" w:eastAsia="仿宋_GB2312" w:hAnsi="Arial Narrow" w:cs="Arial" w:hint="eastAsia"/>
              </w:rPr>
              <w:t>7</w:t>
            </w:r>
          </w:p>
        </w:tc>
        <w:tc>
          <w:tcPr>
            <w:tcW w:w="2434" w:type="dxa"/>
            <w:tcBorders>
              <w:bottom w:val="nil"/>
            </w:tcBorders>
            <w:shd w:val="clear" w:color="000000" w:fill="FFFFFF"/>
            <w:vAlign w:val="center"/>
          </w:tcPr>
          <w:p w14:paraId="40949459" w14:textId="77777777" w:rsidR="004D1721" w:rsidRDefault="009B16BC">
            <w:pPr>
              <w:rPr>
                <w:rFonts w:ascii="Arial Narrow" w:eastAsia="仿宋_GB2312" w:hAnsi="Arial Narrow" w:cs="Arial"/>
              </w:rPr>
            </w:pPr>
            <w:r>
              <w:rPr>
                <w:rFonts w:ascii="Arial Narrow" w:eastAsia="仿宋_GB2312" w:hAnsi="Arial Narrow" w:cs="Arial"/>
              </w:rPr>
              <w:t>HANKOOK COSMETICS MANUFACTURING CO., LTD.</w:t>
            </w:r>
          </w:p>
        </w:tc>
        <w:tc>
          <w:tcPr>
            <w:tcW w:w="1076" w:type="dxa"/>
            <w:tcBorders>
              <w:bottom w:val="nil"/>
            </w:tcBorders>
            <w:shd w:val="clear" w:color="000000" w:fill="FFFFFF"/>
            <w:vAlign w:val="center"/>
          </w:tcPr>
          <w:p w14:paraId="1F0BED21" w14:textId="77777777" w:rsidR="004D1721" w:rsidRDefault="009B16BC">
            <w:pPr>
              <w:jc w:val="center"/>
              <w:rPr>
                <w:rFonts w:ascii="Arial Narrow" w:eastAsia="仿宋_GB2312" w:hAnsi="Arial Narrow" w:cs="Arial"/>
              </w:rPr>
            </w:pPr>
            <w:r>
              <w:rPr>
                <w:rFonts w:ascii="Arial Narrow" w:eastAsia="仿宋_GB2312" w:hAnsi="Arial Narrow" w:cs="Arial"/>
              </w:rPr>
              <w:t>韩国</w:t>
            </w:r>
          </w:p>
        </w:tc>
        <w:tc>
          <w:tcPr>
            <w:tcW w:w="651" w:type="dxa"/>
            <w:tcBorders>
              <w:bottom w:val="nil"/>
            </w:tcBorders>
            <w:shd w:val="clear" w:color="000000" w:fill="FFFFFF"/>
            <w:vAlign w:val="center"/>
          </w:tcPr>
          <w:p w14:paraId="2794D9D1"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tcBorders>
              <w:bottom w:val="nil"/>
            </w:tcBorders>
            <w:shd w:val="clear" w:color="auto" w:fill="auto"/>
            <w:vAlign w:val="center"/>
          </w:tcPr>
          <w:p w14:paraId="1474DDB4"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77,892,311,000.00</w:t>
            </w:r>
          </w:p>
        </w:tc>
        <w:tc>
          <w:tcPr>
            <w:tcW w:w="1736" w:type="dxa"/>
            <w:tcBorders>
              <w:bottom w:val="nil"/>
            </w:tcBorders>
            <w:vAlign w:val="center"/>
          </w:tcPr>
          <w:p w14:paraId="6269ED6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-67,155,844,333.33</w:t>
            </w:r>
          </w:p>
        </w:tc>
        <w:tc>
          <w:tcPr>
            <w:tcW w:w="1783" w:type="dxa"/>
            <w:tcBorders>
              <w:bottom w:val="nil"/>
            </w:tcBorders>
            <w:shd w:val="clear" w:color="auto" w:fill="auto"/>
            <w:vAlign w:val="center"/>
          </w:tcPr>
          <w:p w14:paraId="14C545F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-9,149,541,000.00</w:t>
            </w:r>
          </w:p>
        </w:tc>
        <w:tc>
          <w:tcPr>
            <w:tcW w:w="1660" w:type="dxa"/>
            <w:tcBorders>
              <w:bottom w:val="nil"/>
            </w:tcBorders>
            <w:shd w:val="clear" w:color="auto" w:fill="auto"/>
            <w:vAlign w:val="center"/>
          </w:tcPr>
          <w:p w14:paraId="6F18C088"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-1,130,764,666.67</w:t>
            </w:r>
          </w:p>
        </w:tc>
        <w:tc>
          <w:tcPr>
            <w:tcW w:w="1585" w:type="dxa"/>
            <w:tcBorders>
              <w:bottom w:val="nil"/>
            </w:tcBorders>
            <w:shd w:val="clear" w:color="auto" w:fill="auto"/>
            <w:vAlign w:val="center"/>
          </w:tcPr>
          <w:p w14:paraId="239F1207"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456,161,000.00</w:t>
            </w:r>
          </w:p>
        </w:tc>
        <w:tc>
          <w:tcPr>
            <w:tcW w:w="1076" w:type="dxa"/>
            <w:tcBorders>
              <w:bottom w:val="nil"/>
            </w:tcBorders>
            <w:shd w:val="clear" w:color="auto" w:fill="auto"/>
            <w:vAlign w:val="center"/>
          </w:tcPr>
          <w:p w14:paraId="28834A52"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0.59%</w:t>
            </w:r>
          </w:p>
        </w:tc>
      </w:tr>
      <w:tr w:rsidR="004D1721" w14:paraId="749B615A" w14:textId="77777777" w:rsidTr="005D08A5">
        <w:trPr>
          <w:trHeight w:val="431"/>
        </w:trPr>
        <w:tc>
          <w:tcPr>
            <w:tcW w:w="660" w:type="dxa"/>
            <w:shd w:val="clear" w:color="000000" w:fill="FFFFFF"/>
            <w:vAlign w:val="center"/>
          </w:tcPr>
          <w:p w14:paraId="1E64035D" w14:textId="77777777" w:rsidR="004D1721" w:rsidRDefault="009B16BC">
            <w:pPr>
              <w:jc w:val="center"/>
              <w:rPr>
                <w:rFonts w:ascii="Arial Narrow" w:eastAsia="仿宋_GB2312" w:hAnsi="Arial Narrow" w:cs="Arial"/>
              </w:rPr>
            </w:pPr>
            <w:r>
              <w:rPr>
                <w:rFonts w:ascii="Arial Narrow" w:eastAsia="仿宋_GB2312" w:hAnsi="Arial Narrow" w:cs="Arial" w:hint="eastAsia"/>
              </w:rPr>
              <w:t>8</w:t>
            </w:r>
          </w:p>
        </w:tc>
        <w:tc>
          <w:tcPr>
            <w:tcW w:w="2434" w:type="dxa"/>
            <w:shd w:val="clear" w:color="000000" w:fill="FFFFFF"/>
            <w:vAlign w:val="center"/>
          </w:tcPr>
          <w:p w14:paraId="7DE1D681" w14:textId="77777777" w:rsidR="004D1721" w:rsidRDefault="009B16BC">
            <w:pPr>
              <w:rPr>
                <w:rFonts w:ascii="Arial Narrow" w:eastAsia="仿宋_GB2312" w:hAnsi="Arial Narrow" w:cs="Arial"/>
              </w:rPr>
            </w:pPr>
            <w:r>
              <w:rPr>
                <w:rFonts w:ascii="Arial Narrow" w:eastAsia="仿宋_GB2312" w:hAnsi="Arial Narrow" w:cs="Arial" w:hint="eastAsia"/>
              </w:rPr>
              <w:t>MAYWUFA COMPANY LTD.</w:t>
            </w:r>
          </w:p>
        </w:tc>
        <w:tc>
          <w:tcPr>
            <w:tcW w:w="1076" w:type="dxa"/>
            <w:shd w:val="clear" w:color="000000" w:fill="FFFFFF"/>
            <w:vAlign w:val="center"/>
          </w:tcPr>
          <w:p w14:paraId="5BEF1D41" w14:textId="77777777" w:rsidR="004D1721" w:rsidRDefault="009B16BC">
            <w:pPr>
              <w:jc w:val="center"/>
              <w:rPr>
                <w:rFonts w:ascii="Arial Narrow" w:eastAsia="仿宋_GB2312" w:hAnsi="Arial Narrow" w:cs="Arial"/>
              </w:rPr>
            </w:pPr>
            <w:r>
              <w:rPr>
                <w:rFonts w:ascii="Arial Narrow" w:eastAsia="仿宋_GB2312" w:hAnsi="Arial Narrow" w:cs="Arial" w:hint="eastAsia"/>
              </w:rPr>
              <w:t>中国台湾</w:t>
            </w:r>
          </w:p>
        </w:tc>
        <w:tc>
          <w:tcPr>
            <w:tcW w:w="651" w:type="dxa"/>
            <w:shd w:val="clear" w:color="000000" w:fill="FFFFFF"/>
            <w:vAlign w:val="center"/>
          </w:tcPr>
          <w:p w14:paraId="7F423355" w14:textId="77777777" w:rsidR="004D1721" w:rsidRDefault="009B16BC">
            <w:pPr>
              <w:jc w:val="center"/>
              <w:rPr>
                <w:rFonts w:ascii="Arial Narrow" w:eastAsia="仿宋_GB2312" w:hAnsi="Arial Narrow" w:cs="Arial"/>
              </w:rPr>
            </w:pPr>
            <w:r>
              <w:rPr>
                <w:rFonts w:ascii="Arial Narrow" w:eastAsia="仿宋_GB2312" w:hAnsi="Arial Narrow" w:cs="Arial" w:hint="eastAsia"/>
              </w:rPr>
              <w:t>2844</w:t>
            </w:r>
          </w:p>
        </w:tc>
        <w:tc>
          <w:tcPr>
            <w:tcW w:w="1679" w:type="dxa"/>
            <w:shd w:val="clear" w:color="auto" w:fill="auto"/>
            <w:vAlign w:val="center"/>
          </w:tcPr>
          <w:p w14:paraId="29B83339" w14:textId="535DCE79"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1,199,880,333.33 </w:t>
            </w:r>
          </w:p>
        </w:tc>
        <w:tc>
          <w:tcPr>
            <w:tcW w:w="1736" w:type="dxa"/>
            <w:vAlign w:val="center"/>
          </w:tcPr>
          <w:p w14:paraId="1A91E88D" w14:textId="50C6E74D"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-384,358,000.00 </w:t>
            </w:r>
          </w:p>
        </w:tc>
        <w:tc>
          <w:tcPr>
            <w:tcW w:w="1783" w:type="dxa"/>
            <w:shd w:val="clear" w:color="auto" w:fill="auto"/>
            <w:vAlign w:val="center"/>
          </w:tcPr>
          <w:p w14:paraId="6A9330B4" w14:textId="79A44BA9"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-588,763,000.00 </w:t>
            </w:r>
          </w:p>
        </w:tc>
        <w:tc>
          <w:tcPr>
            <w:tcW w:w="1660" w:type="dxa"/>
            <w:shd w:val="clear" w:color="auto" w:fill="auto"/>
            <w:vAlign w:val="center"/>
          </w:tcPr>
          <w:p w14:paraId="2BC04E2C" w14:textId="2EF798AB"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-37,336,333.33 </w:t>
            </w:r>
          </w:p>
        </w:tc>
        <w:tc>
          <w:tcPr>
            <w:tcW w:w="1585" w:type="dxa"/>
            <w:shd w:val="clear" w:color="auto" w:fill="auto"/>
            <w:vAlign w:val="center"/>
          </w:tcPr>
          <w:p w14:paraId="0B83AD3A" w14:textId="6BA89EC7"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189,423,000.00 </w:t>
            </w:r>
          </w:p>
        </w:tc>
        <w:tc>
          <w:tcPr>
            <w:tcW w:w="1076" w:type="dxa"/>
            <w:shd w:val="clear" w:color="auto" w:fill="auto"/>
            <w:vAlign w:val="center"/>
          </w:tcPr>
          <w:p w14:paraId="5599493C" w14:textId="3EE01D26"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18.75%</w:t>
            </w:r>
          </w:p>
        </w:tc>
      </w:tr>
      <w:tr w:rsidR="004D1721" w14:paraId="05BDAF60" w14:textId="77777777" w:rsidTr="005D08A5">
        <w:trPr>
          <w:trHeight w:val="431"/>
        </w:trPr>
        <w:tc>
          <w:tcPr>
            <w:tcW w:w="660" w:type="dxa"/>
            <w:shd w:val="clear" w:color="000000" w:fill="FFFFFF"/>
            <w:vAlign w:val="center"/>
          </w:tcPr>
          <w:p w14:paraId="07F2C2BE" w14:textId="77777777" w:rsidR="004D1721" w:rsidRDefault="009B16BC">
            <w:pPr>
              <w:jc w:val="center"/>
              <w:rPr>
                <w:rFonts w:ascii="Arial Narrow" w:eastAsia="仿宋_GB2312" w:hAnsi="Arial Narrow" w:cs="Arial"/>
              </w:rPr>
            </w:pPr>
            <w:r>
              <w:rPr>
                <w:rFonts w:ascii="Arial Narrow" w:eastAsia="仿宋_GB2312" w:hAnsi="Arial Narrow" w:cs="Arial" w:hint="eastAsia"/>
              </w:rPr>
              <w:t>9</w:t>
            </w:r>
          </w:p>
        </w:tc>
        <w:tc>
          <w:tcPr>
            <w:tcW w:w="2434" w:type="dxa"/>
            <w:shd w:val="clear" w:color="000000" w:fill="FFFFFF"/>
            <w:vAlign w:val="center"/>
          </w:tcPr>
          <w:p w14:paraId="0725AF0B" w14:textId="77777777" w:rsidR="004D1721" w:rsidRDefault="009B16BC">
            <w:pPr>
              <w:rPr>
                <w:rFonts w:ascii="Arial Narrow" w:eastAsia="仿宋_GB2312" w:hAnsi="Arial Narrow" w:cs="Arial"/>
              </w:rPr>
            </w:pPr>
            <w:r>
              <w:rPr>
                <w:rFonts w:ascii="Arial Narrow" w:eastAsia="仿宋_GB2312" w:hAnsi="Arial Narrow" w:cs="Arial" w:hint="eastAsia"/>
              </w:rPr>
              <w:t>COSMAX BTI INC.</w:t>
            </w:r>
          </w:p>
        </w:tc>
        <w:tc>
          <w:tcPr>
            <w:tcW w:w="1076" w:type="dxa"/>
            <w:shd w:val="clear" w:color="000000" w:fill="FFFFFF"/>
            <w:vAlign w:val="center"/>
          </w:tcPr>
          <w:p w14:paraId="4BB8FF6E" w14:textId="77777777" w:rsidR="004D1721" w:rsidRDefault="009B16BC">
            <w:pPr>
              <w:jc w:val="center"/>
              <w:rPr>
                <w:rFonts w:ascii="Arial Narrow" w:eastAsia="仿宋_GB2312" w:hAnsi="Arial Narrow" w:cs="Arial"/>
              </w:rPr>
            </w:pPr>
            <w:r>
              <w:rPr>
                <w:rFonts w:ascii="Arial Narrow" w:eastAsia="仿宋_GB2312" w:hAnsi="Arial Narrow" w:cs="Arial" w:hint="eastAsia"/>
              </w:rPr>
              <w:t>韩国</w:t>
            </w:r>
          </w:p>
        </w:tc>
        <w:tc>
          <w:tcPr>
            <w:tcW w:w="651" w:type="dxa"/>
            <w:shd w:val="clear" w:color="000000" w:fill="FFFFFF"/>
            <w:vAlign w:val="center"/>
          </w:tcPr>
          <w:p w14:paraId="132BEEEA" w14:textId="77777777" w:rsidR="004D1721" w:rsidRDefault="009B16BC">
            <w:pPr>
              <w:jc w:val="center"/>
              <w:rPr>
                <w:rFonts w:ascii="Arial Narrow" w:eastAsia="仿宋_GB2312" w:hAnsi="Arial Narrow" w:cs="Arial"/>
              </w:rPr>
            </w:pPr>
            <w:r>
              <w:rPr>
                <w:rFonts w:ascii="Arial Narrow" w:eastAsia="仿宋_GB2312" w:hAnsi="Arial Narrow" w:cs="Arial" w:hint="eastAsia"/>
              </w:rPr>
              <w:t>2844</w:t>
            </w:r>
          </w:p>
        </w:tc>
        <w:tc>
          <w:tcPr>
            <w:tcW w:w="1679" w:type="dxa"/>
            <w:shd w:val="clear" w:color="auto" w:fill="auto"/>
            <w:vAlign w:val="center"/>
          </w:tcPr>
          <w:p w14:paraId="17793338" w14:textId="36CB012A"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573,102,094,333.33 </w:t>
            </w:r>
          </w:p>
        </w:tc>
        <w:tc>
          <w:tcPr>
            <w:tcW w:w="1736" w:type="dxa"/>
            <w:vAlign w:val="center"/>
          </w:tcPr>
          <w:p w14:paraId="1FAEA544" w14:textId="24F8713D"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-490,586,605,666.67 </w:t>
            </w:r>
          </w:p>
        </w:tc>
        <w:tc>
          <w:tcPr>
            <w:tcW w:w="1783" w:type="dxa"/>
            <w:shd w:val="clear" w:color="auto" w:fill="auto"/>
            <w:vAlign w:val="center"/>
          </w:tcPr>
          <w:p w14:paraId="0A06E4D8" w14:textId="6A1D07DA"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-70,999,356,333.33 </w:t>
            </w:r>
          </w:p>
        </w:tc>
        <w:tc>
          <w:tcPr>
            <w:tcW w:w="1660" w:type="dxa"/>
            <w:shd w:val="clear" w:color="auto" w:fill="auto"/>
            <w:vAlign w:val="center"/>
          </w:tcPr>
          <w:p w14:paraId="4585DC5B" w14:textId="76C3161A"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-6,006,853,000.00 </w:t>
            </w:r>
          </w:p>
        </w:tc>
        <w:tc>
          <w:tcPr>
            <w:tcW w:w="1585" w:type="dxa"/>
            <w:shd w:val="clear" w:color="auto" w:fill="auto"/>
            <w:vAlign w:val="center"/>
          </w:tcPr>
          <w:p w14:paraId="3B635724" w14:textId="3533D078"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5,509,279,333.33 </w:t>
            </w:r>
          </w:p>
        </w:tc>
        <w:tc>
          <w:tcPr>
            <w:tcW w:w="1076" w:type="dxa"/>
            <w:shd w:val="clear" w:color="auto" w:fill="auto"/>
            <w:vAlign w:val="center"/>
          </w:tcPr>
          <w:p w14:paraId="6D12CFE0" w14:textId="1FD14A29"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0.97%</w:t>
            </w:r>
          </w:p>
        </w:tc>
      </w:tr>
    </w:tbl>
    <w:bookmarkEnd w:id="1136"/>
    <w:bookmarkEnd w:id="1137"/>
    <w:bookmarkEnd w:id="1160"/>
    <w:bookmarkEnd w:id="1161"/>
    <w:bookmarkEnd w:id="1162"/>
    <w:bookmarkEnd w:id="1163"/>
    <w:p w14:paraId="58FDB809" w14:textId="77777777" w:rsidR="004D1721" w:rsidRDefault="009B16BC">
      <w:pPr>
        <w:spacing w:beforeLines="50" w:before="180"/>
        <w:rPr>
          <w:rFonts w:ascii="Arial Narrow" w:eastAsia="仿宋_GB2312" w:hAnsi="Arial Narrow" w:cs="Arial"/>
          <w:sz w:val="18"/>
          <w:szCs w:val="18"/>
        </w:rPr>
      </w:pPr>
      <w:r>
        <w:rPr>
          <w:rFonts w:ascii="Arial Narrow" w:eastAsia="仿宋_GB2312" w:hAnsi="Arial Narrow" w:cs="Arial"/>
          <w:b/>
          <w:bCs/>
          <w:i/>
          <w:color w:val="002060"/>
          <w:sz w:val="22"/>
          <w:szCs w:val="22"/>
        </w:rPr>
        <w:t>四分位区间分析表</w:t>
      </w:r>
    </w:p>
    <w:tbl>
      <w:tblPr>
        <w:tblStyle w:val="TableGrid"/>
        <w:tblW w:w="0" w:type="auto"/>
        <w:tblInd w:w="-5" w:type="dxa"/>
        <w:tblLook w:val="04A0" w:firstRow="1" w:lastRow="0" w:firstColumn="1" w:lastColumn="0" w:noHBand="0" w:noVBand="1"/>
      </w:tblPr>
      <w:tblGrid>
        <w:gridCol w:w="2429"/>
        <w:gridCol w:w="2304"/>
        <w:gridCol w:w="2305"/>
        <w:gridCol w:w="2305"/>
        <w:gridCol w:w="2305"/>
        <w:gridCol w:w="2244"/>
      </w:tblGrid>
      <w:tr w:rsidR="004D1721" w14:paraId="7D023CCA" w14:textId="77777777">
        <w:trPr>
          <w:trHeight w:val="397"/>
        </w:trPr>
        <w:tc>
          <w:tcPr>
            <w:tcW w:w="2429" w:type="dxa"/>
            <w:shd w:val="clear" w:color="auto" w:fill="002060"/>
            <w:vAlign w:val="center"/>
          </w:tcPr>
          <w:p w14:paraId="188A1A06" w14:textId="77777777" w:rsidR="004D1721" w:rsidRDefault="009B16BC">
            <w:pPr>
              <w:jc w:val="center"/>
              <w:rPr>
                <w:rFonts w:ascii="Arial Narrow" w:eastAsia="仿宋_GB2312" w:hAnsi="Arial Narrow" w:cs="Arial"/>
                <w:b/>
                <w:color w:val="FFFFFF" w:themeColor="background1"/>
              </w:rPr>
            </w:pPr>
            <w:bookmarkStart w:id="1164" w:name="RANGE!B9"/>
            <w:bookmarkStart w:id="1165" w:name="RANGE!A7"/>
            <w:bookmarkStart w:id="1166" w:name="RANGE!A10"/>
            <w:bookmarkEnd w:id="1164"/>
            <w:bookmarkEnd w:id="1165"/>
            <w:bookmarkEnd w:id="1166"/>
            <w:r>
              <w:rPr>
                <w:rFonts w:ascii="Arial Narrow" w:eastAsia="仿宋_GB2312" w:hAnsi="Arial Narrow" w:cs="Arial"/>
                <w:b/>
                <w:color w:val="FFFFFF" w:themeColor="background1"/>
              </w:rPr>
              <w:t>利润水平指标</w:t>
            </w:r>
          </w:p>
        </w:tc>
        <w:tc>
          <w:tcPr>
            <w:tcW w:w="2304" w:type="dxa"/>
            <w:shd w:val="clear" w:color="auto" w:fill="002060"/>
            <w:vAlign w:val="center"/>
          </w:tcPr>
          <w:p w14:paraId="0515091D"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最小值</w:t>
            </w:r>
          </w:p>
        </w:tc>
        <w:tc>
          <w:tcPr>
            <w:tcW w:w="2305" w:type="dxa"/>
            <w:shd w:val="clear" w:color="auto" w:fill="002060"/>
            <w:vAlign w:val="center"/>
          </w:tcPr>
          <w:p w14:paraId="130B421A"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第一四分位</w:t>
            </w:r>
          </w:p>
        </w:tc>
        <w:tc>
          <w:tcPr>
            <w:tcW w:w="2305" w:type="dxa"/>
            <w:shd w:val="clear" w:color="auto" w:fill="002060"/>
            <w:vAlign w:val="center"/>
          </w:tcPr>
          <w:p w14:paraId="31F3AB80"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中位值</w:t>
            </w:r>
          </w:p>
        </w:tc>
        <w:tc>
          <w:tcPr>
            <w:tcW w:w="2305" w:type="dxa"/>
            <w:shd w:val="clear" w:color="auto" w:fill="002060"/>
            <w:vAlign w:val="center"/>
          </w:tcPr>
          <w:p w14:paraId="6C070EFC"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第三四分位</w:t>
            </w:r>
          </w:p>
        </w:tc>
        <w:tc>
          <w:tcPr>
            <w:tcW w:w="2244" w:type="dxa"/>
            <w:shd w:val="clear" w:color="auto" w:fill="002060"/>
            <w:vAlign w:val="center"/>
          </w:tcPr>
          <w:p w14:paraId="65D6D04E"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最大值</w:t>
            </w:r>
          </w:p>
        </w:tc>
      </w:tr>
      <w:tr w:rsidR="004D1721" w14:paraId="0992E8FB" w14:textId="77777777">
        <w:trPr>
          <w:trHeight w:val="397"/>
        </w:trPr>
        <w:tc>
          <w:tcPr>
            <w:tcW w:w="2429" w:type="dxa"/>
            <w:vAlign w:val="center"/>
          </w:tcPr>
          <w:p w14:paraId="59E30645" w14:textId="77777777" w:rsidR="004D1721" w:rsidRDefault="009B16BC">
            <w:pPr>
              <w:jc w:val="center"/>
              <w:rPr>
                <w:rFonts w:ascii="Arial Narrow" w:eastAsia="仿宋_GB2312" w:hAnsi="Arial Narrow" w:cs="Arial"/>
              </w:rPr>
            </w:pPr>
            <w:r>
              <w:rPr>
                <w:rFonts w:ascii="Arial Narrow" w:eastAsia="仿宋_GB2312" w:hAnsi="Arial Narrow" w:cs="Arial"/>
              </w:rPr>
              <w:t>完全成本加成率</w:t>
            </w:r>
          </w:p>
        </w:tc>
        <w:tc>
          <w:tcPr>
            <w:tcW w:w="2304" w:type="dxa"/>
            <w:vAlign w:val="center"/>
          </w:tcPr>
          <w:p w14:paraId="75746CB0" w14:textId="09B64A5C" w:rsidR="004D1721" w:rsidRDefault="009B16BC">
            <w:pPr>
              <w:jc w:val="center"/>
              <w:rPr>
                <w:rFonts w:ascii="Arial Narrow" w:eastAsia="仿宋_GB2312" w:hAnsi="Arial Narrow" w:cs="Arial"/>
              </w:rPr>
            </w:pPr>
            <w:r>
              <w:rPr>
                <w:rFonts w:ascii="Arial Narrow" w:eastAsia="仿宋_GB2312" w:hAnsi="Arial Narrow" w:cs="Arial"/>
              </w:rPr>
              <w:t>-3.37%</w:t>
            </w:r>
            <w:r>
              <w:rPr>
                <w:rFonts w:ascii="Arial Narrow" w:eastAsia="仿宋_GB2312" w:hAnsi="Arial Narrow" w:cs="Arial" w:hint="eastAsia"/>
              </w:rPr>
              <w:t/>
            </w:r>
            <w:r>
              <w:rPr>
                <w:rFonts w:ascii="Arial Narrow" w:eastAsia="仿宋_GB2312" w:hAnsi="Arial Narrow" w:cs="Arial"/>
              </w:rPr>
              <w:t/>
            </w:r>
          </w:p>
        </w:tc>
        <w:tc>
          <w:tcPr>
            <w:tcW w:w="2305" w:type="dxa"/>
            <w:vAlign w:val="center"/>
          </w:tcPr>
          <w:p w14:paraId="0E7AA429" w14:textId="314F548F" w:rsidR="004D1721" w:rsidRDefault="009B16BC">
            <w:pPr>
              <w:jc w:val="center"/>
              <w:rPr>
                <w:rFonts w:ascii="Arial Narrow" w:eastAsia="仿宋_GB2312" w:hAnsi="Arial Narrow" w:cs="Arial"/>
              </w:rPr>
            </w:pPr>
            <w:r>
              <w:rPr>
                <w:rFonts w:ascii="Arial Narrow" w:eastAsia="仿宋_GB2312" w:hAnsi="Arial Narrow" w:cs="Arial" w:hint="eastAsia"/>
              </w:rPr>
              <w:t>0.59%</w:t>
            </w:r>
            <w:r>
              <w:rPr>
                <w:rFonts w:ascii="Arial Narrow" w:eastAsia="仿宋_GB2312" w:hAnsi="Arial Narrow" w:cs="Arial"/>
              </w:rPr>
              <w:t/>
            </w:r>
          </w:p>
        </w:tc>
        <w:tc>
          <w:tcPr>
            <w:tcW w:w="2305" w:type="dxa"/>
            <w:vAlign w:val="center"/>
          </w:tcPr>
          <w:p w14:paraId="11F87511" w14:textId="4B6BC113" w:rsidR="004D1721" w:rsidRDefault="009B16BC">
            <w:pPr>
              <w:jc w:val="center"/>
              <w:rPr>
                <w:rFonts w:ascii="Arial Narrow" w:eastAsia="仿宋_GB2312" w:hAnsi="Arial Narrow" w:cs="Arial"/>
              </w:rPr>
            </w:pPr>
            <w:r>
              <w:rPr>
                <w:rFonts w:ascii="Arial Narrow" w:eastAsia="仿宋_GB2312" w:hAnsi="Arial Narrow" w:cs="Arial" w:hint="eastAsia"/>
              </w:rPr>
              <w:t>1.39%</w:t>
            </w:r>
            <w:r>
              <w:rPr>
                <w:rFonts w:ascii="Arial Narrow" w:eastAsia="仿宋_GB2312" w:hAnsi="Arial Narrow" w:cs="Arial"/>
              </w:rPr>
              <w:t/>
            </w:r>
          </w:p>
        </w:tc>
        <w:tc>
          <w:tcPr>
            <w:tcW w:w="2305" w:type="dxa"/>
            <w:vAlign w:val="center"/>
          </w:tcPr>
          <w:p w14:paraId="03AFBB30" w14:textId="7FDAC88B" w:rsidR="004D1721" w:rsidRDefault="009B16BC">
            <w:pPr>
              <w:jc w:val="center"/>
              <w:rPr>
                <w:rFonts w:ascii="Arial Narrow" w:eastAsia="仿宋_GB2312" w:hAnsi="Arial Narrow" w:cs="Arial"/>
              </w:rPr>
            </w:pPr>
            <w:r>
              <w:rPr>
                <w:rFonts w:ascii="Arial Narrow" w:eastAsia="仿宋_GB2312" w:hAnsi="Arial Narrow" w:cs="Arial" w:hint="eastAsia"/>
              </w:rPr>
              <w:t>7.29%</w:t>
            </w:r>
            <w:r>
              <w:rPr>
                <w:rFonts w:ascii="Arial Narrow" w:eastAsia="仿宋_GB2312" w:hAnsi="Arial Narrow" w:cs="Arial"/>
              </w:rPr>
              <w:t/>
            </w:r>
          </w:p>
        </w:tc>
        <w:tc>
          <w:tcPr>
            <w:tcW w:w="2244" w:type="dxa"/>
            <w:vAlign w:val="center"/>
          </w:tcPr>
          <w:p w14:paraId="07ACC1C9" w14:textId="074C8A1D" w:rsidR="004D1721" w:rsidRDefault="009B16BC">
            <w:pPr>
              <w:jc w:val="center"/>
              <w:rPr>
                <w:rFonts w:ascii="Arial Narrow" w:eastAsia="仿宋_GB2312" w:hAnsi="Arial Narrow" w:cs="Arial"/>
              </w:rPr>
            </w:pPr>
            <w:r>
              <w:rPr>
                <w:rFonts w:ascii="Arial Narrow" w:eastAsia="仿宋_GB2312" w:hAnsi="Arial Narrow" w:cs="Arial" w:hint="eastAsia"/>
              </w:rPr>
              <w:t>18.75%</w:t>
            </w:r>
            <w:r>
              <w:rPr>
                <w:rFonts w:ascii="Arial Narrow" w:eastAsia="仿宋_GB2312" w:hAnsi="Arial Narrow" w:cs="Arial"/>
              </w:rPr>
              <w:t/>
            </w:r>
          </w:p>
        </w:tc>
      </w:tr>
    </w:tbl>
    <w:p w14:paraId="6400980F" w14:textId="77777777" w:rsidR="004D1721" w:rsidRDefault="004D1721">
      <w:pPr>
        <w:spacing w:line="240" w:lineRule="exact"/>
        <w:rPr>
          <w:rFonts w:ascii="Arial Narrow" w:eastAsia="仿宋_GB2312" w:hAnsi="Arial Narrow" w:cs="Arial"/>
          <w:sz w:val="2"/>
          <w:szCs w:val="2"/>
        </w:rPr>
      </w:pPr>
    </w:p>
    <w:p w14:paraId="665CBD47" w14:textId="77777777" w:rsidR="004D1721" w:rsidRDefault="004D1721"/>
    <w:sectPr w:rsidR="004D1721">
      <w:headerReference w:type="even" r:id="rId35"/>
      <w:footerReference w:type="default" r:id="rId36"/>
      <w:headerReference w:type="first" r:id="rId37"/>
      <w:pgSz w:w="16839" w:h="11907" w:orient="landscape"/>
      <w:pgMar w:top="1800" w:right="1440" w:bottom="1800" w:left="1440" w:header="850" w:footer="992"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AB2DBE" w14:textId="77777777" w:rsidR="00B35ABF" w:rsidRDefault="00B35ABF">
      <w:r>
        <w:separator/>
      </w:r>
    </w:p>
  </w:endnote>
  <w:endnote w:type="continuationSeparator" w:id="0">
    <w:p w14:paraId="10B4B4B9" w14:textId="77777777" w:rsidR="00B35ABF" w:rsidRDefault="00B35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宋体">
    <w:altName w:val="宋体"/>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EYInterstate Light">
    <w:altName w:val="Times New Roman"/>
    <w:charset w:val="00"/>
    <w:family w:val="auto"/>
    <w:pitch w:val="default"/>
    <w:sig w:usb0="00000000"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FZFangSong-Z02">
    <w:altName w:val="Microsoft YaHei UI"/>
    <w:charset w:val="86"/>
    <w:family w:val="script"/>
    <w:pitch w:val="default"/>
    <w:sig w:usb0="00000000" w:usb1="00000000" w:usb2="00000000" w:usb3="00000000" w:csb0="00160000" w:csb1="00000000"/>
  </w:font>
  <w:font w:name="楷体">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entury">
    <w:panose1 w:val="02040604050505020304"/>
    <w:charset w:val="00"/>
    <w:family w:val="roman"/>
    <w:pitch w:val="variable"/>
    <w:sig w:usb0="00000287" w:usb1="00000000" w:usb2="00000000" w:usb3="00000000" w:csb0="0000009F" w:csb1="00000000"/>
  </w:font>
  <w:font w:name="华文细黑">
    <w:panose1 w:val="02010600040101010101"/>
    <w:charset w:val="86"/>
    <w:family w:val="auto"/>
    <w:pitch w:val="variable"/>
    <w:sig w:usb0="00000287" w:usb1="080F0000" w:usb2="00000010" w:usb3="00000000" w:csb0="0004009F" w:csb1="00000000"/>
  </w:font>
  <w:font w:name="Palatino">
    <w:altName w:val="Book Antiqua"/>
    <w:charset w:val="00"/>
    <w:family w:val="roman"/>
    <w:pitch w:val="default"/>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EY Gothic Comp Book">
    <w:altName w:val="宋体"/>
    <w:charset w:val="86"/>
    <w:family w:val="auto"/>
    <w:pitch w:val="default"/>
    <w:sig w:usb0="00000000" w:usb1="00000000" w:usb2="00000010" w:usb3="00000000" w:csb0="00040000" w:csb1="00000000"/>
  </w:font>
  <w:font w:name="EYInterstate">
    <w:altName w:val="Segoe Print"/>
    <w:charset w:val="00"/>
    <w:family w:val="auto"/>
    <w:pitch w:val="default"/>
    <w:sig w:usb0="00000000" w:usb1="00000000" w:usb2="00000000" w:usb3="00000000" w:csb0="00000001" w:csb1="00000000"/>
  </w:font>
  <w:font w:name="Arial Bold">
    <w:altName w:val="Arial"/>
    <w:panose1 w:val="020B0704020202020204"/>
    <w:charset w:val="00"/>
    <w:family w:val="roman"/>
    <w:pitch w:val="default"/>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Yu Gothic UI">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88CE5A" w14:textId="77777777" w:rsidR="009B16BC" w:rsidRDefault="009B16B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961530C" w14:textId="77777777" w:rsidR="009B16BC" w:rsidRDefault="009B16B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9948131"/>
    </w:sdtPr>
    <w:sdtEndPr/>
    <w:sdtContent>
      <w:p w14:paraId="76CF2804" w14:textId="77777777" w:rsidR="009B16BC" w:rsidRDefault="009B16BC">
        <w:pPr>
          <w:pStyle w:val="Footer"/>
          <w:jc w:val="center"/>
        </w:pPr>
        <w:r>
          <w:rPr>
            <w:rFonts w:ascii="Arial Narrow" w:hAnsi="Arial Narrow"/>
            <w:sz w:val="16"/>
          </w:rPr>
          <w:fldChar w:fldCharType="begin"/>
        </w:r>
        <w:r>
          <w:rPr>
            <w:rFonts w:ascii="Arial Narrow" w:hAnsi="Arial Narrow"/>
            <w:sz w:val="16"/>
          </w:rPr>
          <w:instrText>PAGE   \* MERGEFORMAT</w:instrText>
        </w:r>
        <w:r>
          <w:rPr>
            <w:rFonts w:ascii="Arial Narrow" w:hAnsi="Arial Narrow"/>
            <w:sz w:val="16"/>
          </w:rPr>
          <w:fldChar w:fldCharType="separate"/>
        </w:r>
        <w:r w:rsidR="00B0177A">
          <w:rPr>
            <w:rFonts w:ascii="Arial Narrow" w:hAnsi="Arial Narrow"/>
            <w:noProof/>
            <w:sz w:val="16"/>
          </w:rPr>
          <w:t>II</w:t>
        </w:r>
        <w:r>
          <w:rPr>
            <w:rFonts w:ascii="Arial Narrow" w:hAnsi="Arial Narrow"/>
            <w:sz w:val="16"/>
          </w:rPr>
          <w:fldChar w:fldCharType="end"/>
        </w:r>
      </w:p>
    </w:sdtContent>
  </w:sdt>
  <w:p w14:paraId="043F29AD" w14:textId="77777777" w:rsidR="009B16BC" w:rsidRDefault="009B16BC">
    <w:pPr>
      <w:pStyle w:val="Footer"/>
      <w:ind w:right="420"/>
      <w:rPr>
        <w:rFonts w:ascii="楷体" w:eastAsia="楷体" w:hAnsi="楷体" w:cs="宋体"/>
        <w:sz w:val="15"/>
        <w:szCs w:val="15"/>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8078146"/>
    </w:sdtPr>
    <w:sdtEndPr>
      <w:rPr>
        <w:rFonts w:ascii="Arial Narrow" w:hAnsi="Arial Narrow"/>
        <w:sz w:val="18"/>
      </w:rPr>
    </w:sdtEndPr>
    <w:sdtContent>
      <w:p w14:paraId="5276E90A" w14:textId="77777777" w:rsidR="009B16BC" w:rsidRDefault="009B16BC">
        <w:pPr>
          <w:pStyle w:val="Footer"/>
          <w:jc w:val="center"/>
          <w:rPr>
            <w:rFonts w:ascii="Arial Narrow" w:hAnsi="Arial Narrow"/>
            <w:sz w:val="18"/>
          </w:rPr>
        </w:pPr>
        <w:r>
          <w:rPr>
            <w:rFonts w:ascii="Arial Narrow" w:hAnsi="Arial Narrow"/>
            <w:sz w:val="18"/>
          </w:rPr>
          <w:fldChar w:fldCharType="begin"/>
        </w:r>
        <w:r>
          <w:rPr>
            <w:rFonts w:ascii="Arial Narrow" w:hAnsi="Arial Narrow"/>
            <w:sz w:val="18"/>
          </w:rPr>
          <w:instrText>PAGE   \* MERGEFORMAT</w:instrText>
        </w:r>
        <w:r>
          <w:rPr>
            <w:rFonts w:ascii="Arial Narrow" w:hAnsi="Arial Narrow"/>
            <w:sz w:val="18"/>
          </w:rPr>
          <w:fldChar w:fldCharType="separate"/>
        </w:r>
        <w:r w:rsidR="00B0177A" w:rsidRPr="00B0177A">
          <w:rPr>
            <w:rFonts w:ascii="Arial Narrow" w:hAnsi="Arial Narrow"/>
            <w:noProof/>
            <w:sz w:val="18"/>
            <w:lang w:val="zh-CN"/>
          </w:rPr>
          <w:t>iv</w:t>
        </w:r>
        <w:r>
          <w:rPr>
            <w:rFonts w:ascii="Arial Narrow" w:hAnsi="Arial Narrow"/>
            <w:sz w:val="18"/>
          </w:rPr>
          <w:fldChar w:fldCharType="end"/>
        </w:r>
      </w:p>
    </w:sdtContent>
  </w:sdt>
  <w:p w14:paraId="36D7163A" w14:textId="77777777" w:rsidR="009B16BC" w:rsidRDefault="009B16BC">
    <w:pPr>
      <w:pStyle w:val="Footer"/>
      <w:jc w:val="center"/>
      <w:rPr>
        <w:rFonts w:ascii="Arial" w:hAnsi="Arial" w:cs="Arial"/>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138792" w14:textId="77777777" w:rsidR="009B16BC" w:rsidRDefault="009B16BC">
    <w:pPr>
      <w:pStyle w:val="Footer"/>
      <w:jc w:val="center"/>
      <w:rPr>
        <w:rFonts w:ascii="Arial Narrow" w:eastAsia="华文细黑" w:hAnsi="Arial Narrow"/>
        <w:sz w:val="18"/>
        <w:szCs w:val="18"/>
      </w:rPr>
    </w:pPr>
    <w:r>
      <w:rPr>
        <w:rFonts w:ascii="Arial Narrow" w:eastAsia="华文细黑" w:hAnsi="Arial Narrow"/>
        <w:sz w:val="18"/>
        <w:szCs w:val="18"/>
      </w:rPr>
      <w:fldChar w:fldCharType="begin"/>
    </w:r>
    <w:r>
      <w:rPr>
        <w:rFonts w:ascii="Arial Narrow" w:eastAsia="华文细黑" w:hAnsi="Arial Narrow"/>
        <w:sz w:val="18"/>
        <w:szCs w:val="18"/>
      </w:rPr>
      <w:instrText xml:space="preserve"> PAGE   \* MERGEFORMAT </w:instrText>
    </w:r>
    <w:r>
      <w:rPr>
        <w:rFonts w:ascii="Arial Narrow" w:eastAsia="华文细黑" w:hAnsi="Arial Narrow"/>
        <w:sz w:val="18"/>
        <w:szCs w:val="18"/>
      </w:rPr>
      <w:fldChar w:fldCharType="separate"/>
    </w:r>
    <w:r w:rsidR="00B0177A">
      <w:rPr>
        <w:rFonts w:ascii="Arial Narrow" w:eastAsia="华文细黑" w:hAnsi="Arial Narrow"/>
        <w:noProof/>
        <w:sz w:val="18"/>
        <w:szCs w:val="18"/>
      </w:rPr>
      <w:t>iv</w:t>
    </w:r>
    <w:r>
      <w:rPr>
        <w:rFonts w:ascii="Arial Narrow" w:eastAsia="华文细黑" w:hAnsi="Arial Narrow"/>
        <w:sz w:val="18"/>
        <w:szCs w:val="18"/>
      </w:rPr>
      <w:fldChar w:fldCharType="end"/>
    </w:r>
  </w:p>
  <w:p w14:paraId="1B44ABCE" w14:textId="77777777" w:rsidR="009B16BC" w:rsidRDefault="009B16BC">
    <w:pPr>
      <w:pStyle w:val="Footer"/>
      <w:jc w:val="center"/>
      <w:rPr>
        <w:rFonts w:ascii="Arial" w:hAnsi="Arial" w:cs="Arial"/>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EE05A3" w14:textId="5531E197" w:rsidR="009B16BC" w:rsidRDefault="009B16BC">
    <w:pPr>
      <w:pStyle w:val="Footer"/>
      <w:jc w:val="both"/>
      <w:rPr>
        <w:rFonts w:ascii="Arial Narrow" w:eastAsia="华文细黑" w:hAnsi="Arial Narrow" w:cs="Arial"/>
        <w:sz w:val="16"/>
        <w:szCs w:val="16"/>
      </w:rPr>
    </w:pPr>
    <w:r>
      <w:rPr>
        <w:rFonts w:ascii="Arial Narrow" w:eastAsia="仿宋_GB2312" w:hAnsi="Arial Narrow" w:cs="Arial"/>
        <w:sz w:val="16"/>
        <w:lang w:val="fr-FR"/>
      </w:rPr>
      <w:t>©202</w:t>
    </w:r>
    <w:r>
      <w:rPr>
        <w:rFonts w:ascii="Arial Narrow" w:eastAsia="仿宋_GB2312" w:hAnsi="Arial Narrow" w:cs="Arial"/>
        <w:sz w:val="16"/>
      </w:rPr>
      <w:t>4</w:t>
    </w:r>
    <w:r>
      <w:rPr>
        <w:rFonts w:ascii="Arial Narrow" w:eastAsia="仿宋_GB2312" w:hAnsi="Arial Narrow" w:cs="Arial" w:hint="eastAsia"/>
        <w:bCs/>
        <w:sz w:val="16"/>
        <w:szCs w:val="24"/>
      </w:rPr>
      <w:t>立信税务师事务所有限公司</w:t>
    </w:r>
    <w:r>
      <w:rPr>
        <w:rFonts w:ascii="Arial Narrow" w:eastAsia="华文细黑" w:hAnsi="Arial Narrow"/>
        <w:sz w:val="16"/>
        <w:szCs w:val="16"/>
        <w:lang w:val="fr-FR"/>
      </w:rPr>
      <w:ptab w:relativeTo="margin" w:alignment="center" w:leader="none"/>
    </w:r>
    <w:r>
      <w:rPr>
        <w:rFonts w:ascii="Arial Narrow" w:eastAsia="华文细黑" w:hAnsi="Arial Narrow" w:cs="Arial"/>
        <w:sz w:val="16"/>
        <w:szCs w:val="16"/>
      </w:rPr>
      <w:fldChar w:fldCharType="begin"/>
    </w:r>
    <w:r>
      <w:rPr>
        <w:rFonts w:ascii="Arial Narrow" w:eastAsia="华文细黑" w:hAnsi="Arial Narrow" w:cs="Arial"/>
        <w:sz w:val="16"/>
        <w:szCs w:val="16"/>
      </w:rPr>
      <w:instrText xml:space="preserve"> PAGE  \* Arabic  \* MERGEFORMAT </w:instrText>
    </w:r>
    <w:r>
      <w:rPr>
        <w:rFonts w:ascii="Arial Narrow" w:eastAsia="华文细黑" w:hAnsi="Arial Narrow" w:cs="Arial"/>
        <w:sz w:val="16"/>
        <w:szCs w:val="16"/>
      </w:rPr>
      <w:fldChar w:fldCharType="separate"/>
    </w:r>
    <w:r w:rsidR="00B0177A">
      <w:rPr>
        <w:rFonts w:ascii="Arial Narrow" w:eastAsia="华文细黑" w:hAnsi="Arial Narrow" w:cs="Arial"/>
        <w:noProof/>
        <w:sz w:val="16"/>
        <w:szCs w:val="16"/>
      </w:rPr>
      <w:t>12</w:t>
    </w:r>
    <w:r>
      <w:rPr>
        <w:rFonts w:ascii="Arial Narrow" w:eastAsia="华文细黑" w:hAnsi="Arial Narrow" w:cs="Arial"/>
        <w:sz w:val="16"/>
        <w:szCs w:val="16"/>
      </w:rPr>
      <w:fldChar w:fldCharType="end"/>
    </w:r>
  </w:p>
  <w:p w14:paraId="1E5B0DF1" w14:textId="77777777" w:rsidR="009B16BC" w:rsidRDefault="009B16BC">
    <w:pPr>
      <w:pStyle w:val="Footer"/>
      <w:jc w:val="center"/>
      <w:rPr>
        <w:rFonts w:ascii="Arial" w:hAnsi="Arial" w:cs="Arial"/>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1B72E2" w14:textId="75A8470D" w:rsidR="009B16BC" w:rsidRDefault="009B16BC">
    <w:pPr>
      <w:pStyle w:val="Footer"/>
      <w:rPr>
        <w:rFonts w:ascii="Verdana" w:eastAsia="华文细黑" w:hAnsi="Verdana" w:cs="Arial"/>
        <w:sz w:val="18"/>
        <w:szCs w:val="18"/>
      </w:rPr>
    </w:pPr>
    <w:r>
      <w:rPr>
        <w:rFonts w:ascii="Arial Narrow" w:eastAsia="仿宋_GB2312" w:hAnsi="Arial Narrow" w:cs="Arial"/>
        <w:sz w:val="16"/>
        <w:lang w:val="fr-FR"/>
      </w:rPr>
      <w:t>©202</w:t>
    </w:r>
    <w:r>
      <w:rPr>
        <w:rFonts w:ascii="Arial Narrow" w:eastAsia="仿宋_GB2312" w:hAnsi="Arial Narrow" w:cs="Arial" w:hint="eastAsia"/>
        <w:sz w:val="16"/>
      </w:rPr>
      <w:t>4</w:t>
    </w:r>
    <w:r>
      <w:rPr>
        <w:rFonts w:ascii="Arial Narrow" w:eastAsia="仿宋_GB2312" w:hAnsi="Arial Narrow" w:cs="Arial" w:hint="eastAsia"/>
        <w:bCs/>
        <w:sz w:val="16"/>
        <w:szCs w:val="24"/>
      </w:rPr>
      <w:t>立信税务师事务所有限公司</w:t>
    </w:r>
    <w:r>
      <w:rPr>
        <w:rFonts w:ascii="Arial Narrow" w:eastAsia="仿宋_GB2312" w:hAnsi="Arial Narrow" w:cs="Arial"/>
        <w:bCs/>
        <w:sz w:val="16"/>
        <w:szCs w:val="24"/>
      </w:rPr>
      <w:ptab w:relativeTo="margin" w:alignment="center" w:leader="none"/>
    </w:r>
    <w:r>
      <w:rPr>
        <w:rFonts w:ascii="Arial Narrow" w:eastAsia="华文细黑" w:hAnsi="Arial Narrow" w:cs="Arial"/>
        <w:sz w:val="18"/>
        <w:szCs w:val="18"/>
      </w:rPr>
      <w:fldChar w:fldCharType="begin"/>
    </w:r>
    <w:r>
      <w:rPr>
        <w:rFonts w:ascii="Arial Narrow" w:eastAsia="华文细黑" w:hAnsi="Arial Narrow" w:cs="Arial"/>
        <w:sz w:val="18"/>
        <w:szCs w:val="18"/>
      </w:rPr>
      <w:instrText xml:space="preserve"> PAGE  \* Arabic  \* MERGEFORMAT </w:instrText>
    </w:r>
    <w:r>
      <w:rPr>
        <w:rFonts w:ascii="Arial Narrow" w:eastAsia="华文细黑" w:hAnsi="Arial Narrow" w:cs="Arial"/>
        <w:sz w:val="18"/>
        <w:szCs w:val="18"/>
      </w:rPr>
      <w:fldChar w:fldCharType="separate"/>
    </w:r>
    <w:r w:rsidR="00B0177A">
      <w:rPr>
        <w:rFonts w:ascii="Arial Narrow" w:eastAsia="华文细黑" w:hAnsi="Arial Narrow" w:cs="Arial"/>
        <w:noProof/>
        <w:sz w:val="18"/>
        <w:szCs w:val="18"/>
      </w:rPr>
      <w:t>55</w:t>
    </w:r>
    <w:r>
      <w:rPr>
        <w:rFonts w:ascii="Arial Narrow" w:eastAsia="华文细黑" w:hAnsi="Arial Narrow" w:cs="Arial"/>
        <w:sz w:val="18"/>
        <w:szCs w:val="18"/>
      </w:rPr>
      <w:fldChar w:fldCharType="end"/>
    </w:r>
  </w:p>
  <w:p w14:paraId="48DDDDC8" w14:textId="77777777" w:rsidR="009B16BC" w:rsidRDefault="009B16B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1D78FB" w14:textId="77777777" w:rsidR="00B35ABF" w:rsidRDefault="00B35ABF">
      <w:r>
        <w:separator/>
      </w:r>
    </w:p>
  </w:footnote>
  <w:footnote w:type="continuationSeparator" w:id="0">
    <w:p w14:paraId="2DA06F32" w14:textId="77777777" w:rsidR="00B35ABF" w:rsidRDefault="00B35ABF">
      <w:r>
        <w:continuationSeparator/>
      </w:r>
    </w:p>
  </w:footnote>
  <w:footnote w:id="1">
    <w:p w14:paraId="0699606F" w14:textId="77777777" w:rsidR="009B16BC" w:rsidRPr="009B16BC" w:rsidRDefault="009B16BC">
      <w:pPr>
        <w:pStyle w:val="FootnoteText"/>
        <w:rPr>
          <w:rFonts w:ascii="Arial Narrow" w:eastAsia="仿宋_GB2312" w:hAnsi="Arial Narrow" w:cs="Arial Narrow"/>
          <w:sz w:val="16"/>
          <w:szCs w:val="16"/>
          <w:lang w:eastAsia="zh-CN"/>
        </w:rPr>
      </w:pPr>
      <w:r w:rsidRPr="009B16BC">
        <w:rPr>
          <w:rStyle w:val="FootnoteReference"/>
          <w:rFonts w:ascii="Arial Narrow" w:eastAsia="仿宋_GB2312" w:hAnsi="Arial Narrow" w:cs="Arial Narrow"/>
          <w:sz w:val="16"/>
          <w:szCs w:val="16"/>
        </w:rPr>
        <w:footnoteRef/>
      </w:r>
      <w:r w:rsidRPr="009B16BC">
        <w:rPr>
          <w:rFonts w:ascii="Arial Narrow" w:eastAsia="仿宋_GB2312" w:hAnsi="Arial Narrow" w:cs="Arial Narrow"/>
          <w:sz w:val="16"/>
          <w:szCs w:val="16"/>
        </w:rPr>
        <w:t xml:space="preserve"> </w:t>
      </w:r>
      <w:r w:rsidRPr="009B16BC">
        <w:rPr>
          <w:rFonts w:ascii="Arial Narrow" w:eastAsia="仿宋_GB2312" w:hAnsi="Arial Narrow" w:cs="Arial Narrow"/>
          <w:sz w:val="16"/>
          <w:szCs w:val="16"/>
          <w:lang w:eastAsia="zh-CN"/>
        </w:rPr>
        <w:t>资料</w:t>
      </w:r>
      <w:r w:rsidRPr="009B16BC">
        <w:rPr>
          <w:rFonts w:ascii="Arial Narrow" w:eastAsia="仿宋_GB2312" w:hAnsi="Arial Narrow" w:cs="Arial Narrow" w:hint="eastAsia"/>
          <w:sz w:val="16"/>
          <w:szCs w:val="16"/>
        </w:rPr>
        <w:t>来源：集</w:t>
      </w:r>
      <w:r w:rsidRPr="009B16BC">
        <w:rPr>
          <w:rFonts w:ascii="Arial Narrow" w:eastAsia="仿宋_GB2312" w:hAnsi="Arial Narrow" w:cs="Arial Narrow"/>
          <w:sz w:val="16"/>
          <w:szCs w:val="16"/>
        </w:rPr>
        <w:t>团官网</w:t>
      </w:r>
      <w:r w:rsidRPr="009B16BC">
        <w:rPr>
          <w:rFonts w:ascii="Arial Narrow" w:eastAsia="仿宋_GB2312" w:hAnsi="Arial Narrow" w:cs="Arial Narrow"/>
          <w:sz w:val="16"/>
          <w:szCs w:val="16"/>
        </w:rPr>
        <w:t>https://www.markwinsbeauty.com/about/who-we-are/</w:t>
      </w:r>
    </w:p>
  </w:footnote>
  <w:footnote w:id="2">
    <w:p w14:paraId="4515380C" w14:textId="77777777" w:rsidR="009B16BC" w:rsidRPr="005D08A5" w:rsidRDefault="009B16BC">
      <w:pPr>
        <w:pStyle w:val="FootnoteText"/>
        <w:rPr>
          <w:rFonts w:ascii="Arial Narrow" w:eastAsia="仿宋_GB2312" w:hAnsi="Arial Narrow" w:cs="Arial Narrow"/>
          <w:sz w:val="16"/>
          <w:szCs w:val="16"/>
          <w:lang w:eastAsia="zh-CN"/>
        </w:rPr>
      </w:pPr>
      <w:r w:rsidRPr="005D08A5">
        <w:rPr>
          <w:rStyle w:val="FootnoteReference"/>
          <w:rFonts w:ascii="Arial Narrow" w:eastAsia="仿宋_GB2312" w:hAnsi="Arial Narrow" w:cs="Arial Narrow"/>
          <w:sz w:val="16"/>
          <w:szCs w:val="16"/>
        </w:rPr>
        <w:footnoteRef/>
      </w:r>
      <w:r w:rsidRPr="005D08A5">
        <w:rPr>
          <w:rFonts w:ascii="Arial Narrow" w:eastAsia="仿宋_GB2312" w:hAnsi="Arial Narrow" w:cs="Arial Narrow" w:hint="eastAsia"/>
          <w:bCs/>
          <w:sz w:val="16"/>
          <w:szCs w:val="16"/>
          <w:lang w:eastAsia="zh-CN"/>
        </w:rPr>
        <w:t>《</w:t>
      </w:r>
      <w:r w:rsidRPr="005D08A5">
        <w:rPr>
          <w:rFonts w:ascii="Arial Narrow" w:eastAsia="仿宋_GB2312" w:hAnsi="Arial Narrow" w:cs="Arial Narrow"/>
          <w:bCs/>
          <w:sz w:val="16"/>
          <w:szCs w:val="16"/>
          <w:lang w:eastAsia="zh-CN"/>
        </w:rPr>
        <w:t>OECD</w:t>
      </w:r>
      <w:r w:rsidRPr="005D08A5">
        <w:rPr>
          <w:rFonts w:ascii="Arial Narrow" w:eastAsia="仿宋_GB2312" w:hAnsi="Arial Narrow" w:cs="Arial Narrow" w:hint="eastAsia"/>
          <w:bCs/>
          <w:sz w:val="16"/>
          <w:szCs w:val="16"/>
          <w:lang w:eastAsia="zh-CN"/>
        </w:rPr>
        <w:t>跨国企业与税务机关转让定价指南》，第</w:t>
      </w:r>
      <w:r w:rsidRPr="005D08A5">
        <w:rPr>
          <w:rFonts w:ascii="Arial Narrow" w:eastAsia="仿宋_GB2312" w:hAnsi="Arial Narrow" w:cs="Arial Narrow"/>
          <w:bCs/>
          <w:sz w:val="16"/>
          <w:szCs w:val="16"/>
          <w:lang w:eastAsia="zh-CN"/>
        </w:rPr>
        <w:t>V</w:t>
      </w:r>
      <w:r w:rsidRPr="005D08A5">
        <w:rPr>
          <w:rFonts w:ascii="Arial Narrow" w:eastAsia="仿宋_GB2312" w:hAnsi="Arial Narrow" w:cs="Arial Narrow" w:hint="eastAsia"/>
          <w:bCs/>
          <w:sz w:val="16"/>
          <w:szCs w:val="16"/>
          <w:lang w:eastAsia="zh-CN"/>
        </w:rPr>
        <w:t>章，</w:t>
      </w:r>
      <w:r w:rsidRPr="005D08A5">
        <w:rPr>
          <w:rFonts w:ascii="Arial Narrow" w:eastAsia="仿宋_GB2312" w:hAnsi="Arial Narrow" w:cs="Arial Narrow"/>
          <w:bCs/>
          <w:sz w:val="16"/>
          <w:szCs w:val="16"/>
          <w:lang w:eastAsia="zh-CN"/>
        </w:rPr>
        <w:t>C</w:t>
      </w:r>
      <w:r w:rsidRPr="005D08A5">
        <w:rPr>
          <w:rFonts w:ascii="Arial Narrow" w:eastAsia="仿宋_GB2312" w:hAnsi="Arial Narrow" w:cs="Arial Narrow" w:hint="eastAsia"/>
          <w:bCs/>
          <w:sz w:val="16"/>
          <w:szCs w:val="16"/>
          <w:lang w:eastAsia="zh-CN"/>
        </w:rPr>
        <w:t>部分，第</w:t>
      </w:r>
      <w:r w:rsidRPr="005D08A5">
        <w:rPr>
          <w:rFonts w:ascii="Arial Narrow" w:eastAsia="仿宋_GB2312" w:hAnsi="Arial Narrow" w:cs="Arial Narrow"/>
          <w:bCs/>
          <w:sz w:val="16"/>
          <w:szCs w:val="16"/>
          <w:lang w:eastAsia="zh-CN"/>
        </w:rPr>
        <w:t>5.22</w:t>
      </w:r>
      <w:r w:rsidRPr="005D08A5">
        <w:rPr>
          <w:rFonts w:ascii="Arial Narrow" w:eastAsia="仿宋_GB2312" w:hAnsi="Arial Narrow" w:cs="Arial Narrow" w:hint="eastAsia"/>
          <w:bCs/>
          <w:sz w:val="16"/>
          <w:szCs w:val="16"/>
          <w:lang w:eastAsia="zh-CN"/>
        </w:rPr>
        <w:t>段落</w:t>
      </w:r>
    </w:p>
  </w:footnote>
  <w:footnote w:id="3">
    <w:p w14:paraId="5A140743" w14:textId="77777777" w:rsidR="009B16BC" w:rsidRPr="005D08A5" w:rsidRDefault="009B16BC">
      <w:pPr>
        <w:pStyle w:val="FootnoteText"/>
        <w:rPr>
          <w:rFonts w:ascii="Arial Narrow" w:eastAsia="仿宋_GB2312" w:hAnsi="Arial Narrow" w:cs="Arial Narrow"/>
          <w:sz w:val="16"/>
          <w:szCs w:val="16"/>
          <w:lang w:eastAsia="zh-CN"/>
        </w:rPr>
      </w:pPr>
      <w:r w:rsidRPr="005D08A5">
        <w:rPr>
          <w:rStyle w:val="FootnoteReference"/>
          <w:rFonts w:ascii="Arial Narrow" w:eastAsia="仿宋_GB2312" w:hAnsi="Arial Narrow" w:cs="Arial Narrow"/>
          <w:sz w:val="16"/>
          <w:szCs w:val="16"/>
        </w:rPr>
        <w:footnoteRef/>
      </w:r>
      <w:r w:rsidRPr="005D08A5">
        <w:rPr>
          <w:rFonts w:ascii="Arial Narrow" w:eastAsia="仿宋_GB2312" w:hAnsi="Arial Narrow" w:cs="Arial Narrow"/>
          <w:sz w:val="16"/>
          <w:szCs w:val="16"/>
        </w:rPr>
        <w:t xml:space="preserve"> </w:t>
      </w:r>
      <w:r w:rsidRPr="005D08A5">
        <w:rPr>
          <w:rFonts w:ascii="Arial Narrow" w:eastAsia="仿宋_GB2312" w:hAnsi="Arial Narrow" w:cs="Arial Narrow" w:hint="eastAsia"/>
          <w:sz w:val="16"/>
          <w:szCs w:val="16"/>
        </w:rPr>
        <w:t>资料来源：百度百科，</w:t>
      </w:r>
      <w:r w:rsidRPr="005D08A5">
        <w:rPr>
          <w:rFonts w:ascii="Arial Narrow" w:eastAsia="仿宋_GB2312" w:hAnsi="Arial Narrow" w:cs="Arial Narrow"/>
          <w:sz w:val="16"/>
          <w:szCs w:val="16"/>
        </w:rPr>
        <w:t>https://baike.baidu.com/item/%E5%8C%96%E5%A6%86%E5%93%81/140644?fr=aladdin#</w:t>
      </w:r>
    </w:p>
  </w:footnote>
  <w:footnote w:id="4">
    <w:p w14:paraId="4D678C8D" w14:textId="5A0415C8" w:rsidR="009B16BC" w:rsidRPr="005D08A5" w:rsidRDefault="009B16BC">
      <w:pPr>
        <w:pStyle w:val="FootnoteText"/>
        <w:rPr>
          <w:rFonts w:ascii="Arial Narrow" w:eastAsia="仿宋" w:hAnsi="Arial Narrow" w:cs="Arial Narrow"/>
          <w:sz w:val="16"/>
          <w:szCs w:val="16"/>
          <w:lang w:eastAsia="zh-CN"/>
        </w:rPr>
      </w:pPr>
      <w:r w:rsidRPr="005D08A5">
        <w:rPr>
          <w:rStyle w:val="FootnoteReference"/>
          <w:rFonts w:ascii="Arial Narrow" w:eastAsia="仿宋" w:hAnsi="Arial Narrow" w:cs="Arial Narrow"/>
          <w:sz w:val="16"/>
          <w:szCs w:val="16"/>
        </w:rPr>
        <w:footnoteRef/>
      </w:r>
      <w:r w:rsidRPr="005D08A5">
        <w:rPr>
          <w:rStyle w:val="FootnoteReference"/>
          <w:rFonts w:ascii="Arial Narrow" w:eastAsia="仿宋" w:hAnsi="Arial Narrow" w:cs="Arial Narrow"/>
          <w:sz w:val="16"/>
          <w:szCs w:val="16"/>
        </w:rPr>
        <w:t xml:space="preserve"> </w:t>
      </w:r>
      <w:r w:rsidRPr="005D08A5">
        <w:rPr>
          <w:rFonts w:ascii="Arial Narrow" w:eastAsia="仿宋" w:hAnsi="Arial Narrow" w:cs="Arial Narrow" w:hint="eastAsia"/>
          <w:sz w:val="16"/>
          <w:szCs w:val="16"/>
        </w:rPr>
        <w:t>资料来源：立鼎产业研究网，</w:t>
      </w:r>
      <w:r w:rsidRPr="005D08A5">
        <w:rPr>
          <w:rFonts w:ascii="Arial Narrow" w:eastAsia="仿宋" w:hAnsi="Arial Narrow" w:cs="Arial Narrow"/>
          <w:sz w:val="16"/>
          <w:szCs w:val="16"/>
        </w:rPr>
        <w:t>http://www.leadingir.com/trend/view/8716.html</w:t>
      </w:r>
    </w:p>
  </w:footnote>
  <w:footnote w:id="5">
    <w:p w14:paraId="1887D6B1" w14:textId="024D488B" w:rsidR="009B16BC" w:rsidRPr="005D08A5" w:rsidRDefault="009B16BC">
      <w:pPr>
        <w:pStyle w:val="FootnoteText"/>
        <w:rPr>
          <w:rFonts w:ascii="Arial Narrow" w:eastAsia="仿宋" w:hAnsi="Arial Narrow" w:cs="Arial Narrow"/>
          <w:lang w:eastAsia="zh-CN"/>
        </w:rPr>
      </w:pPr>
      <w:r w:rsidRPr="005D08A5">
        <w:rPr>
          <w:rStyle w:val="FootnoteReference"/>
          <w:rFonts w:ascii="Arial Narrow" w:eastAsia="仿宋" w:hAnsi="Arial Narrow" w:cs="Arial Narrow"/>
          <w:sz w:val="16"/>
          <w:szCs w:val="16"/>
        </w:rPr>
        <w:footnoteRef/>
      </w:r>
      <w:r w:rsidRPr="005D08A5">
        <w:rPr>
          <w:rStyle w:val="FootnoteReference"/>
          <w:rFonts w:ascii="Arial Narrow" w:eastAsia="仿宋" w:hAnsi="Arial Narrow" w:cs="Arial Narrow"/>
          <w:sz w:val="16"/>
          <w:szCs w:val="16"/>
          <w:lang w:eastAsia="zh-CN"/>
        </w:rPr>
        <w:t xml:space="preserve"> </w:t>
      </w:r>
      <w:r w:rsidRPr="005D08A5">
        <w:rPr>
          <w:rFonts w:ascii="Arial Narrow" w:eastAsia="仿宋" w:hAnsi="Arial Narrow" w:cs="Arial Narrow" w:hint="eastAsia"/>
          <w:sz w:val="16"/>
          <w:szCs w:val="16"/>
          <w:lang w:eastAsia="zh-CN"/>
        </w:rPr>
        <w:t>资料来源：前瞻经济学人，</w:t>
      </w:r>
      <w:r w:rsidRPr="005D08A5">
        <w:rPr>
          <w:rFonts w:ascii="Arial Narrow" w:eastAsia="仿宋" w:hAnsi="Arial Narrow" w:cs="Arial Narrow"/>
          <w:sz w:val="16"/>
          <w:szCs w:val="16"/>
          <w:lang w:eastAsia="zh-CN"/>
        </w:rPr>
        <w:t>https://bg.qianzhan.com/trends/detail/506/211126-284dcfa4.html</w:t>
      </w:r>
    </w:p>
  </w:footnote>
  <w:footnote w:id="6">
    <w:p w14:paraId="2E43F322" w14:textId="0498FCA3" w:rsidR="009B16BC" w:rsidRPr="005D08A5" w:rsidRDefault="009B16BC">
      <w:pPr>
        <w:pStyle w:val="FootnoteText"/>
        <w:rPr>
          <w:rFonts w:ascii="Arial Narrow" w:eastAsia="仿宋" w:hAnsi="Arial Narrow" w:cs="Arial Narrow"/>
          <w:sz w:val="16"/>
          <w:szCs w:val="16"/>
          <w:lang w:eastAsia="zh-CN"/>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lang w:eastAsia="zh-CN"/>
        </w:rPr>
        <w:t xml:space="preserve"> </w:t>
      </w:r>
      <w:r w:rsidRPr="005D08A5">
        <w:rPr>
          <w:rFonts w:ascii="Arial Narrow" w:eastAsia="仿宋" w:hAnsi="Arial Narrow" w:cs="Arial Narrow" w:hint="eastAsia"/>
          <w:sz w:val="16"/>
          <w:szCs w:val="16"/>
          <w:lang w:eastAsia="zh-CN"/>
        </w:rPr>
        <w:t>资料来源：欧莱雅</w:t>
      </w:r>
      <w:r w:rsidRPr="005D08A5">
        <w:rPr>
          <w:rFonts w:ascii="Arial Narrow" w:eastAsia="仿宋" w:hAnsi="Arial Narrow" w:cs="Arial Narrow"/>
          <w:sz w:val="16"/>
          <w:szCs w:val="16"/>
          <w:lang w:eastAsia="zh-CN"/>
        </w:rPr>
        <w:t>2023</w:t>
      </w:r>
      <w:r w:rsidRPr="005D08A5">
        <w:rPr>
          <w:rFonts w:ascii="Arial Narrow" w:eastAsia="仿宋" w:hAnsi="Arial Narrow" w:cs="Arial Narrow" w:hint="eastAsia"/>
          <w:sz w:val="16"/>
          <w:szCs w:val="16"/>
          <w:lang w:eastAsia="zh-CN"/>
        </w:rPr>
        <w:t>年度年报，</w:t>
      </w:r>
      <w:r w:rsidRPr="005D08A5">
        <w:rPr>
          <w:rFonts w:ascii="Arial Narrow" w:eastAsia="仿宋" w:hAnsi="Arial Narrow" w:cs="Arial Narrow"/>
          <w:sz w:val="16"/>
          <w:szCs w:val="16"/>
          <w:lang w:eastAsia="zh-CN"/>
        </w:rPr>
        <w:t>https://www.loreal-finance.com/eng/news-release/2023-annual-results</w:t>
      </w:r>
    </w:p>
  </w:footnote>
  <w:footnote w:id="7">
    <w:p w14:paraId="7FD326FB" w14:textId="6B5FBE88" w:rsidR="009B16BC" w:rsidRPr="005D08A5" w:rsidRDefault="009B16BC">
      <w:pPr>
        <w:pStyle w:val="FootnoteText"/>
        <w:rPr>
          <w:rFonts w:ascii="Times New Roman" w:eastAsia="仿宋" w:hAnsi="Times New Roman"/>
          <w:sz w:val="16"/>
          <w:szCs w:val="16"/>
          <w:lang w:eastAsia="zh-CN"/>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rPr>
        <w:t xml:space="preserve"> </w:t>
      </w:r>
      <w:r w:rsidRPr="005D08A5">
        <w:rPr>
          <w:rFonts w:ascii="Arial Narrow" w:eastAsia="仿宋" w:hAnsi="Arial Narrow" w:cs="Arial Narrow" w:hint="eastAsia"/>
          <w:sz w:val="16"/>
          <w:szCs w:val="16"/>
          <w:lang w:eastAsia="zh-CN"/>
        </w:rPr>
        <w:t>资料来源：欧莱雅</w:t>
      </w:r>
      <w:r w:rsidRPr="005D08A5">
        <w:rPr>
          <w:rFonts w:ascii="Arial Narrow" w:eastAsia="仿宋" w:hAnsi="Arial Narrow" w:cs="Arial Narrow"/>
          <w:sz w:val="16"/>
          <w:szCs w:val="16"/>
          <w:lang w:eastAsia="zh-CN"/>
        </w:rPr>
        <w:t>2023</w:t>
      </w:r>
      <w:r w:rsidRPr="005D08A5">
        <w:rPr>
          <w:rFonts w:ascii="Arial Narrow" w:eastAsia="仿宋" w:hAnsi="Arial Narrow" w:cs="Arial Narrow" w:hint="eastAsia"/>
          <w:sz w:val="16"/>
          <w:szCs w:val="16"/>
          <w:lang w:eastAsia="zh-CN"/>
        </w:rPr>
        <w:t>年度年报，</w:t>
      </w:r>
      <w:r w:rsidRPr="005D08A5">
        <w:rPr>
          <w:rFonts w:ascii="Arial Narrow" w:eastAsia="仿宋" w:hAnsi="Arial Narrow" w:cs="Arial Narrow"/>
          <w:sz w:val="16"/>
          <w:szCs w:val="16"/>
          <w:lang w:eastAsia="zh-CN"/>
        </w:rPr>
        <w:t>https://www.loreal-finance.com/eng/news-release/2023-annual-results</w:t>
      </w:r>
    </w:p>
  </w:footnote>
  <w:footnote w:id="8">
    <w:p w14:paraId="628B5DE6" w14:textId="77777777" w:rsidR="009B16BC" w:rsidRPr="005D08A5" w:rsidRDefault="009B16BC">
      <w:pPr>
        <w:pStyle w:val="FootnoteText"/>
        <w:rPr>
          <w:rFonts w:ascii="Arial Narrow" w:eastAsia="仿宋" w:hAnsi="Arial Narrow" w:cs="Arial Narrow"/>
          <w:sz w:val="16"/>
          <w:szCs w:val="16"/>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sz w:val="16"/>
          <w:szCs w:val="16"/>
        </w:rPr>
        <w:t>资料来源：</w:t>
      </w:r>
      <w:r w:rsidRPr="005D08A5">
        <w:rPr>
          <w:rFonts w:ascii="Arial Narrow" w:eastAsia="仿宋" w:hAnsi="Arial Narrow" w:cs="Arial Narrow"/>
          <w:sz w:val="16"/>
          <w:szCs w:val="16"/>
        </w:rPr>
        <w:t>2015-2019</w:t>
      </w:r>
      <w:r w:rsidRPr="005D08A5">
        <w:rPr>
          <w:rFonts w:ascii="Arial Narrow" w:eastAsia="仿宋" w:hAnsi="Arial Narrow" w:cs="Arial Narrow"/>
          <w:sz w:val="16"/>
          <w:szCs w:val="16"/>
        </w:rPr>
        <w:t>年中国化妆品行业规模以上企业零售总额情况，</w:t>
      </w:r>
      <w:r w:rsidRPr="005D08A5">
        <w:rPr>
          <w:rFonts w:ascii="Arial Narrow" w:eastAsia="仿宋" w:hAnsi="Arial Narrow" w:cs="Arial Narrow"/>
          <w:sz w:val="16"/>
          <w:szCs w:val="16"/>
        </w:rPr>
        <w:t>http://wukongzhiku.com/chart/61215.html</w:t>
      </w:r>
    </w:p>
  </w:footnote>
  <w:footnote w:id="9">
    <w:p w14:paraId="179E1DFE" w14:textId="2A2AFCB3" w:rsidR="009B16BC" w:rsidRPr="005D08A5" w:rsidRDefault="009B16BC">
      <w:pPr>
        <w:pStyle w:val="FootnoteText"/>
        <w:rPr>
          <w:rFonts w:ascii="Arial Narrow" w:eastAsia="仿宋" w:hAnsi="Arial Narrow" w:cs="Arial Narrow"/>
          <w:sz w:val="16"/>
          <w:szCs w:val="16"/>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sz w:val="16"/>
          <w:szCs w:val="16"/>
        </w:rPr>
        <w:t>资料来源：国家统计局，</w:t>
      </w:r>
      <w:r w:rsidRPr="005D08A5">
        <w:rPr>
          <w:rFonts w:ascii="Arial Narrow" w:eastAsia="仿宋" w:hAnsi="Arial Narrow" w:cs="Arial Narrow"/>
          <w:sz w:val="16"/>
          <w:szCs w:val="16"/>
        </w:rPr>
        <w:t>https://www.stats.gov.cn/sj/zxfb/202401/t20240116_1946619.html</w:t>
      </w:r>
    </w:p>
  </w:footnote>
  <w:footnote w:id="10">
    <w:p w14:paraId="27F16028" w14:textId="34C3B2A9" w:rsidR="009B16BC" w:rsidRPr="005D08A5" w:rsidRDefault="009B16BC">
      <w:pPr>
        <w:pStyle w:val="FootnoteText"/>
        <w:rPr>
          <w:rFonts w:ascii="Arial Narrow" w:eastAsia="仿宋" w:hAnsi="Arial Narrow" w:cs="Arial Narrow"/>
          <w:sz w:val="16"/>
          <w:szCs w:val="16"/>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sz w:val="16"/>
          <w:szCs w:val="16"/>
        </w:rPr>
        <w:t>资料来源：国家统计局，</w:t>
      </w:r>
      <w:r w:rsidRPr="005D08A5">
        <w:rPr>
          <w:rFonts w:ascii="Arial Narrow" w:eastAsia="仿宋" w:hAnsi="Arial Narrow" w:cs="Arial Narrow"/>
          <w:sz w:val="16"/>
          <w:szCs w:val="16"/>
        </w:rPr>
        <w:t>https://www.stats.gov.cn/sj/zxfb/202401/t20240116_1946619.html</w:t>
      </w:r>
    </w:p>
  </w:footnote>
  <w:footnote w:id="11">
    <w:p w14:paraId="7EEF1C17" w14:textId="5DBD777B" w:rsidR="009B16BC" w:rsidRDefault="009B16BC">
      <w:pPr>
        <w:pStyle w:val="FootnoteText"/>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hint="eastAsia"/>
          <w:sz w:val="16"/>
          <w:szCs w:val="16"/>
        </w:rPr>
        <w:t>资料来源：浦银国际，</w:t>
      </w:r>
      <w:r w:rsidRPr="005D08A5">
        <w:rPr>
          <w:rFonts w:ascii="Arial Narrow" w:eastAsia="仿宋" w:hAnsi="Arial Narrow" w:cs="Arial Narrow"/>
          <w:sz w:val="16"/>
          <w:szCs w:val="16"/>
        </w:rPr>
        <w:t>http://www.spdbi.com/getfile/index/action/images/name/6577fa4a86f77.pdf</w:t>
      </w:r>
    </w:p>
  </w:footnote>
  <w:footnote w:id="12">
    <w:p w14:paraId="36159365"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cs="Arial"/>
          <w:sz w:val="16"/>
          <w:szCs w:val="16"/>
        </w:rPr>
        <w:footnoteRef/>
      </w:r>
      <w:r>
        <w:rPr>
          <w:rStyle w:val="FootnoteReference"/>
          <w:rFonts w:ascii="Arial Narrow" w:eastAsia="仿宋_GB2312" w:hAnsi="Arial Narrow" w:cs="Arial"/>
          <w:sz w:val="16"/>
          <w:szCs w:val="16"/>
          <w:lang w:eastAsia="zh-CN"/>
        </w:rPr>
        <w:t xml:space="preserve"> </w:t>
      </w:r>
      <w:r>
        <w:rPr>
          <w:rFonts w:ascii="Arial Narrow" w:eastAsia="仿宋_GB2312" w:hAnsi="Arial Narrow"/>
          <w:sz w:val="16"/>
          <w:szCs w:val="16"/>
          <w:lang w:eastAsia="zh-CN"/>
        </w:rPr>
        <w:t>《</w:t>
      </w:r>
      <w:r>
        <w:rPr>
          <w:rFonts w:ascii="Arial Narrow" w:eastAsia="仿宋_GB2312" w:hAnsi="Arial Narrow"/>
          <w:sz w:val="16"/>
          <w:szCs w:val="16"/>
          <w:lang w:eastAsia="zh-CN"/>
        </w:rPr>
        <w:t xml:space="preserve">OECD </w:t>
      </w:r>
      <w:r>
        <w:rPr>
          <w:rFonts w:ascii="Arial Narrow" w:eastAsia="仿宋_GB2312" w:hAnsi="Arial Narrow"/>
          <w:sz w:val="16"/>
          <w:szCs w:val="16"/>
          <w:lang w:eastAsia="zh-CN"/>
        </w:rPr>
        <w:t>跨国企业与税务机关转让定价指南》，第</w:t>
      </w:r>
      <w:r>
        <w:rPr>
          <w:rFonts w:ascii="Arial Narrow" w:eastAsia="仿宋_GB2312" w:hAnsi="Arial Narrow"/>
          <w:sz w:val="16"/>
          <w:szCs w:val="16"/>
          <w:lang w:eastAsia="zh-CN"/>
        </w:rPr>
        <w:t xml:space="preserve"> III </w:t>
      </w:r>
      <w:r>
        <w:rPr>
          <w:rFonts w:ascii="Arial Narrow" w:eastAsia="仿宋_GB2312" w:hAnsi="Arial Narrow"/>
          <w:sz w:val="16"/>
          <w:szCs w:val="16"/>
          <w:lang w:eastAsia="zh-CN"/>
        </w:rPr>
        <w:t>章，</w:t>
      </w:r>
      <w:r>
        <w:rPr>
          <w:rFonts w:ascii="Arial Narrow" w:eastAsia="仿宋_GB2312" w:hAnsi="Arial Narrow"/>
          <w:sz w:val="16"/>
          <w:szCs w:val="16"/>
          <w:lang w:eastAsia="zh-CN"/>
        </w:rPr>
        <w:t xml:space="preserve">A </w:t>
      </w:r>
      <w:r>
        <w:rPr>
          <w:rFonts w:ascii="Arial Narrow" w:eastAsia="仿宋_GB2312" w:hAnsi="Arial Narrow"/>
          <w:sz w:val="16"/>
          <w:szCs w:val="16"/>
          <w:lang w:eastAsia="zh-CN"/>
        </w:rPr>
        <w:t>部分，第</w:t>
      </w:r>
      <w:r>
        <w:rPr>
          <w:rFonts w:ascii="Arial Narrow" w:eastAsia="仿宋_GB2312" w:hAnsi="Arial Narrow"/>
          <w:sz w:val="16"/>
          <w:szCs w:val="16"/>
          <w:lang w:eastAsia="zh-CN"/>
        </w:rPr>
        <w:t xml:space="preserve"> 3.9 </w:t>
      </w:r>
      <w:r>
        <w:rPr>
          <w:rFonts w:ascii="Arial Narrow" w:eastAsia="仿宋_GB2312" w:hAnsi="Arial Narrow"/>
          <w:sz w:val="16"/>
          <w:szCs w:val="16"/>
          <w:lang w:eastAsia="zh-CN"/>
        </w:rPr>
        <w:t>段落</w:t>
      </w:r>
    </w:p>
  </w:footnote>
  <w:footnote w:id="13">
    <w:p w14:paraId="74C4590A" w14:textId="77777777" w:rsidR="009B16BC" w:rsidRDefault="009B16BC">
      <w:pPr>
        <w:pStyle w:val="FootnoteText"/>
        <w:rPr>
          <w:rFonts w:ascii="仿宋_GB2312" w:eastAsia="仿宋_GB2312" w:hAnsi="Arial Narrow"/>
          <w:sz w:val="16"/>
          <w:szCs w:val="16"/>
          <w:lang w:eastAsia="zh-CN"/>
        </w:rPr>
      </w:pPr>
      <w:r>
        <w:rPr>
          <w:rStyle w:val="FootnoteReference"/>
          <w:rFonts w:ascii="Arial Narrow" w:eastAsia="仿宋_GB2312" w:hAnsi="Arial Narrow" w:hint="eastAsia"/>
          <w:sz w:val="16"/>
          <w:szCs w:val="16"/>
        </w:rPr>
        <w:footnoteRef/>
      </w:r>
      <w:r>
        <w:rPr>
          <w:rStyle w:val="FootnoteReference"/>
          <w:rFonts w:ascii="仿宋_GB2312" w:eastAsia="仿宋_GB2312" w:hAnsi="Arial Narrow" w:hint="eastAsia"/>
          <w:lang w:eastAsia="zh-CN"/>
        </w:rPr>
        <w:t xml:space="preserve"> </w:t>
      </w:r>
      <w:r>
        <w:rPr>
          <w:rFonts w:ascii="仿宋_GB2312" w:eastAsia="仿宋_GB2312" w:hAnsi="Arial Narrow" w:hint="eastAsia"/>
          <w:sz w:val="16"/>
          <w:szCs w:val="16"/>
          <w:lang w:eastAsia="zh-CN"/>
        </w:rPr>
        <w:t>资料来源：中华人民共和国人力资源和社会保障部</w:t>
      </w:r>
    </w:p>
    <w:p w14:paraId="2B98BC2F" w14:textId="489DA52A" w:rsidR="009B16BC" w:rsidRDefault="009B16BC">
      <w:pPr>
        <w:pStyle w:val="FootnoteText"/>
        <w:rPr>
          <w:rFonts w:ascii="仿宋_GB2312" w:eastAsia="仿宋_GB2312" w:hAnsi="Arial Narrow"/>
        </w:rPr>
      </w:pPr>
      <w:r w:rsidRPr="005D08A5">
        <w:rPr>
          <w:rFonts w:ascii="Arial Narrow" w:eastAsia="仿宋_GB2312" w:hAnsi="Arial Narrow" w:cs="Arial Narrow"/>
          <w:sz w:val="16"/>
          <w:szCs w:val="16"/>
        </w:rPr>
        <w:t>http://www.mohrss.gov.cn/SYrlzyhshbzb/laodongguanxi_/fwyd/202401/t20240119_512450.html</w:t>
      </w:r>
    </w:p>
  </w:footnote>
  <w:footnote w:id="14">
    <w:p w14:paraId="1D78321D" w14:textId="484C2842" w:rsidR="009B16BC" w:rsidRDefault="009B16BC">
      <w:pPr>
        <w:pStyle w:val="FootnoteText"/>
        <w:spacing w:line="240" w:lineRule="atLeast"/>
        <w:rPr>
          <w:rFonts w:ascii="Arial Narrow" w:eastAsia="仿宋_GB2312" w:hAnsi="Arial Narrow" w:cs="楷体"/>
          <w:sz w:val="16"/>
          <w:szCs w:val="16"/>
        </w:rPr>
      </w:pPr>
      <w:r>
        <w:rPr>
          <w:rStyle w:val="FootnoteReference"/>
          <w:rFonts w:ascii="Arial Narrow" w:eastAsia="仿宋_GB2312" w:hAnsi="Arial Narrow"/>
          <w:sz w:val="16"/>
          <w:szCs w:val="16"/>
        </w:rPr>
        <w:footnoteRef/>
      </w:r>
      <w:r>
        <w:rPr>
          <w:rStyle w:val="FootnoteReference"/>
          <w:rFonts w:ascii="Arial Narrow" w:eastAsia="仿宋_GB2312" w:hAnsi="Arial Narrow"/>
          <w:sz w:val="16"/>
          <w:szCs w:val="16"/>
        </w:rPr>
        <w:t xml:space="preserve"> </w:t>
      </w:r>
      <w:r>
        <w:rPr>
          <w:rFonts w:ascii="Arial Narrow" w:eastAsia="仿宋_GB2312" w:hAnsi="Arial Narrow"/>
          <w:sz w:val="16"/>
          <w:szCs w:val="16"/>
        </w:rPr>
        <w:t xml:space="preserve"> </w:t>
      </w:r>
      <w:r>
        <w:rPr>
          <w:rFonts w:ascii="Arial Narrow" w:eastAsia="仿宋_GB2312" w:hAnsi="Arial Narrow" w:cs="楷体"/>
          <w:sz w:val="16"/>
          <w:szCs w:val="16"/>
        </w:rPr>
        <w:t>资料来源：国家统计局，</w:t>
      </w:r>
      <w:r>
        <w:rPr>
          <w:rFonts w:ascii="Arial Narrow" w:eastAsia="仿宋_GB2312" w:hAnsi="Arial Narrow" w:cs="楷体"/>
          <w:sz w:val="16"/>
          <w:szCs w:val="16"/>
        </w:rPr>
        <w:t>https://www.stats.gov.cn/sj/zxfb/202405/t20240520_1950434.html</w:t>
      </w:r>
    </w:p>
  </w:footnote>
  <w:footnote w:id="15">
    <w:p w14:paraId="2727509D" w14:textId="77777777" w:rsidR="009B16BC" w:rsidRDefault="009B16BC">
      <w:pPr>
        <w:pStyle w:val="FootnoteTex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sz w:val="16"/>
          <w:szCs w:val="16"/>
          <w:lang w:eastAsia="zh-CN"/>
        </w:rPr>
        <w:t>《</w:t>
      </w:r>
      <w:r>
        <w:rPr>
          <w:rFonts w:ascii="Arial Narrow" w:eastAsia="仿宋_GB2312" w:hAnsi="Arial Narrow" w:cs="微软雅黑"/>
          <w:sz w:val="16"/>
          <w:szCs w:val="16"/>
          <w:lang w:eastAsia="zh-CN"/>
        </w:rPr>
        <w:t>联</w:t>
      </w:r>
      <w:r>
        <w:rPr>
          <w:rFonts w:ascii="Arial Narrow" w:eastAsia="仿宋_GB2312" w:hAnsi="Arial Narrow" w:cs="Yu Gothic UI"/>
          <w:sz w:val="16"/>
          <w:szCs w:val="16"/>
          <w:lang w:eastAsia="zh-CN"/>
        </w:rPr>
        <w:t>合国</w:t>
      </w:r>
      <w:r>
        <w:rPr>
          <w:rFonts w:ascii="Arial Narrow" w:eastAsia="仿宋_GB2312" w:hAnsi="Arial Narrow" w:cs="微软雅黑"/>
          <w:sz w:val="16"/>
          <w:szCs w:val="16"/>
          <w:lang w:eastAsia="zh-CN"/>
        </w:rPr>
        <w:t>发</w:t>
      </w:r>
      <w:r>
        <w:rPr>
          <w:rFonts w:ascii="Arial Narrow" w:eastAsia="仿宋_GB2312" w:hAnsi="Arial Narrow" w:cs="Yu Gothic UI"/>
          <w:sz w:val="16"/>
          <w:szCs w:val="16"/>
          <w:lang w:eastAsia="zh-CN"/>
        </w:rPr>
        <w:t>展中国家</w:t>
      </w:r>
      <w:r>
        <w:rPr>
          <w:rFonts w:ascii="Arial Narrow" w:eastAsia="仿宋_GB2312" w:hAnsi="Arial Narrow" w:cs="微软雅黑"/>
          <w:sz w:val="16"/>
          <w:szCs w:val="16"/>
          <w:lang w:eastAsia="zh-CN"/>
        </w:rPr>
        <w:t>转让</w:t>
      </w:r>
      <w:r>
        <w:rPr>
          <w:rFonts w:ascii="Arial Narrow" w:eastAsia="仿宋_GB2312" w:hAnsi="Arial Narrow" w:cs="Yu Gothic UI"/>
          <w:sz w:val="16"/>
          <w:szCs w:val="16"/>
          <w:lang w:eastAsia="zh-CN"/>
        </w:rPr>
        <w:t>定价操作手册》，第</w:t>
      </w:r>
      <w:r>
        <w:rPr>
          <w:rFonts w:ascii="Arial Narrow" w:eastAsia="仿宋_GB2312" w:hAnsi="Arial Narrow"/>
          <w:sz w:val="16"/>
          <w:szCs w:val="16"/>
          <w:lang w:eastAsia="zh-CN"/>
        </w:rPr>
        <w:t>10</w:t>
      </w:r>
      <w:r>
        <w:rPr>
          <w:rFonts w:ascii="Arial Narrow" w:eastAsia="仿宋_GB2312" w:hAnsi="Arial Narrow"/>
          <w:sz w:val="16"/>
          <w:szCs w:val="16"/>
          <w:lang w:eastAsia="zh-CN"/>
        </w:rPr>
        <w:t>章国家</w:t>
      </w:r>
      <w:r>
        <w:rPr>
          <w:rFonts w:ascii="Arial Narrow" w:eastAsia="仿宋_GB2312" w:hAnsi="Arial Narrow" w:cs="微软雅黑"/>
          <w:sz w:val="16"/>
          <w:szCs w:val="16"/>
          <w:lang w:eastAsia="zh-CN"/>
        </w:rPr>
        <w:t>实</w:t>
      </w:r>
      <w:r>
        <w:rPr>
          <w:rFonts w:ascii="Arial Narrow" w:eastAsia="仿宋_GB2312" w:hAnsi="Arial Narrow" w:cs="Yu Gothic UI"/>
          <w:sz w:val="16"/>
          <w:szCs w:val="16"/>
          <w:lang w:eastAsia="zh-CN"/>
        </w:rPr>
        <w:t>践，第</w:t>
      </w:r>
      <w:r>
        <w:rPr>
          <w:rFonts w:ascii="Arial Narrow" w:eastAsia="仿宋_GB2312" w:hAnsi="Arial Narrow"/>
          <w:sz w:val="16"/>
          <w:szCs w:val="16"/>
          <w:lang w:eastAsia="zh-CN"/>
        </w:rPr>
        <w:t>10.3.3.3</w:t>
      </w:r>
      <w:r>
        <w:rPr>
          <w:rFonts w:ascii="Arial Narrow" w:eastAsia="仿宋_GB2312" w:hAnsi="Arial Narrow"/>
          <w:sz w:val="16"/>
          <w:szCs w:val="16"/>
          <w:lang w:eastAsia="zh-CN"/>
        </w:rPr>
        <w:t>段落</w:t>
      </w:r>
    </w:p>
  </w:footnote>
  <w:footnote w:id="16">
    <w:p w14:paraId="2A4C54DA"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2.11</w:t>
      </w:r>
      <w:r>
        <w:rPr>
          <w:rFonts w:ascii="Arial Narrow" w:eastAsia="仿宋_GB2312" w:hAnsi="Arial Narrow" w:cs="楷体"/>
          <w:sz w:val="16"/>
          <w:szCs w:val="16"/>
          <w:lang w:eastAsia="zh-CN"/>
        </w:rPr>
        <w:t>章</w:t>
      </w:r>
    </w:p>
  </w:footnote>
  <w:footnote w:id="17">
    <w:p w14:paraId="4D60036A"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2.58</w:t>
      </w:r>
      <w:r>
        <w:rPr>
          <w:rFonts w:ascii="Arial Narrow" w:eastAsia="仿宋_GB2312" w:hAnsi="Arial Narrow" w:cs="楷体"/>
          <w:sz w:val="16"/>
          <w:szCs w:val="16"/>
          <w:lang w:eastAsia="zh-CN"/>
        </w:rPr>
        <w:t>章</w:t>
      </w:r>
    </w:p>
  </w:footnote>
  <w:footnote w:id="18">
    <w:p w14:paraId="776FD9A3"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3.76</w:t>
      </w:r>
      <w:r>
        <w:rPr>
          <w:rFonts w:ascii="Arial Narrow" w:eastAsia="仿宋_GB2312" w:hAnsi="Arial Narrow" w:cs="楷体"/>
          <w:sz w:val="16"/>
          <w:szCs w:val="16"/>
          <w:lang w:eastAsia="zh-CN"/>
        </w:rPr>
        <w:t>章</w:t>
      </w:r>
    </w:p>
  </w:footnote>
  <w:footnote w:id="19">
    <w:p w14:paraId="18FD4425"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3.77</w:t>
      </w:r>
      <w:r>
        <w:rPr>
          <w:rFonts w:ascii="Arial Narrow" w:eastAsia="仿宋_GB2312" w:hAnsi="Arial Narrow" w:cs="楷体"/>
          <w:sz w:val="16"/>
          <w:szCs w:val="16"/>
          <w:lang w:eastAsia="zh-CN"/>
        </w:rPr>
        <w:t>章</w:t>
      </w:r>
    </w:p>
  </w:footnote>
  <w:footnote w:id="20">
    <w:p w14:paraId="472BF1B8"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3.55</w:t>
      </w:r>
      <w:r>
        <w:rPr>
          <w:rFonts w:ascii="Arial Narrow" w:eastAsia="仿宋_GB2312" w:hAnsi="Arial Narrow" w:cs="楷体"/>
          <w:sz w:val="16"/>
          <w:szCs w:val="16"/>
          <w:lang w:eastAsia="zh-CN"/>
        </w:rPr>
        <w:t>章</w:t>
      </w:r>
    </w:p>
  </w:footnote>
  <w:footnote w:id="21">
    <w:p w14:paraId="7BE4F51C"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cs="楷体"/>
          <w:sz w:val="16"/>
          <w:szCs w:val="16"/>
          <w:lang w:eastAsia="zh-CN"/>
        </w:rPr>
        <w:t xml:space="preserve"> </w:t>
      </w:r>
      <w:r>
        <w:rPr>
          <w:rFonts w:ascii="Arial Narrow" w:eastAsia="仿宋_GB2312" w:hAnsi="Arial Narrow" w:cs="楷体"/>
          <w:sz w:val="16"/>
          <w:szCs w:val="16"/>
          <w:lang w:eastAsia="zh-CN"/>
        </w:rPr>
        <w:t>国家税务总局公告</w:t>
      </w:r>
      <w:r>
        <w:rPr>
          <w:rFonts w:ascii="Arial Narrow" w:eastAsia="仿宋_GB2312" w:hAnsi="Arial Narrow" w:cs="楷体"/>
          <w:sz w:val="16"/>
          <w:szCs w:val="16"/>
          <w:lang w:eastAsia="zh-CN"/>
        </w:rPr>
        <w:t>2017</w:t>
      </w:r>
      <w:r>
        <w:rPr>
          <w:rFonts w:ascii="Arial Narrow" w:eastAsia="仿宋_GB2312" w:hAnsi="Arial Narrow" w:cs="楷体"/>
          <w:sz w:val="16"/>
          <w:szCs w:val="16"/>
          <w:lang w:eastAsia="zh-CN"/>
        </w:rPr>
        <w:t>年第</w:t>
      </w:r>
      <w:r>
        <w:rPr>
          <w:rFonts w:ascii="Arial Narrow" w:eastAsia="仿宋_GB2312" w:hAnsi="Arial Narrow" w:cs="楷体"/>
          <w:sz w:val="16"/>
          <w:szCs w:val="16"/>
          <w:lang w:eastAsia="zh-CN"/>
        </w:rPr>
        <w:t>6</w:t>
      </w:r>
      <w:r>
        <w:rPr>
          <w:rFonts w:ascii="Arial Narrow" w:eastAsia="仿宋_GB2312" w:hAnsi="Arial Narrow" w:cs="楷体"/>
          <w:sz w:val="16"/>
          <w:szCs w:val="16"/>
          <w:lang w:eastAsia="zh-CN"/>
        </w:rPr>
        <w:t>号第</w:t>
      </w:r>
      <w:r>
        <w:rPr>
          <w:rFonts w:ascii="Arial Narrow" w:eastAsia="仿宋_GB2312" w:hAnsi="Arial Narrow" w:cs="楷体"/>
          <w:sz w:val="16"/>
          <w:szCs w:val="16"/>
          <w:lang w:eastAsia="zh-CN"/>
        </w:rPr>
        <w:t>25</w:t>
      </w:r>
      <w:r>
        <w:rPr>
          <w:rFonts w:ascii="Arial Narrow" w:eastAsia="仿宋_GB2312" w:hAnsi="Arial Narrow" w:cs="楷体"/>
          <w:sz w:val="16"/>
          <w:szCs w:val="16"/>
          <w:lang w:eastAsia="zh-CN"/>
        </w:rPr>
        <w:t>条提及</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四分位法</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的使用。四分位区间是指下四分位数至上四分位数之间的区间。</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1C18A6" w14:textId="77777777" w:rsidR="009B16BC" w:rsidRDefault="009B16BC">
    <w:pPr>
      <w:pStyle w:val="Heade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0B03D3" w14:textId="77777777" w:rsidR="009B16BC" w:rsidRDefault="009B16B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F4468F" w14:textId="77777777" w:rsidR="009B16BC" w:rsidRDefault="009B16B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7EC0A6" w14:textId="77777777" w:rsidR="009B16BC" w:rsidRDefault="009B16B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21B563" w14:textId="77777777" w:rsidR="009B16BC" w:rsidRDefault="009B16B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7451F0" w14:textId="77777777" w:rsidR="009B16BC" w:rsidRDefault="009B16BC">
    <w:pPr>
      <w:pStyle w:val="Header"/>
      <w:pBdr>
        <w:bottom w:val="single" w:sz="4" w:space="1" w:color="auto"/>
      </w:pBdr>
      <w:tabs>
        <w:tab w:val="left" w:pos="7830"/>
      </w:tabs>
      <w:adjustRightInd w:val="0"/>
      <w:spacing w:line="240" w:lineRule="atLeast"/>
      <w:rPr>
        <w:rFonts w:ascii="Arial Narrow" w:eastAsia="仿宋_GB2312" w:hAnsi="Arial Narrow" w:cs="华文细黑"/>
        <w:sz w:val="18"/>
        <w:szCs w:val="18"/>
      </w:rPr>
    </w:pPr>
    <w:r>
      <w:rPr>
        <w:rFonts w:ascii="Arial Narrow" w:eastAsia="仿宋_GB2312" w:hAnsi="Arial Narrow" w:cs="华文细黑" w:hint="eastAsia"/>
        <w:sz w:val="18"/>
        <w:szCs w:val="18"/>
      </w:rPr>
      <w:t>松莉美容科技（上海）有限公司</w:t>
    </w:r>
  </w:p>
  <w:p w14:paraId="75785241" w14:textId="77777777" w:rsidR="009B16BC" w:rsidRDefault="009B16BC">
    <w:pPr>
      <w:pStyle w:val="Header"/>
      <w:pBdr>
        <w:bottom w:val="single" w:sz="4" w:space="1" w:color="auto"/>
      </w:pBdr>
      <w:tabs>
        <w:tab w:val="left" w:pos="7830"/>
      </w:tabs>
      <w:adjustRightInd w:val="0"/>
      <w:spacing w:line="240" w:lineRule="atLeast"/>
      <w:rPr>
        <w:rFonts w:ascii="Arial Narrow" w:eastAsia="仿宋_GB2312" w:hAnsi="Arial Narrow"/>
        <w:sz w:val="18"/>
        <w:szCs w:val="18"/>
      </w:rPr>
    </w:pPr>
    <w:r>
      <w:rPr>
        <w:rFonts w:ascii="Arial Narrow" w:eastAsia="仿宋_GB2312" w:hAnsi="Arial Narrow" w:hint="eastAsia"/>
        <w:sz w:val="18"/>
        <w:szCs w:val="18"/>
      </w:rPr>
      <w:t>关联交易同期资料报告（本地文档）</w:t>
    </w:r>
  </w:p>
  <w:p w14:paraId="23F8814D" w14:textId="77777777" w:rsidR="009B16BC" w:rsidRDefault="009B16BC">
    <w:pPr>
      <w:pStyle w:val="Header"/>
      <w:pBdr>
        <w:bottom w:val="single" w:sz="4" w:space="1" w:color="auto"/>
      </w:pBdr>
      <w:tabs>
        <w:tab w:val="left" w:pos="7830"/>
      </w:tabs>
      <w:adjustRightInd w:val="0"/>
      <w:spacing w:line="240" w:lineRule="atLeast"/>
      <w:rPr>
        <w:rFonts w:ascii="Arial Narrow" w:eastAsia="仿宋_GB2312" w:hAnsi="Arial Narrow" w:cs="Arial"/>
      </w:rPr>
    </w:pPr>
    <w:r>
      <w:rPr>
        <w:rFonts w:ascii="Arial Narrow" w:eastAsia="仿宋_GB2312" w:hAnsi="Arial Narrow" w:cs="Arial" w:hint="eastAsia"/>
        <w:sz w:val="18"/>
        <w:szCs w:val="18"/>
      </w:rPr>
      <w:t>20</w:t>
    </w:r>
    <w:r>
      <w:rPr>
        <w:rFonts w:ascii="Arial Narrow" w:eastAsia="仿宋_GB2312" w:hAnsi="Arial Narrow" w:cs="Arial"/>
        <w:sz w:val="18"/>
        <w:szCs w:val="18"/>
      </w:rPr>
      <w:t>2</w:t>
    </w:r>
    <w:r>
      <w:rPr>
        <w:rFonts w:ascii="Arial Narrow" w:eastAsia="仿宋_GB2312" w:hAnsi="Arial Narrow" w:cs="Arial" w:hint="eastAsia"/>
        <w:sz w:val="18"/>
        <w:szCs w:val="18"/>
      </w:rPr>
      <w:t>3</w:t>
    </w:r>
    <w:r>
      <w:rPr>
        <w:rFonts w:ascii="Arial Narrow" w:eastAsia="仿宋_GB2312" w:hAnsi="Arial Narrow" w:hint="eastAsia"/>
        <w:sz w:val="18"/>
        <w:szCs w:val="18"/>
      </w:rPr>
      <w:t>财务年度（截至</w:t>
    </w:r>
    <w:r>
      <w:rPr>
        <w:rFonts w:ascii="Arial Narrow" w:eastAsia="仿宋_GB2312" w:hAnsi="Arial Narrow" w:cs="Arial" w:hint="eastAsia"/>
        <w:sz w:val="18"/>
        <w:szCs w:val="18"/>
      </w:rPr>
      <w:t>20</w:t>
    </w:r>
    <w:r>
      <w:rPr>
        <w:rFonts w:ascii="Arial Narrow" w:eastAsia="仿宋_GB2312" w:hAnsi="Arial Narrow" w:cs="Arial"/>
        <w:sz w:val="18"/>
        <w:szCs w:val="18"/>
      </w:rPr>
      <w:t>2</w:t>
    </w:r>
    <w:r>
      <w:rPr>
        <w:rFonts w:ascii="Arial Narrow" w:eastAsia="仿宋_GB2312" w:hAnsi="Arial Narrow" w:cs="Arial" w:hint="eastAsia"/>
        <w:sz w:val="18"/>
        <w:szCs w:val="18"/>
      </w:rPr>
      <w:t>3</w:t>
    </w:r>
    <w:r>
      <w:rPr>
        <w:rFonts w:ascii="Arial Narrow" w:eastAsia="仿宋_GB2312" w:hAnsi="Arial Narrow" w:hint="eastAsia"/>
        <w:sz w:val="18"/>
        <w:szCs w:val="18"/>
      </w:rPr>
      <w:t>年</w:t>
    </w:r>
    <w:r>
      <w:rPr>
        <w:rFonts w:ascii="Arial Narrow" w:eastAsia="仿宋_GB2312" w:hAnsi="Arial Narrow" w:cs="Arial" w:hint="eastAsia"/>
        <w:sz w:val="18"/>
        <w:szCs w:val="18"/>
      </w:rPr>
      <w:t>12</w:t>
    </w:r>
    <w:r>
      <w:rPr>
        <w:rFonts w:ascii="Arial Narrow" w:eastAsia="仿宋_GB2312" w:hAnsi="Arial Narrow" w:hint="eastAsia"/>
        <w:sz w:val="18"/>
        <w:szCs w:val="18"/>
      </w:rPr>
      <w:t>月</w:t>
    </w:r>
    <w:r>
      <w:rPr>
        <w:rFonts w:ascii="Arial Narrow" w:eastAsia="仿宋_GB2312" w:hAnsi="Arial Narrow" w:cs="Arial" w:hint="eastAsia"/>
        <w:sz w:val="18"/>
        <w:szCs w:val="18"/>
      </w:rPr>
      <w:t>31</w:t>
    </w:r>
    <w:r>
      <w:rPr>
        <w:rFonts w:ascii="Arial Narrow" w:eastAsia="仿宋_GB2312" w:hAnsi="Arial Narrow" w:hint="eastAsia"/>
        <w:sz w:val="18"/>
        <w:szCs w:val="18"/>
      </w:rPr>
      <w:t>日）</w:t>
    </w:r>
    <w:r>
      <w:rPr>
        <w:rFonts w:ascii="Verdana" w:eastAsia="华文楷体" w:hAnsi="Verdana"/>
        <w:sz w:val="18"/>
      </w:rPr>
      <w:tab/>
    </w:r>
  </w:p>
  <w:p w14:paraId="0F8519DA" w14:textId="77777777" w:rsidR="009B16BC" w:rsidRDefault="009B16B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14BDDA" w14:textId="77777777" w:rsidR="009B16BC" w:rsidRDefault="009B16B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C0638B" w14:textId="77777777" w:rsidR="009B16BC" w:rsidRDefault="009B16B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C80734" w14:textId="77777777" w:rsidR="009B16BC" w:rsidRDefault="009B16BC">
    <w:pPr>
      <w:pStyle w:val="Header"/>
    </w:pPr>
  </w:p>
  <w:p w14:paraId="20C95379" w14:textId="77777777" w:rsidR="009B16BC" w:rsidRDefault="009B16BC">
    <w:r>
      <w:t>X</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A61AC9" w14:textId="77777777" w:rsidR="009B16BC" w:rsidRDefault="009B16BC">
    <w:pPr>
      <w:pStyle w:val="Header"/>
    </w:pPr>
  </w:p>
  <w:p w14:paraId="575E67CA" w14:textId="77777777" w:rsidR="009B16BC" w:rsidRDefault="009B16BC"/>
  <w:p w14:paraId="5BC087E6" w14:textId="77777777" w:rsidR="009B16BC" w:rsidRDefault="009B16BC"/>
  <w:p w14:paraId="042A6264" w14:textId="77777777" w:rsidR="009B16BC" w:rsidRDefault="009B16BC"/>
  <w:p w14:paraId="690D5604" w14:textId="77777777" w:rsidR="009B16BC" w:rsidRDefault="009B16BC"/>
  <w:p w14:paraId="3FA9C06E" w14:textId="77777777" w:rsidR="009B16BC" w:rsidRDefault="009B16BC"/>
  <w:p w14:paraId="6E4801CB" w14:textId="77777777" w:rsidR="009B16BC" w:rsidRDefault="009B16BC"/>
  <w:p w14:paraId="5B79ADAC" w14:textId="77777777" w:rsidR="009B16BC" w:rsidRDefault="009B16BC"/>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B14E36" w14:textId="77777777" w:rsidR="009B16BC" w:rsidRDefault="009B16B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F267A01"/>
    <w:multiLevelType w:val="singleLevel"/>
    <w:tmpl w:val="9F267A01"/>
    <w:lvl w:ilvl="0">
      <w:start w:val="1"/>
      <w:numFmt w:val="bullet"/>
      <w:lvlText w:val=""/>
      <w:lvlJc w:val="left"/>
      <w:pPr>
        <w:ind w:left="18" w:hanging="420"/>
      </w:pPr>
      <w:rPr>
        <w:rFonts w:ascii="Wingdings" w:hAnsi="Wingdings" w:hint="default"/>
      </w:rPr>
    </w:lvl>
  </w:abstractNum>
  <w:abstractNum w:abstractNumId="1">
    <w:nsid w:val="FF61C0FF"/>
    <w:multiLevelType w:val="singleLevel"/>
    <w:tmpl w:val="FF61C0FF"/>
    <w:lvl w:ilvl="0">
      <w:start w:val="1"/>
      <w:numFmt w:val="bullet"/>
      <w:lvlText w:val=""/>
      <w:lvlJc w:val="left"/>
      <w:pPr>
        <w:ind w:left="18" w:hanging="420"/>
      </w:pPr>
      <w:rPr>
        <w:rFonts w:ascii="Wingdings" w:hAnsi="Wingdings" w:hint="default"/>
      </w:rPr>
    </w:lvl>
  </w:abstractNum>
  <w:abstractNum w:abstractNumId="2">
    <w:nsid w:val="0200603B"/>
    <w:multiLevelType w:val="multilevel"/>
    <w:tmpl w:val="0200603B"/>
    <w:lvl w:ilvl="0">
      <w:start w:val="1"/>
      <w:numFmt w:val="bullet"/>
      <w:lvlText w:val=""/>
      <w:lvlJc w:val="left"/>
      <w:pPr>
        <w:ind w:left="860" w:hanging="420"/>
      </w:pPr>
      <w:rPr>
        <w:rFonts w:ascii="Wingdings" w:hAnsi="Wingdings" w:hint="default"/>
        <w:sz w:val="13"/>
      </w:rPr>
    </w:lvl>
    <w:lvl w:ilvl="1">
      <w:start w:val="1"/>
      <w:numFmt w:val="bullet"/>
      <w:lvlText w:val=""/>
      <w:lvlJc w:val="left"/>
      <w:pPr>
        <w:ind w:left="1280" w:hanging="420"/>
      </w:pPr>
      <w:rPr>
        <w:rFonts w:ascii="Wingdings" w:hAnsi="Wingdings" w:hint="default"/>
      </w:rPr>
    </w:lvl>
    <w:lvl w:ilvl="2">
      <w:start w:val="1"/>
      <w:numFmt w:val="bullet"/>
      <w:lvlText w:val=""/>
      <w:lvlJc w:val="left"/>
      <w:pPr>
        <w:ind w:left="1700" w:hanging="420"/>
      </w:pPr>
      <w:rPr>
        <w:rFonts w:ascii="Wingdings" w:hAnsi="Wingdings" w:hint="default"/>
      </w:rPr>
    </w:lvl>
    <w:lvl w:ilvl="3">
      <w:start w:val="1"/>
      <w:numFmt w:val="bullet"/>
      <w:lvlText w:val=""/>
      <w:lvlJc w:val="left"/>
      <w:pPr>
        <w:ind w:left="2120" w:hanging="420"/>
      </w:pPr>
      <w:rPr>
        <w:rFonts w:ascii="Wingdings" w:hAnsi="Wingdings" w:hint="default"/>
      </w:rPr>
    </w:lvl>
    <w:lvl w:ilvl="4">
      <w:start w:val="1"/>
      <w:numFmt w:val="bullet"/>
      <w:lvlText w:val=""/>
      <w:lvlJc w:val="left"/>
      <w:pPr>
        <w:ind w:left="2540" w:hanging="420"/>
      </w:pPr>
      <w:rPr>
        <w:rFonts w:ascii="Wingdings" w:hAnsi="Wingdings" w:hint="default"/>
      </w:rPr>
    </w:lvl>
    <w:lvl w:ilvl="5">
      <w:start w:val="1"/>
      <w:numFmt w:val="bullet"/>
      <w:lvlText w:val=""/>
      <w:lvlJc w:val="left"/>
      <w:pPr>
        <w:ind w:left="2960" w:hanging="420"/>
      </w:pPr>
      <w:rPr>
        <w:rFonts w:ascii="Wingdings" w:hAnsi="Wingdings" w:hint="default"/>
      </w:rPr>
    </w:lvl>
    <w:lvl w:ilvl="6">
      <w:start w:val="1"/>
      <w:numFmt w:val="bullet"/>
      <w:lvlText w:val=""/>
      <w:lvlJc w:val="left"/>
      <w:pPr>
        <w:ind w:left="3380" w:hanging="420"/>
      </w:pPr>
      <w:rPr>
        <w:rFonts w:ascii="Wingdings" w:hAnsi="Wingdings" w:hint="default"/>
      </w:rPr>
    </w:lvl>
    <w:lvl w:ilvl="7">
      <w:start w:val="1"/>
      <w:numFmt w:val="bullet"/>
      <w:lvlText w:val=""/>
      <w:lvlJc w:val="left"/>
      <w:pPr>
        <w:ind w:left="3800" w:hanging="420"/>
      </w:pPr>
      <w:rPr>
        <w:rFonts w:ascii="Wingdings" w:hAnsi="Wingdings" w:hint="default"/>
      </w:rPr>
    </w:lvl>
    <w:lvl w:ilvl="8">
      <w:start w:val="1"/>
      <w:numFmt w:val="bullet"/>
      <w:lvlText w:val=""/>
      <w:lvlJc w:val="left"/>
      <w:pPr>
        <w:ind w:left="4220" w:hanging="420"/>
      </w:pPr>
      <w:rPr>
        <w:rFonts w:ascii="Wingdings" w:hAnsi="Wingdings" w:hint="default"/>
      </w:rPr>
    </w:lvl>
  </w:abstractNum>
  <w:abstractNum w:abstractNumId="3">
    <w:nsid w:val="04E040D2"/>
    <w:multiLevelType w:val="multilevel"/>
    <w:tmpl w:val="04E040D2"/>
    <w:lvl w:ilvl="0">
      <w:start w:val="1"/>
      <w:numFmt w:val="bullet"/>
      <w:lvlText w:val=""/>
      <w:lvlJc w:val="left"/>
      <w:pPr>
        <w:ind w:left="979" w:hanging="420"/>
      </w:pPr>
      <w:rPr>
        <w:rFonts w:ascii="Wingdings" w:hAnsi="Wingdings" w:hint="default"/>
        <w:sz w:val="13"/>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4">
    <w:nsid w:val="08112CE6"/>
    <w:multiLevelType w:val="multilevel"/>
    <w:tmpl w:val="08112CE6"/>
    <w:lvl w:ilvl="0">
      <w:start w:val="1"/>
      <w:numFmt w:val="decimal"/>
      <w:lvlText w:val="%1."/>
      <w:lvlJc w:val="left"/>
      <w:pPr>
        <w:ind w:left="1636" w:hanging="360"/>
      </w:p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5">
    <w:nsid w:val="0A6461D0"/>
    <w:multiLevelType w:val="multilevel"/>
    <w:tmpl w:val="0A6461D0"/>
    <w:lvl w:ilvl="0">
      <w:start w:val="1"/>
      <w:numFmt w:val="bullet"/>
      <w:lvlText w:val=""/>
      <w:lvlJc w:val="left"/>
      <w:pPr>
        <w:ind w:left="420" w:hanging="420"/>
      </w:pPr>
      <w:rPr>
        <w:rFonts w:ascii="Wingdings" w:hAnsi="Wingdings" w:hint="default"/>
        <w:color w:val="00206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nsid w:val="1200475C"/>
    <w:multiLevelType w:val="multilevel"/>
    <w:tmpl w:val="1200475C"/>
    <w:lvl w:ilvl="0">
      <w:start w:val="1"/>
      <w:numFmt w:val="bullet"/>
      <w:lvlText w:val=""/>
      <w:lvlJc w:val="left"/>
      <w:pPr>
        <w:ind w:left="760" w:hanging="360"/>
      </w:pPr>
      <w:rPr>
        <w:rFonts w:ascii="Wingdings" w:hAnsi="Wingdings" w:hint="default"/>
      </w:rPr>
    </w:lvl>
    <w:lvl w:ilvl="1">
      <w:start w:val="1"/>
      <w:numFmt w:val="bullet"/>
      <w:lvlText w:val="o"/>
      <w:lvlJc w:val="left"/>
      <w:pPr>
        <w:ind w:left="1480" w:hanging="360"/>
      </w:pPr>
      <w:rPr>
        <w:rFonts w:ascii="Courier New" w:hAnsi="Courier New" w:cs="Courier New" w:hint="default"/>
      </w:rPr>
    </w:lvl>
    <w:lvl w:ilvl="2">
      <w:start w:val="1"/>
      <w:numFmt w:val="bullet"/>
      <w:lvlText w:val=""/>
      <w:lvlJc w:val="left"/>
      <w:pPr>
        <w:ind w:left="2200" w:hanging="360"/>
      </w:pPr>
      <w:rPr>
        <w:rFonts w:ascii="Wingdings" w:hAnsi="Wingdings" w:hint="default"/>
      </w:rPr>
    </w:lvl>
    <w:lvl w:ilvl="3">
      <w:start w:val="1"/>
      <w:numFmt w:val="bullet"/>
      <w:lvlText w:val=""/>
      <w:lvlJc w:val="left"/>
      <w:pPr>
        <w:ind w:left="2920" w:hanging="360"/>
      </w:pPr>
      <w:rPr>
        <w:rFonts w:ascii="Symbol" w:hAnsi="Symbol" w:hint="default"/>
      </w:rPr>
    </w:lvl>
    <w:lvl w:ilvl="4">
      <w:start w:val="1"/>
      <w:numFmt w:val="bullet"/>
      <w:lvlText w:val="o"/>
      <w:lvlJc w:val="left"/>
      <w:pPr>
        <w:ind w:left="3640" w:hanging="360"/>
      </w:pPr>
      <w:rPr>
        <w:rFonts w:ascii="Courier New" w:hAnsi="Courier New" w:cs="Courier New" w:hint="default"/>
      </w:rPr>
    </w:lvl>
    <w:lvl w:ilvl="5">
      <w:start w:val="1"/>
      <w:numFmt w:val="bullet"/>
      <w:lvlText w:val=""/>
      <w:lvlJc w:val="left"/>
      <w:pPr>
        <w:ind w:left="4360" w:hanging="360"/>
      </w:pPr>
      <w:rPr>
        <w:rFonts w:ascii="Wingdings" w:hAnsi="Wingdings" w:hint="default"/>
      </w:rPr>
    </w:lvl>
    <w:lvl w:ilvl="6">
      <w:start w:val="1"/>
      <w:numFmt w:val="bullet"/>
      <w:lvlText w:val=""/>
      <w:lvlJc w:val="left"/>
      <w:pPr>
        <w:ind w:left="5080" w:hanging="360"/>
      </w:pPr>
      <w:rPr>
        <w:rFonts w:ascii="Symbol" w:hAnsi="Symbol" w:hint="default"/>
      </w:rPr>
    </w:lvl>
    <w:lvl w:ilvl="7">
      <w:start w:val="1"/>
      <w:numFmt w:val="bullet"/>
      <w:lvlText w:val="o"/>
      <w:lvlJc w:val="left"/>
      <w:pPr>
        <w:ind w:left="5800" w:hanging="360"/>
      </w:pPr>
      <w:rPr>
        <w:rFonts w:ascii="Courier New" w:hAnsi="Courier New" w:cs="Courier New" w:hint="default"/>
      </w:rPr>
    </w:lvl>
    <w:lvl w:ilvl="8">
      <w:start w:val="1"/>
      <w:numFmt w:val="bullet"/>
      <w:lvlText w:val=""/>
      <w:lvlJc w:val="left"/>
      <w:pPr>
        <w:ind w:left="6520" w:hanging="360"/>
      </w:pPr>
      <w:rPr>
        <w:rFonts w:ascii="Wingdings" w:hAnsi="Wingdings" w:hint="default"/>
      </w:rPr>
    </w:lvl>
  </w:abstractNum>
  <w:abstractNum w:abstractNumId="7">
    <w:nsid w:val="12C00B40"/>
    <w:multiLevelType w:val="multilevel"/>
    <w:tmpl w:val="12C00B40"/>
    <w:lvl w:ilvl="0">
      <w:start w:val="1"/>
      <w:numFmt w:val="bullet"/>
      <w:lvlText w:val=""/>
      <w:lvlJc w:val="left"/>
      <w:pPr>
        <w:ind w:left="919" w:hanging="360"/>
      </w:pPr>
      <w:rPr>
        <w:rFonts w:ascii="Symbol" w:hAnsi="Symbol" w:hint="default"/>
      </w:rPr>
    </w:lvl>
    <w:lvl w:ilvl="1">
      <w:start w:val="1"/>
      <w:numFmt w:val="bullet"/>
      <w:lvlText w:val="o"/>
      <w:lvlJc w:val="left"/>
      <w:pPr>
        <w:ind w:left="1639" w:hanging="360"/>
      </w:pPr>
      <w:rPr>
        <w:rFonts w:ascii="Courier New" w:hAnsi="Courier New" w:cs="Courier New" w:hint="default"/>
      </w:rPr>
    </w:lvl>
    <w:lvl w:ilvl="2">
      <w:start w:val="1"/>
      <w:numFmt w:val="bullet"/>
      <w:lvlText w:val=""/>
      <w:lvlJc w:val="left"/>
      <w:pPr>
        <w:ind w:left="2359" w:hanging="360"/>
      </w:pPr>
      <w:rPr>
        <w:rFonts w:ascii="Wingdings" w:hAnsi="Wingdings" w:hint="default"/>
      </w:rPr>
    </w:lvl>
    <w:lvl w:ilvl="3">
      <w:start w:val="1"/>
      <w:numFmt w:val="bullet"/>
      <w:lvlText w:val=""/>
      <w:lvlJc w:val="left"/>
      <w:pPr>
        <w:ind w:left="3079" w:hanging="360"/>
      </w:pPr>
      <w:rPr>
        <w:rFonts w:ascii="Symbol" w:hAnsi="Symbol" w:hint="default"/>
      </w:rPr>
    </w:lvl>
    <w:lvl w:ilvl="4">
      <w:start w:val="1"/>
      <w:numFmt w:val="bullet"/>
      <w:lvlText w:val="o"/>
      <w:lvlJc w:val="left"/>
      <w:pPr>
        <w:ind w:left="3799" w:hanging="360"/>
      </w:pPr>
      <w:rPr>
        <w:rFonts w:ascii="Courier New" w:hAnsi="Courier New" w:cs="Courier New" w:hint="default"/>
      </w:rPr>
    </w:lvl>
    <w:lvl w:ilvl="5">
      <w:start w:val="1"/>
      <w:numFmt w:val="bullet"/>
      <w:lvlText w:val=""/>
      <w:lvlJc w:val="left"/>
      <w:pPr>
        <w:ind w:left="4519" w:hanging="360"/>
      </w:pPr>
      <w:rPr>
        <w:rFonts w:ascii="Wingdings" w:hAnsi="Wingdings" w:hint="default"/>
      </w:rPr>
    </w:lvl>
    <w:lvl w:ilvl="6">
      <w:start w:val="1"/>
      <w:numFmt w:val="bullet"/>
      <w:lvlText w:val=""/>
      <w:lvlJc w:val="left"/>
      <w:pPr>
        <w:ind w:left="5239" w:hanging="360"/>
      </w:pPr>
      <w:rPr>
        <w:rFonts w:ascii="Symbol" w:hAnsi="Symbol" w:hint="default"/>
      </w:rPr>
    </w:lvl>
    <w:lvl w:ilvl="7">
      <w:start w:val="1"/>
      <w:numFmt w:val="bullet"/>
      <w:lvlText w:val="o"/>
      <w:lvlJc w:val="left"/>
      <w:pPr>
        <w:ind w:left="5959" w:hanging="360"/>
      </w:pPr>
      <w:rPr>
        <w:rFonts w:ascii="Courier New" w:hAnsi="Courier New" w:cs="Courier New" w:hint="default"/>
      </w:rPr>
    </w:lvl>
    <w:lvl w:ilvl="8">
      <w:start w:val="1"/>
      <w:numFmt w:val="bullet"/>
      <w:lvlText w:val=""/>
      <w:lvlJc w:val="left"/>
      <w:pPr>
        <w:ind w:left="6679" w:hanging="360"/>
      </w:pPr>
      <w:rPr>
        <w:rFonts w:ascii="Wingdings" w:hAnsi="Wingdings" w:hint="default"/>
      </w:rPr>
    </w:lvl>
  </w:abstractNum>
  <w:abstractNum w:abstractNumId="8">
    <w:nsid w:val="159A7C55"/>
    <w:multiLevelType w:val="multilevel"/>
    <w:tmpl w:val="159A7C55"/>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62E2785"/>
    <w:multiLevelType w:val="multilevel"/>
    <w:tmpl w:val="162E2785"/>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17E220B3"/>
    <w:multiLevelType w:val="singleLevel"/>
    <w:tmpl w:val="17E220B3"/>
    <w:lvl w:ilvl="0">
      <w:start w:val="1"/>
      <w:numFmt w:val="bullet"/>
      <w:lvlText w:val=""/>
      <w:lvlJc w:val="left"/>
      <w:pPr>
        <w:ind w:left="18" w:hanging="420"/>
      </w:pPr>
      <w:rPr>
        <w:rFonts w:ascii="Wingdings" w:hAnsi="Wingdings" w:hint="default"/>
      </w:rPr>
    </w:lvl>
  </w:abstractNum>
  <w:abstractNum w:abstractNumId="11">
    <w:nsid w:val="20BC0DF0"/>
    <w:multiLevelType w:val="multilevel"/>
    <w:tmpl w:val="20BC0DF0"/>
    <w:lvl w:ilvl="0">
      <w:start w:val="1"/>
      <w:numFmt w:val="decimal"/>
      <w:pStyle w:val="Heading1"/>
      <w:lvlText w:val="%1."/>
      <w:lvlJc w:val="left"/>
      <w:pPr>
        <w:ind w:left="360" w:hanging="360"/>
      </w:pPr>
      <w:rPr>
        <w:rFonts w:ascii="Arial Narrow" w:hAnsi="Arial Narrow" w:cs="Arial" w:hint="default"/>
        <w:b w:val="0"/>
        <w:bCs/>
        <w:i w:val="0"/>
        <w:iCs w:val="0"/>
        <w:caps w:val="0"/>
        <w:smallCaps w:val="0"/>
        <w:strike w:val="0"/>
        <w:dstrike w:val="0"/>
        <w:outline w:val="0"/>
        <w:shadow w:val="0"/>
        <w:emboss w:val="0"/>
        <w:imprint w:val="0"/>
        <w:vanish w:val="0"/>
        <w:spacing w:val="0"/>
        <w:kern w:val="0"/>
        <w:position w:val="0"/>
        <w:sz w:val="28"/>
        <w:szCs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Heading2"/>
      <w:isLgl/>
      <w:lvlText w:val="%1.%2"/>
      <w:lvlJc w:val="left"/>
      <w:pPr>
        <w:ind w:left="360" w:hanging="360"/>
      </w:pPr>
      <w:rPr>
        <w:rFonts w:ascii="Arial Narrow" w:eastAsia="仿宋_GB2312" w:hAnsi="Arial Narrow" w:cs="Arial" w:hint="default"/>
        <w:b w:val="0"/>
        <w:bCs/>
        <w:i w:val="0"/>
        <w:iCs w:val="0"/>
        <w:caps w:val="0"/>
        <w:smallCaps w:val="0"/>
        <w:strike w:val="0"/>
        <w:dstrike w:val="0"/>
        <w:outline w:val="0"/>
        <w:shadow w:val="0"/>
        <w:emboss w:val="0"/>
        <w:imprint w:val="0"/>
        <w:vanish w:val="0"/>
        <w:color w:val="002060"/>
        <w:spacing w:val="0"/>
        <w:kern w:val="0"/>
        <w:position w:val="0"/>
        <w:sz w:val="22"/>
        <w:szCs w:val="2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isLgl/>
      <w:lvlText w:val="%1.%2.%3"/>
      <w:lvlJc w:val="left"/>
      <w:pPr>
        <w:ind w:left="720" w:hanging="720"/>
      </w:pPr>
      <w:rPr>
        <w:rFonts w:ascii="Arial Narrow" w:hAnsi="Arial Narrow" w:cs="Arial" w:hint="default"/>
        <w:b w:val="0"/>
        <w:bCs/>
        <w:i w:val="0"/>
        <w:iCs w:val="0"/>
        <w:caps w:val="0"/>
        <w:smallCaps w:val="0"/>
        <w:strike w:val="0"/>
        <w:dstrike w:val="0"/>
        <w:outline w:val="0"/>
        <w:shadow w:val="0"/>
        <w:emboss w:val="0"/>
        <w:imprint w:val="0"/>
        <w:vanish w:val="0"/>
        <w:color w:val="002060"/>
        <w:spacing w:val="0"/>
        <w:kern w:val="0"/>
        <w:position w:val="0"/>
        <w:sz w:val="2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Heading4"/>
      <w:isLgl/>
      <w:lvlText w:val="%1.%2.%3.%4"/>
      <w:lvlJc w:val="left"/>
      <w:pPr>
        <w:ind w:left="1080" w:hanging="1080"/>
      </w:pPr>
      <w:rPr>
        <w:rFonts w:ascii="Arial" w:hAnsi="Arial" w:cs="Arial" w:hint="default"/>
        <w:b w:val="0"/>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nsid w:val="23E240BB"/>
    <w:multiLevelType w:val="multilevel"/>
    <w:tmpl w:val="23E240BB"/>
    <w:lvl w:ilvl="0">
      <w:start w:val="1"/>
      <w:numFmt w:val="bullet"/>
      <w:lvlText w:val=""/>
      <w:lvlJc w:val="left"/>
      <w:pPr>
        <w:ind w:left="760" w:hanging="360"/>
      </w:pPr>
      <w:rPr>
        <w:rFonts w:ascii="Wingdings" w:hAnsi="Wingdings" w:hint="default"/>
      </w:rPr>
    </w:lvl>
    <w:lvl w:ilvl="1">
      <w:start w:val="1"/>
      <w:numFmt w:val="bullet"/>
      <w:lvlText w:val="o"/>
      <w:lvlJc w:val="left"/>
      <w:pPr>
        <w:ind w:left="1480" w:hanging="360"/>
      </w:pPr>
      <w:rPr>
        <w:rFonts w:ascii="Courier New" w:hAnsi="Courier New" w:cs="Courier New" w:hint="default"/>
      </w:rPr>
    </w:lvl>
    <w:lvl w:ilvl="2">
      <w:start w:val="1"/>
      <w:numFmt w:val="bullet"/>
      <w:lvlText w:val=""/>
      <w:lvlJc w:val="left"/>
      <w:pPr>
        <w:ind w:left="2200" w:hanging="360"/>
      </w:pPr>
      <w:rPr>
        <w:rFonts w:ascii="Wingdings" w:hAnsi="Wingdings" w:hint="default"/>
      </w:rPr>
    </w:lvl>
    <w:lvl w:ilvl="3">
      <w:start w:val="1"/>
      <w:numFmt w:val="bullet"/>
      <w:lvlText w:val=""/>
      <w:lvlJc w:val="left"/>
      <w:pPr>
        <w:ind w:left="2920" w:hanging="360"/>
      </w:pPr>
      <w:rPr>
        <w:rFonts w:ascii="Symbol" w:hAnsi="Symbol" w:hint="default"/>
      </w:rPr>
    </w:lvl>
    <w:lvl w:ilvl="4">
      <w:start w:val="1"/>
      <w:numFmt w:val="bullet"/>
      <w:lvlText w:val="o"/>
      <w:lvlJc w:val="left"/>
      <w:pPr>
        <w:ind w:left="3640" w:hanging="360"/>
      </w:pPr>
      <w:rPr>
        <w:rFonts w:ascii="Courier New" w:hAnsi="Courier New" w:cs="Courier New" w:hint="default"/>
      </w:rPr>
    </w:lvl>
    <w:lvl w:ilvl="5">
      <w:start w:val="1"/>
      <w:numFmt w:val="bullet"/>
      <w:lvlText w:val=""/>
      <w:lvlJc w:val="left"/>
      <w:pPr>
        <w:ind w:left="4360" w:hanging="360"/>
      </w:pPr>
      <w:rPr>
        <w:rFonts w:ascii="Wingdings" w:hAnsi="Wingdings" w:hint="default"/>
      </w:rPr>
    </w:lvl>
    <w:lvl w:ilvl="6">
      <w:start w:val="1"/>
      <w:numFmt w:val="bullet"/>
      <w:lvlText w:val=""/>
      <w:lvlJc w:val="left"/>
      <w:pPr>
        <w:ind w:left="5080" w:hanging="360"/>
      </w:pPr>
      <w:rPr>
        <w:rFonts w:ascii="Symbol" w:hAnsi="Symbol" w:hint="default"/>
      </w:rPr>
    </w:lvl>
    <w:lvl w:ilvl="7">
      <w:start w:val="1"/>
      <w:numFmt w:val="bullet"/>
      <w:lvlText w:val="o"/>
      <w:lvlJc w:val="left"/>
      <w:pPr>
        <w:ind w:left="5800" w:hanging="360"/>
      </w:pPr>
      <w:rPr>
        <w:rFonts w:ascii="Courier New" w:hAnsi="Courier New" w:cs="Courier New" w:hint="default"/>
      </w:rPr>
    </w:lvl>
    <w:lvl w:ilvl="8">
      <w:start w:val="1"/>
      <w:numFmt w:val="bullet"/>
      <w:lvlText w:val=""/>
      <w:lvlJc w:val="left"/>
      <w:pPr>
        <w:ind w:left="6520" w:hanging="360"/>
      </w:pPr>
      <w:rPr>
        <w:rFonts w:ascii="Wingdings" w:hAnsi="Wingdings" w:hint="default"/>
      </w:rPr>
    </w:lvl>
  </w:abstractNum>
  <w:abstractNum w:abstractNumId="13">
    <w:nsid w:val="24CD76A4"/>
    <w:multiLevelType w:val="multilevel"/>
    <w:tmpl w:val="24CD76A4"/>
    <w:lvl w:ilvl="0">
      <w:start w:val="1"/>
      <w:numFmt w:val="ideographDigital"/>
      <w:pStyle w:val="ListBulletsinglespace"/>
      <w:lvlText w:val="附件%1、"/>
      <w:lvlJc w:val="left"/>
      <w:pPr>
        <w:tabs>
          <w:tab w:val="left" w:pos="860"/>
        </w:tabs>
        <w:ind w:left="860" w:hanging="360"/>
      </w:pPr>
      <w:rPr>
        <w:rFonts w:hint="eastAsia"/>
        <w:szCs w:val="22"/>
      </w:rPr>
    </w:lvl>
    <w:lvl w:ilvl="1">
      <w:start w:val="1"/>
      <w:numFmt w:val="japaneseCounting"/>
      <w:lvlText w:val="（%2）"/>
      <w:lvlJc w:val="left"/>
      <w:pPr>
        <w:tabs>
          <w:tab w:val="left" w:pos="2300"/>
        </w:tabs>
        <w:ind w:left="2300" w:hanging="720"/>
      </w:pPr>
      <w:rPr>
        <w:rFonts w:hint="default"/>
      </w:rPr>
    </w:lvl>
    <w:lvl w:ilvl="2">
      <w:start w:val="1"/>
      <w:numFmt w:val="lowerRoman"/>
      <w:lvlText w:val="%3."/>
      <w:lvlJc w:val="right"/>
      <w:pPr>
        <w:tabs>
          <w:tab w:val="left" w:pos="2660"/>
        </w:tabs>
        <w:ind w:left="2660" w:hanging="180"/>
      </w:pPr>
    </w:lvl>
    <w:lvl w:ilvl="3">
      <w:start w:val="1"/>
      <w:numFmt w:val="decimal"/>
      <w:lvlText w:val="%4."/>
      <w:lvlJc w:val="left"/>
      <w:pPr>
        <w:tabs>
          <w:tab w:val="left" w:pos="3380"/>
        </w:tabs>
        <w:ind w:left="3380" w:hanging="360"/>
      </w:pPr>
    </w:lvl>
    <w:lvl w:ilvl="4">
      <w:start w:val="1"/>
      <w:numFmt w:val="lowerLetter"/>
      <w:lvlText w:val="%5."/>
      <w:lvlJc w:val="left"/>
      <w:pPr>
        <w:tabs>
          <w:tab w:val="left" w:pos="4100"/>
        </w:tabs>
        <w:ind w:left="4100" w:hanging="360"/>
      </w:pPr>
    </w:lvl>
    <w:lvl w:ilvl="5">
      <w:start w:val="1"/>
      <w:numFmt w:val="lowerRoman"/>
      <w:lvlText w:val="%6."/>
      <w:lvlJc w:val="right"/>
      <w:pPr>
        <w:tabs>
          <w:tab w:val="left" w:pos="4820"/>
        </w:tabs>
        <w:ind w:left="4820" w:hanging="180"/>
      </w:pPr>
    </w:lvl>
    <w:lvl w:ilvl="6">
      <w:start w:val="1"/>
      <w:numFmt w:val="decimal"/>
      <w:lvlText w:val="%7."/>
      <w:lvlJc w:val="left"/>
      <w:pPr>
        <w:tabs>
          <w:tab w:val="left" w:pos="5540"/>
        </w:tabs>
        <w:ind w:left="5540" w:hanging="360"/>
      </w:pPr>
    </w:lvl>
    <w:lvl w:ilvl="7">
      <w:start w:val="1"/>
      <w:numFmt w:val="lowerLetter"/>
      <w:lvlText w:val="%8."/>
      <w:lvlJc w:val="left"/>
      <w:pPr>
        <w:tabs>
          <w:tab w:val="left" w:pos="6260"/>
        </w:tabs>
        <w:ind w:left="6260" w:hanging="360"/>
      </w:pPr>
    </w:lvl>
    <w:lvl w:ilvl="8">
      <w:start w:val="1"/>
      <w:numFmt w:val="lowerRoman"/>
      <w:lvlText w:val="%9."/>
      <w:lvlJc w:val="right"/>
      <w:pPr>
        <w:tabs>
          <w:tab w:val="left" w:pos="6980"/>
        </w:tabs>
        <w:ind w:left="6980" w:hanging="180"/>
      </w:pPr>
    </w:lvl>
  </w:abstractNum>
  <w:abstractNum w:abstractNumId="14">
    <w:nsid w:val="2A51122A"/>
    <w:multiLevelType w:val="multilevel"/>
    <w:tmpl w:val="2A51122A"/>
    <w:lvl w:ilvl="0">
      <w:numFmt w:val="bullet"/>
      <w:lvlText w:val=""/>
      <w:lvlJc w:val="left"/>
      <w:pPr>
        <w:ind w:left="979" w:hanging="420"/>
      </w:pPr>
      <w:rPr>
        <w:rFonts w:ascii="Wingdings" w:eastAsia="宋体" w:hAnsi="Wingdings" w:cs="Wingdings" w:hint="default"/>
        <w:color w:val="auto"/>
        <w:w w:val="100"/>
        <w:sz w:val="22"/>
        <w:szCs w:val="22"/>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15">
    <w:nsid w:val="3CC34C14"/>
    <w:multiLevelType w:val="multilevel"/>
    <w:tmpl w:val="3CC34C14"/>
    <w:lvl w:ilvl="0">
      <w:start w:val="1"/>
      <w:numFmt w:val="bullet"/>
      <w:pStyle w:val="Tablebullet"/>
      <w:lvlText w:val=""/>
      <w:lvlJc w:val="left"/>
      <w:pPr>
        <w:tabs>
          <w:tab w:val="left" w:pos="216"/>
        </w:tabs>
        <w:ind w:left="216" w:hanging="216"/>
      </w:pPr>
      <w:rPr>
        <w:rFonts w:ascii="Symbol" w:hAnsi="Symbol" w:hint="default"/>
        <w:b w:val="0"/>
        <w:i w:val="0"/>
        <w:sz w:val="18"/>
        <w:szCs w:val="1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nsid w:val="43BE0700"/>
    <w:multiLevelType w:val="multilevel"/>
    <w:tmpl w:val="43BE0700"/>
    <w:lvl w:ilvl="0">
      <w:start w:val="1"/>
      <w:numFmt w:val="bullet"/>
      <w:lvlText w:val=""/>
      <w:lvlJc w:val="left"/>
      <w:pPr>
        <w:ind w:left="760" w:hanging="360"/>
      </w:pPr>
      <w:rPr>
        <w:rFonts w:ascii="Wingdings" w:hAnsi="Wingdings" w:hint="default"/>
      </w:rPr>
    </w:lvl>
    <w:lvl w:ilvl="1">
      <w:start w:val="1"/>
      <w:numFmt w:val="bullet"/>
      <w:lvlText w:val="o"/>
      <w:lvlJc w:val="left"/>
      <w:pPr>
        <w:ind w:left="1480" w:hanging="360"/>
      </w:pPr>
      <w:rPr>
        <w:rFonts w:ascii="Courier New" w:hAnsi="Courier New" w:cs="Courier New" w:hint="default"/>
      </w:rPr>
    </w:lvl>
    <w:lvl w:ilvl="2">
      <w:start w:val="1"/>
      <w:numFmt w:val="bullet"/>
      <w:lvlText w:val=""/>
      <w:lvlJc w:val="left"/>
      <w:pPr>
        <w:ind w:left="2200" w:hanging="360"/>
      </w:pPr>
      <w:rPr>
        <w:rFonts w:ascii="Wingdings" w:hAnsi="Wingdings" w:hint="default"/>
      </w:rPr>
    </w:lvl>
    <w:lvl w:ilvl="3">
      <w:start w:val="1"/>
      <w:numFmt w:val="bullet"/>
      <w:lvlText w:val=""/>
      <w:lvlJc w:val="left"/>
      <w:pPr>
        <w:ind w:left="2920" w:hanging="360"/>
      </w:pPr>
      <w:rPr>
        <w:rFonts w:ascii="Symbol" w:hAnsi="Symbol" w:hint="default"/>
      </w:rPr>
    </w:lvl>
    <w:lvl w:ilvl="4">
      <w:start w:val="1"/>
      <w:numFmt w:val="bullet"/>
      <w:lvlText w:val="o"/>
      <w:lvlJc w:val="left"/>
      <w:pPr>
        <w:ind w:left="3640" w:hanging="360"/>
      </w:pPr>
      <w:rPr>
        <w:rFonts w:ascii="Courier New" w:hAnsi="Courier New" w:cs="Courier New" w:hint="default"/>
      </w:rPr>
    </w:lvl>
    <w:lvl w:ilvl="5">
      <w:start w:val="1"/>
      <w:numFmt w:val="bullet"/>
      <w:lvlText w:val=""/>
      <w:lvlJc w:val="left"/>
      <w:pPr>
        <w:ind w:left="4360" w:hanging="360"/>
      </w:pPr>
      <w:rPr>
        <w:rFonts w:ascii="Wingdings" w:hAnsi="Wingdings" w:hint="default"/>
      </w:rPr>
    </w:lvl>
    <w:lvl w:ilvl="6">
      <w:start w:val="1"/>
      <w:numFmt w:val="bullet"/>
      <w:lvlText w:val=""/>
      <w:lvlJc w:val="left"/>
      <w:pPr>
        <w:ind w:left="5080" w:hanging="360"/>
      </w:pPr>
      <w:rPr>
        <w:rFonts w:ascii="Symbol" w:hAnsi="Symbol" w:hint="default"/>
      </w:rPr>
    </w:lvl>
    <w:lvl w:ilvl="7">
      <w:start w:val="1"/>
      <w:numFmt w:val="bullet"/>
      <w:lvlText w:val="o"/>
      <w:lvlJc w:val="left"/>
      <w:pPr>
        <w:ind w:left="5800" w:hanging="360"/>
      </w:pPr>
      <w:rPr>
        <w:rFonts w:ascii="Courier New" w:hAnsi="Courier New" w:cs="Courier New" w:hint="default"/>
      </w:rPr>
    </w:lvl>
    <w:lvl w:ilvl="8">
      <w:start w:val="1"/>
      <w:numFmt w:val="bullet"/>
      <w:lvlText w:val=""/>
      <w:lvlJc w:val="left"/>
      <w:pPr>
        <w:ind w:left="6520" w:hanging="360"/>
      </w:pPr>
      <w:rPr>
        <w:rFonts w:ascii="Wingdings" w:hAnsi="Wingdings" w:hint="default"/>
      </w:rPr>
    </w:lvl>
  </w:abstractNum>
  <w:abstractNum w:abstractNumId="17">
    <w:nsid w:val="43E02858"/>
    <w:multiLevelType w:val="multilevel"/>
    <w:tmpl w:val="43E028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47A83C6D"/>
    <w:multiLevelType w:val="multilevel"/>
    <w:tmpl w:val="47A83C6D"/>
    <w:lvl w:ilvl="0">
      <w:start w:val="1"/>
      <w:numFmt w:val="decimal"/>
      <w:lvlText w:val="%1"/>
      <w:lvlJc w:val="left"/>
      <w:pPr>
        <w:tabs>
          <w:tab w:val="left" w:pos="720"/>
        </w:tabs>
        <w:ind w:left="720" w:hanging="720"/>
      </w:pPr>
      <w:rPr>
        <w:rFonts w:ascii="Arial" w:hAnsi="Arial" w:cs="Arial" w:hint="default"/>
      </w:rPr>
    </w:lvl>
    <w:lvl w:ilvl="1">
      <w:start w:val="1"/>
      <w:numFmt w:val="decimal"/>
      <w:lvlText w:val="%1.%2"/>
      <w:lvlJc w:val="left"/>
      <w:pPr>
        <w:tabs>
          <w:tab w:val="left" w:pos="576"/>
        </w:tabs>
        <w:ind w:left="576" w:hanging="576"/>
      </w:pPr>
      <w:rPr>
        <w:rFonts w:ascii="Arial" w:hAnsi="Arial" w:cs="Arial" w:hint="default"/>
        <w:b/>
        <w:i w:val="0"/>
        <w:color w:val="auto"/>
        <w:sz w:val="22"/>
      </w:rPr>
    </w:lvl>
    <w:lvl w:ilvl="2">
      <w:start w:val="1"/>
      <w:numFmt w:val="decimal"/>
      <w:lvlText w:val="1.3.2.%3"/>
      <w:lvlJc w:val="left"/>
      <w:pPr>
        <w:tabs>
          <w:tab w:val="left" w:pos="720"/>
        </w:tabs>
        <w:ind w:left="720" w:hanging="720"/>
      </w:pPr>
      <w:rPr>
        <w:rFonts w:ascii="华文楷体" w:eastAsia="华文楷体" w:hAnsi="华文楷体" w:hint="eastAsia"/>
      </w:rPr>
    </w:lvl>
    <w:lvl w:ilvl="3">
      <w:start w:val="1"/>
      <w:numFmt w:val="decimal"/>
      <w:lvlText w:val="%1.%2.%3.%4"/>
      <w:lvlJc w:val="left"/>
      <w:pPr>
        <w:tabs>
          <w:tab w:val="left" w:pos="864"/>
        </w:tabs>
        <w:ind w:left="864" w:hanging="864"/>
      </w:pPr>
      <w:rPr>
        <w:rFonts w:hint="eastAsia"/>
        <w:sz w:val="22"/>
        <w:szCs w:val="22"/>
      </w:rPr>
    </w:lvl>
    <w:lvl w:ilvl="4">
      <w:start w:val="1"/>
      <w:numFmt w:val="decimal"/>
      <w:pStyle w:val="Heading5"/>
      <w:lvlText w:val="%1.%2.%3.%4.%5"/>
      <w:lvlJc w:val="left"/>
      <w:pPr>
        <w:tabs>
          <w:tab w:val="left" w:pos="1008"/>
        </w:tabs>
        <w:ind w:left="1008" w:hanging="1008"/>
      </w:pPr>
      <w:rPr>
        <w:rFonts w:hint="eastAsia"/>
      </w:rPr>
    </w:lvl>
    <w:lvl w:ilvl="5">
      <w:start w:val="1"/>
      <w:numFmt w:val="decimal"/>
      <w:pStyle w:val="Heading6"/>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9">
    <w:nsid w:val="52C0D4A4"/>
    <w:multiLevelType w:val="singleLevel"/>
    <w:tmpl w:val="52C0D4A4"/>
    <w:lvl w:ilvl="0">
      <w:start w:val="1"/>
      <w:numFmt w:val="decimal"/>
      <w:suff w:val="nothing"/>
      <w:lvlText w:val="%1）"/>
      <w:lvlJc w:val="left"/>
    </w:lvl>
  </w:abstractNum>
  <w:abstractNum w:abstractNumId="20">
    <w:nsid w:val="54340EBC"/>
    <w:multiLevelType w:val="multilevel"/>
    <w:tmpl w:val="54340EBC"/>
    <w:lvl w:ilvl="0">
      <w:start w:val="1"/>
      <w:numFmt w:val="bullet"/>
      <w:pStyle w:val="CNTPRepor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57DA03F9"/>
    <w:multiLevelType w:val="multilevel"/>
    <w:tmpl w:val="57DA03F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5B844D5A"/>
    <w:multiLevelType w:val="singleLevel"/>
    <w:tmpl w:val="5B844D5A"/>
    <w:lvl w:ilvl="0">
      <w:start w:val="1"/>
      <w:numFmt w:val="bullet"/>
      <w:lvlText w:val=""/>
      <w:lvlJc w:val="left"/>
      <w:pPr>
        <w:ind w:left="-382" w:hanging="420"/>
      </w:pPr>
      <w:rPr>
        <w:rFonts w:ascii="Wingdings" w:hAnsi="Wingdings" w:hint="default"/>
      </w:rPr>
    </w:lvl>
  </w:abstractNum>
  <w:abstractNum w:abstractNumId="23">
    <w:nsid w:val="5F9B07F4"/>
    <w:multiLevelType w:val="singleLevel"/>
    <w:tmpl w:val="5F9B07F4"/>
    <w:lvl w:ilvl="0">
      <w:start w:val="1"/>
      <w:numFmt w:val="bullet"/>
      <w:lvlText w:val=""/>
      <w:lvlJc w:val="left"/>
      <w:pPr>
        <w:ind w:left="-382" w:hanging="420"/>
      </w:pPr>
      <w:rPr>
        <w:rFonts w:ascii="Wingdings" w:hAnsi="Wingdings" w:hint="default"/>
      </w:rPr>
    </w:lvl>
  </w:abstractNum>
  <w:abstractNum w:abstractNumId="24">
    <w:nsid w:val="621160FC"/>
    <w:multiLevelType w:val="multilevel"/>
    <w:tmpl w:val="621160FC"/>
    <w:lvl w:ilvl="0">
      <w:start w:val="1"/>
      <w:numFmt w:val="bullet"/>
      <w:pStyle w:val="ListParagraph"/>
      <w:lvlText w:val=""/>
      <w:lvlJc w:val="left"/>
      <w:pPr>
        <w:ind w:left="1162" w:hanging="360"/>
      </w:pPr>
      <w:rPr>
        <w:rFonts w:ascii="Symbol" w:hAnsi="Symbol" w:hint="default"/>
      </w:rPr>
    </w:lvl>
    <w:lvl w:ilvl="1">
      <w:start w:val="1"/>
      <w:numFmt w:val="bullet"/>
      <w:lvlText w:val="o"/>
      <w:lvlJc w:val="left"/>
      <w:pPr>
        <w:ind w:left="1882" w:hanging="360"/>
      </w:pPr>
      <w:rPr>
        <w:rFonts w:ascii="Courier New" w:hAnsi="Courier New" w:cs="Courier New" w:hint="default"/>
      </w:rPr>
    </w:lvl>
    <w:lvl w:ilvl="2">
      <w:start w:val="1"/>
      <w:numFmt w:val="bullet"/>
      <w:lvlText w:val=""/>
      <w:lvlJc w:val="left"/>
      <w:pPr>
        <w:ind w:left="2602" w:hanging="360"/>
      </w:pPr>
      <w:rPr>
        <w:rFonts w:ascii="Wingdings" w:hAnsi="Wingdings" w:hint="default"/>
      </w:rPr>
    </w:lvl>
    <w:lvl w:ilvl="3">
      <w:start w:val="1"/>
      <w:numFmt w:val="bullet"/>
      <w:lvlText w:val=""/>
      <w:lvlJc w:val="left"/>
      <w:pPr>
        <w:ind w:left="3322" w:hanging="360"/>
      </w:pPr>
      <w:rPr>
        <w:rFonts w:ascii="Symbol" w:hAnsi="Symbol" w:hint="default"/>
      </w:rPr>
    </w:lvl>
    <w:lvl w:ilvl="4">
      <w:start w:val="1"/>
      <w:numFmt w:val="bullet"/>
      <w:lvlText w:val="o"/>
      <w:lvlJc w:val="left"/>
      <w:pPr>
        <w:ind w:left="4042" w:hanging="360"/>
      </w:pPr>
      <w:rPr>
        <w:rFonts w:ascii="Courier New" w:hAnsi="Courier New" w:cs="Courier New" w:hint="default"/>
      </w:rPr>
    </w:lvl>
    <w:lvl w:ilvl="5">
      <w:start w:val="1"/>
      <w:numFmt w:val="bullet"/>
      <w:lvlText w:val=""/>
      <w:lvlJc w:val="left"/>
      <w:pPr>
        <w:ind w:left="4762" w:hanging="360"/>
      </w:pPr>
      <w:rPr>
        <w:rFonts w:ascii="Wingdings" w:hAnsi="Wingdings" w:hint="default"/>
      </w:rPr>
    </w:lvl>
    <w:lvl w:ilvl="6">
      <w:start w:val="1"/>
      <w:numFmt w:val="bullet"/>
      <w:lvlText w:val=""/>
      <w:lvlJc w:val="left"/>
      <w:pPr>
        <w:ind w:left="5482" w:hanging="360"/>
      </w:pPr>
      <w:rPr>
        <w:rFonts w:ascii="Symbol" w:hAnsi="Symbol" w:hint="default"/>
      </w:rPr>
    </w:lvl>
    <w:lvl w:ilvl="7">
      <w:start w:val="1"/>
      <w:numFmt w:val="bullet"/>
      <w:lvlText w:val="o"/>
      <w:lvlJc w:val="left"/>
      <w:pPr>
        <w:ind w:left="6202" w:hanging="360"/>
      </w:pPr>
      <w:rPr>
        <w:rFonts w:ascii="Courier New" w:hAnsi="Courier New" w:cs="Courier New" w:hint="default"/>
      </w:rPr>
    </w:lvl>
    <w:lvl w:ilvl="8">
      <w:start w:val="1"/>
      <w:numFmt w:val="bullet"/>
      <w:lvlText w:val=""/>
      <w:lvlJc w:val="left"/>
      <w:pPr>
        <w:ind w:left="6922" w:hanging="360"/>
      </w:pPr>
      <w:rPr>
        <w:rFonts w:ascii="Wingdings" w:hAnsi="Wingdings" w:hint="default"/>
      </w:rPr>
    </w:lvl>
  </w:abstractNum>
  <w:abstractNum w:abstractNumId="25">
    <w:nsid w:val="621B69D4"/>
    <w:multiLevelType w:val="multilevel"/>
    <w:tmpl w:val="621B69D4"/>
    <w:lvl w:ilvl="0">
      <w:start w:val="1"/>
      <w:numFmt w:val="bullet"/>
      <w:lvlText w:val=""/>
      <w:lvlJc w:val="left"/>
      <w:pPr>
        <w:ind w:left="919" w:hanging="360"/>
      </w:pPr>
      <w:rPr>
        <w:rFonts w:ascii="Symbol" w:hAnsi="Symbol" w:hint="default"/>
      </w:rPr>
    </w:lvl>
    <w:lvl w:ilvl="1">
      <w:start w:val="1"/>
      <w:numFmt w:val="bullet"/>
      <w:lvlText w:val="o"/>
      <w:lvlJc w:val="left"/>
      <w:pPr>
        <w:ind w:left="1639" w:hanging="360"/>
      </w:pPr>
      <w:rPr>
        <w:rFonts w:ascii="Courier New" w:hAnsi="Courier New" w:cs="Courier New" w:hint="default"/>
      </w:rPr>
    </w:lvl>
    <w:lvl w:ilvl="2">
      <w:start w:val="1"/>
      <w:numFmt w:val="bullet"/>
      <w:lvlText w:val=""/>
      <w:lvlJc w:val="left"/>
      <w:pPr>
        <w:ind w:left="2359" w:hanging="360"/>
      </w:pPr>
      <w:rPr>
        <w:rFonts w:ascii="Wingdings" w:hAnsi="Wingdings" w:hint="default"/>
      </w:rPr>
    </w:lvl>
    <w:lvl w:ilvl="3">
      <w:start w:val="1"/>
      <w:numFmt w:val="bullet"/>
      <w:lvlText w:val=""/>
      <w:lvlJc w:val="left"/>
      <w:pPr>
        <w:ind w:left="3079" w:hanging="360"/>
      </w:pPr>
      <w:rPr>
        <w:rFonts w:ascii="Symbol" w:hAnsi="Symbol" w:hint="default"/>
      </w:rPr>
    </w:lvl>
    <w:lvl w:ilvl="4">
      <w:start w:val="1"/>
      <w:numFmt w:val="bullet"/>
      <w:lvlText w:val="o"/>
      <w:lvlJc w:val="left"/>
      <w:pPr>
        <w:ind w:left="3799" w:hanging="360"/>
      </w:pPr>
      <w:rPr>
        <w:rFonts w:ascii="Courier New" w:hAnsi="Courier New" w:cs="Courier New" w:hint="default"/>
      </w:rPr>
    </w:lvl>
    <w:lvl w:ilvl="5">
      <w:start w:val="1"/>
      <w:numFmt w:val="bullet"/>
      <w:lvlText w:val=""/>
      <w:lvlJc w:val="left"/>
      <w:pPr>
        <w:ind w:left="4519" w:hanging="360"/>
      </w:pPr>
      <w:rPr>
        <w:rFonts w:ascii="Wingdings" w:hAnsi="Wingdings" w:hint="default"/>
      </w:rPr>
    </w:lvl>
    <w:lvl w:ilvl="6">
      <w:start w:val="1"/>
      <w:numFmt w:val="bullet"/>
      <w:lvlText w:val=""/>
      <w:lvlJc w:val="left"/>
      <w:pPr>
        <w:ind w:left="5239" w:hanging="360"/>
      </w:pPr>
      <w:rPr>
        <w:rFonts w:ascii="Symbol" w:hAnsi="Symbol" w:hint="default"/>
      </w:rPr>
    </w:lvl>
    <w:lvl w:ilvl="7">
      <w:start w:val="1"/>
      <w:numFmt w:val="bullet"/>
      <w:lvlText w:val="o"/>
      <w:lvlJc w:val="left"/>
      <w:pPr>
        <w:ind w:left="5959" w:hanging="360"/>
      </w:pPr>
      <w:rPr>
        <w:rFonts w:ascii="Courier New" w:hAnsi="Courier New" w:cs="Courier New" w:hint="default"/>
      </w:rPr>
    </w:lvl>
    <w:lvl w:ilvl="8">
      <w:start w:val="1"/>
      <w:numFmt w:val="bullet"/>
      <w:lvlText w:val=""/>
      <w:lvlJc w:val="left"/>
      <w:pPr>
        <w:ind w:left="6679" w:hanging="360"/>
      </w:pPr>
      <w:rPr>
        <w:rFonts w:ascii="Wingdings" w:hAnsi="Wingdings" w:hint="default"/>
      </w:rPr>
    </w:lvl>
  </w:abstractNum>
  <w:abstractNum w:abstractNumId="26">
    <w:nsid w:val="669B2150"/>
    <w:multiLevelType w:val="multilevel"/>
    <w:tmpl w:val="669B2150"/>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6F9B5E47"/>
    <w:multiLevelType w:val="multilevel"/>
    <w:tmpl w:val="6F9B5E47"/>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724468E4"/>
    <w:multiLevelType w:val="multilevel"/>
    <w:tmpl w:val="724468E4"/>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77ED1C9B"/>
    <w:multiLevelType w:val="multilevel"/>
    <w:tmpl w:val="77ED1C9B"/>
    <w:lvl w:ilvl="0">
      <w:start w:val="1"/>
      <w:numFmt w:val="bullet"/>
      <w:pStyle w:val="BodyTextBold"/>
      <w:lvlText w:val=""/>
      <w:lvlJc w:val="left"/>
      <w:pPr>
        <w:tabs>
          <w:tab w:val="left" w:pos="595"/>
        </w:tabs>
        <w:ind w:left="595" w:hanging="595"/>
      </w:pPr>
      <w:rPr>
        <w:rFonts w:ascii="Symbol" w:hAnsi="Symbol" w:hint="default"/>
        <w:sz w:val="18"/>
      </w:rPr>
    </w:lvl>
    <w:lvl w:ilvl="1">
      <w:start w:val="1"/>
      <w:numFmt w:val="bullet"/>
      <w:lvlText w:val=""/>
      <w:lvlJc w:val="left"/>
      <w:pPr>
        <w:tabs>
          <w:tab w:val="left" w:pos="1191"/>
        </w:tabs>
        <w:ind w:left="1191" w:hanging="595"/>
      </w:pPr>
      <w:rPr>
        <w:rFonts w:ascii="Symbol" w:hAnsi="Symbol" w:hint="default"/>
        <w:sz w:val="18"/>
      </w:rPr>
    </w:lvl>
    <w:lvl w:ilvl="2">
      <w:start w:val="1"/>
      <w:numFmt w:val="bullet"/>
      <w:lvlText w:val=""/>
      <w:lvlJc w:val="left"/>
      <w:pPr>
        <w:tabs>
          <w:tab w:val="left" w:pos="1786"/>
        </w:tabs>
        <w:ind w:left="1786" w:hanging="595"/>
      </w:pPr>
      <w:rPr>
        <w:rFonts w:ascii="Symbol" w:hAnsi="Symbol" w:hint="default"/>
        <w:sz w:val="18"/>
      </w:rPr>
    </w:lvl>
    <w:lvl w:ilvl="3">
      <w:start w:val="1"/>
      <w:numFmt w:val="bullet"/>
      <w:lvlText w:val=""/>
      <w:lvlJc w:val="left"/>
      <w:pPr>
        <w:tabs>
          <w:tab w:val="left" w:pos="2381"/>
        </w:tabs>
        <w:ind w:left="2381" w:hanging="595"/>
      </w:pPr>
      <w:rPr>
        <w:rFonts w:ascii="Symbol" w:hAnsi="Symbol" w:hint="default"/>
        <w:sz w:val="18"/>
      </w:rPr>
    </w:lvl>
    <w:lvl w:ilvl="4">
      <w:start w:val="1"/>
      <w:numFmt w:val="bullet"/>
      <w:lvlText w:val=""/>
      <w:lvlJc w:val="left"/>
      <w:pPr>
        <w:tabs>
          <w:tab w:val="left" w:pos="2976"/>
        </w:tabs>
        <w:ind w:left="2976" w:hanging="595"/>
      </w:pPr>
      <w:rPr>
        <w:rFonts w:ascii="Symbol" w:hAnsi="Symbol" w:hint="default"/>
        <w:sz w:val="18"/>
      </w:rPr>
    </w:lvl>
    <w:lvl w:ilvl="5">
      <w:start w:val="1"/>
      <w:numFmt w:val="bullet"/>
      <w:lvlText w:val=""/>
      <w:lvlJc w:val="left"/>
      <w:pPr>
        <w:tabs>
          <w:tab w:val="left" w:pos="3572"/>
        </w:tabs>
        <w:ind w:left="3572" w:hanging="595"/>
      </w:pPr>
      <w:rPr>
        <w:rFonts w:ascii="Symbol" w:hAnsi="Symbol" w:hint="default"/>
        <w:sz w:val="18"/>
      </w:rPr>
    </w:lvl>
    <w:lvl w:ilvl="6">
      <w:start w:val="1"/>
      <w:numFmt w:val="bullet"/>
      <w:lvlText w:val=""/>
      <w:lvlJc w:val="left"/>
      <w:pPr>
        <w:tabs>
          <w:tab w:val="left" w:pos="4167"/>
        </w:tabs>
        <w:ind w:left="4167" w:hanging="595"/>
      </w:pPr>
      <w:rPr>
        <w:rFonts w:ascii="Symbol" w:hAnsi="Symbol" w:hint="default"/>
        <w:sz w:val="18"/>
      </w:rPr>
    </w:lvl>
    <w:lvl w:ilvl="7">
      <w:start w:val="1"/>
      <w:numFmt w:val="bullet"/>
      <w:lvlText w:val=""/>
      <w:lvlJc w:val="left"/>
      <w:pPr>
        <w:tabs>
          <w:tab w:val="left" w:pos="4762"/>
        </w:tabs>
        <w:ind w:left="4762" w:hanging="595"/>
      </w:pPr>
      <w:rPr>
        <w:rFonts w:ascii="Symbol" w:hAnsi="Symbol" w:hint="default"/>
        <w:sz w:val="18"/>
      </w:rPr>
    </w:lvl>
    <w:lvl w:ilvl="8">
      <w:start w:val="1"/>
      <w:numFmt w:val="bullet"/>
      <w:lvlText w:val=""/>
      <w:lvlJc w:val="left"/>
      <w:pPr>
        <w:tabs>
          <w:tab w:val="left" w:pos="4762"/>
        </w:tabs>
        <w:ind w:left="4762" w:hanging="595"/>
      </w:pPr>
      <w:rPr>
        <w:rFonts w:ascii="Symbol" w:hAnsi="Symbol" w:hint="default"/>
        <w:sz w:val="18"/>
      </w:rPr>
    </w:lvl>
  </w:abstractNum>
  <w:abstractNum w:abstractNumId="30">
    <w:nsid w:val="798F30D8"/>
    <w:multiLevelType w:val="multilevel"/>
    <w:tmpl w:val="798F30D8"/>
    <w:lvl w:ilvl="0">
      <w:start w:val="1"/>
      <w:numFmt w:val="decimal"/>
      <w:lvlText w:val=""/>
      <w:lvlJc w:val="left"/>
      <w:pPr>
        <w:tabs>
          <w:tab w:val="left" w:pos="0"/>
        </w:tabs>
        <w:ind w:left="0" w:firstLine="0"/>
      </w:pPr>
      <w:rPr>
        <w:b/>
        <w:color w:val="7F7E82"/>
        <w:sz w:val="40"/>
      </w:rPr>
    </w:lvl>
    <w:lvl w:ilvl="1">
      <w:start w:val="1"/>
      <w:numFmt w:val="decimal"/>
      <w:lvlText w:val=""/>
      <w:lvlJc w:val="left"/>
      <w:pPr>
        <w:tabs>
          <w:tab w:val="left" w:pos="0"/>
        </w:tabs>
        <w:ind w:left="0" w:firstLine="0"/>
      </w:pPr>
      <w:rPr>
        <w:rFonts w:hint="default"/>
        <w:b/>
        <w:color w:val="000000"/>
        <w:sz w:val="28"/>
      </w:rPr>
    </w:lvl>
    <w:lvl w:ilvl="2">
      <w:start w:val="1"/>
      <w:numFmt w:val="decimal"/>
      <w:lvlRestart w:val="1"/>
      <w:lvlText w:val=""/>
      <w:lvlJc w:val="left"/>
      <w:pPr>
        <w:tabs>
          <w:tab w:val="left" w:pos="0"/>
        </w:tabs>
        <w:ind w:left="0" w:firstLine="0"/>
      </w:pPr>
      <w:rPr>
        <w:rFonts w:hint="default"/>
        <w:b/>
        <w:color w:val="000000"/>
        <w:sz w:val="24"/>
      </w:rPr>
    </w:lvl>
    <w:lvl w:ilvl="3">
      <w:start w:val="1"/>
      <w:numFmt w:val="decimal"/>
      <w:lvlRestart w:val="1"/>
      <w:lvlText w:val=""/>
      <w:lvlJc w:val="left"/>
      <w:pPr>
        <w:tabs>
          <w:tab w:val="left" w:pos="0"/>
        </w:tabs>
        <w:ind w:left="0" w:firstLine="0"/>
      </w:pPr>
      <w:rPr>
        <w:rFonts w:hint="default"/>
        <w:b/>
        <w:color w:val="000000"/>
        <w:sz w:val="20"/>
      </w:rPr>
    </w:lvl>
    <w:lvl w:ilvl="4">
      <w:start w:val="1"/>
      <w:numFmt w:val="decimal"/>
      <w:lvlRestart w:val="1"/>
      <w:pStyle w:val="EYBodytextwithparaspace"/>
      <w:lvlText w:val=""/>
      <w:lvlJc w:val="left"/>
      <w:pPr>
        <w:tabs>
          <w:tab w:val="left" w:pos="0"/>
        </w:tabs>
        <w:ind w:left="0" w:firstLine="0"/>
      </w:pPr>
      <w:rPr>
        <w:rFonts w:hint="default"/>
        <w:b w:val="0"/>
        <w:color w:val="000000"/>
        <w:sz w:val="20"/>
      </w:rPr>
    </w:lvl>
    <w:lvl w:ilvl="5">
      <w:start w:val="1"/>
      <w:numFmt w:val="none"/>
      <w:lvlText w:val=""/>
      <w:lvlJc w:val="left"/>
      <w:pPr>
        <w:tabs>
          <w:tab w:val="left" w:pos="0"/>
        </w:tabs>
        <w:ind w:left="0" w:firstLine="0"/>
      </w:pPr>
      <w:rPr>
        <w:rFonts w:hint="default"/>
      </w:rPr>
    </w:lvl>
    <w:lvl w:ilvl="6">
      <w:start w:val="1"/>
      <w:numFmt w:val="none"/>
      <w:lvlText w:val=""/>
      <w:lvlJc w:val="left"/>
      <w:pPr>
        <w:tabs>
          <w:tab w:val="left" w:pos="0"/>
        </w:tabs>
        <w:ind w:left="0" w:firstLine="0"/>
      </w:pPr>
      <w:rPr>
        <w:rFonts w:hint="default"/>
      </w:rPr>
    </w:lvl>
    <w:lvl w:ilvl="7">
      <w:start w:val="1"/>
      <w:numFmt w:val="none"/>
      <w:lvlText w:val=""/>
      <w:lvlJc w:val="left"/>
      <w:pPr>
        <w:tabs>
          <w:tab w:val="left" w:pos="0"/>
        </w:tabs>
        <w:ind w:left="0" w:firstLine="0"/>
      </w:pPr>
      <w:rPr>
        <w:rFonts w:hint="default"/>
      </w:rPr>
    </w:lvl>
    <w:lvl w:ilvl="8">
      <w:start w:val="1"/>
      <w:numFmt w:val="none"/>
      <w:lvlText w:val=""/>
      <w:lvlJc w:val="left"/>
      <w:pPr>
        <w:tabs>
          <w:tab w:val="left" w:pos="0"/>
        </w:tabs>
        <w:ind w:left="0" w:firstLine="0"/>
      </w:pPr>
      <w:rPr>
        <w:rFonts w:hint="default"/>
      </w:rPr>
    </w:lvl>
  </w:abstractNum>
  <w:abstractNum w:abstractNumId="31">
    <w:nsid w:val="7D7A1835"/>
    <w:multiLevelType w:val="multilevel"/>
    <w:tmpl w:val="7D7A1835"/>
    <w:lvl w:ilvl="0">
      <w:start w:val="1"/>
      <w:numFmt w:val="decimal"/>
      <w:lvlText w:val="%1."/>
      <w:lvlJc w:val="left"/>
      <w:pPr>
        <w:ind w:left="516" w:hanging="360"/>
      </w:p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num w:numId="1">
    <w:abstractNumId w:val="11"/>
  </w:num>
  <w:num w:numId="2">
    <w:abstractNumId w:val="18"/>
  </w:num>
  <w:num w:numId="3">
    <w:abstractNumId w:val="15"/>
  </w:num>
  <w:num w:numId="4">
    <w:abstractNumId w:val="29"/>
  </w:num>
  <w:num w:numId="5">
    <w:abstractNumId w:val="30"/>
  </w:num>
  <w:num w:numId="6">
    <w:abstractNumId w:val="13"/>
  </w:num>
  <w:num w:numId="7">
    <w:abstractNumId w:val="20"/>
  </w:num>
  <w:num w:numId="8">
    <w:abstractNumId w:val="24"/>
  </w:num>
  <w:num w:numId="9">
    <w:abstractNumId w:val="21"/>
  </w:num>
  <w:num w:numId="10">
    <w:abstractNumId w:val="17"/>
  </w:num>
  <w:num w:numId="11">
    <w:abstractNumId w:val="27"/>
  </w:num>
  <w:num w:numId="12">
    <w:abstractNumId w:val="28"/>
  </w:num>
  <w:num w:numId="13">
    <w:abstractNumId w:val="9"/>
  </w:num>
  <w:num w:numId="14">
    <w:abstractNumId w:val="26"/>
  </w:num>
  <w:num w:numId="15">
    <w:abstractNumId w:val="8"/>
  </w:num>
  <w:num w:numId="16">
    <w:abstractNumId w:val="4"/>
  </w:num>
  <w:num w:numId="17">
    <w:abstractNumId w:val="31"/>
  </w:num>
  <w:num w:numId="18">
    <w:abstractNumId w:val="2"/>
  </w:num>
  <w:num w:numId="19">
    <w:abstractNumId w:val="19"/>
  </w:num>
  <w:num w:numId="20">
    <w:abstractNumId w:val="0"/>
  </w:num>
  <w:num w:numId="21">
    <w:abstractNumId w:val="23"/>
  </w:num>
  <w:num w:numId="22">
    <w:abstractNumId w:val="22"/>
  </w:num>
  <w:num w:numId="23">
    <w:abstractNumId w:val="1"/>
  </w:num>
  <w:num w:numId="24">
    <w:abstractNumId w:val="10"/>
  </w:num>
  <w:num w:numId="25">
    <w:abstractNumId w:val="6"/>
  </w:num>
  <w:num w:numId="26">
    <w:abstractNumId w:val="16"/>
  </w:num>
  <w:num w:numId="27">
    <w:abstractNumId w:val="12"/>
  </w:num>
  <w:num w:numId="28">
    <w:abstractNumId w:val="14"/>
  </w:num>
  <w:num w:numId="29">
    <w:abstractNumId w:val="7"/>
  </w:num>
  <w:num w:numId="30">
    <w:abstractNumId w:val="3"/>
  </w:num>
  <w:num w:numId="31">
    <w:abstractNumId w:val="25"/>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oNotTrackFormatting/>
  <w:documentProtection w:edit="readOnly" w:formatting="1" w:enforcement="0"/>
  <w:defaultTabStop w:val="720"/>
  <w:drawingGridHorizontalSpacing w:val="100"/>
  <w:drawingGridVerticalSpacing w:val="163"/>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gyYzdhZGI0NDdiNjk4ZDg2MzVmZWNiMGE0MTdjZDQifQ=="/>
  </w:docVars>
  <w:rsids>
    <w:rsidRoot w:val="00AE4D15"/>
    <w:rsid w:val="8BBF5497"/>
    <w:rsid w:val="8E3672DB"/>
    <w:rsid w:val="97FB3DE9"/>
    <w:rsid w:val="9D7E35B3"/>
    <w:rsid w:val="B3BF1565"/>
    <w:rsid w:val="B67E6DC9"/>
    <w:rsid w:val="CBEFA2CF"/>
    <w:rsid w:val="CFFB69B4"/>
    <w:rsid w:val="D7BF33B5"/>
    <w:rsid w:val="DF7B74B4"/>
    <w:rsid w:val="DFB57573"/>
    <w:rsid w:val="DFEED216"/>
    <w:rsid w:val="E7DD3EE7"/>
    <w:rsid w:val="E8BFC301"/>
    <w:rsid w:val="E9E9BDE7"/>
    <w:rsid w:val="EFD6C458"/>
    <w:rsid w:val="F6777E41"/>
    <w:rsid w:val="F9BB5B63"/>
    <w:rsid w:val="FBDF5B14"/>
    <w:rsid w:val="FF8DEF1D"/>
    <w:rsid w:val="FFAB78BC"/>
    <w:rsid w:val="FFBF8E55"/>
    <w:rsid w:val="000006C4"/>
    <w:rsid w:val="0000075A"/>
    <w:rsid w:val="00000BA5"/>
    <w:rsid w:val="00000E68"/>
    <w:rsid w:val="00000EED"/>
    <w:rsid w:val="000011EB"/>
    <w:rsid w:val="000012C8"/>
    <w:rsid w:val="0000132B"/>
    <w:rsid w:val="00001D9A"/>
    <w:rsid w:val="00002221"/>
    <w:rsid w:val="00002EE0"/>
    <w:rsid w:val="000033F7"/>
    <w:rsid w:val="00003858"/>
    <w:rsid w:val="00003AE8"/>
    <w:rsid w:val="00003D2A"/>
    <w:rsid w:val="00003F41"/>
    <w:rsid w:val="00004D8C"/>
    <w:rsid w:val="00004E5B"/>
    <w:rsid w:val="0000501F"/>
    <w:rsid w:val="0000543D"/>
    <w:rsid w:val="000064A1"/>
    <w:rsid w:val="00006822"/>
    <w:rsid w:val="000074C0"/>
    <w:rsid w:val="0001021C"/>
    <w:rsid w:val="000103E7"/>
    <w:rsid w:val="0001045E"/>
    <w:rsid w:val="000106D1"/>
    <w:rsid w:val="00010A7D"/>
    <w:rsid w:val="00010C26"/>
    <w:rsid w:val="00010FC2"/>
    <w:rsid w:val="00011262"/>
    <w:rsid w:val="00012D5C"/>
    <w:rsid w:val="00013B4A"/>
    <w:rsid w:val="00014383"/>
    <w:rsid w:val="00014969"/>
    <w:rsid w:val="00015A70"/>
    <w:rsid w:val="000163BA"/>
    <w:rsid w:val="00016DA2"/>
    <w:rsid w:val="00017457"/>
    <w:rsid w:val="00017468"/>
    <w:rsid w:val="00017D3B"/>
    <w:rsid w:val="00017F4C"/>
    <w:rsid w:val="0002061F"/>
    <w:rsid w:val="00020974"/>
    <w:rsid w:val="000226DD"/>
    <w:rsid w:val="00022719"/>
    <w:rsid w:val="00022E8F"/>
    <w:rsid w:val="0002310D"/>
    <w:rsid w:val="000234CD"/>
    <w:rsid w:val="00023556"/>
    <w:rsid w:val="00024325"/>
    <w:rsid w:val="00024C12"/>
    <w:rsid w:val="00024CBA"/>
    <w:rsid w:val="00024D78"/>
    <w:rsid w:val="00026025"/>
    <w:rsid w:val="00026CF6"/>
    <w:rsid w:val="000276D3"/>
    <w:rsid w:val="0002785C"/>
    <w:rsid w:val="0002789C"/>
    <w:rsid w:val="00027C2C"/>
    <w:rsid w:val="00030382"/>
    <w:rsid w:val="00030890"/>
    <w:rsid w:val="00030AB6"/>
    <w:rsid w:val="00030CEC"/>
    <w:rsid w:val="0003103E"/>
    <w:rsid w:val="000315E7"/>
    <w:rsid w:val="0003191E"/>
    <w:rsid w:val="00031E78"/>
    <w:rsid w:val="00032326"/>
    <w:rsid w:val="00032788"/>
    <w:rsid w:val="00032A04"/>
    <w:rsid w:val="00032B87"/>
    <w:rsid w:val="000333A0"/>
    <w:rsid w:val="00034025"/>
    <w:rsid w:val="0003485B"/>
    <w:rsid w:val="00035426"/>
    <w:rsid w:val="000354C5"/>
    <w:rsid w:val="00035562"/>
    <w:rsid w:val="00035583"/>
    <w:rsid w:val="00035B89"/>
    <w:rsid w:val="00036464"/>
    <w:rsid w:val="00036B11"/>
    <w:rsid w:val="00037396"/>
    <w:rsid w:val="000377D8"/>
    <w:rsid w:val="00037B42"/>
    <w:rsid w:val="00037E7B"/>
    <w:rsid w:val="00037EDA"/>
    <w:rsid w:val="00037F99"/>
    <w:rsid w:val="00040176"/>
    <w:rsid w:val="000403AE"/>
    <w:rsid w:val="000408F9"/>
    <w:rsid w:val="00040982"/>
    <w:rsid w:val="000411B9"/>
    <w:rsid w:val="00041CEC"/>
    <w:rsid w:val="00042288"/>
    <w:rsid w:val="00042AA4"/>
    <w:rsid w:val="00042DA4"/>
    <w:rsid w:val="000436B9"/>
    <w:rsid w:val="00044103"/>
    <w:rsid w:val="00044753"/>
    <w:rsid w:val="0004479F"/>
    <w:rsid w:val="00044AD9"/>
    <w:rsid w:val="00044FD3"/>
    <w:rsid w:val="00045435"/>
    <w:rsid w:val="0004566A"/>
    <w:rsid w:val="00045759"/>
    <w:rsid w:val="00045BEB"/>
    <w:rsid w:val="00045FE4"/>
    <w:rsid w:val="0004692E"/>
    <w:rsid w:val="00046B7D"/>
    <w:rsid w:val="00047509"/>
    <w:rsid w:val="00050565"/>
    <w:rsid w:val="0005086E"/>
    <w:rsid w:val="00050E27"/>
    <w:rsid w:val="00051715"/>
    <w:rsid w:val="000517EF"/>
    <w:rsid w:val="00051824"/>
    <w:rsid w:val="00051AF7"/>
    <w:rsid w:val="00051CB6"/>
    <w:rsid w:val="00051EF0"/>
    <w:rsid w:val="00052645"/>
    <w:rsid w:val="000528B3"/>
    <w:rsid w:val="000534F8"/>
    <w:rsid w:val="00054348"/>
    <w:rsid w:val="0005483D"/>
    <w:rsid w:val="000548EF"/>
    <w:rsid w:val="00054E26"/>
    <w:rsid w:val="00055847"/>
    <w:rsid w:val="0005616A"/>
    <w:rsid w:val="000561B5"/>
    <w:rsid w:val="00056361"/>
    <w:rsid w:val="000564B1"/>
    <w:rsid w:val="000569EB"/>
    <w:rsid w:val="00056E4A"/>
    <w:rsid w:val="00056F41"/>
    <w:rsid w:val="000577E8"/>
    <w:rsid w:val="00057F2D"/>
    <w:rsid w:val="000606C9"/>
    <w:rsid w:val="00060AED"/>
    <w:rsid w:val="000612B1"/>
    <w:rsid w:val="000615D2"/>
    <w:rsid w:val="00061772"/>
    <w:rsid w:val="000617C5"/>
    <w:rsid w:val="000634EB"/>
    <w:rsid w:val="00063519"/>
    <w:rsid w:val="00063584"/>
    <w:rsid w:val="00063628"/>
    <w:rsid w:val="00063C91"/>
    <w:rsid w:val="0006511A"/>
    <w:rsid w:val="000652D5"/>
    <w:rsid w:val="00065360"/>
    <w:rsid w:val="00065435"/>
    <w:rsid w:val="00065629"/>
    <w:rsid w:val="00065FEB"/>
    <w:rsid w:val="00066F0D"/>
    <w:rsid w:val="000670A6"/>
    <w:rsid w:val="0006758F"/>
    <w:rsid w:val="000679FC"/>
    <w:rsid w:val="00067E9C"/>
    <w:rsid w:val="00070A14"/>
    <w:rsid w:val="00070F30"/>
    <w:rsid w:val="00071740"/>
    <w:rsid w:val="0007191D"/>
    <w:rsid w:val="000719F3"/>
    <w:rsid w:val="00071FE3"/>
    <w:rsid w:val="0007233E"/>
    <w:rsid w:val="00072941"/>
    <w:rsid w:val="0007363F"/>
    <w:rsid w:val="000739E7"/>
    <w:rsid w:val="000739EA"/>
    <w:rsid w:val="000740A3"/>
    <w:rsid w:val="000740CA"/>
    <w:rsid w:val="000740F8"/>
    <w:rsid w:val="00074E38"/>
    <w:rsid w:val="0007548F"/>
    <w:rsid w:val="00076279"/>
    <w:rsid w:val="0007746E"/>
    <w:rsid w:val="00077C57"/>
    <w:rsid w:val="00077C65"/>
    <w:rsid w:val="00077D38"/>
    <w:rsid w:val="000812D8"/>
    <w:rsid w:val="00081E0A"/>
    <w:rsid w:val="00082227"/>
    <w:rsid w:val="0008227E"/>
    <w:rsid w:val="000822B4"/>
    <w:rsid w:val="000823B3"/>
    <w:rsid w:val="00082951"/>
    <w:rsid w:val="00082C54"/>
    <w:rsid w:val="000832A7"/>
    <w:rsid w:val="00083425"/>
    <w:rsid w:val="000838A4"/>
    <w:rsid w:val="000848D7"/>
    <w:rsid w:val="0008515F"/>
    <w:rsid w:val="00085201"/>
    <w:rsid w:val="00085837"/>
    <w:rsid w:val="00085883"/>
    <w:rsid w:val="00085E59"/>
    <w:rsid w:val="00085F4E"/>
    <w:rsid w:val="00085FAF"/>
    <w:rsid w:val="0008658B"/>
    <w:rsid w:val="00086721"/>
    <w:rsid w:val="00087B4B"/>
    <w:rsid w:val="00087B53"/>
    <w:rsid w:val="00087D55"/>
    <w:rsid w:val="00087F1B"/>
    <w:rsid w:val="00087FEB"/>
    <w:rsid w:val="00090085"/>
    <w:rsid w:val="00090627"/>
    <w:rsid w:val="00090741"/>
    <w:rsid w:val="00090909"/>
    <w:rsid w:val="00090C05"/>
    <w:rsid w:val="0009161A"/>
    <w:rsid w:val="00091846"/>
    <w:rsid w:val="00091E02"/>
    <w:rsid w:val="00091FD2"/>
    <w:rsid w:val="0009322C"/>
    <w:rsid w:val="000938FC"/>
    <w:rsid w:val="0009432A"/>
    <w:rsid w:val="00094390"/>
    <w:rsid w:val="0009472D"/>
    <w:rsid w:val="00094B60"/>
    <w:rsid w:val="00094C23"/>
    <w:rsid w:val="00094E85"/>
    <w:rsid w:val="00094F5C"/>
    <w:rsid w:val="00094FA7"/>
    <w:rsid w:val="00095826"/>
    <w:rsid w:val="00097205"/>
    <w:rsid w:val="00097271"/>
    <w:rsid w:val="000973BB"/>
    <w:rsid w:val="00097582"/>
    <w:rsid w:val="000A0BFD"/>
    <w:rsid w:val="000A1076"/>
    <w:rsid w:val="000A138C"/>
    <w:rsid w:val="000A19D9"/>
    <w:rsid w:val="000A1E0F"/>
    <w:rsid w:val="000A2B4B"/>
    <w:rsid w:val="000A32C6"/>
    <w:rsid w:val="000A4006"/>
    <w:rsid w:val="000A4369"/>
    <w:rsid w:val="000A4916"/>
    <w:rsid w:val="000A4C55"/>
    <w:rsid w:val="000A54EC"/>
    <w:rsid w:val="000A594F"/>
    <w:rsid w:val="000A5AFF"/>
    <w:rsid w:val="000A5B70"/>
    <w:rsid w:val="000A673F"/>
    <w:rsid w:val="000A6771"/>
    <w:rsid w:val="000A69C7"/>
    <w:rsid w:val="000A6A15"/>
    <w:rsid w:val="000A6CCC"/>
    <w:rsid w:val="000A6E9D"/>
    <w:rsid w:val="000B01E6"/>
    <w:rsid w:val="000B0421"/>
    <w:rsid w:val="000B0995"/>
    <w:rsid w:val="000B1BDE"/>
    <w:rsid w:val="000B21D3"/>
    <w:rsid w:val="000B22ED"/>
    <w:rsid w:val="000B2316"/>
    <w:rsid w:val="000B2564"/>
    <w:rsid w:val="000B312C"/>
    <w:rsid w:val="000B3A90"/>
    <w:rsid w:val="000B3D9D"/>
    <w:rsid w:val="000B5119"/>
    <w:rsid w:val="000B5138"/>
    <w:rsid w:val="000B55CB"/>
    <w:rsid w:val="000B572D"/>
    <w:rsid w:val="000B5992"/>
    <w:rsid w:val="000B5E79"/>
    <w:rsid w:val="000B6538"/>
    <w:rsid w:val="000B7394"/>
    <w:rsid w:val="000B75D6"/>
    <w:rsid w:val="000B798F"/>
    <w:rsid w:val="000B79C5"/>
    <w:rsid w:val="000C0CB3"/>
    <w:rsid w:val="000C126A"/>
    <w:rsid w:val="000C1E6E"/>
    <w:rsid w:val="000C29A5"/>
    <w:rsid w:val="000C2E51"/>
    <w:rsid w:val="000C31B4"/>
    <w:rsid w:val="000C3DCC"/>
    <w:rsid w:val="000C477D"/>
    <w:rsid w:val="000C5184"/>
    <w:rsid w:val="000C5750"/>
    <w:rsid w:val="000C7009"/>
    <w:rsid w:val="000C7955"/>
    <w:rsid w:val="000D0B04"/>
    <w:rsid w:val="000D0BAA"/>
    <w:rsid w:val="000D2DC4"/>
    <w:rsid w:val="000D403F"/>
    <w:rsid w:val="000D4249"/>
    <w:rsid w:val="000D4405"/>
    <w:rsid w:val="000D4FDE"/>
    <w:rsid w:val="000D550C"/>
    <w:rsid w:val="000D59DD"/>
    <w:rsid w:val="000D64DB"/>
    <w:rsid w:val="000D67EA"/>
    <w:rsid w:val="000D6D82"/>
    <w:rsid w:val="000D742E"/>
    <w:rsid w:val="000E0374"/>
    <w:rsid w:val="000E03A5"/>
    <w:rsid w:val="000E0464"/>
    <w:rsid w:val="000E0534"/>
    <w:rsid w:val="000E0A7D"/>
    <w:rsid w:val="000E0E76"/>
    <w:rsid w:val="000E2412"/>
    <w:rsid w:val="000E34CA"/>
    <w:rsid w:val="000E374B"/>
    <w:rsid w:val="000E3AD0"/>
    <w:rsid w:val="000E3DBC"/>
    <w:rsid w:val="000E4861"/>
    <w:rsid w:val="000E4B25"/>
    <w:rsid w:val="000E5FBD"/>
    <w:rsid w:val="000E606F"/>
    <w:rsid w:val="000E60F0"/>
    <w:rsid w:val="000E6162"/>
    <w:rsid w:val="000E68D6"/>
    <w:rsid w:val="000E6F83"/>
    <w:rsid w:val="000E7985"/>
    <w:rsid w:val="000E7BA2"/>
    <w:rsid w:val="000F00EB"/>
    <w:rsid w:val="000F05CC"/>
    <w:rsid w:val="000F220D"/>
    <w:rsid w:val="000F249F"/>
    <w:rsid w:val="000F290D"/>
    <w:rsid w:val="000F2C9E"/>
    <w:rsid w:val="000F2DE2"/>
    <w:rsid w:val="000F390A"/>
    <w:rsid w:val="000F4332"/>
    <w:rsid w:val="000F4416"/>
    <w:rsid w:val="000F442A"/>
    <w:rsid w:val="000F460E"/>
    <w:rsid w:val="000F5224"/>
    <w:rsid w:val="000F5308"/>
    <w:rsid w:val="000F542F"/>
    <w:rsid w:val="000F54B0"/>
    <w:rsid w:val="000F64E8"/>
    <w:rsid w:val="000F7523"/>
    <w:rsid w:val="000F79A2"/>
    <w:rsid w:val="000F79F3"/>
    <w:rsid w:val="000F7A3E"/>
    <w:rsid w:val="000F7DAD"/>
    <w:rsid w:val="00100FB2"/>
    <w:rsid w:val="001011D2"/>
    <w:rsid w:val="001013FA"/>
    <w:rsid w:val="00102750"/>
    <w:rsid w:val="00102781"/>
    <w:rsid w:val="00102ACE"/>
    <w:rsid w:val="00103429"/>
    <w:rsid w:val="00103DD9"/>
    <w:rsid w:val="00104617"/>
    <w:rsid w:val="00104749"/>
    <w:rsid w:val="0010478F"/>
    <w:rsid w:val="0010497C"/>
    <w:rsid w:val="00105684"/>
    <w:rsid w:val="0010582E"/>
    <w:rsid w:val="00105DD2"/>
    <w:rsid w:val="001062C8"/>
    <w:rsid w:val="001063C6"/>
    <w:rsid w:val="0010650D"/>
    <w:rsid w:val="00106908"/>
    <w:rsid w:val="00106A7F"/>
    <w:rsid w:val="001073E0"/>
    <w:rsid w:val="001073E1"/>
    <w:rsid w:val="001078B8"/>
    <w:rsid w:val="00110575"/>
    <w:rsid w:val="001105D7"/>
    <w:rsid w:val="00111641"/>
    <w:rsid w:val="00111790"/>
    <w:rsid w:val="00113802"/>
    <w:rsid w:val="00113B98"/>
    <w:rsid w:val="00113DBC"/>
    <w:rsid w:val="00113FF5"/>
    <w:rsid w:val="00114AE5"/>
    <w:rsid w:val="00114B35"/>
    <w:rsid w:val="00115363"/>
    <w:rsid w:val="001153CC"/>
    <w:rsid w:val="00116018"/>
    <w:rsid w:val="00116714"/>
    <w:rsid w:val="00120313"/>
    <w:rsid w:val="001211A7"/>
    <w:rsid w:val="00121265"/>
    <w:rsid w:val="00121759"/>
    <w:rsid w:val="00121AD2"/>
    <w:rsid w:val="00121B19"/>
    <w:rsid w:val="001227C5"/>
    <w:rsid w:val="00122A66"/>
    <w:rsid w:val="00122B19"/>
    <w:rsid w:val="00122E18"/>
    <w:rsid w:val="00123065"/>
    <w:rsid w:val="001231FC"/>
    <w:rsid w:val="001238D9"/>
    <w:rsid w:val="00123901"/>
    <w:rsid w:val="00124510"/>
    <w:rsid w:val="00124A5B"/>
    <w:rsid w:val="0012500E"/>
    <w:rsid w:val="001254E0"/>
    <w:rsid w:val="001259B8"/>
    <w:rsid w:val="00125D10"/>
    <w:rsid w:val="001270FB"/>
    <w:rsid w:val="00127243"/>
    <w:rsid w:val="00127304"/>
    <w:rsid w:val="00127FEA"/>
    <w:rsid w:val="0013144A"/>
    <w:rsid w:val="00131A89"/>
    <w:rsid w:val="00131CA3"/>
    <w:rsid w:val="00132959"/>
    <w:rsid w:val="001342C7"/>
    <w:rsid w:val="00134D4D"/>
    <w:rsid w:val="001350AD"/>
    <w:rsid w:val="00135510"/>
    <w:rsid w:val="00136F9D"/>
    <w:rsid w:val="001373E1"/>
    <w:rsid w:val="00137666"/>
    <w:rsid w:val="00137A04"/>
    <w:rsid w:val="0014077F"/>
    <w:rsid w:val="0014082E"/>
    <w:rsid w:val="00140BD7"/>
    <w:rsid w:val="00141D1B"/>
    <w:rsid w:val="001420BB"/>
    <w:rsid w:val="0014223B"/>
    <w:rsid w:val="001422C3"/>
    <w:rsid w:val="0014290A"/>
    <w:rsid w:val="00143170"/>
    <w:rsid w:val="00143585"/>
    <w:rsid w:val="00143BC7"/>
    <w:rsid w:val="00144015"/>
    <w:rsid w:val="001442BC"/>
    <w:rsid w:val="001447D0"/>
    <w:rsid w:val="00145340"/>
    <w:rsid w:val="0014562C"/>
    <w:rsid w:val="0014584B"/>
    <w:rsid w:val="001462F7"/>
    <w:rsid w:val="001464D1"/>
    <w:rsid w:val="00146949"/>
    <w:rsid w:val="0014713C"/>
    <w:rsid w:val="001474AC"/>
    <w:rsid w:val="001476D6"/>
    <w:rsid w:val="0014772A"/>
    <w:rsid w:val="00147AEA"/>
    <w:rsid w:val="00147FDA"/>
    <w:rsid w:val="00150027"/>
    <w:rsid w:val="00150420"/>
    <w:rsid w:val="001506B4"/>
    <w:rsid w:val="00150DFF"/>
    <w:rsid w:val="0015249B"/>
    <w:rsid w:val="001524D0"/>
    <w:rsid w:val="0015281F"/>
    <w:rsid w:val="00152898"/>
    <w:rsid w:val="0015298B"/>
    <w:rsid w:val="00152D06"/>
    <w:rsid w:val="0015353B"/>
    <w:rsid w:val="001540E7"/>
    <w:rsid w:val="001543A9"/>
    <w:rsid w:val="001543E6"/>
    <w:rsid w:val="001544EF"/>
    <w:rsid w:val="001554C4"/>
    <w:rsid w:val="001560D3"/>
    <w:rsid w:val="00156172"/>
    <w:rsid w:val="001562AB"/>
    <w:rsid w:val="00157143"/>
    <w:rsid w:val="001571F8"/>
    <w:rsid w:val="0016023F"/>
    <w:rsid w:val="001604D7"/>
    <w:rsid w:val="00160707"/>
    <w:rsid w:val="00160A15"/>
    <w:rsid w:val="001613CB"/>
    <w:rsid w:val="00161979"/>
    <w:rsid w:val="00161A4D"/>
    <w:rsid w:val="00163171"/>
    <w:rsid w:val="0016456D"/>
    <w:rsid w:val="00164853"/>
    <w:rsid w:val="001649C9"/>
    <w:rsid w:val="00164C57"/>
    <w:rsid w:val="001652D3"/>
    <w:rsid w:val="001654B4"/>
    <w:rsid w:val="00165829"/>
    <w:rsid w:val="001665E2"/>
    <w:rsid w:val="001669A0"/>
    <w:rsid w:val="0016779C"/>
    <w:rsid w:val="00170BBE"/>
    <w:rsid w:val="00170E18"/>
    <w:rsid w:val="00170F27"/>
    <w:rsid w:val="001710A5"/>
    <w:rsid w:val="00171120"/>
    <w:rsid w:val="00171BDD"/>
    <w:rsid w:val="00172411"/>
    <w:rsid w:val="0017255B"/>
    <w:rsid w:val="00172641"/>
    <w:rsid w:val="00173497"/>
    <w:rsid w:val="00173982"/>
    <w:rsid w:val="00173B07"/>
    <w:rsid w:val="001745CF"/>
    <w:rsid w:val="001747B7"/>
    <w:rsid w:val="001751D8"/>
    <w:rsid w:val="00175D2F"/>
    <w:rsid w:val="00175F1F"/>
    <w:rsid w:val="00176312"/>
    <w:rsid w:val="00176574"/>
    <w:rsid w:val="0017673A"/>
    <w:rsid w:val="00177412"/>
    <w:rsid w:val="0018052A"/>
    <w:rsid w:val="00181E86"/>
    <w:rsid w:val="00182489"/>
    <w:rsid w:val="00182F8F"/>
    <w:rsid w:val="00183061"/>
    <w:rsid w:val="00183A2F"/>
    <w:rsid w:val="001843A9"/>
    <w:rsid w:val="00184582"/>
    <w:rsid w:val="00184598"/>
    <w:rsid w:val="0018459A"/>
    <w:rsid w:val="00185B5F"/>
    <w:rsid w:val="0018606B"/>
    <w:rsid w:val="0018610B"/>
    <w:rsid w:val="0018663F"/>
    <w:rsid w:val="00186956"/>
    <w:rsid w:val="00186F31"/>
    <w:rsid w:val="00187369"/>
    <w:rsid w:val="00191C60"/>
    <w:rsid w:val="00191D48"/>
    <w:rsid w:val="001920B2"/>
    <w:rsid w:val="00192E76"/>
    <w:rsid w:val="001930B3"/>
    <w:rsid w:val="00194629"/>
    <w:rsid w:val="00194637"/>
    <w:rsid w:val="00194D40"/>
    <w:rsid w:val="001959D5"/>
    <w:rsid w:val="00195C5B"/>
    <w:rsid w:val="00195E74"/>
    <w:rsid w:val="00196266"/>
    <w:rsid w:val="00196B3A"/>
    <w:rsid w:val="001976C9"/>
    <w:rsid w:val="00197E20"/>
    <w:rsid w:val="001A026E"/>
    <w:rsid w:val="001A0638"/>
    <w:rsid w:val="001A08F8"/>
    <w:rsid w:val="001A1420"/>
    <w:rsid w:val="001A1508"/>
    <w:rsid w:val="001A1D0F"/>
    <w:rsid w:val="001A207F"/>
    <w:rsid w:val="001A29BD"/>
    <w:rsid w:val="001A2A77"/>
    <w:rsid w:val="001A32B7"/>
    <w:rsid w:val="001A386D"/>
    <w:rsid w:val="001A3DE0"/>
    <w:rsid w:val="001A40F5"/>
    <w:rsid w:val="001A41B1"/>
    <w:rsid w:val="001A459F"/>
    <w:rsid w:val="001A5A63"/>
    <w:rsid w:val="001A61F4"/>
    <w:rsid w:val="001A78E8"/>
    <w:rsid w:val="001A7985"/>
    <w:rsid w:val="001A7EDE"/>
    <w:rsid w:val="001B07D6"/>
    <w:rsid w:val="001B09D7"/>
    <w:rsid w:val="001B114A"/>
    <w:rsid w:val="001B11D1"/>
    <w:rsid w:val="001B16F1"/>
    <w:rsid w:val="001B1B91"/>
    <w:rsid w:val="001B1F14"/>
    <w:rsid w:val="001B2161"/>
    <w:rsid w:val="001B26DB"/>
    <w:rsid w:val="001B2895"/>
    <w:rsid w:val="001B29BC"/>
    <w:rsid w:val="001B3D1B"/>
    <w:rsid w:val="001B4335"/>
    <w:rsid w:val="001B45C3"/>
    <w:rsid w:val="001B46DC"/>
    <w:rsid w:val="001B4990"/>
    <w:rsid w:val="001B4B40"/>
    <w:rsid w:val="001B4CAA"/>
    <w:rsid w:val="001B4DDD"/>
    <w:rsid w:val="001B4EB6"/>
    <w:rsid w:val="001B52FF"/>
    <w:rsid w:val="001B5608"/>
    <w:rsid w:val="001B5A37"/>
    <w:rsid w:val="001B5C50"/>
    <w:rsid w:val="001B64C9"/>
    <w:rsid w:val="001B6916"/>
    <w:rsid w:val="001B71EA"/>
    <w:rsid w:val="001B72EF"/>
    <w:rsid w:val="001B7ACB"/>
    <w:rsid w:val="001B7B63"/>
    <w:rsid w:val="001C1A62"/>
    <w:rsid w:val="001C1EC7"/>
    <w:rsid w:val="001C22D2"/>
    <w:rsid w:val="001C23D9"/>
    <w:rsid w:val="001C28BC"/>
    <w:rsid w:val="001C30BE"/>
    <w:rsid w:val="001C3DD6"/>
    <w:rsid w:val="001C4C8C"/>
    <w:rsid w:val="001C4E74"/>
    <w:rsid w:val="001C5200"/>
    <w:rsid w:val="001C55C3"/>
    <w:rsid w:val="001C5895"/>
    <w:rsid w:val="001C63AC"/>
    <w:rsid w:val="001C6AAA"/>
    <w:rsid w:val="001C6C24"/>
    <w:rsid w:val="001C6DAE"/>
    <w:rsid w:val="001C6E33"/>
    <w:rsid w:val="001C6EAC"/>
    <w:rsid w:val="001C6ECD"/>
    <w:rsid w:val="001C7CB0"/>
    <w:rsid w:val="001D0449"/>
    <w:rsid w:val="001D0B3C"/>
    <w:rsid w:val="001D0DCC"/>
    <w:rsid w:val="001D1707"/>
    <w:rsid w:val="001D1C9F"/>
    <w:rsid w:val="001D28A3"/>
    <w:rsid w:val="001D3173"/>
    <w:rsid w:val="001D387B"/>
    <w:rsid w:val="001D4400"/>
    <w:rsid w:val="001D554B"/>
    <w:rsid w:val="001D56EF"/>
    <w:rsid w:val="001D5A40"/>
    <w:rsid w:val="001D5ADD"/>
    <w:rsid w:val="001D5DAE"/>
    <w:rsid w:val="001D63F1"/>
    <w:rsid w:val="001D6C26"/>
    <w:rsid w:val="001D715D"/>
    <w:rsid w:val="001D7E37"/>
    <w:rsid w:val="001E200C"/>
    <w:rsid w:val="001E2412"/>
    <w:rsid w:val="001E27A4"/>
    <w:rsid w:val="001E2AB3"/>
    <w:rsid w:val="001E4126"/>
    <w:rsid w:val="001E441E"/>
    <w:rsid w:val="001E446B"/>
    <w:rsid w:val="001E4913"/>
    <w:rsid w:val="001E49AF"/>
    <w:rsid w:val="001E5DAE"/>
    <w:rsid w:val="001E5F38"/>
    <w:rsid w:val="001E6045"/>
    <w:rsid w:val="001E6F06"/>
    <w:rsid w:val="001E7BB8"/>
    <w:rsid w:val="001E7BBC"/>
    <w:rsid w:val="001F0164"/>
    <w:rsid w:val="001F03BB"/>
    <w:rsid w:val="001F0590"/>
    <w:rsid w:val="001F0830"/>
    <w:rsid w:val="001F11A0"/>
    <w:rsid w:val="001F1EA0"/>
    <w:rsid w:val="001F2700"/>
    <w:rsid w:val="001F29E7"/>
    <w:rsid w:val="001F3B5A"/>
    <w:rsid w:val="001F4110"/>
    <w:rsid w:val="001F41E4"/>
    <w:rsid w:val="001F52AE"/>
    <w:rsid w:val="001F542B"/>
    <w:rsid w:val="001F5553"/>
    <w:rsid w:val="001F593B"/>
    <w:rsid w:val="001F59C8"/>
    <w:rsid w:val="001F62DA"/>
    <w:rsid w:val="001F662D"/>
    <w:rsid w:val="001F674F"/>
    <w:rsid w:val="001F6A6A"/>
    <w:rsid w:val="001F6BD5"/>
    <w:rsid w:val="001F6F55"/>
    <w:rsid w:val="001F7037"/>
    <w:rsid w:val="0020066F"/>
    <w:rsid w:val="0020157D"/>
    <w:rsid w:val="002026F2"/>
    <w:rsid w:val="00202720"/>
    <w:rsid w:val="0020423B"/>
    <w:rsid w:val="0020444F"/>
    <w:rsid w:val="00204818"/>
    <w:rsid w:val="0020515B"/>
    <w:rsid w:val="00205557"/>
    <w:rsid w:val="00205AB1"/>
    <w:rsid w:val="00205E3F"/>
    <w:rsid w:val="00205EA0"/>
    <w:rsid w:val="00205F2F"/>
    <w:rsid w:val="00206E7A"/>
    <w:rsid w:val="00207430"/>
    <w:rsid w:val="0020743F"/>
    <w:rsid w:val="00207664"/>
    <w:rsid w:val="00207A99"/>
    <w:rsid w:val="00207F47"/>
    <w:rsid w:val="00210514"/>
    <w:rsid w:val="002108C3"/>
    <w:rsid w:val="00210FAD"/>
    <w:rsid w:val="002113CD"/>
    <w:rsid w:val="002115B7"/>
    <w:rsid w:val="00211B45"/>
    <w:rsid w:val="00211E59"/>
    <w:rsid w:val="00211F19"/>
    <w:rsid w:val="00212018"/>
    <w:rsid w:val="0021354A"/>
    <w:rsid w:val="002135F1"/>
    <w:rsid w:val="00214208"/>
    <w:rsid w:val="002142E1"/>
    <w:rsid w:val="00214347"/>
    <w:rsid w:val="00214507"/>
    <w:rsid w:val="002145B1"/>
    <w:rsid w:val="00214867"/>
    <w:rsid w:val="00214FF5"/>
    <w:rsid w:val="00215263"/>
    <w:rsid w:val="00215CCF"/>
    <w:rsid w:val="002163D7"/>
    <w:rsid w:val="00216D7A"/>
    <w:rsid w:val="002179CA"/>
    <w:rsid w:val="00217A52"/>
    <w:rsid w:val="00217B1E"/>
    <w:rsid w:val="00217C3E"/>
    <w:rsid w:val="0022028A"/>
    <w:rsid w:val="00220B61"/>
    <w:rsid w:val="002218AB"/>
    <w:rsid w:val="002219B5"/>
    <w:rsid w:val="00221DB7"/>
    <w:rsid w:val="00222168"/>
    <w:rsid w:val="00222840"/>
    <w:rsid w:val="00222A83"/>
    <w:rsid w:val="00222F8C"/>
    <w:rsid w:val="00223229"/>
    <w:rsid w:val="002238A6"/>
    <w:rsid w:val="00223C9F"/>
    <w:rsid w:val="0022413F"/>
    <w:rsid w:val="00224F84"/>
    <w:rsid w:val="00225918"/>
    <w:rsid w:val="00226128"/>
    <w:rsid w:val="00226D91"/>
    <w:rsid w:val="002271A9"/>
    <w:rsid w:val="00227CAB"/>
    <w:rsid w:val="0023013D"/>
    <w:rsid w:val="00230219"/>
    <w:rsid w:val="002306FC"/>
    <w:rsid w:val="00230A7F"/>
    <w:rsid w:val="0023101E"/>
    <w:rsid w:val="00231543"/>
    <w:rsid w:val="00232284"/>
    <w:rsid w:val="00232363"/>
    <w:rsid w:val="002323C2"/>
    <w:rsid w:val="0023270C"/>
    <w:rsid w:val="00232840"/>
    <w:rsid w:val="0023683D"/>
    <w:rsid w:val="002373DE"/>
    <w:rsid w:val="00237773"/>
    <w:rsid w:val="00237C9E"/>
    <w:rsid w:val="00237CFC"/>
    <w:rsid w:val="00237DC0"/>
    <w:rsid w:val="002403F3"/>
    <w:rsid w:val="0024074E"/>
    <w:rsid w:val="0024123E"/>
    <w:rsid w:val="002423CC"/>
    <w:rsid w:val="002426DB"/>
    <w:rsid w:val="00242B0F"/>
    <w:rsid w:val="00242E83"/>
    <w:rsid w:val="002436E1"/>
    <w:rsid w:val="00243D23"/>
    <w:rsid w:val="0024484D"/>
    <w:rsid w:val="00244C9D"/>
    <w:rsid w:val="00244CAF"/>
    <w:rsid w:val="00244D43"/>
    <w:rsid w:val="00244E8F"/>
    <w:rsid w:val="00245B6C"/>
    <w:rsid w:val="00245DF0"/>
    <w:rsid w:val="00245F7A"/>
    <w:rsid w:val="002461C1"/>
    <w:rsid w:val="00246410"/>
    <w:rsid w:val="00246971"/>
    <w:rsid w:val="00246C7C"/>
    <w:rsid w:val="002471DC"/>
    <w:rsid w:val="00247445"/>
    <w:rsid w:val="0025104D"/>
    <w:rsid w:val="00251D5F"/>
    <w:rsid w:val="00251D6E"/>
    <w:rsid w:val="00252315"/>
    <w:rsid w:val="00252597"/>
    <w:rsid w:val="0025321D"/>
    <w:rsid w:val="002533D7"/>
    <w:rsid w:val="00253B68"/>
    <w:rsid w:val="00254082"/>
    <w:rsid w:val="00254138"/>
    <w:rsid w:val="0025596C"/>
    <w:rsid w:val="002576DF"/>
    <w:rsid w:val="0026040D"/>
    <w:rsid w:val="002619C2"/>
    <w:rsid w:val="00261BEF"/>
    <w:rsid w:val="00261D5D"/>
    <w:rsid w:val="00261F6A"/>
    <w:rsid w:val="00263523"/>
    <w:rsid w:val="0026362E"/>
    <w:rsid w:val="00263846"/>
    <w:rsid w:val="00263DDB"/>
    <w:rsid w:val="00264242"/>
    <w:rsid w:val="0026486B"/>
    <w:rsid w:val="00264912"/>
    <w:rsid w:val="00264F56"/>
    <w:rsid w:val="00265089"/>
    <w:rsid w:val="002650B5"/>
    <w:rsid w:val="00265251"/>
    <w:rsid w:val="00265373"/>
    <w:rsid w:val="0026556D"/>
    <w:rsid w:val="00265973"/>
    <w:rsid w:val="00265C11"/>
    <w:rsid w:val="00265CB6"/>
    <w:rsid w:val="00265D5A"/>
    <w:rsid w:val="0026628B"/>
    <w:rsid w:val="00266919"/>
    <w:rsid w:val="00266AC9"/>
    <w:rsid w:val="00266E7C"/>
    <w:rsid w:val="00267264"/>
    <w:rsid w:val="002674AA"/>
    <w:rsid w:val="002675B6"/>
    <w:rsid w:val="002675CB"/>
    <w:rsid w:val="00267964"/>
    <w:rsid w:val="00267C9E"/>
    <w:rsid w:val="00270178"/>
    <w:rsid w:val="00270663"/>
    <w:rsid w:val="00271FAF"/>
    <w:rsid w:val="00272217"/>
    <w:rsid w:val="00272B19"/>
    <w:rsid w:val="002734E2"/>
    <w:rsid w:val="0027362C"/>
    <w:rsid w:val="00273E64"/>
    <w:rsid w:val="00274F64"/>
    <w:rsid w:val="00275161"/>
    <w:rsid w:val="00275503"/>
    <w:rsid w:val="0027558F"/>
    <w:rsid w:val="00275B41"/>
    <w:rsid w:val="00276DC5"/>
    <w:rsid w:val="00277044"/>
    <w:rsid w:val="00277254"/>
    <w:rsid w:val="002772F9"/>
    <w:rsid w:val="00277B98"/>
    <w:rsid w:val="0028002D"/>
    <w:rsid w:val="00281E2E"/>
    <w:rsid w:val="00282170"/>
    <w:rsid w:val="002822FA"/>
    <w:rsid w:val="00282393"/>
    <w:rsid w:val="0028261E"/>
    <w:rsid w:val="00282B47"/>
    <w:rsid w:val="002835F9"/>
    <w:rsid w:val="00283B8A"/>
    <w:rsid w:val="00284274"/>
    <w:rsid w:val="002848DC"/>
    <w:rsid w:val="00284AD8"/>
    <w:rsid w:val="00284C9E"/>
    <w:rsid w:val="002850B4"/>
    <w:rsid w:val="002850C8"/>
    <w:rsid w:val="0028599B"/>
    <w:rsid w:val="00285ECE"/>
    <w:rsid w:val="00285EF7"/>
    <w:rsid w:val="00286075"/>
    <w:rsid w:val="00286819"/>
    <w:rsid w:val="00286D00"/>
    <w:rsid w:val="00287C29"/>
    <w:rsid w:val="002905CE"/>
    <w:rsid w:val="002905FA"/>
    <w:rsid w:val="00290720"/>
    <w:rsid w:val="0029121C"/>
    <w:rsid w:val="00291643"/>
    <w:rsid w:val="002921AD"/>
    <w:rsid w:val="002928F8"/>
    <w:rsid w:val="00292F09"/>
    <w:rsid w:val="00293A8D"/>
    <w:rsid w:val="00294A52"/>
    <w:rsid w:val="00295974"/>
    <w:rsid w:val="002960BB"/>
    <w:rsid w:val="00296120"/>
    <w:rsid w:val="00296351"/>
    <w:rsid w:val="002970AC"/>
    <w:rsid w:val="002971C2"/>
    <w:rsid w:val="002974D1"/>
    <w:rsid w:val="00297A61"/>
    <w:rsid w:val="002A002F"/>
    <w:rsid w:val="002A049E"/>
    <w:rsid w:val="002A0970"/>
    <w:rsid w:val="002A1878"/>
    <w:rsid w:val="002A1E07"/>
    <w:rsid w:val="002A2E30"/>
    <w:rsid w:val="002A2FEA"/>
    <w:rsid w:val="002A3BC3"/>
    <w:rsid w:val="002A3D18"/>
    <w:rsid w:val="002A3F4F"/>
    <w:rsid w:val="002A4FFC"/>
    <w:rsid w:val="002A5939"/>
    <w:rsid w:val="002A5D84"/>
    <w:rsid w:val="002A6E71"/>
    <w:rsid w:val="002A7800"/>
    <w:rsid w:val="002A7892"/>
    <w:rsid w:val="002B1054"/>
    <w:rsid w:val="002B1095"/>
    <w:rsid w:val="002B1105"/>
    <w:rsid w:val="002B17C5"/>
    <w:rsid w:val="002B1910"/>
    <w:rsid w:val="002B2B1C"/>
    <w:rsid w:val="002B2B85"/>
    <w:rsid w:val="002B2CD0"/>
    <w:rsid w:val="002B32AB"/>
    <w:rsid w:val="002B32B0"/>
    <w:rsid w:val="002B4223"/>
    <w:rsid w:val="002B45CE"/>
    <w:rsid w:val="002B4989"/>
    <w:rsid w:val="002B4C67"/>
    <w:rsid w:val="002B4CF7"/>
    <w:rsid w:val="002B516E"/>
    <w:rsid w:val="002B51B5"/>
    <w:rsid w:val="002B525E"/>
    <w:rsid w:val="002B5517"/>
    <w:rsid w:val="002B58A9"/>
    <w:rsid w:val="002B6369"/>
    <w:rsid w:val="002B6A93"/>
    <w:rsid w:val="002B6CBD"/>
    <w:rsid w:val="002B6E93"/>
    <w:rsid w:val="002B6F2E"/>
    <w:rsid w:val="002C0181"/>
    <w:rsid w:val="002C04E4"/>
    <w:rsid w:val="002C05A4"/>
    <w:rsid w:val="002C09C4"/>
    <w:rsid w:val="002C135A"/>
    <w:rsid w:val="002C169A"/>
    <w:rsid w:val="002C1CBA"/>
    <w:rsid w:val="002C1F72"/>
    <w:rsid w:val="002C2502"/>
    <w:rsid w:val="002C2C01"/>
    <w:rsid w:val="002C3308"/>
    <w:rsid w:val="002C3844"/>
    <w:rsid w:val="002C3A86"/>
    <w:rsid w:val="002C3AA1"/>
    <w:rsid w:val="002C3D17"/>
    <w:rsid w:val="002C3E47"/>
    <w:rsid w:val="002C4759"/>
    <w:rsid w:val="002C4D82"/>
    <w:rsid w:val="002C4E05"/>
    <w:rsid w:val="002C5209"/>
    <w:rsid w:val="002C54CB"/>
    <w:rsid w:val="002C5888"/>
    <w:rsid w:val="002C6237"/>
    <w:rsid w:val="002C70EC"/>
    <w:rsid w:val="002C77D9"/>
    <w:rsid w:val="002C7AF2"/>
    <w:rsid w:val="002C7E2A"/>
    <w:rsid w:val="002D1400"/>
    <w:rsid w:val="002D1B67"/>
    <w:rsid w:val="002D2073"/>
    <w:rsid w:val="002D29B5"/>
    <w:rsid w:val="002D29D0"/>
    <w:rsid w:val="002D300D"/>
    <w:rsid w:val="002D3324"/>
    <w:rsid w:val="002D3999"/>
    <w:rsid w:val="002D4809"/>
    <w:rsid w:val="002D4E60"/>
    <w:rsid w:val="002D4F62"/>
    <w:rsid w:val="002D5D01"/>
    <w:rsid w:val="002D6023"/>
    <w:rsid w:val="002D6721"/>
    <w:rsid w:val="002D6877"/>
    <w:rsid w:val="002E02B1"/>
    <w:rsid w:val="002E0E25"/>
    <w:rsid w:val="002E0E81"/>
    <w:rsid w:val="002E0F0C"/>
    <w:rsid w:val="002E111C"/>
    <w:rsid w:val="002E154F"/>
    <w:rsid w:val="002E2320"/>
    <w:rsid w:val="002E2441"/>
    <w:rsid w:val="002E2620"/>
    <w:rsid w:val="002E2E4B"/>
    <w:rsid w:val="002E2F76"/>
    <w:rsid w:val="002E35A3"/>
    <w:rsid w:val="002E3C35"/>
    <w:rsid w:val="002E3DFC"/>
    <w:rsid w:val="002E5773"/>
    <w:rsid w:val="002E58A6"/>
    <w:rsid w:val="002E59E6"/>
    <w:rsid w:val="002E5B50"/>
    <w:rsid w:val="002E63AB"/>
    <w:rsid w:val="002E6D1B"/>
    <w:rsid w:val="002E72A2"/>
    <w:rsid w:val="002E7407"/>
    <w:rsid w:val="002E7443"/>
    <w:rsid w:val="002F06E0"/>
    <w:rsid w:val="002F0B58"/>
    <w:rsid w:val="002F1147"/>
    <w:rsid w:val="002F12F9"/>
    <w:rsid w:val="002F1638"/>
    <w:rsid w:val="002F176E"/>
    <w:rsid w:val="002F1953"/>
    <w:rsid w:val="002F1CFA"/>
    <w:rsid w:val="002F2332"/>
    <w:rsid w:val="002F2AA6"/>
    <w:rsid w:val="002F3DA6"/>
    <w:rsid w:val="002F411E"/>
    <w:rsid w:val="002F4ECA"/>
    <w:rsid w:val="002F5303"/>
    <w:rsid w:val="002F6D87"/>
    <w:rsid w:val="002F7353"/>
    <w:rsid w:val="002F777C"/>
    <w:rsid w:val="002F77E1"/>
    <w:rsid w:val="002F7ABA"/>
    <w:rsid w:val="0030001B"/>
    <w:rsid w:val="003003D2"/>
    <w:rsid w:val="00300A4E"/>
    <w:rsid w:val="003013A9"/>
    <w:rsid w:val="0030190A"/>
    <w:rsid w:val="00301A93"/>
    <w:rsid w:val="00301C1D"/>
    <w:rsid w:val="003020A9"/>
    <w:rsid w:val="00302941"/>
    <w:rsid w:val="00303058"/>
    <w:rsid w:val="0030347D"/>
    <w:rsid w:val="003037F9"/>
    <w:rsid w:val="00303982"/>
    <w:rsid w:val="00303BDF"/>
    <w:rsid w:val="0030402A"/>
    <w:rsid w:val="0030407D"/>
    <w:rsid w:val="00304129"/>
    <w:rsid w:val="00304210"/>
    <w:rsid w:val="003052E5"/>
    <w:rsid w:val="003057D9"/>
    <w:rsid w:val="00305B03"/>
    <w:rsid w:val="00305B4E"/>
    <w:rsid w:val="0030657F"/>
    <w:rsid w:val="00306C2B"/>
    <w:rsid w:val="00306F9D"/>
    <w:rsid w:val="00307129"/>
    <w:rsid w:val="0030720A"/>
    <w:rsid w:val="003076AF"/>
    <w:rsid w:val="0031150C"/>
    <w:rsid w:val="00311A84"/>
    <w:rsid w:val="00311B82"/>
    <w:rsid w:val="00311E57"/>
    <w:rsid w:val="00311ECE"/>
    <w:rsid w:val="0031251A"/>
    <w:rsid w:val="00312E0A"/>
    <w:rsid w:val="003140EB"/>
    <w:rsid w:val="0031440E"/>
    <w:rsid w:val="00315CA3"/>
    <w:rsid w:val="0031608F"/>
    <w:rsid w:val="0031685C"/>
    <w:rsid w:val="003168AE"/>
    <w:rsid w:val="00317F6A"/>
    <w:rsid w:val="00320297"/>
    <w:rsid w:val="003207DE"/>
    <w:rsid w:val="0032087A"/>
    <w:rsid w:val="003215D6"/>
    <w:rsid w:val="00321CA7"/>
    <w:rsid w:val="00322A93"/>
    <w:rsid w:val="00322E52"/>
    <w:rsid w:val="00323962"/>
    <w:rsid w:val="00323D1B"/>
    <w:rsid w:val="0032465C"/>
    <w:rsid w:val="00324F2A"/>
    <w:rsid w:val="00325053"/>
    <w:rsid w:val="003255E5"/>
    <w:rsid w:val="003258CE"/>
    <w:rsid w:val="00325931"/>
    <w:rsid w:val="003261CA"/>
    <w:rsid w:val="003264EB"/>
    <w:rsid w:val="00326E3A"/>
    <w:rsid w:val="00326F47"/>
    <w:rsid w:val="003277EB"/>
    <w:rsid w:val="00327D8E"/>
    <w:rsid w:val="00330511"/>
    <w:rsid w:val="003305CF"/>
    <w:rsid w:val="00330CDF"/>
    <w:rsid w:val="00330F67"/>
    <w:rsid w:val="0033152E"/>
    <w:rsid w:val="00331653"/>
    <w:rsid w:val="00331F0E"/>
    <w:rsid w:val="00332A6E"/>
    <w:rsid w:val="00332EBB"/>
    <w:rsid w:val="003335B6"/>
    <w:rsid w:val="0033383E"/>
    <w:rsid w:val="0033466C"/>
    <w:rsid w:val="00334830"/>
    <w:rsid w:val="00334C4D"/>
    <w:rsid w:val="00334CA7"/>
    <w:rsid w:val="00334E90"/>
    <w:rsid w:val="003353F1"/>
    <w:rsid w:val="0033658E"/>
    <w:rsid w:val="003365F3"/>
    <w:rsid w:val="0033780B"/>
    <w:rsid w:val="0034025E"/>
    <w:rsid w:val="00340413"/>
    <w:rsid w:val="00340988"/>
    <w:rsid w:val="00340CCF"/>
    <w:rsid w:val="00342328"/>
    <w:rsid w:val="00342A4E"/>
    <w:rsid w:val="00342B61"/>
    <w:rsid w:val="003438D0"/>
    <w:rsid w:val="00343B64"/>
    <w:rsid w:val="00343C65"/>
    <w:rsid w:val="00343EFF"/>
    <w:rsid w:val="00344136"/>
    <w:rsid w:val="003444D5"/>
    <w:rsid w:val="00345A07"/>
    <w:rsid w:val="003468A3"/>
    <w:rsid w:val="00346A82"/>
    <w:rsid w:val="00346F36"/>
    <w:rsid w:val="0034723D"/>
    <w:rsid w:val="003474A3"/>
    <w:rsid w:val="003500AB"/>
    <w:rsid w:val="003502C7"/>
    <w:rsid w:val="0035088B"/>
    <w:rsid w:val="00351C38"/>
    <w:rsid w:val="00351D18"/>
    <w:rsid w:val="0035268C"/>
    <w:rsid w:val="00353481"/>
    <w:rsid w:val="003534B6"/>
    <w:rsid w:val="00353668"/>
    <w:rsid w:val="0035389C"/>
    <w:rsid w:val="00354153"/>
    <w:rsid w:val="003546E2"/>
    <w:rsid w:val="0035487F"/>
    <w:rsid w:val="003549C9"/>
    <w:rsid w:val="0035694A"/>
    <w:rsid w:val="00356BD2"/>
    <w:rsid w:val="00357392"/>
    <w:rsid w:val="003573E6"/>
    <w:rsid w:val="00357E09"/>
    <w:rsid w:val="00357FD6"/>
    <w:rsid w:val="00360C32"/>
    <w:rsid w:val="00361088"/>
    <w:rsid w:val="00361486"/>
    <w:rsid w:val="00361926"/>
    <w:rsid w:val="00361C90"/>
    <w:rsid w:val="00361D4B"/>
    <w:rsid w:val="00361D67"/>
    <w:rsid w:val="00361F8B"/>
    <w:rsid w:val="0036200C"/>
    <w:rsid w:val="0036210D"/>
    <w:rsid w:val="00364299"/>
    <w:rsid w:val="00364393"/>
    <w:rsid w:val="003648B2"/>
    <w:rsid w:val="00364BE5"/>
    <w:rsid w:val="00364C09"/>
    <w:rsid w:val="00364CD1"/>
    <w:rsid w:val="00365164"/>
    <w:rsid w:val="003654D2"/>
    <w:rsid w:val="003658A9"/>
    <w:rsid w:val="00365A74"/>
    <w:rsid w:val="00365D6D"/>
    <w:rsid w:val="003661FF"/>
    <w:rsid w:val="0036665D"/>
    <w:rsid w:val="003668E9"/>
    <w:rsid w:val="003671F5"/>
    <w:rsid w:val="00367441"/>
    <w:rsid w:val="00367744"/>
    <w:rsid w:val="00367C2B"/>
    <w:rsid w:val="00367E04"/>
    <w:rsid w:val="00367E96"/>
    <w:rsid w:val="00370734"/>
    <w:rsid w:val="00370C42"/>
    <w:rsid w:val="00371081"/>
    <w:rsid w:val="00371B64"/>
    <w:rsid w:val="0037256F"/>
    <w:rsid w:val="00372B79"/>
    <w:rsid w:val="00372EC3"/>
    <w:rsid w:val="0037349E"/>
    <w:rsid w:val="003737FE"/>
    <w:rsid w:val="003738FF"/>
    <w:rsid w:val="00373D89"/>
    <w:rsid w:val="00374560"/>
    <w:rsid w:val="00374832"/>
    <w:rsid w:val="003748DB"/>
    <w:rsid w:val="00374D07"/>
    <w:rsid w:val="003750B6"/>
    <w:rsid w:val="003756B1"/>
    <w:rsid w:val="00375785"/>
    <w:rsid w:val="0037584D"/>
    <w:rsid w:val="00376783"/>
    <w:rsid w:val="0037686A"/>
    <w:rsid w:val="00376CB7"/>
    <w:rsid w:val="00376DAC"/>
    <w:rsid w:val="00377BF1"/>
    <w:rsid w:val="00377D76"/>
    <w:rsid w:val="00377DFF"/>
    <w:rsid w:val="003807A9"/>
    <w:rsid w:val="0038119F"/>
    <w:rsid w:val="003815FF"/>
    <w:rsid w:val="00381639"/>
    <w:rsid w:val="0038192D"/>
    <w:rsid w:val="003819F3"/>
    <w:rsid w:val="00382FF6"/>
    <w:rsid w:val="0038435F"/>
    <w:rsid w:val="00384513"/>
    <w:rsid w:val="003847EB"/>
    <w:rsid w:val="00384A1C"/>
    <w:rsid w:val="003852BD"/>
    <w:rsid w:val="00385341"/>
    <w:rsid w:val="003854B2"/>
    <w:rsid w:val="003859AD"/>
    <w:rsid w:val="00385C6F"/>
    <w:rsid w:val="00385D4E"/>
    <w:rsid w:val="0038644A"/>
    <w:rsid w:val="003864C3"/>
    <w:rsid w:val="00386502"/>
    <w:rsid w:val="003865B2"/>
    <w:rsid w:val="0038663B"/>
    <w:rsid w:val="003866FD"/>
    <w:rsid w:val="00386927"/>
    <w:rsid w:val="00386C8E"/>
    <w:rsid w:val="00387750"/>
    <w:rsid w:val="00387847"/>
    <w:rsid w:val="003903D0"/>
    <w:rsid w:val="00390703"/>
    <w:rsid w:val="00391A51"/>
    <w:rsid w:val="00391EA4"/>
    <w:rsid w:val="003927BD"/>
    <w:rsid w:val="00393068"/>
    <w:rsid w:val="003935E5"/>
    <w:rsid w:val="00393C45"/>
    <w:rsid w:val="00393D39"/>
    <w:rsid w:val="003947D1"/>
    <w:rsid w:val="00394F52"/>
    <w:rsid w:val="00394FAB"/>
    <w:rsid w:val="003958F1"/>
    <w:rsid w:val="003961FA"/>
    <w:rsid w:val="003966C2"/>
    <w:rsid w:val="0039719C"/>
    <w:rsid w:val="00397F1A"/>
    <w:rsid w:val="003A05F1"/>
    <w:rsid w:val="003A0720"/>
    <w:rsid w:val="003A0D29"/>
    <w:rsid w:val="003A2100"/>
    <w:rsid w:val="003A2FDA"/>
    <w:rsid w:val="003A3425"/>
    <w:rsid w:val="003A3903"/>
    <w:rsid w:val="003A4AD0"/>
    <w:rsid w:val="003A52E5"/>
    <w:rsid w:val="003A56FE"/>
    <w:rsid w:val="003A6B2B"/>
    <w:rsid w:val="003A6E3D"/>
    <w:rsid w:val="003A773F"/>
    <w:rsid w:val="003A78AC"/>
    <w:rsid w:val="003B01C6"/>
    <w:rsid w:val="003B04F0"/>
    <w:rsid w:val="003B0510"/>
    <w:rsid w:val="003B0839"/>
    <w:rsid w:val="003B0A8D"/>
    <w:rsid w:val="003B1002"/>
    <w:rsid w:val="003B103E"/>
    <w:rsid w:val="003B16ED"/>
    <w:rsid w:val="003B1C1E"/>
    <w:rsid w:val="003B2163"/>
    <w:rsid w:val="003B396D"/>
    <w:rsid w:val="003B3F0F"/>
    <w:rsid w:val="003B3F11"/>
    <w:rsid w:val="003B5183"/>
    <w:rsid w:val="003B5281"/>
    <w:rsid w:val="003B5918"/>
    <w:rsid w:val="003B6066"/>
    <w:rsid w:val="003B61AD"/>
    <w:rsid w:val="003B62A7"/>
    <w:rsid w:val="003B62ED"/>
    <w:rsid w:val="003B637D"/>
    <w:rsid w:val="003B7537"/>
    <w:rsid w:val="003B762E"/>
    <w:rsid w:val="003B7A6D"/>
    <w:rsid w:val="003C0761"/>
    <w:rsid w:val="003C0EC6"/>
    <w:rsid w:val="003C0FCC"/>
    <w:rsid w:val="003C107A"/>
    <w:rsid w:val="003C18D7"/>
    <w:rsid w:val="003C190D"/>
    <w:rsid w:val="003C2ED0"/>
    <w:rsid w:val="003C37C3"/>
    <w:rsid w:val="003C389D"/>
    <w:rsid w:val="003C4802"/>
    <w:rsid w:val="003C484D"/>
    <w:rsid w:val="003C4D8E"/>
    <w:rsid w:val="003C549D"/>
    <w:rsid w:val="003C54C1"/>
    <w:rsid w:val="003C5914"/>
    <w:rsid w:val="003C5D49"/>
    <w:rsid w:val="003C60C0"/>
    <w:rsid w:val="003C6396"/>
    <w:rsid w:val="003C66B1"/>
    <w:rsid w:val="003C6E94"/>
    <w:rsid w:val="003C7340"/>
    <w:rsid w:val="003C7490"/>
    <w:rsid w:val="003C79D2"/>
    <w:rsid w:val="003C7A34"/>
    <w:rsid w:val="003D04D4"/>
    <w:rsid w:val="003D0A74"/>
    <w:rsid w:val="003D13AD"/>
    <w:rsid w:val="003D1500"/>
    <w:rsid w:val="003D1987"/>
    <w:rsid w:val="003D1A2D"/>
    <w:rsid w:val="003D1AFC"/>
    <w:rsid w:val="003D202F"/>
    <w:rsid w:val="003D256B"/>
    <w:rsid w:val="003D28FF"/>
    <w:rsid w:val="003D3811"/>
    <w:rsid w:val="003D398F"/>
    <w:rsid w:val="003D3E20"/>
    <w:rsid w:val="003D4B84"/>
    <w:rsid w:val="003D4BB1"/>
    <w:rsid w:val="003D5ACD"/>
    <w:rsid w:val="003D5FF9"/>
    <w:rsid w:val="003D6E2F"/>
    <w:rsid w:val="003D6E39"/>
    <w:rsid w:val="003D70A2"/>
    <w:rsid w:val="003D70FD"/>
    <w:rsid w:val="003D729D"/>
    <w:rsid w:val="003E1270"/>
    <w:rsid w:val="003E16DC"/>
    <w:rsid w:val="003E1D98"/>
    <w:rsid w:val="003E253E"/>
    <w:rsid w:val="003E39A9"/>
    <w:rsid w:val="003E3A08"/>
    <w:rsid w:val="003E3D31"/>
    <w:rsid w:val="003E468D"/>
    <w:rsid w:val="003E489D"/>
    <w:rsid w:val="003E4D84"/>
    <w:rsid w:val="003E4FA3"/>
    <w:rsid w:val="003E53D3"/>
    <w:rsid w:val="003E5C97"/>
    <w:rsid w:val="003E5E95"/>
    <w:rsid w:val="003E64B3"/>
    <w:rsid w:val="003E68B3"/>
    <w:rsid w:val="003F0248"/>
    <w:rsid w:val="003F0530"/>
    <w:rsid w:val="003F0D6F"/>
    <w:rsid w:val="003F0E63"/>
    <w:rsid w:val="003F1262"/>
    <w:rsid w:val="003F13CC"/>
    <w:rsid w:val="003F1635"/>
    <w:rsid w:val="003F1816"/>
    <w:rsid w:val="003F1E41"/>
    <w:rsid w:val="003F2808"/>
    <w:rsid w:val="003F289F"/>
    <w:rsid w:val="003F2D29"/>
    <w:rsid w:val="003F2DA7"/>
    <w:rsid w:val="003F30B7"/>
    <w:rsid w:val="003F345D"/>
    <w:rsid w:val="003F3AA5"/>
    <w:rsid w:val="003F3CAB"/>
    <w:rsid w:val="003F4210"/>
    <w:rsid w:val="003F4347"/>
    <w:rsid w:val="003F4390"/>
    <w:rsid w:val="003F44DD"/>
    <w:rsid w:val="003F4CE5"/>
    <w:rsid w:val="003F5531"/>
    <w:rsid w:val="003F58B9"/>
    <w:rsid w:val="003F63D2"/>
    <w:rsid w:val="003F675F"/>
    <w:rsid w:val="003F6839"/>
    <w:rsid w:val="003F697B"/>
    <w:rsid w:val="003F69E8"/>
    <w:rsid w:val="003F6D76"/>
    <w:rsid w:val="003F7642"/>
    <w:rsid w:val="003F7E42"/>
    <w:rsid w:val="003F7F41"/>
    <w:rsid w:val="0040055B"/>
    <w:rsid w:val="00400B1D"/>
    <w:rsid w:val="00400E37"/>
    <w:rsid w:val="00400E79"/>
    <w:rsid w:val="0040151B"/>
    <w:rsid w:val="00401E4A"/>
    <w:rsid w:val="004023F5"/>
    <w:rsid w:val="00402BEC"/>
    <w:rsid w:val="00402FCB"/>
    <w:rsid w:val="0040348D"/>
    <w:rsid w:val="00404017"/>
    <w:rsid w:val="004050A9"/>
    <w:rsid w:val="004053C9"/>
    <w:rsid w:val="0040585F"/>
    <w:rsid w:val="0040600D"/>
    <w:rsid w:val="0040616A"/>
    <w:rsid w:val="00406222"/>
    <w:rsid w:val="00406500"/>
    <w:rsid w:val="00406717"/>
    <w:rsid w:val="00407517"/>
    <w:rsid w:val="00407D59"/>
    <w:rsid w:val="00410CB4"/>
    <w:rsid w:val="004119CD"/>
    <w:rsid w:val="00411B9E"/>
    <w:rsid w:val="00412C87"/>
    <w:rsid w:val="00414EEF"/>
    <w:rsid w:val="00414FA7"/>
    <w:rsid w:val="00415625"/>
    <w:rsid w:val="00416773"/>
    <w:rsid w:val="00416C0F"/>
    <w:rsid w:val="00416CE3"/>
    <w:rsid w:val="00416E94"/>
    <w:rsid w:val="00416F7B"/>
    <w:rsid w:val="0041708F"/>
    <w:rsid w:val="00417ADB"/>
    <w:rsid w:val="0042009F"/>
    <w:rsid w:val="00420515"/>
    <w:rsid w:val="004210AC"/>
    <w:rsid w:val="0042139F"/>
    <w:rsid w:val="004215B7"/>
    <w:rsid w:val="00422A7F"/>
    <w:rsid w:val="004234E2"/>
    <w:rsid w:val="004236DB"/>
    <w:rsid w:val="00423722"/>
    <w:rsid w:val="00423B1F"/>
    <w:rsid w:val="00423B9E"/>
    <w:rsid w:val="0042457E"/>
    <w:rsid w:val="004246C2"/>
    <w:rsid w:val="00424A1D"/>
    <w:rsid w:val="00424B97"/>
    <w:rsid w:val="00426220"/>
    <w:rsid w:val="00426CF7"/>
    <w:rsid w:val="00427246"/>
    <w:rsid w:val="00430A39"/>
    <w:rsid w:val="0043286F"/>
    <w:rsid w:val="00432A5E"/>
    <w:rsid w:val="00432B96"/>
    <w:rsid w:val="004331D0"/>
    <w:rsid w:val="00434F3D"/>
    <w:rsid w:val="00434FFF"/>
    <w:rsid w:val="00435A16"/>
    <w:rsid w:val="00435A42"/>
    <w:rsid w:val="00436478"/>
    <w:rsid w:val="0043666A"/>
    <w:rsid w:val="00436980"/>
    <w:rsid w:val="00437241"/>
    <w:rsid w:val="004378B7"/>
    <w:rsid w:val="0044004F"/>
    <w:rsid w:val="00440D86"/>
    <w:rsid w:val="004412EC"/>
    <w:rsid w:val="0044169C"/>
    <w:rsid w:val="004420C3"/>
    <w:rsid w:val="00442520"/>
    <w:rsid w:val="00442784"/>
    <w:rsid w:val="00442B7E"/>
    <w:rsid w:val="00442C09"/>
    <w:rsid w:val="00442CB8"/>
    <w:rsid w:val="00443274"/>
    <w:rsid w:val="0044335B"/>
    <w:rsid w:val="00443E09"/>
    <w:rsid w:val="004441BD"/>
    <w:rsid w:val="00444568"/>
    <w:rsid w:val="004447FF"/>
    <w:rsid w:val="00445043"/>
    <w:rsid w:val="00445C0F"/>
    <w:rsid w:val="0044602D"/>
    <w:rsid w:val="00446137"/>
    <w:rsid w:val="00446A3A"/>
    <w:rsid w:val="0044735E"/>
    <w:rsid w:val="004473EC"/>
    <w:rsid w:val="00447D2B"/>
    <w:rsid w:val="00450165"/>
    <w:rsid w:val="00450242"/>
    <w:rsid w:val="004503BA"/>
    <w:rsid w:val="004505FE"/>
    <w:rsid w:val="00450E72"/>
    <w:rsid w:val="00451523"/>
    <w:rsid w:val="00451C3F"/>
    <w:rsid w:val="00452495"/>
    <w:rsid w:val="00452FC1"/>
    <w:rsid w:val="00453A8C"/>
    <w:rsid w:val="00453AE2"/>
    <w:rsid w:val="004550BC"/>
    <w:rsid w:val="0045535B"/>
    <w:rsid w:val="004555CD"/>
    <w:rsid w:val="0045582F"/>
    <w:rsid w:val="004558D6"/>
    <w:rsid w:val="00455996"/>
    <w:rsid w:val="00455E20"/>
    <w:rsid w:val="0045615C"/>
    <w:rsid w:val="004565A5"/>
    <w:rsid w:val="00456EEA"/>
    <w:rsid w:val="00457C90"/>
    <w:rsid w:val="00460B68"/>
    <w:rsid w:val="00460DFB"/>
    <w:rsid w:val="00460E7A"/>
    <w:rsid w:val="00461981"/>
    <w:rsid w:val="00461E52"/>
    <w:rsid w:val="00462119"/>
    <w:rsid w:val="00462145"/>
    <w:rsid w:val="00462984"/>
    <w:rsid w:val="00462E30"/>
    <w:rsid w:val="00462ECD"/>
    <w:rsid w:val="00462FBB"/>
    <w:rsid w:val="00463771"/>
    <w:rsid w:val="004648D1"/>
    <w:rsid w:val="00464CAB"/>
    <w:rsid w:val="004651DD"/>
    <w:rsid w:val="004655DA"/>
    <w:rsid w:val="00465E10"/>
    <w:rsid w:val="00465E75"/>
    <w:rsid w:val="004661A7"/>
    <w:rsid w:val="004665DB"/>
    <w:rsid w:val="004669CD"/>
    <w:rsid w:val="00467055"/>
    <w:rsid w:val="004672BE"/>
    <w:rsid w:val="0046759F"/>
    <w:rsid w:val="004678E9"/>
    <w:rsid w:val="00467906"/>
    <w:rsid w:val="00467D08"/>
    <w:rsid w:val="00470794"/>
    <w:rsid w:val="004713D3"/>
    <w:rsid w:val="004714AF"/>
    <w:rsid w:val="00471EBD"/>
    <w:rsid w:val="0047208A"/>
    <w:rsid w:val="00472508"/>
    <w:rsid w:val="004726CB"/>
    <w:rsid w:val="00473B6E"/>
    <w:rsid w:val="00473DE5"/>
    <w:rsid w:val="0047458B"/>
    <w:rsid w:val="00474BF7"/>
    <w:rsid w:val="00475735"/>
    <w:rsid w:val="00475CF2"/>
    <w:rsid w:val="0047630F"/>
    <w:rsid w:val="00476641"/>
    <w:rsid w:val="00480B9F"/>
    <w:rsid w:val="00480F40"/>
    <w:rsid w:val="00481273"/>
    <w:rsid w:val="004812BD"/>
    <w:rsid w:val="00482B99"/>
    <w:rsid w:val="004830A4"/>
    <w:rsid w:val="00483A96"/>
    <w:rsid w:val="00483AD1"/>
    <w:rsid w:val="00483CB2"/>
    <w:rsid w:val="0048432C"/>
    <w:rsid w:val="00484872"/>
    <w:rsid w:val="004849A2"/>
    <w:rsid w:val="0048504A"/>
    <w:rsid w:val="004850AC"/>
    <w:rsid w:val="0048555D"/>
    <w:rsid w:val="00485744"/>
    <w:rsid w:val="00485C63"/>
    <w:rsid w:val="0048754F"/>
    <w:rsid w:val="00487571"/>
    <w:rsid w:val="00487951"/>
    <w:rsid w:val="00487A45"/>
    <w:rsid w:val="00487B22"/>
    <w:rsid w:val="00490B90"/>
    <w:rsid w:val="00490BFE"/>
    <w:rsid w:val="00490E03"/>
    <w:rsid w:val="00490E7A"/>
    <w:rsid w:val="00490FBF"/>
    <w:rsid w:val="00491346"/>
    <w:rsid w:val="0049135F"/>
    <w:rsid w:val="0049139C"/>
    <w:rsid w:val="004916DC"/>
    <w:rsid w:val="004917EA"/>
    <w:rsid w:val="0049191A"/>
    <w:rsid w:val="00492039"/>
    <w:rsid w:val="00492DDE"/>
    <w:rsid w:val="004939C0"/>
    <w:rsid w:val="00493AB2"/>
    <w:rsid w:val="00493CC1"/>
    <w:rsid w:val="0049417A"/>
    <w:rsid w:val="00495797"/>
    <w:rsid w:val="004958B6"/>
    <w:rsid w:val="004958D1"/>
    <w:rsid w:val="00496585"/>
    <w:rsid w:val="00496923"/>
    <w:rsid w:val="00496926"/>
    <w:rsid w:val="00497283"/>
    <w:rsid w:val="004978A1"/>
    <w:rsid w:val="004A1396"/>
    <w:rsid w:val="004A1993"/>
    <w:rsid w:val="004A296E"/>
    <w:rsid w:val="004A2CFD"/>
    <w:rsid w:val="004A317A"/>
    <w:rsid w:val="004A326C"/>
    <w:rsid w:val="004A3460"/>
    <w:rsid w:val="004A3BDB"/>
    <w:rsid w:val="004A40AA"/>
    <w:rsid w:val="004A422D"/>
    <w:rsid w:val="004A48AA"/>
    <w:rsid w:val="004A5A2B"/>
    <w:rsid w:val="004A5A53"/>
    <w:rsid w:val="004A5DF8"/>
    <w:rsid w:val="004A5FDF"/>
    <w:rsid w:val="004A6687"/>
    <w:rsid w:val="004A6AFE"/>
    <w:rsid w:val="004A6EDF"/>
    <w:rsid w:val="004A72B9"/>
    <w:rsid w:val="004A7C06"/>
    <w:rsid w:val="004A7EAF"/>
    <w:rsid w:val="004A7F98"/>
    <w:rsid w:val="004B0937"/>
    <w:rsid w:val="004B0B39"/>
    <w:rsid w:val="004B206C"/>
    <w:rsid w:val="004B2082"/>
    <w:rsid w:val="004B20B8"/>
    <w:rsid w:val="004B21F8"/>
    <w:rsid w:val="004B2747"/>
    <w:rsid w:val="004B2CA4"/>
    <w:rsid w:val="004B33FA"/>
    <w:rsid w:val="004B4A97"/>
    <w:rsid w:val="004B4C4D"/>
    <w:rsid w:val="004B50E5"/>
    <w:rsid w:val="004B58AC"/>
    <w:rsid w:val="004B5F0D"/>
    <w:rsid w:val="004B6074"/>
    <w:rsid w:val="004B6092"/>
    <w:rsid w:val="004B6133"/>
    <w:rsid w:val="004B6541"/>
    <w:rsid w:val="004B728C"/>
    <w:rsid w:val="004B79B0"/>
    <w:rsid w:val="004B7E0E"/>
    <w:rsid w:val="004C0162"/>
    <w:rsid w:val="004C01FE"/>
    <w:rsid w:val="004C0233"/>
    <w:rsid w:val="004C0350"/>
    <w:rsid w:val="004C0934"/>
    <w:rsid w:val="004C0A2D"/>
    <w:rsid w:val="004C0EA7"/>
    <w:rsid w:val="004C1852"/>
    <w:rsid w:val="004C1AC1"/>
    <w:rsid w:val="004C28F8"/>
    <w:rsid w:val="004C2A3D"/>
    <w:rsid w:val="004C309D"/>
    <w:rsid w:val="004C3A81"/>
    <w:rsid w:val="004C3C57"/>
    <w:rsid w:val="004C3E28"/>
    <w:rsid w:val="004C411C"/>
    <w:rsid w:val="004C4629"/>
    <w:rsid w:val="004C4FA8"/>
    <w:rsid w:val="004C5838"/>
    <w:rsid w:val="004C6019"/>
    <w:rsid w:val="004C6108"/>
    <w:rsid w:val="004C6398"/>
    <w:rsid w:val="004C7547"/>
    <w:rsid w:val="004C7902"/>
    <w:rsid w:val="004C791F"/>
    <w:rsid w:val="004C7DC3"/>
    <w:rsid w:val="004C7E49"/>
    <w:rsid w:val="004D0737"/>
    <w:rsid w:val="004D0D7A"/>
    <w:rsid w:val="004D0EF0"/>
    <w:rsid w:val="004D1476"/>
    <w:rsid w:val="004D14D4"/>
    <w:rsid w:val="004D1721"/>
    <w:rsid w:val="004D17ED"/>
    <w:rsid w:val="004D1B18"/>
    <w:rsid w:val="004D1B26"/>
    <w:rsid w:val="004D1BD1"/>
    <w:rsid w:val="004D26AA"/>
    <w:rsid w:val="004D2EBF"/>
    <w:rsid w:val="004D2EF9"/>
    <w:rsid w:val="004D30AD"/>
    <w:rsid w:val="004D359F"/>
    <w:rsid w:val="004D3B5E"/>
    <w:rsid w:val="004D3C9D"/>
    <w:rsid w:val="004D4289"/>
    <w:rsid w:val="004D4883"/>
    <w:rsid w:val="004D556C"/>
    <w:rsid w:val="004D57FD"/>
    <w:rsid w:val="004D5BA3"/>
    <w:rsid w:val="004D69F3"/>
    <w:rsid w:val="004D7B16"/>
    <w:rsid w:val="004D7D32"/>
    <w:rsid w:val="004E065B"/>
    <w:rsid w:val="004E1C2A"/>
    <w:rsid w:val="004E21E8"/>
    <w:rsid w:val="004E2BD1"/>
    <w:rsid w:val="004E3334"/>
    <w:rsid w:val="004E38BC"/>
    <w:rsid w:val="004E3C44"/>
    <w:rsid w:val="004E3CBB"/>
    <w:rsid w:val="004E3DCA"/>
    <w:rsid w:val="004E493C"/>
    <w:rsid w:val="004E4A1D"/>
    <w:rsid w:val="004E4A57"/>
    <w:rsid w:val="004E5763"/>
    <w:rsid w:val="004E5AE7"/>
    <w:rsid w:val="004E5CA3"/>
    <w:rsid w:val="004E6228"/>
    <w:rsid w:val="004E62D9"/>
    <w:rsid w:val="004E7E40"/>
    <w:rsid w:val="004F0278"/>
    <w:rsid w:val="004F0586"/>
    <w:rsid w:val="004F099A"/>
    <w:rsid w:val="004F1019"/>
    <w:rsid w:val="004F1072"/>
    <w:rsid w:val="004F1193"/>
    <w:rsid w:val="004F16C6"/>
    <w:rsid w:val="004F1A40"/>
    <w:rsid w:val="004F1CCB"/>
    <w:rsid w:val="004F1D2C"/>
    <w:rsid w:val="004F1EBF"/>
    <w:rsid w:val="004F1FA6"/>
    <w:rsid w:val="004F2A9C"/>
    <w:rsid w:val="004F306E"/>
    <w:rsid w:val="004F380A"/>
    <w:rsid w:val="004F3A33"/>
    <w:rsid w:val="004F3FF7"/>
    <w:rsid w:val="004F5110"/>
    <w:rsid w:val="004F54E0"/>
    <w:rsid w:val="004F5697"/>
    <w:rsid w:val="004F5B55"/>
    <w:rsid w:val="004F5CF0"/>
    <w:rsid w:val="004F7253"/>
    <w:rsid w:val="004F7A6D"/>
    <w:rsid w:val="004F7B6F"/>
    <w:rsid w:val="004F7CFF"/>
    <w:rsid w:val="004F7E34"/>
    <w:rsid w:val="005001A1"/>
    <w:rsid w:val="00500304"/>
    <w:rsid w:val="00500B61"/>
    <w:rsid w:val="00500C2E"/>
    <w:rsid w:val="00501020"/>
    <w:rsid w:val="005011DD"/>
    <w:rsid w:val="00501CB3"/>
    <w:rsid w:val="00501F6D"/>
    <w:rsid w:val="0050292B"/>
    <w:rsid w:val="00502CA8"/>
    <w:rsid w:val="00502FDE"/>
    <w:rsid w:val="005033A9"/>
    <w:rsid w:val="00503565"/>
    <w:rsid w:val="005039FE"/>
    <w:rsid w:val="0050499C"/>
    <w:rsid w:val="00504BC0"/>
    <w:rsid w:val="00504C69"/>
    <w:rsid w:val="005050C5"/>
    <w:rsid w:val="0050539C"/>
    <w:rsid w:val="0050574F"/>
    <w:rsid w:val="00505DEC"/>
    <w:rsid w:val="0050652F"/>
    <w:rsid w:val="005066DD"/>
    <w:rsid w:val="0050717E"/>
    <w:rsid w:val="005071C1"/>
    <w:rsid w:val="00507251"/>
    <w:rsid w:val="00507272"/>
    <w:rsid w:val="00510035"/>
    <w:rsid w:val="005103FB"/>
    <w:rsid w:val="005117CF"/>
    <w:rsid w:val="00511C4D"/>
    <w:rsid w:val="005126E6"/>
    <w:rsid w:val="00513340"/>
    <w:rsid w:val="0051547A"/>
    <w:rsid w:val="0051558F"/>
    <w:rsid w:val="005155FF"/>
    <w:rsid w:val="005158D8"/>
    <w:rsid w:val="00515F14"/>
    <w:rsid w:val="005162B8"/>
    <w:rsid w:val="0051635A"/>
    <w:rsid w:val="005164D8"/>
    <w:rsid w:val="00516620"/>
    <w:rsid w:val="00516780"/>
    <w:rsid w:val="00516D9D"/>
    <w:rsid w:val="005173E7"/>
    <w:rsid w:val="005176B9"/>
    <w:rsid w:val="005178E7"/>
    <w:rsid w:val="00517A16"/>
    <w:rsid w:val="00520222"/>
    <w:rsid w:val="00520F86"/>
    <w:rsid w:val="00520FE9"/>
    <w:rsid w:val="005222FA"/>
    <w:rsid w:val="00522B74"/>
    <w:rsid w:val="00523130"/>
    <w:rsid w:val="00523D4F"/>
    <w:rsid w:val="00524C63"/>
    <w:rsid w:val="00524CE3"/>
    <w:rsid w:val="005251D5"/>
    <w:rsid w:val="00525C8B"/>
    <w:rsid w:val="0052616C"/>
    <w:rsid w:val="005263AE"/>
    <w:rsid w:val="0052660A"/>
    <w:rsid w:val="005271BC"/>
    <w:rsid w:val="005273CE"/>
    <w:rsid w:val="005278BE"/>
    <w:rsid w:val="00527936"/>
    <w:rsid w:val="00527C24"/>
    <w:rsid w:val="0053061B"/>
    <w:rsid w:val="005310F2"/>
    <w:rsid w:val="0053124A"/>
    <w:rsid w:val="00531F3F"/>
    <w:rsid w:val="00531FCC"/>
    <w:rsid w:val="00532D90"/>
    <w:rsid w:val="005337BF"/>
    <w:rsid w:val="00533CB7"/>
    <w:rsid w:val="005341BB"/>
    <w:rsid w:val="0053432D"/>
    <w:rsid w:val="00534E72"/>
    <w:rsid w:val="00535567"/>
    <w:rsid w:val="00535667"/>
    <w:rsid w:val="0053580C"/>
    <w:rsid w:val="00536259"/>
    <w:rsid w:val="00536458"/>
    <w:rsid w:val="00536C11"/>
    <w:rsid w:val="00536C2F"/>
    <w:rsid w:val="00536F7C"/>
    <w:rsid w:val="00537039"/>
    <w:rsid w:val="00537853"/>
    <w:rsid w:val="00540C30"/>
    <w:rsid w:val="00541026"/>
    <w:rsid w:val="00541068"/>
    <w:rsid w:val="00541B79"/>
    <w:rsid w:val="00542518"/>
    <w:rsid w:val="00542F38"/>
    <w:rsid w:val="00543068"/>
    <w:rsid w:val="00543589"/>
    <w:rsid w:val="00543ADC"/>
    <w:rsid w:val="00543BBF"/>
    <w:rsid w:val="00543D7D"/>
    <w:rsid w:val="0054436B"/>
    <w:rsid w:val="00544767"/>
    <w:rsid w:val="00544865"/>
    <w:rsid w:val="0054491E"/>
    <w:rsid w:val="00544E90"/>
    <w:rsid w:val="00544FDB"/>
    <w:rsid w:val="005452E3"/>
    <w:rsid w:val="005455E5"/>
    <w:rsid w:val="005456D0"/>
    <w:rsid w:val="00545923"/>
    <w:rsid w:val="005479AF"/>
    <w:rsid w:val="005504A4"/>
    <w:rsid w:val="00550942"/>
    <w:rsid w:val="00551EF6"/>
    <w:rsid w:val="00552B97"/>
    <w:rsid w:val="00552E89"/>
    <w:rsid w:val="00553320"/>
    <w:rsid w:val="0055358E"/>
    <w:rsid w:val="005537DF"/>
    <w:rsid w:val="005537EC"/>
    <w:rsid w:val="00553BD6"/>
    <w:rsid w:val="0055415D"/>
    <w:rsid w:val="00554582"/>
    <w:rsid w:val="00554F9C"/>
    <w:rsid w:val="00555412"/>
    <w:rsid w:val="00555D50"/>
    <w:rsid w:val="00555E13"/>
    <w:rsid w:val="00556044"/>
    <w:rsid w:val="00556AB4"/>
    <w:rsid w:val="00556B20"/>
    <w:rsid w:val="00556C56"/>
    <w:rsid w:val="00556E94"/>
    <w:rsid w:val="005572C4"/>
    <w:rsid w:val="00557EE4"/>
    <w:rsid w:val="00562CEE"/>
    <w:rsid w:val="00563086"/>
    <w:rsid w:val="00563411"/>
    <w:rsid w:val="00563833"/>
    <w:rsid w:val="00563C66"/>
    <w:rsid w:val="00564342"/>
    <w:rsid w:val="00564510"/>
    <w:rsid w:val="00564901"/>
    <w:rsid w:val="00566153"/>
    <w:rsid w:val="005668DF"/>
    <w:rsid w:val="005669E4"/>
    <w:rsid w:val="00566B22"/>
    <w:rsid w:val="0056737F"/>
    <w:rsid w:val="005677DA"/>
    <w:rsid w:val="0056789B"/>
    <w:rsid w:val="005700AB"/>
    <w:rsid w:val="005705FD"/>
    <w:rsid w:val="005707CD"/>
    <w:rsid w:val="005709ED"/>
    <w:rsid w:val="00570B67"/>
    <w:rsid w:val="00571E74"/>
    <w:rsid w:val="00572134"/>
    <w:rsid w:val="00572BAE"/>
    <w:rsid w:val="00573327"/>
    <w:rsid w:val="005735E2"/>
    <w:rsid w:val="00573BA5"/>
    <w:rsid w:val="00573C05"/>
    <w:rsid w:val="00573C7F"/>
    <w:rsid w:val="005740EE"/>
    <w:rsid w:val="00574B55"/>
    <w:rsid w:val="0057507D"/>
    <w:rsid w:val="00575A81"/>
    <w:rsid w:val="005764BD"/>
    <w:rsid w:val="00576E49"/>
    <w:rsid w:val="00577070"/>
    <w:rsid w:val="0057731B"/>
    <w:rsid w:val="0058117B"/>
    <w:rsid w:val="005813F5"/>
    <w:rsid w:val="0058155A"/>
    <w:rsid w:val="005818F4"/>
    <w:rsid w:val="00581AA3"/>
    <w:rsid w:val="00581C27"/>
    <w:rsid w:val="005825CD"/>
    <w:rsid w:val="00582971"/>
    <w:rsid w:val="005829D6"/>
    <w:rsid w:val="00582D82"/>
    <w:rsid w:val="00582E97"/>
    <w:rsid w:val="0058391B"/>
    <w:rsid w:val="00584946"/>
    <w:rsid w:val="00584CA0"/>
    <w:rsid w:val="00584F9B"/>
    <w:rsid w:val="00584FDE"/>
    <w:rsid w:val="005857E1"/>
    <w:rsid w:val="005858B5"/>
    <w:rsid w:val="005861DA"/>
    <w:rsid w:val="00586AEA"/>
    <w:rsid w:val="0058732D"/>
    <w:rsid w:val="00587638"/>
    <w:rsid w:val="00587E3C"/>
    <w:rsid w:val="00590200"/>
    <w:rsid w:val="0059023A"/>
    <w:rsid w:val="005912A5"/>
    <w:rsid w:val="00591E37"/>
    <w:rsid w:val="00592366"/>
    <w:rsid w:val="005924A9"/>
    <w:rsid w:val="0059258A"/>
    <w:rsid w:val="0059298C"/>
    <w:rsid w:val="00592CE1"/>
    <w:rsid w:val="005930FA"/>
    <w:rsid w:val="00593806"/>
    <w:rsid w:val="005942EA"/>
    <w:rsid w:val="005945DD"/>
    <w:rsid w:val="0059469C"/>
    <w:rsid w:val="00594CDE"/>
    <w:rsid w:val="00594EA9"/>
    <w:rsid w:val="005952CF"/>
    <w:rsid w:val="00595310"/>
    <w:rsid w:val="005955FE"/>
    <w:rsid w:val="00595895"/>
    <w:rsid w:val="00596694"/>
    <w:rsid w:val="00596EA5"/>
    <w:rsid w:val="005972E0"/>
    <w:rsid w:val="00597BB9"/>
    <w:rsid w:val="005A0CD8"/>
    <w:rsid w:val="005A0E01"/>
    <w:rsid w:val="005A1CBC"/>
    <w:rsid w:val="005A27D6"/>
    <w:rsid w:val="005A3121"/>
    <w:rsid w:val="005A3661"/>
    <w:rsid w:val="005A3A9F"/>
    <w:rsid w:val="005A3F5A"/>
    <w:rsid w:val="005A596E"/>
    <w:rsid w:val="005A5A81"/>
    <w:rsid w:val="005A5FD5"/>
    <w:rsid w:val="005A668E"/>
    <w:rsid w:val="005A6C80"/>
    <w:rsid w:val="005A7366"/>
    <w:rsid w:val="005A75F6"/>
    <w:rsid w:val="005A7756"/>
    <w:rsid w:val="005A7B9D"/>
    <w:rsid w:val="005A7C68"/>
    <w:rsid w:val="005B019D"/>
    <w:rsid w:val="005B0BF2"/>
    <w:rsid w:val="005B1BE4"/>
    <w:rsid w:val="005B26DE"/>
    <w:rsid w:val="005B3471"/>
    <w:rsid w:val="005B36C9"/>
    <w:rsid w:val="005B3EF5"/>
    <w:rsid w:val="005B42E2"/>
    <w:rsid w:val="005B43E5"/>
    <w:rsid w:val="005B4530"/>
    <w:rsid w:val="005B4594"/>
    <w:rsid w:val="005B499F"/>
    <w:rsid w:val="005B49F5"/>
    <w:rsid w:val="005B4ABD"/>
    <w:rsid w:val="005B4BC3"/>
    <w:rsid w:val="005B55D9"/>
    <w:rsid w:val="005B576A"/>
    <w:rsid w:val="005B5AD6"/>
    <w:rsid w:val="005B5EA0"/>
    <w:rsid w:val="005B6205"/>
    <w:rsid w:val="005B6987"/>
    <w:rsid w:val="005B69D4"/>
    <w:rsid w:val="005B6B87"/>
    <w:rsid w:val="005B6D5E"/>
    <w:rsid w:val="005B72B0"/>
    <w:rsid w:val="005B7695"/>
    <w:rsid w:val="005B7853"/>
    <w:rsid w:val="005C0703"/>
    <w:rsid w:val="005C09E2"/>
    <w:rsid w:val="005C10ED"/>
    <w:rsid w:val="005C1441"/>
    <w:rsid w:val="005C2231"/>
    <w:rsid w:val="005C27C8"/>
    <w:rsid w:val="005C290D"/>
    <w:rsid w:val="005C295E"/>
    <w:rsid w:val="005C2F9F"/>
    <w:rsid w:val="005C30E9"/>
    <w:rsid w:val="005C34E9"/>
    <w:rsid w:val="005C363D"/>
    <w:rsid w:val="005C3A1E"/>
    <w:rsid w:val="005C3A24"/>
    <w:rsid w:val="005C42C2"/>
    <w:rsid w:val="005C4518"/>
    <w:rsid w:val="005C4656"/>
    <w:rsid w:val="005C4755"/>
    <w:rsid w:val="005C5342"/>
    <w:rsid w:val="005C5693"/>
    <w:rsid w:val="005C69EC"/>
    <w:rsid w:val="005C6A0A"/>
    <w:rsid w:val="005C6B4D"/>
    <w:rsid w:val="005C718F"/>
    <w:rsid w:val="005C78FD"/>
    <w:rsid w:val="005C7F01"/>
    <w:rsid w:val="005D0576"/>
    <w:rsid w:val="005D06E7"/>
    <w:rsid w:val="005D08A5"/>
    <w:rsid w:val="005D1B08"/>
    <w:rsid w:val="005D1B7B"/>
    <w:rsid w:val="005D1CE7"/>
    <w:rsid w:val="005D1F92"/>
    <w:rsid w:val="005D2699"/>
    <w:rsid w:val="005D3A0B"/>
    <w:rsid w:val="005D49C1"/>
    <w:rsid w:val="005D4BDD"/>
    <w:rsid w:val="005D4F48"/>
    <w:rsid w:val="005D609A"/>
    <w:rsid w:val="005D6387"/>
    <w:rsid w:val="005D660A"/>
    <w:rsid w:val="005D7960"/>
    <w:rsid w:val="005E0259"/>
    <w:rsid w:val="005E046F"/>
    <w:rsid w:val="005E0569"/>
    <w:rsid w:val="005E06DB"/>
    <w:rsid w:val="005E06DD"/>
    <w:rsid w:val="005E09F6"/>
    <w:rsid w:val="005E1413"/>
    <w:rsid w:val="005E1803"/>
    <w:rsid w:val="005E1D28"/>
    <w:rsid w:val="005E2334"/>
    <w:rsid w:val="005E2651"/>
    <w:rsid w:val="005E2F53"/>
    <w:rsid w:val="005E344A"/>
    <w:rsid w:val="005E3CC7"/>
    <w:rsid w:val="005E4034"/>
    <w:rsid w:val="005E4D35"/>
    <w:rsid w:val="005E4DFF"/>
    <w:rsid w:val="005E5156"/>
    <w:rsid w:val="005E593B"/>
    <w:rsid w:val="005E5B2B"/>
    <w:rsid w:val="005E5D55"/>
    <w:rsid w:val="005E6241"/>
    <w:rsid w:val="005E63E9"/>
    <w:rsid w:val="005E6625"/>
    <w:rsid w:val="005E699E"/>
    <w:rsid w:val="005E69F3"/>
    <w:rsid w:val="005F0908"/>
    <w:rsid w:val="005F0A68"/>
    <w:rsid w:val="005F100F"/>
    <w:rsid w:val="005F25AC"/>
    <w:rsid w:val="005F288C"/>
    <w:rsid w:val="005F28B4"/>
    <w:rsid w:val="005F2D34"/>
    <w:rsid w:val="005F36A7"/>
    <w:rsid w:val="005F3764"/>
    <w:rsid w:val="005F3849"/>
    <w:rsid w:val="005F3A15"/>
    <w:rsid w:val="005F4274"/>
    <w:rsid w:val="005F4E61"/>
    <w:rsid w:val="005F4F7C"/>
    <w:rsid w:val="005F546E"/>
    <w:rsid w:val="005F553D"/>
    <w:rsid w:val="005F57DF"/>
    <w:rsid w:val="005F599A"/>
    <w:rsid w:val="005F5C7A"/>
    <w:rsid w:val="005F5E82"/>
    <w:rsid w:val="005F65BE"/>
    <w:rsid w:val="005F6861"/>
    <w:rsid w:val="005F7B48"/>
    <w:rsid w:val="0060072F"/>
    <w:rsid w:val="00600E21"/>
    <w:rsid w:val="0060113F"/>
    <w:rsid w:val="00602536"/>
    <w:rsid w:val="00602B9E"/>
    <w:rsid w:val="00602C72"/>
    <w:rsid w:val="00603160"/>
    <w:rsid w:val="00603999"/>
    <w:rsid w:val="00603EDA"/>
    <w:rsid w:val="00604076"/>
    <w:rsid w:val="00604E76"/>
    <w:rsid w:val="0060507B"/>
    <w:rsid w:val="006054B0"/>
    <w:rsid w:val="006054EA"/>
    <w:rsid w:val="006058DA"/>
    <w:rsid w:val="00605D62"/>
    <w:rsid w:val="0060641E"/>
    <w:rsid w:val="006064B1"/>
    <w:rsid w:val="00606BA0"/>
    <w:rsid w:val="00606E5E"/>
    <w:rsid w:val="006076F4"/>
    <w:rsid w:val="0060776B"/>
    <w:rsid w:val="00607EA1"/>
    <w:rsid w:val="0061070E"/>
    <w:rsid w:val="006108F6"/>
    <w:rsid w:val="006115B6"/>
    <w:rsid w:val="00613154"/>
    <w:rsid w:val="0061364A"/>
    <w:rsid w:val="006138B7"/>
    <w:rsid w:val="00613C64"/>
    <w:rsid w:val="00613CBE"/>
    <w:rsid w:val="00613FCB"/>
    <w:rsid w:val="00614104"/>
    <w:rsid w:val="0061411A"/>
    <w:rsid w:val="006158B9"/>
    <w:rsid w:val="00616008"/>
    <w:rsid w:val="00616695"/>
    <w:rsid w:val="0061794F"/>
    <w:rsid w:val="00620B27"/>
    <w:rsid w:val="00620EAE"/>
    <w:rsid w:val="006216FF"/>
    <w:rsid w:val="00622494"/>
    <w:rsid w:val="0062284D"/>
    <w:rsid w:val="0062294E"/>
    <w:rsid w:val="00623291"/>
    <w:rsid w:val="00623A14"/>
    <w:rsid w:val="00623B4F"/>
    <w:rsid w:val="00623E26"/>
    <w:rsid w:val="00623E4A"/>
    <w:rsid w:val="00623EE0"/>
    <w:rsid w:val="00623EED"/>
    <w:rsid w:val="0062463B"/>
    <w:rsid w:val="00624865"/>
    <w:rsid w:val="00624F36"/>
    <w:rsid w:val="006250A9"/>
    <w:rsid w:val="00625694"/>
    <w:rsid w:val="00625C76"/>
    <w:rsid w:val="00626368"/>
    <w:rsid w:val="00626D35"/>
    <w:rsid w:val="00627464"/>
    <w:rsid w:val="006275C8"/>
    <w:rsid w:val="006300FE"/>
    <w:rsid w:val="0063017D"/>
    <w:rsid w:val="00630725"/>
    <w:rsid w:val="006307E2"/>
    <w:rsid w:val="00630947"/>
    <w:rsid w:val="006310C2"/>
    <w:rsid w:val="0063218E"/>
    <w:rsid w:val="006327C9"/>
    <w:rsid w:val="00633DBC"/>
    <w:rsid w:val="0063446A"/>
    <w:rsid w:val="0063477D"/>
    <w:rsid w:val="0063499F"/>
    <w:rsid w:val="006349BA"/>
    <w:rsid w:val="0063520E"/>
    <w:rsid w:val="00635DD5"/>
    <w:rsid w:val="00635E9F"/>
    <w:rsid w:val="00635F52"/>
    <w:rsid w:val="00635F54"/>
    <w:rsid w:val="006368F7"/>
    <w:rsid w:val="00636F89"/>
    <w:rsid w:val="00636FA8"/>
    <w:rsid w:val="00640439"/>
    <w:rsid w:val="00640496"/>
    <w:rsid w:val="006406BC"/>
    <w:rsid w:val="00640974"/>
    <w:rsid w:val="00641203"/>
    <w:rsid w:val="006413D5"/>
    <w:rsid w:val="0064190F"/>
    <w:rsid w:val="00641FE2"/>
    <w:rsid w:val="00642035"/>
    <w:rsid w:val="00642E25"/>
    <w:rsid w:val="00643348"/>
    <w:rsid w:val="00643769"/>
    <w:rsid w:val="00643C26"/>
    <w:rsid w:val="00643E49"/>
    <w:rsid w:val="006448DD"/>
    <w:rsid w:val="00644D39"/>
    <w:rsid w:val="00645D4E"/>
    <w:rsid w:val="006463D9"/>
    <w:rsid w:val="0064667A"/>
    <w:rsid w:val="0064762B"/>
    <w:rsid w:val="0064790A"/>
    <w:rsid w:val="006501B0"/>
    <w:rsid w:val="006502EB"/>
    <w:rsid w:val="0065059C"/>
    <w:rsid w:val="00650A64"/>
    <w:rsid w:val="00651068"/>
    <w:rsid w:val="00651970"/>
    <w:rsid w:val="00652271"/>
    <w:rsid w:val="006522E3"/>
    <w:rsid w:val="0065276E"/>
    <w:rsid w:val="00653018"/>
    <w:rsid w:val="006536E8"/>
    <w:rsid w:val="00653978"/>
    <w:rsid w:val="00653A40"/>
    <w:rsid w:val="00653D41"/>
    <w:rsid w:val="0065406B"/>
    <w:rsid w:val="006540C0"/>
    <w:rsid w:val="00654792"/>
    <w:rsid w:val="00654AE0"/>
    <w:rsid w:val="00655CC9"/>
    <w:rsid w:val="006565D8"/>
    <w:rsid w:val="006579DB"/>
    <w:rsid w:val="00657BDE"/>
    <w:rsid w:val="00657CDB"/>
    <w:rsid w:val="0066007B"/>
    <w:rsid w:val="00660713"/>
    <w:rsid w:val="00660F39"/>
    <w:rsid w:val="00661095"/>
    <w:rsid w:val="006615E6"/>
    <w:rsid w:val="00661A13"/>
    <w:rsid w:val="0066228C"/>
    <w:rsid w:val="006624BA"/>
    <w:rsid w:val="00662C9A"/>
    <w:rsid w:val="00662F75"/>
    <w:rsid w:val="006634C3"/>
    <w:rsid w:val="00663590"/>
    <w:rsid w:val="00663DDD"/>
    <w:rsid w:val="00663E2A"/>
    <w:rsid w:val="00663EF3"/>
    <w:rsid w:val="006643F9"/>
    <w:rsid w:val="006645BA"/>
    <w:rsid w:val="00664E32"/>
    <w:rsid w:val="00666F70"/>
    <w:rsid w:val="00667DAC"/>
    <w:rsid w:val="00667DD0"/>
    <w:rsid w:val="00667F78"/>
    <w:rsid w:val="00670423"/>
    <w:rsid w:val="00670A0B"/>
    <w:rsid w:val="00670C17"/>
    <w:rsid w:val="00671229"/>
    <w:rsid w:val="00671D59"/>
    <w:rsid w:val="0067241E"/>
    <w:rsid w:val="0067297B"/>
    <w:rsid w:val="00672D2E"/>
    <w:rsid w:val="006730D8"/>
    <w:rsid w:val="00673100"/>
    <w:rsid w:val="006735C5"/>
    <w:rsid w:val="0067377E"/>
    <w:rsid w:val="006742F5"/>
    <w:rsid w:val="00674437"/>
    <w:rsid w:val="0067498A"/>
    <w:rsid w:val="006750E1"/>
    <w:rsid w:val="00675332"/>
    <w:rsid w:val="00675616"/>
    <w:rsid w:val="0067575E"/>
    <w:rsid w:val="00675805"/>
    <w:rsid w:val="00675845"/>
    <w:rsid w:val="0067625D"/>
    <w:rsid w:val="00676BE9"/>
    <w:rsid w:val="00676EAF"/>
    <w:rsid w:val="006776AC"/>
    <w:rsid w:val="00677F66"/>
    <w:rsid w:val="006801C9"/>
    <w:rsid w:val="00680895"/>
    <w:rsid w:val="0068194B"/>
    <w:rsid w:val="00681F0B"/>
    <w:rsid w:val="0068202B"/>
    <w:rsid w:val="006820C3"/>
    <w:rsid w:val="00682BDC"/>
    <w:rsid w:val="00682EA2"/>
    <w:rsid w:val="00683308"/>
    <w:rsid w:val="00684805"/>
    <w:rsid w:val="0068564A"/>
    <w:rsid w:val="006859B8"/>
    <w:rsid w:val="00685BC6"/>
    <w:rsid w:val="0068650F"/>
    <w:rsid w:val="0068694A"/>
    <w:rsid w:val="00686BD7"/>
    <w:rsid w:val="00686D5E"/>
    <w:rsid w:val="00687142"/>
    <w:rsid w:val="006874BF"/>
    <w:rsid w:val="006875D2"/>
    <w:rsid w:val="00687D2C"/>
    <w:rsid w:val="006902F9"/>
    <w:rsid w:val="00690546"/>
    <w:rsid w:val="00691279"/>
    <w:rsid w:val="0069178F"/>
    <w:rsid w:val="00692E59"/>
    <w:rsid w:val="0069311E"/>
    <w:rsid w:val="0069326C"/>
    <w:rsid w:val="006932F4"/>
    <w:rsid w:val="006938D2"/>
    <w:rsid w:val="00693D7B"/>
    <w:rsid w:val="00694298"/>
    <w:rsid w:val="00694BB8"/>
    <w:rsid w:val="00694EA5"/>
    <w:rsid w:val="006950BC"/>
    <w:rsid w:val="006958D0"/>
    <w:rsid w:val="00695B29"/>
    <w:rsid w:val="006965A7"/>
    <w:rsid w:val="006965FD"/>
    <w:rsid w:val="00696CD6"/>
    <w:rsid w:val="006977E7"/>
    <w:rsid w:val="00697950"/>
    <w:rsid w:val="00697BCE"/>
    <w:rsid w:val="006A04D3"/>
    <w:rsid w:val="006A0945"/>
    <w:rsid w:val="006A0C6C"/>
    <w:rsid w:val="006A0CD5"/>
    <w:rsid w:val="006A182D"/>
    <w:rsid w:val="006A1FD2"/>
    <w:rsid w:val="006A2957"/>
    <w:rsid w:val="006A2AED"/>
    <w:rsid w:val="006A32E5"/>
    <w:rsid w:val="006A3393"/>
    <w:rsid w:val="006A4217"/>
    <w:rsid w:val="006A473E"/>
    <w:rsid w:val="006A4FD4"/>
    <w:rsid w:val="006A5949"/>
    <w:rsid w:val="006A5D25"/>
    <w:rsid w:val="006A65C8"/>
    <w:rsid w:val="006A67BF"/>
    <w:rsid w:val="006B0043"/>
    <w:rsid w:val="006B008B"/>
    <w:rsid w:val="006B0DF7"/>
    <w:rsid w:val="006B18FD"/>
    <w:rsid w:val="006B2B86"/>
    <w:rsid w:val="006B2B99"/>
    <w:rsid w:val="006B2EFF"/>
    <w:rsid w:val="006B3503"/>
    <w:rsid w:val="006B3C70"/>
    <w:rsid w:val="006B418A"/>
    <w:rsid w:val="006B44B0"/>
    <w:rsid w:val="006B4575"/>
    <w:rsid w:val="006B4E0D"/>
    <w:rsid w:val="006B52AE"/>
    <w:rsid w:val="006B5A33"/>
    <w:rsid w:val="006B5EE3"/>
    <w:rsid w:val="006B65B7"/>
    <w:rsid w:val="006B6882"/>
    <w:rsid w:val="006B6C1E"/>
    <w:rsid w:val="006B7550"/>
    <w:rsid w:val="006B7968"/>
    <w:rsid w:val="006B7E1E"/>
    <w:rsid w:val="006C0194"/>
    <w:rsid w:val="006C0330"/>
    <w:rsid w:val="006C0583"/>
    <w:rsid w:val="006C0917"/>
    <w:rsid w:val="006C165D"/>
    <w:rsid w:val="006C16A4"/>
    <w:rsid w:val="006C1AAD"/>
    <w:rsid w:val="006C1D70"/>
    <w:rsid w:val="006C2543"/>
    <w:rsid w:val="006C2D3F"/>
    <w:rsid w:val="006C319B"/>
    <w:rsid w:val="006C374C"/>
    <w:rsid w:val="006C375A"/>
    <w:rsid w:val="006C4041"/>
    <w:rsid w:val="006C41BC"/>
    <w:rsid w:val="006C4543"/>
    <w:rsid w:val="006C4CEF"/>
    <w:rsid w:val="006C4D96"/>
    <w:rsid w:val="006C591C"/>
    <w:rsid w:val="006C5BB4"/>
    <w:rsid w:val="006C5BC1"/>
    <w:rsid w:val="006C5F19"/>
    <w:rsid w:val="006C6246"/>
    <w:rsid w:val="006C63C5"/>
    <w:rsid w:val="006C7359"/>
    <w:rsid w:val="006C7676"/>
    <w:rsid w:val="006C788C"/>
    <w:rsid w:val="006C7945"/>
    <w:rsid w:val="006D011E"/>
    <w:rsid w:val="006D06C0"/>
    <w:rsid w:val="006D0A36"/>
    <w:rsid w:val="006D0A6F"/>
    <w:rsid w:val="006D20FB"/>
    <w:rsid w:val="006D2350"/>
    <w:rsid w:val="006D2935"/>
    <w:rsid w:val="006D2C14"/>
    <w:rsid w:val="006D2E31"/>
    <w:rsid w:val="006D3381"/>
    <w:rsid w:val="006D3A80"/>
    <w:rsid w:val="006D42DA"/>
    <w:rsid w:val="006D4CB2"/>
    <w:rsid w:val="006D5214"/>
    <w:rsid w:val="006D5B01"/>
    <w:rsid w:val="006D5BAC"/>
    <w:rsid w:val="006D654A"/>
    <w:rsid w:val="006D654F"/>
    <w:rsid w:val="006D6EE6"/>
    <w:rsid w:val="006D7472"/>
    <w:rsid w:val="006D781A"/>
    <w:rsid w:val="006D78CE"/>
    <w:rsid w:val="006E0651"/>
    <w:rsid w:val="006E1226"/>
    <w:rsid w:val="006E19A0"/>
    <w:rsid w:val="006E1D8D"/>
    <w:rsid w:val="006E2D66"/>
    <w:rsid w:val="006E2FE0"/>
    <w:rsid w:val="006E31A5"/>
    <w:rsid w:val="006E34A3"/>
    <w:rsid w:val="006E403B"/>
    <w:rsid w:val="006E494A"/>
    <w:rsid w:val="006E49C2"/>
    <w:rsid w:val="006E5B5B"/>
    <w:rsid w:val="006E6547"/>
    <w:rsid w:val="006E664F"/>
    <w:rsid w:val="006E6C77"/>
    <w:rsid w:val="006E6D2F"/>
    <w:rsid w:val="006E6FF3"/>
    <w:rsid w:val="006E7133"/>
    <w:rsid w:val="006F0DEF"/>
    <w:rsid w:val="006F1815"/>
    <w:rsid w:val="006F1A27"/>
    <w:rsid w:val="006F1AD2"/>
    <w:rsid w:val="006F2323"/>
    <w:rsid w:val="006F2608"/>
    <w:rsid w:val="006F2ABC"/>
    <w:rsid w:val="006F2E48"/>
    <w:rsid w:val="006F3659"/>
    <w:rsid w:val="006F581D"/>
    <w:rsid w:val="006F58C4"/>
    <w:rsid w:val="006F5B15"/>
    <w:rsid w:val="006F5DD1"/>
    <w:rsid w:val="006F62C2"/>
    <w:rsid w:val="006F655F"/>
    <w:rsid w:val="006F6973"/>
    <w:rsid w:val="00701CD5"/>
    <w:rsid w:val="00701D43"/>
    <w:rsid w:val="007022D4"/>
    <w:rsid w:val="00702714"/>
    <w:rsid w:val="00702BC2"/>
    <w:rsid w:val="00703040"/>
    <w:rsid w:val="00703043"/>
    <w:rsid w:val="00703304"/>
    <w:rsid w:val="007036C7"/>
    <w:rsid w:val="00704087"/>
    <w:rsid w:val="007041F3"/>
    <w:rsid w:val="00704439"/>
    <w:rsid w:val="00704C07"/>
    <w:rsid w:val="00704D1F"/>
    <w:rsid w:val="00704FB4"/>
    <w:rsid w:val="00705207"/>
    <w:rsid w:val="00705444"/>
    <w:rsid w:val="0070567C"/>
    <w:rsid w:val="00705815"/>
    <w:rsid w:val="00705D86"/>
    <w:rsid w:val="00706328"/>
    <w:rsid w:val="007064F3"/>
    <w:rsid w:val="00707178"/>
    <w:rsid w:val="00710014"/>
    <w:rsid w:val="0071079E"/>
    <w:rsid w:val="0071145B"/>
    <w:rsid w:val="0071159D"/>
    <w:rsid w:val="00712612"/>
    <w:rsid w:val="00712BA4"/>
    <w:rsid w:val="00713350"/>
    <w:rsid w:val="00714407"/>
    <w:rsid w:val="00715340"/>
    <w:rsid w:val="007162A5"/>
    <w:rsid w:val="00716453"/>
    <w:rsid w:val="00716483"/>
    <w:rsid w:val="00716661"/>
    <w:rsid w:val="0071707D"/>
    <w:rsid w:val="0071742C"/>
    <w:rsid w:val="00717593"/>
    <w:rsid w:val="00717932"/>
    <w:rsid w:val="00717A26"/>
    <w:rsid w:val="00717D98"/>
    <w:rsid w:val="007201F2"/>
    <w:rsid w:val="007205AA"/>
    <w:rsid w:val="0072152E"/>
    <w:rsid w:val="00721954"/>
    <w:rsid w:val="00721BB5"/>
    <w:rsid w:val="00721E9E"/>
    <w:rsid w:val="00721FB9"/>
    <w:rsid w:val="0072387B"/>
    <w:rsid w:val="00724151"/>
    <w:rsid w:val="00724487"/>
    <w:rsid w:val="007247B8"/>
    <w:rsid w:val="00724D0C"/>
    <w:rsid w:val="007254C3"/>
    <w:rsid w:val="00725708"/>
    <w:rsid w:val="00725B1D"/>
    <w:rsid w:val="00725C53"/>
    <w:rsid w:val="00726698"/>
    <w:rsid w:val="00726876"/>
    <w:rsid w:val="007273C4"/>
    <w:rsid w:val="007279D3"/>
    <w:rsid w:val="00727D15"/>
    <w:rsid w:val="007314F7"/>
    <w:rsid w:val="007315A8"/>
    <w:rsid w:val="00731C9B"/>
    <w:rsid w:val="007325ED"/>
    <w:rsid w:val="00732645"/>
    <w:rsid w:val="00734111"/>
    <w:rsid w:val="00734686"/>
    <w:rsid w:val="007347EB"/>
    <w:rsid w:val="00735305"/>
    <w:rsid w:val="0073559B"/>
    <w:rsid w:val="007356A5"/>
    <w:rsid w:val="00735A11"/>
    <w:rsid w:val="00736183"/>
    <w:rsid w:val="00736502"/>
    <w:rsid w:val="00736C75"/>
    <w:rsid w:val="00736EF4"/>
    <w:rsid w:val="007406EA"/>
    <w:rsid w:val="007407BE"/>
    <w:rsid w:val="00740C70"/>
    <w:rsid w:val="00740E20"/>
    <w:rsid w:val="00740F41"/>
    <w:rsid w:val="00741197"/>
    <w:rsid w:val="00741260"/>
    <w:rsid w:val="0074177B"/>
    <w:rsid w:val="00741EF4"/>
    <w:rsid w:val="007424C2"/>
    <w:rsid w:val="007425C1"/>
    <w:rsid w:val="00742887"/>
    <w:rsid w:val="00742961"/>
    <w:rsid w:val="00742DE2"/>
    <w:rsid w:val="00742E7B"/>
    <w:rsid w:val="00742F2A"/>
    <w:rsid w:val="007432B9"/>
    <w:rsid w:val="00744746"/>
    <w:rsid w:val="00745054"/>
    <w:rsid w:val="00745ABF"/>
    <w:rsid w:val="00746B0A"/>
    <w:rsid w:val="00746FDF"/>
    <w:rsid w:val="00747E8F"/>
    <w:rsid w:val="007507A4"/>
    <w:rsid w:val="00751076"/>
    <w:rsid w:val="00751594"/>
    <w:rsid w:val="007518C4"/>
    <w:rsid w:val="007525DA"/>
    <w:rsid w:val="0075274B"/>
    <w:rsid w:val="007530D5"/>
    <w:rsid w:val="0075320D"/>
    <w:rsid w:val="00753A94"/>
    <w:rsid w:val="00753C8F"/>
    <w:rsid w:val="0075412F"/>
    <w:rsid w:val="00754659"/>
    <w:rsid w:val="007549BF"/>
    <w:rsid w:val="00754C5D"/>
    <w:rsid w:val="00754DA2"/>
    <w:rsid w:val="0075577E"/>
    <w:rsid w:val="0075590B"/>
    <w:rsid w:val="007559CB"/>
    <w:rsid w:val="00756654"/>
    <w:rsid w:val="007576F1"/>
    <w:rsid w:val="00757FE2"/>
    <w:rsid w:val="007601BF"/>
    <w:rsid w:val="00760E58"/>
    <w:rsid w:val="00761EB7"/>
    <w:rsid w:val="00762392"/>
    <w:rsid w:val="007624A6"/>
    <w:rsid w:val="007624A7"/>
    <w:rsid w:val="0076305D"/>
    <w:rsid w:val="0076319B"/>
    <w:rsid w:val="0076355D"/>
    <w:rsid w:val="00764BAB"/>
    <w:rsid w:val="00764BC7"/>
    <w:rsid w:val="00765CBF"/>
    <w:rsid w:val="00766FF6"/>
    <w:rsid w:val="007672A9"/>
    <w:rsid w:val="007673DA"/>
    <w:rsid w:val="0076767C"/>
    <w:rsid w:val="00770BE2"/>
    <w:rsid w:val="007711AF"/>
    <w:rsid w:val="0077166F"/>
    <w:rsid w:val="007723BD"/>
    <w:rsid w:val="00772614"/>
    <w:rsid w:val="00772E9D"/>
    <w:rsid w:val="00772FB1"/>
    <w:rsid w:val="00773087"/>
    <w:rsid w:val="00773660"/>
    <w:rsid w:val="00773D3D"/>
    <w:rsid w:val="00774538"/>
    <w:rsid w:val="0077456C"/>
    <w:rsid w:val="007746E7"/>
    <w:rsid w:val="00774D36"/>
    <w:rsid w:val="00774FEA"/>
    <w:rsid w:val="0077500F"/>
    <w:rsid w:val="007754BB"/>
    <w:rsid w:val="00775840"/>
    <w:rsid w:val="00775A57"/>
    <w:rsid w:val="00775C26"/>
    <w:rsid w:val="00775D1F"/>
    <w:rsid w:val="0077677F"/>
    <w:rsid w:val="007768E1"/>
    <w:rsid w:val="007769E1"/>
    <w:rsid w:val="00776C41"/>
    <w:rsid w:val="00776E47"/>
    <w:rsid w:val="00777309"/>
    <w:rsid w:val="0077788B"/>
    <w:rsid w:val="00777894"/>
    <w:rsid w:val="00780BD9"/>
    <w:rsid w:val="00780F30"/>
    <w:rsid w:val="00781777"/>
    <w:rsid w:val="00781D00"/>
    <w:rsid w:val="0078200B"/>
    <w:rsid w:val="00782D9B"/>
    <w:rsid w:val="00782FD2"/>
    <w:rsid w:val="0078340F"/>
    <w:rsid w:val="007835F3"/>
    <w:rsid w:val="00783BC5"/>
    <w:rsid w:val="00783D7C"/>
    <w:rsid w:val="00784438"/>
    <w:rsid w:val="007845F6"/>
    <w:rsid w:val="00784A82"/>
    <w:rsid w:val="00784AC9"/>
    <w:rsid w:val="007863ED"/>
    <w:rsid w:val="00786622"/>
    <w:rsid w:val="00786DCE"/>
    <w:rsid w:val="007872C0"/>
    <w:rsid w:val="0078760F"/>
    <w:rsid w:val="00787F03"/>
    <w:rsid w:val="00790300"/>
    <w:rsid w:val="00790480"/>
    <w:rsid w:val="00790E6E"/>
    <w:rsid w:val="007913F0"/>
    <w:rsid w:val="0079162D"/>
    <w:rsid w:val="00791758"/>
    <w:rsid w:val="007918E0"/>
    <w:rsid w:val="00792258"/>
    <w:rsid w:val="0079239E"/>
    <w:rsid w:val="00792780"/>
    <w:rsid w:val="00792823"/>
    <w:rsid w:val="0079308C"/>
    <w:rsid w:val="0079367D"/>
    <w:rsid w:val="00793A28"/>
    <w:rsid w:val="0079439B"/>
    <w:rsid w:val="007945C5"/>
    <w:rsid w:val="00794D6C"/>
    <w:rsid w:val="0079520F"/>
    <w:rsid w:val="007956BE"/>
    <w:rsid w:val="00795DDD"/>
    <w:rsid w:val="00796076"/>
    <w:rsid w:val="0079676D"/>
    <w:rsid w:val="00797346"/>
    <w:rsid w:val="00797584"/>
    <w:rsid w:val="00797B62"/>
    <w:rsid w:val="00797BD5"/>
    <w:rsid w:val="007A019D"/>
    <w:rsid w:val="007A0625"/>
    <w:rsid w:val="007A0AEF"/>
    <w:rsid w:val="007A10ED"/>
    <w:rsid w:val="007A1352"/>
    <w:rsid w:val="007A1CB0"/>
    <w:rsid w:val="007A1D78"/>
    <w:rsid w:val="007A281D"/>
    <w:rsid w:val="007A2F7D"/>
    <w:rsid w:val="007A3BC7"/>
    <w:rsid w:val="007A3C6E"/>
    <w:rsid w:val="007A47C7"/>
    <w:rsid w:val="007A48B5"/>
    <w:rsid w:val="007A4C62"/>
    <w:rsid w:val="007A5268"/>
    <w:rsid w:val="007A543C"/>
    <w:rsid w:val="007A615D"/>
    <w:rsid w:val="007A69FE"/>
    <w:rsid w:val="007A7333"/>
    <w:rsid w:val="007A74C5"/>
    <w:rsid w:val="007A7866"/>
    <w:rsid w:val="007A79B9"/>
    <w:rsid w:val="007A7D13"/>
    <w:rsid w:val="007B0263"/>
    <w:rsid w:val="007B0710"/>
    <w:rsid w:val="007B0D3F"/>
    <w:rsid w:val="007B1484"/>
    <w:rsid w:val="007B1496"/>
    <w:rsid w:val="007B1C7F"/>
    <w:rsid w:val="007B2374"/>
    <w:rsid w:val="007B24D2"/>
    <w:rsid w:val="007B2E2C"/>
    <w:rsid w:val="007B4513"/>
    <w:rsid w:val="007B49FA"/>
    <w:rsid w:val="007B4ABA"/>
    <w:rsid w:val="007B5019"/>
    <w:rsid w:val="007B57BB"/>
    <w:rsid w:val="007B5E85"/>
    <w:rsid w:val="007B5FAA"/>
    <w:rsid w:val="007B6043"/>
    <w:rsid w:val="007B67FC"/>
    <w:rsid w:val="007B6A2A"/>
    <w:rsid w:val="007B6A7D"/>
    <w:rsid w:val="007B6BBE"/>
    <w:rsid w:val="007B6D1A"/>
    <w:rsid w:val="007B7119"/>
    <w:rsid w:val="007C0C06"/>
    <w:rsid w:val="007C124B"/>
    <w:rsid w:val="007C1A22"/>
    <w:rsid w:val="007C2B76"/>
    <w:rsid w:val="007C4456"/>
    <w:rsid w:val="007C47E9"/>
    <w:rsid w:val="007C4BF2"/>
    <w:rsid w:val="007C4FD9"/>
    <w:rsid w:val="007C505B"/>
    <w:rsid w:val="007C52AD"/>
    <w:rsid w:val="007C56E4"/>
    <w:rsid w:val="007C5A9C"/>
    <w:rsid w:val="007C5CFA"/>
    <w:rsid w:val="007C5D3D"/>
    <w:rsid w:val="007C60A4"/>
    <w:rsid w:val="007C63F1"/>
    <w:rsid w:val="007C67BC"/>
    <w:rsid w:val="007C6A6F"/>
    <w:rsid w:val="007C730F"/>
    <w:rsid w:val="007C7339"/>
    <w:rsid w:val="007C780B"/>
    <w:rsid w:val="007C7A73"/>
    <w:rsid w:val="007C7ECC"/>
    <w:rsid w:val="007C7F28"/>
    <w:rsid w:val="007C7F45"/>
    <w:rsid w:val="007D0163"/>
    <w:rsid w:val="007D01FE"/>
    <w:rsid w:val="007D03AB"/>
    <w:rsid w:val="007D1815"/>
    <w:rsid w:val="007D1CA5"/>
    <w:rsid w:val="007D26D6"/>
    <w:rsid w:val="007D2837"/>
    <w:rsid w:val="007D28AF"/>
    <w:rsid w:val="007D2AEB"/>
    <w:rsid w:val="007D2FC6"/>
    <w:rsid w:val="007D3ED4"/>
    <w:rsid w:val="007D40F0"/>
    <w:rsid w:val="007D4DD6"/>
    <w:rsid w:val="007D505D"/>
    <w:rsid w:val="007D5611"/>
    <w:rsid w:val="007D5639"/>
    <w:rsid w:val="007D5E9C"/>
    <w:rsid w:val="007D679E"/>
    <w:rsid w:val="007D6CE7"/>
    <w:rsid w:val="007D728E"/>
    <w:rsid w:val="007D7782"/>
    <w:rsid w:val="007D7EC5"/>
    <w:rsid w:val="007E0109"/>
    <w:rsid w:val="007E1429"/>
    <w:rsid w:val="007E1EEB"/>
    <w:rsid w:val="007E1EED"/>
    <w:rsid w:val="007E253D"/>
    <w:rsid w:val="007E2A72"/>
    <w:rsid w:val="007E30DE"/>
    <w:rsid w:val="007E36A8"/>
    <w:rsid w:val="007E438F"/>
    <w:rsid w:val="007E4531"/>
    <w:rsid w:val="007E456C"/>
    <w:rsid w:val="007E4C51"/>
    <w:rsid w:val="007E4CCB"/>
    <w:rsid w:val="007E5340"/>
    <w:rsid w:val="007E5438"/>
    <w:rsid w:val="007E5A4E"/>
    <w:rsid w:val="007E5FAC"/>
    <w:rsid w:val="007E6512"/>
    <w:rsid w:val="007E670C"/>
    <w:rsid w:val="007E68D8"/>
    <w:rsid w:val="007E739A"/>
    <w:rsid w:val="007E73B5"/>
    <w:rsid w:val="007F02ED"/>
    <w:rsid w:val="007F0730"/>
    <w:rsid w:val="007F0A1F"/>
    <w:rsid w:val="007F134B"/>
    <w:rsid w:val="007F1F9D"/>
    <w:rsid w:val="007F27D8"/>
    <w:rsid w:val="007F2F03"/>
    <w:rsid w:val="007F309F"/>
    <w:rsid w:val="007F3766"/>
    <w:rsid w:val="007F3BAE"/>
    <w:rsid w:val="007F4633"/>
    <w:rsid w:val="007F4D7B"/>
    <w:rsid w:val="007F523F"/>
    <w:rsid w:val="007F55C6"/>
    <w:rsid w:val="007F571C"/>
    <w:rsid w:val="007F5863"/>
    <w:rsid w:val="007F5BAC"/>
    <w:rsid w:val="007F5C8D"/>
    <w:rsid w:val="007F6144"/>
    <w:rsid w:val="007F635F"/>
    <w:rsid w:val="007F65EF"/>
    <w:rsid w:val="007F73A2"/>
    <w:rsid w:val="007F768C"/>
    <w:rsid w:val="007F79C5"/>
    <w:rsid w:val="007F79DB"/>
    <w:rsid w:val="007F7D90"/>
    <w:rsid w:val="0080003D"/>
    <w:rsid w:val="00800FAF"/>
    <w:rsid w:val="008016D5"/>
    <w:rsid w:val="0080182A"/>
    <w:rsid w:val="00801D74"/>
    <w:rsid w:val="008023A6"/>
    <w:rsid w:val="0080298D"/>
    <w:rsid w:val="008029F6"/>
    <w:rsid w:val="00802B71"/>
    <w:rsid w:val="00802C62"/>
    <w:rsid w:val="00802CA7"/>
    <w:rsid w:val="00803854"/>
    <w:rsid w:val="00803A8A"/>
    <w:rsid w:val="00803AB5"/>
    <w:rsid w:val="00803ECF"/>
    <w:rsid w:val="00803FBA"/>
    <w:rsid w:val="008042D3"/>
    <w:rsid w:val="00804AC4"/>
    <w:rsid w:val="00805626"/>
    <w:rsid w:val="00805C85"/>
    <w:rsid w:val="00806331"/>
    <w:rsid w:val="008065FD"/>
    <w:rsid w:val="00806E5D"/>
    <w:rsid w:val="008075B3"/>
    <w:rsid w:val="00807A65"/>
    <w:rsid w:val="008106E2"/>
    <w:rsid w:val="008109C8"/>
    <w:rsid w:val="00810B1A"/>
    <w:rsid w:val="00810C42"/>
    <w:rsid w:val="00810F8E"/>
    <w:rsid w:val="00811229"/>
    <w:rsid w:val="0081134E"/>
    <w:rsid w:val="008114B7"/>
    <w:rsid w:val="00811569"/>
    <w:rsid w:val="00811AA3"/>
    <w:rsid w:val="00811E1E"/>
    <w:rsid w:val="008120BC"/>
    <w:rsid w:val="008124CC"/>
    <w:rsid w:val="008127A6"/>
    <w:rsid w:val="00812BC6"/>
    <w:rsid w:val="00812C38"/>
    <w:rsid w:val="00812CDA"/>
    <w:rsid w:val="008130A3"/>
    <w:rsid w:val="00813A88"/>
    <w:rsid w:val="00813B78"/>
    <w:rsid w:val="00813C58"/>
    <w:rsid w:val="0081517A"/>
    <w:rsid w:val="00815564"/>
    <w:rsid w:val="00815FE1"/>
    <w:rsid w:val="0081760C"/>
    <w:rsid w:val="0081783A"/>
    <w:rsid w:val="00817B3D"/>
    <w:rsid w:val="00820283"/>
    <w:rsid w:val="00820449"/>
    <w:rsid w:val="0082061B"/>
    <w:rsid w:val="00820C04"/>
    <w:rsid w:val="00821508"/>
    <w:rsid w:val="00821C1A"/>
    <w:rsid w:val="00821CFD"/>
    <w:rsid w:val="00821F6E"/>
    <w:rsid w:val="008221E4"/>
    <w:rsid w:val="0082229C"/>
    <w:rsid w:val="0082248D"/>
    <w:rsid w:val="008224E4"/>
    <w:rsid w:val="0082288A"/>
    <w:rsid w:val="00822C96"/>
    <w:rsid w:val="0082339D"/>
    <w:rsid w:val="008239AD"/>
    <w:rsid w:val="00823E64"/>
    <w:rsid w:val="00823F4A"/>
    <w:rsid w:val="00824EB8"/>
    <w:rsid w:val="008256AD"/>
    <w:rsid w:val="00825AED"/>
    <w:rsid w:val="008261CD"/>
    <w:rsid w:val="008263A0"/>
    <w:rsid w:val="0082680A"/>
    <w:rsid w:val="0082731A"/>
    <w:rsid w:val="0082776D"/>
    <w:rsid w:val="008278B9"/>
    <w:rsid w:val="00827C18"/>
    <w:rsid w:val="00827F24"/>
    <w:rsid w:val="00830351"/>
    <w:rsid w:val="00830491"/>
    <w:rsid w:val="008307A7"/>
    <w:rsid w:val="00830ECB"/>
    <w:rsid w:val="00830FB8"/>
    <w:rsid w:val="00831223"/>
    <w:rsid w:val="00831BF4"/>
    <w:rsid w:val="00831D72"/>
    <w:rsid w:val="00832685"/>
    <w:rsid w:val="00832A94"/>
    <w:rsid w:val="00834262"/>
    <w:rsid w:val="00834891"/>
    <w:rsid w:val="008349D2"/>
    <w:rsid w:val="008349D8"/>
    <w:rsid w:val="00835132"/>
    <w:rsid w:val="00836028"/>
    <w:rsid w:val="008360AE"/>
    <w:rsid w:val="008369C0"/>
    <w:rsid w:val="00836FA4"/>
    <w:rsid w:val="0083746A"/>
    <w:rsid w:val="00837F25"/>
    <w:rsid w:val="00840313"/>
    <w:rsid w:val="008404CB"/>
    <w:rsid w:val="00840B97"/>
    <w:rsid w:val="00840F42"/>
    <w:rsid w:val="0084144F"/>
    <w:rsid w:val="008419CB"/>
    <w:rsid w:val="008425F4"/>
    <w:rsid w:val="008429AA"/>
    <w:rsid w:val="00842CED"/>
    <w:rsid w:val="00843DA7"/>
    <w:rsid w:val="00844355"/>
    <w:rsid w:val="00844361"/>
    <w:rsid w:val="0084462D"/>
    <w:rsid w:val="0084559B"/>
    <w:rsid w:val="00845908"/>
    <w:rsid w:val="008459E7"/>
    <w:rsid w:val="00845CBB"/>
    <w:rsid w:val="008470A2"/>
    <w:rsid w:val="00847245"/>
    <w:rsid w:val="00847506"/>
    <w:rsid w:val="00847731"/>
    <w:rsid w:val="00847BD7"/>
    <w:rsid w:val="00847E3D"/>
    <w:rsid w:val="00850FE1"/>
    <w:rsid w:val="00850FF6"/>
    <w:rsid w:val="00851131"/>
    <w:rsid w:val="008523A6"/>
    <w:rsid w:val="0085246F"/>
    <w:rsid w:val="00852BA5"/>
    <w:rsid w:val="00853005"/>
    <w:rsid w:val="0085358C"/>
    <w:rsid w:val="00853CCF"/>
    <w:rsid w:val="00854667"/>
    <w:rsid w:val="008548A4"/>
    <w:rsid w:val="0085509A"/>
    <w:rsid w:val="008550F5"/>
    <w:rsid w:val="008552C2"/>
    <w:rsid w:val="00855DD6"/>
    <w:rsid w:val="008569DC"/>
    <w:rsid w:val="00856BEB"/>
    <w:rsid w:val="0085709C"/>
    <w:rsid w:val="0085740D"/>
    <w:rsid w:val="00857652"/>
    <w:rsid w:val="00860392"/>
    <w:rsid w:val="00860576"/>
    <w:rsid w:val="00860932"/>
    <w:rsid w:val="0086099D"/>
    <w:rsid w:val="0086100E"/>
    <w:rsid w:val="00861022"/>
    <w:rsid w:val="00861B5D"/>
    <w:rsid w:val="00861BC4"/>
    <w:rsid w:val="00862A71"/>
    <w:rsid w:val="00863047"/>
    <w:rsid w:val="00863D3A"/>
    <w:rsid w:val="00864019"/>
    <w:rsid w:val="008648D8"/>
    <w:rsid w:val="00864BC2"/>
    <w:rsid w:val="00865BCD"/>
    <w:rsid w:val="00866A2C"/>
    <w:rsid w:val="00866D93"/>
    <w:rsid w:val="00870192"/>
    <w:rsid w:val="00870533"/>
    <w:rsid w:val="008708E0"/>
    <w:rsid w:val="00870ABA"/>
    <w:rsid w:val="00871606"/>
    <w:rsid w:val="00871886"/>
    <w:rsid w:val="00871B48"/>
    <w:rsid w:val="00871E6D"/>
    <w:rsid w:val="00872D0A"/>
    <w:rsid w:val="00872DB2"/>
    <w:rsid w:val="0087323E"/>
    <w:rsid w:val="00873A94"/>
    <w:rsid w:val="00874065"/>
    <w:rsid w:val="00874322"/>
    <w:rsid w:val="00874AFA"/>
    <w:rsid w:val="00875085"/>
    <w:rsid w:val="00875125"/>
    <w:rsid w:val="00875C61"/>
    <w:rsid w:val="008761C7"/>
    <w:rsid w:val="00876BAB"/>
    <w:rsid w:val="00876CBA"/>
    <w:rsid w:val="00877396"/>
    <w:rsid w:val="00877509"/>
    <w:rsid w:val="00877551"/>
    <w:rsid w:val="0087767E"/>
    <w:rsid w:val="008776CA"/>
    <w:rsid w:val="00880FBE"/>
    <w:rsid w:val="0088176E"/>
    <w:rsid w:val="008820F7"/>
    <w:rsid w:val="00882365"/>
    <w:rsid w:val="0088282E"/>
    <w:rsid w:val="00882D5F"/>
    <w:rsid w:val="00884618"/>
    <w:rsid w:val="00884ADD"/>
    <w:rsid w:val="00884E1E"/>
    <w:rsid w:val="00884F9A"/>
    <w:rsid w:val="0088513D"/>
    <w:rsid w:val="0088561C"/>
    <w:rsid w:val="00885AC6"/>
    <w:rsid w:val="00885F39"/>
    <w:rsid w:val="00885FD8"/>
    <w:rsid w:val="008863AF"/>
    <w:rsid w:val="0088695A"/>
    <w:rsid w:val="00886F1E"/>
    <w:rsid w:val="008870D1"/>
    <w:rsid w:val="0088715A"/>
    <w:rsid w:val="0088798D"/>
    <w:rsid w:val="00887DC0"/>
    <w:rsid w:val="00887F32"/>
    <w:rsid w:val="00891198"/>
    <w:rsid w:val="00891437"/>
    <w:rsid w:val="00891D8C"/>
    <w:rsid w:val="00891ECA"/>
    <w:rsid w:val="00891F0F"/>
    <w:rsid w:val="0089245D"/>
    <w:rsid w:val="0089313E"/>
    <w:rsid w:val="00893876"/>
    <w:rsid w:val="00893925"/>
    <w:rsid w:val="00893C6F"/>
    <w:rsid w:val="00895581"/>
    <w:rsid w:val="008957E5"/>
    <w:rsid w:val="00895888"/>
    <w:rsid w:val="00895EE8"/>
    <w:rsid w:val="00895F7F"/>
    <w:rsid w:val="00896882"/>
    <w:rsid w:val="00896CDA"/>
    <w:rsid w:val="00896D6A"/>
    <w:rsid w:val="00897AA7"/>
    <w:rsid w:val="00897CBD"/>
    <w:rsid w:val="008A05C9"/>
    <w:rsid w:val="008A0D8F"/>
    <w:rsid w:val="008A1305"/>
    <w:rsid w:val="008A18A3"/>
    <w:rsid w:val="008A1BD1"/>
    <w:rsid w:val="008A2240"/>
    <w:rsid w:val="008A24AE"/>
    <w:rsid w:val="008A24DE"/>
    <w:rsid w:val="008A2B33"/>
    <w:rsid w:val="008A2F28"/>
    <w:rsid w:val="008A31D1"/>
    <w:rsid w:val="008A3583"/>
    <w:rsid w:val="008A3881"/>
    <w:rsid w:val="008A3A7D"/>
    <w:rsid w:val="008A3DC2"/>
    <w:rsid w:val="008A3FB2"/>
    <w:rsid w:val="008A42A5"/>
    <w:rsid w:val="008A4331"/>
    <w:rsid w:val="008A4972"/>
    <w:rsid w:val="008A4B15"/>
    <w:rsid w:val="008A4CF2"/>
    <w:rsid w:val="008A523A"/>
    <w:rsid w:val="008A5908"/>
    <w:rsid w:val="008A604B"/>
    <w:rsid w:val="008A6C22"/>
    <w:rsid w:val="008A749A"/>
    <w:rsid w:val="008A7D2A"/>
    <w:rsid w:val="008A7EE0"/>
    <w:rsid w:val="008B0CD3"/>
    <w:rsid w:val="008B0F0B"/>
    <w:rsid w:val="008B1124"/>
    <w:rsid w:val="008B15CE"/>
    <w:rsid w:val="008B19DE"/>
    <w:rsid w:val="008B23CB"/>
    <w:rsid w:val="008B2591"/>
    <w:rsid w:val="008B26EC"/>
    <w:rsid w:val="008B3187"/>
    <w:rsid w:val="008B3210"/>
    <w:rsid w:val="008B3574"/>
    <w:rsid w:val="008B37D2"/>
    <w:rsid w:val="008B3889"/>
    <w:rsid w:val="008B3C59"/>
    <w:rsid w:val="008B4668"/>
    <w:rsid w:val="008B51B2"/>
    <w:rsid w:val="008B52F9"/>
    <w:rsid w:val="008B6647"/>
    <w:rsid w:val="008B66F6"/>
    <w:rsid w:val="008B74DF"/>
    <w:rsid w:val="008B7841"/>
    <w:rsid w:val="008B78D3"/>
    <w:rsid w:val="008C025C"/>
    <w:rsid w:val="008C1777"/>
    <w:rsid w:val="008C1B0F"/>
    <w:rsid w:val="008C22A4"/>
    <w:rsid w:val="008C240F"/>
    <w:rsid w:val="008C34C7"/>
    <w:rsid w:val="008C4280"/>
    <w:rsid w:val="008C4406"/>
    <w:rsid w:val="008C4574"/>
    <w:rsid w:val="008C4914"/>
    <w:rsid w:val="008C6C7B"/>
    <w:rsid w:val="008C709C"/>
    <w:rsid w:val="008C7357"/>
    <w:rsid w:val="008C77DA"/>
    <w:rsid w:val="008C7D90"/>
    <w:rsid w:val="008D05CC"/>
    <w:rsid w:val="008D20D7"/>
    <w:rsid w:val="008D20E8"/>
    <w:rsid w:val="008D2C51"/>
    <w:rsid w:val="008D3504"/>
    <w:rsid w:val="008D3635"/>
    <w:rsid w:val="008D36A0"/>
    <w:rsid w:val="008D3F01"/>
    <w:rsid w:val="008D42BB"/>
    <w:rsid w:val="008D51CB"/>
    <w:rsid w:val="008D5410"/>
    <w:rsid w:val="008D542F"/>
    <w:rsid w:val="008D5A84"/>
    <w:rsid w:val="008D5D05"/>
    <w:rsid w:val="008D602F"/>
    <w:rsid w:val="008D6503"/>
    <w:rsid w:val="008D713E"/>
    <w:rsid w:val="008D7190"/>
    <w:rsid w:val="008D71F7"/>
    <w:rsid w:val="008E03CA"/>
    <w:rsid w:val="008E0596"/>
    <w:rsid w:val="008E0ECF"/>
    <w:rsid w:val="008E1095"/>
    <w:rsid w:val="008E1447"/>
    <w:rsid w:val="008E1A7C"/>
    <w:rsid w:val="008E1ABC"/>
    <w:rsid w:val="008E1D8F"/>
    <w:rsid w:val="008E21BC"/>
    <w:rsid w:val="008E273C"/>
    <w:rsid w:val="008E2A84"/>
    <w:rsid w:val="008E316E"/>
    <w:rsid w:val="008E37C5"/>
    <w:rsid w:val="008E4760"/>
    <w:rsid w:val="008E4B2C"/>
    <w:rsid w:val="008E4C2C"/>
    <w:rsid w:val="008E558E"/>
    <w:rsid w:val="008E568F"/>
    <w:rsid w:val="008E690F"/>
    <w:rsid w:val="008E6DE4"/>
    <w:rsid w:val="008E7621"/>
    <w:rsid w:val="008E7E49"/>
    <w:rsid w:val="008E7EE5"/>
    <w:rsid w:val="008F0240"/>
    <w:rsid w:val="008F0823"/>
    <w:rsid w:val="008F0D12"/>
    <w:rsid w:val="008F0E84"/>
    <w:rsid w:val="008F1F22"/>
    <w:rsid w:val="008F2CAD"/>
    <w:rsid w:val="008F2D80"/>
    <w:rsid w:val="008F31DE"/>
    <w:rsid w:val="008F3CDD"/>
    <w:rsid w:val="008F4B6F"/>
    <w:rsid w:val="008F512A"/>
    <w:rsid w:val="008F5168"/>
    <w:rsid w:val="008F536C"/>
    <w:rsid w:val="008F621B"/>
    <w:rsid w:val="008F6226"/>
    <w:rsid w:val="008F642C"/>
    <w:rsid w:val="008F6569"/>
    <w:rsid w:val="008F6828"/>
    <w:rsid w:val="008F68A1"/>
    <w:rsid w:val="008F6A97"/>
    <w:rsid w:val="008F71C6"/>
    <w:rsid w:val="008F7AA2"/>
    <w:rsid w:val="008F7F57"/>
    <w:rsid w:val="00900369"/>
    <w:rsid w:val="00900673"/>
    <w:rsid w:val="00900778"/>
    <w:rsid w:val="00901AF8"/>
    <w:rsid w:val="0090233B"/>
    <w:rsid w:val="009023CD"/>
    <w:rsid w:val="00902450"/>
    <w:rsid w:val="009026BA"/>
    <w:rsid w:val="00902806"/>
    <w:rsid w:val="00902DB0"/>
    <w:rsid w:val="009031DC"/>
    <w:rsid w:val="00903BAA"/>
    <w:rsid w:val="00904534"/>
    <w:rsid w:val="00904826"/>
    <w:rsid w:val="009048B6"/>
    <w:rsid w:val="00904DF2"/>
    <w:rsid w:val="0090517B"/>
    <w:rsid w:val="009058B5"/>
    <w:rsid w:val="00905B71"/>
    <w:rsid w:val="00905C28"/>
    <w:rsid w:val="0090657C"/>
    <w:rsid w:val="009065C9"/>
    <w:rsid w:val="00906C03"/>
    <w:rsid w:val="00906C8C"/>
    <w:rsid w:val="00906EDC"/>
    <w:rsid w:val="00907571"/>
    <w:rsid w:val="00907661"/>
    <w:rsid w:val="00907997"/>
    <w:rsid w:val="00907F0D"/>
    <w:rsid w:val="00907F9D"/>
    <w:rsid w:val="00910575"/>
    <w:rsid w:val="00911C56"/>
    <w:rsid w:val="00911DD6"/>
    <w:rsid w:val="009122DF"/>
    <w:rsid w:val="00912E48"/>
    <w:rsid w:val="009130EA"/>
    <w:rsid w:val="009135DB"/>
    <w:rsid w:val="00913A61"/>
    <w:rsid w:val="00913F77"/>
    <w:rsid w:val="00914332"/>
    <w:rsid w:val="0091455E"/>
    <w:rsid w:val="009149EB"/>
    <w:rsid w:val="0091569D"/>
    <w:rsid w:val="0091618C"/>
    <w:rsid w:val="009165EE"/>
    <w:rsid w:val="00916817"/>
    <w:rsid w:val="00916BA8"/>
    <w:rsid w:val="00916BA9"/>
    <w:rsid w:val="00916CB8"/>
    <w:rsid w:val="00916EB3"/>
    <w:rsid w:val="009200E7"/>
    <w:rsid w:val="00920220"/>
    <w:rsid w:val="0092044D"/>
    <w:rsid w:val="00920526"/>
    <w:rsid w:val="009208CF"/>
    <w:rsid w:val="00920C8C"/>
    <w:rsid w:val="00920DA9"/>
    <w:rsid w:val="009212E5"/>
    <w:rsid w:val="00921C79"/>
    <w:rsid w:val="009225FF"/>
    <w:rsid w:val="00922B8C"/>
    <w:rsid w:val="00924BAF"/>
    <w:rsid w:val="0092575E"/>
    <w:rsid w:val="00925B0A"/>
    <w:rsid w:val="0092623F"/>
    <w:rsid w:val="00926355"/>
    <w:rsid w:val="009271D3"/>
    <w:rsid w:val="0092771F"/>
    <w:rsid w:val="00927B83"/>
    <w:rsid w:val="00927C71"/>
    <w:rsid w:val="0093005C"/>
    <w:rsid w:val="00930166"/>
    <w:rsid w:val="00930469"/>
    <w:rsid w:val="0093067B"/>
    <w:rsid w:val="00930D43"/>
    <w:rsid w:val="0093142E"/>
    <w:rsid w:val="00931641"/>
    <w:rsid w:val="0093172E"/>
    <w:rsid w:val="00932107"/>
    <w:rsid w:val="009324D1"/>
    <w:rsid w:val="00932AC6"/>
    <w:rsid w:val="00933BB9"/>
    <w:rsid w:val="00933CD5"/>
    <w:rsid w:val="00934193"/>
    <w:rsid w:val="0093456B"/>
    <w:rsid w:val="00934BBE"/>
    <w:rsid w:val="009350B0"/>
    <w:rsid w:val="009350B9"/>
    <w:rsid w:val="00935903"/>
    <w:rsid w:val="00935B8C"/>
    <w:rsid w:val="00935F2F"/>
    <w:rsid w:val="009361E3"/>
    <w:rsid w:val="0093733F"/>
    <w:rsid w:val="009379C7"/>
    <w:rsid w:val="00937AF9"/>
    <w:rsid w:val="00937DC3"/>
    <w:rsid w:val="009410AB"/>
    <w:rsid w:val="00941FEA"/>
    <w:rsid w:val="009421FA"/>
    <w:rsid w:val="00943032"/>
    <w:rsid w:val="009430CD"/>
    <w:rsid w:val="009439E5"/>
    <w:rsid w:val="00944389"/>
    <w:rsid w:val="00944BC3"/>
    <w:rsid w:val="009450A9"/>
    <w:rsid w:val="0094531C"/>
    <w:rsid w:val="0094579D"/>
    <w:rsid w:val="00945CDE"/>
    <w:rsid w:val="009462ED"/>
    <w:rsid w:val="00946300"/>
    <w:rsid w:val="00946585"/>
    <w:rsid w:val="009467E7"/>
    <w:rsid w:val="00946D2F"/>
    <w:rsid w:val="009471FE"/>
    <w:rsid w:val="00947295"/>
    <w:rsid w:val="00950AEC"/>
    <w:rsid w:val="00951867"/>
    <w:rsid w:val="00952644"/>
    <w:rsid w:val="00952C66"/>
    <w:rsid w:val="0095343E"/>
    <w:rsid w:val="00953BAC"/>
    <w:rsid w:val="00954120"/>
    <w:rsid w:val="00954899"/>
    <w:rsid w:val="009553B5"/>
    <w:rsid w:val="00955D6E"/>
    <w:rsid w:val="00956422"/>
    <w:rsid w:val="00956524"/>
    <w:rsid w:val="0095719B"/>
    <w:rsid w:val="00957224"/>
    <w:rsid w:val="009576FA"/>
    <w:rsid w:val="00957C08"/>
    <w:rsid w:val="009601FF"/>
    <w:rsid w:val="00960C70"/>
    <w:rsid w:val="00960E03"/>
    <w:rsid w:val="0096123E"/>
    <w:rsid w:val="0096142A"/>
    <w:rsid w:val="009617D9"/>
    <w:rsid w:val="00961B01"/>
    <w:rsid w:val="00962360"/>
    <w:rsid w:val="009628E6"/>
    <w:rsid w:val="00962E49"/>
    <w:rsid w:val="00962FA3"/>
    <w:rsid w:val="00963503"/>
    <w:rsid w:val="00964ED8"/>
    <w:rsid w:val="009653EE"/>
    <w:rsid w:val="0096613A"/>
    <w:rsid w:val="00966331"/>
    <w:rsid w:val="00966351"/>
    <w:rsid w:val="00966B75"/>
    <w:rsid w:val="00966C5A"/>
    <w:rsid w:val="00966F3B"/>
    <w:rsid w:val="00967846"/>
    <w:rsid w:val="009701F5"/>
    <w:rsid w:val="00970450"/>
    <w:rsid w:val="00970A47"/>
    <w:rsid w:val="00970FCA"/>
    <w:rsid w:val="009713F7"/>
    <w:rsid w:val="009717C6"/>
    <w:rsid w:val="009726C5"/>
    <w:rsid w:val="00972963"/>
    <w:rsid w:val="00972A6B"/>
    <w:rsid w:val="00972ABA"/>
    <w:rsid w:val="00972EBE"/>
    <w:rsid w:val="00973632"/>
    <w:rsid w:val="00973910"/>
    <w:rsid w:val="00973BF1"/>
    <w:rsid w:val="0097455C"/>
    <w:rsid w:val="00974576"/>
    <w:rsid w:val="009750ED"/>
    <w:rsid w:val="009752AC"/>
    <w:rsid w:val="00975BA1"/>
    <w:rsid w:val="009762F1"/>
    <w:rsid w:val="00976419"/>
    <w:rsid w:val="0097776B"/>
    <w:rsid w:val="009778C2"/>
    <w:rsid w:val="00980330"/>
    <w:rsid w:val="009805F5"/>
    <w:rsid w:val="00980A9D"/>
    <w:rsid w:val="00980ADA"/>
    <w:rsid w:val="00980B10"/>
    <w:rsid w:val="00981507"/>
    <w:rsid w:val="00981553"/>
    <w:rsid w:val="0098179F"/>
    <w:rsid w:val="0098201F"/>
    <w:rsid w:val="0098398F"/>
    <w:rsid w:val="00983FD0"/>
    <w:rsid w:val="00984187"/>
    <w:rsid w:val="0098474F"/>
    <w:rsid w:val="00984831"/>
    <w:rsid w:val="00984855"/>
    <w:rsid w:val="0098516A"/>
    <w:rsid w:val="009858F7"/>
    <w:rsid w:val="0098669C"/>
    <w:rsid w:val="00986A7F"/>
    <w:rsid w:val="00986C23"/>
    <w:rsid w:val="00986FB2"/>
    <w:rsid w:val="009870A4"/>
    <w:rsid w:val="0098786D"/>
    <w:rsid w:val="00987DF3"/>
    <w:rsid w:val="00990B61"/>
    <w:rsid w:val="00990DBA"/>
    <w:rsid w:val="0099133E"/>
    <w:rsid w:val="00991D9D"/>
    <w:rsid w:val="009927DA"/>
    <w:rsid w:val="00992A6E"/>
    <w:rsid w:val="00992C7F"/>
    <w:rsid w:val="00992FAC"/>
    <w:rsid w:val="00993523"/>
    <w:rsid w:val="00993CFE"/>
    <w:rsid w:val="0099419A"/>
    <w:rsid w:val="00994B3F"/>
    <w:rsid w:val="00995850"/>
    <w:rsid w:val="00995F1F"/>
    <w:rsid w:val="00996C31"/>
    <w:rsid w:val="0099710F"/>
    <w:rsid w:val="00997110"/>
    <w:rsid w:val="0099743F"/>
    <w:rsid w:val="00997EC5"/>
    <w:rsid w:val="009A0EB4"/>
    <w:rsid w:val="009A1C99"/>
    <w:rsid w:val="009A309A"/>
    <w:rsid w:val="009A3790"/>
    <w:rsid w:val="009A3F45"/>
    <w:rsid w:val="009A47C5"/>
    <w:rsid w:val="009A5393"/>
    <w:rsid w:val="009A5A24"/>
    <w:rsid w:val="009A5B24"/>
    <w:rsid w:val="009A5E41"/>
    <w:rsid w:val="009A5FD6"/>
    <w:rsid w:val="009A61EA"/>
    <w:rsid w:val="009A628D"/>
    <w:rsid w:val="009A68F8"/>
    <w:rsid w:val="009A7AB6"/>
    <w:rsid w:val="009A7B67"/>
    <w:rsid w:val="009A7F38"/>
    <w:rsid w:val="009B06DE"/>
    <w:rsid w:val="009B0E4C"/>
    <w:rsid w:val="009B16BC"/>
    <w:rsid w:val="009B1BE5"/>
    <w:rsid w:val="009B201D"/>
    <w:rsid w:val="009B217A"/>
    <w:rsid w:val="009B297B"/>
    <w:rsid w:val="009B31C7"/>
    <w:rsid w:val="009B3539"/>
    <w:rsid w:val="009B3705"/>
    <w:rsid w:val="009B3C2E"/>
    <w:rsid w:val="009B5082"/>
    <w:rsid w:val="009B5149"/>
    <w:rsid w:val="009B5714"/>
    <w:rsid w:val="009B682B"/>
    <w:rsid w:val="009B71B7"/>
    <w:rsid w:val="009B74BA"/>
    <w:rsid w:val="009B7B53"/>
    <w:rsid w:val="009C031F"/>
    <w:rsid w:val="009C09B1"/>
    <w:rsid w:val="009C1A48"/>
    <w:rsid w:val="009C204D"/>
    <w:rsid w:val="009C21B8"/>
    <w:rsid w:val="009C2B01"/>
    <w:rsid w:val="009C2F89"/>
    <w:rsid w:val="009C30B4"/>
    <w:rsid w:val="009C3100"/>
    <w:rsid w:val="009C49AD"/>
    <w:rsid w:val="009C58CD"/>
    <w:rsid w:val="009C6304"/>
    <w:rsid w:val="009C693D"/>
    <w:rsid w:val="009C6D10"/>
    <w:rsid w:val="009C7028"/>
    <w:rsid w:val="009C792E"/>
    <w:rsid w:val="009C7AF5"/>
    <w:rsid w:val="009C7FC0"/>
    <w:rsid w:val="009D03BD"/>
    <w:rsid w:val="009D0BA7"/>
    <w:rsid w:val="009D14E8"/>
    <w:rsid w:val="009D30FF"/>
    <w:rsid w:val="009D33E5"/>
    <w:rsid w:val="009D3AA7"/>
    <w:rsid w:val="009D3BD5"/>
    <w:rsid w:val="009D58FD"/>
    <w:rsid w:val="009D5EF4"/>
    <w:rsid w:val="009D5F79"/>
    <w:rsid w:val="009D615B"/>
    <w:rsid w:val="009D6D1F"/>
    <w:rsid w:val="009D751F"/>
    <w:rsid w:val="009E1860"/>
    <w:rsid w:val="009E27A2"/>
    <w:rsid w:val="009E2B7C"/>
    <w:rsid w:val="009E3D70"/>
    <w:rsid w:val="009E3DCC"/>
    <w:rsid w:val="009E45F0"/>
    <w:rsid w:val="009E4AC0"/>
    <w:rsid w:val="009E4B08"/>
    <w:rsid w:val="009E4D37"/>
    <w:rsid w:val="009E5650"/>
    <w:rsid w:val="009E5D5E"/>
    <w:rsid w:val="009E605F"/>
    <w:rsid w:val="009E61A4"/>
    <w:rsid w:val="009E6283"/>
    <w:rsid w:val="009E6A9F"/>
    <w:rsid w:val="009E7130"/>
    <w:rsid w:val="009E72C6"/>
    <w:rsid w:val="009E7451"/>
    <w:rsid w:val="009E79C0"/>
    <w:rsid w:val="009E7CDA"/>
    <w:rsid w:val="009F0117"/>
    <w:rsid w:val="009F046C"/>
    <w:rsid w:val="009F05C9"/>
    <w:rsid w:val="009F060D"/>
    <w:rsid w:val="009F07E3"/>
    <w:rsid w:val="009F0B99"/>
    <w:rsid w:val="009F0F70"/>
    <w:rsid w:val="009F17E5"/>
    <w:rsid w:val="009F1DB5"/>
    <w:rsid w:val="009F1F31"/>
    <w:rsid w:val="009F22CF"/>
    <w:rsid w:val="009F2399"/>
    <w:rsid w:val="009F253C"/>
    <w:rsid w:val="009F2564"/>
    <w:rsid w:val="009F27A6"/>
    <w:rsid w:val="009F344F"/>
    <w:rsid w:val="009F35A1"/>
    <w:rsid w:val="009F3B79"/>
    <w:rsid w:val="009F3CC4"/>
    <w:rsid w:val="009F50F4"/>
    <w:rsid w:val="009F5EF2"/>
    <w:rsid w:val="009F668D"/>
    <w:rsid w:val="009F7244"/>
    <w:rsid w:val="00A0031F"/>
    <w:rsid w:val="00A00909"/>
    <w:rsid w:val="00A00C3E"/>
    <w:rsid w:val="00A00C9A"/>
    <w:rsid w:val="00A00CBD"/>
    <w:rsid w:val="00A01047"/>
    <w:rsid w:val="00A011F6"/>
    <w:rsid w:val="00A0192F"/>
    <w:rsid w:val="00A01DC6"/>
    <w:rsid w:val="00A01F91"/>
    <w:rsid w:val="00A02270"/>
    <w:rsid w:val="00A026AA"/>
    <w:rsid w:val="00A02B9D"/>
    <w:rsid w:val="00A02D59"/>
    <w:rsid w:val="00A03890"/>
    <w:rsid w:val="00A03B76"/>
    <w:rsid w:val="00A03E78"/>
    <w:rsid w:val="00A04461"/>
    <w:rsid w:val="00A04623"/>
    <w:rsid w:val="00A04838"/>
    <w:rsid w:val="00A053B1"/>
    <w:rsid w:val="00A05F31"/>
    <w:rsid w:val="00A06968"/>
    <w:rsid w:val="00A071E4"/>
    <w:rsid w:val="00A07704"/>
    <w:rsid w:val="00A078F0"/>
    <w:rsid w:val="00A07DE7"/>
    <w:rsid w:val="00A10329"/>
    <w:rsid w:val="00A10830"/>
    <w:rsid w:val="00A1097E"/>
    <w:rsid w:val="00A10E29"/>
    <w:rsid w:val="00A113D5"/>
    <w:rsid w:val="00A1140C"/>
    <w:rsid w:val="00A11818"/>
    <w:rsid w:val="00A11C67"/>
    <w:rsid w:val="00A12BE5"/>
    <w:rsid w:val="00A12DF1"/>
    <w:rsid w:val="00A13589"/>
    <w:rsid w:val="00A13FC2"/>
    <w:rsid w:val="00A147C9"/>
    <w:rsid w:val="00A14991"/>
    <w:rsid w:val="00A15164"/>
    <w:rsid w:val="00A151D5"/>
    <w:rsid w:val="00A156A6"/>
    <w:rsid w:val="00A15AEB"/>
    <w:rsid w:val="00A15EDB"/>
    <w:rsid w:val="00A160D1"/>
    <w:rsid w:val="00A16CEA"/>
    <w:rsid w:val="00A17780"/>
    <w:rsid w:val="00A2002B"/>
    <w:rsid w:val="00A2072A"/>
    <w:rsid w:val="00A207F2"/>
    <w:rsid w:val="00A20AB3"/>
    <w:rsid w:val="00A20CFD"/>
    <w:rsid w:val="00A20D58"/>
    <w:rsid w:val="00A220BC"/>
    <w:rsid w:val="00A22C99"/>
    <w:rsid w:val="00A23091"/>
    <w:rsid w:val="00A23289"/>
    <w:rsid w:val="00A233A1"/>
    <w:rsid w:val="00A23E95"/>
    <w:rsid w:val="00A244D8"/>
    <w:rsid w:val="00A247AC"/>
    <w:rsid w:val="00A2524B"/>
    <w:rsid w:val="00A2586B"/>
    <w:rsid w:val="00A25A49"/>
    <w:rsid w:val="00A25BA8"/>
    <w:rsid w:val="00A2685F"/>
    <w:rsid w:val="00A2717B"/>
    <w:rsid w:val="00A271E3"/>
    <w:rsid w:val="00A27402"/>
    <w:rsid w:val="00A274B0"/>
    <w:rsid w:val="00A27643"/>
    <w:rsid w:val="00A277B9"/>
    <w:rsid w:val="00A27872"/>
    <w:rsid w:val="00A27AA5"/>
    <w:rsid w:val="00A3052B"/>
    <w:rsid w:val="00A3056D"/>
    <w:rsid w:val="00A310A0"/>
    <w:rsid w:val="00A3138D"/>
    <w:rsid w:val="00A31C88"/>
    <w:rsid w:val="00A31EDE"/>
    <w:rsid w:val="00A321D4"/>
    <w:rsid w:val="00A329A6"/>
    <w:rsid w:val="00A32D57"/>
    <w:rsid w:val="00A3343C"/>
    <w:rsid w:val="00A33E82"/>
    <w:rsid w:val="00A340B5"/>
    <w:rsid w:val="00A34759"/>
    <w:rsid w:val="00A35F7B"/>
    <w:rsid w:val="00A3669A"/>
    <w:rsid w:val="00A36975"/>
    <w:rsid w:val="00A36B98"/>
    <w:rsid w:val="00A36FA0"/>
    <w:rsid w:val="00A37E51"/>
    <w:rsid w:val="00A4026C"/>
    <w:rsid w:val="00A402B7"/>
    <w:rsid w:val="00A406DE"/>
    <w:rsid w:val="00A408CA"/>
    <w:rsid w:val="00A40A8D"/>
    <w:rsid w:val="00A41034"/>
    <w:rsid w:val="00A41AD4"/>
    <w:rsid w:val="00A421C3"/>
    <w:rsid w:val="00A4232D"/>
    <w:rsid w:val="00A423E8"/>
    <w:rsid w:val="00A42518"/>
    <w:rsid w:val="00A4279F"/>
    <w:rsid w:val="00A42A44"/>
    <w:rsid w:val="00A432B6"/>
    <w:rsid w:val="00A436DC"/>
    <w:rsid w:val="00A4384E"/>
    <w:rsid w:val="00A4412D"/>
    <w:rsid w:val="00A447B2"/>
    <w:rsid w:val="00A44995"/>
    <w:rsid w:val="00A44F16"/>
    <w:rsid w:val="00A45AB0"/>
    <w:rsid w:val="00A47279"/>
    <w:rsid w:val="00A4749F"/>
    <w:rsid w:val="00A4765E"/>
    <w:rsid w:val="00A47879"/>
    <w:rsid w:val="00A51110"/>
    <w:rsid w:val="00A512EC"/>
    <w:rsid w:val="00A51EB0"/>
    <w:rsid w:val="00A5215C"/>
    <w:rsid w:val="00A5295C"/>
    <w:rsid w:val="00A52B01"/>
    <w:rsid w:val="00A5359D"/>
    <w:rsid w:val="00A53691"/>
    <w:rsid w:val="00A55570"/>
    <w:rsid w:val="00A55729"/>
    <w:rsid w:val="00A56113"/>
    <w:rsid w:val="00A5629E"/>
    <w:rsid w:val="00A56693"/>
    <w:rsid w:val="00A56717"/>
    <w:rsid w:val="00A5743C"/>
    <w:rsid w:val="00A57A2A"/>
    <w:rsid w:val="00A57FB8"/>
    <w:rsid w:val="00A60126"/>
    <w:rsid w:val="00A60347"/>
    <w:rsid w:val="00A60572"/>
    <w:rsid w:val="00A615FC"/>
    <w:rsid w:val="00A61621"/>
    <w:rsid w:val="00A616B8"/>
    <w:rsid w:val="00A61A78"/>
    <w:rsid w:val="00A61BC9"/>
    <w:rsid w:val="00A61D1C"/>
    <w:rsid w:val="00A61E07"/>
    <w:rsid w:val="00A61EE5"/>
    <w:rsid w:val="00A62081"/>
    <w:rsid w:val="00A62083"/>
    <w:rsid w:val="00A62330"/>
    <w:rsid w:val="00A62444"/>
    <w:rsid w:val="00A62F65"/>
    <w:rsid w:val="00A63B01"/>
    <w:rsid w:val="00A64789"/>
    <w:rsid w:val="00A64BD9"/>
    <w:rsid w:val="00A651AA"/>
    <w:rsid w:val="00A65378"/>
    <w:rsid w:val="00A65AF1"/>
    <w:rsid w:val="00A65C71"/>
    <w:rsid w:val="00A66242"/>
    <w:rsid w:val="00A66291"/>
    <w:rsid w:val="00A664C4"/>
    <w:rsid w:val="00A665BB"/>
    <w:rsid w:val="00A66E57"/>
    <w:rsid w:val="00A670E1"/>
    <w:rsid w:val="00A675DA"/>
    <w:rsid w:val="00A705EF"/>
    <w:rsid w:val="00A70B38"/>
    <w:rsid w:val="00A70DE1"/>
    <w:rsid w:val="00A7169B"/>
    <w:rsid w:val="00A7179E"/>
    <w:rsid w:val="00A71C30"/>
    <w:rsid w:val="00A725A3"/>
    <w:rsid w:val="00A7351F"/>
    <w:rsid w:val="00A73E52"/>
    <w:rsid w:val="00A7423B"/>
    <w:rsid w:val="00A744B1"/>
    <w:rsid w:val="00A74647"/>
    <w:rsid w:val="00A751B1"/>
    <w:rsid w:val="00A75AD9"/>
    <w:rsid w:val="00A75B3D"/>
    <w:rsid w:val="00A75B69"/>
    <w:rsid w:val="00A75CE6"/>
    <w:rsid w:val="00A75D1B"/>
    <w:rsid w:val="00A7667A"/>
    <w:rsid w:val="00A7686B"/>
    <w:rsid w:val="00A76B01"/>
    <w:rsid w:val="00A80CB6"/>
    <w:rsid w:val="00A81AA2"/>
    <w:rsid w:val="00A81DF3"/>
    <w:rsid w:val="00A82897"/>
    <w:rsid w:val="00A828B7"/>
    <w:rsid w:val="00A831B7"/>
    <w:rsid w:val="00A83700"/>
    <w:rsid w:val="00A8370C"/>
    <w:rsid w:val="00A83869"/>
    <w:rsid w:val="00A83E61"/>
    <w:rsid w:val="00A84245"/>
    <w:rsid w:val="00A846E8"/>
    <w:rsid w:val="00A851FE"/>
    <w:rsid w:val="00A85233"/>
    <w:rsid w:val="00A862F2"/>
    <w:rsid w:val="00A86846"/>
    <w:rsid w:val="00A869F6"/>
    <w:rsid w:val="00A86FD5"/>
    <w:rsid w:val="00A8700B"/>
    <w:rsid w:val="00A87021"/>
    <w:rsid w:val="00A87348"/>
    <w:rsid w:val="00A876DE"/>
    <w:rsid w:val="00A87E56"/>
    <w:rsid w:val="00A9082B"/>
    <w:rsid w:val="00A908D7"/>
    <w:rsid w:val="00A90C64"/>
    <w:rsid w:val="00A90C76"/>
    <w:rsid w:val="00A912A2"/>
    <w:rsid w:val="00A914B2"/>
    <w:rsid w:val="00A91D4F"/>
    <w:rsid w:val="00A91DE4"/>
    <w:rsid w:val="00A924DE"/>
    <w:rsid w:val="00A925F6"/>
    <w:rsid w:val="00A92A8A"/>
    <w:rsid w:val="00A92E5C"/>
    <w:rsid w:val="00A9375A"/>
    <w:rsid w:val="00A93D9A"/>
    <w:rsid w:val="00A944FC"/>
    <w:rsid w:val="00A947AB"/>
    <w:rsid w:val="00A9486B"/>
    <w:rsid w:val="00A94ADA"/>
    <w:rsid w:val="00A95E1A"/>
    <w:rsid w:val="00A96165"/>
    <w:rsid w:val="00A9691F"/>
    <w:rsid w:val="00A97120"/>
    <w:rsid w:val="00A97915"/>
    <w:rsid w:val="00A97D99"/>
    <w:rsid w:val="00A97EED"/>
    <w:rsid w:val="00A97F41"/>
    <w:rsid w:val="00AA0098"/>
    <w:rsid w:val="00AA00E4"/>
    <w:rsid w:val="00AA077F"/>
    <w:rsid w:val="00AA10DC"/>
    <w:rsid w:val="00AA1635"/>
    <w:rsid w:val="00AA208A"/>
    <w:rsid w:val="00AA28CA"/>
    <w:rsid w:val="00AA2906"/>
    <w:rsid w:val="00AA2A84"/>
    <w:rsid w:val="00AA3692"/>
    <w:rsid w:val="00AA38BA"/>
    <w:rsid w:val="00AA4048"/>
    <w:rsid w:val="00AA46A0"/>
    <w:rsid w:val="00AA486E"/>
    <w:rsid w:val="00AA558E"/>
    <w:rsid w:val="00AA5898"/>
    <w:rsid w:val="00AA5F3F"/>
    <w:rsid w:val="00AA5F66"/>
    <w:rsid w:val="00AA6298"/>
    <w:rsid w:val="00AA63CB"/>
    <w:rsid w:val="00AA7A54"/>
    <w:rsid w:val="00AB00ED"/>
    <w:rsid w:val="00AB05DA"/>
    <w:rsid w:val="00AB0AC1"/>
    <w:rsid w:val="00AB0D06"/>
    <w:rsid w:val="00AB15CA"/>
    <w:rsid w:val="00AB1E5A"/>
    <w:rsid w:val="00AB267D"/>
    <w:rsid w:val="00AB3E57"/>
    <w:rsid w:val="00AB46C5"/>
    <w:rsid w:val="00AB4D87"/>
    <w:rsid w:val="00AB57A6"/>
    <w:rsid w:val="00AB604F"/>
    <w:rsid w:val="00AB666B"/>
    <w:rsid w:val="00AB794E"/>
    <w:rsid w:val="00AC0110"/>
    <w:rsid w:val="00AC0199"/>
    <w:rsid w:val="00AC063E"/>
    <w:rsid w:val="00AC0C1A"/>
    <w:rsid w:val="00AC103B"/>
    <w:rsid w:val="00AC11FE"/>
    <w:rsid w:val="00AC143E"/>
    <w:rsid w:val="00AC1493"/>
    <w:rsid w:val="00AC153D"/>
    <w:rsid w:val="00AC28FA"/>
    <w:rsid w:val="00AC3066"/>
    <w:rsid w:val="00AC3610"/>
    <w:rsid w:val="00AC3E62"/>
    <w:rsid w:val="00AC3EB0"/>
    <w:rsid w:val="00AC42A0"/>
    <w:rsid w:val="00AC4673"/>
    <w:rsid w:val="00AC48BF"/>
    <w:rsid w:val="00AC54FD"/>
    <w:rsid w:val="00AC63DB"/>
    <w:rsid w:val="00AC64C5"/>
    <w:rsid w:val="00AC6539"/>
    <w:rsid w:val="00AC6706"/>
    <w:rsid w:val="00AC6DFD"/>
    <w:rsid w:val="00AC7CD5"/>
    <w:rsid w:val="00AC7D03"/>
    <w:rsid w:val="00AC7E56"/>
    <w:rsid w:val="00AD038A"/>
    <w:rsid w:val="00AD1131"/>
    <w:rsid w:val="00AD1404"/>
    <w:rsid w:val="00AD1CF7"/>
    <w:rsid w:val="00AD1D80"/>
    <w:rsid w:val="00AD2159"/>
    <w:rsid w:val="00AD36CE"/>
    <w:rsid w:val="00AD3D95"/>
    <w:rsid w:val="00AD439A"/>
    <w:rsid w:val="00AD456B"/>
    <w:rsid w:val="00AD521D"/>
    <w:rsid w:val="00AD5262"/>
    <w:rsid w:val="00AD5605"/>
    <w:rsid w:val="00AD59B3"/>
    <w:rsid w:val="00AD5AEC"/>
    <w:rsid w:val="00AD60B6"/>
    <w:rsid w:val="00AD6738"/>
    <w:rsid w:val="00AD6C98"/>
    <w:rsid w:val="00AD7658"/>
    <w:rsid w:val="00AD7AE4"/>
    <w:rsid w:val="00AE19FA"/>
    <w:rsid w:val="00AE25E4"/>
    <w:rsid w:val="00AE328B"/>
    <w:rsid w:val="00AE3FA8"/>
    <w:rsid w:val="00AE3FA9"/>
    <w:rsid w:val="00AE4CF8"/>
    <w:rsid w:val="00AE4D15"/>
    <w:rsid w:val="00AE5E82"/>
    <w:rsid w:val="00AE68C4"/>
    <w:rsid w:val="00AE6968"/>
    <w:rsid w:val="00AE6E64"/>
    <w:rsid w:val="00AE6FE9"/>
    <w:rsid w:val="00AE768F"/>
    <w:rsid w:val="00AE7D91"/>
    <w:rsid w:val="00AF13B4"/>
    <w:rsid w:val="00AF15CA"/>
    <w:rsid w:val="00AF15E0"/>
    <w:rsid w:val="00AF1711"/>
    <w:rsid w:val="00AF226B"/>
    <w:rsid w:val="00AF3597"/>
    <w:rsid w:val="00AF3E62"/>
    <w:rsid w:val="00AF400D"/>
    <w:rsid w:val="00AF418B"/>
    <w:rsid w:val="00AF4752"/>
    <w:rsid w:val="00AF6418"/>
    <w:rsid w:val="00AF6443"/>
    <w:rsid w:val="00AF693B"/>
    <w:rsid w:val="00AF729B"/>
    <w:rsid w:val="00AF7602"/>
    <w:rsid w:val="00AF76D7"/>
    <w:rsid w:val="00AF789D"/>
    <w:rsid w:val="00B00584"/>
    <w:rsid w:val="00B0177A"/>
    <w:rsid w:val="00B0179E"/>
    <w:rsid w:val="00B0182C"/>
    <w:rsid w:val="00B01CC3"/>
    <w:rsid w:val="00B025FE"/>
    <w:rsid w:val="00B027DB"/>
    <w:rsid w:val="00B02FC0"/>
    <w:rsid w:val="00B03676"/>
    <w:rsid w:val="00B04258"/>
    <w:rsid w:val="00B04968"/>
    <w:rsid w:val="00B049B6"/>
    <w:rsid w:val="00B04BC9"/>
    <w:rsid w:val="00B06113"/>
    <w:rsid w:val="00B06331"/>
    <w:rsid w:val="00B06B53"/>
    <w:rsid w:val="00B06ED8"/>
    <w:rsid w:val="00B0712C"/>
    <w:rsid w:val="00B075BF"/>
    <w:rsid w:val="00B07EDC"/>
    <w:rsid w:val="00B10070"/>
    <w:rsid w:val="00B10241"/>
    <w:rsid w:val="00B10839"/>
    <w:rsid w:val="00B11051"/>
    <w:rsid w:val="00B1130D"/>
    <w:rsid w:val="00B113D4"/>
    <w:rsid w:val="00B1332F"/>
    <w:rsid w:val="00B1393B"/>
    <w:rsid w:val="00B13C8E"/>
    <w:rsid w:val="00B13E81"/>
    <w:rsid w:val="00B13F2B"/>
    <w:rsid w:val="00B147C8"/>
    <w:rsid w:val="00B14B3D"/>
    <w:rsid w:val="00B14CC5"/>
    <w:rsid w:val="00B15A0A"/>
    <w:rsid w:val="00B15F50"/>
    <w:rsid w:val="00B16023"/>
    <w:rsid w:val="00B16C06"/>
    <w:rsid w:val="00B172A4"/>
    <w:rsid w:val="00B17FBE"/>
    <w:rsid w:val="00B204C7"/>
    <w:rsid w:val="00B20A27"/>
    <w:rsid w:val="00B20EF4"/>
    <w:rsid w:val="00B21098"/>
    <w:rsid w:val="00B21818"/>
    <w:rsid w:val="00B21A39"/>
    <w:rsid w:val="00B21B2B"/>
    <w:rsid w:val="00B21BE1"/>
    <w:rsid w:val="00B21D8C"/>
    <w:rsid w:val="00B223FC"/>
    <w:rsid w:val="00B2242F"/>
    <w:rsid w:val="00B22463"/>
    <w:rsid w:val="00B224B1"/>
    <w:rsid w:val="00B22A5A"/>
    <w:rsid w:val="00B22F4A"/>
    <w:rsid w:val="00B2372E"/>
    <w:rsid w:val="00B23A6E"/>
    <w:rsid w:val="00B23E69"/>
    <w:rsid w:val="00B24F99"/>
    <w:rsid w:val="00B25106"/>
    <w:rsid w:val="00B2665D"/>
    <w:rsid w:val="00B26730"/>
    <w:rsid w:val="00B27234"/>
    <w:rsid w:val="00B2744C"/>
    <w:rsid w:val="00B274CA"/>
    <w:rsid w:val="00B27638"/>
    <w:rsid w:val="00B276B7"/>
    <w:rsid w:val="00B27AE2"/>
    <w:rsid w:val="00B27CE8"/>
    <w:rsid w:val="00B27DE9"/>
    <w:rsid w:val="00B27EB0"/>
    <w:rsid w:val="00B27FD9"/>
    <w:rsid w:val="00B30B47"/>
    <w:rsid w:val="00B30B84"/>
    <w:rsid w:val="00B314AA"/>
    <w:rsid w:val="00B316ED"/>
    <w:rsid w:val="00B3232B"/>
    <w:rsid w:val="00B325F8"/>
    <w:rsid w:val="00B328EE"/>
    <w:rsid w:val="00B32A90"/>
    <w:rsid w:val="00B33C0B"/>
    <w:rsid w:val="00B343CA"/>
    <w:rsid w:val="00B34A2A"/>
    <w:rsid w:val="00B34DF5"/>
    <w:rsid w:val="00B356AF"/>
    <w:rsid w:val="00B35A95"/>
    <w:rsid w:val="00B35ABF"/>
    <w:rsid w:val="00B35CC1"/>
    <w:rsid w:val="00B35E39"/>
    <w:rsid w:val="00B36661"/>
    <w:rsid w:val="00B36CC5"/>
    <w:rsid w:val="00B37F6D"/>
    <w:rsid w:val="00B40505"/>
    <w:rsid w:val="00B4062D"/>
    <w:rsid w:val="00B40A6A"/>
    <w:rsid w:val="00B41486"/>
    <w:rsid w:val="00B416BA"/>
    <w:rsid w:val="00B41C17"/>
    <w:rsid w:val="00B41DE9"/>
    <w:rsid w:val="00B42A16"/>
    <w:rsid w:val="00B42C27"/>
    <w:rsid w:val="00B43C8A"/>
    <w:rsid w:val="00B443F1"/>
    <w:rsid w:val="00B44FF4"/>
    <w:rsid w:val="00B45E94"/>
    <w:rsid w:val="00B45EF8"/>
    <w:rsid w:val="00B46124"/>
    <w:rsid w:val="00B462D7"/>
    <w:rsid w:val="00B4661E"/>
    <w:rsid w:val="00B47038"/>
    <w:rsid w:val="00B476DF"/>
    <w:rsid w:val="00B47D32"/>
    <w:rsid w:val="00B50706"/>
    <w:rsid w:val="00B513F9"/>
    <w:rsid w:val="00B51F90"/>
    <w:rsid w:val="00B5219E"/>
    <w:rsid w:val="00B52619"/>
    <w:rsid w:val="00B530A8"/>
    <w:rsid w:val="00B5312F"/>
    <w:rsid w:val="00B53437"/>
    <w:rsid w:val="00B53565"/>
    <w:rsid w:val="00B5395C"/>
    <w:rsid w:val="00B53BC0"/>
    <w:rsid w:val="00B53DE0"/>
    <w:rsid w:val="00B548E4"/>
    <w:rsid w:val="00B54B02"/>
    <w:rsid w:val="00B54DA9"/>
    <w:rsid w:val="00B55A81"/>
    <w:rsid w:val="00B55B1A"/>
    <w:rsid w:val="00B55B45"/>
    <w:rsid w:val="00B55E02"/>
    <w:rsid w:val="00B568F6"/>
    <w:rsid w:val="00B5711D"/>
    <w:rsid w:val="00B57192"/>
    <w:rsid w:val="00B57B57"/>
    <w:rsid w:val="00B60E03"/>
    <w:rsid w:val="00B6210E"/>
    <w:rsid w:val="00B634C1"/>
    <w:rsid w:val="00B636E3"/>
    <w:rsid w:val="00B63F97"/>
    <w:rsid w:val="00B64314"/>
    <w:rsid w:val="00B648B1"/>
    <w:rsid w:val="00B65538"/>
    <w:rsid w:val="00B66A43"/>
    <w:rsid w:val="00B672D2"/>
    <w:rsid w:val="00B675EB"/>
    <w:rsid w:val="00B67BF2"/>
    <w:rsid w:val="00B70413"/>
    <w:rsid w:val="00B70745"/>
    <w:rsid w:val="00B70BF2"/>
    <w:rsid w:val="00B71476"/>
    <w:rsid w:val="00B719EB"/>
    <w:rsid w:val="00B71D64"/>
    <w:rsid w:val="00B72042"/>
    <w:rsid w:val="00B72795"/>
    <w:rsid w:val="00B729D2"/>
    <w:rsid w:val="00B72D4A"/>
    <w:rsid w:val="00B732DD"/>
    <w:rsid w:val="00B738B6"/>
    <w:rsid w:val="00B73B59"/>
    <w:rsid w:val="00B74C22"/>
    <w:rsid w:val="00B75635"/>
    <w:rsid w:val="00B758C5"/>
    <w:rsid w:val="00B75E21"/>
    <w:rsid w:val="00B7633A"/>
    <w:rsid w:val="00B76B6E"/>
    <w:rsid w:val="00B76EA0"/>
    <w:rsid w:val="00B776E9"/>
    <w:rsid w:val="00B800F1"/>
    <w:rsid w:val="00B802B3"/>
    <w:rsid w:val="00B81E9F"/>
    <w:rsid w:val="00B82FEB"/>
    <w:rsid w:val="00B841A8"/>
    <w:rsid w:val="00B84F4E"/>
    <w:rsid w:val="00B8534B"/>
    <w:rsid w:val="00B856BA"/>
    <w:rsid w:val="00B85F9A"/>
    <w:rsid w:val="00B86CAB"/>
    <w:rsid w:val="00B86E04"/>
    <w:rsid w:val="00B870BA"/>
    <w:rsid w:val="00B8782D"/>
    <w:rsid w:val="00B87C94"/>
    <w:rsid w:val="00B87DC1"/>
    <w:rsid w:val="00B90E17"/>
    <w:rsid w:val="00B91450"/>
    <w:rsid w:val="00B9190F"/>
    <w:rsid w:val="00B919A4"/>
    <w:rsid w:val="00B9267F"/>
    <w:rsid w:val="00B93146"/>
    <w:rsid w:val="00B932D2"/>
    <w:rsid w:val="00B93BD3"/>
    <w:rsid w:val="00B93BED"/>
    <w:rsid w:val="00B93CF1"/>
    <w:rsid w:val="00B94719"/>
    <w:rsid w:val="00B94E6B"/>
    <w:rsid w:val="00B94EC7"/>
    <w:rsid w:val="00B950DE"/>
    <w:rsid w:val="00B95179"/>
    <w:rsid w:val="00B95393"/>
    <w:rsid w:val="00B954E4"/>
    <w:rsid w:val="00B9561C"/>
    <w:rsid w:val="00B95893"/>
    <w:rsid w:val="00B95934"/>
    <w:rsid w:val="00B9628E"/>
    <w:rsid w:val="00B96458"/>
    <w:rsid w:val="00B96B84"/>
    <w:rsid w:val="00B96C60"/>
    <w:rsid w:val="00B97146"/>
    <w:rsid w:val="00B97567"/>
    <w:rsid w:val="00B97622"/>
    <w:rsid w:val="00BA0790"/>
    <w:rsid w:val="00BA0838"/>
    <w:rsid w:val="00BA145F"/>
    <w:rsid w:val="00BA1511"/>
    <w:rsid w:val="00BA152F"/>
    <w:rsid w:val="00BA1F5D"/>
    <w:rsid w:val="00BA23AA"/>
    <w:rsid w:val="00BA267F"/>
    <w:rsid w:val="00BA32EF"/>
    <w:rsid w:val="00BA3501"/>
    <w:rsid w:val="00BA502D"/>
    <w:rsid w:val="00BA596B"/>
    <w:rsid w:val="00BA5BDC"/>
    <w:rsid w:val="00BA5D42"/>
    <w:rsid w:val="00BA615F"/>
    <w:rsid w:val="00BA741E"/>
    <w:rsid w:val="00BA79AD"/>
    <w:rsid w:val="00BB0018"/>
    <w:rsid w:val="00BB1A82"/>
    <w:rsid w:val="00BB1B7C"/>
    <w:rsid w:val="00BB1B91"/>
    <w:rsid w:val="00BB1C74"/>
    <w:rsid w:val="00BB2293"/>
    <w:rsid w:val="00BB23EB"/>
    <w:rsid w:val="00BB2DD1"/>
    <w:rsid w:val="00BB2F70"/>
    <w:rsid w:val="00BB3162"/>
    <w:rsid w:val="00BB31D2"/>
    <w:rsid w:val="00BB3790"/>
    <w:rsid w:val="00BB464D"/>
    <w:rsid w:val="00BB4881"/>
    <w:rsid w:val="00BB49E7"/>
    <w:rsid w:val="00BB4A5D"/>
    <w:rsid w:val="00BB4B5F"/>
    <w:rsid w:val="00BB4FC2"/>
    <w:rsid w:val="00BB5160"/>
    <w:rsid w:val="00BB51B2"/>
    <w:rsid w:val="00BB5223"/>
    <w:rsid w:val="00BB52E1"/>
    <w:rsid w:val="00BB5725"/>
    <w:rsid w:val="00BB7122"/>
    <w:rsid w:val="00BB739E"/>
    <w:rsid w:val="00BB7B62"/>
    <w:rsid w:val="00BB7C77"/>
    <w:rsid w:val="00BC13FA"/>
    <w:rsid w:val="00BC1AD3"/>
    <w:rsid w:val="00BC1B4B"/>
    <w:rsid w:val="00BC24D8"/>
    <w:rsid w:val="00BC308C"/>
    <w:rsid w:val="00BC34F6"/>
    <w:rsid w:val="00BC38F7"/>
    <w:rsid w:val="00BC4B80"/>
    <w:rsid w:val="00BC5211"/>
    <w:rsid w:val="00BC5274"/>
    <w:rsid w:val="00BC600D"/>
    <w:rsid w:val="00BC6940"/>
    <w:rsid w:val="00BC6E1B"/>
    <w:rsid w:val="00BC746C"/>
    <w:rsid w:val="00BD0261"/>
    <w:rsid w:val="00BD11BF"/>
    <w:rsid w:val="00BD1363"/>
    <w:rsid w:val="00BD13E4"/>
    <w:rsid w:val="00BD185D"/>
    <w:rsid w:val="00BD185E"/>
    <w:rsid w:val="00BD222E"/>
    <w:rsid w:val="00BD2330"/>
    <w:rsid w:val="00BD2F11"/>
    <w:rsid w:val="00BD30E2"/>
    <w:rsid w:val="00BD34FF"/>
    <w:rsid w:val="00BD3562"/>
    <w:rsid w:val="00BD3D64"/>
    <w:rsid w:val="00BD4085"/>
    <w:rsid w:val="00BD41BC"/>
    <w:rsid w:val="00BD420E"/>
    <w:rsid w:val="00BD45B7"/>
    <w:rsid w:val="00BD4AB2"/>
    <w:rsid w:val="00BD4AC0"/>
    <w:rsid w:val="00BD504C"/>
    <w:rsid w:val="00BD5149"/>
    <w:rsid w:val="00BD5431"/>
    <w:rsid w:val="00BD54AE"/>
    <w:rsid w:val="00BD54B9"/>
    <w:rsid w:val="00BD557B"/>
    <w:rsid w:val="00BD5954"/>
    <w:rsid w:val="00BD5C21"/>
    <w:rsid w:val="00BD612B"/>
    <w:rsid w:val="00BE0726"/>
    <w:rsid w:val="00BE0AD6"/>
    <w:rsid w:val="00BE0E89"/>
    <w:rsid w:val="00BE1021"/>
    <w:rsid w:val="00BE10EB"/>
    <w:rsid w:val="00BE1723"/>
    <w:rsid w:val="00BE2022"/>
    <w:rsid w:val="00BE22FB"/>
    <w:rsid w:val="00BE2D02"/>
    <w:rsid w:val="00BE30E0"/>
    <w:rsid w:val="00BE3674"/>
    <w:rsid w:val="00BE49E6"/>
    <w:rsid w:val="00BE4C59"/>
    <w:rsid w:val="00BE5091"/>
    <w:rsid w:val="00BE528E"/>
    <w:rsid w:val="00BE5615"/>
    <w:rsid w:val="00BE5718"/>
    <w:rsid w:val="00BE58C1"/>
    <w:rsid w:val="00BE596F"/>
    <w:rsid w:val="00BE5BC2"/>
    <w:rsid w:val="00BE5C61"/>
    <w:rsid w:val="00BE68CC"/>
    <w:rsid w:val="00BE6FCE"/>
    <w:rsid w:val="00BE7423"/>
    <w:rsid w:val="00BF03C6"/>
    <w:rsid w:val="00BF05BB"/>
    <w:rsid w:val="00BF1055"/>
    <w:rsid w:val="00BF1228"/>
    <w:rsid w:val="00BF1F0F"/>
    <w:rsid w:val="00BF224F"/>
    <w:rsid w:val="00BF2F20"/>
    <w:rsid w:val="00BF32FC"/>
    <w:rsid w:val="00BF3829"/>
    <w:rsid w:val="00BF3968"/>
    <w:rsid w:val="00BF3C4E"/>
    <w:rsid w:val="00BF3EB0"/>
    <w:rsid w:val="00BF4227"/>
    <w:rsid w:val="00BF4710"/>
    <w:rsid w:val="00BF4886"/>
    <w:rsid w:val="00BF4934"/>
    <w:rsid w:val="00BF4DAC"/>
    <w:rsid w:val="00BF5495"/>
    <w:rsid w:val="00BF57D1"/>
    <w:rsid w:val="00BF7490"/>
    <w:rsid w:val="00BF7722"/>
    <w:rsid w:val="00C00A38"/>
    <w:rsid w:val="00C00B46"/>
    <w:rsid w:val="00C00C2D"/>
    <w:rsid w:val="00C00D9A"/>
    <w:rsid w:val="00C01B09"/>
    <w:rsid w:val="00C027FF"/>
    <w:rsid w:val="00C02E3F"/>
    <w:rsid w:val="00C03F5E"/>
    <w:rsid w:val="00C04356"/>
    <w:rsid w:val="00C04575"/>
    <w:rsid w:val="00C04E35"/>
    <w:rsid w:val="00C050C6"/>
    <w:rsid w:val="00C05EAF"/>
    <w:rsid w:val="00C061DB"/>
    <w:rsid w:val="00C06630"/>
    <w:rsid w:val="00C06A0F"/>
    <w:rsid w:val="00C06B69"/>
    <w:rsid w:val="00C06BC8"/>
    <w:rsid w:val="00C06CD5"/>
    <w:rsid w:val="00C070B7"/>
    <w:rsid w:val="00C07261"/>
    <w:rsid w:val="00C0729F"/>
    <w:rsid w:val="00C07F78"/>
    <w:rsid w:val="00C10AD4"/>
    <w:rsid w:val="00C10C6A"/>
    <w:rsid w:val="00C11704"/>
    <w:rsid w:val="00C12082"/>
    <w:rsid w:val="00C12509"/>
    <w:rsid w:val="00C1269C"/>
    <w:rsid w:val="00C1441F"/>
    <w:rsid w:val="00C14810"/>
    <w:rsid w:val="00C14D53"/>
    <w:rsid w:val="00C15814"/>
    <w:rsid w:val="00C15E7E"/>
    <w:rsid w:val="00C15FAC"/>
    <w:rsid w:val="00C168B2"/>
    <w:rsid w:val="00C16B9C"/>
    <w:rsid w:val="00C206E7"/>
    <w:rsid w:val="00C21087"/>
    <w:rsid w:val="00C2264D"/>
    <w:rsid w:val="00C23FD6"/>
    <w:rsid w:val="00C23FD9"/>
    <w:rsid w:val="00C24CE2"/>
    <w:rsid w:val="00C24E32"/>
    <w:rsid w:val="00C25F1E"/>
    <w:rsid w:val="00C26508"/>
    <w:rsid w:val="00C2748D"/>
    <w:rsid w:val="00C30752"/>
    <w:rsid w:val="00C30C46"/>
    <w:rsid w:val="00C30D39"/>
    <w:rsid w:val="00C312D7"/>
    <w:rsid w:val="00C313EB"/>
    <w:rsid w:val="00C319F2"/>
    <w:rsid w:val="00C31C39"/>
    <w:rsid w:val="00C32B24"/>
    <w:rsid w:val="00C333CD"/>
    <w:rsid w:val="00C33498"/>
    <w:rsid w:val="00C33721"/>
    <w:rsid w:val="00C341FA"/>
    <w:rsid w:val="00C34493"/>
    <w:rsid w:val="00C344AE"/>
    <w:rsid w:val="00C36D50"/>
    <w:rsid w:val="00C37294"/>
    <w:rsid w:val="00C37370"/>
    <w:rsid w:val="00C3760B"/>
    <w:rsid w:val="00C37689"/>
    <w:rsid w:val="00C37870"/>
    <w:rsid w:val="00C37A7E"/>
    <w:rsid w:val="00C40C65"/>
    <w:rsid w:val="00C40D46"/>
    <w:rsid w:val="00C4185C"/>
    <w:rsid w:val="00C418D7"/>
    <w:rsid w:val="00C41D8D"/>
    <w:rsid w:val="00C42349"/>
    <w:rsid w:val="00C42474"/>
    <w:rsid w:val="00C42D1E"/>
    <w:rsid w:val="00C43E1C"/>
    <w:rsid w:val="00C442B1"/>
    <w:rsid w:val="00C4467C"/>
    <w:rsid w:val="00C44A3D"/>
    <w:rsid w:val="00C44C3C"/>
    <w:rsid w:val="00C4541A"/>
    <w:rsid w:val="00C45A08"/>
    <w:rsid w:val="00C45D7C"/>
    <w:rsid w:val="00C466CC"/>
    <w:rsid w:val="00C46D2C"/>
    <w:rsid w:val="00C46E22"/>
    <w:rsid w:val="00C473CE"/>
    <w:rsid w:val="00C47607"/>
    <w:rsid w:val="00C4768B"/>
    <w:rsid w:val="00C477C3"/>
    <w:rsid w:val="00C4786C"/>
    <w:rsid w:val="00C47A5B"/>
    <w:rsid w:val="00C47E46"/>
    <w:rsid w:val="00C50AF3"/>
    <w:rsid w:val="00C5109D"/>
    <w:rsid w:val="00C51570"/>
    <w:rsid w:val="00C51DA3"/>
    <w:rsid w:val="00C522F1"/>
    <w:rsid w:val="00C52444"/>
    <w:rsid w:val="00C52C87"/>
    <w:rsid w:val="00C53009"/>
    <w:rsid w:val="00C53B2C"/>
    <w:rsid w:val="00C545E3"/>
    <w:rsid w:val="00C546CB"/>
    <w:rsid w:val="00C558EC"/>
    <w:rsid w:val="00C55A2A"/>
    <w:rsid w:val="00C55E92"/>
    <w:rsid w:val="00C56665"/>
    <w:rsid w:val="00C56733"/>
    <w:rsid w:val="00C56D5F"/>
    <w:rsid w:val="00C56F8F"/>
    <w:rsid w:val="00C57CCE"/>
    <w:rsid w:val="00C60478"/>
    <w:rsid w:val="00C607BC"/>
    <w:rsid w:val="00C610FA"/>
    <w:rsid w:val="00C616D4"/>
    <w:rsid w:val="00C6186F"/>
    <w:rsid w:val="00C61E56"/>
    <w:rsid w:val="00C62026"/>
    <w:rsid w:val="00C6237F"/>
    <w:rsid w:val="00C625FF"/>
    <w:rsid w:val="00C62A30"/>
    <w:rsid w:val="00C62E9D"/>
    <w:rsid w:val="00C6308F"/>
    <w:rsid w:val="00C631C0"/>
    <w:rsid w:val="00C63A19"/>
    <w:rsid w:val="00C63BC5"/>
    <w:rsid w:val="00C63C44"/>
    <w:rsid w:val="00C63DB3"/>
    <w:rsid w:val="00C63DC0"/>
    <w:rsid w:val="00C64086"/>
    <w:rsid w:val="00C642E7"/>
    <w:rsid w:val="00C64590"/>
    <w:rsid w:val="00C657B8"/>
    <w:rsid w:val="00C65889"/>
    <w:rsid w:val="00C65BA4"/>
    <w:rsid w:val="00C667AA"/>
    <w:rsid w:val="00C669C5"/>
    <w:rsid w:val="00C66F80"/>
    <w:rsid w:val="00C67ADE"/>
    <w:rsid w:val="00C70308"/>
    <w:rsid w:val="00C704B7"/>
    <w:rsid w:val="00C70A67"/>
    <w:rsid w:val="00C70E5F"/>
    <w:rsid w:val="00C70F80"/>
    <w:rsid w:val="00C70FF3"/>
    <w:rsid w:val="00C71882"/>
    <w:rsid w:val="00C71E46"/>
    <w:rsid w:val="00C71E89"/>
    <w:rsid w:val="00C71F81"/>
    <w:rsid w:val="00C72F04"/>
    <w:rsid w:val="00C73466"/>
    <w:rsid w:val="00C73A2E"/>
    <w:rsid w:val="00C74E92"/>
    <w:rsid w:val="00C74FCC"/>
    <w:rsid w:val="00C752D3"/>
    <w:rsid w:val="00C75744"/>
    <w:rsid w:val="00C75CAC"/>
    <w:rsid w:val="00C75DBE"/>
    <w:rsid w:val="00C767B1"/>
    <w:rsid w:val="00C76804"/>
    <w:rsid w:val="00C76875"/>
    <w:rsid w:val="00C76876"/>
    <w:rsid w:val="00C76C28"/>
    <w:rsid w:val="00C76E5D"/>
    <w:rsid w:val="00C7760C"/>
    <w:rsid w:val="00C778B8"/>
    <w:rsid w:val="00C800BA"/>
    <w:rsid w:val="00C802FB"/>
    <w:rsid w:val="00C805F5"/>
    <w:rsid w:val="00C806FC"/>
    <w:rsid w:val="00C815F8"/>
    <w:rsid w:val="00C818EB"/>
    <w:rsid w:val="00C818EC"/>
    <w:rsid w:val="00C823BB"/>
    <w:rsid w:val="00C82AD3"/>
    <w:rsid w:val="00C83398"/>
    <w:rsid w:val="00C837D2"/>
    <w:rsid w:val="00C83980"/>
    <w:rsid w:val="00C83CC3"/>
    <w:rsid w:val="00C845DE"/>
    <w:rsid w:val="00C84C60"/>
    <w:rsid w:val="00C85A2A"/>
    <w:rsid w:val="00C86233"/>
    <w:rsid w:val="00C86518"/>
    <w:rsid w:val="00C867C8"/>
    <w:rsid w:val="00C86AF5"/>
    <w:rsid w:val="00C86D44"/>
    <w:rsid w:val="00C8725C"/>
    <w:rsid w:val="00C874EC"/>
    <w:rsid w:val="00C875C2"/>
    <w:rsid w:val="00C87F5A"/>
    <w:rsid w:val="00C90638"/>
    <w:rsid w:val="00C90D06"/>
    <w:rsid w:val="00C9100B"/>
    <w:rsid w:val="00C916B4"/>
    <w:rsid w:val="00C92021"/>
    <w:rsid w:val="00C921A5"/>
    <w:rsid w:val="00C92D44"/>
    <w:rsid w:val="00C92E2B"/>
    <w:rsid w:val="00C932B5"/>
    <w:rsid w:val="00C94217"/>
    <w:rsid w:val="00C943EE"/>
    <w:rsid w:val="00C946CB"/>
    <w:rsid w:val="00C94C79"/>
    <w:rsid w:val="00C952B8"/>
    <w:rsid w:val="00C959E2"/>
    <w:rsid w:val="00C95F58"/>
    <w:rsid w:val="00C96B43"/>
    <w:rsid w:val="00C96FE7"/>
    <w:rsid w:val="00C97A8A"/>
    <w:rsid w:val="00C97B45"/>
    <w:rsid w:val="00C97BD7"/>
    <w:rsid w:val="00C97D85"/>
    <w:rsid w:val="00CA02EF"/>
    <w:rsid w:val="00CA0785"/>
    <w:rsid w:val="00CA095E"/>
    <w:rsid w:val="00CA11C0"/>
    <w:rsid w:val="00CA17B2"/>
    <w:rsid w:val="00CA1BE5"/>
    <w:rsid w:val="00CA1F66"/>
    <w:rsid w:val="00CA2036"/>
    <w:rsid w:val="00CA2661"/>
    <w:rsid w:val="00CA2AD0"/>
    <w:rsid w:val="00CA2CD5"/>
    <w:rsid w:val="00CA3C9D"/>
    <w:rsid w:val="00CA59F6"/>
    <w:rsid w:val="00CA5F15"/>
    <w:rsid w:val="00CA687D"/>
    <w:rsid w:val="00CA6D16"/>
    <w:rsid w:val="00CA6D75"/>
    <w:rsid w:val="00CA6DB4"/>
    <w:rsid w:val="00CA6EFE"/>
    <w:rsid w:val="00CA7FC1"/>
    <w:rsid w:val="00CB056D"/>
    <w:rsid w:val="00CB07F8"/>
    <w:rsid w:val="00CB0855"/>
    <w:rsid w:val="00CB0877"/>
    <w:rsid w:val="00CB16A1"/>
    <w:rsid w:val="00CB170A"/>
    <w:rsid w:val="00CB1804"/>
    <w:rsid w:val="00CB19EC"/>
    <w:rsid w:val="00CB1D52"/>
    <w:rsid w:val="00CB2168"/>
    <w:rsid w:val="00CB303E"/>
    <w:rsid w:val="00CB3732"/>
    <w:rsid w:val="00CB37EB"/>
    <w:rsid w:val="00CB3E62"/>
    <w:rsid w:val="00CB4267"/>
    <w:rsid w:val="00CB4877"/>
    <w:rsid w:val="00CB4FA1"/>
    <w:rsid w:val="00CB5645"/>
    <w:rsid w:val="00CB6AD5"/>
    <w:rsid w:val="00CB6BB0"/>
    <w:rsid w:val="00CB6DDD"/>
    <w:rsid w:val="00CB6F13"/>
    <w:rsid w:val="00CB72B6"/>
    <w:rsid w:val="00CB7329"/>
    <w:rsid w:val="00CB7AB1"/>
    <w:rsid w:val="00CB7C58"/>
    <w:rsid w:val="00CC05C8"/>
    <w:rsid w:val="00CC1329"/>
    <w:rsid w:val="00CC14AF"/>
    <w:rsid w:val="00CC19A6"/>
    <w:rsid w:val="00CC28FC"/>
    <w:rsid w:val="00CC2DD0"/>
    <w:rsid w:val="00CC327F"/>
    <w:rsid w:val="00CC3B03"/>
    <w:rsid w:val="00CC5725"/>
    <w:rsid w:val="00CC5EE5"/>
    <w:rsid w:val="00CC660C"/>
    <w:rsid w:val="00CC6957"/>
    <w:rsid w:val="00CC6F72"/>
    <w:rsid w:val="00CC768B"/>
    <w:rsid w:val="00CC76F1"/>
    <w:rsid w:val="00CC7BD9"/>
    <w:rsid w:val="00CD03B4"/>
    <w:rsid w:val="00CD09CE"/>
    <w:rsid w:val="00CD09F1"/>
    <w:rsid w:val="00CD1226"/>
    <w:rsid w:val="00CD1452"/>
    <w:rsid w:val="00CD17D1"/>
    <w:rsid w:val="00CD1C54"/>
    <w:rsid w:val="00CD228C"/>
    <w:rsid w:val="00CD29CB"/>
    <w:rsid w:val="00CD2CF6"/>
    <w:rsid w:val="00CD300C"/>
    <w:rsid w:val="00CD3D59"/>
    <w:rsid w:val="00CD4EF6"/>
    <w:rsid w:val="00CD5200"/>
    <w:rsid w:val="00CD542B"/>
    <w:rsid w:val="00CD570E"/>
    <w:rsid w:val="00CD5963"/>
    <w:rsid w:val="00CD59D6"/>
    <w:rsid w:val="00CD633D"/>
    <w:rsid w:val="00CD6A91"/>
    <w:rsid w:val="00CD6E7E"/>
    <w:rsid w:val="00CD7127"/>
    <w:rsid w:val="00CD78F5"/>
    <w:rsid w:val="00CE0816"/>
    <w:rsid w:val="00CE0B49"/>
    <w:rsid w:val="00CE0D1E"/>
    <w:rsid w:val="00CE0D63"/>
    <w:rsid w:val="00CE122C"/>
    <w:rsid w:val="00CE1674"/>
    <w:rsid w:val="00CE342D"/>
    <w:rsid w:val="00CE37DC"/>
    <w:rsid w:val="00CE4222"/>
    <w:rsid w:val="00CE42CB"/>
    <w:rsid w:val="00CE4FA3"/>
    <w:rsid w:val="00CE5092"/>
    <w:rsid w:val="00CE542C"/>
    <w:rsid w:val="00CE5BB7"/>
    <w:rsid w:val="00CE609B"/>
    <w:rsid w:val="00CE617F"/>
    <w:rsid w:val="00CE63C9"/>
    <w:rsid w:val="00CE64D5"/>
    <w:rsid w:val="00CE66D4"/>
    <w:rsid w:val="00CE67E2"/>
    <w:rsid w:val="00CE6F19"/>
    <w:rsid w:val="00CE70BB"/>
    <w:rsid w:val="00CE7247"/>
    <w:rsid w:val="00CE739A"/>
    <w:rsid w:val="00CE762D"/>
    <w:rsid w:val="00CE7E1B"/>
    <w:rsid w:val="00CE7EF0"/>
    <w:rsid w:val="00CE7FCD"/>
    <w:rsid w:val="00CF0575"/>
    <w:rsid w:val="00CF060E"/>
    <w:rsid w:val="00CF0B37"/>
    <w:rsid w:val="00CF0BF6"/>
    <w:rsid w:val="00CF1B8E"/>
    <w:rsid w:val="00CF1CB1"/>
    <w:rsid w:val="00CF2235"/>
    <w:rsid w:val="00CF2AF9"/>
    <w:rsid w:val="00CF2FDB"/>
    <w:rsid w:val="00CF3C8E"/>
    <w:rsid w:val="00CF3EE7"/>
    <w:rsid w:val="00CF41F7"/>
    <w:rsid w:val="00CF460A"/>
    <w:rsid w:val="00CF46F5"/>
    <w:rsid w:val="00CF4870"/>
    <w:rsid w:val="00CF51BC"/>
    <w:rsid w:val="00CF5A65"/>
    <w:rsid w:val="00CF7180"/>
    <w:rsid w:val="00CF730D"/>
    <w:rsid w:val="00CF75F9"/>
    <w:rsid w:val="00CF7F1A"/>
    <w:rsid w:val="00D005FA"/>
    <w:rsid w:val="00D006C5"/>
    <w:rsid w:val="00D01028"/>
    <w:rsid w:val="00D01D97"/>
    <w:rsid w:val="00D02459"/>
    <w:rsid w:val="00D03A37"/>
    <w:rsid w:val="00D03A5F"/>
    <w:rsid w:val="00D03D79"/>
    <w:rsid w:val="00D03EE6"/>
    <w:rsid w:val="00D0468E"/>
    <w:rsid w:val="00D04E10"/>
    <w:rsid w:val="00D05524"/>
    <w:rsid w:val="00D0618B"/>
    <w:rsid w:val="00D076DC"/>
    <w:rsid w:val="00D07789"/>
    <w:rsid w:val="00D07BBA"/>
    <w:rsid w:val="00D07C53"/>
    <w:rsid w:val="00D07DE8"/>
    <w:rsid w:val="00D10BD5"/>
    <w:rsid w:val="00D10BE9"/>
    <w:rsid w:val="00D11763"/>
    <w:rsid w:val="00D11B3B"/>
    <w:rsid w:val="00D11FA1"/>
    <w:rsid w:val="00D12269"/>
    <w:rsid w:val="00D12A0B"/>
    <w:rsid w:val="00D12CEF"/>
    <w:rsid w:val="00D12CFB"/>
    <w:rsid w:val="00D12FAD"/>
    <w:rsid w:val="00D130B4"/>
    <w:rsid w:val="00D1364D"/>
    <w:rsid w:val="00D13B1D"/>
    <w:rsid w:val="00D144C7"/>
    <w:rsid w:val="00D14522"/>
    <w:rsid w:val="00D14B47"/>
    <w:rsid w:val="00D15B46"/>
    <w:rsid w:val="00D15CA7"/>
    <w:rsid w:val="00D170BF"/>
    <w:rsid w:val="00D172EC"/>
    <w:rsid w:val="00D174CD"/>
    <w:rsid w:val="00D17D9E"/>
    <w:rsid w:val="00D20F58"/>
    <w:rsid w:val="00D21AAC"/>
    <w:rsid w:val="00D21BC4"/>
    <w:rsid w:val="00D21CC2"/>
    <w:rsid w:val="00D21D9D"/>
    <w:rsid w:val="00D223AF"/>
    <w:rsid w:val="00D223C6"/>
    <w:rsid w:val="00D22516"/>
    <w:rsid w:val="00D228F5"/>
    <w:rsid w:val="00D229C2"/>
    <w:rsid w:val="00D22D0E"/>
    <w:rsid w:val="00D2321D"/>
    <w:rsid w:val="00D233E8"/>
    <w:rsid w:val="00D233F3"/>
    <w:rsid w:val="00D23FB9"/>
    <w:rsid w:val="00D24597"/>
    <w:rsid w:val="00D246A9"/>
    <w:rsid w:val="00D25712"/>
    <w:rsid w:val="00D25BCC"/>
    <w:rsid w:val="00D2624B"/>
    <w:rsid w:val="00D266AC"/>
    <w:rsid w:val="00D26F0A"/>
    <w:rsid w:val="00D275F0"/>
    <w:rsid w:val="00D27A27"/>
    <w:rsid w:val="00D27B05"/>
    <w:rsid w:val="00D27EBD"/>
    <w:rsid w:val="00D30643"/>
    <w:rsid w:val="00D30747"/>
    <w:rsid w:val="00D31709"/>
    <w:rsid w:val="00D31A2E"/>
    <w:rsid w:val="00D31DA5"/>
    <w:rsid w:val="00D31EEC"/>
    <w:rsid w:val="00D32114"/>
    <w:rsid w:val="00D32F1C"/>
    <w:rsid w:val="00D33730"/>
    <w:rsid w:val="00D33BDF"/>
    <w:rsid w:val="00D33FA5"/>
    <w:rsid w:val="00D343FA"/>
    <w:rsid w:val="00D346CD"/>
    <w:rsid w:val="00D34E8B"/>
    <w:rsid w:val="00D34F0F"/>
    <w:rsid w:val="00D34F3F"/>
    <w:rsid w:val="00D36445"/>
    <w:rsid w:val="00D37301"/>
    <w:rsid w:val="00D375E1"/>
    <w:rsid w:val="00D3796F"/>
    <w:rsid w:val="00D40036"/>
    <w:rsid w:val="00D40DDA"/>
    <w:rsid w:val="00D41BE1"/>
    <w:rsid w:val="00D42E00"/>
    <w:rsid w:val="00D4400F"/>
    <w:rsid w:val="00D4499B"/>
    <w:rsid w:val="00D44E9E"/>
    <w:rsid w:val="00D4552A"/>
    <w:rsid w:val="00D46131"/>
    <w:rsid w:val="00D46559"/>
    <w:rsid w:val="00D468FC"/>
    <w:rsid w:val="00D47206"/>
    <w:rsid w:val="00D5005C"/>
    <w:rsid w:val="00D5037F"/>
    <w:rsid w:val="00D507AE"/>
    <w:rsid w:val="00D50BC4"/>
    <w:rsid w:val="00D50D2D"/>
    <w:rsid w:val="00D50FD3"/>
    <w:rsid w:val="00D50FDB"/>
    <w:rsid w:val="00D5116E"/>
    <w:rsid w:val="00D511FE"/>
    <w:rsid w:val="00D51204"/>
    <w:rsid w:val="00D516D2"/>
    <w:rsid w:val="00D51828"/>
    <w:rsid w:val="00D518C3"/>
    <w:rsid w:val="00D518EE"/>
    <w:rsid w:val="00D51B4B"/>
    <w:rsid w:val="00D51FD3"/>
    <w:rsid w:val="00D5219B"/>
    <w:rsid w:val="00D53775"/>
    <w:rsid w:val="00D5433A"/>
    <w:rsid w:val="00D54BC5"/>
    <w:rsid w:val="00D54C63"/>
    <w:rsid w:val="00D54F1E"/>
    <w:rsid w:val="00D55097"/>
    <w:rsid w:val="00D55641"/>
    <w:rsid w:val="00D558DB"/>
    <w:rsid w:val="00D55CFD"/>
    <w:rsid w:val="00D56102"/>
    <w:rsid w:val="00D563B8"/>
    <w:rsid w:val="00D56B7E"/>
    <w:rsid w:val="00D60076"/>
    <w:rsid w:val="00D6087D"/>
    <w:rsid w:val="00D60A7C"/>
    <w:rsid w:val="00D611ED"/>
    <w:rsid w:val="00D6158F"/>
    <w:rsid w:val="00D626D0"/>
    <w:rsid w:val="00D62920"/>
    <w:rsid w:val="00D62C5A"/>
    <w:rsid w:val="00D6326A"/>
    <w:rsid w:val="00D63296"/>
    <w:rsid w:val="00D63CD3"/>
    <w:rsid w:val="00D63F51"/>
    <w:rsid w:val="00D641AD"/>
    <w:rsid w:val="00D641BC"/>
    <w:rsid w:val="00D64545"/>
    <w:rsid w:val="00D646AB"/>
    <w:rsid w:val="00D65034"/>
    <w:rsid w:val="00D65448"/>
    <w:rsid w:val="00D65FD9"/>
    <w:rsid w:val="00D661AA"/>
    <w:rsid w:val="00D669B2"/>
    <w:rsid w:val="00D67156"/>
    <w:rsid w:val="00D67169"/>
    <w:rsid w:val="00D67870"/>
    <w:rsid w:val="00D67F9F"/>
    <w:rsid w:val="00D7029A"/>
    <w:rsid w:val="00D70456"/>
    <w:rsid w:val="00D715E6"/>
    <w:rsid w:val="00D71DC9"/>
    <w:rsid w:val="00D7295F"/>
    <w:rsid w:val="00D72C20"/>
    <w:rsid w:val="00D72D2C"/>
    <w:rsid w:val="00D72D9C"/>
    <w:rsid w:val="00D731BC"/>
    <w:rsid w:val="00D735A8"/>
    <w:rsid w:val="00D747EB"/>
    <w:rsid w:val="00D765D4"/>
    <w:rsid w:val="00D7666B"/>
    <w:rsid w:val="00D768D6"/>
    <w:rsid w:val="00D769A7"/>
    <w:rsid w:val="00D76E84"/>
    <w:rsid w:val="00D76F65"/>
    <w:rsid w:val="00D77280"/>
    <w:rsid w:val="00D772C0"/>
    <w:rsid w:val="00D8034A"/>
    <w:rsid w:val="00D8040B"/>
    <w:rsid w:val="00D80D10"/>
    <w:rsid w:val="00D81750"/>
    <w:rsid w:val="00D8286D"/>
    <w:rsid w:val="00D829FC"/>
    <w:rsid w:val="00D840D8"/>
    <w:rsid w:val="00D85461"/>
    <w:rsid w:val="00D8596B"/>
    <w:rsid w:val="00D85BF3"/>
    <w:rsid w:val="00D860CF"/>
    <w:rsid w:val="00D86C80"/>
    <w:rsid w:val="00D86D2F"/>
    <w:rsid w:val="00D8704D"/>
    <w:rsid w:val="00D87095"/>
    <w:rsid w:val="00D87446"/>
    <w:rsid w:val="00D875C7"/>
    <w:rsid w:val="00D8760E"/>
    <w:rsid w:val="00D87EE4"/>
    <w:rsid w:val="00D87FBF"/>
    <w:rsid w:val="00D909F6"/>
    <w:rsid w:val="00D91B30"/>
    <w:rsid w:val="00D925AC"/>
    <w:rsid w:val="00D93146"/>
    <w:rsid w:val="00D93548"/>
    <w:rsid w:val="00D9413D"/>
    <w:rsid w:val="00D9414C"/>
    <w:rsid w:val="00D94D1D"/>
    <w:rsid w:val="00D95332"/>
    <w:rsid w:val="00D9597C"/>
    <w:rsid w:val="00D95DE4"/>
    <w:rsid w:val="00D96965"/>
    <w:rsid w:val="00D969FB"/>
    <w:rsid w:val="00DA027B"/>
    <w:rsid w:val="00DA042F"/>
    <w:rsid w:val="00DA0481"/>
    <w:rsid w:val="00DA125E"/>
    <w:rsid w:val="00DA2143"/>
    <w:rsid w:val="00DA21EC"/>
    <w:rsid w:val="00DA229F"/>
    <w:rsid w:val="00DA35AE"/>
    <w:rsid w:val="00DA38C0"/>
    <w:rsid w:val="00DA4284"/>
    <w:rsid w:val="00DA479F"/>
    <w:rsid w:val="00DA4DD1"/>
    <w:rsid w:val="00DA51A8"/>
    <w:rsid w:val="00DA6660"/>
    <w:rsid w:val="00DA7803"/>
    <w:rsid w:val="00DA7A5A"/>
    <w:rsid w:val="00DB128C"/>
    <w:rsid w:val="00DB1C20"/>
    <w:rsid w:val="00DB1EA3"/>
    <w:rsid w:val="00DB2287"/>
    <w:rsid w:val="00DB2A08"/>
    <w:rsid w:val="00DB2D3A"/>
    <w:rsid w:val="00DB3005"/>
    <w:rsid w:val="00DB3142"/>
    <w:rsid w:val="00DB3380"/>
    <w:rsid w:val="00DB35A5"/>
    <w:rsid w:val="00DB416C"/>
    <w:rsid w:val="00DB441C"/>
    <w:rsid w:val="00DB495F"/>
    <w:rsid w:val="00DB5F61"/>
    <w:rsid w:val="00DB6452"/>
    <w:rsid w:val="00DB66F5"/>
    <w:rsid w:val="00DB7CE0"/>
    <w:rsid w:val="00DB7EA3"/>
    <w:rsid w:val="00DC00B4"/>
    <w:rsid w:val="00DC063C"/>
    <w:rsid w:val="00DC06CE"/>
    <w:rsid w:val="00DC11B3"/>
    <w:rsid w:val="00DC2651"/>
    <w:rsid w:val="00DC2EA0"/>
    <w:rsid w:val="00DC3055"/>
    <w:rsid w:val="00DC4255"/>
    <w:rsid w:val="00DC5190"/>
    <w:rsid w:val="00DC5442"/>
    <w:rsid w:val="00DC5D55"/>
    <w:rsid w:val="00DC6205"/>
    <w:rsid w:val="00DC622E"/>
    <w:rsid w:val="00DC6614"/>
    <w:rsid w:val="00DC67A0"/>
    <w:rsid w:val="00DC6AF4"/>
    <w:rsid w:val="00DC6E26"/>
    <w:rsid w:val="00DD0094"/>
    <w:rsid w:val="00DD053E"/>
    <w:rsid w:val="00DD0991"/>
    <w:rsid w:val="00DD0BF9"/>
    <w:rsid w:val="00DD206A"/>
    <w:rsid w:val="00DD22FD"/>
    <w:rsid w:val="00DD24DB"/>
    <w:rsid w:val="00DD2C32"/>
    <w:rsid w:val="00DD3708"/>
    <w:rsid w:val="00DD39B3"/>
    <w:rsid w:val="00DD445B"/>
    <w:rsid w:val="00DD4792"/>
    <w:rsid w:val="00DD4C97"/>
    <w:rsid w:val="00DD4EA8"/>
    <w:rsid w:val="00DD5424"/>
    <w:rsid w:val="00DD5729"/>
    <w:rsid w:val="00DD575D"/>
    <w:rsid w:val="00DD5C3E"/>
    <w:rsid w:val="00DD5D1B"/>
    <w:rsid w:val="00DD6052"/>
    <w:rsid w:val="00DD695D"/>
    <w:rsid w:val="00DD7707"/>
    <w:rsid w:val="00DD7BF9"/>
    <w:rsid w:val="00DE0088"/>
    <w:rsid w:val="00DE039C"/>
    <w:rsid w:val="00DE0D1F"/>
    <w:rsid w:val="00DE0D2C"/>
    <w:rsid w:val="00DE104F"/>
    <w:rsid w:val="00DE121D"/>
    <w:rsid w:val="00DE163F"/>
    <w:rsid w:val="00DE2A57"/>
    <w:rsid w:val="00DE314F"/>
    <w:rsid w:val="00DE36DE"/>
    <w:rsid w:val="00DE37FE"/>
    <w:rsid w:val="00DE5177"/>
    <w:rsid w:val="00DE55F5"/>
    <w:rsid w:val="00DE58D3"/>
    <w:rsid w:val="00DE5A56"/>
    <w:rsid w:val="00DE5E44"/>
    <w:rsid w:val="00DE5EDF"/>
    <w:rsid w:val="00DE6E3E"/>
    <w:rsid w:val="00DE7CDB"/>
    <w:rsid w:val="00DE7E2E"/>
    <w:rsid w:val="00DF0B96"/>
    <w:rsid w:val="00DF0C11"/>
    <w:rsid w:val="00DF0CB5"/>
    <w:rsid w:val="00DF12C3"/>
    <w:rsid w:val="00DF149B"/>
    <w:rsid w:val="00DF1986"/>
    <w:rsid w:val="00DF1F48"/>
    <w:rsid w:val="00DF2F7E"/>
    <w:rsid w:val="00DF37B5"/>
    <w:rsid w:val="00DF3A31"/>
    <w:rsid w:val="00DF4264"/>
    <w:rsid w:val="00DF579E"/>
    <w:rsid w:val="00DF5B85"/>
    <w:rsid w:val="00DF6782"/>
    <w:rsid w:val="00DF6855"/>
    <w:rsid w:val="00DF6C2B"/>
    <w:rsid w:val="00DF72C4"/>
    <w:rsid w:val="00DF7AA8"/>
    <w:rsid w:val="00DF7BF7"/>
    <w:rsid w:val="00E000D3"/>
    <w:rsid w:val="00E0027E"/>
    <w:rsid w:val="00E00912"/>
    <w:rsid w:val="00E00ACA"/>
    <w:rsid w:val="00E00CA4"/>
    <w:rsid w:val="00E010C7"/>
    <w:rsid w:val="00E0169D"/>
    <w:rsid w:val="00E01B56"/>
    <w:rsid w:val="00E01F24"/>
    <w:rsid w:val="00E02577"/>
    <w:rsid w:val="00E0260E"/>
    <w:rsid w:val="00E02DA9"/>
    <w:rsid w:val="00E02EC6"/>
    <w:rsid w:val="00E03081"/>
    <w:rsid w:val="00E03194"/>
    <w:rsid w:val="00E035A8"/>
    <w:rsid w:val="00E03676"/>
    <w:rsid w:val="00E04040"/>
    <w:rsid w:val="00E04C56"/>
    <w:rsid w:val="00E04D2E"/>
    <w:rsid w:val="00E05604"/>
    <w:rsid w:val="00E05616"/>
    <w:rsid w:val="00E0641A"/>
    <w:rsid w:val="00E0645A"/>
    <w:rsid w:val="00E06DA1"/>
    <w:rsid w:val="00E07AC8"/>
    <w:rsid w:val="00E10DAE"/>
    <w:rsid w:val="00E11599"/>
    <w:rsid w:val="00E11888"/>
    <w:rsid w:val="00E11C2F"/>
    <w:rsid w:val="00E12225"/>
    <w:rsid w:val="00E1259D"/>
    <w:rsid w:val="00E12B2A"/>
    <w:rsid w:val="00E1322D"/>
    <w:rsid w:val="00E1343F"/>
    <w:rsid w:val="00E13447"/>
    <w:rsid w:val="00E13467"/>
    <w:rsid w:val="00E13E3B"/>
    <w:rsid w:val="00E1461B"/>
    <w:rsid w:val="00E146BD"/>
    <w:rsid w:val="00E14FFA"/>
    <w:rsid w:val="00E151E2"/>
    <w:rsid w:val="00E155B7"/>
    <w:rsid w:val="00E15A22"/>
    <w:rsid w:val="00E15B93"/>
    <w:rsid w:val="00E16552"/>
    <w:rsid w:val="00E1678B"/>
    <w:rsid w:val="00E16B9C"/>
    <w:rsid w:val="00E17275"/>
    <w:rsid w:val="00E17B73"/>
    <w:rsid w:val="00E20325"/>
    <w:rsid w:val="00E20CBF"/>
    <w:rsid w:val="00E2149B"/>
    <w:rsid w:val="00E216A5"/>
    <w:rsid w:val="00E21C06"/>
    <w:rsid w:val="00E21C8F"/>
    <w:rsid w:val="00E21DA2"/>
    <w:rsid w:val="00E222C1"/>
    <w:rsid w:val="00E22345"/>
    <w:rsid w:val="00E224B3"/>
    <w:rsid w:val="00E2275F"/>
    <w:rsid w:val="00E2293C"/>
    <w:rsid w:val="00E22E19"/>
    <w:rsid w:val="00E237D7"/>
    <w:rsid w:val="00E255D2"/>
    <w:rsid w:val="00E25749"/>
    <w:rsid w:val="00E26593"/>
    <w:rsid w:val="00E26833"/>
    <w:rsid w:val="00E26A68"/>
    <w:rsid w:val="00E26DD3"/>
    <w:rsid w:val="00E2786E"/>
    <w:rsid w:val="00E278B3"/>
    <w:rsid w:val="00E27BDB"/>
    <w:rsid w:val="00E27E78"/>
    <w:rsid w:val="00E308D7"/>
    <w:rsid w:val="00E309C3"/>
    <w:rsid w:val="00E31C59"/>
    <w:rsid w:val="00E31E09"/>
    <w:rsid w:val="00E3234E"/>
    <w:rsid w:val="00E3354B"/>
    <w:rsid w:val="00E33ECC"/>
    <w:rsid w:val="00E345B2"/>
    <w:rsid w:val="00E34D51"/>
    <w:rsid w:val="00E358C1"/>
    <w:rsid w:val="00E36980"/>
    <w:rsid w:val="00E36C32"/>
    <w:rsid w:val="00E37062"/>
    <w:rsid w:val="00E37695"/>
    <w:rsid w:val="00E376B2"/>
    <w:rsid w:val="00E37C70"/>
    <w:rsid w:val="00E4011D"/>
    <w:rsid w:val="00E406EE"/>
    <w:rsid w:val="00E4073C"/>
    <w:rsid w:val="00E4099E"/>
    <w:rsid w:val="00E41C62"/>
    <w:rsid w:val="00E41D6D"/>
    <w:rsid w:val="00E428FF"/>
    <w:rsid w:val="00E42968"/>
    <w:rsid w:val="00E43195"/>
    <w:rsid w:val="00E4381E"/>
    <w:rsid w:val="00E43938"/>
    <w:rsid w:val="00E4428C"/>
    <w:rsid w:val="00E45982"/>
    <w:rsid w:val="00E459A6"/>
    <w:rsid w:val="00E4711D"/>
    <w:rsid w:val="00E471CC"/>
    <w:rsid w:val="00E47E86"/>
    <w:rsid w:val="00E50098"/>
    <w:rsid w:val="00E505F0"/>
    <w:rsid w:val="00E50842"/>
    <w:rsid w:val="00E50F47"/>
    <w:rsid w:val="00E517AA"/>
    <w:rsid w:val="00E5299B"/>
    <w:rsid w:val="00E533E4"/>
    <w:rsid w:val="00E534D7"/>
    <w:rsid w:val="00E5366E"/>
    <w:rsid w:val="00E54978"/>
    <w:rsid w:val="00E54A88"/>
    <w:rsid w:val="00E54B2C"/>
    <w:rsid w:val="00E54C6D"/>
    <w:rsid w:val="00E55924"/>
    <w:rsid w:val="00E55BDA"/>
    <w:rsid w:val="00E55BDC"/>
    <w:rsid w:val="00E55FF0"/>
    <w:rsid w:val="00E5662A"/>
    <w:rsid w:val="00E56A6F"/>
    <w:rsid w:val="00E571E2"/>
    <w:rsid w:val="00E57C26"/>
    <w:rsid w:val="00E60B02"/>
    <w:rsid w:val="00E61AC0"/>
    <w:rsid w:val="00E61BA4"/>
    <w:rsid w:val="00E6245B"/>
    <w:rsid w:val="00E62B19"/>
    <w:rsid w:val="00E62E35"/>
    <w:rsid w:val="00E63392"/>
    <w:rsid w:val="00E64159"/>
    <w:rsid w:val="00E642EE"/>
    <w:rsid w:val="00E64470"/>
    <w:rsid w:val="00E64867"/>
    <w:rsid w:val="00E65027"/>
    <w:rsid w:val="00E651E2"/>
    <w:rsid w:val="00E65C19"/>
    <w:rsid w:val="00E65D45"/>
    <w:rsid w:val="00E66406"/>
    <w:rsid w:val="00E66DC6"/>
    <w:rsid w:val="00E67488"/>
    <w:rsid w:val="00E70035"/>
    <w:rsid w:val="00E704B0"/>
    <w:rsid w:val="00E70A97"/>
    <w:rsid w:val="00E70E6E"/>
    <w:rsid w:val="00E70FC1"/>
    <w:rsid w:val="00E7125E"/>
    <w:rsid w:val="00E713BE"/>
    <w:rsid w:val="00E7166A"/>
    <w:rsid w:val="00E719DC"/>
    <w:rsid w:val="00E72766"/>
    <w:rsid w:val="00E7393D"/>
    <w:rsid w:val="00E74484"/>
    <w:rsid w:val="00E74BF6"/>
    <w:rsid w:val="00E74F1A"/>
    <w:rsid w:val="00E75571"/>
    <w:rsid w:val="00E75B53"/>
    <w:rsid w:val="00E75DF5"/>
    <w:rsid w:val="00E763AF"/>
    <w:rsid w:val="00E763C8"/>
    <w:rsid w:val="00E76B5B"/>
    <w:rsid w:val="00E76CD2"/>
    <w:rsid w:val="00E76F1A"/>
    <w:rsid w:val="00E77189"/>
    <w:rsid w:val="00E77545"/>
    <w:rsid w:val="00E777A9"/>
    <w:rsid w:val="00E77ADA"/>
    <w:rsid w:val="00E77D1A"/>
    <w:rsid w:val="00E80340"/>
    <w:rsid w:val="00E805CC"/>
    <w:rsid w:val="00E80DED"/>
    <w:rsid w:val="00E81C1F"/>
    <w:rsid w:val="00E823E1"/>
    <w:rsid w:val="00E83723"/>
    <w:rsid w:val="00E837AA"/>
    <w:rsid w:val="00E83CCB"/>
    <w:rsid w:val="00E85004"/>
    <w:rsid w:val="00E851BB"/>
    <w:rsid w:val="00E85490"/>
    <w:rsid w:val="00E85E04"/>
    <w:rsid w:val="00E8636F"/>
    <w:rsid w:val="00E867D9"/>
    <w:rsid w:val="00E86910"/>
    <w:rsid w:val="00E86F7D"/>
    <w:rsid w:val="00E8739B"/>
    <w:rsid w:val="00E87B1C"/>
    <w:rsid w:val="00E87D10"/>
    <w:rsid w:val="00E912C3"/>
    <w:rsid w:val="00E91503"/>
    <w:rsid w:val="00E915CA"/>
    <w:rsid w:val="00E91E9D"/>
    <w:rsid w:val="00E93105"/>
    <w:rsid w:val="00E935B9"/>
    <w:rsid w:val="00E9407D"/>
    <w:rsid w:val="00E940C2"/>
    <w:rsid w:val="00E94980"/>
    <w:rsid w:val="00E96098"/>
    <w:rsid w:val="00E96955"/>
    <w:rsid w:val="00E969D2"/>
    <w:rsid w:val="00E96B28"/>
    <w:rsid w:val="00E970E9"/>
    <w:rsid w:val="00E974B1"/>
    <w:rsid w:val="00EA0257"/>
    <w:rsid w:val="00EA05C2"/>
    <w:rsid w:val="00EA1035"/>
    <w:rsid w:val="00EA26A9"/>
    <w:rsid w:val="00EA2753"/>
    <w:rsid w:val="00EA325E"/>
    <w:rsid w:val="00EA338D"/>
    <w:rsid w:val="00EA34B7"/>
    <w:rsid w:val="00EA36FD"/>
    <w:rsid w:val="00EA3B62"/>
    <w:rsid w:val="00EA3E04"/>
    <w:rsid w:val="00EA4118"/>
    <w:rsid w:val="00EA4687"/>
    <w:rsid w:val="00EA5EF3"/>
    <w:rsid w:val="00EA67BD"/>
    <w:rsid w:val="00EA69B7"/>
    <w:rsid w:val="00EA6C59"/>
    <w:rsid w:val="00EA6DD1"/>
    <w:rsid w:val="00EA7848"/>
    <w:rsid w:val="00EA7A5B"/>
    <w:rsid w:val="00EA7BD8"/>
    <w:rsid w:val="00EB059E"/>
    <w:rsid w:val="00EB0974"/>
    <w:rsid w:val="00EB1498"/>
    <w:rsid w:val="00EB1BBE"/>
    <w:rsid w:val="00EB2739"/>
    <w:rsid w:val="00EB2749"/>
    <w:rsid w:val="00EB2B0A"/>
    <w:rsid w:val="00EB3240"/>
    <w:rsid w:val="00EB47CC"/>
    <w:rsid w:val="00EB4FF8"/>
    <w:rsid w:val="00EB5F50"/>
    <w:rsid w:val="00EB659F"/>
    <w:rsid w:val="00EB6C6B"/>
    <w:rsid w:val="00EB6E8E"/>
    <w:rsid w:val="00EB720F"/>
    <w:rsid w:val="00EB72DE"/>
    <w:rsid w:val="00EB75D3"/>
    <w:rsid w:val="00EB7D4D"/>
    <w:rsid w:val="00EC0990"/>
    <w:rsid w:val="00EC0A15"/>
    <w:rsid w:val="00EC0F98"/>
    <w:rsid w:val="00EC0FF6"/>
    <w:rsid w:val="00EC14C7"/>
    <w:rsid w:val="00EC27B0"/>
    <w:rsid w:val="00EC29C9"/>
    <w:rsid w:val="00EC29EE"/>
    <w:rsid w:val="00EC2B4A"/>
    <w:rsid w:val="00EC2C8F"/>
    <w:rsid w:val="00EC2D13"/>
    <w:rsid w:val="00EC2DD8"/>
    <w:rsid w:val="00EC326E"/>
    <w:rsid w:val="00EC3513"/>
    <w:rsid w:val="00EC3D85"/>
    <w:rsid w:val="00EC485C"/>
    <w:rsid w:val="00EC4BA4"/>
    <w:rsid w:val="00EC50D0"/>
    <w:rsid w:val="00EC585A"/>
    <w:rsid w:val="00EC6065"/>
    <w:rsid w:val="00EC61BC"/>
    <w:rsid w:val="00EC6327"/>
    <w:rsid w:val="00EC654E"/>
    <w:rsid w:val="00EC68D5"/>
    <w:rsid w:val="00EC7266"/>
    <w:rsid w:val="00ED05EE"/>
    <w:rsid w:val="00ED0F8F"/>
    <w:rsid w:val="00ED1618"/>
    <w:rsid w:val="00ED2586"/>
    <w:rsid w:val="00ED29B3"/>
    <w:rsid w:val="00ED3051"/>
    <w:rsid w:val="00ED3873"/>
    <w:rsid w:val="00ED3CA2"/>
    <w:rsid w:val="00ED3DCD"/>
    <w:rsid w:val="00ED3F08"/>
    <w:rsid w:val="00ED3FB4"/>
    <w:rsid w:val="00ED3FFC"/>
    <w:rsid w:val="00ED45A1"/>
    <w:rsid w:val="00ED550E"/>
    <w:rsid w:val="00ED56D8"/>
    <w:rsid w:val="00ED5F03"/>
    <w:rsid w:val="00ED6437"/>
    <w:rsid w:val="00ED7173"/>
    <w:rsid w:val="00ED718B"/>
    <w:rsid w:val="00ED77B9"/>
    <w:rsid w:val="00ED7FB2"/>
    <w:rsid w:val="00EE03DE"/>
    <w:rsid w:val="00EE05A5"/>
    <w:rsid w:val="00EE118F"/>
    <w:rsid w:val="00EE12A7"/>
    <w:rsid w:val="00EE18F3"/>
    <w:rsid w:val="00EE2680"/>
    <w:rsid w:val="00EE2A3B"/>
    <w:rsid w:val="00EE3199"/>
    <w:rsid w:val="00EE3531"/>
    <w:rsid w:val="00EE41A1"/>
    <w:rsid w:val="00EE42A4"/>
    <w:rsid w:val="00EE5063"/>
    <w:rsid w:val="00EE6177"/>
    <w:rsid w:val="00EE7307"/>
    <w:rsid w:val="00EE7D94"/>
    <w:rsid w:val="00EF0054"/>
    <w:rsid w:val="00EF0FE9"/>
    <w:rsid w:val="00EF12C0"/>
    <w:rsid w:val="00EF15E0"/>
    <w:rsid w:val="00EF19BA"/>
    <w:rsid w:val="00EF19C4"/>
    <w:rsid w:val="00EF1D61"/>
    <w:rsid w:val="00EF264F"/>
    <w:rsid w:val="00EF2E86"/>
    <w:rsid w:val="00EF3192"/>
    <w:rsid w:val="00EF325D"/>
    <w:rsid w:val="00EF33A2"/>
    <w:rsid w:val="00EF35EC"/>
    <w:rsid w:val="00EF377E"/>
    <w:rsid w:val="00EF3879"/>
    <w:rsid w:val="00EF3890"/>
    <w:rsid w:val="00EF3BF6"/>
    <w:rsid w:val="00EF3F9D"/>
    <w:rsid w:val="00EF4D8B"/>
    <w:rsid w:val="00EF5258"/>
    <w:rsid w:val="00EF5691"/>
    <w:rsid w:val="00EF56E1"/>
    <w:rsid w:val="00EF5798"/>
    <w:rsid w:val="00EF57AB"/>
    <w:rsid w:val="00EF5DA1"/>
    <w:rsid w:val="00EF5FFC"/>
    <w:rsid w:val="00EF628C"/>
    <w:rsid w:val="00EF6538"/>
    <w:rsid w:val="00EF763E"/>
    <w:rsid w:val="00EF7712"/>
    <w:rsid w:val="00EF7749"/>
    <w:rsid w:val="00EF7B8A"/>
    <w:rsid w:val="00EF7BF7"/>
    <w:rsid w:val="00F005DD"/>
    <w:rsid w:val="00F00678"/>
    <w:rsid w:val="00F00AF1"/>
    <w:rsid w:val="00F01462"/>
    <w:rsid w:val="00F01656"/>
    <w:rsid w:val="00F01983"/>
    <w:rsid w:val="00F02311"/>
    <w:rsid w:val="00F02404"/>
    <w:rsid w:val="00F02964"/>
    <w:rsid w:val="00F033AA"/>
    <w:rsid w:val="00F03629"/>
    <w:rsid w:val="00F04B20"/>
    <w:rsid w:val="00F04CE8"/>
    <w:rsid w:val="00F04D98"/>
    <w:rsid w:val="00F05027"/>
    <w:rsid w:val="00F0557A"/>
    <w:rsid w:val="00F05690"/>
    <w:rsid w:val="00F064C6"/>
    <w:rsid w:val="00F06666"/>
    <w:rsid w:val="00F06BAB"/>
    <w:rsid w:val="00F06EAA"/>
    <w:rsid w:val="00F0737E"/>
    <w:rsid w:val="00F102DF"/>
    <w:rsid w:val="00F10A51"/>
    <w:rsid w:val="00F10D59"/>
    <w:rsid w:val="00F10E47"/>
    <w:rsid w:val="00F11284"/>
    <w:rsid w:val="00F11669"/>
    <w:rsid w:val="00F118E9"/>
    <w:rsid w:val="00F11B6D"/>
    <w:rsid w:val="00F120E4"/>
    <w:rsid w:val="00F123B1"/>
    <w:rsid w:val="00F13154"/>
    <w:rsid w:val="00F13377"/>
    <w:rsid w:val="00F135A0"/>
    <w:rsid w:val="00F13671"/>
    <w:rsid w:val="00F13D4D"/>
    <w:rsid w:val="00F14361"/>
    <w:rsid w:val="00F143B3"/>
    <w:rsid w:val="00F1469A"/>
    <w:rsid w:val="00F153B5"/>
    <w:rsid w:val="00F155C0"/>
    <w:rsid w:val="00F15A55"/>
    <w:rsid w:val="00F15DED"/>
    <w:rsid w:val="00F163B6"/>
    <w:rsid w:val="00F171F8"/>
    <w:rsid w:val="00F17732"/>
    <w:rsid w:val="00F177EA"/>
    <w:rsid w:val="00F17B6E"/>
    <w:rsid w:val="00F17CD8"/>
    <w:rsid w:val="00F17F45"/>
    <w:rsid w:val="00F20062"/>
    <w:rsid w:val="00F20199"/>
    <w:rsid w:val="00F202A2"/>
    <w:rsid w:val="00F209F4"/>
    <w:rsid w:val="00F216CA"/>
    <w:rsid w:val="00F22703"/>
    <w:rsid w:val="00F23500"/>
    <w:rsid w:val="00F23A22"/>
    <w:rsid w:val="00F2444B"/>
    <w:rsid w:val="00F245EB"/>
    <w:rsid w:val="00F24607"/>
    <w:rsid w:val="00F248C7"/>
    <w:rsid w:val="00F24CEA"/>
    <w:rsid w:val="00F24F6C"/>
    <w:rsid w:val="00F2581A"/>
    <w:rsid w:val="00F25B52"/>
    <w:rsid w:val="00F25C61"/>
    <w:rsid w:val="00F26158"/>
    <w:rsid w:val="00F26B1C"/>
    <w:rsid w:val="00F26F5C"/>
    <w:rsid w:val="00F26FD2"/>
    <w:rsid w:val="00F276F3"/>
    <w:rsid w:val="00F27AAE"/>
    <w:rsid w:val="00F27F3E"/>
    <w:rsid w:val="00F30554"/>
    <w:rsid w:val="00F31432"/>
    <w:rsid w:val="00F31BBC"/>
    <w:rsid w:val="00F32695"/>
    <w:rsid w:val="00F326DC"/>
    <w:rsid w:val="00F32EE6"/>
    <w:rsid w:val="00F332ED"/>
    <w:rsid w:val="00F34343"/>
    <w:rsid w:val="00F34E8C"/>
    <w:rsid w:val="00F350E0"/>
    <w:rsid w:val="00F350E9"/>
    <w:rsid w:val="00F35E06"/>
    <w:rsid w:val="00F361FC"/>
    <w:rsid w:val="00F36340"/>
    <w:rsid w:val="00F37B9F"/>
    <w:rsid w:val="00F40430"/>
    <w:rsid w:val="00F410B7"/>
    <w:rsid w:val="00F41120"/>
    <w:rsid w:val="00F42177"/>
    <w:rsid w:val="00F42194"/>
    <w:rsid w:val="00F427D0"/>
    <w:rsid w:val="00F42824"/>
    <w:rsid w:val="00F42931"/>
    <w:rsid w:val="00F430B1"/>
    <w:rsid w:val="00F43B9B"/>
    <w:rsid w:val="00F43D5D"/>
    <w:rsid w:val="00F445FC"/>
    <w:rsid w:val="00F44904"/>
    <w:rsid w:val="00F45DD7"/>
    <w:rsid w:val="00F46278"/>
    <w:rsid w:val="00F46486"/>
    <w:rsid w:val="00F46617"/>
    <w:rsid w:val="00F467BB"/>
    <w:rsid w:val="00F4738E"/>
    <w:rsid w:val="00F47F07"/>
    <w:rsid w:val="00F50122"/>
    <w:rsid w:val="00F5026D"/>
    <w:rsid w:val="00F502DB"/>
    <w:rsid w:val="00F50674"/>
    <w:rsid w:val="00F52263"/>
    <w:rsid w:val="00F53C73"/>
    <w:rsid w:val="00F53DE6"/>
    <w:rsid w:val="00F54183"/>
    <w:rsid w:val="00F54829"/>
    <w:rsid w:val="00F54A37"/>
    <w:rsid w:val="00F5510F"/>
    <w:rsid w:val="00F5555D"/>
    <w:rsid w:val="00F55E5F"/>
    <w:rsid w:val="00F55F32"/>
    <w:rsid w:val="00F560B7"/>
    <w:rsid w:val="00F5645F"/>
    <w:rsid w:val="00F56CC8"/>
    <w:rsid w:val="00F56FDF"/>
    <w:rsid w:val="00F56FE6"/>
    <w:rsid w:val="00F605C8"/>
    <w:rsid w:val="00F605CA"/>
    <w:rsid w:val="00F60F0E"/>
    <w:rsid w:val="00F613C4"/>
    <w:rsid w:val="00F61C83"/>
    <w:rsid w:val="00F61FDA"/>
    <w:rsid w:val="00F62606"/>
    <w:rsid w:val="00F627FC"/>
    <w:rsid w:val="00F633F2"/>
    <w:rsid w:val="00F64AB6"/>
    <w:rsid w:val="00F64ADA"/>
    <w:rsid w:val="00F6554D"/>
    <w:rsid w:val="00F659CF"/>
    <w:rsid w:val="00F664DC"/>
    <w:rsid w:val="00F66625"/>
    <w:rsid w:val="00F66653"/>
    <w:rsid w:val="00F66813"/>
    <w:rsid w:val="00F66941"/>
    <w:rsid w:val="00F67484"/>
    <w:rsid w:val="00F70189"/>
    <w:rsid w:val="00F7020D"/>
    <w:rsid w:val="00F710BA"/>
    <w:rsid w:val="00F71288"/>
    <w:rsid w:val="00F713D5"/>
    <w:rsid w:val="00F71ACB"/>
    <w:rsid w:val="00F71CF8"/>
    <w:rsid w:val="00F71F46"/>
    <w:rsid w:val="00F729E2"/>
    <w:rsid w:val="00F73143"/>
    <w:rsid w:val="00F7339F"/>
    <w:rsid w:val="00F73472"/>
    <w:rsid w:val="00F73726"/>
    <w:rsid w:val="00F740EE"/>
    <w:rsid w:val="00F741C6"/>
    <w:rsid w:val="00F7495D"/>
    <w:rsid w:val="00F74BF4"/>
    <w:rsid w:val="00F74FEE"/>
    <w:rsid w:val="00F751FA"/>
    <w:rsid w:val="00F7592B"/>
    <w:rsid w:val="00F766DA"/>
    <w:rsid w:val="00F779C9"/>
    <w:rsid w:val="00F77B36"/>
    <w:rsid w:val="00F77BD7"/>
    <w:rsid w:val="00F77C5E"/>
    <w:rsid w:val="00F801E7"/>
    <w:rsid w:val="00F80B22"/>
    <w:rsid w:val="00F819E0"/>
    <w:rsid w:val="00F81AA0"/>
    <w:rsid w:val="00F82310"/>
    <w:rsid w:val="00F83030"/>
    <w:rsid w:val="00F8323E"/>
    <w:rsid w:val="00F8389C"/>
    <w:rsid w:val="00F838F7"/>
    <w:rsid w:val="00F8400A"/>
    <w:rsid w:val="00F84AB9"/>
    <w:rsid w:val="00F84C01"/>
    <w:rsid w:val="00F85EA0"/>
    <w:rsid w:val="00F86421"/>
    <w:rsid w:val="00F866B3"/>
    <w:rsid w:val="00F874D9"/>
    <w:rsid w:val="00F90EC6"/>
    <w:rsid w:val="00F91143"/>
    <w:rsid w:val="00F913B0"/>
    <w:rsid w:val="00F915FB"/>
    <w:rsid w:val="00F92822"/>
    <w:rsid w:val="00F93C85"/>
    <w:rsid w:val="00F949BB"/>
    <w:rsid w:val="00F94B6F"/>
    <w:rsid w:val="00F95343"/>
    <w:rsid w:val="00F956FD"/>
    <w:rsid w:val="00F9593F"/>
    <w:rsid w:val="00F95AC8"/>
    <w:rsid w:val="00F95CF8"/>
    <w:rsid w:val="00F960C3"/>
    <w:rsid w:val="00F961BC"/>
    <w:rsid w:val="00F962AC"/>
    <w:rsid w:val="00F96627"/>
    <w:rsid w:val="00F979F8"/>
    <w:rsid w:val="00FA020B"/>
    <w:rsid w:val="00FA08CC"/>
    <w:rsid w:val="00FA0B02"/>
    <w:rsid w:val="00FA0FCD"/>
    <w:rsid w:val="00FA13D7"/>
    <w:rsid w:val="00FA1971"/>
    <w:rsid w:val="00FA205B"/>
    <w:rsid w:val="00FA2F67"/>
    <w:rsid w:val="00FA3538"/>
    <w:rsid w:val="00FA4629"/>
    <w:rsid w:val="00FA4CAA"/>
    <w:rsid w:val="00FA5027"/>
    <w:rsid w:val="00FA5D37"/>
    <w:rsid w:val="00FA5DA3"/>
    <w:rsid w:val="00FA5E8E"/>
    <w:rsid w:val="00FA69EF"/>
    <w:rsid w:val="00FA7D8D"/>
    <w:rsid w:val="00FB0161"/>
    <w:rsid w:val="00FB060C"/>
    <w:rsid w:val="00FB0F84"/>
    <w:rsid w:val="00FB2281"/>
    <w:rsid w:val="00FB2371"/>
    <w:rsid w:val="00FB26DC"/>
    <w:rsid w:val="00FB2A9D"/>
    <w:rsid w:val="00FB2F4A"/>
    <w:rsid w:val="00FB3448"/>
    <w:rsid w:val="00FB3894"/>
    <w:rsid w:val="00FB3E5B"/>
    <w:rsid w:val="00FB46E2"/>
    <w:rsid w:val="00FB4804"/>
    <w:rsid w:val="00FB4ED8"/>
    <w:rsid w:val="00FB5B62"/>
    <w:rsid w:val="00FB5E87"/>
    <w:rsid w:val="00FB625F"/>
    <w:rsid w:val="00FB691C"/>
    <w:rsid w:val="00FB789A"/>
    <w:rsid w:val="00FB7C9F"/>
    <w:rsid w:val="00FC0042"/>
    <w:rsid w:val="00FC00DC"/>
    <w:rsid w:val="00FC02A7"/>
    <w:rsid w:val="00FC0412"/>
    <w:rsid w:val="00FC18E4"/>
    <w:rsid w:val="00FC3641"/>
    <w:rsid w:val="00FC3889"/>
    <w:rsid w:val="00FC4166"/>
    <w:rsid w:val="00FC4E8A"/>
    <w:rsid w:val="00FC4F1D"/>
    <w:rsid w:val="00FC4F38"/>
    <w:rsid w:val="00FC531B"/>
    <w:rsid w:val="00FC5428"/>
    <w:rsid w:val="00FC5502"/>
    <w:rsid w:val="00FC631D"/>
    <w:rsid w:val="00FC6DC4"/>
    <w:rsid w:val="00FC7273"/>
    <w:rsid w:val="00FC733A"/>
    <w:rsid w:val="00FC7A27"/>
    <w:rsid w:val="00FC7C30"/>
    <w:rsid w:val="00FC7EFB"/>
    <w:rsid w:val="00FD0215"/>
    <w:rsid w:val="00FD0442"/>
    <w:rsid w:val="00FD05EB"/>
    <w:rsid w:val="00FD082D"/>
    <w:rsid w:val="00FD10F9"/>
    <w:rsid w:val="00FD1909"/>
    <w:rsid w:val="00FD1ACC"/>
    <w:rsid w:val="00FD1F81"/>
    <w:rsid w:val="00FD2145"/>
    <w:rsid w:val="00FD22CF"/>
    <w:rsid w:val="00FD23DF"/>
    <w:rsid w:val="00FD284F"/>
    <w:rsid w:val="00FD2CE1"/>
    <w:rsid w:val="00FD354F"/>
    <w:rsid w:val="00FD3596"/>
    <w:rsid w:val="00FD3812"/>
    <w:rsid w:val="00FD3A14"/>
    <w:rsid w:val="00FD432E"/>
    <w:rsid w:val="00FD45A0"/>
    <w:rsid w:val="00FD5601"/>
    <w:rsid w:val="00FD5AEB"/>
    <w:rsid w:val="00FD66CF"/>
    <w:rsid w:val="00FD6710"/>
    <w:rsid w:val="00FD686E"/>
    <w:rsid w:val="00FD78A3"/>
    <w:rsid w:val="00FD7DCE"/>
    <w:rsid w:val="00FE0249"/>
    <w:rsid w:val="00FE04C6"/>
    <w:rsid w:val="00FE0592"/>
    <w:rsid w:val="00FE07A8"/>
    <w:rsid w:val="00FE07DA"/>
    <w:rsid w:val="00FE146C"/>
    <w:rsid w:val="00FE2B8E"/>
    <w:rsid w:val="00FE2BF2"/>
    <w:rsid w:val="00FE2E44"/>
    <w:rsid w:val="00FE342C"/>
    <w:rsid w:val="00FE38E8"/>
    <w:rsid w:val="00FE4ADF"/>
    <w:rsid w:val="00FE5C97"/>
    <w:rsid w:val="00FE5EFE"/>
    <w:rsid w:val="00FE5F2D"/>
    <w:rsid w:val="00FE6046"/>
    <w:rsid w:val="00FE62D4"/>
    <w:rsid w:val="00FE7E5C"/>
    <w:rsid w:val="00FE7F0F"/>
    <w:rsid w:val="00FE7F72"/>
    <w:rsid w:val="00FE7F79"/>
    <w:rsid w:val="00FE7FA7"/>
    <w:rsid w:val="00FF0407"/>
    <w:rsid w:val="00FF142C"/>
    <w:rsid w:val="00FF1717"/>
    <w:rsid w:val="00FF1F05"/>
    <w:rsid w:val="00FF281B"/>
    <w:rsid w:val="00FF3164"/>
    <w:rsid w:val="00FF3E34"/>
    <w:rsid w:val="00FF4F10"/>
    <w:rsid w:val="00FF524A"/>
    <w:rsid w:val="00FF5283"/>
    <w:rsid w:val="00FF59AF"/>
    <w:rsid w:val="00FF5A34"/>
    <w:rsid w:val="00FF5ABC"/>
    <w:rsid w:val="00FF5E51"/>
    <w:rsid w:val="00FF62EC"/>
    <w:rsid w:val="00FF6510"/>
    <w:rsid w:val="00FF651A"/>
    <w:rsid w:val="00FF6924"/>
    <w:rsid w:val="00FF6F93"/>
    <w:rsid w:val="00FF73E8"/>
    <w:rsid w:val="00FF7CE0"/>
    <w:rsid w:val="00FF7D62"/>
    <w:rsid w:val="00FF7E93"/>
    <w:rsid w:val="02104022"/>
    <w:rsid w:val="03067098"/>
    <w:rsid w:val="06104332"/>
    <w:rsid w:val="07AA4D6D"/>
    <w:rsid w:val="09835F12"/>
    <w:rsid w:val="0A7F3800"/>
    <w:rsid w:val="0B792C38"/>
    <w:rsid w:val="0D446551"/>
    <w:rsid w:val="0DC95F08"/>
    <w:rsid w:val="0DF32757"/>
    <w:rsid w:val="0E2A6359"/>
    <w:rsid w:val="0E811E04"/>
    <w:rsid w:val="10892319"/>
    <w:rsid w:val="115D74CE"/>
    <w:rsid w:val="124E63D6"/>
    <w:rsid w:val="14F450DE"/>
    <w:rsid w:val="15377F3D"/>
    <w:rsid w:val="155913E5"/>
    <w:rsid w:val="1765072B"/>
    <w:rsid w:val="1C724FA8"/>
    <w:rsid w:val="1CFB3BE7"/>
    <w:rsid w:val="1E264D80"/>
    <w:rsid w:val="220148B7"/>
    <w:rsid w:val="25250DFA"/>
    <w:rsid w:val="25D35DAB"/>
    <w:rsid w:val="25FD39A3"/>
    <w:rsid w:val="27B0664E"/>
    <w:rsid w:val="280D12F9"/>
    <w:rsid w:val="29353E2B"/>
    <w:rsid w:val="2B12230A"/>
    <w:rsid w:val="2BB535B8"/>
    <w:rsid w:val="2E017BA8"/>
    <w:rsid w:val="2E3E76D9"/>
    <w:rsid w:val="2E6D6139"/>
    <w:rsid w:val="2F7F0699"/>
    <w:rsid w:val="31C7343E"/>
    <w:rsid w:val="322F08F2"/>
    <w:rsid w:val="33446DD8"/>
    <w:rsid w:val="33BB7FE1"/>
    <w:rsid w:val="33D7791C"/>
    <w:rsid w:val="33EA3DAC"/>
    <w:rsid w:val="342F12A4"/>
    <w:rsid w:val="353275C9"/>
    <w:rsid w:val="35C83997"/>
    <w:rsid w:val="35F5FB38"/>
    <w:rsid w:val="36C6209E"/>
    <w:rsid w:val="37724274"/>
    <w:rsid w:val="38202F27"/>
    <w:rsid w:val="3B5C3E0E"/>
    <w:rsid w:val="3B7A7ADD"/>
    <w:rsid w:val="3B92A5E4"/>
    <w:rsid w:val="3BFD1D6A"/>
    <w:rsid w:val="3C380CC4"/>
    <w:rsid w:val="3D7B597E"/>
    <w:rsid w:val="3EB219E2"/>
    <w:rsid w:val="47390B1B"/>
    <w:rsid w:val="48DE1FA3"/>
    <w:rsid w:val="4AA03036"/>
    <w:rsid w:val="4C2F55B3"/>
    <w:rsid w:val="4DE70890"/>
    <w:rsid w:val="4E096208"/>
    <w:rsid w:val="4E3441C2"/>
    <w:rsid w:val="51144915"/>
    <w:rsid w:val="512C6EEE"/>
    <w:rsid w:val="51461692"/>
    <w:rsid w:val="52195C25"/>
    <w:rsid w:val="531E5DA0"/>
    <w:rsid w:val="53512DD3"/>
    <w:rsid w:val="54AA47FD"/>
    <w:rsid w:val="56E64117"/>
    <w:rsid w:val="578417E5"/>
    <w:rsid w:val="58F416AE"/>
    <w:rsid w:val="59123931"/>
    <w:rsid w:val="59C93E99"/>
    <w:rsid w:val="5A2450EA"/>
    <w:rsid w:val="5A2E41BB"/>
    <w:rsid w:val="5AC9641E"/>
    <w:rsid w:val="5ACF6289"/>
    <w:rsid w:val="5D1A22E1"/>
    <w:rsid w:val="5E6B5F28"/>
    <w:rsid w:val="5EFD175A"/>
    <w:rsid w:val="5FA7182E"/>
    <w:rsid w:val="606D2901"/>
    <w:rsid w:val="620B4DE2"/>
    <w:rsid w:val="62EB74C5"/>
    <w:rsid w:val="63A1191D"/>
    <w:rsid w:val="67461E8B"/>
    <w:rsid w:val="6AE91B22"/>
    <w:rsid w:val="6B185C7D"/>
    <w:rsid w:val="6D56711D"/>
    <w:rsid w:val="6D717AAF"/>
    <w:rsid w:val="6F556807"/>
    <w:rsid w:val="6F7C1175"/>
    <w:rsid w:val="6FD5DC09"/>
    <w:rsid w:val="6FD7233B"/>
    <w:rsid w:val="6FFBE79D"/>
    <w:rsid w:val="6FFFB48C"/>
    <w:rsid w:val="71ABE782"/>
    <w:rsid w:val="71C77B13"/>
    <w:rsid w:val="727D1B80"/>
    <w:rsid w:val="75287D2D"/>
    <w:rsid w:val="75FB7DD2"/>
    <w:rsid w:val="767A1612"/>
    <w:rsid w:val="76DFB048"/>
    <w:rsid w:val="770761C7"/>
    <w:rsid w:val="7AF90EEB"/>
    <w:rsid w:val="7B911AAD"/>
    <w:rsid w:val="7BC93D06"/>
    <w:rsid w:val="7BEE7527"/>
    <w:rsid w:val="7DE20C95"/>
    <w:rsid w:val="7DFF06B0"/>
    <w:rsid w:val="7ECFADE4"/>
    <w:rsid w:val="7EFFD99A"/>
    <w:rsid w:val="7F854F2C"/>
    <w:rsid w:val="7FBEAD21"/>
    <w:rsid w:val="7FF73B0F"/>
    <w:rsid w:val="7FF75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v:stroke weight="1.25pt"/>
    </o:shapedefaults>
    <o:shapelayout v:ext="edit">
      <o:idmap v:ext="edit" data="1"/>
    </o:shapelayout>
  </w:shapeDefaults>
  <w:decimalSymbol w:val="."/>
  <w:listSeparator w:val=","/>
  <w15:docId w15:val="{434EF4D1-B303-4788-817F-95C33F961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0" w:qFormat="1"/>
    <w:lsdException w:name="heading 6" w:uiPriority="0"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uiPriority="0" w:qFormat="1"/>
    <w:lsdException w:name="annotation text" w:semiHidden="1"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uiPriority="0" w:qFormat="1"/>
    <w:lsdException w:name="annotation reference" w:qFormat="1"/>
    <w:lsdException w:name="line number" w:semiHidden="1" w:unhideWhenUsed="1"/>
    <w:lsdException w:name="page number" w:qFormat="1"/>
    <w:lsdException w:name="endnote reference" w:semiHidden="1" w:uiPriority="0" w:qFormat="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uiPriority="0" w:qFormat="1"/>
    <w:lsdException w:name="List Bullet" w:uiPriority="0" w:qFormat="1"/>
    <w:lsdException w:name="List Number" w:semiHidden="1" w:unhideWhenUsed="1"/>
    <w:lsdException w:name="List 2" w:uiPriority="0"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uiPriority="0" w:qFormat="1"/>
    <w:lsdException w:name="List Continue" w:uiPriority="0"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uiPriority="0" w:qFormat="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qFormat="1"/>
    <w:lsdException w:name="FollowedHyperlink" w:uiPriority="0" w:qFormat="1"/>
    <w:lsdException w:name="Strong" w:uiPriority="0" w:qFormat="1"/>
    <w:lsdException w:name="Emphasis" w:uiPriority="20" w:qFormat="1"/>
    <w:lsdException w:name="Document Map"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rPr>
      <w:kern w:val="2"/>
    </w:rPr>
  </w:style>
  <w:style w:type="paragraph" w:styleId="Heading1">
    <w:name w:val="heading 1"/>
    <w:basedOn w:val="Normal"/>
    <w:next w:val="Normal"/>
    <w:link w:val="Heading1Char"/>
    <w:autoRedefine/>
    <w:uiPriority w:val="1"/>
    <w:qFormat/>
    <w:pPr>
      <w:keepNext/>
      <w:numPr>
        <w:numId w:val="1"/>
      </w:numPr>
      <w:adjustRightInd w:val="0"/>
      <w:snapToGrid w:val="0"/>
      <w:spacing w:after="240"/>
      <w:jc w:val="both"/>
      <w:outlineLvl w:val="0"/>
    </w:pPr>
    <w:rPr>
      <w:rFonts w:ascii="Arial Narrow" w:eastAsia="仿宋_GB2312" w:hAnsi="Arial Narrow" w:cs="Arial"/>
      <w:bCs/>
      <w:color w:val="486A00" w:themeColor="accent2" w:themeShade="80"/>
      <w:kern w:val="0"/>
      <w:sz w:val="28"/>
      <w:szCs w:val="28"/>
      <w14:scene3d>
        <w14:camera w14:prst="orthographicFront"/>
        <w14:lightRig w14:rig="threePt" w14:dir="t">
          <w14:rot w14:lat="0" w14:lon="0" w14:rev="0"/>
        </w14:lightRig>
      </w14:scene3d>
    </w:rPr>
  </w:style>
  <w:style w:type="paragraph" w:styleId="Heading2">
    <w:name w:val="heading 2"/>
    <w:basedOn w:val="Normal"/>
    <w:next w:val="Normal"/>
    <w:link w:val="Heading2Char"/>
    <w:autoRedefine/>
    <w:uiPriority w:val="1"/>
    <w:qFormat/>
    <w:pPr>
      <w:keepNext/>
      <w:numPr>
        <w:ilvl w:val="1"/>
        <w:numId w:val="1"/>
      </w:numPr>
      <w:adjustRightInd w:val="0"/>
      <w:snapToGrid w:val="0"/>
      <w:spacing w:before="240" w:after="240"/>
      <w:jc w:val="both"/>
      <w:outlineLvl w:val="1"/>
    </w:pPr>
    <w:rPr>
      <w:rFonts w:ascii="Arial Narrow" w:eastAsia="仿宋_GB2312" w:hAnsi="Arial Narrow" w:cs="Arial"/>
      <w:iCs/>
      <w:color w:val="002060"/>
      <w:kern w:val="0"/>
      <w:sz w:val="22"/>
      <w:szCs w:val="22"/>
    </w:rPr>
  </w:style>
  <w:style w:type="paragraph" w:styleId="Heading3">
    <w:name w:val="heading 3"/>
    <w:basedOn w:val="Heading2"/>
    <w:next w:val="Normal"/>
    <w:link w:val="Heading3Char"/>
    <w:autoRedefine/>
    <w:uiPriority w:val="1"/>
    <w:qFormat/>
    <w:pPr>
      <w:numPr>
        <w:ilvl w:val="2"/>
      </w:numPr>
      <w:outlineLvl w:val="2"/>
    </w:pPr>
    <w:rPr>
      <w:sz w:val="24"/>
    </w:rPr>
  </w:style>
  <w:style w:type="paragraph" w:styleId="Heading4">
    <w:name w:val="heading 4"/>
    <w:basedOn w:val="Heading3"/>
    <w:next w:val="Normal"/>
    <w:link w:val="Heading4Char"/>
    <w:autoRedefine/>
    <w:uiPriority w:val="1"/>
    <w:qFormat/>
    <w:pPr>
      <w:numPr>
        <w:ilvl w:val="3"/>
      </w:numPr>
      <w:outlineLvl w:val="3"/>
    </w:pPr>
    <w:rPr>
      <w:sz w:val="22"/>
    </w:rPr>
  </w:style>
  <w:style w:type="paragraph" w:styleId="Heading5">
    <w:name w:val="heading 5"/>
    <w:basedOn w:val="Normal"/>
    <w:next w:val="Normal"/>
    <w:link w:val="Heading5Char"/>
    <w:autoRedefine/>
    <w:qFormat/>
    <w:pPr>
      <w:keepNext/>
      <w:numPr>
        <w:ilvl w:val="4"/>
        <w:numId w:val="2"/>
      </w:numPr>
      <w:tabs>
        <w:tab w:val="left" w:pos="540"/>
      </w:tabs>
      <w:spacing w:before="240"/>
      <w:outlineLvl w:val="4"/>
    </w:pPr>
    <w:rPr>
      <w:rFonts w:ascii="'宋体" w:eastAsia="'宋体"/>
    </w:rPr>
  </w:style>
  <w:style w:type="paragraph" w:styleId="Heading6">
    <w:name w:val="heading 6"/>
    <w:basedOn w:val="Normal"/>
    <w:next w:val="Normal"/>
    <w:link w:val="Heading6Char"/>
    <w:autoRedefine/>
    <w:qFormat/>
    <w:pPr>
      <w:keepNext/>
      <w:numPr>
        <w:ilvl w:val="5"/>
        <w:numId w:val="2"/>
      </w:numPr>
      <w:tabs>
        <w:tab w:val="left" w:pos="540"/>
      </w:tabs>
      <w:outlineLvl w:val="5"/>
    </w:pPr>
    <w:rPr>
      <w:lang w:eastAsia="en-US"/>
    </w:rPr>
  </w:style>
  <w:style w:type="paragraph" w:styleId="Heading7">
    <w:name w:val="heading 7"/>
    <w:basedOn w:val="Normal"/>
    <w:next w:val="Normal"/>
    <w:link w:val="Heading7Char"/>
    <w:autoRedefine/>
    <w:uiPriority w:val="9"/>
    <w:unhideWhenUsed/>
    <w:qFormat/>
    <w:pPr>
      <w:spacing w:before="240" w:after="60"/>
      <w:outlineLvl w:val="6"/>
    </w:pPr>
    <w:rPr>
      <w:rFonts w:ascii="Calibri" w:hAnsi="Calibri"/>
      <w:sz w:val="24"/>
      <w:szCs w:val="24"/>
    </w:rPr>
  </w:style>
  <w:style w:type="paragraph" w:styleId="Heading8">
    <w:name w:val="heading 8"/>
    <w:basedOn w:val="Normal"/>
    <w:next w:val="Normal"/>
    <w:link w:val="Heading8Char"/>
    <w:autoRedefine/>
    <w:uiPriority w:val="9"/>
    <w:unhideWhenUsed/>
    <w:qFormat/>
    <w:pPr>
      <w:spacing w:before="240" w:after="60"/>
      <w:outlineLvl w:val="7"/>
    </w:pPr>
    <w:rPr>
      <w:rFonts w:ascii="Calibri" w:hAnsi="Calibri"/>
      <w:i/>
      <w:iCs/>
      <w:sz w:val="24"/>
      <w:szCs w:val="24"/>
    </w:rPr>
  </w:style>
  <w:style w:type="paragraph" w:styleId="Heading9">
    <w:name w:val="heading 9"/>
    <w:basedOn w:val="Normal"/>
    <w:next w:val="Normal"/>
    <w:link w:val="Heading9Char"/>
    <w:autoRedefine/>
    <w:uiPriority w:val="9"/>
    <w:unhideWhenUsed/>
    <w:qFormat/>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autoRedefine/>
    <w:uiPriority w:val="39"/>
    <w:unhideWhenUsed/>
    <w:qFormat/>
    <w:pPr>
      <w:spacing w:after="100" w:line="276" w:lineRule="auto"/>
      <w:ind w:left="1320"/>
    </w:pPr>
    <w:rPr>
      <w:rFonts w:ascii="Arial" w:hAnsi="Arial"/>
      <w:kern w:val="0"/>
      <w:sz w:val="22"/>
      <w:szCs w:val="22"/>
    </w:rPr>
  </w:style>
  <w:style w:type="paragraph" w:styleId="NoteHeading">
    <w:name w:val="Note Heading"/>
    <w:basedOn w:val="Normal"/>
    <w:next w:val="Normal"/>
    <w:link w:val="NoteHeadingChar"/>
    <w:autoRedefine/>
    <w:qFormat/>
    <w:pPr>
      <w:spacing w:before="120" w:after="120"/>
    </w:pPr>
    <w:rPr>
      <w:rFonts w:ascii="EYInterstate Light" w:hAnsi="EYInterstate Light" w:cs="Arial"/>
      <w:b/>
      <w:kern w:val="24"/>
      <w:sz w:val="18"/>
      <w:lang w:eastAsia="en-US"/>
    </w:rPr>
  </w:style>
  <w:style w:type="paragraph" w:styleId="NormalIndent">
    <w:name w:val="Normal Indent"/>
    <w:basedOn w:val="Normal"/>
    <w:autoRedefine/>
    <w:qFormat/>
    <w:pPr>
      <w:widowControl w:val="0"/>
      <w:jc w:val="both"/>
    </w:pPr>
    <w:rPr>
      <w:rFonts w:ascii="MS Mincho" w:hAnsi="Arial"/>
      <w:b/>
      <w:kern w:val="20"/>
    </w:rPr>
  </w:style>
  <w:style w:type="paragraph" w:styleId="Caption">
    <w:name w:val="caption"/>
    <w:basedOn w:val="Normal"/>
    <w:next w:val="Normal"/>
    <w:link w:val="CaptionChar"/>
    <w:autoRedefine/>
    <w:uiPriority w:val="35"/>
    <w:unhideWhenUsed/>
    <w:qFormat/>
    <w:rPr>
      <w:b/>
      <w:bCs/>
    </w:rPr>
  </w:style>
  <w:style w:type="paragraph" w:styleId="ListBullet">
    <w:name w:val="List Bullet"/>
    <w:basedOn w:val="Normal"/>
    <w:autoRedefine/>
    <w:qFormat/>
    <w:pPr>
      <w:spacing w:after="240" w:line="240" w:lineRule="atLeast"/>
    </w:pPr>
  </w:style>
  <w:style w:type="paragraph" w:styleId="DocumentMap">
    <w:name w:val="Document Map"/>
    <w:basedOn w:val="Normal"/>
    <w:link w:val="DocumentMapChar"/>
    <w:autoRedefine/>
    <w:unhideWhenUsed/>
    <w:qFormat/>
    <w:rPr>
      <w:rFonts w:ascii="Tahoma" w:hAnsi="Tahoma" w:cs="Tahoma"/>
      <w:sz w:val="16"/>
      <w:szCs w:val="16"/>
    </w:rPr>
  </w:style>
  <w:style w:type="paragraph" w:styleId="CommentText">
    <w:name w:val="annotation text"/>
    <w:basedOn w:val="Normal"/>
    <w:link w:val="CommentTextChar"/>
    <w:autoRedefine/>
    <w:semiHidden/>
    <w:qFormat/>
    <w:rPr>
      <w:kern w:val="0"/>
    </w:rPr>
  </w:style>
  <w:style w:type="paragraph" w:styleId="BodyText3">
    <w:name w:val="Body Text 3"/>
    <w:basedOn w:val="Normal"/>
    <w:link w:val="BodyText3Char"/>
    <w:autoRedefine/>
    <w:qFormat/>
    <w:pPr>
      <w:jc w:val="center"/>
    </w:pPr>
    <w:rPr>
      <w:rFonts w:ascii="宋体" w:hAnsi="宋体"/>
      <w:sz w:val="16"/>
      <w:lang w:eastAsia="en-US"/>
    </w:rPr>
  </w:style>
  <w:style w:type="paragraph" w:styleId="BodyText">
    <w:name w:val="Body Text"/>
    <w:basedOn w:val="Normal"/>
    <w:link w:val="BodyTextChar"/>
    <w:autoRedefine/>
    <w:uiPriority w:val="1"/>
    <w:qFormat/>
    <w:pPr>
      <w:spacing w:before="240" w:line="360" w:lineRule="auto"/>
      <w:ind w:right="-91"/>
      <w:jc w:val="both"/>
    </w:pPr>
    <w:rPr>
      <w:rFonts w:ascii="FZFangSong-Z02" w:eastAsia="FZFangSong-Z02"/>
    </w:rPr>
  </w:style>
  <w:style w:type="paragraph" w:styleId="BodyTextIndent">
    <w:name w:val="Body Text Indent"/>
    <w:basedOn w:val="Normal"/>
    <w:link w:val="BodyTextIndentChar"/>
    <w:autoRedefine/>
    <w:qFormat/>
    <w:pPr>
      <w:spacing w:before="240"/>
      <w:ind w:right="-180" w:firstLine="540"/>
      <w:jc w:val="both"/>
    </w:pPr>
    <w:rPr>
      <w:rFonts w:ascii="宋体" w:hAnsi="宋体"/>
      <w:spacing w:val="-6"/>
    </w:rPr>
  </w:style>
  <w:style w:type="paragraph" w:styleId="List2">
    <w:name w:val="List 2"/>
    <w:basedOn w:val="Normal"/>
    <w:autoRedefine/>
    <w:qFormat/>
    <w:pPr>
      <w:ind w:left="720" w:hanging="360"/>
    </w:pPr>
  </w:style>
  <w:style w:type="paragraph" w:styleId="ListContinue">
    <w:name w:val="List Continue"/>
    <w:basedOn w:val="Normal"/>
    <w:autoRedefine/>
    <w:qFormat/>
    <w:pPr>
      <w:spacing w:after="120"/>
      <w:ind w:left="360"/>
    </w:pPr>
  </w:style>
  <w:style w:type="paragraph" w:styleId="BlockText">
    <w:name w:val="Block Text"/>
    <w:basedOn w:val="Normal"/>
    <w:autoRedefine/>
    <w:qFormat/>
    <w:pPr>
      <w:spacing w:before="240" w:line="360" w:lineRule="auto"/>
      <w:ind w:left="360" w:right="-91" w:firstLine="360"/>
      <w:jc w:val="both"/>
    </w:pPr>
    <w:rPr>
      <w:rFonts w:ascii="FZFangSong-Z02" w:eastAsia="FZFangSong-Z02"/>
    </w:rPr>
  </w:style>
  <w:style w:type="paragraph" w:styleId="TOC5">
    <w:name w:val="toc 5"/>
    <w:basedOn w:val="Normal"/>
    <w:next w:val="Normal"/>
    <w:autoRedefine/>
    <w:uiPriority w:val="39"/>
    <w:unhideWhenUsed/>
    <w:qFormat/>
    <w:pPr>
      <w:spacing w:after="100" w:line="276" w:lineRule="auto"/>
      <w:ind w:left="880"/>
    </w:pPr>
    <w:rPr>
      <w:rFonts w:ascii="Arial" w:hAnsi="Arial"/>
      <w:kern w:val="0"/>
      <w:sz w:val="22"/>
      <w:szCs w:val="22"/>
    </w:rPr>
  </w:style>
  <w:style w:type="paragraph" w:styleId="TOC3">
    <w:name w:val="toc 3"/>
    <w:basedOn w:val="Normal"/>
    <w:next w:val="Normal"/>
    <w:autoRedefine/>
    <w:uiPriority w:val="39"/>
    <w:qFormat/>
    <w:pPr>
      <w:tabs>
        <w:tab w:val="left" w:pos="1100"/>
        <w:tab w:val="right" w:leader="dot" w:pos="8297"/>
      </w:tabs>
      <w:ind w:left="480"/>
    </w:pPr>
    <w:rPr>
      <w:rFonts w:ascii="华文楷体" w:hAnsi="华文楷体"/>
      <w:i/>
      <w:iCs/>
    </w:rPr>
  </w:style>
  <w:style w:type="paragraph" w:styleId="TOC8">
    <w:name w:val="toc 8"/>
    <w:basedOn w:val="Normal"/>
    <w:next w:val="Normal"/>
    <w:autoRedefine/>
    <w:uiPriority w:val="39"/>
    <w:unhideWhenUsed/>
    <w:qFormat/>
    <w:pPr>
      <w:spacing w:after="100" w:line="276" w:lineRule="auto"/>
      <w:ind w:left="1540"/>
    </w:pPr>
    <w:rPr>
      <w:rFonts w:ascii="Arial" w:hAnsi="Arial"/>
      <w:kern w:val="0"/>
      <w:sz w:val="22"/>
      <w:szCs w:val="22"/>
    </w:rPr>
  </w:style>
  <w:style w:type="paragraph" w:styleId="BodyTextIndent2">
    <w:name w:val="Body Text Indent 2"/>
    <w:basedOn w:val="Normal"/>
    <w:link w:val="BodyTextIndent2Char"/>
    <w:autoRedefine/>
    <w:qFormat/>
    <w:pPr>
      <w:spacing w:line="360" w:lineRule="auto"/>
      <w:ind w:firstLine="720"/>
    </w:pPr>
    <w:rPr>
      <w:rFonts w:ascii="楷体" w:eastAsia="楷体"/>
    </w:rPr>
  </w:style>
  <w:style w:type="paragraph" w:styleId="EndnoteText">
    <w:name w:val="endnote text"/>
    <w:basedOn w:val="Normal"/>
    <w:link w:val="EndnoteTextChar"/>
    <w:autoRedefine/>
    <w:semiHidden/>
    <w:qFormat/>
    <w:pPr>
      <w:snapToGrid w:val="0"/>
    </w:pPr>
  </w:style>
  <w:style w:type="paragraph" w:styleId="BalloonText">
    <w:name w:val="Balloon Text"/>
    <w:basedOn w:val="Normal"/>
    <w:link w:val="BalloonTextChar"/>
    <w:autoRedefine/>
    <w:semiHidden/>
    <w:qFormat/>
    <w:rPr>
      <w:rFonts w:ascii="Tahoma" w:hAnsi="Tahoma" w:cs="Tahoma"/>
      <w:sz w:val="16"/>
      <w:szCs w:val="16"/>
    </w:rPr>
  </w:style>
  <w:style w:type="paragraph" w:styleId="Footer">
    <w:name w:val="footer"/>
    <w:basedOn w:val="Normal"/>
    <w:link w:val="FooterChar"/>
    <w:autoRedefine/>
    <w:uiPriority w:val="99"/>
    <w:unhideWhenUsed/>
    <w:qFormat/>
    <w:pPr>
      <w:tabs>
        <w:tab w:val="center" w:pos="4320"/>
        <w:tab w:val="right" w:pos="8640"/>
      </w:tabs>
    </w:pPr>
  </w:style>
  <w:style w:type="paragraph" w:styleId="Header">
    <w:name w:val="header"/>
    <w:basedOn w:val="Normal"/>
    <w:link w:val="HeaderChar"/>
    <w:autoRedefine/>
    <w:unhideWhenUsed/>
    <w:qFormat/>
    <w:pPr>
      <w:tabs>
        <w:tab w:val="center" w:pos="4320"/>
        <w:tab w:val="right" w:pos="8640"/>
      </w:tabs>
    </w:pPr>
  </w:style>
  <w:style w:type="paragraph" w:styleId="TOC1">
    <w:name w:val="toc 1"/>
    <w:basedOn w:val="Normal"/>
    <w:next w:val="Normal"/>
    <w:autoRedefine/>
    <w:uiPriority w:val="39"/>
    <w:qFormat/>
    <w:pPr>
      <w:tabs>
        <w:tab w:val="right" w:leader="dot" w:pos="8280"/>
      </w:tabs>
      <w:snapToGrid w:val="0"/>
      <w:jc w:val="both"/>
    </w:pPr>
    <w:rPr>
      <w:rFonts w:ascii="Verdana" w:eastAsia="Verdana" w:hAnsi="Verdana"/>
      <w:bCs/>
      <w:caps/>
      <w:szCs w:val="36"/>
      <w14:scene3d>
        <w14:camera w14:prst="orthographicFront"/>
        <w14:lightRig w14:rig="threePt" w14:dir="t">
          <w14:rot w14:lat="0" w14:lon="0" w14:rev="0"/>
        </w14:lightRig>
      </w14:scene3d>
    </w:rPr>
  </w:style>
  <w:style w:type="paragraph" w:styleId="TOC4">
    <w:name w:val="toc 4"/>
    <w:basedOn w:val="Normal"/>
    <w:next w:val="Normal"/>
    <w:autoRedefine/>
    <w:uiPriority w:val="39"/>
    <w:unhideWhenUsed/>
    <w:qFormat/>
    <w:pPr>
      <w:spacing w:after="100" w:line="276" w:lineRule="auto"/>
      <w:ind w:left="660"/>
    </w:pPr>
    <w:rPr>
      <w:rFonts w:ascii="Arial" w:hAnsi="Arial"/>
      <w:kern w:val="0"/>
      <w:sz w:val="22"/>
      <w:szCs w:val="22"/>
    </w:rPr>
  </w:style>
  <w:style w:type="paragraph" w:styleId="List">
    <w:name w:val="List"/>
    <w:basedOn w:val="Normal"/>
    <w:autoRedefine/>
    <w:qFormat/>
    <w:pPr>
      <w:ind w:left="360" w:hanging="360"/>
    </w:pPr>
  </w:style>
  <w:style w:type="paragraph" w:styleId="FootnoteText">
    <w:name w:val="footnote text"/>
    <w:basedOn w:val="Normal"/>
    <w:link w:val="FootnoteTextChar"/>
    <w:autoRedefine/>
    <w:qFormat/>
    <w:pPr>
      <w:widowControl w:val="0"/>
      <w:snapToGrid w:val="0"/>
    </w:pPr>
    <w:rPr>
      <w:rFonts w:ascii="Century" w:eastAsia="MS Mincho" w:hAnsi="Century"/>
      <w:sz w:val="21"/>
      <w:lang w:eastAsia="ja-JP"/>
    </w:rPr>
  </w:style>
  <w:style w:type="paragraph" w:styleId="TOC6">
    <w:name w:val="toc 6"/>
    <w:basedOn w:val="Normal"/>
    <w:next w:val="Normal"/>
    <w:autoRedefine/>
    <w:uiPriority w:val="39"/>
    <w:unhideWhenUsed/>
    <w:qFormat/>
    <w:pPr>
      <w:spacing w:after="100" w:line="276" w:lineRule="auto"/>
      <w:ind w:left="1100"/>
    </w:pPr>
    <w:rPr>
      <w:rFonts w:ascii="Arial" w:hAnsi="Arial"/>
      <w:kern w:val="0"/>
      <w:sz w:val="22"/>
      <w:szCs w:val="22"/>
    </w:rPr>
  </w:style>
  <w:style w:type="paragraph" w:styleId="BodyTextIndent3">
    <w:name w:val="Body Text Indent 3"/>
    <w:basedOn w:val="Normal"/>
    <w:link w:val="BodyTextIndent3Char"/>
    <w:autoRedefine/>
    <w:qFormat/>
    <w:pPr>
      <w:ind w:right="-90" w:firstLine="540"/>
    </w:pPr>
    <w:rPr>
      <w:rFonts w:eastAsia="'宋体"/>
    </w:rPr>
  </w:style>
  <w:style w:type="paragraph" w:styleId="TableofFigures">
    <w:name w:val="table of figures"/>
    <w:basedOn w:val="Normal"/>
    <w:next w:val="Normal"/>
    <w:autoRedefine/>
    <w:uiPriority w:val="99"/>
    <w:unhideWhenUsed/>
    <w:qFormat/>
    <w:rPr>
      <w:rFonts w:ascii="华文细黑" w:eastAsia="华文楷体" w:hAnsi="华文细黑"/>
      <w:sz w:val="21"/>
    </w:rPr>
  </w:style>
  <w:style w:type="paragraph" w:styleId="TOC2">
    <w:name w:val="toc 2"/>
    <w:basedOn w:val="Normal"/>
    <w:next w:val="Normal"/>
    <w:autoRedefine/>
    <w:uiPriority w:val="39"/>
    <w:qFormat/>
    <w:pPr>
      <w:tabs>
        <w:tab w:val="left" w:pos="880"/>
        <w:tab w:val="right" w:leader="dot" w:pos="8299"/>
      </w:tabs>
      <w:snapToGrid w:val="0"/>
      <w:ind w:left="238"/>
    </w:pPr>
    <w:rPr>
      <w:rFonts w:ascii="Verdana" w:eastAsia="Verdana" w:hAnsi="Verdana"/>
    </w:rPr>
  </w:style>
  <w:style w:type="paragraph" w:styleId="TOC9">
    <w:name w:val="toc 9"/>
    <w:basedOn w:val="Normal"/>
    <w:next w:val="Normal"/>
    <w:autoRedefine/>
    <w:uiPriority w:val="39"/>
    <w:unhideWhenUsed/>
    <w:qFormat/>
    <w:pPr>
      <w:spacing w:after="100" w:line="276" w:lineRule="auto"/>
      <w:ind w:left="1760"/>
    </w:pPr>
    <w:rPr>
      <w:rFonts w:ascii="Arial" w:hAnsi="Arial"/>
      <w:kern w:val="0"/>
      <w:sz w:val="22"/>
      <w:szCs w:val="22"/>
    </w:rPr>
  </w:style>
  <w:style w:type="paragraph" w:styleId="BodyText2">
    <w:name w:val="Body Text 2"/>
    <w:basedOn w:val="Normal"/>
    <w:link w:val="BodyText2Char"/>
    <w:autoRedefine/>
    <w:qFormat/>
    <w:pPr>
      <w:spacing w:line="360" w:lineRule="auto"/>
      <w:jc w:val="both"/>
    </w:pPr>
    <w:rPr>
      <w:rFonts w:ascii="FZFangSong-Z02" w:eastAsia="FZFangSong-Z02"/>
    </w:rPr>
  </w:style>
  <w:style w:type="paragraph" w:styleId="HTMLPreformatted">
    <w:name w:val="HTML Preformatted"/>
    <w:basedOn w:val="Normal"/>
    <w:link w:val="HTMLPreformattedChar"/>
    <w:autoRedefine/>
    <w:uiPriority w:val="99"/>
    <w:unhideWhenUsed/>
    <w:qFormat/>
    <w:rPr>
      <w:rFonts w:ascii="Courier New" w:hAnsi="Courier New" w:cs="Courier New"/>
    </w:rPr>
  </w:style>
  <w:style w:type="paragraph" w:styleId="NormalWeb">
    <w:name w:val="Normal (Web)"/>
    <w:basedOn w:val="Normal"/>
    <w:autoRedefine/>
    <w:uiPriority w:val="99"/>
    <w:unhideWhenUsed/>
    <w:qFormat/>
    <w:pPr>
      <w:spacing w:before="100" w:beforeAutospacing="1" w:after="100" w:afterAutospacing="1"/>
    </w:pPr>
    <w:rPr>
      <w:rFonts w:eastAsia="Times New Roman"/>
      <w:kern w:val="0"/>
      <w:sz w:val="24"/>
      <w:szCs w:val="24"/>
    </w:rPr>
  </w:style>
  <w:style w:type="paragraph" w:styleId="Title">
    <w:name w:val="Title"/>
    <w:basedOn w:val="Normal"/>
    <w:next w:val="Normal"/>
    <w:link w:val="TitleChar"/>
    <w:autoRedefine/>
    <w:uiPriority w:val="10"/>
    <w:qFormat/>
    <w:pPr>
      <w:spacing w:after="240"/>
      <w:contextualSpacing/>
    </w:pPr>
    <w:rPr>
      <w:rFonts w:ascii="华文细黑" w:eastAsia="华文细黑" w:hAnsi="华文细黑" w:cstheme="majorBidi"/>
      <w:b/>
      <w:spacing w:val="-10"/>
      <w:kern w:val="28"/>
      <w:sz w:val="36"/>
      <w:szCs w:val="56"/>
    </w:rPr>
  </w:style>
  <w:style w:type="paragraph" w:styleId="CommentSubject">
    <w:name w:val="annotation subject"/>
    <w:basedOn w:val="CommentText"/>
    <w:next w:val="CommentText"/>
    <w:link w:val="CommentSubjectChar"/>
    <w:autoRedefine/>
    <w:semiHidden/>
    <w:qFormat/>
    <w:rPr>
      <w:b/>
      <w:bCs/>
      <w:kern w:val="2"/>
    </w:rPr>
  </w:style>
  <w:style w:type="table" w:styleId="TableGrid">
    <w:name w:val="Table Grid"/>
    <w:basedOn w:val="TableNormal"/>
    <w:autoRedefine/>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autoRedefine/>
    <w:qFormat/>
    <w:rPr>
      <w:b/>
    </w:rPr>
  </w:style>
  <w:style w:type="character" w:styleId="EndnoteReference">
    <w:name w:val="endnote reference"/>
    <w:autoRedefine/>
    <w:semiHidden/>
    <w:qFormat/>
    <w:rPr>
      <w:vertAlign w:val="superscript"/>
    </w:rPr>
  </w:style>
  <w:style w:type="character" w:styleId="PageNumber">
    <w:name w:val="page number"/>
    <w:basedOn w:val="DefaultParagraphFont"/>
    <w:autoRedefine/>
    <w:uiPriority w:val="99"/>
    <w:qFormat/>
  </w:style>
  <w:style w:type="character" w:styleId="FollowedHyperlink">
    <w:name w:val="FollowedHyperlink"/>
    <w:autoRedefine/>
    <w:qFormat/>
    <w:rPr>
      <w:color w:val="800080"/>
      <w:u w:val="single"/>
    </w:rPr>
  </w:style>
  <w:style w:type="character" w:styleId="Hyperlink">
    <w:name w:val="Hyperlink"/>
    <w:autoRedefine/>
    <w:uiPriority w:val="99"/>
    <w:qFormat/>
    <w:rPr>
      <w:color w:val="0000FF"/>
      <w:u w:val="single"/>
    </w:rPr>
  </w:style>
  <w:style w:type="character" w:styleId="CommentReference">
    <w:name w:val="annotation reference"/>
    <w:autoRedefine/>
    <w:uiPriority w:val="99"/>
    <w:qFormat/>
    <w:rPr>
      <w:sz w:val="16"/>
      <w:szCs w:val="16"/>
    </w:rPr>
  </w:style>
  <w:style w:type="character" w:styleId="FootnoteReference">
    <w:name w:val="footnote reference"/>
    <w:autoRedefine/>
    <w:qFormat/>
    <w:rPr>
      <w:vertAlign w:val="superscript"/>
    </w:rPr>
  </w:style>
  <w:style w:type="character" w:customStyle="1" w:styleId="Heading1Char">
    <w:name w:val="Heading 1 Char"/>
    <w:link w:val="Heading1"/>
    <w:autoRedefine/>
    <w:uiPriority w:val="1"/>
    <w:qFormat/>
    <w:rPr>
      <w:rFonts w:ascii="Arial Narrow" w:eastAsia="仿宋_GB2312" w:hAnsi="Arial Narrow" w:cs="Arial"/>
      <w:bCs/>
      <w:color w:val="486A00" w:themeColor="accent2" w:themeShade="80"/>
      <w:sz w:val="28"/>
      <w:szCs w:val="28"/>
      <w14:scene3d>
        <w14:camera w14:prst="orthographicFront"/>
        <w14:lightRig w14:rig="threePt" w14:dir="t">
          <w14:rot w14:lat="0" w14:lon="0" w14:rev="0"/>
        </w14:lightRig>
      </w14:scene3d>
    </w:rPr>
  </w:style>
  <w:style w:type="character" w:customStyle="1" w:styleId="Heading2Char">
    <w:name w:val="Heading 2 Char"/>
    <w:link w:val="Heading2"/>
    <w:autoRedefine/>
    <w:uiPriority w:val="1"/>
    <w:qFormat/>
    <w:rPr>
      <w:rFonts w:ascii="Arial Narrow" w:eastAsia="仿宋_GB2312" w:hAnsi="Arial Narrow" w:cs="Arial"/>
      <w:iCs/>
      <w:color w:val="002060"/>
      <w:sz w:val="22"/>
      <w:szCs w:val="22"/>
    </w:rPr>
  </w:style>
  <w:style w:type="character" w:customStyle="1" w:styleId="Heading3Char">
    <w:name w:val="Heading 3 Char"/>
    <w:link w:val="Heading3"/>
    <w:autoRedefine/>
    <w:uiPriority w:val="1"/>
    <w:qFormat/>
    <w:rPr>
      <w:rFonts w:ascii="Verdana" w:eastAsia="华文细黑" w:hAnsi="Verdana" w:cstheme="majorBidi"/>
      <w:b/>
      <w:bCs/>
      <w:iCs/>
      <w:color w:val="009CDE"/>
      <w:sz w:val="24"/>
      <w:szCs w:val="24"/>
    </w:rPr>
  </w:style>
  <w:style w:type="character" w:customStyle="1" w:styleId="Heading4Char">
    <w:name w:val="Heading 4 Char"/>
    <w:link w:val="Heading4"/>
    <w:autoRedefine/>
    <w:uiPriority w:val="1"/>
    <w:qFormat/>
    <w:rPr>
      <w:rFonts w:ascii="Verdana" w:eastAsia="仿宋_GB2312" w:hAnsi="Verdana" w:cstheme="majorBidi"/>
      <w:b/>
      <w:bCs/>
      <w:iCs/>
      <w:color w:val="009CDE"/>
      <w:sz w:val="22"/>
      <w:szCs w:val="24"/>
    </w:rPr>
  </w:style>
  <w:style w:type="character" w:customStyle="1" w:styleId="Heading5Char">
    <w:name w:val="Heading 5 Char"/>
    <w:link w:val="Heading5"/>
    <w:autoRedefine/>
    <w:qFormat/>
    <w:rPr>
      <w:rFonts w:ascii="'宋体" w:eastAsia="'宋体" w:hAnsi="Times New Roman"/>
      <w:kern w:val="2"/>
    </w:rPr>
  </w:style>
  <w:style w:type="character" w:customStyle="1" w:styleId="Heading6Char">
    <w:name w:val="Heading 6 Char"/>
    <w:link w:val="Heading6"/>
    <w:autoRedefine/>
    <w:qFormat/>
    <w:rPr>
      <w:rFonts w:ascii="Times New Roman" w:hAnsi="Times New Roman"/>
      <w:kern w:val="2"/>
      <w:lang w:eastAsia="en-US"/>
    </w:rPr>
  </w:style>
  <w:style w:type="character" w:customStyle="1" w:styleId="HeaderChar">
    <w:name w:val="Header Char"/>
    <w:basedOn w:val="DefaultParagraphFont"/>
    <w:link w:val="Header"/>
    <w:autoRedefine/>
    <w:qFormat/>
  </w:style>
  <w:style w:type="character" w:customStyle="1" w:styleId="FooterChar">
    <w:name w:val="Footer Char"/>
    <w:basedOn w:val="DefaultParagraphFont"/>
    <w:link w:val="Footer"/>
    <w:autoRedefine/>
    <w:uiPriority w:val="99"/>
    <w:qFormat/>
  </w:style>
  <w:style w:type="character" w:customStyle="1" w:styleId="BodyTextIndentChar">
    <w:name w:val="Body Text Indent Char"/>
    <w:link w:val="BodyTextIndent"/>
    <w:autoRedefine/>
    <w:qFormat/>
    <w:rPr>
      <w:rFonts w:ascii="宋体" w:eastAsia="宋体" w:hAnsi="宋体" w:cs="Times New Roman"/>
      <w:spacing w:val="-6"/>
      <w:kern w:val="2"/>
      <w:sz w:val="20"/>
      <w:szCs w:val="20"/>
    </w:rPr>
  </w:style>
  <w:style w:type="character" w:customStyle="1" w:styleId="BodyText3Char">
    <w:name w:val="Body Text 3 Char"/>
    <w:link w:val="BodyText3"/>
    <w:autoRedefine/>
    <w:qFormat/>
    <w:rPr>
      <w:rFonts w:ascii="宋体" w:eastAsia="宋体" w:hAnsi="宋体" w:cs="Times New Roman"/>
      <w:kern w:val="2"/>
      <w:sz w:val="16"/>
      <w:szCs w:val="20"/>
      <w:lang w:eastAsia="en-US"/>
    </w:rPr>
  </w:style>
  <w:style w:type="character" w:customStyle="1" w:styleId="BodyTextIndent2Char">
    <w:name w:val="Body Text Indent 2 Char"/>
    <w:link w:val="BodyTextIndent2"/>
    <w:autoRedefine/>
    <w:qFormat/>
    <w:rPr>
      <w:rFonts w:ascii="楷体" w:eastAsia="楷体" w:hAnsi="Times New Roman" w:cs="Times New Roman"/>
      <w:kern w:val="2"/>
      <w:sz w:val="20"/>
      <w:szCs w:val="20"/>
    </w:rPr>
  </w:style>
  <w:style w:type="character" w:customStyle="1" w:styleId="BodyTextIndent3Char">
    <w:name w:val="Body Text Indent 3 Char"/>
    <w:link w:val="BodyTextIndent3"/>
    <w:autoRedefine/>
    <w:qFormat/>
    <w:rPr>
      <w:rFonts w:ascii="Times New Roman" w:eastAsia="'宋体" w:hAnsi="Times New Roman" w:cs="Times New Roman"/>
      <w:kern w:val="2"/>
      <w:sz w:val="20"/>
      <w:szCs w:val="20"/>
    </w:rPr>
  </w:style>
  <w:style w:type="paragraph" w:customStyle="1" w:styleId="AD">
    <w:name w:val="AD"/>
    <w:autoRedefine/>
    <w:qFormat/>
    <w:pPr>
      <w:spacing w:line="240" w:lineRule="atLeast"/>
    </w:pPr>
    <w:rPr>
      <w:rFonts w:ascii="Palatino" w:hAnsi="Palatino"/>
      <w:sz w:val="24"/>
      <w:lang w:eastAsia="en-US"/>
    </w:rPr>
  </w:style>
  <w:style w:type="character" w:customStyle="1" w:styleId="BodyTextChar">
    <w:name w:val="Body Text Char"/>
    <w:link w:val="BodyText"/>
    <w:autoRedefine/>
    <w:qFormat/>
    <w:rPr>
      <w:rFonts w:ascii="FZFangSong-Z02" w:eastAsia="FZFangSong-Z02" w:hAnsi="Times New Roman" w:cs="Times New Roman"/>
      <w:kern w:val="2"/>
      <w:sz w:val="20"/>
      <w:szCs w:val="20"/>
    </w:rPr>
  </w:style>
  <w:style w:type="character" w:customStyle="1" w:styleId="FootnoteTextChar">
    <w:name w:val="Footnote Text Char"/>
    <w:link w:val="FootnoteText"/>
    <w:autoRedefine/>
    <w:qFormat/>
    <w:rPr>
      <w:rFonts w:ascii="Century" w:eastAsia="MS Mincho" w:hAnsi="Century" w:cs="Times New Roman"/>
      <w:kern w:val="2"/>
      <w:sz w:val="21"/>
      <w:szCs w:val="20"/>
      <w:lang w:eastAsia="ja-JP"/>
    </w:rPr>
  </w:style>
  <w:style w:type="character" w:customStyle="1" w:styleId="BodyText2Char">
    <w:name w:val="Body Text 2 Char"/>
    <w:link w:val="BodyText2"/>
    <w:autoRedefine/>
    <w:qFormat/>
    <w:rPr>
      <w:rFonts w:ascii="FZFangSong-Z02" w:eastAsia="FZFangSong-Z02" w:hAnsi="Times New Roman" w:cs="Times New Roman"/>
      <w:kern w:val="2"/>
      <w:sz w:val="20"/>
      <w:szCs w:val="20"/>
    </w:rPr>
  </w:style>
  <w:style w:type="paragraph" w:customStyle="1" w:styleId="ShortReturnAddress">
    <w:name w:val="Short Return Address"/>
    <w:basedOn w:val="Normal"/>
    <w:autoRedefine/>
    <w:qFormat/>
  </w:style>
  <w:style w:type="paragraph" w:customStyle="1" w:styleId="font5">
    <w:name w:val="font5"/>
    <w:basedOn w:val="Normal"/>
    <w:autoRedefine/>
    <w:qFormat/>
    <w:pPr>
      <w:spacing w:before="100" w:beforeAutospacing="1" w:after="100" w:afterAutospacing="1"/>
    </w:pPr>
    <w:rPr>
      <w:rFonts w:ascii="Arial" w:eastAsia="Arial Unicode MS" w:hAnsi="Arial" w:cs="Arial"/>
      <w:lang w:eastAsia="en-US"/>
    </w:rPr>
  </w:style>
  <w:style w:type="paragraph" w:customStyle="1" w:styleId="font6">
    <w:name w:val="font6"/>
    <w:basedOn w:val="Normal"/>
    <w:autoRedefine/>
    <w:qFormat/>
    <w:pPr>
      <w:spacing w:before="100" w:beforeAutospacing="1" w:after="100" w:afterAutospacing="1"/>
    </w:pPr>
    <w:rPr>
      <w:rFonts w:ascii="宋体" w:hAnsi="宋体" w:cs="Arial Unicode MS" w:hint="eastAsia"/>
      <w:b/>
      <w:bCs/>
      <w:lang w:eastAsia="en-US"/>
    </w:rPr>
  </w:style>
  <w:style w:type="paragraph" w:customStyle="1" w:styleId="font7">
    <w:name w:val="font7"/>
    <w:basedOn w:val="Normal"/>
    <w:autoRedefine/>
    <w:qFormat/>
    <w:pPr>
      <w:spacing w:before="100" w:beforeAutospacing="1" w:after="100" w:afterAutospacing="1"/>
    </w:pPr>
    <w:rPr>
      <w:rFonts w:ascii="Tahoma" w:eastAsia="Arial Unicode MS" w:hAnsi="Tahoma" w:cs="Tahoma"/>
      <w:color w:val="000000"/>
      <w:sz w:val="16"/>
      <w:szCs w:val="16"/>
      <w:lang w:eastAsia="en-US"/>
    </w:rPr>
  </w:style>
  <w:style w:type="paragraph" w:customStyle="1" w:styleId="font8">
    <w:name w:val="font8"/>
    <w:basedOn w:val="Normal"/>
    <w:autoRedefine/>
    <w:qFormat/>
    <w:pPr>
      <w:spacing w:before="100" w:beforeAutospacing="1" w:after="100" w:afterAutospacing="1"/>
    </w:pPr>
    <w:rPr>
      <w:rFonts w:ascii="Tahoma" w:eastAsia="Arial Unicode MS" w:hAnsi="Tahoma" w:cs="Tahoma"/>
      <w:b/>
      <w:bCs/>
      <w:color w:val="000000"/>
      <w:sz w:val="16"/>
      <w:szCs w:val="16"/>
      <w:lang w:eastAsia="en-US"/>
    </w:rPr>
  </w:style>
  <w:style w:type="paragraph" w:customStyle="1" w:styleId="font9">
    <w:name w:val="font9"/>
    <w:basedOn w:val="Normal"/>
    <w:autoRedefine/>
    <w:qFormat/>
    <w:pPr>
      <w:spacing w:before="100" w:beforeAutospacing="1" w:after="100" w:afterAutospacing="1"/>
    </w:pPr>
    <w:rPr>
      <w:rFonts w:ascii="宋体" w:hAnsi="宋体" w:cs="Arial Unicode MS" w:hint="eastAsia"/>
      <w:color w:val="000000"/>
      <w:sz w:val="16"/>
      <w:szCs w:val="16"/>
      <w:lang w:eastAsia="en-US"/>
    </w:rPr>
  </w:style>
  <w:style w:type="paragraph" w:customStyle="1" w:styleId="xl26">
    <w:name w:val="xl26"/>
    <w:basedOn w:val="Normal"/>
    <w:autoRedefine/>
    <w:qFormat/>
    <w:pP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27">
    <w:name w:val="xl27"/>
    <w:basedOn w:val="Normal"/>
    <w:autoRedefine/>
    <w:qFormat/>
    <w:pPr>
      <w:shd w:val="clear" w:color="auto" w:fill="FFFFFF"/>
      <w:spacing w:before="100" w:beforeAutospacing="1" w:after="100" w:afterAutospacing="1"/>
      <w:jc w:val="right"/>
    </w:pPr>
    <w:rPr>
      <w:rFonts w:ascii="宋体" w:hAnsi="宋体" w:cs="Arial Unicode MS" w:hint="eastAsia"/>
      <w:lang w:eastAsia="en-US"/>
    </w:rPr>
  </w:style>
  <w:style w:type="paragraph" w:customStyle="1" w:styleId="xl28">
    <w:name w:val="xl28"/>
    <w:basedOn w:val="Normal"/>
    <w:autoRedefine/>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29">
    <w:name w:val="xl29"/>
    <w:basedOn w:val="Normal"/>
    <w:autoRedefine/>
    <w:qFormat/>
    <w:pPr>
      <w:pBdr>
        <w:left w:val="single" w:sz="4" w:space="0" w:color="auto"/>
        <w:right w:val="single" w:sz="4" w:space="0" w:color="auto"/>
      </w:pBdr>
      <w:shd w:val="clear" w:color="auto" w:fill="FFFFFF"/>
      <w:spacing w:before="100" w:beforeAutospacing="1" w:after="100" w:afterAutospacing="1"/>
    </w:pPr>
    <w:rPr>
      <w:rFonts w:ascii="宋体" w:hAnsi="宋体" w:cs="Arial Unicode MS" w:hint="eastAsia"/>
      <w:lang w:eastAsia="en-US"/>
    </w:rPr>
  </w:style>
  <w:style w:type="paragraph" w:customStyle="1" w:styleId="xl30">
    <w:name w:val="xl30"/>
    <w:basedOn w:val="Normal"/>
    <w:autoRedefine/>
    <w:qFormat/>
    <w:pPr>
      <w:pBdr>
        <w:left w:val="single" w:sz="4" w:space="0" w:color="auto"/>
        <w:right w:val="single" w:sz="4" w:space="0" w:color="auto"/>
      </w:pBdr>
      <w:shd w:val="clear" w:color="auto" w:fill="FFFFFF"/>
      <w:spacing w:before="100" w:beforeAutospacing="1" w:after="100" w:afterAutospacing="1"/>
      <w:jc w:val="center"/>
    </w:pPr>
    <w:rPr>
      <w:rFonts w:ascii="Arial Unicode MS" w:eastAsia="Arial Unicode MS" w:hAnsi="Arial Unicode MS" w:cs="Arial Unicode MS"/>
      <w:b/>
      <w:bCs/>
      <w:lang w:eastAsia="en-US"/>
    </w:rPr>
  </w:style>
  <w:style w:type="paragraph" w:customStyle="1" w:styleId="xl31">
    <w:name w:val="xl31"/>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2">
    <w:name w:val="xl32"/>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3">
    <w:name w:val="xl33"/>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u w:val="single"/>
      <w:lang w:eastAsia="en-US"/>
    </w:rPr>
  </w:style>
  <w:style w:type="paragraph" w:customStyle="1" w:styleId="xl34">
    <w:name w:val="xl34"/>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u w:val="single"/>
      <w:lang w:eastAsia="en-US"/>
    </w:rPr>
  </w:style>
  <w:style w:type="paragraph" w:customStyle="1" w:styleId="xl35">
    <w:name w:val="xl35"/>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6">
    <w:name w:val="xl36"/>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b/>
      <w:bCs/>
      <w:lang w:eastAsia="en-US"/>
    </w:rPr>
  </w:style>
  <w:style w:type="paragraph" w:customStyle="1" w:styleId="xl37">
    <w:name w:val="xl37"/>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8">
    <w:name w:val="xl38"/>
    <w:basedOn w:val="Normal"/>
    <w:autoRedefine/>
    <w:qFormat/>
    <w:pPr>
      <w:pBdr>
        <w:left w:val="single" w:sz="4" w:space="0" w:color="auto"/>
        <w:right w:val="single" w:sz="4" w:space="0" w:color="auto"/>
      </w:pBdr>
      <w:shd w:val="clear" w:color="auto" w:fill="FFFFFF"/>
      <w:spacing w:before="100" w:beforeAutospacing="1" w:after="100" w:afterAutospacing="1"/>
    </w:pPr>
    <w:rPr>
      <w:rFonts w:ascii="Courier New" w:eastAsia="Arial Unicode MS" w:hAnsi="Courier New" w:cs="Courier New"/>
      <w:lang w:eastAsia="en-US"/>
    </w:rPr>
  </w:style>
  <w:style w:type="paragraph" w:customStyle="1" w:styleId="xl39">
    <w:name w:val="xl39"/>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pPr>
    <w:rPr>
      <w:rFonts w:ascii="Courier New" w:eastAsia="Arial Unicode MS" w:hAnsi="Courier New" w:cs="Courier New"/>
      <w:lang w:eastAsia="en-US"/>
    </w:rPr>
  </w:style>
  <w:style w:type="paragraph" w:customStyle="1" w:styleId="xl40">
    <w:name w:val="xl40"/>
    <w:basedOn w:val="Normal"/>
    <w:autoRedefine/>
    <w:qFormat/>
    <w:pPr>
      <w:pBdr>
        <w:top w:val="single" w:sz="4" w:space="0" w:color="auto"/>
        <w:left w:val="single" w:sz="4" w:space="0" w:color="auto"/>
        <w:bottom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41">
    <w:name w:val="xl41"/>
    <w:basedOn w:val="Normal"/>
    <w:autoRedefine/>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Arial Unicode MS" w:hint="eastAsia"/>
      <w:b/>
      <w:bCs/>
      <w:lang w:eastAsia="en-US"/>
    </w:rPr>
  </w:style>
  <w:style w:type="paragraph" w:customStyle="1" w:styleId="xl42">
    <w:name w:val="xl42"/>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u w:val="single"/>
      <w:lang w:eastAsia="en-US"/>
    </w:rPr>
  </w:style>
  <w:style w:type="paragraph" w:customStyle="1" w:styleId="xl43">
    <w:name w:val="xl43"/>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jc w:val="center"/>
    </w:pPr>
    <w:rPr>
      <w:rFonts w:ascii="Arial Unicode MS" w:eastAsia="Arial Unicode MS" w:hAnsi="Arial Unicode MS" w:cs="Arial Unicode MS"/>
      <w:b/>
      <w:bCs/>
      <w:lang w:eastAsia="en-US"/>
    </w:rPr>
  </w:style>
  <w:style w:type="paragraph" w:customStyle="1" w:styleId="xl44">
    <w:name w:val="xl44"/>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45">
    <w:name w:val="xl45"/>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46">
    <w:name w:val="xl46"/>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u w:val="single"/>
      <w:lang w:eastAsia="en-US"/>
    </w:rPr>
  </w:style>
  <w:style w:type="paragraph" w:customStyle="1" w:styleId="xl47">
    <w:name w:val="xl47"/>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48">
    <w:name w:val="xl48"/>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49">
    <w:name w:val="xl49"/>
    <w:basedOn w:val="Normal"/>
    <w:autoRedefine/>
    <w:qFormat/>
    <w:pPr>
      <w:pBdr>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50">
    <w:name w:val="xl50"/>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u w:val="single"/>
      <w:lang w:eastAsia="en-US"/>
    </w:rPr>
  </w:style>
  <w:style w:type="paragraph" w:customStyle="1" w:styleId="xl51">
    <w:name w:val="xl51"/>
    <w:basedOn w:val="Normal"/>
    <w:autoRedefine/>
    <w:qFormat/>
    <w:pPr>
      <w:pBdr>
        <w:top w:val="single" w:sz="4" w:space="0" w:color="auto"/>
        <w:left w:val="single" w:sz="4" w:space="0" w:color="auto"/>
        <w:bottom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2">
    <w:name w:val="xl52"/>
    <w:basedOn w:val="Normal"/>
    <w:autoRedefine/>
    <w:qFormat/>
    <w:pPr>
      <w:pBdr>
        <w:top w:val="single" w:sz="4" w:space="0" w:color="auto"/>
        <w:bottom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3">
    <w:name w:val="xl53"/>
    <w:basedOn w:val="Normal"/>
    <w:autoRedefine/>
    <w:qFormat/>
    <w:pPr>
      <w:pBdr>
        <w:top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4">
    <w:name w:val="xl54"/>
    <w:basedOn w:val="Normal"/>
    <w:autoRedefine/>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5">
    <w:name w:val="xl55"/>
    <w:basedOn w:val="Normal"/>
    <w:autoRedefine/>
    <w:qFormat/>
    <w:pPr>
      <w:pBdr>
        <w:top w:val="single" w:sz="4" w:space="0" w:color="auto"/>
        <w:left w:val="single" w:sz="4" w:space="0" w:color="auto"/>
        <w:right w:val="single" w:sz="4" w:space="0" w:color="auto"/>
      </w:pBdr>
      <w:shd w:val="clear" w:color="auto" w:fill="CCFFCC"/>
      <w:spacing w:before="100" w:beforeAutospacing="1" w:after="100" w:afterAutospacing="1"/>
      <w:jc w:val="center"/>
    </w:pPr>
    <w:rPr>
      <w:rFonts w:ascii="宋体" w:hAnsi="宋体" w:cs="Arial Unicode MS" w:hint="eastAsia"/>
      <w:b/>
      <w:bCs/>
      <w:lang w:eastAsia="en-US"/>
    </w:rPr>
  </w:style>
  <w:style w:type="paragraph" w:customStyle="1" w:styleId="xl56">
    <w:name w:val="xl56"/>
    <w:basedOn w:val="Normal"/>
    <w:autoRedefine/>
    <w:qFormat/>
    <w:pPr>
      <w:pBdr>
        <w:left w:val="single" w:sz="4" w:space="0" w:color="auto"/>
        <w:right w:val="single" w:sz="4" w:space="0" w:color="auto"/>
      </w:pBdr>
      <w:shd w:val="clear" w:color="auto" w:fill="CCFFCC"/>
      <w:spacing w:before="100" w:beforeAutospacing="1" w:after="100" w:afterAutospacing="1"/>
      <w:jc w:val="center"/>
    </w:pPr>
    <w:rPr>
      <w:rFonts w:ascii="Arial Unicode MS" w:eastAsia="Arial Unicode MS" w:hAnsi="Arial Unicode MS" w:cs="Arial Unicode MS"/>
      <w:lang w:eastAsia="en-US"/>
    </w:rPr>
  </w:style>
  <w:style w:type="paragraph" w:customStyle="1" w:styleId="xl57">
    <w:name w:val="xl57"/>
    <w:basedOn w:val="Normal"/>
    <w:autoRedefine/>
    <w:qFormat/>
    <w:pPr>
      <w:pBdr>
        <w:left w:val="single" w:sz="4" w:space="0" w:color="auto"/>
        <w:bottom w:val="single" w:sz="4" w:space="0" w:color="auto"/>
        <w:right w:val="single" w:sz="4" w:space="0" w:color="auto"/>
      </w:pBdr>
      <w:shd w:val="clear" w:color="auto" w:fill="CCFFCC"/>
      <w:spacing w:before="100" w:beforeAutospacing="1" w:after="100" w:afterAutospacing="1"/>
      <w:jc w:val="center"/>
    </w:pPr>
    <w:rPr>
      <w:rFonts w:ascii="Arial Unicode MS" w:eastAsia="Arial Unicode MS" w:hAnsi="Arial Unicode MS" w:cs="Arial Unicode MS"/>
      <w:lang w:eastAsia="en-US"/>
    </w:rPr>
  </w:style>
  <w:style w:type="paragraph" w:customStyle="1" w:styleId="xl58">
    <w:name w:val="xl58"/>
    <w:basedOn w:val="Normal"/>
    <w:autoRedefine/>
    <w:qFormat/>
    <w:pPr>
      <w:pBdr>
        <w:top w:val="single" w:sz="4" w:space="0" w:color="auto"/>
        <w:left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59">
    <w:name w:val="xl59"/>
    <w:basedOn w:val="Normal"/>
    <w:autoRedefine/>
    <w:qFormat/>
    <w:pPr>
      <w:pBdr>
        <w:left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60">
    <w:name w:val="xl60"/>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61">
    <w:name w:val="xl61"/>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character" w:customStyle="1" w:styleId="new-1">
    <w:name w:val="new-1"/>
    <w:basedOn w:val="DefaultParagraphFont"/>
    <w:autoRedefine/>
    <w:qFormat/>
  </w:style>
  <w:style w:type="paragraph" w:customStyle="1" w:styleId="MCText">
    <w:name w:val="MC Text"/>
    <w:basedOn w:val="Normal"/>
    <w:autoRedefine/>
    <w:qFormat/>
    <w:pPr>
      <w:spacing w:before="240" w:line="360" w:lineRule="auto"/>
      <w:jc w:val="both"/>
    </w:pPr>
    <w:rPr>
      <w:sz w:val="22"/>
    </w:rPr>
  </w:style>
  <w:style w:type="character" w:customStyle="1" w:styleId="BalloonTextChar">
    <w:name w:val="Balloon Text Char"/>
    <w:link w:val="BalloonText"/>
    <w:autoRedefine/>
    <w:semiHidden/>
    <w:qFormat/>
    <w:rPr>
      <w:rFonts w:ascii="Tahoma" w:eastAsia="宋体" w:hAnsi="Tahoma" w:cs="Tahoma"/>
      <w:kern w:val="2"/>
      <w:sz w:val="16"/>
      <w:szCs w:val="16"/>
    </w:rPr>
  </w:style>
  <w:style w:type="character" w:customStyle="1" w:styleId="CommentTextChar">
    <w:name w:val="Comment Text Char"/>
    <w:link w:val="CommentText"/>
    <w:autoRedefine/>
    <w:semiHidden/>
    <w:qFormat/>
    <w:rPr>
      <w:rFonts w:ascii="Times New Roman" w:eastAsia="宋体" w:hAnsi="Times New Roman" w:cs="Times New Roman"/>
      <w:sz w:val="20"/>
      <w:szCs w:val="20"/>
    </w:rPr>
  </w:style>
  <w:style w:type="character" w:customStyle="1" w:styleId="CommentSubjectChar">
    <w:name w:val="Comment Subject Char"/>
    <w:link w:val="CommentSubject"/>
    <w:autoRedefine/>
    <w:semiHidden/>
    <w:qFormat/>
    <w:rPr>
      <w:rFonts w:ascii="Times New Roman" w:eastAsia="宋体" w:hAnsi="Times New Roman" w:cs="Times New Roman"/>
      <w:b/>
      <w:bCs/>
      <w:kern w:val="2"/>
      <w:sz w:val="20"/>
      <w:szCs w:val="20"/>
    </w:rPr>
  </w:style>
  <w:style w:type="character" w:customStyle="1" w:styleId="EndnoteTextChar">
    <w:name w:val="Endnote Text Char"/>
    <w:link w:val="EndnoteText"/>
    <w:autoRedefine/>
    <w:semiHidden/>
    <w:qFormat/>
    <w:rPr>
      <w:rFonts w:ascii="Times New Roman" w:eastAsia="宋体" w:hAnsi="Times New Roman" w:cs="Times New Roman"/>
      <w:kern w:val="2"/>
      <w:sz w:val="20"/>
      <w:szCs w:val="20"/>
    </w:rPr>
  </w:style>
  <w:style w:type="paragraph" w:customStyle="1" w:styleId="1">
    <w:name w:val="修订1"/>
    <w:autoRedefine/>
    <w:hidden/>
    <w:uiPriority w:val="99"/>
    <w:semiHidden/>
    <w:qFormat/>
    <w:rPr>
      <w:kern w:val="2"/>
    </w:rPr>
  </w:style>
  <w:style w:type="paragraph" w:customStyle="1" w:styleId="10">
    <w:name w:val="列出段落1"/>
    <w:basedOn w:val="Normal"/>
    <w:link w:val="a"/>
    <w:autoRedefine/>
    <w:uiPriority w:val="99"/>
    <w:qFormat/>
    <w:pPr>
      <w:spacing w:after="120"/>
      <w:ind w:left="720"/>
      <w:contextualSpacing/>
    </w:pPr>
    <w:rPr>
      <w:rFonts w:ascii="Calibri" w:hAnsi="Calibri"/>
      <w:kern w:val="0"/>
      <w:sz w:val="22"/>
      <w:szCs w:val="22"/>
      <w:lang w:val="en-GB"/>
    </w:rPr>
  </w:style>
  <w:style w:type="paragraph" w:customStyle="1" w:styleId="CoverpageTitle">
    <w:name w:val="Coverpage Title"/>
    <w:basedOn w:val="Normal"/>
    <w:autoRedefine/>
    <w:qFormat/>
    <w:pPr>
      <w:keepNext/>
      <w:widowControl w:val="0"/>
      <w:spacing w:before="1800" w:after="290" w:line="240" w:lineRule="atLeast"/>
      <w:outlineLvl w:val="3"/>
    </w:pPr>
    <w:rPr>
      <w:rFonts w:ascii="Arial" w:eastAsia="华文楷体" w:hAnsi="Arial"/>
      <w:b/>
      <w:bCs/>
      <w:kern w:val="0"/>
      <w:sz w:val="72"/>
      <w:lang w:val="en-GB" w:eastAsia="en-US"/>
    </w:rPr>
  </w:style>
  <w:style w:type="paragraph" w:customStyle="1" w:styleId="CoverpageSubtitle">
    <w:name w:val="Coverpage Subtitle"/>
    <w:basedOn w:val="Normal"/>
    <w:autoRedefine/>
    <w:qFormat/>
    <w:rPr>
      <w:rFonts w:ascii="Arial" w:eastAsia="华文楷体" w:hAnsi="Arial"/>
      <w:b/>
      <w:kern w:val="0"/>
      <w:sz w:val="44"/>
      <w:szCs w:val="24"/>
    </w:rPr>
  </w:style>
  <w:style w:type="paragraph" w:customStyle="1" w:styleId="CoverpageText">
    <w:name w:val="Coverpage Text"/>
    <w:basedOn w:val="Normal"/>
    <w:autoRedefine/>
    <w:qFormat/>
    <w:pPr>
      <w:spacing w:line="240" w:lineRule="atLeast"/>
    </w:pPr>
    <w:rPr>
      <w:rFonts w:ascii="Arial" w:eastAsia="华文楷体" w:hAnsi="Arial"/>
      <w:kern w:val="0"/>
      <w:sz w:val="32"/>
      <w:szCs w:val="24"/>
      <w:lang w:val="en-GB"/>
    </w:rPr>
  </w:style>
  <w:style w:type="paragraph" w:customStyle="1" w:styleId="TableText">
    <w:name w:val="Table Text"/>
    <w:basedOn w:val="Normal"/>
    <w:link w:val="TableTextChar"/>
    <w:autoRedefine/>
    <w:qFormat/>
    <w:pPr>
      <w:spacing w:before="20" w:after="20" w:line="240" w:lineRule="atLeast"/>
    </w:pPr>
    <w:rPr>
      <w:rFonts w:ascii="Arial" w:eastAsia="华文楷体" w:hAnsi="Arial"/>
      <w:kern w:val="0"/>
      <w:sz w:val="22"/>
      <w:szCs w:val="18"/>
      <w:lang w:val="en-GB" w:eastAsia="en-US"/>
    </w:rPr>
  </w:style>
  <w:style w:type="character" w:customStyle="1" w:styleId="TableTextChar">
    <w:name w:val="Table Text Char"/>
    <w:link w:val="TableText"/>
    <w:autoRedefine/>
    <w:qFormat/>
    <w:rPr>
      <w:rFonts w:ascii="Arial" w:eastAsia="华文楷体" w:hAnsi="Arial" w:cs="Times New Roman"/>
      <w:szCs w:val="18"/>
      <w:lang w:val="en-GB" w:eastAsia="en-US"/>
    </w:rPr>
  </w:style>
  <w:style w:type="paragraph" w:customStyle="1" w:styleId="Bodycopy">
    <w:name w:val="Body copy"/>
    <w:basedOn w:val="Normal"/>
    <w:link w:val="BodycopyChar"/>
    <w:autoRedefine/>
    <w:qFormat/>
    <w:pPr>
      <w:spacing w:after="113" w:line="240" w:lineRule="atLeast"/>
    </w:pPr>
    <w:rPr>
      <w:kern w:val="0"/>
      <w:sz w:val="22"/>
      <w:szCs w:val="24"/>
      <w:lang w:val="en-AU" w:eastAsia="en-US"/>
    </w:rPr>
  </w:style>
  <w:style w:type="character" w:customStyle="1" w:styleId="BodycopyChar">
    <w:name w:val="Body copy Char"/>
    <w:link w:val="Bodycopy"/>
    <w:autoRedefine/>
    <w:qFormat/>
    <w:rPr>
      <w:rFonts w:ascii="Times New Roman" w:eastAsia="宋体" w:hAnsi="Times New Roman" w:cs="Times New Roman"/>
      <w:szCs w:val="24"/>
      <w:lang w:val="en-AU" w:eastAsia="en-US"/>
    </w:rPr>
  </w:style>
  <w:style w:type="character" w:customStyle="1" w:styleId="mediumtext1">
    <w:name w:val="medium_text1"/>
    <w:autoRedefine/>
    <w:qFormat/>
    <w:rPr>
      <w:sz w:val="24"/>
      <w:szCs w:val="24"/>
    </w:rPr>
  </w:style>
  <w:style w:type="character" w:customStyle="1" w:styleId="shorttext1">
    <w:name w:val="short_text1"/>
    <w:autoRedefine/>
    <w:qFormat/>
    <w:rPr>
      <w:sz w:val="29"/>
      <w:szCs w:val="29"/>
    </w:rPr>
  </w:style>
  <w:style w:type="paragraph" w:customStyle="1" w:styleId="F">
    <w:name w:val="F中文正文"/>
    <w:basedOn w:val="Normal"/>
    <w:link w:val="FChar"/>
    <w:autoRedefine/>
    <w:qFormat/>
    <w:pPr>
      <w:spacing w:before="120" w:after="120" w:line="360" w:lineRule="auto"/>
      <w:ind w:firstLine="432"/>
      <w:jc w:val="both"/>
    </w:pPr>
    <w:rPr>
      <w:kern w:val="0"/>
      <w:sz w:val="22"/>
      <w:szCs w:val="22"/>
      <w:lang w:eastAsia="en-US"/>
    </w:rPr>
  </w:style>
  <w:style w:type="character" w:customStyle="1" w:styleId="FChar">
    <w:name w:val="F中文正文 Char"/>
    <w:link w:val="F"/>
    <w:autoRedefine/>
    <w:qFormat/>
    <w:rPr>
      <w:rFonts w:ascii="Times New Roman" w:eastAsia="宋体" w:hAnsi="Times New Roman" w:cs="Times New Roman"/>
      <w:lang w:eastAsia="en-US"/>
    </w:rPr>
  </w:style>
  <w:style w:type="character" w:customStyle="1" w:styleId="NoteHeadingChar">
    <w:name w:val="Note Heading Char"/>
    <w:link w:val="NoteHeading"/>
    <w:autoRedefine/>
    <w:qFormat/>
    <w:rPr>
      <w:rFonts w:ascii="EYInterstate Light" w:hAnsi="EYInterstate Light" w:cs="Arial"/>
      <w:b/>
      <w:kern w:val="24"/>
      <w:sz w:val="18"/>
      <w:lang w:eastAsia="en-US"/>
    </w:rPr>
  </w:style>
  <w:style w:type="character" w:customStyle="1" w:styleId="maincontenttext1">
    <w:name w:val="main_content_text1"/>
    <w:autoRedefine/>
    <w:qFormat/>
    <w:rPr>
      <w:rFonts w:ascii="Arial" w:hAnsi="Arial" w:cs="Arial" w:hint="default"/>
      <w:color w:val="000000"/>
      <w:sz w:val="18"/>
      <w:szCs w:val="18"/>
    </w:rPr>
  </w:style>
  <w:style w:type="paragraph" w:customStyle="1" w:styleId="Instructions-bodytext">
    <w:name w:val="Instructions - body text"/>
    <w:basedOn w:val="Normal"/>
    <w:next w:val="Normal"/>
    <w:link w:val="Instructions-bodytextChar"/>
    <w:autoRedefine/>
    <w:qFormat/>
    <w:pPr>
      <w:spacing w:before="120" w:after="120" w:line="360" w:lineRule="auto"/>
    </w:pPr>
    <w:rPr>
      <w:rFonts w:ascii="Arial" w:hAnsi="Arial" w:cs="Arial"/>
      <w:iCs/>
      <w:color w:val="0000FF"/>
      <w:kern w:val="24"/>
      <w:lang w:eastAsia="en-US"/>
    </w:rPr>
  </w:style>
  <w:style w:type="character" w:customStyle="1" w:styleId="Instructions-bodytextChar">
    <w:name w:val="Instructions - body text Char"/>
    <w:link w:val="Instructions-bodytext"/>
    <w:autoRedefine/>
    <w:qFormat/>
    <w:rPr>
      <w:rFonts w:cs="Arial"/>
      <w:iCs/>
      <w:color w:val="0000FF"/>
      <w:kern w:val="24"/>
      <w:lang w:eastAsia="en-US"/>
    </w:rPr>
  </w:style>
  <w:style w:type="character" w:customStyle="1" w:styleId="Heading7Char">
    <w:name w:val="Heading 7 Char"/>
    <w:link w:val="Heading7"/>
    <w:autoRedefine/>
    <w:uiPriority w:val="9"/>
    <w:semiHidden/>
    <w:qFormat/>
    <w:rPr>
      <w:rFonts w:ascii="Calibri" w:eastAsia="宋体" w:hAnsi="Calibri" w:cs="Times New Roman"/>
      <w:kern w:val="2"/>
      <w:sz w:val="24"/>
      <w:szCs w:val="24"/>
    </w:rPr>
  </w:style>
  <w:style w:type="character" w:customStyle="1" w:styleId="Heading8Char">
    <w:name w:val="Heading 8 Char"/>
    <w:link w:val="Heading8"/>
    <w:autoRedefine/>
    <w:uiPriority w:val="9"/>
    <w:semiHidden/>
    <w:qFormat/>
    <w:rPr>
      <w:rFonts w:ascii="Calibri" w:eastAsia="宋体" w:hAnsi="Calibri" w:cs="Times New Roman"/>
      <w:i/>
      <w:iCs/>
      <w:kern w:val="2"/>
      <w:sz w:val="24"/>
      <w:szCs w:val="24"/>
    </w:rPr>
  </w:style>
  <w:style w:type="character" w:customStyle="1" w:styleId="Heading9Char">
    <w:name w:val="Heading 9 Char"/>
    <w:link w:val="Heading9"/>
    <w:autoRedefine/>
    <w:uiPriority w:val="9"/>
    <w:semiHidden/>
    <w:qFormat/>
    <w:rPr>
      <w:rFonts w:ascii="Cambria" w:eastAsia="宋体" w:hAnsi="Cambria" w:cs="Times New Roman"/>
      <w:kern w:val="2"/>
      <w:sz w:val="22"/>
      <w:szCs w:val="22"/>
    </w:rPr>
  </w:style>
  <w:style w:type="paragraph" w:customStyle="1" w:styleId="Bulletnumbers">
    <w:name w:val="Bullet numbers"/>
    <w:basedOn w:val="Normal"/>
    <w:next w:val="Normal"/>
    <w:autoRedefine/>
    <w:qFormat/>
    <w:pPr>
      <w:spacing w:before="120" w:after="120" w:line="360" w:lineRule="auto"/>
    </w:pPr>
    <w:rPr>
      <w:rFonts w:ascii="EYInterstate Light" w:hAnsi="EYInterstate Light" w:cs="Arial"/>
      <w:kern w:val="24"/>
      <w:lang w:val="en-GB"/>
    </w:rPr>
  </w:style>
  <w:style w:type="paragraph" w:customStyle="1" w:styleId="TOC10">
    <w:name w:val="TOC 标题1"/>
    <w:basedOn w:val="Heading1"/>
    <w:next w:val="Normal"/>
    <w:autoRedefine/>
    <w:uiPriority w:val="39"/>
    <w:unhideWhenUsed/>
    <w:qFormat/>
    <w:pPr>
      <w:keepLines/>
      <w:spacing w:before="480" w:after="0" w:line="276" w:lineRule="auto"/>
      <w:outlineLvl w:val="9"/>
    </w:pPr>
    <w:rPr>
      <w:rFonts w:ascii="Cambria" w:hAnsi="Cambria" w:cs="Times New Roman"/>
      <w:color w:val="365F91"/>
      <w:lang w:eastAsia="en-US"/>
    </w:rPr>
  </w:style>
  <w:style w:type="paragraph" w:customStyle="1" w:styleId="Headline2">
    <w:name w:val="Headline 2"/>
    <w:autoRedefine/>
    <w:qFormat/>
    <w:pPr>
      <w:spacing w:line="470" w:lineRule="exact"/>
    </w:pPr>
    <w:rPr>
      <w:rFonts w:ascii="Arial" w:eastAsia="黑体" w:hAnsi="Arial" w:cs="Arial"/>
      <w:bCs/>
      <w:kern w:val="32"/>
      <w:sz w:val="36"/>
      <w:szCs w:val="48"/>
      <w:lang w:val="en-GB" w:eastAsia="en-US"/>
    </w:rPr>
  </w:style>
  <w:style w:type="character" w:customStyle="1" w:styleId="DocumentMapChar">
    <w:name w:val="Document Map Char"/>
    <w:link w:val="DocumentMap"/>
    <w:autoRedefine/>
    <w:uiPriority w:val="99"/>
    <w:semiHidden/>
    <w:qFormat/>
    <w:rPr>
      <w:rFonts w:ascii="Tahoma" w:hAnsi="Tahoma" w:cs="Tahoma"/>
      <w:kern w:val="2"/>
      <w:sz w:val="16"/>
      <w:szCs w:val="16"/>
    </w:rPr>
  </w:style>
  <w:style w:type="paragraph" w:customStyle="1" w:styleId="Tablebullet">
    <w:name w:val="Table bullet"/>
    <w:basedOn w:val="Normal"/>
    <w:autoRedefine/>
    <w:qFormat/>
    <w:pPr>
      <w:numPr>
        <w:numId w:val="3"/>
      </w:numPr>
      <w:spacing w:before="120"/>
    </w:pPr>
    <w:rPr>
      <w:kern w:val="0"/>
      <w:lang w:eastAsia="en-US"/>
    </w:rPr>
  </w:style>
  <w:style w:type="paragraph" w:customStyle="1" w:styleId="Tableautexte">
    <w:name w:val="Tableau texte"/>
    <w:basedOn w:val="Normal"/>
    <w:autoRedefine/>
    <w:qFormat/>
    <w:pPr>
      <w:overflowPunct w:val="0"/>
      <w:autoSpaceDE w:val="0"/>
      <w:autoSpaceDN w:val="0"/>
      <w:adjustRightInd w:val="0"/>
      <w:spacing w:before="60" w:line="240" w:lineRule="exact"/>
      <w:textAlignment w:val="baseline"/>
    </w:pPr>
    <w:rPr>
      <w:rFonts w:ascii="EY Gothic Comp Book" w:eastAsia="Times New Roman" w:hAnsi="EY Gothic Comp Book"/>
      <w:kern w:val="0"/>
      <w:lang w:eastAsia="en-US"/>
    </w:rPr>
  </w:style>
  <w:style w:type="paragraph" w:customStyle="1" w:styleId="11">
    <w:name w:val="引用1"/>
    <w:basedOn w:val="Normal"/>
    <w:link w:val="a0"/>
    <w:autoRedefine/>
    <w:qFormat/>
    <w:pPr>
      <w:spacing w:before="120" w:after="180" w:line="360" w:lineRule="exact"/>
      <w:ind w:left="720"/>
    </w:pPr>
    <w:rPr>
      <w:rFonts w:ascii="EYInterstate Light" w:hAnsi="EYInterstate Light" w:cs="Arial"/>
      <w:bCs/>
      <w:i/>
      <w:spacing w:val="-10"/>
      <w:kern w:val="32"/>
      <w:szCs w:val="48"/>
      <w:lang w:eastAsia="en-US"/>
    </w:rPr>
  </w:style>
  <w:style w:type="character" w:customStyle="1" w:styleId="a0">
    <w:name w:val="引用 字符"/>
    <w:link w:val="11"/>
    <w:autoRedefine/>
    <w:qFormat/>
    <w:rPr>
      <w:rFonts w:ascii="EYInterstate Light" w:hAnsi="EYInterstate Light" w:cs="Arial"/>
      <w:bCs/>
      <w:i/>
      <w:spacing w:val="-10"/>
      <w:kern w:val="32"/>
      <w:szCs w:val="48"/>
      <w:lang w:eastAsia="en-US"/>
    </w:rPr>
  </w:style>
  <w:style w:type="paragraph" w:customStyle="1" w:styleId="ListBulletBlue">
    <w:name w:val="List Bullet + Blue"/>
    <w:basedOn w:val="ListBullet"/>
    <w:link w:val="ListBulletBlueChar"/>
    <w:autoRedefine/>
    <w:qFormat/>
    <w:pPr>
      <w:tabs>
        <w:tab w:val="left" w:pos="595"/>
      </w:tabs>
      <w:ind w:left="595" w:hanging="595"/>
    </w:pPr>
    <w:rPr>
      <w:rFonts w:ascii="Arial" w:eastAsia="华文楷体" w:hAnsi="Arial"/>
      <w:color w:val="0099CC"/>
      <w:kern w:val="0"/>
      <w:sz w:val="22"/>
      <w:lang w:val="en-GB" w:eastAsia="en-US"/>
    </w:rPr>
  </w:style>
  <w:style w:type="character" w:customStyle="1" w:styleId="ListBulletBlueChar">
    <w:name w:val="List Bullet + Blue Char"/>
    <w:link w:val="ListBulletBlue"/>
    <w:autoRedefine/>
    <w:qFormat/>
    <w:rPr>
      <w:rFonts w:eastAsia="华文楷体"/>
      <w:color w:val="0099CC"/>
      <w:sz w:val="22"/>
      <w:lang w:val="en-GB" w:eastAsia="en-US"/>
    </w:rPr>
  </w:style>
  <w:style w:type="paragraph" w:customStyle="1" w:styleId="BulletEY">
    <w:name w:val="Bullet EY"/>
    <w:basedOn w:val="Normal"/>
    <w:next w:val="Normal"/>
    <w:autoRedefine/>
    <w:qFormat/>
    <w:pPr>
      <w:spacing w:before="120" w:after="240" w:line="360" w:lineRule="auto"/>
    </w:pPr>
    <w:rPr>
      <w:rFonts w:ascii="EYInterstate Light" w:hAnsi="EYInterstate Light" w:cs="Arial"/>
      <w:kern w:val="24"/>
      <w:szCs w:val="18"/>
      <w:lang w:eastAsia="en-US"/>
    </w:rPr>
  </w:style>
  <w:style w:type="paragraph" w:customStyle="1" w:styleId="BodyTextBold">
    <w:name w:val="Body Text  Bold"/>
    <w:basedOn w:val="BodyText"/>
    <w:autoRedefine/>
    <w:qFormat/>
    <w:pPr>
      <w:numPr>
        <w:numId w:val="4"/>
      </w:numPr>
      <w:tabs>
        <w:tab w:val="clear" w:pos="595"/>
      </w:tabs>
      <w:spacing w:before="0" w:after="240" w:line="240" w:lineRule="atLeast"/>
      <w:ind w:left="0" w:right="0" w:firstLine="0"/>
      <w:jc w:val="left"/>
    </w:pPr>
    <w:rPr>
      <w:rFonts w:ascii="Arial" w:eastAsia="华文楷体" w:hAnsi="Arial"/>
      <w:b/>
      <w:bCs/>
      <w:kern w:val="0"/>
      <w:sz w:val="22"/>
      <w:szCs w:val="22"/>
      <w:lang w:val="en-GB" w:eastAsia="en-US"/>
    </w:rPr>
  </w:style>
  <w:style w:type="paragraph" w:customStyle="1" w:styleId="ExhibitTextboxText">
    <w:name w:val="Exhibit Textbox Text"/>
    <w:basedOn w:val="Normal"/>
    <w:autoRedefine/>
    <w:qFormat/>
    <w:pPr>
      <w:spacing w:before="120" w:after="120"/>
      <w:jc w:val="center"/>
    </w:pPr>
    <w:rPr>
      <w:rFonts w:ascii="Arial" w:eastAsia="华文楷体" w:hAnsi="Arial"/>
      <w:kern w:val="0"/>
      <w:szCs w:val="18"/>
      <w:lang w:val="en-GB" w:eastAsia="en-US"/>
    </w:rPr>
  </w:style>
  <w:style w:type="paragraph" w:customStyle="1" w:styleId="BodyTextBlue">
    <w:name w:val="Body Text Blue"/>
    <w:basedOn w:val="BodyText"/>
    <w:link w:val="BodyTextBlueChar"/>
    <w:autoRedefine/>
    <w:qFormat/>
    <w:pPr>
      <w:spacing w:before="0" w:after="240" w:line="240" w:lineRule="atLeast"/>
      <w:ind w:right="0"/>
      <w:jc w:val="left"/>
    </w:pPr>
    <w:rPr>
      <w:rFonts w:ascii="Arial" w:eastAsia="华文楷体" w:hAnsi="Arial"/>
      <w:color w:val="0099CC"/>
      <w:kern w:val="0"/>
      <w:sz w:val="22"/>
      <w:szCs w:val="22"/>
      <w:lang w:val="en-GB" w:eastAsia="en-US"/>
    </w:rPr>
  </w:style>
  <w:style w:type="character" w:customStyle="1" w:styleId="BodyTextBlueChar">
    <w:name w:val="Body Text Blue Char"/>
    <w:link w:val="BodyTextBlue"/>
    <w:autoRedefine/>
    <w:qFormat/>
    <w:rPr>
      <w:rFonts w:ascii="FZFangSong-Z02" w:eastAsia="华文楷体" w:hAnsi="Times New Roman" w:cs="Times New Roman"/>
      <w:color w:val="0099CC"/>
      <w:kern w:val="2"/>
      <w:sz w:val="22"/>
      <w:szCs w:val="22"/>
      <w:lang w:val="en-GB" w:eastAsia="en-US"/>
    </w:rPr>
  </w:style>
  <w:style w:type="paragraph" w:customStyle="1" w:styleId="EYBodytextwithparaspace">
    <w:name w:val="EY Body text (with para space)"/>
    <w:basedOn w:val="Normal"/>
    <w:link w:val="EYBodytextwithparaspaceChar"/>
    <w:autoRedefine/>
    <w:qFormat/>
    <w:pPr>
      <w:numPr>
        <w:ilvl w:val="4"/>
        <w:numId w:val="5"/>
      </w:numPr>
      <w:spacing w:after="240"/>
      <w:outlineLvl w:val="0"/>
    </w:pPr>
    <w:rPr>
      <w:rFonts w:ascii="EYInterstate Light" w:hAnsi="EYInterstate Light"/>
      <w:kern w:val="12"/>
      <w:szCs w:val="24"/>
      <w:lang w:val="en-GB" w:eastAsia="en-US"/>
    </w:rPr>
  </w:style>
  <w:style w:type="character" w:customStyle="1" w:styleId="EYBodytextwithparaspaceChar">
    <w:name w:val="EY Body text (with para space) Char"/>
    <w:link w:val="EYBodytextwithparaspace"/>
    <w:autoRedefine/>
    <w:qFormat/>
    <w:rPr>
      <w:rFonts w:ascii="EYInterstate Light" w:hAnsi="EYInterstate Light"/>
      <w:kern w:val="12"/>
      <w:szCs w:val="24"/>
      <w:lang w:val="en-GB" w:eastAsia="en-US"/>
    </w:rPr>
  </w:style>
  <w:style w:type="paragraph" w:customStyle="1" w:styleId="BodyCopy0">
    <w:name w:val="BodyCopy"/>
    <w:basedOn w:val="Normal"/>
    <w:autoRedefine/>
    <w:qFormat/>
    <w:pPr>
      <w:spacing w:after="260"/>
    </w:pPr>
    <w:rPr>
      <w:kern w:val="0"/>
      <w:sz w:val="22"/>
      <w:szCs w:val="24"/>
      <w:lang w:eastAsia="en-US"/>
    </w:rPr>
  </w:style>
  <w:style w:type="table" w:customStyle="1" w:styleId="2-41">
    <w:name w:val="清单表 2 - 着色 41"/>
    <w:basedOn w:val="TableNormal"/>
    <w:autoRedefine/>
    <w:uiPriority w:val="47"/>
    <w:qFormat/>
    <w:tblPr>
      <w:tblInd w:w="0" w:type="dxa"/>
      <w:tblBorders>
        <w:top w:val="single" w:sz="4" w:space="0" w:color="7ACE6C" w:themeColor="accent4" w:themeTint="99"/>
        <w:bottom w:val="single" w:sz="4" w:space="0" w:color="7ACE6C" w:themeColor="accent4" w:themeTint="99"/>
        <w:insideH w:val="single" w:sz="4" w:space="0" w:color="7ACE6C"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7-41">
    <w:name w:val="清单表 7 彩色 - 着色 41"/>
    <w:basedOn w:val="TableNormal"/>
    <w:autoRedefine/>
    <w:uiPriority w:val="52"/>
    <w:qFormat/>
    <w:rPr>
      <w:color w:val="2C6722" w:themeColor="accent4" w:themeShade="BF"/>
    </w:rPr>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3C8A2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C8A2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C8A2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C8A2E" w:themeColor="accent4"/>
        </w:tcBorders>
        <w:shd w:val="clear" w:color="auto" w:fill="FFFFFF" w:themeFill="background1"/>
      </w:tcPr>
    </w:tblStylePr>
    <w:tblStylePr w:type="band1Vert">
      <w:tblPr/>
      <w:tcPr>
        <w:shd w:val="clear" w:color="auto" w:fill="D2EECE" w:themeFill="accent4" w:themeFillTint="33"/>
      </w:tcPr>
    </w:tblStylePr>
    <w:tblStylePr w:type="band1Horz">
      <w:tblPr/>
      <w:tcPr>
        <w:shd w:val="clear" w:color="auto" w:fill="D2EEC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6-41">
    <w:name w:val="清单表 6 彩色 - 着色 41"/>
    <w:basedOn w:val="TableNormal"/>
    <w:autoRedefine/>
    <w:uiPriority w:val="51"/>
    <w:qFormat/>
    <w:rPr>
      <w:color w:val="2C6722" w:themeColor="accent4" w:themeShade="BF"/>
    </w:rPr>
    <w:tblPr>
      <w:tblInd w:w="0" w:type="dxa"/>
      <w:tblBorders>
        <w:top w:val="single" w:sz="4" w:space="0" w:color="3C8A2E" w:themeColor="accent4"/>
        <w:bottom w:val="single" w:sz="4" w:space="0" w:color="3C8A2E" w:themeColor="accent4"/>
      </w:tblBorders>
      <w:tblCellMar>
        <w:top w:w="0" w:type="dxa"/>
        <w:left w:w="108" w:type="dxa"/>
        <w:bottom w:w="0" w:type="dxa"/>
        <w:right w:w="108" w:type="dxa"/>
      </w:tblCellMar>
    </w:tblPr>
    <w:tblStylePr w:type="firstRow">
      <w:rPr>
        <w:b/>
        <w:bCs/>
      </w:rPr>
      <w:tblPr/>
      <w:tcPr>
        <w:tcBorders>
          <w:bottom w:val="single" w:sz="4" w:space="0" w:color="3C8A2E" w:themeColor="accent4"/>
        </w:tcBorders>
      </w:tcPr>
    </w:tblStylePr>
    <w:tblStylePr w:type="lastRow">
      <w:rPr>
        <w:b/>
        <w:bCs/>
      </w:rPr>
      <w:tblPr/>
      <w:tcPr>
        <w:tcBorders>
          <w:top w:val="double" w:sz="4" w:space="0" w:color="3C8A2E" w:themeColor="accent4"/>
        </w:tcBorders>
      </w:tc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3-41">
    <w:name w:val="清单表 3 - 着色 41"/>
    <w:basedOn w:val="TableNormal"/>
    <w:autoRedefine/>
    <w:uiPriority w:val="48"/>
    <w:qFormat/>
    <w:tblPr>
      <w:tblInd w:w="0" w:type="dxa"/>
      <w:tblBorders>
        <w:top w:val="single" w:sz="4" w:space="0" w:color="3C8A2E" w:themeColor="accent4"/>
        <w:left w:val="single" w:sz="4" w:space="0" w:color="3C8A2E" w:themeColor="accent4"/>
        <w:bottom w:val="single" w:sz="4" w:space="0" w:color="3C8A2E" w:themeColor="accent4"/>
        <w:right w:val="single" w:sz="4" w:space="0" w:color="3C8A2E" w:themeColor="accent4"/>
      </w:tblBorders>
      <w:tblCellMar>
        <w:top w:w="0" w:type="dxa"/>
        <w:left w:w="108" w:type="dxa"/>
        <w:bottom w:w="0" w:type="dxa"/>
        <w:right w:w="108" w:type="dxa"/>
      </w:tblCellMar>
    </w:tblPr>
    <w:tblStylePr w:type="firstRow">
      <w:rPr>
        <w:b/>
        <w:bCs/>
        <w:color w:val="FFFFFF" w:themeColor="background1"/>
      </w:rPr>
      <w:tblPr/>
      <w:tcPr>
        <w:shd w:val="clear" w:color="auto" w:fill="3C8A2E" w:themeFill="accent4"/>
      </w:tcPr>
    </w:tblStylePr>
    <w:tblStylePr w:type="lastRow">
      <w:rPr>
        <w:b/>
        <w:bCs/>
      </w:rPr>
      <w:tblPr/>
      <w:tcPr>
        <w:tcBorders>
          <w:top w:val="double" w:sz="4" w:space="0" w:color="3C8A2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8A2E" w:themeColor="accent4"/>
          <w:right w:val="single" w:sz="4" w:space="0" w:color="3C8A2E" w:themeColor="accent4"/>
        </w:tcBorders>
      </w:tcPr>
    </w:tblStylePr>
    <w:tblStylePr w:type="band1Horz">
      <w:tblPr/>
      <w:tcPr>
        <w:tcBorders>
          <w:top w:val="single" w:sz="4" w:space="0" w:color="3C8A2E" w:themeColor="accent4"/>
          <w:bottom w:val="single" w:sz="4" w:space="0" w:color="3C8A2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8A2E" w:themeColor="accent4"/>
          <w:left w:val="nil"/>
        </w:tcBorders>
      </w:tcPr>
    </w:tblStylePr>
    <w:tblStylePr w:type="swCell">
      <w:tblPr/>
      <w:tcPr>
        <w:tcBorders>
          <w:top w:val="double" w:sz="4" w:space="0" w:color="3C8A2E" w:themeColor="accent4"/>
          <w:right w:val="nil"/>
        </w:tcBorders>
      </w:tcPr>
    </w:tblStylePr>
  </w:style>
  <w:style w:type="table" w:customStyle="1" w:styleId="3-51">
    <w:name w:val="清单表 3 - 着色 51"/>
    <w:basedOn w:val="TableNormal"/>
    <w:autoRedefine/>
    <w:uiPriority w:val="48"/>
    <w:qFormat/>
    <w:tblPr>
      <w:tblInd w:w="0" w:type="dxa"/>
      <w:tblBorders>
        <w:top w:val="single" w:sz="4" w:space="0" w:color="72C7E7" w:themeColor="accent5"/>
        <w:left w:val="single" w:sz="4" w:space="0" w:color="72C7E7" w:themeColor="accent5"/>
        <w:bottom w:val="single" w:sz="4" w:space="0" w:color="72C7E7" w:themeColor="accent5"/>
        <w:right w:val="single" w:sz="4" w:space="0" w:color="72C7E7" w:themeColor="accent5"/>
      </w:tblBorders>
      <w:tblCellMar>
        <w:top w:w="0" w:type="dxa"/>
        <w:left w:w="108" w:type="dxa"/>
        <w:bottom w:w="0" w:type="dxa"/>
        <w:right w:w="108" w:type="dxa"/>
      </w:tblCellMar>
    </w:tblPr>
    <w:tblStylePr w:type="firstRow">
      <w:rPr>
        <w:b/>
        <w:bCs/>
        <w:color w:val="FFFFFF" w:themeColor="background1"/>
      </w:rPr>
      <w:tblPr/>
      <w:tcPr>
        <w:shd w:val="clear" w:color="auto" w:fill="72C7E7" w:themeFill="accent5"/>
      </w:tcPr>
    </w:tblStylePr>
    <w:tblStylePr w:type="lastRow">
      <w:rPr>
        <w:b/>
        <w:bCs/>
      </w:rPr>
      <w:tblPr/>
      <w:tcPr>
        <w:tcBorders>
          <w:top w:val="double" w:sz="4" w:space="0" w:color="72C7E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2C7E7" w:themeColor="accent5"/>
          <w:right w:val="single" w:sz="4" w:space="0" w:color="72C7E7" w:themeColor="accent5"/>
        </w:tcBorders>
      </w:tcPr>
    </w:tblStylePr>
    <w:tblStylePr w:type="band1Horz">
      <w:tblPr/>
      <w:tcPr>
        <w:tcBorders>
          <w:top w:val="single" w:sz="4" w:space="0" w:color="72C7E7" w:themeColor="accent5"/>
          <w:bottom w:val="single" w:sz="4" w:space="0" w:color="72C7E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2C7E7" w:themeColor="accent5"/>
          <w:left w:val="nil"/>
        </w:tcBorders>
      </w:tcPr>
    </w:tblStylePr>
    <w:tblStylePr w:type="swCell">
      <w:tblPr/>
      <w:tcPr>
        <w:tcBorders>
          <w:top w:val="double" w:sz="4" w:space="0" w:color="72C7E7" w:themeColor="accent5"/>
          <w:right w:val="nil"/>
        </w:tcBorders>
      </w:tcPr>
    </w:tblStylePr>
  </w:style>
  <w:style w:type="table" w:customStyle="1" w:styleId="7-51">
    <w:name w:val="清单表 7 彩色 - 着色 51"/>
    <w:basedOn w:val="TableNormal"/>
    <w:autoRedefine/>
    <w:uiPriority w:val="52"/>
    <w:qFormat/>
    <w:rPr>
      <w:color w:val="28A9DA" w:themeColor="accent5" w:themeShade="BF"/>
    </w:rPr>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2C7E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2C7E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2C7E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2C7E7" w:themeColor="accent5"/>
        </w:tcBorders>
        <w:shd w:val="clear" w:color="auto" w:fill="FFFFFF" w:themeFill="background1"/>
      </w:tcPr>
    </w:tblStylePr>
    <w:tblStylePr w:type="band1Vert">
      <w:tblPr/>
      <w:tcPr>
        <w:shd w:val="clear" w:color="auto" w:fill="E2F3FA" w:themeFill="accent5" w:themeFillTint="33"/>
      </w:tcPr>
    </w:tblStylePr>
    <w:tblStylePr w:type="band1Horz">
      <w:tblPr/>
      <w:tcPr>
        <w:shd w:val="clear" w:color="auto" w:fill="E2F3F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清单表 7 彩色 - 着色 31"/>
    <w:basedOn w:val="TableNormal"/>
    <w:autoRedefine/>
    <w:uiPriority w:val="52"/>
    <w:qFormat/>
    <w:rPr>
      <w:color w:val="0077A6" w:themeColor="accent3" w:themeShade="BF"/>
    </w:rPr>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A1D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1D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1D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1DE" w:themeColor="accent3"/>
        </w:tcBorders>
        <w:shd w:val="clear" w:color="auto" w:fill="FFFFFF" w:themeFill="background1"/>
      </w:tcPr>
    </w:tblStylePr>
    <w:tblStylePr w:type="band1Vert">
      <w:tblPr/>
      <w:tcPr>
        <w:shd w:val="clear" w:color="auto" w:fill="C5EEFF" w:themeFill="accent3" w:themeFillTint="33"/>
      </w:tcPr>
    </w:tblStylePr>
    <w:tblStylePr w:type="band1Horz">
      <w:tblPr/>
      <w:tcPr>
        <w:shd w:val="clear" w:color="auto" w:fill="C5EE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网格表 7 彩色 - 着色 51"/>
    <w:basedOn w:val="TableNormal"/>
    <w:autoRedefine/>
    <w:uiPriority w:val="52"/>
    <w:qFormat/>
    <w:rPr>
      <w:color w:val="28A9DA" w:themeColor="accent5" w:themeShade="BF"/>
    </w:rPr>
    <w:tblPr>
      <w:tblInd w:w="0" w:type="dxa"/>
      <w:tblBorders>
        <w:top w:val="single" w:sz="4" w:space="0" w:color="AADDF0" w:themeColor="accent5" w:themeTint="99"/>
        <w:left w:val="single" w:sz="4" w:space="0" w:color="AADDF0" w:themeColor="accent5" w:themeTint="99"/>
        <w:bottom w:val="single" w:sz="4" w:space="0" w:color="AADDF0" w:themeColor="accent5" w:themeTint="99"/>
        <w:right w:val="single" w:sz="4" w:space="0" w:color="AADDF0" w:themeColor="accent5" w:themeTint="99"/>
        <w:insideH w:val="single" w:sz="4" w:space="0" w:color="AADDF0" w:themeColor="accent5" w:themeTint="99"/>
        <w:insideV w:val="single" w:sz="4" w:space="0" w:color="AADDF0"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F3FA" w:themeFill="accent5" w:themeFillTint="33"/>
      </w:tcPr>
    </w:tblStylePr>
    <w:tblStylePr w:type="band1Horz">
      <w:tblPr/>
      <w:tcPr>
        <w:shd w:val="clear" w:color="auto" w:fill="E2F3FA" w:themeFill="accent5" w:themeFillTint="33"/>
      </w:tcPr>
    </w:tblStylePr>
    <w:tblStylePr w:type="neCell">
      <w:tblPr/>
      <w:tcPr>
        <w:tcBorders>
          <w:bottom w:val="single" w:sz="4" w:space="0" w:color="AADDF0" w:themeColor="accent5" w:themeTint="99"/>
        </w:tcBorders>
      </w:tcPr>
    </w:tblStylePr>
    <w:tblStylePr w:type="nwCell">
      <w:tblPr/>
      <w:tcPr>
        <w:tcBorders>
          <w:bottom w:val="single" w:sz="4" w:space="0" w:color="AADDF0" w:themeColor="accent5" w:themeTint="99"/>
        </w:tcBorders>
      </w:tcPr>
    </w:tblStylePr>
    <w:tblStylePr w:type="seCell">
      <w:tblPr/>
      <w:tcPr>
        <w:tcBorders>
          <w:top w:val="single" w:sz="4" w:space="0" w:color="AADDF0" w:themeColor="accent5" w:themeTint="99"/>
        </w:tcBorders>
      </w:tcPr>
    </w:tblStylePr>
    <w:tblStylePr w:type="swCell">
      <w:tblPr/>
      <w:tcPr>
        <w:tcBorders>
          <w:top w:val="single" w:sz="4" w:space="0" w:color="AADDF0" w:themeColor="accent5" w:themeTint="99"/>
        </w:tcBorders>
      </w:tcPr>
    </w:tblStylePr>
  </w:style>
  <w:style w:type="table" w:customStyle="1" w:styleId="2-31">
    <w:name w:val="网格表 2 - 着色 31"/>
    <w:basedOn w:val="TableNormal"/>
    <w:autoRedefine/>
    <w:uiPriority w:val="47"/>
    <w:qFormat/>
    <w:tblPr>
      <w:tblInd w:w="0" w:type="dxa"/>
      <w:tblBorders>
        <w:top w:val="single" w:sz="2" w:space="0" w:color="52CEFF" w:themeColor="accent3" w:themeTint="99"/>
        <w:bottom w:val="single" w:sz="2" w:space="0" w:color="52CEFF" w:themeColor="accent3" w:themeTint="99"/>
        <w:insideH w:val="single" w:sz="2" w:space="0" w:color="52CEFF" w:themeColor="accent3" w:themeTint="99"/>
        <w:insideV w:val="single" w:sz="2" w:space="0" w:color="52CEFF" w:themeColor="accent3" w:themeTint="99"/>
      </w:tblBorders>
      <w:tblCellMar>
        <w:top w:w="0" w:type="dxa"/>
        <w:left w:w="108" w:type="dxa"/>
        <w:bottom w:w="0" w:type="dxa"/>
        <w:right w:w="108" w:type="dxa"/>
      </w:tblCellMar>
    </w:tblPr>
    <w:tblStylePr w:type="firstRow">
      <w:rPr>
        <w:b/>
        <w:bCs/>
      </w:rPr>
      <w:tblPr/>
      <w:tcPr>
        <w:tcBorders>
          <w:top w:val="nil"/>
          <w:bottom w:val="single" w:sz="12" w:space="0" w:color="52CEFF" w:themeColor="accent3" w:themeTint="99"/>
          <w:insideH w:val="nil"/>
          <w:insideV w:val="nil"/>
        </w:tcBorders>
        <w:shd w:val="clear" w:color="auto" w:fill="FFFFFF" w:themeFill="background1"/>
      </w:tcPr>
    </w:tblStylePr>
    <w:tblStylePr w:type="lastRow">
      <w:rPr>
        <w:b/>
        <w:bCs/>
      </w:rPr>
      <w:tblPr/>
      <w:tcPr>
        <w:tcBorders>
          <w:top w:val="double" w:sz="2" w:space="0" w:color="52CE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3-31">
    <w:name w:val="清单表 3 - 着色 31"/>
    <w:basedOn w:val="TableNormal"/>
    <w:autoRedefine/>
    <w:uiPriority w:val="48"/>
    <w:qFormat/>
    <w:tblPr>
      <w:tblInd w:w="0" w:type="dxa"/>
      <w:tblBorders>
        <w:top w:val="single" w:sz="4" w:space="0" w:color="00A1DE" w:themeColor="accent3"/>
        <w:left w:val="single" w:sz="4" w:space="0" w:color="00A1DE" w:themeColor="accent3"/>
        <w:bottom w:val="single" w:sz="4" w:space="0" w:color="00A1DE" w:themeColor="accent3"/>
        <w:right w:val="single" w:sz="4" w:space="0" w:color="00A1DE" w:themeColor="accent3"/>
      </w:tblBorders>
      <w:tblCellMar>
        <w:top w:w="0" w:type="dxa"/>
        <w:left w:w="108" w:type="dxa"/>
        <w:bottom w:w="0" w:type="dxa"/>
        <w:right w:w="108" w:type="dxa"/>
      </w:tblCellMar>
    </w:tblPr>
    <w:tblStylePr w:type="firstRow">
      <w:rPr>
        <w:b/>
        <w:bCs/>
        <w:color w:val="FFFFFF" w:themeColor="background1"/>
      </w:rPr>
      <w:tblPr/>
      <w:tcPr>
        <w:shd w:val="clear" w:color="auto" w:fill="00A1DE" w:themeFill="accent3"/>
      </w:tcPr>
    </w:tblStylePr>
    <w:tblStylePr w:type="lastRow">
      <w:rPr>
        <w:b/>
        <w:bCs/>
      </w:rPr>
      <w:tblPr/>
      <w:tcPr>
        <w:tcBorders>
          <w:top w:val="double" w:sz="4" w:space="0" w:color="00A1D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1DE" w:themeColor="accent3"/>
          <w:right w:val="single" w:sz="4" w:space="0" w:color="00A1DE" w:themeColor="accent3"/>
        </w:tcBorders>
      </w:tcPr>
    </w:tblStylePr>
    <w:tblStylePr w:type="band1Horz">
      <w:tblPr/>
      <w:tcPr>
        <w:tcBorders>
          <w:top w:val="single" w:sz="4" w:space="0" w:color="00A1DE" w:themeColor="accent3"/>
          <w:bottom w:val="single" w:sz="4" w:space="0" w:color="00A1D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1DE" w:themeColor="accent3"/>
          <w:left w:val="nil"/>
        </w:tcBorders>
      </w:tcPr>
    </w:tblStylePr>
    <w:tblStylePr w:type="swCell">
      <w:tblPr/>
      <w:tcPr>
        <w:tcBorders>
          <w:top w:val="double" w:sz="4" w:space="0" w:color="00A1DE" w:themeColor="accent3"/>
          <w:right w:val="nil"/>
        </w:tcBorders>
      </w:tcPr>
    </w:tblStylePr>
  </w:style>
  <w:style w:type="table" w:customStyle="1" w:styleId="2-51">
    <w:name w:val="网格表 2 - 着色 51"/>
    <w:basedOn w:val="TableNormal"/>
    <w:autoRedefine/>
    <w:uiPriority w:val="47"/>
    <w:qFormat/>
    <w:tblPr>
      <w:tblInd w:w="0" w:type="dxa"/>
      <w:tblBorders>
        <w:top w:val="single" w:sz="2" w:space="0" w:color="AADDF0" w:themeColor="accent5" w:themeTint="99"/>
        <w:bottom w:val="single" w:sz="2" w:space="0" w:color="AADDF0" w:themeColor="accent5" w:themeTint="99"/>
        <w:insideH w:val="single" w:sz="2" w:space="0" w:color="AADDF0" w:themeColor="accent5" w:themeTint="99"/>
        <w:insideV w:val="single" w:sz="2" w:space="0" w:color="AADDF0" w:themeColor="accent5" w:themeTint="99"/>
      </w:tblBorders>
      <w:tblCellMar>
        <w:top w:w="0" w:type="dxa"/>
        <w:left w:w="108" w:type="dxa"/>
        <w:bottom w:w="0" w:type="dxa"/>
        <w:right w:w="108" w:type="dxa"/>
      </w:tblCellMar>
    </w:tblPr>
    <w:tblStylePr w:type="firstRow">
      <w:rPr>
        <w:b/>
        <w:bCs/>
      </w:rPr>
      <w:tblPr/>
      <w:tcPr>
        <w:tcBorders>
          <w:top w:val="nil"/>
          <w:bottom w:val="single" w:sz="12" w:space="0" w:color="AADDF0" w:themeColor="accent5" w:themeTint="99"/>
          <w:insideH w:val="nil"/>
          <w:insideV w:val="nil"/>
        </w:tcBorders>
        <w:shd w:val="clear" w:color="auto" w:fill="FFFFFF" w:themeFill="background1"/>
      </w:tcPr>
    </w:tblStylePr>
    <w:tblStylePr w:type="lastRow">
      <w:rPr>
        <w:b/>
        <w:bCs/>
      </w:rPr>
      <w:tblPr/>
      <w:tcPr>
        <w:tcBorders>
          <w:top w:val="double" w:sz="2" w:space="0" w:color="AADDF0"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F3FA" w:themeFill="accent5" w:themeFillTint="33"/>
      </w:tcPr>
    </w:tblStylePr>
    <w:tblStylePr w:type="band1Horz">
      <w:tblPr/>
      <w:tcPr>
        <w:shd w:val="clear" w:color="auto" w:fill="E2F3FA" w:themeFill="accent5" w:themeFillTint="33"/>
      </w:tcPr>
    </w:tblStylePr>
  </w:style>
  <w:style w:type="table" w:customStyle="1" w:styleId="5-51">
    <w:name w:val="网格表 5 深色 - 着色 51"/>
    <w:basedOn w:val="TableNormal"/>
    <w:autoRedefine/>
    <w:uiPriority w:val="50"/>
    <w:qFormat/>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F3F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2C7E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2C7E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2C7E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2C7E7" w:themeFill="accent5"/>
      </w:tcPr>
    </w:tblStylePr>
    <w:tblStylePr w:type="band1Vert">
      <w:tblPr/>
      <w:tcPr>
        <w:shd w:val="clear" w:color="auto" w:fill="C6E8F5" w:themeFill="accent5" w:themeFillTint="66"/>
      </w:tcPr>
    </w:tblStylePr>
    <w:tblStylePr w:type="band1Horz">
      <w:tblPr/>
      <w:tcPr>
        <w:shd w:val="clear" w:color="auto" w:fill="C6E8F5" w:themeFill="accent5" w:themeFillTint="66"/>
      </w:tcPr>
    </w:tblStylePr>
  </w:style>
  <w:style w:type="table" w:customStyle="1" w:styleId="6-31">
    <w:name w:val="网格表 6 彩色 - 着色 31"/>
    <w:basedOn w:val="TableNormal"/>
    <w:autoRedefine/>
    <w:uiPriority w:val="51"/>
    <w:qFormat/>
    <w:rPr>
      <w:color w:val="0077A6" w:themeColor="accent3" w:themeShade="BF"/>
    </w:rPr>
    <w:tblPr>
      <w:tblInd w:w="0" w:type="dxa"/>
      <w:tblBorders>
        <w:top w:val="single" w:sz="4" w:space="0" w:color="52CEFF" w:themeColor="accent3" w:themeTint="99"/>
        <w:left w:val="single" w:sz="4" w:space="0" w:color="52CEFF" w:themeColor="accent3" w:themeTint="99"/>
        <w:bottom w:val="single" w:sz="4" w:space="0" w:color="52CEFF" w:themeColor="accent3" w:themeTint="99"/>
        <w:right w:val="single" w:sz="4" w:space="0" w:color="52CEFF" w:themeColor="accent3" w:themeTint="99"/>
        <w:insideH w:val="single" w:sz="4" w:space="0" w:color="52CEFF" w:themeColor="accent3" w:themeTint="99"/>
        <w:insideV w:val="single" w:sz="4" w:space="0" w:color="52CEFF" w:themeColor="accent3" w:themeTint="99"/>
      </w:tblBorders>
      <w:tblCellMar>
        <w:top w:w="0" w:type="dxa"/>
        <w:left w:w="108" w:type="dxa"/>
        <w:bottom w:w="0" w:type="dxa"/>
        <w:right w:w="108" w:type="dxa"/>
      </w:tblCellMar>
    </w:tblPr>
    <w:tblStylePr w:type="firstRow">
      <w:rPr>
        <w:b/>
        <w:bCs/>
      </w:rPr>
      <w:tblPr/>
      <w:tcPr>
        <w:tcBorders>
          <w:bottom w:val="single" w:sz="12" w:space="0" w:color="52CEFF" w:themeColor="accent3" w:themeTint="99"/>
        </w:tcBorders>
      </w:tcPr>
    </w:tblStylePr>
    <w:tblStylePr w:type="lastRow">
      <w:rPr>
        <w:b/>
        <w:bCs/>
      </w:rPr>
      <w:tblPr/>
      <w:tcPr>
        <w:tcBorders>
          <w:top w:val="double" w:sz="4" w:space="0" w:color="52CEFF" w:themeColor="accent3" w:themeTint="99"/>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1-31">
    <w:name w:val="清单表 1 浅色 - 着色 31"/>
    <w:basedOn w:val="TableNormal"/>
    <w:autoRedefine/>
    <w:uiPriority w:val="46"/>
    <w:qFormat/>
    <w:tblPr>
      <w:tblInd w:w="0" w:type="dxa"/>
      <w:tblCellMar>
        <w:top w:w="0" w:type="dxa"/>
        <w:left w:w="108" w:type="dxa"/>
        <w:bottom w:w="0" w:type="dxa"/>
        <w:right w:w="108" w:type="dxa"/>
      </w:tblCellMar>
    </w:tblPr>
    <w:tblStylePr w:type="firstRow">
      <w:rPr>
        <w:b/>
        <w:bCs/>
      </w:rPr>
      <w:tblPr/>
      <w:tcPr>
        <w:tcBorders>
          <w:bottom w:val="single" w:sz="4" w:space="0" w:color="52CEFF" w:themeColor="accent3" w:themeTint="99"/>
        </w:tcBorders>
      </w:tcPr>
    </w:tblStylePr>
    <w:tblStylePr w:type="lastRow">
      <w:rPr>
        <w:b/>
        <w:bCs/>
      </w:rPr>
      <w:tblPr/>
      <w:tcPr>
        <w:tcBorders>
          <w:top w:val="single" w:sz="4" w:space="0" w:color="52CEFF" w:themeColor="accent3" w:themeTint="99"/>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6-310">
    <w:name w:val="清单表 6 彩色 - 着色 31"/>
    <w:basedOn w:val="TableNormal"/>
    <w:autoRedefine/>
    <w:uiPriority w:val="51"/>
    <w:qFormat/>
    <w:rPr>
      <w:color w:val="0077A6" w:themeColor="accent3" w:themeShade="BF"/>
    </w:rPr>
    <w:tblPr>
      <w:tblInd w:w="0" w:type="dxa"/>
      <w:tblBorders>
        <w:top w:val="single" w:sz="4" w:space="0" w:color="00A1DE" w:themeColor="accent3"/>
        <w:bottom w:val="single" w:sz="4" w:space="0" w:color="00A1DE" w:themeColor="accent3"/>
      </w:tblBorders>
      <w:tblCellMar>
        <w:top w:w="0" w:type="dxa"/>
        <w:left w:w="108" w:type="dxa"/>
        <w:bottom w:w="0" w:type="dxa"/>
        <w:right w:w="108" w:type="dxa"/>
      </w:tblCellMar>
    </w:tblPr>
    <w:tblStylePr w:type="firstRow">
      <w:rPr>
        <w:b/>
        <w:bCs/>
      </w:rPr>
      <w:tblPr/>
      <w:tcPr>
        <w:tcBorders>
          <w:bottom w:val="single" w:sz="4" w:space="0" w:color="00A1DE" w:themeColor="accent3"/>
        </w:tcBorders>
      </w:tcPr>
    </w:tblStylePr>
    <w:tblStylePr w:type="lastRow">
      <w:rPr>
        <w:b/>
        <w:bCs/>
      </w:rPr>
      <w:tblPr/>
      <w:tcPr>
        <w:tcBorders>
          <w:top w:val="double" w:sz="4" w:space="0" w:color="00A1DE" w:themeColor="accent3"/>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4-31">
    <w:name w:val="网格表 4 - 着色 31"/>
    <w:basedOn w:val="TableNormal"/>
    <w:autoRedefine/>
    <w:uiPriority w:val="49"/>
    <w:qFormat/>
    <w:tblPr>
      <w:tblInd w:w="0" w:type="dxa"/>
      <w:tblBorders>
        <w:top w:val="single" w:sz="4" w:space="0" w:color="52CEFF" w:themeColor="accent3" w:themeTint="99"/>
        <w:left w:val="single" w:sz="4" w:space="0" w:color="52CEFF" w:themeColor="accent3" w:themeTint="99"/>
        <w:bottom w:val="single" w:sz="4" w:space="0" w:color="52CEFF" w:themeColor="accent3" w:themeTint="99"/>
        <w:right w:val="single" w:sz="4" w:space="0" w:color="52CEFF" w:themeColor="accent3" w:themeTint="99"/>
        <w:insideH w:val="single" w:sz="4" w:space="0" w:color="52CEFF" w:themeColor="accent3" w:themeTint="99"/>
        <w:insideV w:val="single" w:sz="4" w:space="0" w:color="52CEFF"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A1DE" w:themeColor="accent3"/>
          <w:left w:val="single" w:sz="4" w:space="0" w:color="00A1DE" w:themeColor="accent3"/>
          <w:bottom w:val="single" w:sz="4" w:space="0" w:color="00A1DE" w:themeColor="accent3"/>
          <w:right w:val="single" w:sz="4" w:space="0" w:color="00A1DE" w:themeColor="accent3"/>
          <w:insideH w:val="nil"/>
          <w:insideV w:val="nil"/>
        </w:tcBorders>
        <w:shd w:val="clear" w:color="auto" w:fill="00A1DE" w:themeFill="accent3"/>
      </w:tcPr>
    </w:tblStylePr>
    <w:tblStylePr w:type="lastRow">
      <w:rPr>
        <w:b/>
        <w:bCs/>
      </w:rPr>
      <w:tblPr/>
      <w:tcPr>
        <w:tcBorders>
          <w:top w:val="double" w:sz="4" w:space="0" w:color="00A1DE" w:themeColor="accent3"/>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4-41">
    <w:name w:val="网格表 4 - 着色 41"/>
    <w:basedOn w:val="TableNormal"/>
    <w:autoRedefine/>
    <w:uiPriority w:val="49"/>
    <w:qFormat/>
    <w:tblPr>
      <w:tblInd w:w="0" w:type="dxa"/>
      <w:tblBorders>
        <w:top w:val="single" w:sz="4" w:space="0" w:color="7ACE6C" w:themeColor="accent4" w:themeTint="99"/>
        <w:left w:val="single" w:sz="4" w:space="0" w:color="7ACE6C" w:themeColor="accent4" w:themeTint="99"/>
        <w:bottom w:val="single" w:sz="4" w:space="0" w:color="7ACE6C" w:themeColor="accent4" w:themeTint="99"/>
        <w:right w:val="single" w:sz="4" w:space="0" w:color="7ACE6C" w:themeColor="accent4" w:themeTint="99"/>
        <w:insideH w:val="single" w:sz="4" w:space="0" w:color="7ACE6C" w:themeColor="accent4" w:themeTint="99"/>
        <w:insideV w:val="single" w:sz="4" w:space="0" w:color="7ACE6C"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3C8A2E" w:themeColor="accent4"/>
          <w:left w:val="single" w:sz="4" w:space="0" w:color="3C8A2E" w:themeColor="accent4"/>
          <w:bottom w:val="single" w:sz="4" w:space="0" w:color="3C8A2E" w:themeColor="accent4"/>
          <w:right w:val="single" w:sz="4" w:space="0" w:color="3C8A2E" w:themeColor="accent4"/>
          <w:insideH w:val="nil"/>
          <w:insideV w:val="nil"/>
        </w:tcBorders>
        <w:shd w:val="clear" w:color="auto" w:fill="3C8A2E" w:themeFill="accent4"/>
      </w:tcPr>
    </w:tblStylePr>
    <w:tblStylePr w:type="lastRow">
      <w:rPr>
        <w:b/>
        <w:bCs/>
      </w:rPr>
      <w:tblPr/>
      <w:tcPr>
        <w:tcBorders>
          <w:top w:val="double" w:sz="4" w:space="0" w:color="3C8A2E" w:themeColor="accent4"/>
        </w:tcBorders>
      </w:tc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2-410">
    <w:name w:val="网格表 2 - 着色 41"/>
    <w:basedOn w:val="TableNormal"/>
    <w:autoRedefine/>
    <w:uiPriority w:val="47"/>
    <w:qFormat/>
    <w:tblPr>
      <w:tblInd w:w="0" w:type="dxa"/>
      <w:tblBorders>
        <w:top w:val="single" w:sz="2" w:space="0" w:color="7ACE6C" w:themeColor="accent4" w:themeTint="99"/>
        <w:bottom w:val="single" w:sz="2" w:space="0" w:color="7ACE6C" w:themeColor="accent4" w:themeTint="99"/>
        <w:insideH w:val="single" w:sz="2" w:space="0" w:color="7ACE6C" w:themeColor="accent4" w:themeTint="99"/>
        <w:insideV w:val="single" w:sz="2" w:space="0" w:color="7ACE6C" w:themeColor="accent4" w:themeTint="99"/>
      </w:tblBorders>
      <w:tblCellMar>
        <w:top w:w="0" w:type="dxa"/>
        <w:left w:w="108" w:type="dxa"/>
        <w:bottom w:w="0" w:type="dxa"/>
        <w:right w:w="108" w:type="dxa"/>
      </w:tblCellMar>
    </w:tblPr>
    <w:tblStylePr w:type="firstRow">
      <w:rPr>
        <w:b/>
        <w:bCs/>
      </w:rPr>
      <w:tblPr/>
      <w:tcPr>
        <w:tcBorders>
          <w:top w:val="nil"/>
          <w:bottom w:val="single" w:sz="12" w:space="0" w:color="7ACE6C" w:themeColor="accent4" w:themeTint="99"/>
          <w:insideH w:val="nil"/>
          <w:insideV w:val="nil"/>
        </w:tcBorders>
        <w:shd w:val="clear" w:color="auto" w:fill="FFFFFF" w:themeFill="background1"/>
      </w:tcPr>
    </w:tblStylePr>
    <w:tblStylePr w:type="lastRow">
      <w:rPr>
        <w:b/>
        <w:bCs/>
      </w:rPr>
      <w:tblPr/>
      <w:tcPr>
        <w:tcBorders>
          <w:top w:val="double" w:sz="2" w:space="0" w:color="7ACE6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5-41">
    <w:name w:val="网格表 5 深色 - 着色 41"/>
    <w:basedOn w:val="TableNormal"/>
    <w:autoRedefine/>
    <w:uiPriority w:val="50"/>
    <w:qFormat/>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2EEC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C8A2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C8A2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C8A2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C8A2E" w:themeFill="accent4"/>
      </w:tcPr>
    </w:tblStylePr>
    <w:tblStylePr w:type="band1Vert">
      <w:tblPr/>
      <w:tcPr>
        <w:shd w:val="clear" w:color="auto" w:fill="A6DE9D" w:themeFill="accent4" w:themeFillTint="66"/>
      </w:tcPr>
    </w:tblStylePr>
    <w:tblStylePr w:type="band1Horz">
      <w:tblPr/>
      <w:tcPr>
        <w:shd w:val="clear" w:color="auto" w:fill="A6DE9D" w:themeFill="accent4" w:themeFillTint="66"/>
      </w:tcPr>
    </w:tblStylePr>
  </w:style>
  <w:style w:type="character" w:customStyle="1" w:styleId="TitleChar">
    <w:name w:val="Title Char"/>
    <w:basedOn w:val="DefaultParagraphFont"/>
    <w:link w:val="Title"/>
    <w:autoRedefine/>
    <w:uiPriority w:val="10"/>
    <w:qFormat/>
    <w:rPr>
      <w:rFonts w:ascii="华文细黑" w:eastAsia="华文细黑" w:hAnsi="华文细黑" w:cstheme="majorBidi"/>
      <w:b/>
      <w:spacing w:val="-10"/>
      <w:kern w:val="28"/>
      <w:sz w:val="36"/>
      <w:szCs w:val="56"/>
    </w:rPr>
  </w:style>
  <w:style w:type="paragraph" w:customStyle="1" w:styleId="Documenttitle">
    <w:name w:val="Document title"/>
    <w:next w:val="Documentsubtitle"/>
    <w:autoRedefine/>
    <w:qFormat/>
    <w:pPr>
      <w:spacing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autoRedefine/>
    <w:qFormat/>
    <w:pPr>
      <w:spacing w:after="120" w:line="440" w:lineRule="atLeast"/>
    </w:pPr>
    <w:rPr>
      <w:rFonts w:asciiTheme="minorHAnsi" w:hAnsiTheme="minorHAnsi" w:cstheme="minorBidi"/>
      <w:kern w:val="0"/>
      <w:sz w:val="36"/>
      <w:szCs w:val="22"/>
      <w:lang w:eastAsia="en-US"/>
    </w:rPr>
  </w:style>
  <w:style w:type="paragraph" w:customStyle="1" w:styleId="Documentdate">
    <w:name w:val="Document date"/>
    <w:autoRedefine/>
    <w:qFormat/>
    <w:pPr>
      <w:spacing w:line="240" w:lineRule="atLeast"/>
    </w:pPr>
    <w:rPr>
      <w:rFonts w:asciiTheme="minorHAnsi" w:hAnsiTheme="minorHAnsi" w:cstheme="minorBidi"/>
      <w:sz w:val="18"/>
      <w:szCs w:val="22"/>
      <w:lang w:eastAsia="en-US"/>
    </w:rPr>
  </w:style>
  <w:style w:type="paragraph" w:customStyle="1" w:styleId="Default">
    <w:name w:val="Default"/>
    <w:autoRedefine/>
    <w:qFormat/>
    <w:pPr>
      <w:autoSpaceDE w:val="0"/>
      <w:autoSpaceDN w:val="0"/>
      <w:adjustRightInd w:val="0"/>
    </w:pPr>
    <w:rPr>
      <w:rFonts w:ascii="Verdana" w:hAnsi="Verdana" w:cs="Verdana"/>
      <w:color w:val="000000"/>
      <w:sz w:val="24"/>
      <w:szCs w:val="24"/>
    </w:rPr>
  </w:style>
  <w:style w:type="paragraph" w:customStyle="1" w:styleId="Figure">
    <w:name w:val="Figure"/>
    <w:basedOn w:val="Normal"/>
    <w:next w:val="Normal"/>
    <w:autoRedefine/>
    <w:qFormat/>
    <w:pPr>
      <w:spacing w:before="120" w:after="120" w:line="360" w:lineRule="auto"/>
    </w:pPr>
    <w:rPr>
      <w:rFonts w:ascii="EYInterstate" w:eastAsiaTheme="minorEastAsia" w:hAnsi="EYInterstate" w:cs="Arial"/>
      <w:b/>
      <w:bCs/>
      <w:kern w:val="24"/>
      <w:lang w:eastAsia="en-US"/>
    </w:rPr>
  </w:style>
  <w:style w:type="character" w:customStyle="1" w:styleId="a">
    <w:name w:val="列出段落 字符"/>
    <w:basedOn w:val="DefaultParagraphFont"/>
    <w:link w:val="10"/>
    <w:autoRedefine/>
    <w:uiPriority w:val="99"/>
    <w:qFormat/>
    <w:rPr>
      <w:rFonts w:ascii="Calibri" w:hAnsi="Calibri"/>
      <w:sz w:val="22"/>
      <w:szCs w:val="22"/>
      <w:lang w:val="en-GB"/>
    </w:rPr>
  </w:style>
  <w:style w:type="table" w:customStyle="1" w:styleId="1-21">
    <w:name w:val="网格表 1 浅色 - 着色 21"/>
    <w:basedOn w:val="TableNormal"/>
    <w:autoRedefine/>
    <w:uiPriority w:val="46"/>
    <w:qFormat/>
    <w:tblPr>
      <w:tblInd w:w="0" w:type="dxa"/>
      <w:tblBorders>
        <w:top w:val="single" w:sz="4" w:space="0" w:color="D9FF87" w:themeColor="accent2" w:themeTint="66"/>
        <w:left w:val="single" w:sz="4" w:space="0" w:color="D9FF87" w:themeColor="accent2" w:themeTint="66"/>
        <w:bottom w:val="single" w:sz="4" w:space="0" w:color="D9FF87" w:themeColor="accent2" w:themeTint="66"/>
        <w:right w:val="single" w:sz="4" w:space="0" w:color="D9FF87" w:themeColor="accent2" w:themeTint="66"/>
        <w:insideH w:val="single" w:sz="4" w:space="0" w:color="D9FF87" w:themeColor="accent2" w:themeTint="66"/>
        <w:insideV w:val="single" w:sz="4" w:space="0" w:color="D9FF87" w:themeColor="accent2" w:themeTint="66"/>
      </w:tblBorders>
      <w:tblCellMar>
        <w:top w:w="0" w:type="dxa"/>
        <w:left w:w="108" w:type="dxa"/>
        <w:bottom w:w="0" w:type="dxa"/>
        <w:right w:w="108" w:type="dxa"/>
      </w:tblCellMar>
    </w:tblPr>
    <w:tblStylePr w:type="firstRow">
      <w:rPr>
        <w:b/>
        <w:bCs/>
      </w:rPr>
      <w:tblPr/>
      <w:tcPr>
        <w:tcBorders>
          <w:bottom w:val="single" w:sz="12" w:space="0" w:color="C6FF4C" w:themeColor="accent2" w:themeTint="99"/>
        </w:tcBorders>
      </w:tcPr>
    </w:tblStylePr>
    <w:tblStylePr w:type="lastRow">
      <w:rPr>
        <w:b/>
        <w:bCs/>
      </w:rPr>
      <w:tblPr/>
      <w:tcPr>
        <w:tcBorders>
          <w:top w:val="double" w:sz="2" w:space="0" w:color="C6FF4C" w:themeColor="accent2" w:themeTint="99"/>
        </w:tcBorders>
      </w:tcPr>
    </w:tblStylePr>
    <w:tblStylePr w:type="firstCol">
      <w:rPr>
        <w:b/>
        <w:bCs/>
      </w:rPr>
    </w:tblStylePr>
    <w:tblStylePr w:type="lastCol">
      <w:rPr>
        <w:b/>
        <w:bCs/>
      </w:rPr>
    </w:tblStylePr>
  </w:style>
  <w:style w:type="table" w:customStyle="1" w:styleId="110">
    <w:name w:val="无格式表格 11"/>
    <w:basedOn w:val="TableNormal"/>
    <w:autoRedefine/>
    <w:uiPriority w:val="41"/>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3-410">
    <w:name w:val="网格表 3 - 着色 41"/>
    <w:basedOn w:val="TableNormal"/>
    <w:autoRedefine/>
    <w:uiPriority w:val="48"/>
    <w:qFormat/>
    <w:tblPr>
      <w:tblInd w:w="0" w:type="dxa"/>
      <w:tblBorders>
        <w:top w:val="single" w:sz="4" w:space="0" w:color="7ACE6C" w:themeColor="accent4" w:themeTint="99"/>
        <w:left w:val="single" w:sz="4" w:space="0" w:color="7ACE6C" w:themeColor="accent4" w:themeTint="99"/>
        <w:bottom w:val="single" w:sz="4" w:space="0" w:color="7ACE6C" w:themeColor="accent4" w:themeTint="99"/>
        <w:right w:val="single" w:sz="4" w:space="0" w:color="7ACE6C" w:themeColor="accent4" w:themeTint="99"/>
        <w:insideH w:val="single" w:sz="4" w:space="0" w:color="7ACE6C" w:themeColor="accent4" w:themeTint="99"/>
        <w:insideV w:val="single" w:sz="4" w:space="0" w:color="7ACE6C"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EECE" w:themeFill="accent4" w:themeFillTint="33"/>
      </w:tcPr>
    </w:tblStylePr>
    <w:tblStylePr w:type="band1Horz">
      <w:tblPr/>
      <w:tcPr>
        <w:shd w:val="clear" w:color="auto" w:fill="D2EECE" w:themeFill="accent4" w:themeFillTint="33"/>
      </w:tcPr>
    </w:tblStylePr>
    <w:tblStylePr w:type="neCell">
      <w:tblPr/>
      <w:tcPr>
        <w:tcBorders>
          <w:bottom w:val="single" w:sz="4" w:space="0" w:color="7ACE6C" w:themeColor="accent4" w:themeTint="99"/>
        </w:tcBorders>
      </w:tcPr>
    </w:tblStylePr>
    <w:tblStylePr w:type="nwCell">
      <w:tblPr/>
      <w:tcPr>
        <w:tcBorders>
          <w:bottom w:val="single" w:sz="4" w:space="0" w:color="7ACE6C" w:themeColor="accent4" w:themeTint="99"/>
        </w:tcBorders>
      </w:tcPr>
    </w:tblStylePr>
    <w:tblStylePr w:type="seCell">
      <w:tblPr/>
      <w:tcPr>
        <w:tcBorders>
          <w:top w:val="single" w:sz="4" w:space="0" w:color="7ACE6C" w:themeColor="accent4" w:themeTint="99"/>
        </w:tcBorders>
      </w:tcPr>
    </w:tblStylePr>
    <w:tblStylePr w:type="swCell">
      <w:tblPr/>
      <w:tcPr>
        <w:tcBorders>
          <w:top w:val="single" w:sz="4" w:space="0" w:color="7ACE6C" w:themeColor="accent4" w:themeTint="99"/>
        </w:tcBorders>
      </w:tcPr>
    </w:tblStylePr>
  </w:style>
  <w:style w:type="table" w:customStyle="1" w:styleId="2-21">
    <w:name w:val="网格表 2 - 着色 21"/>
    <w:basedOn w:val="TableNormal"/>
    <w:autoRedefine/>
    <w:uiPriority w:val="47"/>
    <w:qFormat/>
    <w:tblPr>
      <w:tblInd w:w="0" w:type="dxa"/>
      <w:tblBorders>
        <w:top w:val="single" w:sz="2" w:space="0" w:color="C6FF4C" w:themeColor="accent2" w:themeTint="99"/>
        <w:bottom w:val="single" w:sz="2" w:space="0" w:color="C6FF4C" w:themeColor="accent2" w:themeTint="99"/>
        <w:insideH w:val="single" w:sz="2" w:space="0" w:color="C6FF4C" w:themeColor="accent2" w:themeTint="99"/>
        <w:insideV w:val="single" w:sz="2" w:space="0" w:color="C6FF4C" w:themeColor="accent2" w:themeTint="99"/>
      </w:tblBorders>
      <w:tblCellMar>
        <w:top w:w="0" w:type="dxa"/>
        <w:left w:w="108" w:type="dxa"/>
        <w:bottom w:w="0" w:type="dxa"/>
        <w:right w:w="108" w:type="dxa"/>
      </w:tblCellMar>
    </w:tblPr>
    <w:tblStylePr w:type="firstRow">
      <w:rPr>
        <w:b/>
        <w:bCs/>
      </w:rPr>
      <w:tblPr/>
      <w:tcPr>
        <w:tcBorders>
          <w:top w:val="nil"/>
          <w:bottom w:val="single" w:sz="12" w:space="0" w:color="C6FF4C" w:themeColor="accent2" w:themeTint="99"/>
          <w:insideH w:val="nil"/>
          <w:insideV w:val="nil"/>
        </w:tcBorders>
        <w:shd w:val="clear" w:color="auto" w:fill="FFFFFF" w:themeFill="background1"/>
      </w:tcPr>
    </w:tblStylePr>
    <w:tblStylePr w:type="lastRow">
      <w:rPr>
        <w:b/>
        <w:bCs/>
      </w:rPr>
      <w:tblPr/>
      <w:tcPr>
        <w:tcBorders>
          <w:top w:val="double" w:sz="2" w:space="0" w:color="C6FF4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FFC3" w:themeFill="accent2" w:themeFillTint="33"/>
      </w:tcPr>
    </w:tblStylePr>
    <w:tblStylePr w:type="band1Horz">
      <w:tblPr/>
      <w:tcPr>
        <w:shd w:val="clear" w:color="auto" w:fill="ECFFC3" w:themeFill="accent2" w:themeFillTint="33"/>
      </w:tcPr>
    </w:tblStylePr>
  </w:style>
  <w:style w:type="paragraph" w:customStyle="1" w:styleId="TableColumnHeader">
    <w:name w:val="Table Column Header"/>
    <w:basedOn w:val="TableText"/>
    <w:autoRedefine/>
    <w:qFormat/>
    <w:pPr>
      <w:keepNext/>
      <w:widowControl w:val="0"/>
      <w:spacing w:before="60" w:after="60"/>
      <w:jc w:val="center"/>
    </w:pPr>
    <w:rPr>
      <w:rFonts w:ascii="Arial Bold" w:hAnsi="Arial Bold"/>
      <w:b/>
      <w:szCs w:val="20"/>
    </w:rPr>
  </w:style>
  <w:style w:type="paragraph" w:customStyle="1" w:styleId="ExhibitTitle">
    <w:name w:val="Exhibit Title"/>
    <w:basedOn w:val="Caption"/>
    <w:link w:val="ExhibitTitleChar"/>
    <w:autoRedefine/>
    <w:qFormat/>
    <w:pPr>
      <w:keepNext/>
      <w:tabs>
        <w:tab w:val="left" w:pos="1224"/>
      </w:tabs>
      <w:spacing w:before="120" w:after="120" w:line="240" w:lineRule="atLeast"/>
      <w:ind w:left="1021" w:hanging="1021"/>
    </w:pPr>
    <w:rPr>
      <w:rFonts w:ascii="Arial Bold" w:eastAsia="华文楷体" w:hAnsi="Arial Bold"/>
      <w:bCs w:val="0"/>
      <w:color w:val="FFFFFF"/>
      <w:kern w:val="0"/>
      <w:sz w:val="22"/>
      <w:lang w:val="en-GB" w:eastAsia="en-US"/>
    </w:rPr>
  </w:style>
  <w:style w:type="character" w:customStyle="1" w:styleId="ExhibitTitleChar">
    <w:name w:val="Exhibit Title Char"/>
    <w:basedOn w:val="DefaultParagraphFont"/>
    <w:link w:val="ExhibitTitle"/>
    <w:autoRedefine/>
    <w:qFormat/>
    <w:rPr>
      <w:rFonts w:ascii="Arial Bold" w:eastAsia="华文楷体" w:hAnsi="Arial Bold"/>
      <w:b/>
      <w:color w:val="FFFFFF"/>
      <w:sz w:val="22"/>
      <w:lang w:val="en-GB" w:eastAsia="en-US"/>
    </w:rPr>
  </w:style>
  <w:style w:type="paragraph" w:customStyle="1" w:styleId="TableTextBold">
    <w:name w:val="Table Text  Bold"/>
    <w:basedOn w:val="TableText"/>
    <w:link w:val="TableTextBoldChar"/>
    <w:autoRedefine/>
    <w:qFormat/>
    <w:rPr>
      <w:b/>
      <w:bCs/>
    </w:rPr>
  </w:style>
  <w:style w:type="character" w:customStyle="1" w:styleId="TableTextBoldChar">
    <w:name w:val="Table Text  Bold Char"/>
    <w:basedOn w:val="TableTextChar"/>
    <w:link w:val="TableTextBold"/>
    <w:autoRedefine/>
    <w:qFormat/>
    <w:rPr>
      <w:rFonts w:ascii="Arial" w:eastAsia="华文楷体" w:hAnsi="Arial" w:cs="Times New Roman"/>
      <w:b/>
      <w:bCs/>
      <w:sz w:val="22"/>
      <w:szCs w:val="18"/>
      <w:lang w:val="en-GB" w:eastAsia="en-US"/>
    </w:rPr>
  </w:style>
  <w:style w:type="paragraph" w:customStyle="1" w:styleId="ListBulletsinglespace">
    <w:name w:val="List Bullet single space"/>
    <w:basedOn w:val="ListBullet"/>
    <w:autoRedefine/>
    <w:qFormat/>
    <w:pPr>
      <w:numPr>
        <w:numId w:val="6"/>
      </w:numPr>
      <w:spacing w:after="0" w:line="240" w:lineRule="auto"/>
    </w:pPr>
    <w:rPr>
      <w:rFonts w:ascii="Arial" w:eastAsia="华文楷体" w:hAnsi="Arial"/>
      <w:kern w:val="0"/>
      <w:sz w:val="22"/>
      <w:lang w:val="en-GB" w:eastAsia="en-US"/>
    </w:rPr>
  </w:style>
  <w:style w:type="paragraph" w:customStyle="1" w:styleId="TableTextItalic">
    <w:name w:val="Table Text Italic"/>
    <w:basedOn w:val="TableText"/>
    <w:autoRedefine/>
    <w:qFormat/>
    <w:pPr>
      <w:keepNext/>
    </w:pPr>
    <w:rPr>
      <w:i/>
    </w:rPr>
  </w:style>
  <w:style w:type="paragraph" w:customStyle="1" w:styleId="ExhibitNote">
    <w:name w:val="Exhibit Note"/>
    <w:basedOn w:val="TableText"/>
    <w:autoRedefine/>
    <w:qFormat/>
    <w:rPr>
      <w:i/>
      <w:sz w:val="20"/>
      <w:lang w:val="en-CA"/>
    </w:rPr>
  </w:style>
  <w:style w:type="paragraph" w:customStyle="1" w:styleId="CNTPReport-Bullet2">
    <w:name w:val="CN TP Report-Bullet 2"/>
    <w:basedOn w:val="Normal"/>
    <w:autoRedefine/>
    <w:qFormat/>
    <w:pPr>
      <w:numPr>
        <w:numId w:val="7"/>
      </w:numPr>
      <w:spacing w:before="120" w:after="120" w:line="280" w:lineRule="exact"/>
      <w:jc w:val="both"/>
    </w:pPr>
    <w:rPr>
      <w:rFonts w:ascii="Verdana" w:hAnsi="Verdana" w:cs="Arial"/>
      <w:iCs/>
      <w:color w:val="222222"/>
      <w:kern w:val="0"/>
      <w:sz w:val="21"/>
      <w:szCs w:val="21"/>
      <w:lang w:val="en" w:eastAsia="en-US"/>
    </w:rPr>
  </w:style>
  <w:style w:type="paragraph" w:customStyle="1" w:styleId="ordinary-output">
    <w:name w:val="ordinary-output"/>
    <w:basedOn w:val="Normal"/>
    <w:autoRedefine/>
    <w:qFormat/>
    <w:pPr>
      <w:spacing w:before="100" w:beforeAutospacing="1" w:after="100" w:afterAutospacing="1" w:line="450" w:lineRule="atLeast"/>
    </w:pPr>
    <w:rPr>
      <w:rFonts w:eastAsia="Times New Roman"/>
      <w:color w:val="333333"/>
      <w:kern w:val="0"/>
      <w:sz w:val="36"/>
      <w:szCs w:val="36"/>
    </w:rPr>
  </w:style>
  <w:style w:type="character" w:customStyle="1" w:styleId="shorttext">
    <w:name w:val="short_text"/>
    <w:basedOn w:val="DefaultParagraphFont"/>
    <w:autoRedefine/>
    <w:qFormat/>
  </w:style>
  <w:style w:type="paragraph" w:customStyle="1" w:styleId="AnnexHeading">
    <w:name w:val="Annex Heading"/>
    <w:basedOn w:val="Heading1"/>
    <w:next w:val="BodyText"/>
    <w:autoRedefine/>
    <w:qFormat/>
    <w:pPr>
      <w:adjustRightInd/>
      <w:snapToGrid/>
      <w:spacing w:before="1620" w:after="1620" w:line="240" w:lineRule="atLeast"/>
      <w:ind w:left="432" w:hanging="432"/>
    </w:pPr>
    <w:rPr>
      <w:rFonts w:ascii="Arial" w:eastAsia="宋体" w:hAnsi="Arial"/>
      <w:b/>
      <w:bCs w:val="0"/>
      <w:kern w:val="32"/>
      <w:sz w:val="56"/>
      <w:szCs w:val="32"/>
      <w:lang w:val="en-GB"/>
    </w:rPr>
  </w:style>
  <w:style w:type="paragraph" w:customStyle="1" w:styleId="tgt">
    <w:name w:val="_tgt"/>
    <w:basedOn w:val="Normal"/>
    <w:autoRedefine/>
    <w:qFormat/>
    <w:pPr>
      <w:spacing w:before="100" w:beforeAutospacing="1" w:after="100" w:afterAutospacing="1"/>
    </w:pPr>
    <w:rPr>
      <w:rFonts w:eastAsia="Times New Roman"/>
      <w:kern w:val="0"/>
      <w:sz w:val="24"/>
      <w:szCs w:val="24"/>
    </w:rPr>
  </w:style>
  <w:style w:type="character" w:customStyle="1" w:styleId="transsent">
    <w:name w:val="transsent"/>
    <w:basedOn w:val="DefaultParagraphFont"/>
    <w:autoRedefine/>
    <w:qFormat/>
  </w:style>
  <w:style w:type="character" w:customStyle="1" w:styleId="HTMLPreformattedChar">
    <w:name w:val="HTML Preformatted Char"/>
    <w:basedOn w:val="DefaultParagraphFont"/>
    <w:link w:val="HTMLPreformatted"/>
    <w:autoRedefine/>
    <w:uiPriority w:val="99"/>
    <w:semiHidden/>
    <w:qFormat/>
    <w:rPr>
      <w:rFonts w:ascii="Courier New" w:hAnsi="Courier New" w:cs="Courier New"/>
      <w:kern w:val="2"/>
    </w:rPr>
  </w:style>
  <w:style w:type="paragraph" w:customStyle="1" w:styleId="TableParagraph">
    <w:name w:val="Table Paragraph"/>
    <w:basedOn w:val="Normal"/>
    <w:autoRedefine/>
    <w:uiPriority w:val="1"/>
    <w:qFormat/>
    <w:pPr>
      <w:widowControl w:val="0"/>
      <w:autoSpaceDE w:val="0"/>
      <w:autoSpaceDN w:val="0"/>
    </w:pPr>
    <w:rPr>
      <w:rFonts w:ascii="Verdana" w:eastAsia="Verdana" w:hAnsi="Verdana" w:cs="Verdana"/>
      <w:kern w:val="0"/>
      <w:sz w:val="22"/>
      <w:szCs w:val="22"/>
      <w:lang w:eastAsia="en-US"/>
    </w:rPr>
  </w:style>
  <w:style w:type="paragraph" w:customStyle="1" w:styleId="SPXEN">
    <w:name w:val="SPX EN"/>
    <w:basedOn w:val="Normal"/>
    <w:link w:val="SPXEN0"/>
    <w:autoRedefine/>
    <w:qFormat/>
    <w:pPr>
      <w:spacing w:before="120" w:after="120" w:line="240" w:lineRule="atLeast"/>
      <w:jc w:val="both"/>
    </w:pPr>
    <w:rPr>
      <w:rFonts w:ascii="Verdana" w:eastAsia="Verdana" w:hAnsi="Verdana"/>
      <w:sz w:val="21"/>
    </w:rPr>
  </w:style>
  <w:style w:type="character" w:customStyle="1" w:styleId="SPXEN0">
    <w:name w:val="SPX EN 字符"/>
    <w:basedOn w:val="DefaultParagraphFont"/>
    <w:link w:val="SPXEN"/>
    <w:autoRedefine/>
    <w:qFormat/>
    <w:rPr>
      <w:rFonts w:ascii="Verdana" w:eastAsia="Verdana" w:hAnsi="Verdana"/>
      <w:kern w:val="2"/>
      <w:sz w:val="21"/>
    </w:rPr>
  </w:style>
  <w:style w:type="character" w:customStyle="1" w:styleId="tlid-translation">
    <w:name w:val="tlid-translation"/>
    <w:basedOn w:val="DefaultParagraphFont"/>
    <w:autoRedefine/>
    <w:qFormat/>
  </w:style>
  <w:style w:type="paragraph" w:customStyle="1" w:styleId="ListParagraph1">
    <w:name w:val="List Paragraph1"/>
    <w:basedOn w:val="Normal"/>
    <w:autoRedefine/>
    <w:uiPriority w:val="34"/>
    <w:qFormat/>
    <w:pPr>
      <w:spacing w:before="100" w:beforeAutospacing="1" w:after="100" w:afterAutospacing="1"/>
      <w:jc w:val="both"/>
      <w:outlineLvl w:val="0"/>
    </w:pPr>
    <w:rPr>
      <w:rFonts w:ascii="Arial Narrow" w:eastAsia="仿宋_GB2312" w:hAnsi="Arial Narrow" w:cs="Arial"/>
      <w:color w:val="2C6722" w:themeColor="accent4" w:themeShade="BF"/>
      <w:kern w:val="0"/>
      <w:sz w:val="28"/>
      <w:szCs w:val="22"/>
    </w:rPr>
  </w:style>
  <w:style w:type="table" w:customStyle="1" w:styleId="4-51">
    <w:name w:val="网格表 4 - 着色 51"/>
    <w:basedOn w:val="TableNormal"/>
    <w:autoRedefine/>
    <w:uiPriority w:val="49"/>
    <w:qFormat/>
    <w:tblPr>
      <w:tblInd w:w="0" w:type="dxa"/>
      <w:tblBorders>
        <w:top w:val="single" w:sz="4" w:space="0" w:color="AADDF0" w:themeColor="accent5" w:themeTint="99"/>
        <w:left w:val="single" w:sz="4" w:space="0" w:color="AADDF0" w:themeColor="accent5" w:themeTint="99"/>
        <w:bottom w:val="single" w:sz="4" w:space="0" w:color="AADDF0" w:themeColor="accent5" w:themeTint="99"/>
        <w:right w:val="single" w:sz="4" w:space="0" w:color="AADDF0" w:themeColor="accent5" w:themeTint="99"/>
        <w:insideH w:val="single" w:sz="4" w:space="0" w:color="AADDF0" w:themeColor="accent5" w:themeTint="99"/>
        <w:insideV w:val="single" w:sz="4" w:space="0" w:color="AADDF0"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2C7E7" w:themeColor="accent5"/>
          <w:left w:val="single" w:sz="4" w:space="0" w:color="72C7E7" w:themeColor="accent5"/>
          <w:bottom w:val="single" w:sz="4" w:space="0" w:color="72C7E7" w:themeColor="accent5"/>
          <w:right w:val="single" w:sz="4" w:space="0" w:color="72C7E7" w:themeColor="accent5"/>
          <w:insideH w:val="nil"/>
          <w:insideV w:val="nil"/>
        </w:tcBorders>
        <w:shd w:val="clear" w:color="auto" w:fill="72C7E7" w:themeFill="accent5"/>
      </w:tcPr>
    </w:tblStylePr>
    <w:tblStylePr w:type="lastRow">
      <w:rPr>
        <w:b/>
        <w:bCs/>
      </w:rPr>
      <w:tblPr/>
      <w:tcPr>
        <w:tcBorders>
          <w:top w:val="double" w:sz="4" w:space="0" w:color="72C7E7" w:themeColor="accent5"/>
        </w:tcBorders>
      </w:tcPr>
    </w:tblStylePr>
    <w:tblStylePr w:type="firstCol">
      <w:rPr>
        <w:b/>
        <w:bCs/>
      </w:rPr>
    </w:tblStylePr>
    <w:tblStylePr w:type="lastCol">
      <w:rPr>
        <w:b/>
        <w:bCs/>
      </w:rPr>
    </w:tblStylePr>
    <w:tblStylePr w:type="band1Vert">
      <w:tblPr/>
      <w:tcPr>
        <w:shd w:val="clear" w:color="auto" w:fill="E2F3FA" w:themeFill="accent5" w:themeFillTint="33"/>
      </w:tcPr>
    </w:tblStylePr>
    <w:tblStylePr w:type="band1Horz">
      <w:tblPr/>
      <w:tcPr>
        <w:shd w:val="clear" w:color="auto" w:fill="E2F3FA" w:themeFill="accent5" w:themeFillTint="33"/>
      </w:tcPr>
    </w:tblStylePr>
  </w:style>
  <w:style w:type="table" w:customStyle="1" w:styleId="TableNormal3">
    <w:name w:val="Table Normal3"/>
    <w:autoRedefine/>
    <w:uiPriority w:val="2"/>
    <w:unhideWhenUsed/>
    <w:qFormat/>
    <w:pPr>
      <w:widowControl w:val="0"/>
      <w:autoSpaceDE w:val="0"/>
      <w:autoSpaceDN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2">
    <w:name w:val="列出段落2"/>
    <w:basedOn w:val="Normal"/>
    <w:autoRedefine/>
    <w:uiPriority w:val="99"/>
    <w:qFormat/>
    <w:pPr>
      <w:spacing w:after="120"/>
      <w:ind w:left="720"/>
      <w:contextualSpacing/>
    </w:pPr>
    <w:rPr>
      <w:rFonts w:ascii="Calibri" w:hAnsi="Calibri"/>
      <w:kern w:val="0"/>
      <w:sz w:val="22"/>
      <w:szCs w:val="22"/>
      <w:lang w:val="en-GB"/>
    </w:rPr>
  </w:style>
  <w:style w:type="character" w:customStyle="1" w:styleId="CaptionChar">
    <w:name w:val="Caption Char"/>
    <w:basedOn w:val="DefaultParagraphFont"/>
    <w:link w:val="Caption"/>
    <w:autoRedefine/>
    <w:uiPriority w:val="35"/>
    <w:qFormat/>
    <w:rPr>
      <w:b/>
      <w:bCs/>
      <w:kern w:val="2"/>
    </w:rPr>
  </w:style>
  <w:style w:type="paragraph" w:customStyle="1" w:styleId="20">
    <w:name w:val="修订2"/>
    <w:autoRedefine/>
    <w:hidden/>
    <w:uiPriority w:val="99"/>
    <w:semiHidden/>
    <w:qFormat/>
    <w:rPr>
      <w:kern w:val="2"/>
    </w:rPr>
  </w:style>
  <w:style w:type="paragraph" w:customStyle="1" w:styleId="3">
    <w:name w:val="修订3"/>
    <w:autoRedefine/>
    <w:hidden/>
    <w:uiPriority w:val="99"/>
    <w:semiHidden/>
    <w:qFormat/>
    <w:rPr>
      <w:kern w:val="2"/>
    </w:rPr>
  </w:style>
  <w:style w:type="paragraph" w:styleId="ListParagraph">
    <w:name w:val="List Paragraph"/>
    <w:basedOn w:val="Normal"/>
    <w:link w:val="ListParagraphChar"/>
    <w:autoRedefine/>
    <w:uiPriority w:val="99"/>
    <w:qFormat/>
    <w:pPr>
      <w:numPr>
        <w:numId w:val="8"/>
      </w:numPr>
      <w:spacing w:beforeLines="50" w:before="180" w:afterLines="50" w:after="180" w:line="360" w:lineRule="auto"/>
      <w:contextualSpacing/>
      <w:jc w:val="both"/>
    </w:pPr>
    <w:rPr>
      <w:rFonts w:ascii="Arial Narrow" w:eastAsia="仿宋_GB2312" w:hAnsi="Arial Narrow" w:cs="Arial"/>
      <w:kern w:val="0"/>
      <w:sz w:val="22"/>
      <w:szCs w:val="22"/>
      <w:lang w:val="en-GB"/>
    </w:rPr>
  </w:style>
  <w:style w:type="character" w:customStyle="1" w:styleId="ListParagraphChar">
    <w:name w:val="List Paragraph Char"/>
    <w:basedOn w:val="DefaultParagraphFont"/>
    <w:link w:val="ListParagraph"/>
    <w:autoRedefine/>
    <w:uiPriority w:val="99"/>
    <w:qFormat/>
    <w:rPr>
      <w:rFonts w:ascii="Arial Narrow" w:eastAsia="仿宋_GB2312" w:hAnsi="Arial Narrow" w:cs="Arial"/>
      <w:sz w:val="22"/>
      <w:szCs w:val="22"/>
      <w:lang w:val="en-GB"/>
    </w:rPr>
  </w:style>
  <w:style w:type="paragraph" w:customStyle="1" w:styleId="4">
    <w:name w:val="修订4"/>
    <w:autoRedefine/>
    <w:hidden/>
    <w:uiPriority w:val="99"/>
    <w:unhideWhenUsed/>
    <w:qFormat/>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2.xml" Type="http://schemas.openxmlformats.org/officeDocument/2006/relationships/header"/><Relationship Id="rId12" Target="header3.xml" Type="http://schemas.openxmlformats.org/officeDocument/2006/relationships/header"/><Relationship Id="rId13" Target="footer2.xml" Type="http://schemas.openxmlformats.org/officeDocument/2006/relationships/footer"/><Relationship Id="rId14" Target="header4.xml" Type="http://schemas.openxmlformats.org/officeDocument/2006/relationships/header"/><Relationship Id="rId15" Target="header5.xml" Type="http://schemas.openxmlformats.org/officeDocument/2006/relationships/header"/><Relationship Id="rId16" Target="header6.xml" Type="http://schemas.openxmlformats.org/officeDocument/2006/relationships/header"/><Relationship Id="rId17" Target="footer3.xml" Type="http://schemas.openxmlformats.org/officeDocument/2006/relationships/footer"/><Relationship Id="rId18" Target="header7.xml" Type="http://schemas.openxmlformats.org/officeDocument/2006/relationships/header"/><Relationship Id="rId19" Target="footer4.xml" Type="http://schemas.openxmlformats.org/officeDocument/2006/relationships/footer"/><Relationship Id="rId2" Target="../customXml/item2.xml" Type="http://schemas.openxmlformats.org/officeDocument/2006/relationships/customXml"/><Relationship Id="rId20" Target="footer5.xml" Type="http://schemas.openxmlformats.org/officeDocument/2006/relationships/footer"/><Relationship Id="rId21" Target="media/image1.jpeg" Type="http://schemas.openxmlformats.org/officeDocument/2006/relationships/image"/><Relationship Id="rId22" Target="media/image2.png" Type="http://schemas.openxmlformats.org/officeDocument/2006/relationships/image"/><Relationship Id="rId23" Target="media/image3.png" Type="http://schemas.openxmlformats.org/officeDocument/2006/relationships/image"/><Relationship Id="rId24" Target="media/image4.png" Type="http://schemas.openxmlformats.org/officeDocument/2006/relationships/image"/><Relationship Id="rId25" Target="charts/chart1.xml" Type="http://schemas.openxmlformats.org/officeDocument/2006/relationships/chart"/><Relationship Id="rId26" Target="charts/chart2.xml" Type="http://schemas.openxmlformats.org/officeDocument/2006/relationships/chart"/><Relationship Id="rId27" Target="charts/chart3.xml" Type="http://schemas.openxmlformats.org/officeDocument/2006/relationships/chart"/><Relationship Id="rId28" Target="charts/chart4.xml" Type="http://schemas.openxmlformats.org/officeDocument/2006/relationships/chart"/><Relationship Id="rId29" Target="media/image5.png" Type="http://schemas.openxmlformats.org/officeDocument/2006/relationships/image"/><Relationship Id="rId3" Target="numbering.xml" Type="http://schemas.openxmlformats.org/officeDocument/2006/relationships/numbering"/><Relationship Id="rId30" Target="media/image6.jpeg" Type="http://schemas.openxmlformats.org/officeDocument/2006/relationships/image"/><Relationship Id="rId31" Target="header8.xml" Type="http://schemas.openxmlformats.org/officeDocument/2006/relationships/header"/><Relationship Id="rId32" Target="header9.xml" Type="http://schemas.openxmlformats.org/officeDocument/2006/relationships/header"/><Relationship Id="rId33" Target="media/image7.png" Type="http://schemas.openxmlformats.org/officeDocument/2006/relationships/image"/><Relationship Id="rId34" Target="charts/chart5.xml" Type="http://schemas.openxmlformats.org/officeDocument/2006/relationships/chart"/><Relationship Id="rId35" Target="header10.xml" Type="http://schemas.openxmlformats.org/officeDocument/2006/relationships/header"/><Relationship Id="rId36" Target="footer6.xml" Type="http://schemas.openxmlformats.org/officeDocument/2006/relationships/footer"/><Relationship Id="rId37" Target="header11.xml" Type="http://schemas.openxmlformats.org/officeDocument/2006/relationships/header"/><Relationship Id="rId38" Target="fontTable.xml" Type="http://schemas.openxmlformats.org/officeDocument/2006/relationships/fontTable"/><Relationship Id="rId39" Target="theme/theme1.xml" Type="http://schemas.openxmlformats.org/officeDocument/2006/relationships/theme"/><Relationship Id="rId4" Target="styles.xml" Type="http://schemas.openxmlformats.org/officeDocument/2006/relationships/style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charts/_rels/chart1.xml.rels><?xml version="1.0" encoding="UTF-8" standalone="yes"?><Relationships xmlns="http://schemas.openxmlformats.org/package/2006/relationships"><Relationship Id="rId1" Target="style1.xml" Type="http://schemas.microsoft.com/office/2011/relationships/chartStyle"/><Relationship Id="rId2" Target="colors1.xml" Type="http://schemas.microsoft.com/office/2011/relationships/chartColorStyle"/><Relationship Id="rId3" Target="../embeddings/Microsoft_Excel____1.xlsx" Type="http://schemas.openxmlformats.org/officeDocument/2006/relationships/package"/></Relationships>
</file>

<file path=word/charts/_rels/chart2.xml.rels><?xml version="1.0" encoding="UTF-8" standalone="yes"?><Relationships xmlns="http://schemas.openxmlformats.org/package/2006/relationships"><Relationship Id="rId1" Target="style2.xml" Type="http://schemas.microsoft.com/office/2011/relationships/chartStyle"/><Relationship Id="rId2" Target="colors2.xml" Type="http://schemas.microsoft.com/office/2011/relationships/chartColorStyle"/><Relationship Id="rId3" Target="../embeddings/Microsoft_Excel____2.xlsx" Type="http://schemas.openxmlformats.org/officeDocument/2006/relationships/package"/></Relationships>
</file>

<file path=word/charts/_rels/chart3.xml.rels><?xml version="1.0" encoding="UTF-8" standalone="yes"?><Relationships xmlns="http://schemas.openxmlformats.org/package/2006/relationships"><Relationship Id="rId1" Target="style3.xml" Type="http://schemas.microsoft.com/office/2011/relationships/chartStyle"/><Relationship Id="rId2" Target="colors3.xml" Type="http://schemas.microsoft.com/office/2011/relationships/chartColorStyle"/><Relationship Id="rId3" Target="../embeddings/Microsoft_Excel____3.xlsx" Type="http://schemas.openxmlformats.org/officeDocument/2006/relationships/package"/></Relationships>
</file>

<file path=word/charts/_rels/chart4.xml.rels><?xml version="1.0" encoding="UTF-8" standalone="yes"?><Relationships xmlns="http://schemas.openxmlformats.org/package/2006/relationships"><Relationship Id="rId1" Target="style4.xml" Type="http://schemas.microsoft.com/office/2011/relationships/chartStyle"/><Relationship Id="rId2" Target="colors4.xml" Type="http://schemas.microsoft.com/office/2011/relationships/chartColorStyle"/><Relationship Id="rId3" Target="../embeddings/Microsoft_Excel____4.xlsx" Type="http://schemas.openxmlformats.org/officeDocument/2006/relationships/package"/></Relationships>
</file>

<file path=word/charts/_rels/chart5.xml.rels><?xml version="1.0" encoding="UTF-8" standalone="yes"?><Relationships xmlns="http://schemas.openxmlformats.org/package/2006/relationships"><Relationship Id="rId1" Target="style5.xml" Type="http://schemas.microsoft.com/office/2011/relationships/chartStyle"/><Relationship Id="rId2" Target="colors5.xml" Type="http://schemas.microsoft.com/office/2011/relationships/chartColorStyle"/><Relationship Id="rId3" Target="../embeddings/Microsoft_Excel____5.xlsx" Type="http://schemas.openxmlformats.org/officeDocument/2006/relationships/package"/></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系列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Sheet1!$A$3:$A$8</c:f>
              <c:strCache>
                <c:ptCount val="6"/>
                <c:pt idx="0">
                  <c:v>2021</c:v>
                </c:pt>
                <c:pt idx="1">
                  <c:v>2022</c:v>
                </c:pt>
                <c:pt idx="2">
                  <c:v>2023</c:v>
                </c:pt>
                <c:pt idx="3">
                  <c:v>2024E</c:v>
                </c:pt>
                <c:pt idx="4">
                  <c:v>2025E</c:v>
                </c:pt>
                <c:pt idx="5">
                  <c:v>2026E</c:v>
                </c:pt>
              </c:strCache>
            </c:strRef>
          </c:cat>
          <c:val>
            <c:numRef>
              <c:f>Sheet1!$B$3:$B$8</c:f>
              <c:numCache>
                <c:formatCode>General</c:formatCode>
                <c:ptCount val="6"/>
                <c:pt idx="0">
                  <c:v>5351</c:v>
                </c:pt>
                <c:pt idx="1">
                  <c:v>5652</c:v>
                </c:pt>
                <c:pt idx="2">
                  <c:v>6070</c:v>
                </c:pt>
                <c:pt idx="3">
                  <c:v>6462</c:v>
                </c:pt>
                <c:pt idx="4">
                  <c:v>6859</c:v>
                </c:pt>
                <c:pt idx="5">
                  <c:v>7297</c:v>
                </c:pt>
              </c:numCache>
            </c:numRef>
          </c:val>
        </c:ser>
        <c:dLbls>
          <c:showLegendKey val="0"/>
          <c:showVal val="0"/>
          <c:showCatName val="0"/>
          <c:showSerName val="0"/>
          <c:showPercent val="0"/>
          <c:showBubbleSize val="0"/>
        </c:dLbls>
        <c:gapWidth val="219"/>
        <c:overlap val="-27"/>
        <c:axId val="-678929232"/>
        <c:axId val="-678916720"/>
      </c:barChart>
      <c:catAx>
        <c:axId val="-6789292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78916720"/>
        <c:crosses val="autoZero"/>
        <c:auto val="1"/>
        <c:lblAlgn val="ctr"/>
        <c:lblOffset val="100"/>
        <c:noMultiLvlLbl val="0"/>
      </c:catAx>
      <c:valAx>
        <c:axId val="-6789167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789292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1626762745642"/>
          <c:y val="8.2525273364967996E-2"/>
          <c:w val="0.53208881745721104"/>
          <c:h val="0.91213657607839205"/>
        </c:manualLayout>
      </c:layout>
      <c:pieChart>
        <c:varyColors val="1"/>
        <c:ser>
          <c:idx val="0"/>
          <c:order val="0"/>
          <c:tx>
            <c:strRef>
              <c:f>Sheet1!$B$1</c:f>
              <c:strCache>
                <c:ptCount val="1"/>
                <c:pt idx="0">
                  <c:v>市场份额</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dPt>
            <c:idx val="4"/>
            <c:bubble3D val="0"/>
            <c:spPr>
              <a:solidFill>
                <a:schemeClr val="accent5"/>
              </a:solidFill>
              <a:ln w="19050">
                <a:solidFill>
                  <a:schemeClr val="lt1"/>
                </a:solidFill>
              </a:ln>
              <a:effectLst/>
            </c:spPr>
          </c:dPt>
          <c:dLbls>
            <c:dLbl>
              <c:idx val="0"/>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dLbl>
              <c:idx val="1"/>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dLbl>
              <c:idx val="2"/>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spPr>
              <a:noFill/>
              <a:ln>
                <a:noFill/>
              </a:ln>
              <a:effectLst/>
            </c:spPr>
            <c:txPr>
              <a:bodyPr rot="0" spcFirstLastPara="1" vertOverflow="ellipsis" vert="horz" wrap="square" lIns="38100" tIns="19050" rIns="38100" bIns="19050" anchor="ctr" anchorCtr="1">
                <a:spAutoFit/>
              </a:bodyPr>
              <a:lstStyle/>
              <a:p>
                <a:pPr>
                  <a:defRPr lang="zh-CN" sz="900" b="1" i="0" u="none" strike="noStrike" kern="1200" baseline="0">
                    <a:solidFill>
                      <a:schemeClr val="tx1">
                        <a:lumMod val="75000"/>
                        <a:lumOff val="25000"/>
                      </a:schemeClr>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亚洲北部</c:v>
                </c:pt>
                <c:pt idx="1">
                  <c:v>北美</c:v>
                </c:pt>
                <c:pt idx="2">
                  <c:v>欧洲</c:v>
                </c:pt>
                <c:pt idx="3">
                  <c:v>拉丁美洲</c:v>
                </c:pt>
                <c:pt idx="4">
                  <c:v>其他地区</c:v>
                </c:pt>
              </c:strCache>
            </c:strRef>
          </c:cat>
          <c:val>
            <c:numRef>
              <c:f>Sheet1!$B$2:$B$6</c:f>
              <c:numCache>
                <c:formatCode>0.00%</c:formatCode>
                <c:ptCount val="5"/>
                <c:pt idx="0">
                  <c:v>0.25891823000000003</c:v>
                </c:pt>
                <c:pt idx="1">
                  <c:v>0.27067807900000002</c:v>
                </c:pt>
                <c:pt idx="2">
                  <c:v>0.31585746399999998</c:v>
                </c:pt>
                <c:pt idx="3">
                  <c:v>7.0828629000000004E-2</c:v>
                </c:pt>
                <c:pt idx="4">
                  <c:v>8.3717598000000004E-2</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legendEntry>
        <c:idx val="0"/>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1"/>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2"/>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3"/>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4"/>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ayout>
        <c:manualLayout>
          <c:xMode val="edge"/>
          <c:yMode val="edge"/>
          <c:x val="0.79499091678409595"/>
          <c:y val="0.30084848327319902"/>
          <c:w val="0.14634556856459"/>
          <c:h val="0.44283265169888503"/>
        </c:manualLayout>
      </c:layout>
      <c:overlay val="0"/>
      <c:spPr>
        <a:noFill/>
        <a:ln>
          <a:noFill/>
        </a:ln>
        <a:effectLst/>
      </c:spPr>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b="1">
          <a:latin typeface="Arial Narrow" panose="020B0606020202030204" pitchFamily="2" charset="0"/>
          <a:ea typeface="仿宋_GB2312" pitchFamily="3" charset="-122"/>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8319398608603"/>
          <c:y val="2.4466562706556599E-2"/>
          <c:w val="0.49185868660738002"/>
          <c:h val="0.92933364991967704"/>
        </c:manualLayout>
      </c:layout>
      <c:pieChart>
        <c:varyColors val="1"/>
        <c:ser>
          <c:idx val="0"/>
          <c:order val="0"/>
          <c:tx>
            <c:strRef>
              <c:f>Sheet1!$B$1</c:f>
              <c:strCache>
                <c:ptCount val="1"/>
                <c:pt idx="0">
                  <c:v>销售份额</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dLbls>
            <c:dLbl>
              <c:idx val="0"/>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dLbl>
              <c:idx val="1"/>
              <c:layout>
                <c:manualLayout>
                  <c:x val="0.11228406108327373"/>
                  <c:y val="-0.25486382741830022"/>
                </c:manualLayout>
              </c:layout>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1" i="0" u="none" strike="noStrike" kern="1200" baseline="0">
                    <a:solidFill>
                      <a:schemeClr val="tx1">
                        <a:lumMod val="75000"/>
                        <a:lumOff val="25000"/>
                      </a:schemeClr>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专业美发</c:v>
                </c:pt>
                <c:pt idx="1">
                  <c:v>大众化妆品</c:v>
                </c:pt>
                <c:pt idx="2">
                  <c:v>高档化妆品</c:v>
                </c:pt>
                <c:pt idx="3">
                  <c:v>活性健康化妆品</c:v>
                </c:pt>
              </c:strCache>
            </c:strRef>
          </c:cat>
          <c:val>
            <c:numRef>
              <c:f>Sheet1!$B$2:$B$5</c:f>
              <c:numCache>
                <c:formatCode>0.0%</c:formatCode>
                <c:ptCount val="4"/>
                <c:pt idx="0">
                  <c:v>0.36238693599999999</c:v>
                </c:pt>
                <c:pt idx="1">
                  <c:v>0.368425909</c:v>
                </c:pt>
                <c:pt idx="2">
                  <c:v>0.113006738</c:v>
                </c:pt>
                <c:pt idx="3">
                  <c:v>0.15618284499999999</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legendEntry>
        <c:idx val="0"/>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1"/>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2"/>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3"/>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ayout>
        <c:manualLayout>
          <c:xMode val="edge"/>
          <c:yMode val="edge"/>
          <c:x val="0.77808476312854902"/>
          <c:y val="0.28147092860336198"/>
          <c:w val="0.221915162228559"/>
          <c:h val="0.41557921178483598"/>
        </c:manualLayout>
      </c:layout>
      <c:overlay val="1"/>
      <c:spPr>
        <a:noFill/>
        <a:ln>
          <a:noFill/>
        </a:ln>
        <a:effectLst/>
      </c:spPr>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b="1">
          <a:latin typeface="Arial Narrow" panose="020B0606020202030204" pitchFamily="2" charset="0"/>
          <a:ea typeface="仿宋_GB2312" pitchFamily="3" charset="-122"/>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lineChart>
        <c:grouping val="standard"/>
        <c:varyColors val="0"/>
        <c:ser>
          <c:idx val="0"/>
          <c:order val="0"/>
          <c:tx>
            <c:strRef>
              <c:f>Sheet1!$B$1</c:f>
              <c:strCache>
                <c:ptCount val="1"/>
                <c:pt idx="0">
                  <c:v>系列 1</c:v>
                </c:pt>
              </c:strCache>
            </c:strRef>
          </c:tx>
          <c:spPr>
            <a:ln w="28575" cap="rnd">
              <a:solidFill>
                <a:schemeClr val="accent1"/>
              </a:solidFill>
              <a:round/>
            </a:ln>
            <a:effectLst/>
          </c:spPr>
          <c:marker>
            <c:symbol val="none"/>
          </c:marker>
          <c:dLbls>
            <c:dLbl>
              <c:idx val="0"/>
              <c:layout>
                <c:manualLayout>
                  <c:x val="-2.60598742680153E-17"/>
                  <c:y val="3.4334763948497903E-2"/>
                </c:manualLayout>
              </c:layout>
              <c:dLblPos val="r"/>
              <c:showLegendKey val="0"/>
              <c:showVal val="1"/>
              <c:showCatName val="0"/>
              <c:showSerName val="0"/>
              <c:showPercent val="0"/>
              <c:showBubbleSize val="0"/>
              <c:extLst>
                <c:ext xmlns:c15="http://schemas.microsoft.com/office/drawing/2012/chart" uri="{CE6537A1-D6FC-4f65-9D91-7224C49458BB}"/>
              </c:extLst>
            </c:dLbl>
            <c:dLbl>
              <c:idx val="1"/>
              <c:layout>
                <c:manualLayout>
                  <c:x val="0"/>
                  <c:y val="2.8612303290414899E-2"/>
                </c:manualLayout>
              </c:layout>
              <c:dLblPos val="r"/>
              <c:showLegendKey val="0"/>
              <c:showVal val="1"/>
              <c:showCatName val="0"/>
              <c:showSerName val="0"/>
              <c:showPercent val="0"/>
              <c:showBubbleSize val="0"/>
              <c:extLst>
                <c:ext xmlns:c15="http://schemas.microsoft.com/office/drawing/2012/chart" uri="{CE6537A1-D6FC-4f65-9D91-7224C49458BB}"/>
              </c:extLst>
            </c:dLbl>
            <c:dLbl>
              <c:idx val="2"/>
              <c:layout>
                <c:manualLayout>
                  <c:x val="0"/>
                  <c:y val="2.8612303290414899E-2"/>
                </c:manualLayout>
              </c:layout>
              <c:dLblPos val="r"/>
              <c:showLegendKey val="0"/>
              <c:showVal val="1"/>
              <c:showCatName val="0"/>
              <c:showSerName val="0"/>
              <c:showPercent val="0"/>
              <c:showBubbleSize val="0"/>
              <c:extLst>
                <c:ext xmlns:c15="http://schemas.microsoft.com/office/drawing/2012/chart" uri="{CE6537A1-D6FC-4f65-9D91-7224C49458BB}"/>
              </c:extLst>
            </c:dLbl>
            <c:dLbl>
              <c:idx val="3"/>
              <c:layout>
                <c:manualLayout>
                  <c:x val="-1.04239497072061E-16"/>
                  <c:y val="2.8612303290414799E-2"/>
                </c:manualLayout>
              </c:layout>
              <c:dLblPos val="r"/>
              <c:showLegendKey val="0"/>
              <c:showVal val="1"/>
              <c:showCatName val="0"/>
              <c:showSerName val="0"/>
              <c:showPercent val="0"/>
              <c:showBubbleSize val="0"/>
              <c:extLst>
                <c:ext xmlns:c15="http://schemas.microsoft.com/office/drawing/2012/chart" uri="{CE6537A1-D6FC-4f65-9D91-7224C49458BB}"/>
              </c:extLst>
            </c:dLbl>
            <c:dLbl>
              <c:idx val="4"/>
              <c:layout>
                <c:manualLayout>
                  <c:x val="-1.04239497072061E-16"/>
                  <c:y val="4.0057224606580802E-2"/>
                </c:manualLayout>
              </c:layout>
              <c:dLblPos val="r"/>
              <c:showLegendKey val="0"/>
              <c:showVal val="1"/>
              <c:showCatName val="0"/>
              <c:showSerName val="0"/>
              <c:showPercent val="0"/>
              <c:showBubbleSize val="0"/>
              <c:extLst>
                <c:ext xmlns:c15="http://schemas.microsoft.com/office/drawing/2012/chart" uri="{CE6537A1-D6FC-4f65-9D91-7224C49458BB}"/>
              </c:extLst>
            </c:dLbl>
            <c:dLbl>
              <c:idx val="5"/>
              <c:layout>
                <c:manualLayout>
                  <c:x val="0"/>
                  <c:y val="4.5779685264663798E-2"/>
                </c:manualLayout>
              </c:layout>
              <c:dLblPos val="r"/>
              <c:showLegendKey val="0"/>
              <c:showVal val="1"/>
              <c:showCatName val="0"/>
              <c:showSerName val="0"/>
              <c:showPercent val="0"/>
              <c:showBubbleSize val="0"/>
              <c:extLst>
                <c:ext xmlns:c15="http://schemas.microsoft.com/office/drawing/2012/chart" uri="{CE6537A1-D6FC-4f65-9D91-7224C49458BB}"/>
              </c:extLst>
            </c:dLbl>
            <c:dLbl>
              <c:idx val="6"/>
              <c:layout>
                <c:manualLayout>
                  <c:x val="2.8429282160624398E-3"/>
                  <c:y val="6.2947067238912705E-2"/>
                </c:manualLayout>
              </c:layout>
              <c:dLblPos val="r"/>
              <c:showLegendKey val="0"/>
              <c:showVal val="1"/>
              <c:showCatName val="0"/>
              <c:showSerName val="0"/>
              <c:showPercent val="0"/>
              <c:showBubbleSize val="0"/>
              <c:extLst>
                <c:ext xmlns:c15="http://schemas.microsoft.com/office/drawing/2012/chart" uri="{CE6537A1-D6FC-4f65-9D91-7224C49458BB}"/>
              </c:extLst>
            </c:dLbl>
            <c:dLbl>
              <c:idx val="7"/>
              <c:layout>
                <c:manualLayout>
                  <c:x val="0"/>
                  <c:y val="6.2947067238912705E-2"/>
                </c:manualLayout>
              </c:layout>
              <c:dLblPos val="r"/>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Arial Narrow" panose="020B0606020202030204" pitchFamily="2" charset="0"/>
                    <a:ea typeface="仿宋_GB2312" pitchFamily="3" charset="-122"/>
                    <a:cs typeface="Arial" panose="020B0604020202020204" pitchFamily="2" charset="0"/>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Sheet1!$A$3:$A$10</c:f>
              <c:strCache>
                <c:ptCount val="8"/>
                <c:pt idx="0">
                  <c:v>2016年</c:v>
                </c:pt>
                <c:pt idx="1">
                  <c:v>2017年</c:v>
                </c:pt>
                <c:pt idx="2">
                  <c:v>2018年</c:v>
                </c:pt>
                <c:pt idx="3">
                  <c:v>2019年</c:v>
                </c:pt>
                <c:pt idx="4">
                  <c:v>2020年</c:v>
                </c:pt>
                <c:pt idx="5">
                  <c:v>2021年</c:v>
                </c:pt>
                <c:pt idx="6">
                  <c:v>2022年</c:v>
                </c:pt>
                <c:pt idx="7">
                  <c:v>2023年</c:v>
                </c:pt>
              </c:strCache>
            </c:strRef>
          </c:cat>
          <c:val>
            <c:numRef>
              <c:f>Sheet1!$B$3:$B$10</c:f>
              <c:numCache>
                <c:formatCode>General</c:formatCode>
                <c:ptCount val="8"/>
                <c:pt idx="0">
                  <c:v>2222</c:v>
                </c:pt>
                <c:pt idx="1">
                  <c:v>2514</c:v>
                </c:pt>
                <c:pt idx="2">
                  <c:v>2718</c:v>
                </c:pt>
                <c:pt idx="3">
                  <c:v>2992</c:v>
                </c:pt>
                <c:pt idx="4">
                  <c:v>3400</c:v>
                </c:pt>
                <c:pt idx="5">
                  <c:v>4026</c:v>
                </c:pt>
                <c:pt idx="6">
                  <c:v>3936</c:v>
                </c:pt>
                <c:pt idx="7">
                  <c:v>4142</c:v>
                </c:pt>
              </c:numCache>
            </c:numRef>
          </c:val>
          <c:smooth val="0"/>
        </c:ser>
        <c:dLbls>
          <c:showLegendKey val="0"/>
          <c:showVal val="0"/>
          <c:showCatName val="0"/>
          <c:showSerName val="0"/>
          <c:showPercent val="0"/>
          <c:showBubbleSize val="0"/>
        </c:dLbls>
        <c:smooth val="0"/>
        <c:axId val="-678914544"/>
        <c:axId val="-678914000"/>
      </c:lineChart>
      <c:catAx>
        <c:axId val="-6789145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Arial Narrow" panose="020B0606020202030204" pitchFamily="2" charset="0"/>
                <a:ea typeface="仿宋_GB2312" pitchFamily="3" charset="-122"/>
                <a:cs typeface="Arial" panose="020B0604020202020204" pitchFamily="2" charset="0"/>
              </a:defRPr>
            </a:pPr>
            <a:endParaRPr lang="zh-CN"/>
          </a:p>
        </c:txPr>
        <c:crossAx val="-678914000"/>
        <c:crosses val="autoZero"/>
        <c:auto val="1"/>
        <c:lblAlgn val="ctr"/>
        <c:lblOffset val="100"/>
        <c:noMultiLvlLbl val="0"/>
      </c:catAx>
      <c:valAx>
        <c:axId val="-6789140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Arial Narrow" panose="020B0606020202030204" pitchFamily="2" charset="0"/>
                <a:ea typeface="仿宋_GB2312" pitchFamily="3" charset="-122"/>
                <a:cs typeface="Arial" panose="020B0604020202020204" pitchFamily="2" charset="0"/>
              </a:defRPr>
            </a:pPr>
            <a:endParaRPr lang="zh-CN"/>
          </a:p>
        </c:txPr>
        <c:crossAx val="-6789145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latin typeface="Arial Narrow" panose="020B0606020202030204" pitchFamily="2" charset="0"/>
          <a:ea typeface="仿宋_GB2312" pitchFamily="3" charset="-122"/>
          <a:cs typeface="Arial" panose="020B0604020202020204" pitchFamily="2" charset="0"/>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396706657504"/>
          <c:y val="5.6323604710701497E-2"/>
          <c:w val="0.72249618364659796"/>
          <c:h val="0.66054565759925199"/>
        </c:manualLayout>
      </c:layout>
      <c:barChart>
        <c:barDir val="col"/>
        <c:grouping val="clustered"/>
        <c:varyColors val="0"/>
        <c:ser>
          <c:idx val="0"/>
          <c:order val="0"/>
          <c:tx>
            <c:strRef>
              <c:f>Sheet1!$B$1</c:f>
              <c:strCache>
                <c:ptCount val="1"/>
                <c:pt idx="0">
                  <c:v>城镇私营单位就业人员年平均工资</c:v>
                </c:pt>
              </c:strCache>
            </c:strRef>
          </c:tx>
          <c:spPr>
            <a:solidFill>
              <a:schemeClr val="accent1"/>
            </a:solidFill>
            <a:ln>
              <a:noFill/>
            </a:ln>
            <a:effectLst/>
          </c:spPr>
          <c:invertIfNegative val="0"/>
          <c:cat>
            <c:strRef>
              <c:f>Sheet1!$A$3:$A$9</c:f>
              <c:strCache>
                <c:ptCount val="7"/>
                <c:pt idx="0">
                  <c:v>FY2017</c:v>
                </c:pt>
                <c:pt idx="1">
                  <c:v>FY2018</c:v>
                </c:pt>
                <c:pt idx="2">
                  <c:v>FY2019</c:v>
                </c:pt>
                <c:pt idx="3">
                  <c:v>FY2020</c:v>
                </c:pt>
                <c:pt idx="4">
                  <c:v>FY2021</c:v>
                </c:pt>
                <c:pt idx="5">
                  <c:v>FY2022</c:v>
                </c:pt>
                <c:pt idx="6">
                  <c:v>FY2023</c:v>
                </c:pt>
              </c:strCache>
            </c:strRef>
          </c:cat>
          <c:val>
            <c:numRef>
              <c:f>Sheet1!$B$3:$B$9</c:f>
              <c:numCache>
                <c:formatCode>General</c:formatCode>
                <c:ptCount val="7"/>
                <c:pt idx="0">
                  <c:v>45761</c:v>
                </c:pt>
                <c:pt idx="1">
                  <c:v>49575</c:v>
                </c:pt>
                <c:pt idx="2">
                  <c:v>53604</c:v>
                </c:pt>
                <c:pt idx="3">
                  <c:v>57727</c:v>
                </c:pt>
                <c:pt idx="4">
                  <c:v>62884</c:v>
                </c:pt>
                <c:pt idx="5">
                  <c:v>65237</c:v>
                </c:pt>
                <c:pt idx="6">
                  <c:v>68340</c:v>
                </c:pt>
              </c:numCache>
            </c:numRef>
          </c:val>
        </c:ser>
        <c:ser>
          <c:idx val="1"/>
          <c:order val="1"/>
          <c:tx>
            <c:strRef>
              <c:f>Sheet1!$C$1</c:f>
              <c:strCache>
                <c:ptCount val="1"/>
                <c:pt idx="0">
                  <c:v>城镇非私营单位就业人员年平均工资</c:v>
                </c:pt>
              </c:strCache>
            </c:strRef>
          </c:tx>
          <c:spPr>
            <a:solidFill>
              <a:schemeClr val="accent3"/>
            </a:solidFill>
            <a:ln>
              <a:noFill/>
            </a:ln>
            <a:effectLst/>
          </c:spPr>
          <c:invertIfNegative val="0"/>
          <c:cat>
            <c:strRef>
              <c:f>Sheet1!$A$3:$A$9</c:f>
              <c:strCache>
                <c:ptCount val="7"/>
                <c:pt idx="0">
                  <c:v>FY2017</c:v>
                </c:pt>
                <c:pt idx="1">
                  <c:v>FY2018</c:v>
                </c:pt>
                <c:pt idx="2">
                  <c:v>FY2019</c:v>
                </c:pt>
                <c:pt idx="3">
                  <c:v>FY2020</c:v>
                </c:pt>
                <c:pt idx="4">
                  <c:v>FY2021</c:v>
                </c:pt>
                <c:pt idx="5">
                  <c:v>FY2022</c:v>
                </c:pt>
                <c:pt idx="6">
                  <c:v>FY2023</c:v>
                </c:pt>
              </c:strCache>
            </c:strRef>
          </c:cat>
          <c:val>
            <c:numRef>
              <c:f>Sheet1!$C$3:$C$9</c:f>
              <c:numCache>
                <c:formatCode>General</c:formatCode>
                <c:ptCount val="7"/>
                <c:pt idx="0">
                  <c:v>74318</c:v>
                </c:pt>
                <c:pt idx="1">
                  <c:v>82461</c:v>
                </c:pt>
                <c:pt idx="2">
                  <c:v>90501</c:v>
                </c:pt>
                <c:pt idx="3">
                  <c:v>97379</c:v>
                </c:pt>
                <c:pt idx="4">
                  <c:v>106837</c:v>
                </c:pt>
                <c:pt idx="5">
                  <c:v>114029</c:v>
                </c:pt>
                <c:pt idx="6">
                  <c:v>120698</c:v>
                </c:pt>
              </c:numCache>
            </c:numRef>
          </c:val>
        </c:ser>
        <c:dLbls>
          <c:showLegendKey val="0"/>
          <c:showVal val="0"/>
          <c:showCatName val="0"/>
          <c:showSerName val="0"/>
          <c:showPercent val="0"/>
          <c:showBubbleSize val="0"/>
        </c:dLbls>
        <c:gapWidth val="219"/>
        <c:axId val="-678925968"/>
        <c:axId val="-839670256"/>
      </c:barChart>
      <c:lineChart>
        <c:grouping val="standard"/>
        <c:varyColors val="0"/>
        <c:ser>
          <c:idx val="2"/>
          <c:order val="2"/>
          <c:tx>
            <c:strRef>
              <c:f>Sheet1!$D$1</c:f>
              <c:strCache>
                <c:ptCount val="1"/>
                <c:pt idx="0">
                  <c:v>私营单位实际增长率</c:v>
                </c:pt>
              </c:strCache>
            </c:strRef>
          </c:tx>
          <c:spPr>
            <a:ln w="28575" cap="rnd">
              <a:solidFill>
                <a:schemeClr val="accent5"/>
              </a:solidFill>
              <a:round/>
            </a:ln>
            <a:effectLst/>
          </c:spPr>
          <c:marker>
            <c:symbol val="none"/>
          </c:marker>
          <c:cat>
            <c:strRef>
              <c:f>Sheet1!$A$3:$A$9</c:f>
              <c:strCache>
                <c:ptCount val="7"/>
                <c:pt idx="0">
                  <c:v>FY2017</c:v>
                </c:pt>
                <c:pt idx="1">
                  <c:v>FY2018</c:v>
                </c:pt>
                <c:pt idx="2">
                  <c:v>FY2019</c:v>
                </c:pt>
                <c:pt idx="3">
                  <c:v>FY2020</c:v>
                </c:pt>
                <c:pt idx="4">
                  <c:v>FY2021</c:v>
                </c:pt>
                <c:pt idx="5">
                  <c:v>FY2022</c:v>
                </c:pt>
                <c:pt idx="6">
                  <c:v>FY2023</c:v>
                </c:pt>
              </c:strCache>
            </c:strRef>
          </c:cat>
          <c:val>
            <c:numRef>
              <c:f>Sheet1!$D$3:$D$9</c:f>
              <c:numCache>
                <c:formatCode>0.00%</c:formatCode>
                <c:ptCount val="7"/>
                <c:pt idx="0" formatCode="0%">
                  <c:v>0.05</c:v>
                </c:pt>
                <c:pt idx="1">
                  <c:v>6.0999999999999999E-2</c:v>
                </c:pt>
                <c:pt idx="2">
                  <c:v>5.1999999999999998E-2</c:v>
                </c:pt>
                <c:pt idx="3">
                  <c:v>5.2999999999999999E-2</c:v>
                </c:pt>
                <c:pt idx="4">
                  <c:v>7.8E-2</c:v>
                </c:pt>
                <c:pt idx="5">
                  <c:v>1.7000000000000001E-2</c:v>
                </c:pt>
                <c:pt idx="6">
                  <c:v>4.4999999999999998E-2</c:v>
                </c:pt>
              </c:numCache>
            </c:numRef>
          </c:val>
          <c:smooth val="0"/>
        </c:ser>
        <c:ser>
          <c:idx val="3"/>
          <c:order val="3"/>
          <c:tx>
            <c:strRef>
              <c:f>Sheet1!$E$1</c:f>
              <c:strCache>
                <c:ptCount val="1"/>
                <c:pt idx="0">
                  <c:v>非私营单位实际增长率</c:v>
                </c:pt>
              </c:strCache>
            </c:strRef>
          </c:tx>
          <c:spPr>
            <a:ln w="28575" cap="rnd">
              <a:solidFill>
                <a:schemeClr val="accent1">
                  <a:lumMod val="60000"/>
                </a:schemeClr>
              </a:solidFill>
              <a:round/>
            </a:ln>
            <a:effectLst/>
          </c:spPr>
          <c:marker>
            <c:symbol val="none"/>
          </c:marker>
          <c:cat>
            <c:strRef>
              <c:f>Sheet1!$A$3:$A$9</c:f>
              <c:strCache>
                <c:ptCount val="7"/>
                <c:pt idx="0">
                  <c:v>FY2017</c:v>
                </c:pt>
                <c:pt idx="1">
                  <c:v>FY2018</c:v>
                </c:pt>
                <c:pt idx="2">
                  <c:v>FY2019</c:v>
                </c:pt>
                <c:pt idx="3">
                  <c:v>FY2020</c:v>
                </c:pt>
                <c:pt idx="4">
                  <c:v>FY2021</c:v>
                </c:pt>
                <c:pt idx="5">
                  <c:v>FY2022</c:v>
                </c:pt>
                <c:pt idx="6">
                  <c:v>FY2023</c:v>
                </c:pt>
              </c:strCache>
            </c:strRef>
          </c:cat>
          <c:val>
            <c:numRef>
              <c:f>Sheet1!$E$3:$E$9</c:f>
              <c:numCache>
                <c:formatCode>0.00%</c:formatCode>
                <c:ptCount val="7"/>
                <c:pt idx="0">
                  <c:v>8.2000000000000003E-2</c:v>
                </c:pt>
                <c:pt idx="1">
                  <c:v>8.3000000000000004E-2</c:v>
                </c:pt>
                <c:pt idx="2">
                  <c:v>6.8000000000000005E-2</c:v>
                </c:pt>
                <c:pt idx="3">
                  <c:v>5.1999999999999998E-2</c:v>
                </c:pt>
                <c:pt idx="4">
                  <c:v>8.5999999999999993E-2</c:v>
                </c:pt>
                <c:pt idx="5">
                  <c:v>4.5999999999999999E-2</c:v>
                </c:pt>
                <c:pt idx="6">
                  <c:v>5.5E-2</c:v>
                </c:pt>
              </c:numCache>
            </c:numRef>
          </c:val>
          <c:smooth val="0"/>
        </c:ser>
        <c:dLbls>
          <c:showLegendKey val="0"/>
          <c:showVal val="0"/>
          <c:showCatName val="0"/>
          <c:showSerName val="0"/>
          <c:showPercent val="0"/>
          <c:showBubbleSize val="0"/>
        </c:dLbls>
        <c:marker val="1"/>
        <c:smooth val="0"/>
        <c:axId val="-839665904"/>
        <c:axId val="-839663184"/>
      </c:lineChart>
      <c:catAx>
        <c:axId val="-678925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crossAx val="-839670256"/>
        <c:crosses val="autoZero"/>
        <c:auto val="1"/>
        <c:lblAlgn val="ctr"/>
        <c:lblOffset val="100"/>
        <c:noMultiLvlLbl val="0"/>
      </c:catAx>
      <c:valAx>
        <c:axId val="-839670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crossAx val="-678925968"/>
        <c:crosses val="autoZero"/>
        <c:crossBetween val="between"/>
      </c:valAx>
      <c:catAx>
        <c:axId val="-839665904"/>
        <c:scaling>
          <c:orientation val="minMax"/>
        </c:scaling>
        <c:delete val="1"/>
        <c:axPos val="b"/>
        <c:numFmt formatCode="General" sourceLinked="1"/>
        <c:majorTickMark val="out"/>
        <c:minorTickMark val="none"/>
        <c:tickLblPos val="nextTo"/>
        <c:crossAx val="-839663184"/>
        <c:crosses val="autoZero"/>
        <c:auto val="1"/>
        <c:lblAlgn val="ctr"/>
        <c:lblOffset val="100"/>
        <c:noMultiLvlLbl val="0"/>
      </c:catAx>
      <c:valAx>
        <c:axId val="-839663184"/>
        <c:scaling>
          <c:orientation val="minMax"/>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crossAx val="-839665904"/>
        <c:crosses val="max"/>
        <c:crossBetween val="between"/>
      </c:valAx>
      <c:spPr>
        <a:noFill/>
        <a:ln>
          <a:noFill/>
        </a:ln>
        <a:effectLst/>
      </c:spPr>
    </c:plotArea>
    <c:legend>
      <c:legendPos val="b"/>
      <c:layout>
        <c:manualLayout>
          <c:xMode val="edge"/>
          <c:yMode val="edge"/>
          <c:x val="1.5656124263614301E-2"/>
          <c:y val="0.81657857283968505"/>
          <c:w val="0.95802798134576905"/>
          <c:h val="0.15269946095447701"/>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latin typeface="仿宋_GB2312" pitchFamily="3" charset="-122"/>
          <a:ea typeface="仿宋_GB2312" pitchFamily="3" charset="-122"/>
          <a:cs typeface="Verdana" panose="020B0604030504040204" pitchFamily="2" charset="0"/>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4">
  <a:schemeClr val="accent1"/>
</cs:colorStyle>
</file>

<file path=word/charts/colors5.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Deloitte">
      <a:dk1>
        <a:srgbClr val="000000"/>
      </a:dk1>
      <a:lt1>
        <a:srgbClr val="FFFFFF"/>
      </a:lt1>
      <a:dk2>
        <a:srgbClr val="002776"/>
      </a:dk2>
      <a:lt2>
        <a:srgbClr val="FFFFFF"/>
      </a:lt2>
      <a:accent1>
        <a:srgbClr val="002776"/>
      </a:accent1>
      <a:accent2>
        <a:srgbClr val="92D400"/>
      </a:accent2>
      <a:accent3>
        <a:srgbClr val="00A1DE"/>
      </a:accent3>
      <a:accent4>
        <a:srgbClr val="3C8A2E"/>
      </a:accent4>
      <a:accent5>
        <a:srgbClr val="72C7E7"/>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72A5F0-FD46-4671-8B34-125FC6A03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6171</Words>
  <Characters>35180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Deloitte Touche Tohmatsu Services, Inc.</Company>
  <LinksUpToDate>false</LinksUpToDate>
  <CharactersWithSpaces>41269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2024-10-30T08:40:00Z</dcterms:created>
  <dc:creator>Deng Lillian</dc:creator>
  <cp:lastModifiedBy>LD</cp:lastModifiedBy>
  <cp:lastPrinted>2024-06-12T08:17:00Z</cp:lastPrinted>
  <dcterms:modified xsi:type="dcterms:W3CDTF">2024-10-30T08:40:00Z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-199500528</vt:i4>
  </property>
  <property fmtid="{D5CDD505-2E9C-101B-9397-08002B2CF9AE}" pid="3" name="KSOProductBuildVer">
    <vt:lpwstr>2052-12.1.0.16929</vt:lpwstr>
  </property>
  <property fmtid="{D5CDD505-2E9C-101B-9397-08002B2CF9AE}" pid="4" name="ICV">
    <vt:lpwstr>98DF868315294132B4C162A1866CF202_13</vt:lpwstr>
  </property>
</Properties>
</file>