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{{清单模板-数据表-B1}}</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2023财务年度（截至 2023年 12 月 31 日）</w:t>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 AQAADwAAAGRycy9kb3ducmV2LnhtbE2PwU7DMBBE70j8g7VI3FrbNA0Q4vSA1BNwoEXiuo23SURs h9hpw9+znOhxZ0azb8rN7HpxojF2wRvQSwWCfB1s5xsDH/vt4gFETOgt9sGTgR+KsKmur0osbDj7 dzrtUiO4xMcCDbQpDYWUsW7JYVyGgTx7xzA6THyOjbQjnrnc9fJOqVw67Dx/aHGg55bqr93kDGCe 2e+34+p1/zLl+NjMarv+VMbc3mj1BCLRnP7D8IfP6FAx0yFM3kbRG1horXLOsqPXKw2CM5m65zkH lrKcTVmV8nJG9QtQSwMEFAAAAAgAh07iQApdSR8SAgAAKgQAAA4AAABkcnMvZTJvRG9jLnhtbK1T wW7bMAy9D9g/CLovjt2ka4w4RZEgw4BuK9btAxRZtoXJokYpcbqvHyWnWdZdepgPhiiST+89Ucvb Y2/YQaHXYCueT6acKSuh1rat+Pdv23c3nPkgbC0MWFXxJ+X57ertm+XgSlVAB6ZWyAjE+nJwFe9C cGWWedmpXvgJOGUp2QD2IlCIbVajGAi9N1kxnV5nA2DtEKTynnY3Y5KfEPE1gNA0WqoNyH2vbBhR URkRSJLvtPN8ldg2jZLhS9N4FZipOCkN6U+H0HoX/9lqKcoWheu0PFEQr6HwQlMvtKVDz1AbEQTb o/4HqtcSwUMTJhL6bBSSHCEV+fSFN4+dcCppIau9O5vu/x+s/Hx4QKbris85s6KnC/9KpgnbGsWu oj2D8yVVPboHjAK9uwf5wzML646q1B0iDJ0SNZHKY332V0MMPLWy3fAJakIX+wDJqWODfQQkD9gx XcjT+ULUMTBJm1fFIr+Z0V1JyuWLeXFdzNMZonxud+jDBwU9i4uKI5FP8OJw70OkI8rnkkQfjK63 2pgUYLtbG2QHQdOxTd8J3V+WGRuLLcS2ETHuJJ1R2mjRDuonkokwjhg9MFp0gL84G2i8Ku5/7gUq zsxHS1Yt8lnUFVIwm78vKMDLzO4yI6wkqIoHzsblOowzvHeo245OypNoC3dkb6OT8Gj9yOpElkYo +XEa9zijl3Gq+vPEV7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QSXctNkAAAAOAQAADwAAAAAA AAABACAAAAAiAAAAZHJzL2Rvd25yZXYueG1sUEsBAhQAFAAAAAgAh07iQApdSR8SAgAAKgQAAA4A AAAAAAAAAQAgAAAAKAEAAGRycy9lMm9Eb2MueG1sUEsFBgAAAAAGAAYAWQEAAKwFAAAAAA== ">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{{清单模板-数据表-B1}}声明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本公司根据以下规定准备2023年度同期资料的本地文档（以下简称“本报告”）：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本报告的目的在于从中国特别纳税调整税制的角度，分析本公司2023年度与关联方之间关联交易定价的合理性。为此，本公司按以下规定以及程序准备本报告：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《中华人民共和国企业所得税法》及其实施条例</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《中华人民共和国税收征收管理法》及其实施细则</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《国家税务总局关于完善关联申报和同期资料管理有关事项的公告》（国家税务总局2016年第42号公告，以下简称“[2016]42号公告”）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《国家税务总局关于发布&lt;特别纳税调查调整及相互协商程序管理办法&gt;的公告》（国家税务总局2017年第6号公告，以下简称“[2017]6号公告”）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整理本公司基本资料信息，包括公司及所属集团的组织结构、企业生产经营情况、以及企业所处的行业分析等；</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整理本公司关联交易的资料，包括关联交易情况、关联交易业务流程、与关联公司签订的合同、关联交易的定价情况及其他相关信息；</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分析本公司和关联公司在关联业务往来中各自承担的功能和风险；</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比较分析并选择适当的关联交易转让定价方法，用以分析和验证本公司与关联公司交易定价的合理性；</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 选取可比企业，说明可比信息来源、可比企业选择过程，实施经济分析；</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 运用合理的转让定价方法和可比性分析结果，确定可比非关联交易利润，确定正常情况下本公司与关联公司关联交易定价的合理范围；</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 根据以上实施程序，制作本报告。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地址：邮编：</w:t>
      </w:r>
      <w:r>
        <w:rPr>
          <w:rFonts w:ascii="Arial Narrow" w:eastAsia="仿宋_GB2312" w:hAnsi="Arial Narrow" w:cs="Arial"/>
          <w:sz w:val="22"/>
          <w:szCs w:val="22"/>
        </w:rPr>
        <w:tab/>
        <w:t/>
      </w:r>
      <w:r>
        <w:rPr>
          <w:rFonts w:ascii="Arial Narrow" w:eastAsia="仿宋_GB2312" w:hAnsi="Arial Narrow" w:cs="Arial"/>
          <w:sz w:val="22"/>
          <w:szCs w:val="22"/>
        </w:rPr>
        <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电话：传真：</w:t>
      </w:r>
      <w:r>
        <w:rPr>
          <w:rFonts w:ascii="Arial Narrow" w:eastAsia="仿宋_GB2312" w:hAnsi="Arial Narrow" w:cs="Arial"/>
          <w:sz w:val="22"/>
          <w:szCs w:val="22"/>
        </w:rPr>
        <w:tab/>
        <w:t/>
      </w:r>
      <w:r>
        <w:rPr>
          <w:rFonts w:ascii="Arial Narrow" w:eastAsia="仿宋_GB2312" w:hAnsi="Arial Narrow" w:cs="Arial"/>
          <w:sz w:val="22"/>
          <w:szCs w:val="22"/>
        </w:rPr>
        <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声明单位（盖章）：法定代表人（签章）：</w:t>
      </w:r>
      <w:r>
        <w:rPr>
          <w:rFonts w:ascii="Arial Narrow" w:eastAsia="仿宋_GB2312" w:hAnsi="Arial Narrow" w:cs="Arial"/>
          <w:sz w:val="22"/>
          <w:szCs w:val="22"/>
        </w:rPr>
        <w:tab/>
        <w:t/>
      </w:r>
      <w:r>
        <w:rPr>
          <w:rFonts w:ascii="Arial Narrow" w:eastAsia="仿宋_GB2312" w:hAnsi="Arial Narrow" w:cs="Arial"/>
          <w:sz w:val="22"/>
          <w:szCs w:val="22"/>
        </w:rPr>
        <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t>日期：年月日</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以下是{{清单模板-数据表-B1}}2023年度关联交易同期资料本地文档报告内容与[2016]42号公告第十四条规定的本地文档内容对照表。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1.关联交易概况</w:t>
            </w:r>
            <w:r>
              <w:rPr>
                <w:rFonts w:ascii="Arial Narrow" w:eastAsia="仿宋_GB2312" w:hAnsi="Arial Narrow" w:cs="Arial"/>
                <w:sz w:val="20"/>
                <w:szCs w:val="20"/>
                <w:lang w:eastAsia="zh-CN"/>
              </w:rPr>
              <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附件2</w:t>
            </w:r>
            <w:r>
              <w:rPr>
                <w:rFonts w:ascii="Arial Narrow" w:eastAsia="仿宋_GB2312" w:hAnsi="Arial Narrow" w:cs="Arial"/>
                <w:sz w:val="20"/>
                <w:szCs w:val="20"/>
                <w:lang w:eastAsia="zh-CN"/>
              </w:rPr>
              <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2.价值链分析</w:t>
            </w:r>
            <w:r>
              <w:rPr>
                <w:rFonts w:ascii="Arial Narrow" w:eastAsia="仿宋_GB2312" w:hAnsi="Arial Narrow" w:cs="Arial"/>
                <w:sz w:val="20"/>
                <w:szCs w:val="20"/>
                <w:lang w:eastAsia="zh-CN"/>
              </w:rPr>
              <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3.对外投资</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4.关联股权转让</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5.关联劳务</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6.预约定价安排和作出的其他税收裁定</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附件3</w:t>
            </w:r>
            <w:r>
              <w:rPr>
                <w:rFonts w:ascii="Arial Narrow" w:eastAsia="仿宋_GB2312" w:hAnsi="Arial Narrow" w:cs="Arial"/>
                <w:sz w:val="20"/>
                <w:szCs w:val="20"/>
                <w:lang w:eastAsia="zh-CN"/>
              </w:rPr>
              <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附件4</w:t>
            </w:r>
            <w:r>
              <w:rPr>
                <w:rFonts w:ascii="Arial Narrow" w:eastAsia="仿宋_GB2312" w:hAnsi="Arial Narrow" w:cs="Arial"/>
                <w:sz w:val="20"/>
                <w:szCs w:val="20"/>
                <w:lang w:eastAsia="zh-CN"/>
              </w:rPr>
              <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附件1</w:t>
            </w:r>
            <w:r>
              <w:rPr>
                <w:rFonts w:ascii="Arial Narrow" w:eastAsia="仿宋_GB2312" w:hAnsi="Arial Narrow" w:cs="Arial"/>
                <w:sz w:val="20"/>
                <w:szCs w:val="20"/>
                <w:lang w:eastAsia="zh-CN"/>
              </w:rPr>
              <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立信或我们</w:t>
            </w:r>
            <w:r>
              <w:rPr>
                <w:rFonts w:ascii="Arial Narrow" w:eastAsia="仿宋_GB2312" w:hAnsi="Arial Narrow" w:cs="Arial"/>
                <w:sz w:val="22"/>
                <w:szCs w:val="22"/>
              </w:rPr>
              <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{{清单模板-数据表-B3}}</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松莉科技或贵公司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{{清单模板-数据表-B1}}</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Markwins集团</w:t>
            </w:r>
            <w:r>
              <w:rPr>
                <w:rFonts w:ascii="Arial Narrow" w:eastAsia="仿宋_GB2312" w:hAnsi="Arial Narrow" w:cs="Arial"/>
                <w:sz w:val="22"/>
                <w:szCs w:val="22"/>
              </w:rPr>
              <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{{清单模板-数据表-B6}}及其关联公司</w:t>
            </w:r>
            <w:r>
              <w:rPr>
                <w:rFonts w:ascii="Arial Narrow" w:eastAsia="仿宋_GB2312" w:hAnsi="Arial Narrow" w:cs="Arial"/>
                <w:sz w:val="22"/>
                <w:szCs w:val="22"/>
              </w:rPr>
              <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评估期间或2023年度</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2023年1月1日至2023年12月31日</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[2016]42号公告</w:t>
            </w:r>
            <w:r>
              <w:rPr>
                <w:rFonts w:ascii="Arial Narrow" w:eastAsia="仿宋_GB2312" w:hAnsi="Arial Narrow" w:cs="Arial"/>
                <w:sz w:val="22"/>
                <w:szCs w:val="22"/>
              </w:rPr>
              <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国家税务总局公告2016年第42号《关于完善关联申报和同期资料管理有关事项的公告》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[2017]6号公告</w:t>
            </w:r>
            <w:r>
              <w:rPr>
                <w:rFonts w:ascii="Arial Narrow" w:eastAsia="仿宋_GB2312" w:hAnsi="Arial Narrow" w:cs="Arial"/>
                <w:sz w:val="22"/>
                <w:szCs w:val="22"/>
              </w:rPr>
              <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国家税务总局公告2017年第6号关于发布《特别纳税调查调整及相互协商程序管理办法》的公告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OECD或经合组织</w:t>
            </w:r>
            <w:r>
              <w:rPr>
                <w:rFonts w:ascii="Arial Narrow" w:eastAsia="仿宋_GB2312" w:hAnsi="Arial Narrow" w:cs="Arial"/>
                <w:sz w:val="22"/>
                <w:szCs w:val="22"/>
              </w:rPr>
              <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OECD指南</w:t>
            </w:r>
            <w:r>
              <w:rPr>
                <w:rFonts w:ascii="Arial Narrow" w:eastAsia="仿宋_GB2312" w:hAnsi="Arial Narrow" w:cs="Arial"/>
                <w:sz w:val="22"/>
                <w:szCs w:val="22"/>
              </w:rPr>
              <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《OECD跨国企业与税务机关转让定价指南》</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SIC代码</w:t>
            </w:r>
            <w:r>
              <w:rPr>
                <w:rFonts w:ascii="Arial Narrow" w:eastAsia="仿宋_GB2312" w:hAnsi="Arial Narrow" w:cs="Arial"/>
                <w:sz w:val="22"/>
                <w:szCs w:val="22"/>
              </w:rPr>
              <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清单模板-数据表-B3}}（以下简称“立信”或“我们”）受{{清单模板-数据表-B1}}（以下简称“松莉科技”或“贵公司”）的委托，协助准备2023财务年度（以下简称“评估期间”或“2023年度”）的关联交易同期资料的本地文档报告（以下简称“本报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2023年度，松莉科技和其境内外关联方进行了一系列关联交易，交易类型为关联购销交易。由于松莉科技与关联方之间的关联购销交易合计金额为人民币 295,427,614.07元，因此松莉科技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依照[2016]42号公告第14条的相关规定，本报告作为松莉科技2023年度的同期资料本地文档，旨在对其与其关联方在评估期间发生的受测关联交易进行分析和说明。</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松莉科技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松莉科技与境内外关联方的关联购销交易。</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上述关联交易，以下简称“受测关联交易”。其他任何涉及松莉科技和其他关联公司或分支机构的关联交易不在本报告的分析范围内。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ascii="Arial Narrow" w:eastAsia="仿宋_GB2312" w:hAnsi="Arial Narrow" w:cs="Arial" w:hint="eastAsia"/>
          <w:sz w:val="22"/>
          <w:szCs w:val="22"/>
        </w:rPr>
        <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此外，松莉科技拥有全部的生产和测试所需的有形资产，不拥有核心技术专利及品牌等有价值的无形资产。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在整个集团经营活动中，松莉科技执行上述功能并且承担上述风险，其在集团价值链中的主要角色主要为承担一定功能及风险的合约生产制造商。</w:t>
      </w:r>
      <w:r>
        <w:rPr>
          <w:rFonts w:ascii="Arial Narrow" w:eastAsia="仿宋_GB2312" w:hAnsi="Arial Narrow" w:cs="Arial" w:hint="eastAsia"/>
          <w:sz w:val="22"/>
          <w:szCs w:val="22"/>
        </w:rPr>
        <w:t/>
      </w:r>
      <w:bookmarkEnd w:id="151"/>
      <w:bookmarkEnd w:id="152"/>
    </w:p>
    <w:p w14:paraId="19E0F06E" w14:textId="77777777" w:rsidR="004D1721" w:rsidRDefault="009B16BC">
      <w:pPr>
        <w:pStyle w:val="Heading2"/>
      </w:pPr>
      <w:bookmarkStart w:id="153" w:name="_Toc140505099"/>
      <w:bookmarkStart w:id="154" w:name="_Toc53229050"/>
      <w:r>
        <w:t>经济分析总结 —— 对受测关联交易的分析</w:t>
      </w:r>
      <w:r>
        <w:t xml:space="preserve"/>
      </w:r>
      <w:bookmarkStart w:id="155" w:name="_Toc447817171"/>
      <w:bookmarkStart w:id="156" w:name="_Toc15689"/>
      <w:bookmarkStart w:id="157" w:name="_Toc435807829"/>
      <w:r>
        <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松莉科技对集团整体利润或者剩余利润所做的贡献，以及其所承担的功能风险，对中国转让定价法规以及《OECD转让定价指南》中列明的常用转让定价评估方法进行了比较和研究。我们最终选择松莉科技作为验证对象，选用交易净利润法作为分析方法，以完全成本加成率作为利润水平指标对松莉科技的受测关联交易和转让定价进行了评估。</w:t>
      </w:r>
      <w:bookmarkStart w:id="158" w:name="OLE_LINK1"/>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158"/>
      <w:r>
        <w:rPr>
          <w:rFonts w:ascii="Arial Narrow" w:eastAsia="仿宋_GB2312" w:hAnsi="Arial Narrow" w:cs="Arial"/>
          <w:sz w:val="22"/>
          <w:szCs w:val="22"/>
        </w:rPr>
        <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本报告的被验证对象从而分析其完全成本加成率，主要由于在关联交易中，相对于关联方，松莉科技的功能风险相对简单，利润水平可以被有效地确定。因此，我们选择松莉科技作为本报告的被验证对象。我们通过选取与松莉科技在受测关联交易中从事相似业务的非受控公司，分析其财务数据，建立了一组符合独立交易原则的利润率区间。</w:t>
      </w:r>
      <w:r>
        <w:rPr>
          <w:rFonts w:ascii="Arial Narrow" w:eastAsia="仿宋_GB2312" w:hAnsi="Arial Narrow" w:cs="Arial" w:hint="eastAsia"/>
          <w:sz w:val="22"/>
          <w:szCs w:val="22"/>
        </w:rPr>
        <w:t/>
      </w:r>
      <w:r>
        <w:rPr>
          <w:rFonts w:ascii="Arial Narrow" w:eastAsia="仿宋_GB2312" w:hAnsi="Arial Narrow" w:cs="Arial"/>
          <w:sz w:val="22"/>
          <w:szCs w:val="22"/>
        </w:rPr>
        <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选取的可比非受控公司样本在2020到2022财务年度（“财年”）实现的加权平均完全成本加成率水平总结如下：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 1：完全成本加成率的独立交易区间（2020财年到2022财年）</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可比公司数量</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{{清单模板-PL-12行以上的表格内容}}</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上四分位数</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{{清单模板-PL-12行以上的表格内容}}</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{{清单模板-PL-12行以上的表格内容}}</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{{清单模板-PL-12行以上的表格内容}}</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2020到2022财年加权平均完全成本加成率独立交易区间为0.59%到7.29%，中位值为1.39%。松莉科技2023年的完全成本加成率为5.25%，位于可比非受控公司在2020到2022财年加权平均完全成本加成率的四分位区间之内，且高于中位值。</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因此，从中国转让定价角度，松莉科技在2023年受测关联交易中的转让定价安排符合独立交易原则。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001E2AB3">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松莉科技及其关联方在转让定价调查中免于税务调整的保证。但本报告应可以为松莉科技提供良好的文件支持以应对中国税务机关对松莉科技转让定价安排的初步质询，并有助松莉科技向税务机关展示其严肃对待纳税义务的努力。本报告所引用的松莉科技的数据均来源于松莉科技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立信根据截止于报告提交日由松莉科技提供的相关事实而准备的。本报告以特定的事实和情况为基础，可能不适用于松莉科技之外的第三方。我们在准备本报告时仅从与松莉科技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sz w:val="22"/>
          <w:szCs w:val="22"/>
        </w:rPr>
        <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本报告是依照[2016]42号公告第14条对同期资料的相关规定而准备，松莉科技可以在中国税务机关要求的情况下将本报告提交给中国税务机关。</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t/>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松莉科技成立于2018年11月29日，经营期限为50年，注册资本为美元4,000万元，主要从事化妆品生产经营业务。松莉科技的基本信息详见下表。</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 2：松莉科技基本信息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bookmarkEnd w:id="201"/>
      <w:r>
        <w:rPr>
          <w:rFonts w:ascii="Arial Narrow" w:eastAsia="仿宋_GB2312" w:hAnsi="Arial Narrow" w:cs="Arial"/>
          <w:sz w:val="22"/>
        </w:rPr>
        <w:t/>
      </w:r>
      <w:r>
        <w:rPr>
          <w:rFonts w:ascii="Arial Narrow" w:eastAsia="仿宋_GB2312" w:hAnsi="Arial Narrow" w:cs="Arial"/>
          <w:sz w:val="22"/>
          <w:szCs w:val="22"/>
        </w:rPr>
        <w:t/>
      </w:r>
      <w:r>
        <w:rPr>
          <w:rFonts w:ascii="Arial Narrow" w:eastAsia="仿宋_GB2312" w:hAnsi="Arial Narrow" w:cs="Arial"/>
          <w:sz w:val="22"/>
        </w:rPr>
        <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{{清单模板-数据表-B1}}</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上海市奉贤区芝云路168号7幢1层B区、2层、3层</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2018年11月29日</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50年</w:t>
            </w:r>
            <w:r>
              <w:rPr>
                <w:rFonts w:ascii="Arial Narrow" w:eastAsia="仿宋_GB2312" w:hAnsi="Arial Narrow" w:cs="Arial"/>
                <w:color w:val="000000"/>
                <w:sz w:val="22"/>
                <w:szCs w:val="22"/>
              </w:rPr>
              <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4,000万美元</w:t>
            </w:r>
            <w:r>
              <w:rPr>
                <w:rFonts w:ascii="Arial Narrow" w:eastAsia="仿宋_GB2312" w:hAnsi="Arial Narrow" w:cs="Arial"/>
                <w:color w:val="000000"/>
                <w:sz w:val="22"/>
                <w:szCs w:val="22"/>
              </w:rPr>
              <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2023年度适用的企业所得税率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信息来源：松莉科技营业执照及2023年度审计报告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截至2023年12月31日，松莉科技的管理组织结构显示如下：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 3：松莉科技的组织结构图</w:t>
      </w:r>
      <w:r>
        <w:rPr>
          <w:rFonts w:ascii="Arial Narrow" w:eastAsia="仿宋_GB2312" w:hAnsi="Arial Narrow" w:cs="Arial"/>
          <w:b/>
          <w:bCs/>
          <w:sz w:val="22"/>
        </w:rPr>
        <w:t xml:space="preserve"/>
      </w:r>
      <w:r>
        <w:rPr>
          <w:rFonts w:ascii="Arial Narrow" w:eastAsia="仿宋_GB2312" w:hAnsi="Arial Narrow" w:cs="Arial"/>
          <w:b/>
          <w:bCs/>
          <w:sz w:val="22"/>
        </w:rPr>
        <w:fldChar w:fldCharType="begin"/>
        <w:t/>
      </w:r>
      <w:r>
        <w:rPr>
          <w:rFonts w:ascii="Arial Narrow" w:eastAsia="仿宋_GB2312" w:hAnsi="Arial Narrow" w:cs="Arial"/>
          <w:b/>
          <w:bCs/>
          <w:sz w:val="22"/>
        </w:rPr>
        <w:instrText xml:space="preserve"> SEQ </w:instrText>
        <w:t/>
      </w:r>
      <w:r>
        <w:rPr>
          <w:rFonts w:ascii="Arial Narrow" w:eastAsia="仿宋_GB2312" w:hAnsi="Arial Narrow" w:cs="Arial"/>
          <w:b/>
          <w:bCs/>
          <w:sz w:val="22"/>
        </w:rPr>
        <w:instrText>图表</w:instrText>
        <w:t/>
      </w:r>
      <w:r>
        <w:rPr>
          <w:rFonts w:ascii="Arial Narrow" w:eastAsia="仿宋_GB2312" w:hAnsi="Arial Narrow" w:cs="Arial"/>
          <w:b/>
          <w:bCs/>
          <w:sz w:val="22"/>
        </w:rPr>
        <w:instrText xml:space="preserve"> \* ARABIC </w:instrText>
        <w:t/>
      </w:r>
      <w:r>
        <w:rPr>
          <w:rFonts w:ascii="Arial Narrow" w:eastAsia="仿宋_GB2312" w:hAnsi="Arial Narrow" w:cs="Arial"/>
          <w:b/>
          <w:bCs/>
          <w:sz w:val="22"/>
        </w:rPr>
        <w:fldChar w:fldCharType="separate"/>
        <w:t/>
      </w:r>
      <w:r>
        <w:rPr>
          <w:rFonts w:ascii="Arial Narrow" w:eastAsia="仿宋_GB2312" w:hAnsi="Arial Narrow" w:cs="Arial"/>
          <w:b/>
          <w:bCs/>
          <w:sz w:val="22"/>
        </w:rPr>
        <w:t/>
      </w:r>
      <w:r>
        <w:rPr>
          <w:rFonts w:ascii="Arial Narrow" w:eastAsia="仿宋_GB2312" w:hAnsi="Arial Narrow" w:cs="Arial"/>
          <w:b/>
          <w:bCs/>
          <w:sz w:val="22"/>
        </w:rPr>
        <w:fldChar w:fldCharType="end"/>
        <w:t/>
      </w:r>
      <w:r>
        <w:rPr>
          <w:rFonts w:ascii="Arial Narrow" w:eastAsia="仿宋_GB2312" w:hAnsi="Arial Narrow" w:cs="Arial"/>
          <w:b/>
          <w:bCs/>
          <w:sz w:val="22"/>
        </w:rPr>
        <w:t/>
      </w:r>
      <w:r>
        <w:rPr>
          <w:rFonts w:ascii="Arial Narrow" w:eastAsia="仿宋_GB2312" w:hAnsi="Arial Narrow" w:cs="Arial"/>
          <w:b/>
          <w:sz w:val="22"/>
        </w:rPr>
        <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截至2023年12月31日，松莉科技的主要业务部门、职责范围显示如下：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 4：松莉科技的部门结构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汇报对象主要办公地（注*）</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生产计划/进度调度控制；物料管控</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资材部</w:t>
            </w:r>
            <w:r>
              <w:rPr>
                <w:rFonts w:ascii="Arial Narrow" w:eastAsia="仿宋_GB2312" w:hAnsi="Arial Narrow" w:cs="Arial" w:hint="eastAsia"/>
                <w:sz w:val="22"/>
                <w:szCs w:val="22"/>
              </w:rPr>
              <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23</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货物出入库管理与存货保管盘点，存储空间/环境管理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采购部</w:t>
            </w:r>
            <w:r>
              <w:rPr>
                <w:rFonts w:ascii="Arial Narrow" w:eastAsia="仿宋_GB2312" w:hAnsi="Arial Narrow" w:cs="Arial" w:hint="eastAsia"/>
                <w:sz w:val="22"/>
                <w:szCs w:val="22"/>
              </w:rPr>
              <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关务部</w:t>
            </w:r>
            <w:r>
              <w:rPr>
                <w:rFonts w:ascii="Arial Narrow" w:eastAsia="仿宋_GB2312" w:hAnsi="Arial Narrow" w:cs="Arial" w:hint="eastAsia"/>
                <w:sz w:val="22"/>
                <w:szCs w:val="22"/>
              </w:rPr>
              <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基础数据维护，IE工程管理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评估期间，松莉科技主要生产Markwins 集团旗下品牌的化妆品，主要产品包括Physicians Formula品牌化妆品、Wet n Wild品牌化妆品LiP SMACKER品牌润唇膏等。</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 Formula品牌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 n Wild品牌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5：松莉科技部分产品示意图</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信息来源：Markwins 集团官网</w:t>
      </w:r>
      <w:r>
        <w:rPr>
          <w:rFonts w:ascii="Arial Narrow" w:eastAsia="仿宋_GB2312" w:hAnsi="Arial Narrow" w:cs="Arial" w:hint="eastAsia"/>
          <w:i/>
          <w:iCs/>
          <w:sz w:val="16"/>
          <w:szCs w:val="16"/>
        </w:rPr>
        <w:t xml:space="preserve"/>
      </w:r>
      <w:r>
        <w:rPr>
          <w:rFonts w:ascii="Arial Narrow" w:eastAsia="仿宋_GB2312" w:hAnsi="Arial Narrow" w:cs="Arial" w:hint="eastAsia"/>
          <w:i/>
          <w:iCs/>
          <w:sz w:val="16"/>
          <w:szCs w:val="16"/>
        </w:rPr>
        <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下表列示了2023年度松莉科技的具体财务状况。</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6：松莉科技财务状况</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金额（人民币元）</w:t>
            </w:r>
            <w:r>
              <w:rPr>
                <w:rFonts w:ascii="Arial Narrow" w:eastAsia="仿宋_GB2312" w:hAnsi="Arial Narrow" w:cs="Arial" w:hint="eastAsia"/>
                <w:b/>
                <w:bCs/>
                <w:color w:val="FFFFFF" w:themeColor="background1"/>
                <w:sz w:val="22"/>
                <w:szCs w:val="22"/>
              </w:rPr>
              <w:t/>
            </w:r>
            <w:r>
              <w:rPr>
                <w:rFonts w:ascii="Arial Narrow" w:eastAsia="仿宋_GB2312" w:hAnsi="Arial Narrow" w:cs="Arial"/>
                <w:b/>
                <w:bCs/>
                <w:color w:val="FFFFFF" w:themeColor="background1"/>
                <w:sz w:val="22"/>
                <w:szCs w:val="22"/>
              </w:rPr>
              <w:t/>
            </w:r>
            <w:r>
              <w:rPr>
                <w:rFonts w:ascii="Arial Narrow" w:eastAsia="仿宋_GB2312" w:hAnsi="Arial Narrow" w:cs="Arial" w:hint="eastAsia"/>
                <w:b/>
                <w:bCs/>
                <w:color w:val="FFFFFF" w:themeColor="background1"/>
                <w:sz w:val="22"/>
                <w:szCs w:val="22"/>
              </w:rPr>
              <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营业收入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{{清单模板-PL}}</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{{清单模板-PL}}</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{{清单模板-PL}}</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{{清单模板-PL}}</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管理费用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{{清单模板-PL}}</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{{清单模板-PL}}</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{{清单模板-PL}}</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{{清单模板-PL}}</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信息来源：松莉科技2023年度审计报告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评估期间，松莉科技未发生重组和无形资产转让的情况，无重大对外投资，也无关联股权转让。企业的经营状况未受到重大影响 。</w:t>
      </w:r>
      <w:r>
        <w:rPr>
          <w:rFonts w:ascii="Arial Narrow" w:eastAsia="仿宋_GB2312" w:hAnsi="Arial Narrow" w:cs="Arial"/>
          <w:sz w:val="22"/>
          <w:szCs w:val="22"/>
        </w:rPr>
        <w:t xml:space="preserve"/>
      </w:r>
      <w:bookmarkStart w:id="239" w:name="_Toc261811243"/>
      <w:bookmarkStart w:id="240" w:name="_Toc262024930"/>
      <w:bookmarkEnd w:id="232"/>
      <w:bookmarkEnd w:id="233"/>
      <w:bookmarkEnd w:id="234"/>
      <w:r>
        <w:rPr>
          <w:rFonts w:ascii="Arial Narrow" w:eastAsia="仿宋_GB2312" w:hAnsi="Arial Narrow" w:cs="Arial"/>
          <w:sz w:val="22"/>
          <w:szCs w:val="22"/>
        </w:rPr>
        <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Fonts w:ascii="Arial Narrow" w:eastAsia="仿宋_GB2312" w:hAnsi="Arial Narrow" w:cs="Arial"/>
          <w:sz w:val="22"/>
          <w:szCs w:val="22"/>
        </w:rPr>
        <w:t/>
      </w:r>
      <w:r>
        <w:rPr>
          <w:rFonts w:ascii="Arial Narrow" w:eastAsia="仿宋_GB2312" w:hAnsi="Arial Narrow" w:cs="Arial"/>
          <w:sz w:val="22"/>
          <w:szCs w:val="22"/>
        </w:rPr>
        <w:t/>
      </w:r>
      <w:r>
        <w:rPr>
          <w:rStyle w:val="FootnoteReference"/>
          <w:rFonts w:ascii="Arial Narrow" w:eastAsia="仿宋_GB2312" w:hAnsi="Arial Narrow" w:cs="Arial"/>
          <w:sz w:val="22"/>
          <w:szCs w:val="22"/>
        </w:rPr>
        <w:footnoteReference w:id="2"/>
        <w:t/>
      </w:r>
      <w:r>
        <w:rPr>
          <w:rFonts w:ascii="Arial Narrow" w:eastAsia="仿宋_GB2312" w:hAnsi="Arial Narrow" w:cs="Arial"/>
          <w:sz w:val="22"/>
          <w:szCs w:val="22"/>
        </w:rPr>
        <w:t xml:space="preserve"/>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因此，我们将对松莉科技相关的行业领域，即化妆品行业，进行分析。分析的具体方面如下：</w:t>
      </w:r>
      <w:r>
        <w:rPr>
          <w:rFonts w:ascii="Arial Narrow" w:eastAsia="仿宋_GB2312" w:hAnsi="Arial Narrow" w:cs="Arial" w:hint="eastAsia"/>
          <w:sz w:val="22"/>
          <w:szCs w:val="22"/>
        </w:rPr>
        <w:t/>
      </w:r>
      <w:r>
        <w:rPr>
          <w:rFonts w:ascii="Arial Narrow" w:eastAsia="仿宋_GB2312" w:hAnsi="Arial Narrow" w:cs="Arial"/>
          <w:sz w:val="22"/>
          <w:szCs w:val="22"/>
        </w:rPr>
        <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t/>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-2023年，全球化妆品市场规模快速回升，2023年全球化妆品市场规模达到近十年最大值，为6,070.0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7：2021-2026年全球化妆品市场规模情况（单位：亿美元）&amp;</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Style w:val="FootnoteReference"/>
          <w:rFonts w:ascii="Arial Narrow" w:eastAsia="仿宋_GB2312" w:hAnsi="Arial Narrow" w:cs="Arial"/>
          <w:sz w:val="22"/>
        </w:rPr>
        <w:footnoteReference w:id="4"/>
        <w:t/>
      </w:r>
      <w:r>
        <w:rPr>
          <w:rStyle w:val="FootnoteReference"/>
        </w:rPr>
        <w:t/>
      </w:r>
      <w:r>
        <w:rPr>
          <w:rStyle w:val="FootnoteReference"/>
          <w:rFonts w:ascii="Arial Narrow" w:eastAsia="仿宋_GB2312" w:hAnsi="Arial Narrow" w:cs="Arial"/>
          <w:sz w:val="22"/>
        </w:rPr>
        <w:footnoteReference w:id="5"/>
        <w:t/>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-2023年，护肤类产品销售占比始终保持第一位，2023年护肤类产品市场规模占比36.9%，市场规模为2,239.83亿美元。护发用品销售占比第二，占比22.7%，市场规模为1,377.89亿美元；彩妆市场及香水市场规模占比分别为18.3%及11.9%，市场规模分别为1,110.81亿美元及722.33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8：2023年全球化妆品消费国市场份额</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r>
        <w:rPr>
          <w:rStyle w:val="FootnoteReference"/>
          <w:rFonts w:ascii="Arial Narrow" w:eastAsia="仿宋_GB2312" w:hAnsi="Arial Narrow"/>
        </w:rPr>
        <w:footnoteReference w:id="6"/>
        <w:t/>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9：2023年全球化妆品产品结构</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bookmarkEnd w:id="314"/>
      <w:bookmarkEnd w:id="315"/>
      <w:r>
        <w:rPr>
          <w:rStyle w:val="FootnoteReference"/>
          <w:rFonts w:ascii="Arial Narrow" w:eastAsia="仿宋_GB2312" w:hAnsi="Arial Narrow" w:cs="Arial"/>
          <w:b/>
          <w:bCs/>
          <w:sz w:val="22"/>
        </w:rPr>
        <w:footnoteReference w:id="7"/>
        <w:t/>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2023年12月中国社会消费品零售总额为43,550亿元，同比增长7.4%。其中，除汽车以外的消费品零售额为38,131亿元，同比增长7.9%。累计方面，2023年1-12月中国社会消费品零售总额累计为471,495亿元，比上年增长7.2%。其中，除汽车以外的消费品零售额为422,881亿元，累计增长7.3%。</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 10：2023年中国化妆品零售总额（单位：亿元） &amp;</w:t>
      </w:r>
      <w:r>
        <w:rPr>
          <w:rFonts w:ascii="Arial Narrow" w:eastAsia="仿宋_GB2312" w:hAnsi="Arial Narrow" w:cs="Arial"/>
          <w:b/>
          <w:sz w:val="22"/>
        </w:rPr>
        <w:t xml:space="preserve"/>
      </w:r>
      <w:r>
        <w:rPr>
          <w:rFonts w:ascii="Arial Narrow" w:eastAsia="仿宋_GB2312" w:hAnsi="Arial Narrow" w:cs="Arial"/>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Style w:val="FootnoteReference"/>
          <w:rFonts w:ascii="Arial Narrow" w:eastAsia="仿宋_GB2312" w:hAnsi="Arial Narrow" w:cs="Arial" w:hint="eastAsia"/>
          <w:b/>
          <w:sz w:val="22"/>
        </w:rPr>
        <w:footnoteReference w:id="8"/>
        <w:t/>
      </w:r>
      <w:bookmarkEnd w:id="324"/>
      <w:r>
        <w:rPr>
          <w:rFonts w:ascii="Arial Narrow" w:eastAsia="仿宋_GB2312" w:hAnsi="Arial Narrow" w:cs="Arial" w:hint="eastAsia"/>
          <w:b/>
          <w:sz w:val="22"/>
        </w:rPr>
        <w:t xml:space="preserve"/>
      </w:r>
      <w:r>
        <w:rPr>
          <w:rStyle w:val="FootnoteReference"/>
        </w:rPr>
        <w:t/>
      </w:r>
      <w:r>
        <w:rPr>
          <w:rStyle w:val="FootnoteReference"/>
          <w:rFonts w:ascii="Arial Narrow" w:eastAsia="仿宋_GB2312" w:hAnsi="Arial Narrow" w:cs="Arial" w:hint="eastAsia"/>
          <w:b/>
          <w:sz w:val="22"/>
        </w:rPr>
        <w:footnoteReference w:id="9"/>
        <w:t/>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2022年全年中国化妆品类累计零售额达到3,936亿元，相较于2022年市场的急速下滑，2023年的累计零售额再次恢复到2022年之前的平稳增长。截至2023年12月中国化妆品类零售额为323亿元，同比增长9.1%。累计方面，2023年1-12月中国化妆品类累计零售额达到4,142亿元，累计增长5.1%。</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2023年，全国网上零售额154,264亿元，比上年增长11.0%。其中，实物商品网上零售额130,174亿元，增长8.4%，占社会消费品零售总额的比重为27.6%；在实物商品网上零售额中，吃类、穿类、用类商品分别增长11.2%、10.8%、7.1%。从整体趋势来看，2023年6月和11月受618和双11大促影响，零售总额均达到了当时峰值，11月更是创下了全年单月最高峰值。大促月之后，化妆品零售总额均呈现断崖式下跌的趋势。</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Style w:val="FootnoteReference"/>
          <w:rFonts w:ascii="Arial Narrow" w:eastAsia="仿宋_GB2312" w:hAnsi="Arial Narrow" w:cs="Arial" w:hint="eastAsia"/>
          <w:sz w:val="22"/>
          <w:szCs w:val="22"/>
        </w:rPr>
        <w:footnoteReference w:id="10"/>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中国化妆品行业发展趋势如下：</w:t>
      </w:r>
      <w:r>
        <w:rPr>
          <w:rFonts w:hint="eastAsia"/>
          <w:sz w:val="24"/>
        </w:rPr>
        <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sidRPr="005D08A5">
        <w:rPr>
          <w:rFonts w:ascii="Arial Narrow" w:eastAsia="仿宋_GB2312" w:hAnsi="Arial Narrow" w:cs="Arial" w:hint="eastAsia"/>
          <w:sz w:val="22"/>
          <w:szCs w:val="22"/>
        </w:rPr>
        <w:lastRenderedPageBreak/>
        <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t/>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随着2023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松莉科技2023年度主要关联方的基本信息如下所示：</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1）松莉科技的母公司情况</w:t>
      </w:r>
      <w:r>
        <w:rPr>
          <w:rFonts w:ascii="Arial Narrow" w:eastAsia="仿宋_GB2312" w:hAnsi="Arial Narrow" w:cs="Arial"/>
          <w:sz w:val="22"/>
          <w:szCs w:val="22"/>
        </w:rPr>
        <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7：本公司的母公司基本信息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母公司Markwins International Corporation Limited（以下简称“Markwins HK”）对本公司的持股比例为100%，所持本公司的表决权比例为100%。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2）松莉科技的其他关联方情况如下：</w:t>
      </w:r>
      <w:r>
        <w:rPr>
          <w:rFonts w:ascii="Arial Narrow" w:eastAsia="仿宋_GB2312" w:hAnsi="Arial Narrow" w:cs="Arial"/>
          <w:sz w:val="22"/>
          <w:szCs w:val="22"/>
        </w:rPr>
        <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 2023年度，没有个人关联方直接或间接持有松莉科技的股份(如：个人持有最终母公司超过25%的股份)或与松莉科技发生关联交易。</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松莉科技的其他关联方基本信息如下：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 8：本公司的其他关联方的基本信息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子公司</w:t>
            </w:r>
            <w:r>
              <w:rPr>
                <w:rFonts w:ascii="Arial Narrow" w:eastAsia="仿宋_GB2312" w:hAnsi="Arial Narrow" w:cs="Arial"/>
                <w:sz w:val="22"/>
                <w:szCs w:val="22"/>
              </w:rPr>
              <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评估期间，松莉科技的关联交易主要涉及关联购销，关联交易金额及类型如下图所示：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9：关联交易汇总情况表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{{清单模板-PL含特殊因素调整}}</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{{清单模板-PL含特殊因素调整}}</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{{清单模板-PL含特殊因素调整}}</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{{清单模板-PL含特殊因素调整}}</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{{清单模板-PL含特殊因素调整}}</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{{清单模板-PL含特殊因素调整}}</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{{清单模板-PL含特殊因素调整}}</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{{清单模板-PL含特殊因素调整}}</w:t>
            </w:r>
            <w:r>
              <w:rPr>
                <w:rFonts w:ascii="Arial Narrow" w:eastAsia="仿宋_GB2312" w:hAnsi="Arial Narrow" w:cs="Arial" w:hint="eastAsia"/>
                <w:b/>
                <w:sz w:val="22"/>
                <w:szCs w:val="22"/>
              </w:rPr>
              <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{{清单模板-PL含特殊因素调整}}</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评估期间，松莉科技从境外关联方采购原材料、半成品共计人民币22,699,647.89元，向境外关联方销售成品共计人民币 259,774,542.66元，向境内关联方销售成品共计人民币12,953,423.52 元。</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 10：关联购销交易流程图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b/>
          <w:bCs/>
          <w:sz w:val="22"/>
        </w:rPr>
        <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信息来源：由松莉科技提供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评估期间，松莉科技关联购销的关联方和交易金额如下表所示：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11：2023年度关联购销明细表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{{清单模板-1_组织结构及管理架构}}</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{{清单模板-1_组织结构及管理架构}}</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{{清单模板-1_组织结构及管理架构}}</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{{清单模板-1_组织结构及管理架构}}</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{{清单模板-1_组织结构及管理架构}}</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{{清单模板-1_组织结构及管理架构}}</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{{清单模板-1_组织结构及管理架构}}</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 xml:space="preserve">关联销售总计 </w:t>
            </w:r>
            <w:r>
              <w:rPr>
                <w:rFonts w:ascii="Arial Narrow" w:eastAsia="仿宋_GB2312" w:hAnsi="Arial Narrow" w:cs="Arial"/>
                <w:b/>
                <w:bCs/>
                <w:color w:val="000000"/>
                <w:sz w:val="22"/>
                <w:szCs w:val="22"/>
              </w:rPr>
              <w:t xml:space="preserve"/>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{{清单模板-1_组织结构及管理架构}}</w:t>
            </w:r>
            <w:r>
              <w:rPr>
                <w:rFonts w:ascii="Arial Narrow" w:eastAsia="仿宋_GB2312" w:hAnsi="Arial Narrow" w:cs="Arial" w:hint="eastAsia"/>
                <w:b/>
                <w:color w:val="000000"/>
                <w:sz w:val="22"/>
                <w:szCs w:val="22"/>
              </w:rPr>
              <w:t/>
            </w:r>
            <w:r w:rsidRPr="005D08A5">
              <w:rPr>
                <w:rFonts w:ascii="Arial Narrow" w:eastAsia="仿宋_GB2312" w:hAnsi="Arial Narrow" w:cs="Arial"/>
                <w:b/>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{{清单模板-1_组织结构及管理架构}}</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松莉科技与境外关联方参考市场价格制定；对于关联销售价格，松莉科技参考标准生产成本加上一定利润率的方式以及产品市场价格进行综合制定。松莉科技与境内关联方的关联购销交易以人民币结算，与境外关联方的关联购销以外币进行结算。</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评估期间，松莉科技无与企业关联交易直接相关的预约定价安排和作出的其他税收裁定。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松莉科技按照客户类型进行收入划分，即根据客户是否是境内公司将销售收入明确划分成境内关联交易收入和境外关联交易收入。具体拆分数据详见附件2《企业年度关联交易财务状况分析表》。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松莉科技原则上根据实际情况在不同的交易类型中归集、划分成本和费用，对于不能按照实际情况划分的成本和费用，松莉科技按照合理比例进行划分。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评估期间，松莉科技无对境外投资。松莉科技拥有境内子公司美缤纷品牌管理（上海）有限公司，持股比例100%。</w:t>
      </w:r>
      <w:r w:rsidR="00CD6E7E">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t/>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评估期间，松莉科技主要从事生产经营化妆品产品，其关联交易主要涉及关联购销，共计人民币295,427,614.07元。除此以外，评估期间，松莉科技不涉及其他关联交易，我们将对松莉科技的整体财务数据进行分析。</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rPr>
        <w:br w:type="page"/>
        <w:t/>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 xml:space="preserve">企业及其关联方所承担的风险； </w:t>
      </w:r>
      <w:r>
        <w:rPr>
          <w:rFonts w:ascii="Arial Narrow" w:eastAsia="仿宋_GB2312" w:hAnsi="Arial Narrow" w:cs="Arial"/>
        </w:rPr>
        <w:t xml:space="preserve"/>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在本报告的功能和风险分析部分，我们将对松莉科技在受测关联交易中与其关联方之间形成的经济关系进行分析和评估。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此处我们将主要分析松莉科技及其关联方各个业务部门在关联交易中所从事的业务活动，以及关联交易的各个参与方所执行的功能。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因此，松莉科技在评估期间承担有限的研发功能。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的原材料大多是从境内第三方采购。松莉科技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对于境外采购，境外供应商多数为大型化工企业，由Markwins US统一询价以期获得较低的价格。境外关联方Markwins HK和Markwins Pro Art从Markwins US选择的供应商中购入原材料后，以其实际采购价格平价卖给松莉科技。由于这部分原材料的通用性较强，因此松莉科技一般可根据销售预测购入。</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对于所采购的原材料，松莉科技负责抽样检验的工作，以确保其质量和规格符合既定的标准。因此，松莉科技在评估期间执行采购功能。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评估期间，松莉科技根据来自Markwins HK和Markwins Pro Art的订单安排生产计划。Markwins HK和Markwins Pro Art负责监督和控制生产进度，与客户沟通以调整出货时间，并帮助松莉科技合理安排生产计划。</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图表16：松莉科技主要产品工艺流程图</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在实际生产中，松莉科技一般直接将产成品运送出库，因此产成品的库存量较少。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松莉科技根据国家制定的质量、安全和环保标准，以及ISO9001和ISO14001的标准制定产品和生产质量控制标准和质量控制流程。松莉科技对原材料、产成品等均配有专门的检测设备和检测程序进行品质检测，以保证产品能符合相应的质量标准。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松莉科技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因此，松莉科技在评估期间执行质量控制功能。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在产成品方面，由于松莉科技按照销售订单进行生产，产成品会在较短时间内运往客户，所以松莉科技的产成品存货量较少。</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通过关联方或第三方供应商所采购的原材料。一般情况下，由原材料的供应商负责把原材料运输至松莉科技，并由其安排运输计划。国外采购物料通常由松莉科技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松莉科技的产成品90%以上销售给Markwins HK和Markwins Pro Art，并由松莉科技协助安排船运，运输费用由Markwins HK和Markwins Pro Art承担。境内关联销售的采取自提的形式。</w:t>
      </w:r>
      <w:r w:rsidR="00FD22CF">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松莉科技在评估期间不执行市场营销功能。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境内的非关联客户，由松莉科技负责开拓和维护；其他境内及境外客户的销售在关联方的主导和松莉科技的参与下共同完成。松莉科技的境外关联方负责主要的客户沟通和洽谈，而松莉科技则会向境外关联方提供产品的生产成本单价等信息，为销售提供价格方面的支持信息，参与部分销售价格协商。</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在评估期间，松莉科技作为的生产商，并不直接面向终端客户。松莉科技将生产的成品销售给关联分销商，并由上述分销商进行售后服务。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行政管理指企业日常的经营管理活动（如人事、信息系统等）。</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松莉科技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评估期间，松莉科技并不从事实质的产品研发活动，因此松莉科技几乎不承担研发方面的风险。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评估期间，由于在交易中所有生产功能由松莉科技执行，松莉科技承担原材料成本、劳动力成本波动以及产能利用率低等生产风险。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松莉科技承担，国外进口的原材料存货风险则由关联方/供应商承担。松莉科技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eastAsia="仿宋_GB2312" w:hAnsi="Arial Narrow" w:cs="Arial"/>
          <w:sz w:val="22"/>
          <w:szCs w:val="22"/>
        </w:rPr>
        <w:t/>
      </w:r>
      <w:r>
        <w:rPr>
          <w:rFonts w:ascii="Arial Narrow" w:eastAsia="仿宋_GB2312" w:hAnsi="Arial Narrow" w:cs="Arial"/>
          <w:sz w:val="22"/>
          <w:szCs w:val="22"/>
        </w:rPr>
        <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产成品与半成品方面，由于松莉科技的产品主要销售给关联方，并根据销售订单进行生产，因此基本不会出现大量产成品积压的情况。松莉科技在评估期间承担原材料存货风险和一定的产成品的存货风险。</w:t>
      </w:r>
      <w:r>
        <w:rPr>
          <w:rFonts w:ascii="Arial Narrow" w:eastAsia="仿宋_GB2312" w:hAnsi="Arial Narrow" w:cs="Arial" w:hint="eastAsia"/>
          <w:sz w:val="22"/>
          <w:szCs w:val="22"/>
        </w:rPr>
        <w:t/>
      </w:r>
      <w:r>
        <w:rPr>
          <w:rFonts w:ascii="Arial Narrow" w:eastAsia="仿宋_GB2312" w:hAnsi="Arial Narrow" w:cs="Arial"/>
          <w:sz w:val="22"/>
          <w:szCs w:val="22"/>
        </w:rPr>
        <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松莉科技所生产销售的产品出现质量问题，松莉科技需要承担相应责任并支付与此相关的费用。在实际生产经营中，松莉科技对产品实行严格的质量检测与控制，产品的不良品率较低，因为松莉科技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松莉科技根据关联方的订单进行生产活动，如果市场上对相关的产品需求量下降，松莉科技的订单数量会相应减少。这将可能导致松莉科技的固定成本比如租金、折旧、其他行政管理费用无法得到补偿。这部分闲置成本将由松莉科技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评估期间，松莉科技的产成品90%以上销售给关联方，因此不承担信用风险；在向非关联方销售产品时，会承担全部信用风险。</w:t>
      </w:r>
      <w:r>
        <w:rPr>
          <w:rFonts w:ascii="Arial Narrow" w:eastAsia="仿宋_GB2312" w:hAnsi="Arial Narrow" w:cs="Arial"/>
          <w:sz w:val="22"/>
          <w:szCs w:val="22"/>
        </w:rPr>
        <w:t/>
      </w:r>
      <w:r>
        <w:rPr>
          <w:rFonts w:ascii="Arial Narrow" w:eastAsia="仿宋_GB2312" w:hAnsi="Arial Narrow" w:cs="Arial"/>
          <w:sz w:val="22"/>
          <w:szCs w:val="22"/>
        </w:rPr>
        <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因此，评估期间，松莉科技实际承担外汇风险。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本节描述了评估期间，松莉科技及其关联方在受测关联交易中所使用的资产。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松莉科技拥有生产和测试所需的机器设备、运输设备、电子设备、办公及其他设备和生产工具等有形资产所有权。与同行业的其他公司相比，松莉科技拥有的有形资产水平没有显著差异。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 xml:space="preserve">无形资产 </w:t>
      </w:r>
      <w:bookmarkEnd w:id="735"/>
      <w:bookmarkEnd w:id="736"/>
      <w:r>
        <w:t xml:space="preserve"/>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松莉科技不拥有任何非常规的无形资产。</w:t>
      </w:r>
      <w:r>
        <w:rPr>
          <w:rFonts w:ascii="Arial Narrow" w:eastAsia="仿宋_GB2312" w:hAnsi="Arial Narrow" w:cs="Arial" w:hint="eastAsia"/>
          <w:sz w:val="22"/>
          <w:szCs w:val="22"/>
        </w:rPr>
        <w:t/>
      </w:r>
      <w:r>
        <w:rPr>
          <w:rFonts w:ascii="Arial Narrow" w:eastAsia="仿宋_GB2312" w:hAnsi="Arial Narrow" w:cs="Arial"/>
          <w:sz w:val="22"/>
          <w:szCs w:val="22"/>
        </w:rPr>
        <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评估期间，松莉科技承担的主要功能和风险，以及拥有的资产总结如下：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此外，松莉科技拥有全部的生产和测试所需的有形资产，不拥有技术专利及品牌等有价值的无形资产。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根据[2016]42号公告的相关规定，在分析关联交易是否符合独立交易原则的过程中应当对集团价值链进行分析。因此，本节将阐述Markwins 集团价值链情况。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在化妆品行业中竞争十分激烈，Markwins集团的利润水平主要由专注细分市场、集中采购和分销网络、营销技术经验和有效产品推广和客户关系等因素决定。</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（1）专注细分市场</w:t>
      </w:r>
      <w:r>
        <w:rPr>
          <w:rFonts w:ascii="Arial Narrow" w:eastAsia="仿宋_GB2312" w:hAnsi="Arial Narrow" w:cs="Arial"/>
          <w:sz w:val="22"/>
          <w:szCs w:val="22"/>
        </w:rPr>
        <w:t/>
      </w:r>
      <w:r>
        <w:rPr>
          <w:rFonts w:ascii="Arial Narrow" w:eastAsia="仿宋_GB2312" w:hAnsi="Arial Narrow" w:cs="Arial"/>
          <w:sz w:val="22"/>
          <w:szCs w:val="22"/>
        </w:rPr>
        <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（2）集中采购和分销网络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集团通过集中采购，能够利用规模经济，发挥市场支配力，以较低成本创造更好的产品，而结构较分散的企业则难以望其项背。</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（3）营销技术经验和有效产品推广</w:t>
      </w:r>
      <w:r>
        <w:rPr>
          <w:rFonts w:ascii="Arial Narrow" w:eastAsia="仿宋_GB2312" w:hAnsi="Arial Narrow" w:cs="Arial"/>
          <w:sz w:val="22"/>
          <w:szCs w:val="22"/>
        </w:rPr>
        <w:t/>
      </w:r>
      <w:r>
        <w:rPr>
          <w:rFonts w:ascii="Arial Narrow" w:eastAsia="仿宋_GB2312" w:hAnsi="Arial Narrow" w:cs="Arial"/>
          <w:sz w:val="22"/>
          <w:szCs w:val="22"/>
        </w:rPr>
        <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（4）客户关系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评估期间，Markwins集团的价值链以及松莉科技在其中所处的位置如下图所示：</w:t>
      </w:r>
      <w:r>
        <w:rPr>
          <w:rFonts w:ascii="Arial Narrow" w:eastAsia="仿宋_GB2312" w:hAnsi="Arial Narrow" w:cs="Arial"/>
          <w:sz w:val="22"/>
          <w:szCs w:val="22"/>
        </w:rPr>
        <w:t/>
      </w:r>
      <w:r>
        <w:rPr>
          <w:rFonts w:ascii="Arial Narrow" w:eastAsia="仿宋_GB2312" w:hAnsi="Arial Narrow" w:cs="Arial"/>
          <w:sz w:val="22"/>
          <w:szCs w:val="22"/>
        </w:rPr>
        <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 12：集团价值链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hint="eastAsia"/>
          <w:b/>
          <w:bCs/>
          <w:sz w:val="22"/>
        </w:rPr>
        <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RSMpQEAACcDAAAOAAAAZHJzL2Uyb0RvYy54bWysUsFu2zAMvQ/YPwi6L3ayrk2MOMW2orsM W4G2H6DIUizAEgVSjZ2/HyWn2bDdhl4EiXx65Hvk9nbygzgaJAehlctFLYUJGjoXDq18frr/sJaC kgqdGiCYVp4Mydvd+3fbMTZmBT0MnUHBJIGaMbayTyk2VUW6N17RAqIJnLSAXiV+4qHqUI3M7odq VdfX1QjYRQRtiDh6NyflrvBba3T6aS2ZJIZWcm+pnFjOfT6r3VY1B1Sxd/rchvqPLrxygYteqO5U UuIF3T9U3mkEApsWGnwF1jptigZWs6z/UvPYq2iKFjaH4sUmejta/eP4gMJ1rdywPUF5ntGTmdIX mMR6k+0ZIzWMeoyMSxPHecyvceJgVj1Z9AKB3f14c7NabtbFC1YnGM28p4vVTC00BzdX18tPnNGc uqrrmu9cq5qpMmVESt8MeJEvrUSeZCFVx++UZugrJMMD3LthyPHc79xXvqVpP51F7KE7sYaRh93K wNsoBabhK8yboYLugRdDJyx1KH5+SUxaamWm+fu5AE+jdHvenDzuP98F9Xu/d78AAAD//wMAUEsD BBQABgAIAAAAIQAUu2ER3wAAAAoBAAAPAAAAZHJzL2Rvd25yZXYueG1sTI/LTsMwEEX3SPyDNUhs ELUTQ4EQp6oQSLCjD6lbNx6cgB9R7Lbh7xlWsJvH0Z0z9WLyjh1xTH0MCoqZAIahjaYPVsF283J9 DyxlHYx2MaCCb0ywaM7Pal2ZeAorPK6zZRQSUqUVdDkPFeep7dDrNIsDBtp9xNHrTO1ouRn1icK9 46UQc+51H+hCpwd86rD9Wh+8Aru9etu8SvO5FO5drh7sTvvnnVKXF9PyEVjGKf/B8KtP6tCQ0z4e gknMKZjfiFtCqSglMALuhKTBXkFZFBJ4U/P/LzQ/AAAA//8DAFBLAQItABQABgAIAAAAIQC2gziS /gAAAOEBAAATAAAAAAAAAAAAAAAAAAAAAABbQ29udGVudF9UeXBlc10ueG1sUEsBAi0AFAAGAAgA AAAhADj9If/WAAAAlAEAAAsAAAAAAAAAAAAAAAAALwEAAF9yZWxzLy5yZWxzUEsBAi0AFAAGAAgA AAAhAMhNFIylAQAAJwMAAA4AAAAAAAAAAAAAAAAALgIAAGRycy9lMm9Eb2MueG1sUEsBAi0AFAAG AAgAAAAhABS7YRHfAAAACgEAAA8AAAAAAAAAAAAAAAAA/wMAAGRycy9kb3ducmV2LnhtbFBLBQYA AAAABAAEAPMAAAALBQAAAAA= "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t/>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信息来源：由松莉科技提供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结合松莉科技承担的功能以及风险，松莉科技在集团价值链中主要承担采购及常规生产环节的工作，是集团整体业务链条的常规组成部分，对整体利润做出常规贡献。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“市场溢价指跨国企业将经营活动安排在有独特特质的地区而获得的额外利润，这些地区的特质会对一项服务或产品的销售和需求造成影响。”（第10.3.3.3节）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[2016]42号公告进一步指出，地域特殊因素应从劳动力成本、环境成本、市场规模、市场竞争程度、消费者购买力、商品或者劳务的可替代性、政府管制等方面进行分析。</w:t>
      </w:r>
      <w:r>
        <w:rPr>
          <w:rFonts w:ascii="Arial Narrow" w:eastAsia="仿宋_GB2312" w:hAnsi="Arial Narrow" w:cs="Arial"/>
          <w:sz w:val="22"/>
          <w:szCs w:val="22"/>
        </w:rPr>
        <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经济合作发展组织（“OECD”）在税基侵蚀和利润转移第8-10项行动计划的最终报告中，修订了OECD转让定价指南第一章独立交易原则的内容，新增了一节选址节约和其他本地市场特征的内容。</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OECD转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作为制造公司，松莉科技的主要经营成本为人力成本和原材料成本。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eastAsia="仿宋_GB2312" w:hAnsi="Arial Narrow" w:cs="Arial"/>
          <w:sz w:val="22"/>
          <w:szCs w:val="22"/>
        </w:rPr>
        <w:t/>
      </w:r>
      <w:r>
        <w:rPr>
          <w:rFonts w:ascii="Arial Narrow" w:eastAsia="仿宋_GB2312" w:hAnsi="Arial Narrow" w:cs="Arial"/>
          <w:sz w:val="22"/>
          <w:szCs w:val="22"/>
        </w:rPr>
        <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2000元省市共有19个，分别是北京、天津、河北、上海、江苏、浙江、安徽、福建、山东、湖北、广东、深圳、河南、四川、重庆、福建等。其中，上海最高为2690元，江苏及浙江2490元位列第二，北京2420位列第三。2017年到2023年中国平均工资变化的趋势如下图。</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Style w:val="FootnoteReference"/>
          <w:rFonts w:ascii="Arial Narrow" w:eastAsia="仿宋_GB2312" w:hAnsi="Arial Narrow" w:cs="Arial Narrow"/>
          <w:sz w:val="22"/>
          <w:szCs w:val="22"/>
        </w:rPr>
        <w:footnoteReference w:id="13"/>
        <w:t/>
      </w:r>
      <w:r>
        <w:rPr>
          <w:rFonts w:ascii="Arial Narrow" w:eastAsia="仿宋_GB2312" w:hAnsi="Arial Narrow" w:cs="Arial Narrow"/>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 13：2017年到2023年中国平均工资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Style w:val="FootnoteReference"/>
          <w:rFonts w:ascii="Arial Narrow" w:eastAsia="仿宋_GB2312" w:hAnsi="Arial Narrow" w:cs="Arial"/>
          <w:sz w:val="22"/>
          <w:szCs w:val="22"/>
        </w:rPr>
        <w:footnoteReference w:id="14"/>
        <w:t/>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同时，随着劳动力成本逐年上升，松莉科技并没有从劳动力成本中收益。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t/>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松莉科技所生产的产品主要进行出口销售，不受中国市场消费者的偏好、需求以及收入水平变动的影响。松莉科技出口的产品主要针对的市场为价格较低的化妆品领域，该领域的化妆品主要采用开架销售的模式，价格竞争激烈。因此，松莉科技的产品不存在市场溢价。</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2023年的财务数据和信息获取存在难度，在报告完成时尚无法获得：（1）这些关联方的财务数据均属于非公开信息；（2）该关联方（可能）并非仅与松莉科技发生交易往来；（3）集团内企业都有独立的业绩考核指标，各关联方之间存在一定的竞争关系。如有要求，可在本公司征求关联方同意之后提供该数据。</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eastAsia="仿宋_GB2312" w:hAnsi="Arial Narrow" w:cs="Arial"/>
          <w:sz w:val="22"/>
          <w:szCs w:val="22"/>
        </w:rPr>
        <w:t/>
      </w:r>
      <w:r>
        <w:rPr>
          <w:rFonts w:ascii="Arial Narrow" w:eastAsia="仿宋_GB2312" w:hAnsi="Arial Narrow" w:cs="Arial"/>
          <w:sz w:val="22"/>
          <w:szCs w:val="22"/>
        </w:rPr>
        <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对以上各种方法的详细描述，请见附件1。</w:t>
      </w:r>
      <w:r>
        <w:rPr>
          <w:rFonts w:ascii="Arial Narrow" w:eastAsia="仿宋_GB2312" w:hAnsi="Arial Narrow" w:cs="Arial"/>
          <w:sz w:val="22"/>
          <w:szCs w:val="22"/>
        </w:rPr>
        <w:t/>
      </w:r>
      <w:r>
        <w:rPr>
          <w:rFonts w:ascii="Arial Narrow" w:eastAsia="仿宋_GB2312" w:hAnsi="Arial Narrow" w:cs="Arial"/>
          <w:sz w:val="22"/>
          <w:szCs w:val="22"/>
        </w:rPr>
        <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42号公告第14条规定，可比性分析考虑的因素，包括交易资产或者劳务特性，交易各方功能、风险和资产，合同条款，经济环境，经营策略等。</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eastAsia="仿宋_GB2312" w:hAnsi="Arial Narrow" w:cs="Arial"/>
          <w:sz w:val="22"/>
          <w:szCs w:val="22"/>
          <w:vertAlign w:val="superscript"/>
        </w:rPr>
        <w:footnoteReference w:id="16"/>
        <w:t/>
      </w:r>
      <w:r>
        <w:rPr>
          <w:rFonts w:ascii="Arial Narrow" w:eastAsia="仿宋_GB2312" w:hAnsi="Arial Narrow" w:cs="Arial"/>
          <w:sz w:val="22"/>
          <w:szCs w:val="22"/>
        </w:rPr>
        <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19：合适转让定价方法的选择</w:t>
      </w:r>
      <w:r>
        <w:rPr>
          <w:rFonts w:ascii="Arial Narrow" w:eastAsia="仿宋_GB2312" w:hAnsi="Arial Narrow" w:cs="Arial"/>
          <w:sz w:val="22"/>
        </w:rPr>
        <w:t xml:space="preserve"/>
      </w:r>
      <w:r>
        <w:rPr>
          <w:rFonts w:ascii="Arial Narrow" w:eastAsia="仿宋_GB2312" w:hAnsi="Arial Narrow" w:cs="Arial"/>
          <w:sz w:val="22"/>
        </w:rPr>
        <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选择/排除的原因</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松莉科技2023年主要关联交易为关联购销，未与非关联方发生交易条件类似的交易。无法获得可辨认的内部可比交易或外部可比交易的价格作为关联交易的独立交易价格。因此，对于松莉科技，该方法不适用。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由于该方法对外部可比交易成本数据的可比性要求较高。因此，对于松莉科技，该方法不适用。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松莉科技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利润分割法为根据企业与其关联方对关联交易合并利润的贡献计算各自应该分配的利润额，适用于关联交易双方高度整合的情况。松莉科技的关联交易不存在上述情况，因此该方法不适用。</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eastAsia="仿宋_GB2312" w:hAnsi="Arial Narrow" w:cs="Arial"/>
          <w:sz w:val="22"/>
          <w:szCs w:val="22"/>
        </w:rPr>
        <w:lastRenderedPageBreak/>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此外，松莉科技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综上所述，在关联交易中，松莉科技为承担一定功能和风险的合约生产商，且其在关联交易中的利润水平可以有效的确定。因此。我们选择松莉科技作为受测关联交易的验证对象。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7"/>
        <w:t/>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确定与受测关联交易相关的财务数据</w:t>
      </w:r>
      <w:bookmarkStart w:id="1011" w:name="_Hlk43068633"/>
      <w:r>
        <w:t/>
      </w:r>
      <w:bookmarkEnd w:id="1011"/>
      <w:r>
        <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我们选择松莉科技作为受测关联交易的验证对象，鉴于松莉科技2023年主营化妆品的生产业务，因此本报告将对松莉科技的生产业务是否符合独立交易原则进行分析和验证。</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20：松莉科技2023年度生产业务财务数据</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{{清单模板-主要产品-A列中所列所有产品}}</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减：营业成本</w:t>
            </w:r>
            <w:r>
              <w:rPr>
                <w:rFonts w:ascii="Arial Narrow" w:eastAsia="仿宋_GB2312" w:hAnsi="Arial Narrow" w:cs="Arial"/>
                <w:b w:val="0"/>
                <w:color w:val="000000"/>
                <w:sz w:val="22"/>
                <w:szCs w:val="22"/>
              </w:rPr>
              <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{{清单模板-主要产品-A列中所列所有产品}}</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{{清单模板-主要产品-A列中所列所有产品}}</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{{清单模板-主要产品-A列中所列所有产品}}</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{{清单模板-主要产品-A列中所列所有产品}}</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a-b-c-d-e</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{{清单模板-主要产品-A列中所列所有产品}}</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{{清单模板-主要产品-A列中所列所有产品}}</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 f/g</w:t>
            </w:r>
            <w:r>
              <w:rPr>
                <w:rFonts w:ascii="Arial Narrow" w:eastAsia="仿宋_GB2312" w:hAnsi="Arial Narrow" w:cs="Arial"/>
                <w:sz w:val="22"/>
                <w:szCs w:val="22"/>
              </w:rPr>
              <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{{清单模板-主要产品-A列中所列所有产品}}</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信息来源：由松莉科技提供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为了对外部可比公司（即所执行的功能与松莉科技的活动宽泛可比的独立企业）进行一次基准搜索，我们使用了由Bureau van Dijk Electronic发布的TP Catalyst数据库（2023年版）。</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Catalyst数据库提供逾190个国家的私人企业及全球上市公司（包括银行、保险公司等）的财务数据、所有者信息、评级数据、预期收益、股票信息和相关新闻。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DFE750E" w14:textId="77777777" w:rsidR="004D1721" w:rsidRDefault="009B16BC">
      <w:pPr>
        <w:pStyle w:val="Heading4"/>
      </w:pPr>
      <w:r>
        <w:t>SIC编码及地区的选择</w:t>
      </w:r>
      <w:r>
        <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我们对美国SIC编码列表进行了全面查阅，并选择了最合适的SIC编码（见下图表）来搜寻与松莉科技的关联方在制造活动中承担的职能宽泛可比的潜在可比公司。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14：SIC编码的选择</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sz w:val="22"/>
        </w:rPr>
        <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SIC编码</w:t>
            </w:r>
            <w:r>
              <w:rPr>
                <w:rFonts w:ascii="Arial Narrow" w:eastAsia="仿宋_GB2312" w:hAnsi="Arial Narrow" w:cs="Arial"/>
                <w:b/>
                <w:color w:val="FFFFFF" w:themeColor="background1"/>
                <w:sz w:val="22"/>
              </w:rPr>
              <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通过以上图表中所选定的SIC编码，我们在TP Catalyst数据库中进行了初步搜索，通过这种SIC编码的筛选，我们得到了一部分潜在的可比公司。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通过对松莉科技地理位置及商业描述的分析，我们将搜索范围确定在亚太地区，包括：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通过这种地理位置筛选，我们得到了137家可比公司。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eastAsia="仿宋_GB2312" w:hAnsi="Arial Narrow" w:cs="Arial"/>
          <w:sz w:val="22"/>
          <w:szCs w:val="22"/>
        </w:rPr>
        <w:t/>
      </w:r>
      <w:r>
        <w:rPr>
          <w:rFonts w:ascii="Arial Narrow" w:eastAsia="仿宋_GB2312" w:hAnsi="Arial Narrow" w:cs="Arial"/>
          <w:sz w:val="22"/>
          <w:szCs w:val="22"/>
        </w:rPr>
        <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我们保留了46家被标注为如下股权关系的上市公司：</w:t>
      </w:r>
      <w:r>
        <w:rPr>
          <w:rFonts w:ascii="Arial Narrow" w:eastAsia="仿宋_GB2312" w:hAnsi="Arial Narrow" w:cs="Arial"/>
          <w:sz w:val="22"/>
          <w:szCs w:val="22"/>
        </w:rPr>
        <w:t/>
      </w:r>
      <w:r>
        <w:rPr>
          <w:rFonts w:ascii="Arial Narrow" w:eastAsia="仿宋_GB2312" w:hAnsi="Arial Narrow" w:cs="Arial"/>
          <w:sz w:val="22"/>
          <w:szCs w:val="22"/>
        </w:rPr>
        <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A+，A，A-：表明没有任何单个股东控制该公司的股份超过25%；</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U：表明持股不详。</w:t>
      </w:r>
      <w:r>
        <w:rPr>
          <w:rFonts w:ascii="Arial Narrow" w:eastAsia="仿宋_GB2312" w:hAnsi="Arial Narrow" w:cs="Arial"/>
        </w:rPr>
        <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我们将46家样本公司中在2020到2022财年内满足以下一项或多项特征的样本公司予以排除，从而提高潜在可比公司样本的可比性：</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连续亏损：有连续亏损的独立公司对于受控交易下稳定经营的公司而言，不具备足够的可比性。因此，我们将2020到2022财年期间三年连续经营亏损的公司从可比样本中排除。</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通过定量筛选，我们排除了总计11家公司，剩下35家样本公司。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我们接着审阅了剩下的每一家公司在TP Catalyst数据库中的业务描述，以此来排除执行的功能（例如，研发，生产，服务等）与松莉科技的在受测关联交易中执行的职能不具有宽泛可比性的公司。</w:t>
      </w:r>
      <w:r>
        <w:rPr>
          <w:rFonts w:ascii="Arial Narrow" w:eastAsia="仿宋_GB2312" w:hAnsi="Arial Narrow" w:cs="Arial"/>
          <w:sz w:val="22"/>
          <w:szCs w:val="22"/>
        </w:rPr>
        <w:t/>
      </w:r>
      <w:r>
        <w:rPr>
          <w:rFonts w:ascii="Arial Narrow" w:eastAsia="仿宋_GB2312" w:hAnsi="Arial Narrow" w:cs="Arial"/>
          <w:sz w:val="22"/>
          <w:szCs w:val="22"/>
        </w:rPr>
        <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通过定性筛选，我们排除了总计26家公司，它们因满足以下一项或多项条件使得它们与松莉科技的受测关联交易不具备充足的可比性：</w:t>
      </w:r>
      <w:r>
        <w:rPr>
          <w:rFonts w:ascii="Arial Narrow" w:eastAsia="仿宋_GB2312" w:hAnsi="Arial Narrow" w:cs="Arial"/>
          <w:sz w:val="22"/>
          <w:szCs w:val="22"/>
        </w:rPr>
        <w:t/>
      </w:r>
      <w:r>
        <w:rPr>
          <w:rFonts w:ascii="Arial Narrow" w:eastAsia="仿宋_GB2312" w:hAnsi="Arial Narrow" w:cs="Arial"/>
          <w:sz w:val="22"/>
          <w:szCs w:val="22"/>
        </w:rPr>
        <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企业执行的功能与松莉科技存在显著差异；</w:t>
      </w:r>
      <w:r>
        <w:rPr>
          <w:rFonts w:ascii="Arial Narrow" w:eastAsia="仿宋_GB2312" w:hAnsi="Arial Narrow" w:cs="Arial"/>
          <w:kern w:val="2"/>
        </w:rPr>
        <w:t/>
      </w:r>
      <w:r>
        <w:rPr>
          <w:rFonts w:ascii="Arial Narrow" w:eastAsia="仿宋_GB2312" w:hAnsi="Arial Narrow" w:cs="Arial"/>
        </w:rPr>
        <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企业生产的产品与松莉科技存在显著差异。</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kern w:val="2"/>
        </w:rPr>
        <w:t/>
      </w:r>
      <w:r>
        <w:rPr>
          <w:rFonts w:ascii="Arial Narrow" w:eastAsia="仿宋_GB2312" w:hAnsi="Arial Narrow" w:cs="Arial"/>
        </w:rPr>
        <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我们最终选定9家营业地位于亚太地区的公司作为松莉科技的可比公司。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15：可比公司搜索表</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数据库（2024年版）</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 SIC 编码检索</w:t>
            </w:r>
            <w:r>
              <w:rPr>
                <w:rFonts w:ascii="Arial Narrow" w:eastAsia="仿宋_GB2312" w:hAnsi="Arial Narrow" w:cs="Arial"/>
                <w:sz w:val="22"/>
                <w:szCs w:val="22"/>
              </w:rPr>
              <w:t xml:space="preserve"/>
            </w:r>
            <w:r>
              <w:rPr>
                <w:rFonts w:ascii="Arial Narrow" w:eastAsia="仿宋_GB2312" w:hAnsi="Arial Narrow" w:cs="Arial"/>
                <w:sz w:val="22"/>
                <w:szCs w:val="22"/>
              </w:rPr>
              <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2841、2842、2843、2844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因在TP Catalyst数据库定义中独立性为B、C、D的公司而被排除。</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在2020至2022财政年度间，在TP Catalyst数据库中的财务信息不充分；在2020至2022财政年度间，三年连续经营亏损而被排除。</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9家可比性公司</w:t>
            </w:r>
            <w:r>
              <w:rPr>
                <w:rFonts w:ascii="Arial Narrow" w:eastAsia="仿宋_GB2312" w:hAnsi="Arial Narrow" w:cs="Arial"/>
                <w:sz w:val="22"/>
                <w:szCs w:val="22"/>
              </w:rPr>
              <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选定的9家公司的简要业务描述，请见附件3。</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（一）息税前利润率=息税前利润/营业收入×100%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（二）完全成本加成率=息税前利润/完全成本×100%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（三）资产收益率=息税前利润/[（年初资产总额+年末资产总额）/2]×100%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（四）贝里比率=毛利/（营业费用+管理费用）×100%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综上所述，我们选择了完全成本加成率作为评估松莉科技受测关联交易是否符合独立交易原则最合理的利润水平指标。 </w:t>
      </w:r>
      <w:r>
        <w:rPr>
          <w:rFonts w:ascii="Arial Narrow" w:eastAsia="仿宋_GB2312" w:hAnsi="Arial Narrow" w:cs="Arial"/>
          <w:sz w:val="21"/>
          <w:szCs w:val="22"/>
        </w:rPr>
        <w:t xml:space="preserve"/>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8"/>
        <w:t/>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[2017]6号公告第20条特别指出，在使用交易净利润法进行可比性分析时，应特别考察经济周期和产品生命周期。《OECD转让定价指南》中也就行业和产品生命周期提出了如下准则：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9"/>
        <w:t/>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为了在交易净利润分析中运用多年度数据，我们通过比较松莉科技2023年度受测关联交易的利润水平和可比公司2020到2022财年的加权平均利润水平，来评估松莉科技的受测关联交易是否符合独立交易原则。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rPr>
        <w:lastRenderedPageBreak/>
        <w:t/>
      </w:r>
      <w:r>
        <w:rPr>
          <w:rFonts w:ascii="Arial Narrow" w:eastAsia="仿宋_GB2312" w:hAnsi="Arial Narrow" w:cs="Arial"/>
          <w:sz w:val="22"/>
          <w:szCs w:val="22"/>
          <w:vertAlign w:val="superscript"/>
        </w:rPr>
        <w:footnoteReference w:id="20"/>
        <w:t/>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7.5.3.5中所使用的筛选标准旨在寻找和消除对松莉科技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eastAsia="仿宋_GB2312" w:hAnsi="Arial Narrow" w:cs="Arial"/>
          <w:sz w:val="22"/>
          <w:szCs w:val="22"/>
        </w:rPr>
        <w:t/>
      </w:r>
      <w:r>
        <w:rPr>
          <w:rFonts w:ascii="Arial Narrow" w:eastAsia="仿宋_GB2312" w:hAnsi="Arial Narrow" w:cs="Arial"/>
          <w:sz w:val="22"/>
          <w:szCs w:val="22"/>
        </w:rPr>
        <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松莉科技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21"/>
        <w:t/>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我们从TP Catalyst数据库（2024年版）提取了2020到2022财年每家可比公司的损益表中的信息。被选可比公司完全成本加成率计算详见附件4。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我们计算了选中的9家可比公司2020到2022财年加权平均完全成本加成率。如下图所示：</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24：可比企业完全成本加成率四分位区间表</w:t>
      </w:r>
      <w:r>
        <w:rPr>
          <w:rFonts w:ascii="Arial Narrow" w:eastAsia="仿宋_GB2312" w:hAnsi="Arial Narrow" w:cs="Arial"/>
          <w:sz w:val="22"/>
        </w:rPr>
        <w:t xml:space="preserve"/>
      </w:r>
      <w:r>
        <w:rPr>
          <w:rFonts w:ascii="Arial Narrow" w:eastAsia="仿宋_GB2312" w:hAnsi="Arial Narrow" w:cs="Arial"/>
          <w:sz w:val="22"/>
        </w:rPr>
        <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2020-2022年加权平均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最高值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{{清单模板-2_关联公司信息}}</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{{清单模板-2_关联公司信息}}</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{{清单模板-2_关联公司信息}}</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{{清单模板-2_关联公司信息}}</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{{清单模板-2_关联公司信息}}</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2020到2022财年加权平均完全成本加成率独立交易区间为0.59%到7.29%，中位值为1.39%。松莉科技在2023年度的完全成本加成率为5.25%，位于可比公司完全成本加成率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因此，松莉科技在2023年度受测关联交易中的转让定价安排不违背独立交易原则。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2020到2022财年加权平均完全成本加成率独立交易区间为0.59%到7.29%，中位值为1.39%。松莉科技在2023年度的完全成本加成率为5.25%，位于可比公司完全成本加成率形成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因此，从中国转让定价角度，我们认为松莉科技在2023年度受测关联交易中的转让定价安排不违背独立交易原则。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 xml:space="preserve">附件列表 </w:t>
      </w:r>
      <w:bookmarkEnd w:id="1140"/>
      <w:bookmarkEnd w:id="1141"/>
      <w:r>
        <w:t xml:space="preserve"/>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附件1转让定价方法简介</w:t>
      </w:r>
      <w:r>
        <w:rPr>
          <w:rFonts w:ascii="Arial Narrow" w:eastAsia="仿宋_GB2312" w:hAnsi="Arial Narrow" w:cs="Arial"/>
          <w:sz w:val="22"/>
          <w:szCs w:val="22"/>
        </w:rPr>
        <w:t/>
      </w:r>
      <w:r>
        <w:rPr>
          <w:rFonts w:ascii="Arial Narrow" w:eastAsia="仿宋_GB2312" w:hAnsi="Arial Narrow" w:cs="Arial"/>
          <w:sz w:val="22"/>
          <w:szCs w:val="22"/>
        </w:rPr>
        <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附件3可比公司的业务简介</w:t>
      </w:r>
      <w:r>
        <w:rPr>
          <w:rFonts w:ascii="Arial Narrow" w:eastAsia="仿宋_GB2312" w:hAnsi="Arial Narrow" w:cs="Arial"/>
          <w:sz w:val="22"/>
          <w:szCs w:val="22"/>
        </w:rPr>
        <w:t/>
      </w:r>
      <w:r>
        <w:rPr>
          <w:rFonts w:ascii="Arial Narrow" w:eastAsia="仿宋_GB2312" w:hAnsi="Arial Narrow" w:cs="Arial"/>
          <w:sz w:val="22"/>
          <w:szCs w:val="22"/>
        </w:rPr>
        <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附件4可比公司完全成本加成率的计算</w:t>
      </w:r>
      <w:r>
        <w:rPr>
          <w:rFonts w:ascii="Arial Narrow" w:eastAsia="仿宋_GB2312" w:hAnsi="Arial Narrow" w:cs="Arial"/>
          <w:sz w:val="22"/>
          <w:szCs w:val="22"/>
        </w:rPr>
        <w:t/>
      </w:r>
      <w:r>
        <w:rPr>
          <w:rFonts w:ascii="Arial Narrow" w:eastAsia="仿宋_GB2312" w:hAnsi="Arial Narrow" w:cs="Arial"/>
          <w:sz w:val="22"/>
          <w:szCs w:val="22"/>
        </w:rPr>
        <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附件1转让定价方法简介</w:t>
      </w:r>
      <w:r>
        <w:t/>
      </w:r>
      <w:r>
        <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[2017]6号公告第18条规定，再销售价格法通常适用于以下交易：</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“再销售者未对商品进行改变外型、性能、结构或更换商标等实质性增值加工的简单加工或单纯的购销业务。”</w:t>
      </w:r>
      <w:r>
        <w:rPr>
          <w:rFonts w:ascii="Arial Narrow" w:eastAsia="仿宋_GB2312" w:hAnsi="Arial Narrow" w:cs="Arial"/>
          <w:sz w:val="22"/>
          <w:szCs w:val="22"/>
        </w:rPr>
        <w:t/>
      </w:r>
      <w:r>
        <w:rPr>
          <w:rFonts w:ascii="Arial Narrow" w:eastAsia="仿宋_GB2312" w:hAnsi="Arial Narrow" w:cs="Arial"/>
          <w:sz w:val="22"/>
          <w:szCs w:val="22"/>
        </w:rPr>
        <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[2017]6号公告第20条规定，交易净利润法是以可比非关联交易的利润水平指标确定关联交易的净利润。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交易净利润法较其它传统转让定价方法有其明显的优势，《OECD转让定价指南》2.62章节指出:</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“…净利润指标2承受受控和非受控交易之间的某些功能差别。企业所发挥功能方面的差异，通常反映在营业费用的不同上。”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[2017]6号公告第21条的规定，利润分割法一般分为以下2种：</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附件2企业年度关联交易财务状况分析表</w:t>
      </w:r>
      <w:r>
        <w:t/>
      </w:r>
      <w:r>
        <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下表中的财务数据均由松莉科技提供，所有金额均以人民币元为单位。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立信未对提供的财务数据进行核实，也未进行任何的财务分析以验证松莉科技在下述财务数据中所选用分摊标准的合理性。</w:t>
      </w:r>
      <w:r>
        <w:rPr>
          <w:rFonts w:ascii="Arial Narrow" w:eastAsia="仿宋_GB2312" w:hAnsi="Arial Narrow" w:cs="Arial"/>
          <w:sz w:val="22"/>
          <w:szCs w:val="22"/>
        </w:rPr>
        <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其他收益</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{{清单模板-关联方个人信息}}</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{{清单模板-关联方个人信息}}</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附件3被选可比公司的业务简介</w:t>
      </w:r>
      <w:r>
        <w:t/>
      </w:r>
      <w:r>
        <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（日本）</w:t>
      </w:r>
      <w:r>
        <w:rPr>
          <w:rFonts w:ascii="Arial Narrow" w:eastAsia="仿宋_GB2312" w:hAnsi="Arial Narrow" w:cs="Arial"/>
          <w:b/>
          <w:bCs/>
          <w:i/>
          <w:color w:val="002060"/>
          <w:sz w:val="22"/>
          <w:szCs w:val="22"/>
        </w:rPr>
        <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CORPORATION（日本）</w:t>
      </w:r>
      <w:r>
        <w:rPr>
          <w:rFonts w:ascii="Arial Narrow" w:eastAsia="仿宋_GB2312" w:hAnsi="Arial Narrow" w:cs="Arial"/>
          <w:b/>
          <w:bCs/>
          <w:i/>
          <w:color w:val="002060"/>
          <w:sz w:val="22"/>
          <w:szCs w:val="22"/>
        </w:rPr>
        <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LTD.（日本）</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lang w:eastAsia="zh-Hans"/>
        </w:rPr>
        <w:t/>
      </w:r>
      <w:r>
        <w:rPr>
          <w:rFonts w:ascii="Arial Narrow" w:eastAsia="仿宋_GB2312" w:hAnsi="Arial Narrow" w:cs="Arial"/>
          <w:b/>
          <w:bCs/>
          <w:i/>
          <w:color w:val="002060"/>
          <w:sz w:val="22"/>
          <w:szCs w:val="22"/>
        </w:rPr>
        <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ascii="Arial Narrow" w:eastAsia="仿宋_GB2312" w:hAnsi="Arial Narrow" w:cs="Arial"/>
          <w:sz w:val="22"/>
          <w:szCs w:val="22"/>
          <w:lang w:eastAsia="zh-Hans"/>
        </w:rPr>
        <w:t/>
      </w:r>
      <w:r>
        <w:rPr>
          <w:rFonts w:ascii="Arial Narrow" w:eastAsia="仿宋_GB2312" w:hAnsi="Arial Narrow" w:cs="Arial" w:hint="eastAsia"/>
          <w:sz w:val="22"/>
          <w:szCs w:val="22"/>
          <w:lang w:eastAsia="zh-Hans"/>
        </w:rPr>
        <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PCL（泰国）</w:t>
      </w:r>
      <w:r>
        <w:rPr>
          <w:rFonts w:ascii="Arial Narrow" w:eastAsia="仿宋_GB2312" w:hAnsi="Arial Narrow" w:cs="Arial"/>
          <w:b/>
          <w:bCs/>
          <w:i/>
          <w:color w:val="002060"/>
          <w:sz w:val="22"/>
          <w:szCs w:val="22"/>
        </w:rPr>
        <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INC（日本）</w:t>
      </w:r>
      <w:r>
        <w:rPr>
          <w:rFonts w:ascii="Arial Narrow" w:eastAsia="仿宋_GB2312" w:hAnsi="Arial Narrow" w:cs="Arial"/>
          <w:b/>
          <w:bCs/>
          <w:i/>
          <w:color w:val="002060"/>
          <w:sz w:val="22"/>
          <w:szCs w:val="22"/>
        </w:rPr>
        <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eastAsia="仿宋_GB2312" w:hAnsi="Arial Narrow" w:cs="Arial"/>
          <w:sz w:val="22"/>
          <w:szCs w:val="22"/>
        </w:rPr>
        <w:lastRenderedPageBreak/>
        <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CO.,LTD.（韩国）</w:t>
      </w:r>
      <w:r>
        <w:rPr>
          <w:rFonts w:ascii="Arial Narrow" w:eastAsia="仿宋_GB2312" w:hAnsi="Arial Narrow" w:cs="Arial"/>
          <w:b/>
          <w:bCs/>
          <w:i/>
          <w:color w:val="002060"/>
          <w:sz w:val="22"/>
          <w:szCs w:val="22"/>
        </w:rPr>
        <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LTD.（韩国）</w:t>
      </w:r>
      <w:r>
        <w:rPr>
          <w:rFonts w:ascii="Arial Narrow" w:eastAsia="仿宋_GB2312" w:hAnsi="Arial Narrow" w:cs="Arial"/>
          <w:b/>
          <w:bCs/>
          <w:i/>
          <w:color w:val="002060"/>
          <w:sz w:val="22"/>
          <w:szCs w:val="22"/>
        </w:rPr>
        <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LTD.（中国台湾）</w:t>
      </w:r>
      <w:r>
        <w:rPr>
          <w:rFonts w:ascii="Arial Narrow" w:eastAsia="仿宋_GB2312" w:hAnsi="Arial Narrow" w:cs="Arial"/>
          <w:b/>
          <w:bCs/>
          <w:i/>
          <w:color w:val="002060"/>
          <w:sz w:val="22"/>
          <w:szCs w:val="22"/>
        </w:rPr>
        <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INC.（韩国）</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rPr>
        <w:t/>
      </w:r>
      <w:r>
        <w:rPr>
          <w:rFonts w:ascii="Arial Narrow" w:eastAsia="仿宋_GB2312" w:hAnsi="Arial Narrow" w:cs="Arial"/>
          <w:b/>
          <w:bCs/>
          <w:i/>
          <w:color w:val="002060"/>
          <w:sz w:val="22"/>
          <w:szCs w:val="22"/>
        </w:rPr>
        <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附件4被选可比公司完全成本加成率的计算</w:t>
      </w:r>
      <w:r>
        <w:t/>
      </w:r>
      <w:r>
        <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可比公司2020-2022年度加权平均财务数据完全成本加成率计算表</w:t>
      </w:r>
      <w:r w:rsidRPr="005D08A5">
        <w:rPr>
          <w:rFonts w:ascii="Arial Narrow" w:eastAsia="仿宋_GB2312" w:hAnsi="Arial Narrow" w:cs="Arial"/>
          <w:b/>
          <w:bCs/>
          <w:i/>
          <w:color w:val="002060"/>
          <w:sz w:val="22"/>
          <w:szCs w:val="22"/>
        </w:rPr>
        <w:t/>
      </w:r>
      <w:r w:rsidRPr="005D08A5">
        <w:rPr>
          <w:rFonts w:ascii="Arial Narrow" w:eastAsia="仿宋_GB2312" w:hAnsi="Arial Narrow" w:cs="Arial" w:hint="eastAsia"/>
          <w:b/>
          <w:bCs/>
          <w:i/>
          <w:color w:val="002060"/>
          <w:sz w:val="22"/>
          <w:szCs w:val="22"/>
        </w:rPr>
        <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SIC代码</w:t>
            </w:r>
            <w:r>
              <w:rPr>
                <w:rFonts w:ascii="Arial Narrow" w:eastAsia="仿宋_GB2312" w:hAnsi="Arial Narrow" w:cs="Arial"/>
                <w:b/>
                <w:bCs/>
                <w:color w:val="FFFFFF" w:themeColor="background1"/>
              </w:rPr>
              <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{{清单模板-关联关系变化情况}}</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{{清单模板-关联关系变化情况}}</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{{清单模板-关联关系变化情况}}</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{{清单模板-关联关系变化情况}}</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{{清单模板-关联关系变化情况}}</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-3.37%</w:t>
            </w:r>
            <w:r>
              <w:rPr>
                <w:rFonts w:ascii="Arial Narrow" w:eastAsia="仿宋_GB2312" w:hAnsi="Arial Narrow" w:cs="Arial" w:hint="eastAsia"/>
              </w:rPr>
              <w:t/>
            </w:r>
            <w:r>
              <w:rPr>
                <w:rFonts w:ascii="Arial Narrow" w:eastAsia="仿宋_GB2312" w:hAnsi="Arial Narrow" w:cs="Arial"/>
              </w:rPr>
              <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0.59%</w:t>
            </w:r>
            <w:r>
              <w:rPr>
                <w:rFonts w:ascii="Arial Narrow" w:eastAsia="仿宋_GB2312" w:hAnsi="Arial Narrow" w:cs="Arial"/>
              </w:rPr>
              <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1.39%</w:t>
            </w:r>
            <w:r>
              <w:rPr>
                <w:rFonts w:ascii="Arial Narrow" w:eastAsia="仿宋_GB2312" w:hAnsi="Arial Narrow" w:cs="Arial"/>
              </w:rPr>
              <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7.29%</w:t>
            </w:r>
            <w:r>
              <w:rPr>
                <w:rFonts w:ascii="Arial Narrow" w:eastAsia="仿宋_GB2312" w:hAnsi="Arial Narrow" w:cs="Arial"/>
              </w:rPr>
              <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oter2.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oter3.xml" Type="http://schemas.openxmlformats.org/officeDocument/2006/relationships/footer"/><Relationship Id="rId18" Target="header7.xml" Type="http://schemas.openxmlformats.org/officeDocument/2006/relationships/header"/><Relationship Id="rId19" Target="footer4.xml" Type="http://schemas.openxmlformats.org/officeDocument/2006/relationships/footer"/><Relationship Id="rId2" Target="../customXml/item2.xml" Type="http://schemas.openxmlformats.org/officeDocument/2006/relationships/customXml"/><Relationship Id="rId20" Target="footer5.xml" Type="http://schemas.openxmlformats.org/officeDocument/2006/relationships/footer"/><Relationship Id="rId21" Target="media/image1.jpeg" Type="http://schemas.openxmlformats.org/officeDocument/2006/relationships/image"/><Relationship Id="rId22" Target="media/image2.png" Type="http://schemas.openxmlformats.org/officeDocument/2006/relationships/image"/><Relationship Id="rId23" Target="media/image3.png" Type="http://schemas.openxmlformats.org/officeDocument/2006/relationships/image"/><Relationship Id="rId24" Target="media/image4.png" Type="http://schemas.openxmlformats.org/officeDocument/2006/relationships/image"/><Relationship Id="rId25" Target="charts/chart1.xml" Type="http://schemas.openxmlformats.org/officeDocument/2006/relationships/chart"/><Relationship Id="rId26" Target="charts/chart2.xml" Type="http://schemas.openxmlformats.org/officeDocument/2006/relationships/chart"/><Relationship Id="rId27" Target="charts/chart3.xml" Type="http://schemas.openxmlformats.org/officeDocument/2006/relationships/chart"/><Relationship Id="rId28" Target="charts/chart4.xml" Type="http://schemas.openxmlformats.org/officeDocument/2006/relationships/chart"/><Relationship Id="rId29" Target="media/image5.png" Type="http://schemas.openxmlformats.org/officeDocument/2006/relationships/image"/><Relationship Id="rId3" Target="numbering.xml" Type="http://schemas.openxmlformats.org/officeDocument/2006/relationships/numbering"/><Relationship Id="rId30" Target="media/image6.jpeg" Type="http://schemas.openxmlformats.org/officeDocument/2006/relationships/image"/><Relationship Id="rId31" Target="header8.xml" Type="http://schemas.openxmlformats.org/officeDocument/2006/relationships/header"/><Relationship Id="rId32" Target="header9.xml" Type="http://schemas.openxmlformats.org/officeDocument/2006/relationships/header"/><Relationship Id="rId33" Target="media/image7.png" Type="http://schemas.openxmlformats.org/officeDocument/2006/relationships/image"/><Relationship Id="rId34" Target="charts/chart5.xml" Type="http://schemas.openxmlformats.org/officeDocument/2006/relationships/chart"/><Relationship Id="rId35" Target="header10.xml" Type="http://schemas.openxmlformats.org/officeDocument/2006/relationships/header"/><Relationship Id="rId36" Target="footer6.xml" Type="http://schemas.openxmlformats.org/officeDocument/2006/relationships/footer"/><Relationship Id="rId37" Target="header11.xml" Type="http://schemas.openxmlformats.org/officeDocument/2006/relationships/header"/><Relationship Id="rId38" Target="fontTable.xml" Type="http://schemas.openxmlformats.org/officeDocument/2006/relationships/fontTable"/><Relationship Id="rId39" Target="theme/theme1.xml" Type="http://schemas.openxmlformats.org/officeDocument/2006/relationships/theme"/><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charts/_rels/chart1.xml.rels><?xml version="1.0" encoding="UTF-8" standalone="yes"?><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___1.xlsx" Type="http://schemas.openxmlformats.org/officeDocument/2006/relationships/package"/></Relationships>
</file>

<file path=word/charts/_rels/chart2.xml.rels><?xml version="1.0" encoding="UTF-8" standalone="yes"?><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___2.xlsx" Type="http://schemas.openxmlformats.org/officeDocument/2006/relationships/package"/></Relationships>
</file>

<file path=word/charts/_rels/chart3.xml.rels><?xml version="1.0" encoding="UTF-8" standalone="yes"?><Relationships xmlns="http://schemas.openxmlformats.org/package/2006/relationships"><Relationship Id="rId1" Target="style3.xml" Type="http://schemas.microsoft.com/office/2011/relationships/chartStyle"/><Relationship Id="rId2" Target="colors3.xml" Type="http://schemas.microsoft.com/office/2011/relationships/chartColorStyle"/><Relationship Id="rId3" Target="../embeddings/Microsoft_Excel____3.xlsx" Type="http://schemas.openxmlformats.org/officeDocument/2006/relationships/package"/></Relationships>
</file>

<file path=word/charts/_rels/chart4.xml.rels><?xml version="1.0" encoding="UTF-8" standalone="yes"?><Relationships xmlns="http://schemas.openxmlformats.org/package/2006/relationships"><Relationship Id="rId1" Target="style4.xml" Type="http://schemas.microsoft.com/office/2011/relationships/chartStyle"/><Relationship Id="rId2" Target="colors4.xml" Type="http://schemas.microsoft.com/office/2011/relationships/chartColorStyle"/><Relationship Id="rId3" Target="../embeddings/Microsoft_Excel____4.xlsx" Type="http://schemas.openxmlformats.org/officeDocument/2006/relationships/package"/></Relationships>
</file>

<file path=word/charts/_rels/chart5.xml.rels><?xml version="1.0" encoding="UTF-8" standalone="yes"?><Relationships xmlns="http://schemas.openxmlformats.org/package/2006/relationships"><Relationship Id="rId1" Target="style5.xml" Type="http://schemas.microsoft.com/office/2011/relationships/chartStyle"/><Relationship Id="rId2" Target="colors5.xml" Type="http://schemas.microsoft.com/office/2011/relationships/chartColorStyle"/><Relationship Id="rId3" Target="../embeddings/Microsoft_Excel____5.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2024-10-30T08:40:00Z</dcterms:created>
  <dc:creator>Deng Lillian</dc:creator>
  <cp:lastModifiedBy>LD</cp:lastModifiedBy>
  <cp:lastPrinted>2024-06-12T08:17:00Z</cp:lastPrinted>
  <dcterms:modified xsi:type="dcterms:W3CDTF">2024-10-30T08:40:00Z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