
<file path=[Content_Types].xml><?xml version="1.0" encoding="utf-8"?>
<Types xmlns="http://schemas.openxmlformats.org/package/2006/content-types">
  <Default Extension="xlsx" ContentType="application/vnd.openxmlformats-officedocument.spreadsheetml.sheet"/>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word/charts/colors5.xml" ContentType="application/vnd.ms-office.chartcolorstyle+xml"/>
  <Override PartName="/word/charts/chart5.xml" ContentType="application/vnd.openxmlformats-officedocument.drawingml.chart+xml"/>
  <Override PartName="/word/charts/style4.xml" ContentType="application/vnd.ms-office.chartstyle+xml"/>
  <Override PartName="/word/charts/chart4.xml" ContentType="application/vnd.openxmlformats-officedocument.drawingml.chart+xml"/>
  <Override PartName="/word/charts/colors3.xml" ContentType="application/vnd.ms-office.chartcolorstyle+xml"/>
  <Override PartName="/word/charts/chart3.xml" ContentType="application/vnd.openxmlformats-officedocument.drawingml.chart+xml"/>
  <Override PartName="/word/charts/colors2.xml" ContentType="application/vnd.ms-office.chartcolorstyle+xml"/>
  <Override PartName="/word/charts/style2.xml" ContentType="application/vnd.ms-office.chartstyle+xml"/>
  <Override PartName="/word/charts/chart2.xml" ContentType="application/vnd.openxmlformats-officedocument.drawingml.chart+xml"/>
  <Override PartName="/word/footer5.xml" ContentType="application/vnd.openxmlformats-officedocument.wordprocessingml.footer+xml"/>
  <Override PartName="/word/charts/colors4.xml" ContentType="application/vnd.ms-office.chartcolorstyle+xml"/>
  <Override PartName="/word/footer3.xml" ContentType="application/vnd.openxmlformats-officedocument.wordprocessingml.footer+xml"/>
  <Override PartName="/word/charts/style1.xml" ContentType="application/vnd.ms-office.chartstyle+xml"/>
  <Override PartName="/word/footer2.xml" ContentType="application/vnd.openxmlformats-officedocument.wordprocessingml.footer+xml"/>
  <Override PartName="/word/charts/style3.xml" ContentType="application/vnd.ms-office.chartstyle+xml"/>
  <Override PartName="/word/footer1.xml" ContentType="application/vnd.openxmlformats-officedocument.wordprocessingml.footer+xml"/>
  <Override PartName="/word/header10.xml" ContentType="application/vnd.openxmlformats-officedocument.wordprocessingml.header+xml"/>
  <Override PartName="/word/header8.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Override PartName="/word/header5.xml" ContentType="application/vnd.openxmlformats-officedocument.wordprocessingml.header+xml"/>
  <Override PartName="/word/charts/chart1.xml" ContentType="application/vnd.openxmlformats-officedocument.drawingml.chart+xml"/>
  <Override PartName="/word/footer6.xml" ContentType="application/vnd.openxmlformats-officedocument.wordprocessingml.footer+xml"/>
  <Override PartName="/word/numbering.xml" ContentType="application/vnd.openxmlformats-officedocument.wordprocessingml.numbering+xml"/>
  <Override PartName="/word/header4.xml" ContentType="application/vnd.openxmlformats-officedocument.wordprocessingml.header+xml"/>
  <Override PartName="/word/header2.xml" ContentType="application/vnd.openxmlformats-officedocument.wordprocessingml.header+xml"/>
  <Override PartName="/word/header9.xml" ContentType="application/vnd.openxmlformats-officedocument.wordprocessingml.header+xml"/>
  <Override PartName="/docProps/custom.xml" ContentType="application/vnd.openxmlformats-officedocument.custom-properties+xml"/>
  <Override PartName="/word/header1.xml" ContentType="application/vnd.openxmlformats-officedocument.wordprocessingml.header+xml"/>
  <Override PartName="/word/endnotes.xml" ContentType="application/vnd.openxmlformats-officedocument.wordprocessingml.endnotes+xml"/>
  <Override PartName="/word/header6.xml" ContentType="application/vnd.openxmlformats-officedocument.wordprocessingml.header+xml"/>
  <Override PartName="/word/footer4.xml" ContentType="application/vnd.openxmlformats-officedocument.wordprocessingml.footer+xml"/>
  <Override PartName="/word/theme/theme1.xml" ContentType="application/vnd.openxmlformats-officedocument.theme+xml"/>
  <Override PartName="/word/header11.xml" ContentType="application/vnd.openxmlformats-officedocument.wordprocessingml.header+xml"/>
  <Override PartName="/word/fontTable.xml" ContentType="application/vnd.openxmlformats-officedocument.wordprocessingml.fontTable+xml"/>
  <Override PartName="/word/header3.xml" ContentType="application/vnd.openxmlformats-officedocument.wordprocessingml.header+xml"/>
  <Override PartName="/word/webSettings.xml" ContentType="application/vnd.openxmlformats-officedocument.wordprocessingml.webSettings+xml"/>
  <Override PartName="/word/settings.xml" ContentType="application/vnd.openxmlformats-officedocument.wordprocessingml.settings+xml"/>
  <Override PartName="/word/header7.xml" ContentType="application/vnd.openxmlformats-officedocument.wordprocessingml.header+xml"/>
  <Override PartName="/word/document.xml" ContentType="application/vnd.openxmlformats-officedocument.wordprocessingml.document.main+xml"/>
  <Override PartName="/word/charts/colors1.xml" ContentType="application/vnd.ms-office.chartcolorstyle+xml"/>
  <Override PartName="/word/charts/style5.xml" ContentType="application/vnd.ms-office.chartstyle+xml"/>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501"/>
        <w:pBdr/>
        <w:spacing/>
        <w:ind/>
        <w:jc w:val="both"/>
        <w:rPr>
          <w:rFonts w:ascii="Arial Narrow" w:hAnsi="Arial Narrow" w:eastAsia="仿宋_GB2312" w:cs="Arial"/>
          <w:b/>
          <w:bCs/>
          <w:szCs w:val="36"/>
          <w:lang w:val="en-GB" w:eastAsia="zh-CN"/>
        </w:rPr>
      </w:pPr>
      <w:r>
        <w:rPr>
          <w:rFonts w:ascii="Arial Narrow" w:hAnsi="Arial Narrow" w:eastAsia="仿宋_GB2312" w:cs="Arial"/>
          <w:b/>
          <w:bCs/>
          <w:szCs w:val="36"/>
          <w:lang w:val="en-GB" w:eastAsia="zh-CN"/>
        </w:rPr>
      </w:r>
      <w:r>
        <w:rPr>
          <w:rFonts w:ascii="Arial Narrow" w:hAnsi="Arial Narrow" w:eastAsia="仿宋_GB2312" w:cs="Arial"/>
          <w:b/>
          <w:bCs/>
          <w:szCs w:val="36"/>
          <w:lang w:val="en-GB" w:eastAsia="zh-CN"/>
        </w:rPr>
      </w:r>
    </w:p>
    <w:p>
      <w:pPr>
        <w:pStyle w:val="1501"/>
        <w:pBdr/>
        <w:spacing/>
        <w:ind/>
        <w:jc w:val="both"/>
        <w:rPr>
          <w:rFonts w:ascii="Arial Narrow" w:hAnsi="Arial Narrow" w:eastAsia="仿宋_GB2312" w:cs="Arial"/>
          <w:b/>
          <w:bCs/>
          <w:szCs w:val="36"/>
          <w:lang w:val="en-GB" w:eastAsia="zh-CN"/>
        </w:rPr>
      </w:pPr>
      <w:r>
        <w:rPr>
          <w:rFonts w:ascii="Arial Narrow" w:hAnsi="Arial Narrow" w:eastAsia="仿宋_GB2312" w:cs="Arial"/>
          <w:b/>
          <w:bCs/>
          <w:szCs w:val="36"/>
          <w:lang w:val="en-GB" w:eastAsia="zh-CN"/>
        </w:rPr>
      </w:r>
      <w:r>
        <w:rPr>
          <w:rFonts w:ascii="Arial Narrow" w:hAnsi="Arial Narrow" w:eastAsia="仿宋_GB2312" w:cs="Arial"/>
          <w:b/>
          <w:bCs/>
          <w:szCs w:val="36"/>
          <w:lang w:val="en-GB" w:eastAsia="zh-CN"/>
        </w:rPr>
      </w:r>
    </w:p>
    <w:p>
      <w:pPr>
        <w:pStyle w:val="1501"/>
        <w:pBdr/>
        <w:spacing/>
        <w:ind/>
        <w:jc w:val="center"/>
        <w:rPr>
          <w:rFonts w:ascii="Arial Narrow" w:hAnsi="Arial Narrow" w:eastAsia="仿宋_GB2312" w:cs="Arial"/>
          <w:b/>
          <w:bCs/>
          <w:color w:val="00b0f0"/>
          <w:szCs w:val="36"/>
          <w:lang w:val="en-GB" w:eastAsia="zh-CN"/>
        </w:rPr>
      </w:pPr>
      <w:r>
        <w:rPr>
          <w:rFonts w:ascii="Arial Narrow" w:hAnsi="Arial Narrow" w:eastAsia="仿宋_GB2312" w:cs="Arial"/>
          <w:b/>
          <w:bCs/>
          <w:color w:val="00b0f0"/>
          <w:szCs w:val="36"/>
          <w:lang w:val="en-GB" w:eastAsia="zh-CN"/>
        </w:rPr>
      </w:r>
      <w:r>
        <w:rPr>
          <w:rFonts w:ascii="Arial Narrow" w:hAnsi="Arial Narrow" w:eastAsia="仿宋_GB2312" w:cs="Arial"/>
          <w:b/>
          <w:bCs/>
          <w:color w:val="00b0f0"/>
          <w:szCs w:val="36"/>
          <w:lang w:val="en-GB" w:eastAsia="zh-CN"/>
        </w:rPr>
      </w:r>
    </w:p>
    <w:p>
      <w:pPr>
        <w:widowControl w:val="false"/>
        <w:pBdr/>
        <w:spacing w:after="163" w:before="163"/>
        <w:ind w:right="-870"/>
        <w:rPr>
          <w:rFonts w:ascii="Arial Narrow" w:hAnsi="Arial Narrow" w:eastAsia="仿宋_GB2312" w:cs="Arial"/>
          <w:color w:val="00b0f0"/>
          <w:sz w:val="48"/>
          <w:szCs w:val="22"/>
        </w:rPr>
      </w:pPr>
      <w:r>
        <w:rPr>
          <w:rFonts w:ascii="Arial Narrow" w:hAnsi="Arial Narrow" w:eastAsia="仿宋_GB2312" w:cs="Arial"/>
          <w:color w:val="002060"/>
          <w:sz w:val="48"/>
          <w:szCs w:val="22"/>
        </w:rPr>
        <w:t xml:space="preserve">{{企业名称}}</w:t>
      </w:r>
      <w:r>
        <w:rPr>
          <w:rFonts w:ascii="Arial Narrow" w:hAnsi="Arial Narrow" w:eastAsia="仿宋_GB2312" w:cs="Arial"/>
          <w:color w:val="00b0f0"/>
          <w:sz w:val="48"/>
          <w:szCs w:val="22"/>
        </w:rPr>
      </w:r>
    </w:p>
    <w:p>
      <w:pPr>
        <w:widowControl w:val="false"/>
        <w:pBdr/>
        <w:spacing/>
        <w:ind w:right="-870"/>
        <w:rPr>
          <w:rFonts w:ascii="Arial Narrow" w:hAnsi="Arial Narrow" w:eastAsia="仿宋_GB2312" w:cs="Arial"/>
          <w:b/>
          <w:color w:val="c75b12"/>
          <w:sz w:val="52"/>
          <w:szCs w:val="22"/>
        </w:rPr>
      </w:pPr>
      <w:r>
        <w:rPr>
          <w:rFonts w:ascii="Arial Narrow" w:hAnsi="Arial Narrow" w:eastAsia="仿宋_GB2312" w:cs="Arial"/>
          <w:b/>
          <w:color w:val="c75b12"/>
          <w:sz w:val="52"/>
          <w:szCs w:val="22"/>
        </w:rPr>
      </w:r>
      <w:r>
        <w:rPr>
          <w:rFonts w:ascii="Arial Narrow" w:hAnsi="Arial Narrow" w:eastAsia="仿宋_GB2312" w:cs="Arial"/>
          <w:b/>
          <w:color w:val="c75b12"/>
          <w:sz w:val="52"/>
          <w:szCs w:val="22"/>
        </w:rPr>
      </w:r>
    </w:p>
    <w:p>
      <w:pPr>
        <w:pStyle w:val="1501"/>
        <w:pBdr/>
        <w:spacing/>
        <w:ind/>
        <w:jc w:val="both"/>
        <w:rPr>
          <w:rFonts w:ascii="Arial Narrow" w:hAnsi="Arial Narrow" w:eastAsia="仿宋_GB2312" w:cs="Arial"/>
          <w:b/>
          <w:szCs w:val="36"/>
          <w:lang w:eastAsia="zh-CN"/>
        </w:rPr>
      </w:pPr>
      <w:r>
        <w:rPr>
          <w:rFonts w:ascii="Arial Narrow" w:hAnsi="Arial Narrow" w:eastAsia="仿宋_GB2312" w:cs="Arial"/>
          <w:color w:val="000000"/>
          <w:sz w:val="32"/>
          <w:szCs w:val="32"/>
          <w:lang w:eastAsia="zh-CN"/>
        </w:rPr>
        <w:t xml:space="preserve">关联交易同期资料的本地文档</w:t>
      </w:r>
      <w:r>
        <w:rPr>
          <w:rFonts w:ascii="Arial Narrow" w:hAnsi="Arial Narrow" w:eastAsia="仿宋_GB2312" w:cs="Arial"/>
          <w:b/>
          <w:szCs w:val="36"/>
          <w:lang w:eastAsia="zh-CN"/>
        </w:rPr>
      </w:r>
    </w:p>
    <w:p>
      <w:pPr>
        <w:widowControl w:val="false"/>
        <w:pBdr/>
        <w:spacing w:after="163" w:before="50" w:line="360" w:lineRule="exact"/>
        <w:ind/>
        <w:rPr>
          <w:rFonts w:ascii="Arial Narrow" w:hAnsi="Arial Narrow" w:eastAsia="仿宋_GB2312" w:cs="Arial"/>
          <w:color w:val="000000"/>
          <w:sz w:val="32"/>
          <w:szCs w:val="32"/>
        </w:rPr>
      </w:pPr>
      <w:r>
        <w:rPr>
          <w:rFonts w:ascii="Arial Narrow" w:hAnsi="Arial Narrow" w:eastAsia="仿宋_GB2312" w:cs="Arial"/>
          <w:color w:val="000000"/>
          <w:sz w:val="32"/>
          <w:szCs w:val="32"/>
        </w:rPr>
        <w:t xml:space="preserve">2023财务年度（截至 2023年 12 月 31 日）</w:t>
      </w:r>
      <w:r>
        <w:rPr>
          <w:rFonts w:ascii="Arial Narrow" w:hAnsi="Arial Narrow" w:eastAsia="仿宋_GB2312" w:cs="Arial"/>
          <w:color w:val="000000"/>
          <w:sz w:val="32"/>
          <w:szCs w:val="32"/>
        </w:rPr>
      </w:r>
      <w:r>
        <w:rPr>
          <w:rFonts w:ascii="Arial Narrow" w:hAnsi="Arial Narrow" w:eastAsia="仿宋_GB2312" w:cs="Arial"/>
          <w:color w:val="000000"/>
          <w:sz w:val="32"/>
          <w:szCs w:val="32"/>
        </w:rPr>
      </w:r>
    </w:p>
    <w:p>
      <w:pPr>
        <w:widowControl w:val="false"/>
        <w:pBdr/>
        <w:spacing w:after="163" w:before="50" w:line="360" w:lineRule="exact"/>
        <w:ind/>
        <w:rPr>
          <w:rFonts w:ascii="Arial Narrow" w:hAnsi="Arial Narrow" w:eastAsia="仿宋_GB2312" w:cs="Arial"/>
          <w:color w:val="000000"/>
          <w:sz w:val="32"/>
          <w:szCs w:val="32"/>
        </w:rPr>
      </w:pPr>
      <w:r>
        <w:rPr>
          <w:rFonts w:ascii="Arial Narrow" w:hAnsi="Arial Narrow" w:eastAsia="仿宋_GB2312" w:cs="Arial"/>
          <w:color w:val="000000"/>
          <w:sz w:val="32"/>
          <w:szCs w:val="32"/>
        </w:rPr>
      </w:r>
      <w:r>
        <w:rPr>
          <w:rFonts w:ascii="Arial Narrow" w:hAnsi="Arial Narrow" w:eastAsia="仿宋_GB2312" w:cs="Arial"/>
          <w:color w:val="000000"/>
          <w:sz w:val="32"/>
          <w:szCs w:val="32"/>
        </w:rPr>
      </w:r>
    </w:p>
    <w:p>
      <w:pPr>
        <w:widowControl w:val="false"/>
        <w:pBdr/>
        <w:spacing w:after="163" w:before="50" w:line="360" w:lineRule="exact"/>
        <w:ind/>
        <w:rPr>
          <w:rFonts w:ascii="Arial Narrow" w:hAnsi="Arial Narrow" w:eastAsia="仿宋_GB2312" w:cs="Arial"/>
          <w:color w:val="000000"/>
          <w:sz w:val="32"/>
          <w:szCs w:val="32"/>
        </w:rPr>
      </w:pPr>
      <w:r>
        <w:rPr>
          <w:rFonts w:ascii="Arial Narrow" w:hAnsi="Arial Narrow" w:eastAsia="仿宋_GB2312" w:cs="Arial"/>
          <w:color w:val="000000"/>
          <w:sz w:val="32"/>
          <w:szCs w:val="32"/>
        </w:rPr>
      </w:r>
      <w:r>
        <w:rPr>
          <w:rFonts w:ascii="Arial Narrow" w:hAnsi="Arial Narrow" w:eastAsia="仿宋_GB2312" w:cs="Arial"/>
          <w:color w:val="000000"/>
          <w:sz w:val="32"/>
          <w:szCs w:val="32"/>
        </w:rPr>
      </w:r>
    </w:p>
    <w:p>
      <w:pPr>
        <w:pBdr/>
        <w:spacing/>
        <w:ind/>
        <w:rPr>
          <w:rFonts w:ascii="Arial Narrow" w:hAnsi="Arial Narrow" w:eastAsia="仿宋_GB2312" w:cs="Arial"/>
          <w:sz w:val="22"/>
          <w:szCs w:val="22"/>
        </w:rPr>
        <w:sectPr>
          <w:headerReference w:type="default" r:id="rId9"/>
          <w:footerReference w:type="even" r:id="rId20"/>
          <w:footnotePr/>
          <w:endnotePr/>
          <w:type w:val="nextPage"/>
          <w:pgSz w:h="16838" w:orient="portrait" w:w="11906"/>
          <w:pgMar w:top="1440" w:right="1797" w:bottom="1440" w:left="1797" w:header="0" w:footer="992" w:gutter="0"/>
          <w:cols w:num="1" w:sep="0" w:space="425" w:equalWidth="1"/>
        </w:sectPr>
      </w:pPr>
      <w:r/>
      <w:bookmarkStart w:id="0" w:name="_Toc485214855"/>
      <w:r/>
      <w:bookmarkStart w:id="1" w:name="_Toc485214858"/>
      <w:r/>
      <w:bookmarkStart w:id="2" w:name="_Toc485215941"/>
      <w:r/>
      <w:bookmarkStart w:id="3" w:name="_Toc485215930"/>
      <w:r/>
      <w:bookmarkStart w:id="4" w:name="_Toc485215492"/>
      <w:r/>
      <w:bookmarkStart w:id="5" w:name="_Toc485215949"/>
      <w:r/>
      <w:bookmarkStart w:id="6" w:name="_Toc485214851"/>
      <w:r/>
      <w:bookmarkStart w:id="7" w:name="_Toc485215481"/>
      <w:r/>
      <w:bookmarkStart w:id="8" w:name="_Toc485215932"/>
      <w:r/>
      <w:bookmarkStart w:id="9" w:name="_Toc485215486"/>
      <w:r/>
      <w:bookmarkStart w:id="10" w:name="_Toc485215484"/>
      <w:r/>
      <w:bookmarkStart w:id="11" w:name="_Toc485215488"/>
      <w:r/>
      <w:bookmarkStart w:id="12" w:name="_Toc485215931"/>
      <w:r/>
      <w:bookmarkStart w:id="13" w:name="_Toc485215934"/>
      <w:r/>
      <w:bookmarkStart w:id="14" w:name="_Toc485215482"/>
      <w:r/>
      <w:bookmarkStart w:id="15" w:name="_Toc485215494"/>
      <w:r/>
      <w:bookmarkStart w:id="16" w:name="_Toc485214849"/>
      <w:r/>
      <w:bookmarkStart w:id="17" w:name="_Toc485215936"/>
      <w:r/>
      <w:bookmarkStart w:id="18" w:name="_Toc485214848"/>
      <w:r/>
      <w:bookmarkStart w:id="19" w:name="_Toc485215933"/>
      <w:r/>
      <w:bookmarkStart w:id="20" w:name="_Toc485214853"/>
      <w:r/>
      <w:bookmarkStart w:id="21" w:name="_Toc485214850"/>
      <w:r/>
      <w:bookmarkStart w:id="22" w:name="_Toc485215483"/>
      <w:r/>
      <w:bookmarkStart w:id="23" w:name="_Toc485215928"/>
      <w:r/>
      <w:bookmarkStart w:id="24" w:name="_Toc485214852"/>
      <w:r/>
      <w:bookmarkStart w:id="25" w:name="_Toc485215487"/>
      <w:r/>
      <w:bookmarkStart w:id="26" w:name="_Toc485215489"/>
      <w:r/>
      <w:bookmarkStart w:id="27" w:name="_Toc485214866"/>
      <w:r/>
      <w:bookmarkStart w:id="28" w:name="_Toc485215938"/>
      <w:r/>
      <w:bookmarkStart w:id="29" w:name="_Toc485215502"/>
      <w:r/>
      <w:bookmarkStart w:id="30" w:name="_Toc485215950"/>
      <w:r/>
      <w:bookmarkStart w:id="31" w:name="_Toc485215929"/>
      <w:r/>
      <w:bookmarkStart w:id="32" w:name="_Toc485214846"/>
      <w:r/>
      <w:bookmarkStart w:id="33" w:name="_Toc485215503"/>
      <w:r/>
      <w:bookmarkStart w:id="34" w:name="_Toc485215485"/>
      <w:r/>
      <w:bookmarkStart w:id="35" w:name="_Toc485215956"/>
      <w:r/>
      <w:bookmarkStart w:id="36" w:name="_Toc485215939"/>
      <w:r/>
      <w:bookmarkStart w:id="37" w:name="_Toc485214867"/>
      <w:r/>
      <w:bookmarkStart w:id="38" w:name="_Toc485215935"/>
      <w:r/>
      <w:bookmarkStart w:id="39" w:name="_Toc485214856"/>
      <w:r/>
      <w:bookmarkStart w:id="40" w:name="_Toc485215491"/>
      <w:r/>
      <w:bookmarkStart w:id="41" w:name="_Toc516737738"/>
      <w:r/>
      <w:bookmarkStart w:id="42" w:name="_Toc485214845"/>
      <w:r/>
      <w:bookmarkStart w:id="43" w:name="_Toc485214847"/>
      <w:r/>
      <w:bookmarkStart w:id="44" w:name="_Toc485215509"/>
      <w:r/>
      <w:bookmarkStart w:id="45" w:name="_Toc485214873"/>
      <w:r/>
      <w:bookmarkStart w:id="46" w:name="_GoBack"/>
      <w:r/>
      <w:bookmarkEnd w:id="0"/>
      <w:r/>
      <w:bookmarkEnd w:id="1"/>
      <w:r/>
      <w:bookmarkEnd w:id="2"/>
      <w:r/>
      <w:bookmarkEnd w:id="3"/>
      <w:r/>
      <w:bookmarkEnd w:id="4"/>
      <w:r/>
      <w:bookmarkEnd w:id="5"/>
      <w:r/>
      <w:bookmarkEnd w:id="6"/>
      <w:r/>
      <w:bookmarkEnd w:id="7"/>
      <w:r/>
      <w:bookmarkEnd w:id="8"/>
      <w:r/>
      <w:bookmarkEnd w:id="9"/>
      <w:r/>
      <w:bookmarkEnd w:id="10"/>
      <w:r/>
      <w:bookmarkEnd w:id="11"/>
      <w:r/>
      <w:bookmarkEnd w:id="12"/>
      <w:r/>
      <w:bookmarkEnd w:id="13"/>
      <w:r/>
      <w:bookmarkEnd w:id="14"/>
      <w:r/>
      <w:bookmarkEnd w:id="15"/>
      <w:r/>
      <w:bookmarkEnd w:id="16"/>
      <w:r/>
      <w:bookmarkEnd w:id="17"/>
      <w:r/>
      <w:bookmarkEnd w:id="18"/>
      <w:r/>
      <w:bookmarkEnd w:id="19"/>
      <w:r/>
      <w:bookmarkEnd w:id="20"/>
      <w:r/>
      <w:bookmarkEnd w:id="21"/>
      <w:r/>
      <w:bookmarkEnd w:id="22"/>
      <w:r/>
      <w:bookmarkEnd w:id="23"/>
      <w:r/>
      <w:bookmarkEnd w:id="24"/>
      <w:r/>
      <w:bookmarkEnd w:id="25"/>
      <w:r/>
      <w:bookmarkEnd w:id="26"/>
      <w:r/>
      <w:bookmarkEnd w:id="27"/>
      <w:r/>
      <w:bookmarkEnd w:id="28"/>
      <w:r/>
      <w:bookmarkEnd w:id="29"/>
      <w:r/>
      <w:bookmarkEnd w:id="30"/>
      <w:r/>
      <w:bookmarkEnd w:id="31"/>
      <w:r/>
      <w:bookmarkEnd w:id="32"/>
      <w:r/>
      <w:bookmarkEnd w:id="33"/>
      <w:r/>
      <w:bookmarkEnd w:id="34"/>
      <w:r/>
      <w:bookmarkEnd w:id="35"/>
      <w:r/>
      <w:bookmarkEnd w:id="36"/>
      <w:r/>
      <w:bookmarkEnd w:id="37"/>
      <w:r/>
      <w:bookmarkEnd w:id="38"/>
      <w:r/>
      <w:bookmarkEnd w:id="39"/>
      <w:r/>
      <w:bookmarkEnd w:id="40"/>
      <w:r/>
      <w:bookmarkEnd w:id="41"/>
      <w:r/>
      <w:bookmarkEnd w:id="42"/>
      <w:r/>
      <w:bookmarkEnd w:id="43"/>
      <w:r/>
      <w:bookmarkEnd w:id="44"/>
      <w:r/>
      <w:bookmarkEnd w:id="45"/>
      <w:r/>
      <w:bookmarkEnd w:id="46"/>
      <w:r>
        <w:rPr>
          <w:rFonts w:ascii="Arial Narrow" w:hAnsi="Arial Narrow" w:eastAsia="仿宋_GB2312" w:cs="Arial"/>
          <w:sz w:val="21"/>
          <w:szCs w:val="22"/>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-702310</wp:posOffset>
                </wp:positionH>
                <wp:positionV relativeFrom="paragraph">
                  <wp:posOffset>7322185</wp:posOffset>
                </wp:positionV>
                <wp:extent cx="3291840" cy="1952625"/>
                <wp:effectExtent l="0" t="0" r="0" b="4445"/>
                <wp:wrapNone/>
                <wp:docPr id="1" name="Rectangle 3"/>
                <wp:cNvGraphicFramePr/>
                <a:graphic xmlns:a="http://schemas.openxmlformats.org/drawingml/2006/main">
                  <a:graphicData uri="http://schemas.microsoft.com/office/word/2010/wordprocessingShape">
                    <wps:wsp>
                      <wps:cNvPr id="0" name=""/>
                      <wps:cNvSpPr>
                        <a:spLocks noChangeArrowheads="1"/>
                      </wps:cNvSpPr>
                      <wps:spPr bwMode="auto">
                        <a:xfrm>
                          <a:off x="0" y="0"/>
                          <a:ext cx="3291840" cy="1952625"/>
                        </a:xfrm>
                        <a:prstGeom prst="rect">
                          <a:avLst/>
                        </a:prstGeom>
                        <a:solidFill>
                          <a:srgbClr val="FFFFFF"/>
                        </a:solidFill>
                        <a:ln>
                          <a:noFill/>
                        </a:ln>
                      </wps:spPr>
                      <wps:bodyPr rot="0">
                        <a:prstTxWarp prst="textNoShape">
                          <a:avLst/>
                        </a:prstTxWarp>
                        <a:noAutofit/>
                      </wps:bodyPr>
                    </wps:wsp>
                  </a:graphicData>
                </a:graphic>
              </wp:anchor>
            </w:drawing>
          </mc:Choice>
          <mc:Fallback>
            <w:pict>
              <v:shape id="shape 0" o:spid="_x0000_s0" o:spt="1" type="#_x0000_t1" style="position:absolute;z-index:251659264;o:allowoverlap:true;o:allowincell:true;mso-position-horizontal-relative:text;margin-left:-55.30pt;mso-position-horizontal:absolute;mso-position-vertical-relative:text;margin-top:576.55pt;mso-position-vertical:absolute;width:259.20pt;height:153.75pt;mso-wrap-distance-left:9.00pt;mso-wrap-distance-top:0.00pt;mso-wrap-distance-right:9.00pt;mso-wrap-distance-bottom:0.00pt;visibility:visible;" fillcolor="#FFFFFF" stroked="f"/>
            </w:pict>
          </mc:Fallback>
        </mc:AlternateContent>
      </w:r>
      <w:r>
        <w:rPr>
          <w:rFonts w:ascii="Arial Narrow" w:hAnsi="Arial Narrow" w:eastAsia="仿宋_GB2312" w:cs="Arial"/>
          <w:sz w:val="22"/>
          <w:szCs w:val="22"/>
        </w:rPr>
      </w:r>
    </w:p>
    <w:p>
      <w:pPr>
        <w:pBdr/>
        <w:spacing w:before="240" w:line="360" w:lineRule="auto"/>
        <w:ind w:right="84" w:left="142"/>
        <w:jc w:val="center"/>
        <w:rPr>
          <w:rFonts w:ascii="Arial Narrow" w:hAnsi="Arial Narrow" w:eastAsia="仿宋_GB2312" w:cs="Arial"/>
          <w:sz w:val="22"/>
          <w:szCs w:val="22"/>
        </w:rPr>
      </w:pPr>
      <w:r>
        <w:rPr>
          <w:rFonts w:ascii="Arial Narrow" w:hAnsi="Arial Narrow" w:eastAsia="仿宋_GB2312" w:cs="Arial"/>
          <w:b/>
          <w:sz w:val="28"/>
          <w:szCs w:val="22"/>
        </w:rPr>
        <w:t xml:space="preserve">{{企业名称}}声明</w:t>
      </w:r>
      <w:r>
        <w:rPr>
          <w:rFonts w:ascii="Arial Narrow" w:hAnsi="Arial Narrow" w:eastAsia="仿宋_GB2312" w:cs="Arial"/>
          <w:sz w:val="22"/>
          <w:szCs w:val="22"/>
        </w:rPr>
      </w:r>
    </w:p>
    <w:p>
      <w:pPr>
        <w:pBdr/>
        <w:spacing w:after="240" w:before="240"/>
        <w:ind w:right="84" w:firstLine="440" w:left="142"/>
        <w:rPr>
          <w:rFonts w:ascii="Arial Narrow" w:hAnsi="Arial Narrow" w:eastAsia="仿宋_GB2312" w:cs="Arial"/>
          <w:sz w:val="22"/>
          <w:szCs w:val="22"/>
        </w:rPr>
      </w:pPr>
      <w:r>
        <w:rPr>
          <w:rFonts w:ascii="Arial Narrow" w:hAnsi="Arial Narrow" w:eastAsia="仿宋_GB2312" w:cs="Arial"/>
          <w:sz w:val="22"/>
          <w:szCs w:val="22"/>
        </w:rPr>
        <w:t xml:space="preserve">本公司根据以下规定准备2023年度同期资料的本地文档（以下简称“本报告”）：</w:t>
      </w:r>
      <w:r>
        <w:rPr>
          <w:rFonts w:ascii="Arial Narrow" w:hAnsi="Arial Narrow" w:eastAsia="仿宋_GB2312" w:cs="Arial"/>
          <w:sz w:val="22"/>
          <w:szCs w:val="22"/>
        </w:rPr>
      </w:r>
      <w:r>
        <w:rPr>
          <w:rFonts w:ascii="Arial Narrow" w:hAnsi="Arial Narrow" w:eastAsia="仿宋_GB2312" w:cs="Arial"/>
          <w:sz w:val="22"/>
          <w:szCs w:val="22"/>
        </w:rPr>
      </w:r>
    </w:p>
    <w:p>
      <w:pPr>
        <w:pBdr/>
        <w:spacing w:after="240" w:before="240"/>
        <w:ind w:right="84" w:firstLine="440" w:left="142"/>
        <w:rPr>
          <w:rFonts w:ascii="Arial Narrow" w:hAnsi="Arial Narrow" w:eastAsia="仿宋_GB2312" w:cs="Arial"/>
          <w:sz w:val="22"/>
          <w:szCs w:val="22"/>
        </w:rPr>
      </w:pPr>
      <w:r>
        <w:rPr>
          <w:rFonts w:ascii="Arial Narrow" w:hAnsi="Arial Narrow" w:eastAsia="仿宋_GB2312" w:cs="Arial"/>
          <w:sz w:val="22"/>
          <w:szCs w:val="22"/>
        </w:rPr>
        <w:t xml:space="preserve">根据《中华人民共和国企业所得税法》及其实施条例以及《关于完善关联申报和同期资料管理有关事项的公告》的规定，符合一定条件的企业应按纳税年度准备、保存、并按税务机关要求提供其关联交易的同期资料。</w:t>
      </w:r>
      <w:r>
        <w:rPr>
          <w:rFonts w:ascii="Arial Narrow" w:hAnsi="Arial Narrow" w:eastAsia="仿宋_GB2312" w:cs="Arial"/>
          <w:sz w:val="22"/>
          <w:szCs w:val="22"/>
        </w:rPr>
      </w:r>
    </w:p>
    <w:p>
      <w:pPr>
        <w:pBdr/>
        <w:spacing w:after="240" w:before="240"/>
        <w:ind w:right="84" w:firstLine="440" w:left="142"/>
        <w:rPr>
          <w:rFonts w:ascii="Arial Narrow" w:hAnsi="Arial Narrow" w:eastAsia="仿宋_GB2312" w:cs="Arial"/>
          <w:sz w:val="22"/>
          <w:szCs w:val="22"/>
        </w:rPr>
      </w:pPr>
      <w:r>
        <w:rPr>
          <w:rFonts w:ascii="Arial Narrow" w:hAnsi="Arial Narrow" w:eastAsia="仿宋_GB2312" w:cs="Arial"/>
          <w:sz w:val="22"/>
          <w:szCs w:val="22"/>
        </w:rPr>
        <w:t xml:space="preserve">本报告的目的在于从中国特别纳税调整税制的角度，分析本公司2023年度与关联方之间关联交易定价的合理性。为此，本公司按以下规定以及程序准备本报告：</w:t>
      </w:r>
      <w:r>
        <w:rPr>
          <w:rFonts w:ascii="Arial Narrow" w:hAnsi="Arial Narrow" w:eastAsia="仿宋_GB2312" w:cs="Arial"/>
          <w:sz w:val="22"/>
          <w:szCs w:val="22"/>
        </w:rPr>
      </w:r>
      <w:r>
        <w:rPr>
          <w:rFonts w:ascii="Arial Narrow" w:hAnsi="Arial Narrow" w:eastAsia="仿宋_GB2312" w:cs="Arial"/>
          <w:sz w:val="22"/>
          <w:szCs w:val="22"/>
        </w:rPr>
      </w:r>
    </w:p>
    <w:p>
      <w:pPr>
        <w:pBdr/>
        <w:spacing w:after="240" w:before="240"/>
        <w:ind w:right="84" w:firstLine="1" w:left="140"/>
        <w:rPr>
          <w:rFonts w:ascii="Arial Narrow" w:hAnsi="Arial Narrow" w:eastAsia="仿宋_GB2312" w:cs="Arial"/>
          <w:sz w:val="22"/>
          <w:szCs w:val="22"/>
        </w:rPr>
      </w:pPr>
      <w:r>
        <w:rPr>
          <w:rFonts w:ascii="Arial Narrow" w:hAnsi="Arial Narrow" w:eastAsia="仿宋_GB2312" w:cs="Arial"/>
          <w:sz w:val="22"/>
          <w:szCs w:val="22"/>
        </w:rPr>
        <w:t xml:space="preserve">一、本公司保证根据下列政策法规及实施办法制作本报告</w:t>
      </w:r>
      <w:r>
        <w:rPr>
          <w:rFonts w:ascii="Arial Narrow" w:hAnsi="Arial Narrow" w:eastAsia="仿宋_GB2312" w:cs="Arial"/>
          <w:sz w:val="22"/>
          <w:szCs w:val="22"/>
        </w:rPr>
      </w:r>
    </w:p>
    <w:p>
      <w:pPr>
        <w:pBdr/>
        <w:spacing w:after="240" w:before="240"/>
        <w:ind w:right="84" w:firstLine="440" w:left="142"/>
        <w:rPr>
          <w:rFonts w:ascii="Arial Narrow" w:hAnsi="Arial Narrow" w:eastAsia="仿宋_GB2312" w:cs="Arial"/>
          <w:sz w:val="22"/>
          <w:szCs w:val="22"/>
        </w:rPr>
      </w:pPr>
      <w:r>
        <w:rPr>
          <w:rFonts w:ascii="Arial Narrow" w:hAnsi="Arial Narrow" w:eastAsia="仿宋_GB2312" w:cs="Arial"/>
          <w:sz w:val="22"/>
          <w:szCs w:val="22"/>
        </w:rPr>
        <w:t xml:space="preserve">1、 《中华人民共和国企业所得税法》及其实施条例</w:t>
      </w:r>
      <w:r>
        <w:rPr>
          <w:rFonts w:ascii="Arial Narrow" w:hAnsi="Arial Narrow" w:eastAsia="仿宋_GB2312" w:cs="Arial"/>
          <w:sz w:val="22"/>
          <w:szCs w:val="22"/>
        </w:rPr>
      </w:r>
      <w:r>
        <w:rPr>
          <w:rFonts w:ascii="Arial Narrow" w:hAnsi="Arial Narrow" w:eastAsia="仿宋_GB2312" w:cs="Arial"/>
          <w:sz w:val="22"/>
          <w:szCs w:val="22"/>
        </w:rPr>
      </w:r>
    </w:p>
    <w:p>
      <w:pPr>
        <w:pBdr/>
        <w:spacing w:after="240" w:before="240"/>
        <w:ind w:right="84" w:firstLine="440" w:left="142"/>
        <w:rPr>
          <w:rFonts w:ascii="Arial Narrow" w:hAnsi="Arial Narrow" w:eastAsia="仿宋_GB2312" w:cs="Arial"/>
          <w:sz w:val="22"/>
          <w:szCs w:val="22"/>
        </w:rPr>
      </w:pPr>
      <w:r>
        <w:rPr>
          <w:rFonts w:ascii="Arial Narrow" w:hAnsi="Arial Narrow" w:eastAsia="仿宋_GB2312" w:cs="Arial"/>
          <w:sz w:val="22"/>
          <w:szCs w:val="22"/>
        </w:rPr>
        <w:t xml:space="preserve">2、 《中华人民共和国税收征收管理法》及其实施细则</w:t>
      </w:r>
      <w:r>
        <w:rPr>
          <w:rFonts w:ascii="Arial Narrow" w:hAnsi="Arial Narrow" w:eastAsia="仿宋_GB2312" w:cs="Arial"/>
          <w:sz w:val="22"/>
          <w:szCs w:val="22"/>
        </w:rPr>
      </w:r>
      <w:r>
        <w:rPr>
          <w:rFonts w:ascii="Arial Narrow" w:hAnsi="Arial Narrow" w:eastAsia="仿宋_GB2312" w:cs="Arial"/>
          <w:sz w:val="22"/>
          <w:szCs w:val="22"/>
        </w:rPr>
      </w:r>
    </w:p>
    <w:p>
      <w:pPr>
        <w:pBdr/>
        <w:spacing w:after="240" w:before="240"/>
        <w:ind w:right="84" w:firstLine="440" w:left="142"/>
        <w:rPr>
          <w:rFonts w:ascii="Arial Narrow" w:hAnsi="Arial Narrow" w:eastAsia="仿宋_GB2312" w:cs="Arial"/>
          <w:sz w:val="22"/>
          <w:szCs w:val="22"/>
        </w:rPr>
      </w:pPr>
      <w:r>
        <w:rPr>
          <w:rFonts w:ascii="Arial Narrow" w:hAnsi="Arial Narrow" w:eastAsia="仿宋_GB2312" w:cs="Arial"/>
          <w:sz w:val="22"/>
          <w:szCs w:val="22"/>
        </w:rPr>
        <w:t xml:space="preserve">3、 《国家税务总局关于完善关联申报和同期资料管理有关事项的公告》（国家税务总局2016年第42号公告，以下简称“[2016]42号公告”）</w:t>
      </w:r>
      <w:r>
        <w:rPr>
          <w:rFonts w:ascii="Arial Narrow" w:hAnsi="Arial Narrow" w:eastAsia="仿宋_GB2312" w:cs="Arial"/>
          <w:sz w:val="22"/>
          <w:szCs w:val="22"/>
        </w:rPr>
      </w:r>
      <w:r>
        <w:rPr>
          <w:rFonts w:ascii="Arial Narrow" w:hAnsi="Arial Narrow" w:eastAsia="仿宋_GB2312" w:cs="Arial"/>
          <w:sz w:val="22"/>
          <w:szCs w:val="22"/>
        </w:rPr>
      </w:r>
    </w:p>
    <w:p>
      <w:pPr>
        <w:pBdr/>
        <w:spacing w:after="240" w:before="240"/>
        <w:ind w:right="84" w:firstLine="440" w:left="142"/>
        <w:rPr>
          <w:rFonts w:ascii="Arial Narrow" w:hAnsi="Arial Narrow" w:eastAsia="仿宋_GB2312" w:cs="Arial"/>
          <w:sz w:val="22"/>
          <w:szCs w:val="22"/>
        </w:rPr>
      </w:pPr>
      <w:r>
        <w:rPr>
          <w:rFonts w:ascii="Arial Narrow" w:hAnsi="Arial Narrow" w:eastAsia="仿宋_GB2312" w:cs="Arial"/>
          <w:sz w:val="22"/>
          <w:szCs w:val="22"/>
        </w:rPr>
        <w:t xml:space="preserve">4、 《国家税务总局关于发布&lt;特别纳税调查调整及相互协商程序管理办法&gt;的公告》（国家税务总局2017年第6号公告，以下简称“[2017]6号公告”）</w:t>
      </w:r>
      <w:r>
        <w:rPr>
          <w:rFonts w:ascii="Arial Narrow" w:hAnsi="Arial Narrow" w:eastAsia="仿宋_GB2312" w:cs="Arial"/>
          <w:sz w:val="22"/>
          <w:szCs w:val="22"/>
        </w:rPr>
      </w:r>
      <w:r>
        <w:rPr>
          <w:rFonts w:ascii="Arial Narrow" w:hAnsi="Arial Narrow" w:eastAsia="仿宋_GB2312" w:cs="Arial"/>
          <w:sz w:val="22"/>
          <w:szCs w:val="22"/>
        </w:rPr>
      </w:r>
    </w:p>
    <w:p>
      <w:pPr>
        <w:pBdr/>
        <w:spacing w:after="240" w:before="240"/>
        <w:ind w:right="84" w:left="142"/>
        <w:rPr>
          <w:rFonts w:ascii="Arial Narrow" w:hAnsi="Arial Narrow" w:eastAsia="仿宋_GB2312" w:cs="Arial"/>
          <w:sz w:val="22"/>
          <w:szCs w:val="22"/>
        </w:rPr>
      </w:pPr>
      <w:r>
        <w:rPr>
          <w:rFonts w:ascii="Arial Narrow" w:hAnsi="Arial Narrow" w:eastAsia="仿宋_GB2312" w:cs="Arial"/>
          <w:sz w:val="22"/>
          <w:szCs w:val="22"/>
        </w:rPr>
        <w:t xml:space="preserve">二、本公司保证实施以下程序，并保证提供任何与同期资料有关的数据及资料</w:t>
      </w:r>
      <w:r>
        <w:rPr>
          <w:rFonts w:ascii="Arial Narrow" w:hAnsi="Arial Narrow" w:eastAsia="仿宋_GB2312" w:cs="Arial"/>
          <w:sz w:val="22"/>
          <w:szCs w:val="22"/>
        </w:rPr>
      </w:r>
    </w:p>
    <w:p>
      <w:pPr>
        <w:pBdr/>
        <w:spacing w:after="240" w:before="240"/>
        <w:ind w:right="84" w:firstLine="440" w:left="142"/>
        <w:rPr>
          <w:rFonts w:ascii="Arial Narrow" w:hAnsi="Arial Narrow" w:eastAsia="仿宋_GB2312" w:cs="Arial"/>
          <w:sz w:val="22"/>
          <w:szCs w:val="22"/>
        </w:rPr>
      </w:pPr>
      <w:r>
        <w:rPr>
          <w:rFonts w:ascii="Arial Narrow" w:hAnsi="Arial Narrow" w:eastAsia="仿宋_GB2312" w:cs="Arial"/>
          <w:sz w:val="22"/>
          <w:szCs w:val="22"/>
        </w:rPr>
        <w:t xml:space="preserve">1、 整理本公司基本资料信息，包括公司及所属集团的组织结构、企业生产经营情况、以及企业所处的行业分析等；</w:t>
      </w:r>
      <w:r>
        <w:rPr>
          <w:rFonts w:ascii="Arial Narrow" w:hAnsi="Arial Narrow" w:eastAsia="仿宋_GB2312" w:cs="Arial"/>
          <w:sz w:val="22"/>
          <w:szCs w:val="22"/>
        </w:rPr>
      </w:r>
      <w:r>
        <w:rPr>
          <w:rFonts w:ascii="Arial Narrow" w:hAnsi="Arial Narrow" w:eastAsia="仿宋_GB2312" w:cs="Arial"/>
          <w:sz w:val="22"/>
          <w:szCs w:val="22"/>
        </w:rPr>
      </w:r>
    </w:p>
    <w:p>
      <w:pPr>
        <w:pBdr/>
        <w:spacing w:after="240" w:before="240"/>
        <w:ind w:right="84" w:firstLine="440" w:left="142"/>
        <w:rPr>
          <w:rFonts w:ascii="Arial Narrow" w:hAnsi="Arial Narrow" w:eastAsia="仿宋_GB2312" w:cs="Arial"/>
          <w:sz w:val="22"/>
          <w:szCs w:val="22"/>
        </w:rPr>
      </w:pPr>
      <w:r>
        <w:rPr>
          <w:rFonts w:ascii="Arial Narrow" w:hAnsi="Arial Narrow" w:eastAsia="仿宋_GB2312" w:cs="Arial"/>
          <w:sz w:val="22"/>
          <w:szCs w:val="22"/>
        </w:rPr>
        <w:t xml:space="preserve">2、 整理本公司关联交易的资料，包括关联交易情况、关联交易业务流程、与关联公司签订的合同、关联交易的定价情况及其他相关信息；</w:t>
      </w:r>
      <w:r>
        <w:rPr>
          <w:rFonts w:ascii="Arial Narrow" w:hAnsi="Arial Narrow" w:eastAsia="仿宋_GB2312" w:cs="Arial"/>
          <w:sz w:val="22"/>
          <w:szCs w:val="22"/>
        </w:rPr>
      </w:r>
      <w:r>
        <w:rPr>
          <w:rFonts w:ascii="Arial Narrow" w:hAnsi="Arial Narrow" w:eastAsia="仿宋_GB2312" w:cs="Arial"/>
          <w:sz w:val="22"/>
          <w:szCs w:val="22"/>
        </w:rPr>
      </w:r>
    </w:p>
    <w:p>
      <w:pPr>
        <w:pBdr/>
        <w:spacing w:after="240" w:before="240"/>
        <w:ind w:right="84" w:firstLine="440" w:left="142"/>
        <w:rPr>
          <w:rFonts w:ascii="Arial Narrow" w:hAnsi="Arial Narrow" w:eastAsia="仿宋_GB2312" w:cs="Arial"/>
          <w:sz w:val="22"/>
          <w:szCs w:val="22"/>
        </w:rPr>
      </w:pPr>
      <w:r>
        <w:rPr>
          <w:rFonts w:ascii="Arial Narrow" w:hAnsi="Arial Narrow" w:eastAsia="仿宋_GB2312" w:cs="Arial"/>
          <w:sz w:val="22"/>
          <w:szCs w:val="22"/>
        </w:rPr>
        <w:t xml:space="preserve">3、 分析本公司和关联公司在关联业务往来中各自承担的功能和风险；</w:t>
      </w:r>
      <w:r>
        <w:rPr>
          <w:rFonts w:ascii="Arial Narrow" w:hAnsi="Arial Narrow" w:eastAsia="仿宋_GB2312" w:cs="Arial"/>
          <w:sz w:val="22"/>
          <w:szCs w:val="22"/>
        </w:rPr>
      </w:r>
      <w:r>
        <w:rPr>
          <w:rFonts w:ascii="Arial Narrow" w:hAnsi="Arial Narrow" w:eastAsia="仿宋_GB2312" w:cs="Arial"/>
          <w:sz w:val="22"/>
          <w:szCs w:val="22"/>
        </w:rPr>
      </w:r>
    </w:p>
    <w:p>
      <w:pPr>
        <w:pBdr/>
        <w:spacing w:after="240" w:before="240"/>
        <w:ind w:right="84" w:firstLine="440" w:left="142"/>
        <w:rPr>
          <w:rFonts w:ascii="Arial Narrow" w:hAnsi="Arial Narrow" w:eastAsia="仿宋_GB2312" w:cs="Arial"/>
          <w:sz w:val="22"/>
          <w:szCs w:val="22"/>
        </w:rPr>
      </w:pPr>
      <w:r>
        <w:rPr>
          <w:rFonts w:ascii="Arial Narrow" w:hAnsi="Arial Narrow" w:eastAsia="仿宋_GB2312" w:cs="Arial"/>
          <w:sz w:val="22"/>
          <w:szCs w:val="22"/>
        </w:rPr>
        <w:t xml:space="preserve">4、 比较分析并选择适当的关联交易转让定价方法，用以分析和验证本公司与关联公司交易定价的合理性；</w:t>
      </w:r>
      <w:r>
        <w:rPr>
          <w:rFonts w:ascii="Arial Narrow" w:hAnsi="Arial Narrow" w:eastAsia="仿宋_GB2312" w:cs="Arial"/>
          <w:sz w:val="22"/>
          <w:szCs w:val="22"/>
        </w:rPr>
      </w:r>
      <w:r>
        <w:rPr>
          <w:rFonts w:ascii="Arial Narrow" w:hAnsi="Arial Narrow" w:eastAsia="仿宋_GB2312" w:cs="Arial"/>
          <w:sz w:val="22"/>
          <w:szCs w:val="22"/>
        </w:rPr>
      </w:r>
    </w:p>
    <w:p>
      <w:pPr>
        <w:pBdr/>
        <w:spacing w:after="240" w:before="240"/>
        <w:ind w:right="84" w:firstLine="440" w:left="142"/>
        <w:rPr>
          <w:rFonts w:ascii="Arial Narrow" w:hAnsi="Arial Narrow" w:eastAsia="仿宋_GB2312" w:cs="Arial"/>
          <w:sz w:val="22"/>
          <w:szCs w:val="22"/>
        </w:rPr>
      </w:pPr>
      <w:r>
        <w:rPr>
          <w:rFonts w:ascii="Arial Narrow" w:hAnsi="Arial Narrow" w:eastAsia="仿宋_GB2312" w:cs="Arial"/>
          <w:sz w:val="22"/>
          <w:szCs w:val="22"/>
        </w:rPr>
        <w:t xml:space="preserve">5、 选取可比企业，说明可比信息来源、可比企业选择过程，实施经济分析；</w:t>
      </w:r>
      <w:r>
        <w:rPr>
          <w:rFonts w:ascii="Arial Narrow" w:hAnsi="Arial Narrow" w:eastAsia="仿宋_GB2312" w:cs="Arial"/>
          <w:sz w:val="22"/>
          <w:szCs w:val="22"/>
        </w:rPr>
      </w:r>
      <w:r>
        <w:rPr>
          <w:rFonts w:ascii="Arial Narrow" w:hAnsi="Arial Narrow" w:eastAsia="仿宋_GB2312" w:cs="Arial"/>
          <w:sz w:val="22"/>
          <w:szCs w:val="22"/>
        </w:rPr>
      </w:r>
    </w:p>
    <w:p>
      <w:pPr>
        <w:pBdr/>
        <w:spacing w:after="240" w:before="240"/>
        <w:ind w:right="84" w:firstLine="440" w:left="142"/>
        <w:rPr>
          <w:rFonts w:ascii="Arial Narrow" w:hAnsi="Arial Narrow" w:eastAsia="仿宋_GB2312" w:cs="Arial"/>
          <w:sz w:val="22"/>
          <w:szCs w:val="22"/>
        </w:rPr>
      </w:pPr>
      <w:r>
        <w:rPr>
          <w:rFonts w:ascii="Arial Narrow" w:hAnsi="Arial Narrow" w:eastAsia="仿宋_GB2312" w:cs="Arial"/>
          <w:sz w:val="22"/>
          <w:szCs w:val="22"/>
        </w:rPr>
        <w:t xml:space="preserve">6、 运用合理的转让定价方法和可比性分析结果，确定可比非关联交易利润，确定正常情况下本公司与关联公司关联交易定价的合理范围；</w:t>
      </w:r>
      <w:r>
        <w:rPr>
          <w:rFonts w:ascii="Arial Narrow" w:hAnsi="Arial Narrow" w:eastAsia="仿宋_GB2312" w:cs="Arial"/>
          <w:sz w:val="22"/>
          <w:szCs w:val="22"/>
        </w:rPr>
      </w:r>
      <w:r>
        <w:rPr>
          <w:rFonts w:ascii="Arial Narrow" w:hAnsi="Arial Narrow" w:eastAsia="仿宋_GB2312" w:cs="Arial"/>
          <w:sz w:val="22"/>
          <w:szCs w:val="22"/>
        </w:rPr>
      </w:r>
    </w:p>
    <w:p>
      <w:pPr>
        <w:pBdr/>
        <w:spacing w:after="240" w:before="240"/>
        <w:ind w:right="84" w:firstLine="440" w:left="142"/>
        <w:rPr>
          <w:rFonts w:ascii="Arial Narrow" w:hAnsi="Arial Narrow" w:eastAsia="仿宋_GB2312" w:cs="Arial"/>
          <w:sz w:val="22"/>
          <w:szCs w:val="22"/>
        </w:rPr>
      </w:pPr>
      <w:r>
        <w:rPr>
          <w:rFonts w:ascii="Arial Narrow" w:hAnsi="Arial Narrow" w:eastAsia="仿宋_GB2312" w:cs="Arial"/>
          <w:sz w:val="22"/>
          <w:szCs w:val="22"/>
        </w:rPr>
        <w:t xml:space="preserve">7、 根据以上实施程序，制作本报告。</w:t>
      </w:r>
      <w:r>
        <w:rPr>
          <w:rFonts w:ascii="Arial Narrow" w:hAnsi="Arial Narrow" w:eastAsia="仿宋_GB2312" w:cs="Arial"/>
          <w:sz w:val="22"/>
          <w:szCs w:val="22"/>
        </w:rPr>
      </w:r>
      <w:r>
        <w:rPr>
          <w:rFonts w:ascii="Arial Narrow" w:hAnsi="Arial Narrow" w:eastAsia="仿宋_GB2312" w:cs="Arial"/>
          <w:sz w:val="22"/>
          <w:szCs w:val="22"/>
        </w:rPr>
      </w:r>
    </w:p>
    <w:p>
      <w:pPr>
        <w:pBdr/>
        <w:spacing w:after="240" w:before="240"/>
        <w:ind w:right="84" w:firstLine="440" w:left="142"/>
        <w:rPr>
          <w:rFonts w:ascii="Arial Narrow" w:hAnsi="Arial Narrow" w:eastAsia="仿宋_GB2312" w:cs="Arial"/>
          <w:sz w:val="22"/>
          <w:szCs w:val="22"/>
        </w:rPr>
      </w:pPr>
      <w:r>
        <w:rPr>
          <w:rFonts w:ascii="Arial Narrow" w:hAnsi="Arial Narrow" w:eastAsia="仿宋_GB2312" w:cs="Arial"/>
          <w:sz w:val="22"/>
          <w:szCs w:val="22"/>
        </w:rPr>
      </w:r>
      <w:r>
        <w:rPr>
          <w:rFonts w:ascii="Arial Narrow" w:hAnsi="Arial Narrow" w:eastAsia="仿宋_GB2312" w:cs="Arial"/>
          <w:sz w:val="22"/>
          <w:szCs w:val="22"/>
        </w:rPr>
      </w:r>
    </w:p>
    <w:p>
      <w:pPr>
        <w:pBdr/>
        <w:spacing w:after="240" w:before="240"/>
        <w:ind w:right="84" w:firstLine="440" w:left="142"/>
        <w:rPr>
          <w:rFonts w:ascii="Arial Narrow" w:hAnsi="Arial Narrow" w:eastAsia="仿宋_GB2312" w:cs="Arial"/>
          <w:sz w:val="22"/>
          <w:szCs w:val="22"/>
        </w:rPr>
      </w:pPr>
      <w:r>
        <w:rPr>
          <w:rFonts w:ascii="Arial Narrow" w:hAnsi="Arial Narrow" w:eastAsia="仿宋_GB2312" w:cs="Arial"/>
          <w:sz w:val="22"/>
          <w:szCs w:val="22"/>
        </w:rPr>
      </w:r>
      <w:r>
        <w:rPr>
          <w:rFonts w:ascii="Arial Narrow" w:hAnsi="Arial Narrow" w:eastAsia="仿宋_GB2312" w:cs="Arial"/>
          <w:sz w:val="22"/>
          <w:szCs w:val="22"/>
        </w:rPr>
      </w:r>
    </w:p>
    <w:p>
      <w:pPr>
        <w:pBdr/>
        <w:spacing w:after="240" w:before="240"/>
        <w:ind w:right="84" w:firstLine="440" w:left="142"/>
        <w:rPr>
          <w:rFonts w:ascii="Arial Narrow" w:hAnsi="Arial Narrow" w:eastAsia="仿宋_GB2312" w:cs="Arial"/>
          <w:sz w:val="22"/>
          <w:szCs w:val="22"/>
        </w:rPr>
      </w:pPr>
      <w:r>
        <w:rPr>
          <w:rFonts w:ascii="Arial Narrow" w:hAnsi="Arial Narrow" w:eastAsia="仿宋_GB2312" w:cs="Arial"/>
          <w:sz w:val="22"/>
          <w:szCs w:val="22"/>
        </w:rPr>
      </w:r>
      <w:r>
        <w:rPr>
          <w:rFonts w:ascii="Arial Narrow" w:hAnsi="Arial Narrow" w:eastAsia="仿宋_GB2312" w:cs="Arial"/>
          <w:sz w:val="22"/>
          <w:szCs w:val="22"/>
        </w:rPr>
      </w:r>
    </w:p>
    <w:p>
      <w:pPr>
        <w:pBdr/>
        <w:spacing w:after="240" w:before="240"/>
        <w:ind w:right="84" w:firstLine="440" w:left="142"/>
        <w:rPr>
          <w:rFonts w:ascii="Arial Narrow" w:hAnsi="Arial Narrow" w:eastAsia="仿宋_GB2312" w:cs="Arial"/>
          <w:sz w:val="22"/>
          <w:szCs w:val="22"/>
        </w:rPr>
      </w:pPr>
      <w:r>
        <w:rPr>
          <w:rFonts w:ascii="Arial Narrow" w:hAnsi="Arial Narrow" w:eastAsia="仿宋_GB2312" w:cs="Arial"/>
          <w:sz w:val="22"/>
          <w:szCs w:val="22"/>
        </w:rPr>
      </w:r>
      <w:r>
        <w:rPr>
          <w:rFonts w:ascii="Arial Narrow" w:hAnsi="Arial Narrow" w:eastAsia="仿宋_GB2312" w:cs="Arial"/>
          <w:sz w:val="22"/>
          <w:szCs w:val="22"/>
        </w:rPr>
      </w:r>
    </w:p>
    <w:p>
      <w:pPr>
        <w:widowControl w:val="false"/>
        <w:pBdr/>
        <w:tabs>
          <w:tab w:val="left" w:leader="none" w:pos="5320"/>
        </w:tabs>
        <w:spacing w:after="120" w:before="120"/>
        <w:ind w:right="84" w:firstLine="660" w:left="142"/>
        <w:rPr>
          <w:rFonts w:ascii="Arial Narrow" w:hAnsi="Arial Narrow" w:eastAsia="仿宋_GB2312" w:cs="Arial"/>
          <w:sz w:val="22"/>
          <w:szCs w:val="22"/>
        </w:rPr>
      </w:pPr>
      <w:r>
        <w:rPr>
          <w:rFonts w:ascii="Arial Narrow" w:hAnsi="Arial Narrow" w:eastAsia="仿宋_GB2312" w:cs="Arial"/>
          <w:sz w:val="22"/>
          <w:szCs w:val="22"/>
        </w:rPr>
        <w:t xml:space="preserve">地址：邮编：</w:t>
      </w:r>
      <w:r>
        <w:rPr>
          <w:rFonts w:ascii="Arial Narrow" w:hAnsi="Arial Narrow" w:eastAsia="仿宋_GB2312" w:cs="Arial"/>
          <w:sz w:val="22"/>
          <w:szCs w:val="22"/>
        </w:rPr>
        <w:tab/>
      </w:r>
      <w:r>
        <w:rPr>
          <w:rFonts w:ascii="Arial Narrow" w:hAnsi="Arial Narrow" w:eastAsia="仿宋_GB2312" w:cs="Arial"/>
          <w:sz w:val="22"/>
          <w:szCs w:val="22"/>
        </w:rPr>
      </w:r>
      <w:r>
        <w:rPr>
          <w:rFonts w:ascii="Arial Narrow" w:hAnsi="Arial Narrow" w:eastAsia="仿宋_GB2312" w:cs="Arial"/>
          <w:sz w:val="22"/>
          <w:szCs w:val="22"/>
        </w:rPr>
      </w:r>
    </w:p>
    <w:p>
      <w:pPr>
        <w:widowControl w:val="false"/>
        <w:pBdr/>
        <w:tabs>
          <w:tab w:val="left" w:leader="none" w:pos="5320"/>
        </w:tabs>
        <w:spacing w:after="120" w:before="120"/>
        <w:ind w:right="84" w:firstLine="660" w:left="142"/>
        <w:rPr>
          <w:rFonts w:ascii="Arial Narrow" w:hAnsi="Arial Narrow" w:eastAsia="仿宋_GB2312" w:cs="Arial"/>
          <w:sz w:val="22"/>
          <w:szCs w:val="22"/>
        </w:rPr>
      </w:pPr>
      <w:r>
        <w:rPr>
          <w:rFonts w:ascii="Arial Narrow" w:hAnsi="Arial Narrow" w:eastAsia="仿宋_GB2312" w:cs="Arial"/>
          <w:sz w:val="22"/>
          <w:szCs w:val="22"/>
        </w:rPr>
        <w:t xml:space="preserve">电话：传真：</w:t>
      </w:r>
      <w:r>
        <w:rPr>
          <w:rFonts w:ascii="Arial Narrow" w:hAnsi="Arial Narrow" w:eastAsia="仿宋_GB2312" w:cs="Arial"/>
          <w:sz w:val="22"/>
          <w:szCs w:val="22"/>
        </w:rPr>
        <w:tab/>
      </w:r>
      <w:r>
        <w:rPr>
          <w:rFonts w:ascii="Arial Narrow" w:hAnsi="Arial Narrow" w:eastAsia="仿宋_GB2312" w:cs="Arial"/>
          <w:sz w:val="22"/>
          <w:szCs w:val="22"/>
        </w:rPr>
      </w:r>
      <w:r>
        <w:rPr>
          <w:rFonts w:ascii="Arial Narrow" w:hAnsi="Arial Narrow" w:eastAsia="仿宋_GB2312" w:cs="Arial"/>
          <w:sz w:val="22"/>
          <w:szCs w:val="22"/>
        </w:rPr>
      </w:r>
    </w:p>
    <w:p>
      <w:pPr>
        <w:widowControl w:val="false"/>
        <w:pBdr/>
        <w:spacing w:after="120" w:before="120"/>
        <w:ind w:right="84" w:firstLine="660" w:left="142"/>
        <w:rPr>
          <w:rFonts w:ascii="Arial Narrow" w:hAnsi="Arial Narrow" w:eastAsia="仿宋_GB2312" w:cs="Arial"/>
          <w:sz w:val="22"/>
          <w:szCs w:val="22"/>
        </w:rPr>
      </w:pPr>
      <w:r>
        <w:rPr>
          <w:rFonts w:ascii="Arial Narrow" w:hAnsi="Arial Narrow" w:eastAsia="仿宋_GB2312" w:cs="Arial"/>
          <w:sz w:val="22"/>
          <w:szCs w:val="22"/>
        </w:rPr>
        <w:t xml:space="preserve">电子信箱：</w:t>
      </w:r>
      <w:r>
        <w:rPr>
          <w:rFonts w:ascii="Arial Narrow" w:hAnsi="Arial Narrow" w:eastAsia="仿宋_GB2312" w:cs="Arial"/>
          <w:sz w:val="22"/>
          <w:szCs w:val="22"/>
        </w:rPr>
      </w:r>
    </w:p>
    <w:p>
      <w:pPr>
        <w:pBdr/>
        <w:spacing w:after="120" w:before="120"/>
        <w:ind w:right="84" w:firstLine="440" w:left="142"/>
        <w:rPr>
          <w:rFonts w:ascii="Arial Narrow" w:hAnsi="Arial Narrow" w:eastAsia="仿宋_GB2312" w:cs="Arial"/>
          <w:sz w:val="22"/>
          <w:szCs w:val="22"/>
        </w:rPr>
      </w:pPr>
      <w:r>
        <w:rPr>
          <w:rFonts w:ascii="Arial Narrow" w:hAnsi="Arial Narrow" w:eastAsia="仿宋_GB2312" w:cs="Arial"/>
          <w:sz w:val="22"/>
          <w:szCs w:val="22"/>
        </w:rPr>
      </w:r>
      <w:r>
        <w:rPr>
          <w:rFonts w:ascii="Arial Narrow" w:hAnsi="Arial Narrow" w:eastAsia="仿宋_GB2312" w:cs="Arial"/>
          <w:sz w:val="22"/>
          <w:szCs w:val="22"/>
        </w:rPr>
      </w:r>
    </w:p>
    <w:p>
      <w:pPr>
        <w:widowControl w:val="false"/>
        <w:pBdr/>
        <w:tabs>
          <w:tab w:val="left" w:leader="none" w:pos="5320"/>
          <w:tab w:val="left" w:leader="none" w:pos="5381"/>
          <w:tab w:val="left" w:leader="none" w:pos="5861"/>
          <w:tab w:val="left" w:leader="none" w:pos="6341"/>
        </w:tabs>
        <w:spacing w:after="120" w:before="120"/>
        <w:ind w:right="84" w:firstLine="660" w:left="142"/>
        <w:rPr>
          <w:rFonts w:ascii="Arial Narrow" w:hAnsi="Arial Narrow" w:eastAsia="仿宋_GB2312" w:cs="Arial"/>
          <w:sz w:val="22"/>
          <w:szCs w:val="22"/>
        </w:rPr>
      </w:pPr>
      <w:r>
        <w:rPr>
          <w:rFonts w:ascii="Arial Narrow" w:hAnsi="Arial Narrow" w:eastAsia="仿宋_GB2312" w:cs="Arial"/>
          <w:sz w:val="22"/>
          <w:szCs w:val="22"/>
        </w:rPr>
        <w:t xml:space="preserve">声明单位（盖章）：法定代表人（签章）：</w:t>
      </w:r>
      <w:r>
        <w:rPr>
          <w:rFonts w:ascii="Arial Narrow" w:hAnsi="Arial Narrow" w:eastAsia="仿宋_GB2312" w:cs="Arial"/>
          <w:sz w:val="22"/>
          <w:szCs w:val="22"/>
        </w:rPr>
        <w:tab/>
      </w:r>
      <w:r>
        <w:rPr>
          <w:rFonts w:ascii="Arial Narrow" w:hAnsi="Arial Narrow" w:eastAsia="仿宋_GB2312" w:cs="Arial"/>
          <w:sz w:val="22"/>
          <w:szCs w:val="22"/>
        </w:rPr>
      </w:r>
      <w:r>
        <w:rPr>
          <w:rFonts w:ascii="Arial Narrow" w:hAnsi="Arial Narrow" w:eastAsia="仿宋_GB2312" w:cs="Arial"/>
          <w:sz w:val="22"/>
          <w:szCs w:val="22"/>
        </w:rPr>
      </w:r>
    </w:p>
    <w:p>
      <w:pPr>
        <w:widowControl w:val="false"/>
        <w:pBdr/>
        <w:tabs>
          <w:tab w:val="left" w:leader="none" w:pos="5330"/>
          <w:tab w:val="left" w:leader="none" w:pos="5605"/>
          <w:tab w:val="left" w:leader="none" w:pos="5861"/>
        </w:tabs>
        <w:spacing w:after="120" w:before="120"/>
        <w:ind w:right="84" w:left="142"/>
        <w:rPr>
          <w:rFonts w:ascii="Arial Narrow" w:hAnsi="Arial Narrow" w:eastAsia="仿宋_GB2312" w:cs="Arial"/>
          <w:sz w:val="22"/>
          <w:szCs w:val="22"/>
        </w:rPr>
      </w:pPr>
      <w:r>
        <w:rPr>
          <w:rFonts w:ascii="Arial Narrow" w:hAnsi="Arial Narrow" w:eastAsia="仿宋_GB2312" w:cs="Arial"/>
          <w:sz w:val="22"/>
          <w:szCs w:val="22"/>
        </w:rPr>
        <w:tab/>
        <w:t xml:space="preserve">日期：年月日</w:t>
      </w:r>
      <w:r>
        <w:rPr>
          <w:rFonts w:ascii="Arial Narrow" w:hAnsi="Arial Narrow" w:eastAsia="仿宋_GB2312" w:cs="Arial"/>
          <w:sz w:val="22"/>
          <w:szCs w:val="22"/>
        </w:rPr>
        <w:tab/>
      </w:r>
      <w:r>
        <w:rPr>
          <w:rFonts w:ascii="Arial Narrow" w:hAnsi="Arial Narrow" w:eastAsia="仿宋_GB2312" w:cs="Arial"/>
          <w:sz w:val="22"/>
          <w:szCs w:val="22"/>
        </w:rPr>
        <w:tab/>
      </w:r>
      <w:r>
        <w:rPr>
          <w:rFonts w:ascii="Arial Narrow" w:hAnsi="Arial Narrow" w:eastAsia="仿宋_GB2312" w:cs="Arial"/>
          <w:sz w:val="22"/>
          <w:szCs w:val="22"/>
        </w:rPr>
        <w:tab/>
      </w:r>
      <w:r>
        <w:rPr>
          <w:rFonts w:ascii="Arial Narrow" w:hAnsi="Arial Narrow" w:eastAsia="仿宋_GB2312" w:cs="Arial"/>
          <w:sz w:val="22"/>
          <w:szCs w:val="22"/>
        </w:rPr>
      </w:r>
      <w:r>
        <w:rPr>
          <w:rFonts w:ascii="Arial Narrow" w:hAnsi="Arial Narrow" w:eastAsia="仿宋_GB2312" w:cs="Arial"/>
          <w:sz w:val="22"/>
          <w:szCs w:val="22"/>
        </w:rPr>
      </w:r>
    </w:p>
    <w:p>
      <w:pPr>
        <w:pBdr/>
        <w:spacing/>
        <w:ind/>
        <w:rPr>
          <w:rFonts w:ascii="Arial Narrow" w:hAnsi="Arial Narrow" w:eastAsia="仿宋_GB2312" w:cs="Arial"/>
          <w:sz w:val="22"/>
          <w:szCs w:val="22"/>
        </w:rPr>
        <w:sectPr>
          <w:headerReference w:type="default" r:id="rId10"/>
          <w:headerReference w:type="even" r:id="rId11"/>
          <w:headerReference w:type="first" r:id="rId12"/>
          <w:footerReference w:type="default" r:id="rId21"/>
          <w:footnotePr/>
          <w:endnotePr/>
          <w:type w:val="nextPage"/>
          <w:pgSz w:h="16838" w:orient="portrait" w:w="11906"/>
          <w:pgMar w:top="1440" w:right="1800" w:bottom="1440" w:left="1800" w:header="851" w:footer="992" w:gutter="0"/>
          <w:pgNumType w:start="1"/>
          <w:cols w:num="1" w:sep="0" w:space="720" w:equalWidth="1"/>
        </w:sectPr>
      </w:pPr>
      <w:r>
        <w:rPr>
          <w:rFonts w:ascii="Arial Narrow" w:hAnsi="Arial Narrow" w:eastAsia="仿宋_GB2312" w:cs="Arial"/>
          <w:sz w:val="22"/>
          <w:szCs w:val="22"/>
        </w:rPr>
        <w:br w:type="page" w:clear="all"/>
      </w:r>
      <w:r>
        <w:rPr>
          <w:rFonts w:ascii="Arial Narrow" w:hAnsi="Arial Narrow" w:eastAsia="仿宋_GB2312" w:cs="Arial"/>
          <w:sz w:val="22"/>
          <w:szCs w:val="22"/>
        </w:rPr>
      </w:r>
    </w:p>
    <w:sdt>
      <w:sdtPr>
        <w15:appearance w15:val="boundingBox"/>
        <w:id w:val="1708448268"/>
        <w:rPr>
          <w:rFonts w:ascii="Times New Roman" w:hAnsi="Times New Roman" w:eastAsia="宋体"/>
          <w:b/>
          <w:bCs w:val="0"/>
          <w:color w:val="auto"/>
          <w:sz w:val="20"/>
          <w:szCs w:val="20"/>
          <w:lang w:val="zh-CN" w:eastAsia="zh-CN"/>
        </w:rPr>
      </w:sdtPr>
      <w:sdtContent>
        <w:p>
          <w:pPr>
            <w:pStyle w:val="1463"/>
            <w:numPr>
              <w:ilvl w:val="0"/>
              <w:numId w:val="0"/>
            </w:numPr>
            <w:pBdr/>
            <w:spacing/>
            <w:ind/>
            <w:rPr/>
          </w:pPr>
          <w:r>
            <w:t xml:space="preserve">目录</w:t>
          </w:r>
          <w:r/>
        </w:p>
        <w:p>
          <w:pPr>
            <w:pStyle w:val="1356"/>
            <w:pBdr/>
            <w:spacing/>
            <w:ind/>
            <w:rPr>
              <w:rFonts w:asciiTheme="minorHAnsi" w:hAnsiTheme="minorHAnsi" w:eastAsiaTheme="minorEastAsia" w:cstheme="minorBidi"/>
              <w:bCs w:val="0"/>
              <w:caps w:val="0"/>
              <w:sz w:val="21"/>
              <w:szCs w:val="22"/>
            </w:rPr>
          </w:pPr>
          <w:r>
            <w:rPr>
              <w:rFonts w:ascii="Arial Narrow" w:hAnsi="Arial Narrow" w:eastAsia="仿宋_GB2312" w:cs="Arial"/>
              <w:sz w:val="24"/>
              <w:szCs w:val="24"/>
              <w:lang w:val="zh-CN"/>
            </w:rPr>
            <w:fldChar w:fldCharType="begin"/>
          </w:r>
          <w:r>
            <w:rPr>
              <w:rFonts w:ascii="Arial Narrow" w:hAnsi="Arial Narrow" w:eastAsia="仿宋_GB2312" w:cs="Arial"/>
              <w:sz w:val="24"/>
              <w:szCs w:val="24"/>
              <w:lang w:val="zh-CN"/>
            </w:rPr>
            <w:instrText xml:space="preserve"> TOC \o "1-3" \h \z \u </w:instrText>
          </w:r>
          <w:r>
            <w:rPr>
              <w:rFonts w:ascii="Arial Narrow" w:hAnsi="Arial Narrow" w:eastAsia="仿宋_GB2312" w:cs="Arial"/>
              <w:sz w:val="24"/>
              <w:szCs w:val="24"/>
              <w:lang w:val="zh-CN"/>
            </w:rPr>
            <w:fldChar w:fldCharType="separate"/>
          </w:r>
          <w:hyperlink w:tooltip="#_Toc140505093" w:anchor="_Toc140505093" w:history="1">
            <w:r>
              <w:rPr>
                <w:rStyle w:val="1375"/>
                <w:rFonts w:ascii="Arial Narrow" w:hAnsi="Arial Narrow" w:eastAsia="仿宋_GB2312"/>
                <w:color w:val="auto"/>
              </w:rPr>
              <w:t xml:space="preserve">同期资料本地文档对照表</w:t>
            </w:r>
            <w:r>
              <w:tab/>
            </w:r>
            <w:r>
              <w:fldChar w:fldCharType="begin"/>
            </w:r>
            <w:r>
              <w:instrText xml:space="preserve"> PAGEREF _Toc140505093 \h </w:instrText>
            </w:r>
            <w:r>
              <w:fldChar w:fldCharType="separate"/>
            </w:r>
            <w:r>
              <w:t xml:space="preserve">i</w:t>
            </w:r>
            <w:r>
              <w:fldChar w:fldCharType="end"/>
            </w:r>
          </w:hyperlink>
          <w:r/>
          <w:r>
            <w:rPr>
              <w:rFonts w:asciiTheme="minorHAnsi" w:hAnsiTheme="minorHAnsi" w:eastAsiaTheme="minorEastAsia" w:cstheme="minorBidi"/>
              <w:bCs w:val="0"/>
              <w:caps w:val="0"/>
              <w:sz w:val="21"/>
              <w:szCs w:val="22"/>
            </w:rPr>
          </w:r>
        </w:p>
        <w:p>
          <w:pPr>
            <w:pStyle w:val="1356"/>
            <w:pBdr/>
            <w:spacing/>
            <w:ind/>
            <w:rPr>
              <w:rFonts w:asciiTheme="minorHAnsi" w:hAnsiTheme="minorHAnsi" w:eastAsiaTheme="minorEastAsia" w:cstheme="minorBidi"/>
              <w:bCs w:val="0"/>
              <w:caps w:val="0"/>
              <w:sz w:val="21"/>
              <w:szCs w:val="22"/>
            </w:rPr>
          </w:pPr>
          <w:r/>
          <w:hyperlink w:tooltip="#_Toc140505094" w:anchor="_Toc140505094" w:history="1">
            <w:r>
              <w:rPr>
                <w:rStyle w:val="1375"/>
                <w:rFonts w:ascii="Arial Narrow" w:hAnsi="Arial Narrow" w:eastAsia="仿宋_GB2312"/>
                <w:color w:val="auto"/>
              </w:rPr>
              <w:t xml:space="preserve">缩略语索引表</w:t>
            </w:r>
            <w:r>
              <w:tab/>
            </w:r>
            <w:r>
              <w:fldChar w:fldCharType="begin"/>
            </w:r>
            <w:r>
              <w:instrText xml:space="preserve"> PAGEREF _Toc140505094 \h </w:instrText>
            </w:r>
            <w:r>
              <w:fldChar w:fldCharType="separate"/>
            </w:r>
            <w:r>
              <w:t xml:space="preserve">iv</w:t>
            </w:r>
            <w:r>
              <w:fldChar w:fldCharType="end"/>
            </w:r>
          </w:hyperlink>
          <w:r/>
          <w:r>
            <w:rPr>
              <w:rFonts w:asciiTheme="minorHAnsi" w:hAnsiTheme="minorHAnsi" w:eastAsiaTheme="minorEastAsia" w:cstheme="minorBidi"/>
              <w:bCs w:val="0"/>
              <w:caps w:val="0"/>
              <w:sz w:val="21"/>
              <w:szCs w:val="22"/>
            </w:rPr>
          </w:r>
        </w:p>
        <w:p>
          <w:pPr>
            <w:pStyle w:val="1356"/>
            <w:pBdr/>
            <w:tabs>
              <w:tab w:val="left" w:leader="none" w:pos="480"/>
            </w:tabs>
            <w:spacing/>
            <w:ind/>
            <w:rPr>
              <w:rFonts w:asciiTheme="minorHAnsi" w:hAnsiTheme="minorHAnsi" w:eastAsiaTheme="minorEastAsia" w:cstheme="minorBidi"/>
              <w:bCs w:val="0"/>
              <w:caps w:val="0"/>
              <w:sz w:val="21"/>
              <w:szCs w:val="22"/>
            </w:rPr>
          </w:pPr>
          <w:r/>
          <w:hyperlink w:tooltip="#_Toc140505095" w:anchor="_Toc140505095" w:history="1">
            <w:r>
              <w:rPr>
                <w:rStyle w:val="1375"/>
                <w:rFonts w:ascii="Arial Narrow" w:hAnsi="Arial Narrow" w:eastAsia="仿宋_GB2312"/>
                <w:color w:val="auto"/>
              </w:rPr>
              <w:t xml:space="preserve">1.</w:t>
            </w:r>
            <w:r>
              <w:rPr>
                <w:rFonts w:asciiTheme="minorHAnsi" w:hAnsiTheme="minorHAnsi" w:eastAsiaTheme="minorEastAsia" w:cstheme="minorBidi"/>
                <w:bCs w:val="0"/>
                <w:caps w:val="0"/>
                <w:sz w:val="21"/>
                <w:szCs w:val="22"/>
              </w:rPr>
              <w:tab/>
            </w:r>
            <w:r>
              <w:rPr>
                <w:rStyle w:val="1375"/>
                <w:rFonts w:ascii="Arial Narrow" w:hAnsi="Arial Narrow" w:eastAsia="仿宋_GB2312"/>
                <w:color w:val="auto"/>
              </w:rPr>
              <w:t xml:space="preserve">报告摘要</w:t>
            </w:r>
            <w:r>
              <w:tab/>
            </w:r>
            <w:r>
              <w:fldChar w:fldCharType="begin"/>
            </w:r>
            <w:r>
              <w:instrText xml:space="preserve"> PAGEREF _Toc140505095 \h </w:instrText>
            </w:r>
            <w:r>
              <w:fldChar w:fldCharType="separate"/>
            </w:r>
            <w:r>
              <w:t xml:space="preserve">1</w:t>
            </w:r>
            <w:r>
              <w:fldChar w:fldCharType="end"/>
            </w:r>
          </w:hyperlink>
          <w:r/>
          <w:r>
            <w:rPr>
              <w:rFonts w:asciiTheme="minorHAnsi" w:hAnsiTheme="minorHAnsi" w:eastAsiaTheme="minorEastAsia" w:cstheme="minorBidi"/>
              <w:bCs w:val="0"/>
              <w:caps w:val="0"/>
              <w:sz w:val="21"/>
              <w:szCs w:val="22"/>
            </w:rPr>
          </w:r>
        </w:p>
        <w:p>
          <w:pPr>
            <w:pStyle w:val="1363"/>
            <w:pBdr/>
            <w:spacing/>
            <w:ind/>
            <w:rPr>
              <w:rFonts w:asciiTheme="minorHAnsi" w:hAnsiTheme="minorHAnsi" w:eastAsiaTheme="minorEastAsia" w:cstheme="minorBidi"/>
              <w:sz w:val="21"/>
              <w:szCs w:val="22"/>
            </w:rPr>
          </w:pPr>
          <w:r/>
          <w:hyperlink w:tooltip="#_Toc140505096" w:anchor="_Toc140505096" w:history="1">
            <w:r>
              <w:rPr>
                <w:rStyle w:val="1375"/>
                <w:rFonts w:ascii="Arial Narrow" w:hAnsi="Arial Narrow" w:eastAsia="仿宋_GB2312" w:cs="Arial"/>
                <w:color w:val="auto"/>
              </w:rPr>
              <w:t xml:space="preserve">1.1</w:t>
            </w:r>
            <w:r>
              <w:rPr>
                <w:rFonts w:asciiTheme="minorHAnsi" w:hAnsiTheme="minorHAnsi" w:eastAsiaTheme="minorEastAsia" w:cstheme="minorBidi"/>
                <w:sz w:val="21"/>
                <w:szCs w:val="22"/>
              </w:rPr>
              <w:tab/>
            </w:r>
            <w:r>
              <w:rPr>
                <w:rStyle w:val="1375"/>
                <w:rFonts w:ascii="Arial Narrow" w:hAnsi="Arial Narrow" w:eastAsia="仿宋_GB2312" w:cs="Arial"/>
                <w:color w:val="auto"/>
              </w:rPr>
              <w:t xml:space="preserve">范围和目的</w:t>
            </w:r>
            <w:r>
              <w:tab/>
            </w:r>
            <w:r>
              <w:fldChar w:fldCharType="begin"/>
            </w:r>
            <w:r>
              <w:instrText xml:space="preserve"> PAGEREF _Toc140505096 \h </w:instrText>
            </w:r>
            <w:r>
              <w:fldChar w:fldCharType="separate"/>
            </w:r>
            <w:r>
              <w:t xml:space="preserve">1</w:t>
            </w:r>
            <w:r>
              <w:fldChar w:fldCharType="end"/>
            </w:r>
          </w:hyperlink>
          <w:r/>
          <w:r>
            <w:rPr>
              <w:rFonts w:asciiTheme="minorHAnsi" w:hAnsiTheme="minorHAnsi" w:eastAsiaTheme="minorEastAsia" w:cstheme="minorBidi"/>
              <w:sz w:val="21"/>
              <w:szCs w:val="22"/>
            </w:rPr>
          </w:r>
        </w:p>
        <w:p>
          <w:pPr>
            <w:pStyle w:val="1363"/>
            <w:pBdr/>
            <w:spacing/>
            <w:ind/>
            <w:rPr>
              <w:rFonts w:asciiTheme="minorHAnsi" w:hAnsiTheme="minorHAnsi" w:eastAsiaTheme="minorEastAsia" w:cstheme="minorBidi"/>
              <w:sz w:val="21"/>
              <w:szCs w:val="22"/>
            </w:rPr>
          </w:pPr>
          <w:r/>
          <w:hyperlink w:tooltip="#_Toc140505097" w:anchor="_Toc140505097" w:history="1">
            <w:r>
              <w:rPr>
                <w:rStyle w:val="1375"/>
                <w:rFonts w:ascii="Arial Narrow" w:hAnsi="Arial Narrow" w:eastAsia="仿宋_GB2312" w:cs="Arial"/>
                <w:color w:val="auto"/>
              </w:rPr>
              <w:t xml:space="preserve">1.2</w:t>
            </w:r>
            <w:r>
              <w:rPr>
                <w:rFonts w:asciiTheme="minorHAnsi" w:hAnsiTheme="minorHAnsi" w:eastAsiaTheme="minorEastAsia" w:cstheme="minorBidi"/>
                <w:sz w:val="21"/>
                <w:szCs w:val="22"/>
              </w:rPr>
              <w:tab/>
            </w:r>
            <w:r>
              <w:rPr>
                <w:rStyle w:val="1375"/>
                <w:rFonts w:ascii="Arial Narrow" w:hAnsi="Arial Narrow" w:eastAsia="仿宋_GB2312" w:cs="Arial"/>
                <w:color w:val="auto"/>
              </w:rPr>
              <w:t xml:space="preserve">受测关联交易</w:t>
            </w:r>
            <w:r>
              <w:tab/>
            </w:r>
            <w:r>
              <w:fldChar w:fldCharType="begin"/>
            </w:r>
            <w:r>
              <w:instrText xml:space="preserve"> PAGEREF _Toc140505097 \h </w:instrText>
            </w:r>
            <w:r>
              <w:fldChar w:fldCharType="separate"/>
            </w:r>
            <w:r>
              <w:t xml:space="preserve">1</w:t>
            </w:r>
            <w:r>
              <w:fldChar w:fldCharType="end"/>
            </w:r>
          </w:hyperlink>
          <w:r/>
          <w:r>
            <w:rPr>
              <w:rFonts w:asciiTheme="minorHAnsi" w:hAnsiTheme="minorHAnsi" w:eastAsiaTheme="minorEastAsia" w:cstheme="minorBidi"/>
              <w:sz w:val="21"/>
              <w:szCs w:val="22"/>
            </w:rPr>
          </w:r>
        </w:p>
        <w:p>
          <w:pPr>
            <w:pStyle w:val="1363"/>
            <w:pBdr/>
            <w:spacing/>
            <w:ind/>
            <w:rPr>
              <w:rFonts w:asciiTheme="minorHAnsi" w:hAnsiTheme="minorHAnsi" w:eastAsiaTheme="minorEastAsia" w:cstheme="minorBidi"/>
              <w:sz w:val="21"/>
              <w:szCs w:val="22"/>
            </w:rPr>
          </w:pPr>
          <w:r/>
          <w:hyperlink w:tooltip="#_Toc140505098" w:anchor="_Toc140505098" w:history="1">
            <w:r>
              <w:rPr>
                <w:rStyle w:val="1375"/>
                <w:rFonts w:ascii="Arial Narrow" w:hAnsi="Arial Narrow" w:eastAsia="仿宋_GB2312" w:cs="Arial"/>
                <w:color w:val="auto"/>
              </w:rPr>
              <w:t xml:space="preserve">1.3</w:t>
            </w:r>
            <w:r>
              <w:rPr>
                <w:rFonts w:asciiTheme="minorHAnsi" w:hAnsiTheme="minorHAnsi" w:eastAsiaTheme="minorEastAsia" w:cstheme="minorBidi"/>
                <w:sz w:val="21"/>
                <w:szCs w:val="22"/>
              </w:rPr>
              <w:tab/>
            </w:r>
            <w:r>
              <w:rPr>
                <w:rStyle w:val="1375"/>
                <w:rFonts w:ascii="Arial Narrow" w:hAnsi="Arial Narrow" w:eastAsia="仿宋_GB2312" w:cs="Arial"/>
                <w:color w:val="auto"/>
              </w:rPr>
              <w:t xml:space="preserve">功能和风险分析及价值链分析总结</w:t>
            </w:r>
            <w:r>
              <w:tab/>
            </w:r>
            <w:r>
              <w:fldChar w:fldCharType="begin"/>
            </w:r>
            <w:r>
              <w:instrText xml:space="preserve"> PAGEREF _Toc140505098 \h </w:instrText>
            </w:r>
            <w:r>
              <w:fldChar w:fldCharType="separate"/>
            </w:r>
            <w:r>
              <w:t xml:space="preserve">2</w:t>
            </w:r>
            <w:r>
              <w:fldChar w:fldCharType="end"/>
            </w:r>
          </w:hyperlink>
          <w:r/>
          <w:r>
            <w:rPr>
              <w:rFonts w:asciiTheme="minorHAnsi" w:hAnsiTheme="minorHAnsi" w:eastAsiaTheme="minorEastAsia" w:cstheme="minorBidi"/>
              <w:sz w:val="21"/>
              <w:szCs w:val="22"/>
            </w:rPr>
          </w:r>
        </w:p>
        <w:p>
          <w:pPr>
            <w:pStyle w:val="1363"/>
            <w:pBdr/>
            <w:spacing/>
            <w:ind/>
            <w:rPr>
              <w:rFonts w:asciiTheme="minorHAnsi" w:hAnsiTheme="minorHAnsi" w:eastAsiaTheme="minorEastAsia" w:cstheme="minorBidi"/>
              <w:sz w:val="21"/>
              <w:szCs w:val="22"/>
            </w:rPr>
          </w:pPr>
          <w:r/>
          <w:hyperlink w:tooltip="#_Toc140505099" w:anchor="_Toc140505099" w:history="1">
            <w:r>
              <w:rPr>
                <w:rStyle w:val="1375"/>
                <w:rFonts w:ascii="Arial Narrow" w:hAnsi="Arial Narrow" w:eastAsia="仿宋_GB2312" w:cs="Arial"/>
                <w:color w:val="auto"/>
              </w:rPr>
              <w:t xml:space="preserve">1.4</w:t>
            </w:r>
            <w:r>
              <w:rPr>
                <w:rFonts w:asciiTheme="minorHAnsi" w:hAnsiTheme="minorHAnsi" w:eastAsiaTheme="minorEastAsia" w:cstheme="minorBidi"/>
                <w:sz w:val="21"/>
                <w:szCs w:val="22"/>
              </w:rPr>
              <w:tab/>
            </w:r>
            <w:r>
              <w:rPr>
                <w:rStyle w:val="1375"/>
                <w:rFonts w:ascii="Arial Narrow" w:hAnsi="Arial Narrow" w:eastAsia="仿宋_GB2312" w:cs="Arial"/>
                <w:color w:val="auto"/>
              </w:rPr>
              <w:t xml:space="preserve">经济分析总结</w:t>
            </w:r>
            <w:r>
              <w:rPr>
                <w:rStyle w:val="1375"/>
                <w:rFonts w:ascii="Arial Narrow" w:hAnsi="Arial Narrow" w:eastAsia="仿宋_GB2312" w:cs="Arial"/>
                <w:color w:val="auto"/>
              </w:rPr>
              <w:t xml:space="preserve"> —— </w:t>
            </w:r>
            <w:r>
              <w:rPr>
                <w:rStyle w:val="1375"/>
                <w:rFonts w:ascii="Arial Narrow" w:hAnsi="Arial Narrow" w:eastAsia="仿宋_GB2312" w:cs="Arial"/>
                <w:color w:val="auto"/>
              </w:rPr>
              <w:t xml:space="preserve">对受测关联交易的分析</w:t>
            </w:r>
            <w:r>
              <w:tab/>
            </w:r>
            <w:r>
              <w:fldChar w:fldCharType="begin"/>
            </w:r>
            <w:r>
              <w:instrText xml:space="preserve"> PAGEREF _Toc140505099 \h </w:instrText>
            </w:r>
            <w:r>
              <w:fldChar w:fldCharType="separate"/>
            </w:r>
            <w:r>
              <w:t xml:space="preserve">2</w:t>
            </w:r>
            <w:r>
              <w:fldChar w:fldCharType="end"/>
            </w:r>
          </w:hyperlink>
          <w:r/>
          <w:r>
            <w:rPr>
              <w:rFonts w:asciiTheme="minorHAnsi" w:hAnsiTheme="minorHAnsi" w:eastAsiaTheme="minorEastAsia" w:cstheme="minorBidi"/>
              <w:sz w:val="21"/>
              <w:szCs w:val="22"/>
            </w:rPr>
          </w:r>
        </w:p>
        <w:p>
          <w:pPr>
            <w:pStyle w:val="1363"/>
            <w:pBdr/>
            <w:spacing/>
            <w:ind/>
            <w:rPr>
              <w:rFonts w:asciiTheme="minorHAnsi" w:hAnsiTheme="minorHAnsi" w:eastAsiaTheme="minorEastAsia" w:cstheme="minorBidi"/>
              <w:sz w:val="21"/>
              <w:szCs w:val="22"/>
            </w:rPr>
          </w:pPr>
          <w:r/>
          <w:hyperlink w:tooltip="#_Toc140505105" w:anchor="_Toc140505105" w:history="1">
            <w:r>
              <w:rPr>
                <w:rStyle w:val="1375"/>
                <w:rFonts w:ascii="Arial Narrow" w:hAnsi="Arial Narrow" w:eastAsia="仿宋_GB2312" w:cs="Arial"/>
                <w:color w:val="auto"/>
              </w:rPr>
              <w:t xml:space="preserve">1.5</w:t>
            </w:r>
            <w:r>
              <w:rPr>
                <w:rFonts w:asciiTheme="minorHAnsi" w:hAnsiTheme="minorHAnsi" w:eastAsiaTheme="minorEastAsia" w:cstheme="minorBidi"/>
                <w:sz w:val="21"/>
                <w:szCs w:val="22"/>
              </w:rPr>
              <w:tab/>
            </w:r>
            <w:r>
              <w:rPr>
                <w:rStyle w:val="1375"/>
                <w:rFonts w:ascii="Arial Narrow" w:hAnsi="Arial Narrow" w:eastAsia="仿宋_GB2312" w:cs="Arial"/>
                <w:color w:val="auto"/>
              </w:rPr>
              <w:t xml:space="preserve">局限性</w:t>
            </w:r>
            <w:r>
              <w:tab/>
            </w:r>
            <w:r>
              <w:fldChar w:fldCharType="begin"/>
            </w:r>
            <w:r>
              <w:instrText xml:space="preserve"> PAGEREF _Toc140505105 \h </w:instrText>
            </w:r>
            <w:r>
              <w:fldChar w:fldCharType="separate"/>
            </w:r>
            <w:r>
              <w:t xml:space="preserve">3</w:t>
            </w:r>
            <w:r>
              <w:fldChar w:fldCharType="end"/>
            </w:r>
          </w:hyperlink>
          <w:r/>
          <w:r>
            <w:rPr>
              <w:rFonts w:asciiTheme="minorHAnsi" w:hAnsiTheme="minorHAnsi" w:eastAsiaTheme="minorEastAsia" w:cstheme="minorBidi"/>
              <w:sz w:val="21"/>
              <w:szCs w:val="22"/>
            </w:rPr>
          </w:r>
        </w:p>
        <w:p>
          <w:pPr>
            <w:pStyle w:val="1356"/>
            <w:pBdr/>
            <w:tabs>
              <w:tab w:val="left" w:leader="none" w:pos="480"/>
            </w:tabs>
            <w:spacing/>
            <w:ind/>
            <w:rPr>
              <w:rFonts w:asciiTheme="minorHAnsi" w:hAnsiTheme="minorHAnsi" w:eastAsiaTheme="minorEastAsia" w:cstheme="minorBidi"/>
              <w:bCs w:val="0"/>
              <w:caps w:val="0"/>
              <w:sz w:val="21"/>
              <w:szCs w:val="22"/>
            </w:rPr>
          </w:pPr>
          <w:r/>
          <w:hyperlink w:tooltip="#_Toc140505106" w:anchor="_Toc140505106" w:history="1">
            <w:r>
              <w:rPr>
                <w:rStyle w:val="1375"/>
                <w:rFonts w:ascii="Arial Narrow" w:hAnsi="Arial Narrow" w:eastAsia="仿宋_GB2312"/>
                <w:color w:val="auto"/>
              </w:rPr>
              <w:t xml:space="preserve">2.</w:t>
            </w:r>
            <w:r>
              <w:rPr>
                <w:rFonts w:asciiTheme="minorHAnsi" w:hAnsiTheme="minorHAnsi" w:eastAsiaTheme="minorEastAsia" w:cstheme="minorBidi"/>
                <w:bCs w:val="0"/>
                <w:caps w:val="0"/>
                <w:sz w:val="21"/>
                <w:szCs w:val="22"/>
              </w:rPr>
              <w:tab/>
            </w:r>
            <w:r>
              <w:rPr>
                <w:rStyle w:val="1375"/>
                <w:rFonts w:ascii="Arial Narrow" w:hAnsi="Arial Narrow" w:eastAsia="仿宋_GB2312"/>
                <w:color w:val="auto"/>
              </w:rPr>
              <w:t xml:space="preserve">企业概况</w:t>
            </w:r>
            <w:r>
              <w:tab/>
            </w:r>
            <w:r>
              <w:fldChar w:fldCharType="begin"/>
            </w:r>
            <w:r>
              <w:instrText xml:space="preserve"> PAGEREF _Toc140505106 \h </w:instrText>
            </w:r>
            <w:r>
              <w:fldChar w:fldCharType="separate"/>
            </w:r>
            <w:r>
              <w:t xml:space="preserve">5</w:t>
            </w:r>
            <w:r>
              <w:fldChar w:fldCharType="end"/>
            </w:r>
          </w:hyperlink>
          <w:r/>
          <w:r>
            <w:rPr>
              <w:rFonts w:asciiTheme="minorHAnsi" w:hAnsiTheme="minorHAnsi" w:eastAsiaTheme="minorEastAsia" w:cstheme="minorBidi"/>
              <w:bCs w:val="0"/>
              <w:caps w:val="0"/>
              <w:sz w:val="21"/>
              <w:szCs w:val="22"/>
            </w:rPr>
          </w:r>
        </w:p>
        <w:p>
          <w:pPr>
            <w:pStyle w:val="1363"/>
            <w:pBdr/>
            <w:spacing/>
            <w:ind/>
            <w:rPr>
              <w:rFonts w:asciiTheme="minorHAnsi" w:hAnsiTheme="minorHAnsi" w:eastAsiaTheme="minorEastAsia" w:cstheme="minorBidi"/>
              <w:sz w:val="21"/>
              <w:szCs w:val="22"/>
            </w:rPr>
          </w:pPr>
          <w:r/>
          <w:hyperlink w:tooltip="#_Toc140505107" w:anchor="_Toc140505107" w:history="1">
            <w:r>
              <w:rPr>
                <w:rStyle w:val="1375"/>
                <w:rFonts w:ascii="Arial Narrow" w:hAnsi="Arial Narrow" w:eastAsia="仿宋_GB2312" w:cs="Arial"/>
                <w:color w:val="auto"/>
              </w:rPr>
              <w:t xml:space="preserve">2.1</w:t>
            </w:r>
            <w:r>
              <w:rPr>
                <w:rFonts w:asciiTheme="minorHAnsi" w:hAnsiTheme="minorHAnsi" w:eastAsiaTheme="minorEastAsia" w:cstheme="minorBidi"/>
                <w:sz w:val="21"/>
                <w:szCs w:val="22"/>
              </w:rPr>
              <w:tab/>
            </w:r>
            <w:r>
              <w:rPr>
                <w:rStyle w:val="1375"/>
                <w:rFonts w:ascii="Arial Narrow" w:hAnsi="Arial Narrow" w:eastAsia="仿宋_GB2312" w:cs="Arial"/>
                <w:color w:val="auto"/>
              </w:rPr>
              <w:t xml:space="preserve">集团概况</w:t>
            </w:r>
            <w:r>
              <w:tab/>
            </w:r>
            <w:r>
              <w:fldChar w:fldCharType="begin"/>
            </w:r>
            <w:r>
              <w:instrText xml:space="preserve"> PAGEREF _Toc140505107 \h </w:instrText>
            </w:r>
            <w:r>
              <w:fldChar w:fldCharType="separate"/>
            </w:r>
            <w:r>
              <w:t xml:space="preserve">5</w:t>
            </w:r>
            <w:r>
              <w:fldChar w:fldCharType="end"/>
            </w:r>
          </w:hyperlink>
          <w:r/>
          <w:r>
            <w:rPr>
              <w:rFonts w:asciiTheme="minorHAnsi" w:hAnsiTheme="minorHAnsi" w:eastAsiaTheme="minorEastAsia" w:cstheme="minorBidi"/>
              <w:sz w:val="21"/>
              <w:szCs w:val="22"/>
            </w:rPr>
          </w:r>
        </w:p>
        <w:p>
          <w:pPr>
            <w:pStyle w:val="1363"/>
            <w:pBdr/>
            <w:spacing/>
            <w:ind/>
            <w:rPr>
              <w:rFonts w:asciiTheme="minorHAnsi" w:hAnsiTheme="minorHAnsi" w:eastAsiaTheme="minorEastAsia" w:cstheme="minorBidi"/>
              <w:sz w:val="21"/>
              <w:szCs w:val="22"/>
            </w:rPr>
          </w:pPr>
          <w:r/>
          <w:hyperlink w:tooltip="#_Toc140505108" w:anchor="_Toc140505108" w:history="1">
            <w:r>
              <w:rPr>
                <w:rStyle w:val="1375"/>
                <w:rFonts w:ascii="Arial Narrow" w:hAnsi="Arial Narrow" w:eastAsia="仿宋_GB2312" w:cs="Arial"/>
                <w:color w:val="auto"/>
              </w:rPr>
              <w:t xml:space="preserve">2.2</w:t>
            </w:r>
            <w:r>
              <w:rPr>
                <w:rFonts w:asciiTheme="minorHAnsi" w:hAnsiTheme="minorHAnsi" w:eastAsiaTheme="minorEastAsia" w:cstheme="minorBidi"/>
                <w:sz w:val="21"/>
                <w:szCs w:val="22"/>
              </w:rPr>
              <w:tab/>
            </w:r>
            <w:r>
              <w:rPr>
                <w:rStyle w:val="1375"/>
                <w:rFonts w:ascii="Arial Narrow" w:hAnsi="Arial Narrow" w:eastAsia="仿宋_GB2312" w:cs="Arial"/>
                <w:color w:val="auto"/>
              </w:rPr>
              <w:t xml:space="preserve">公司概况</w:t>
            </w:r>
            <w:r>
              <w:tab/>
            </w:r>
            <w:r>
              <w:fldChar w:fldCharType="begin"/>
            </w:r>
            <w:r>
              <w:instrText xml:space="preserve"> PAGEREF _Toc140505108 \h </w:instrText>
            </w:r>
            <w:r>
              <w:fldChar w:fldCharType="separate"/>
            </w:r>
            <w:r>
              <w:t xml:space="preserve">5</w:t>
            </w:r>
            <w:r>
              <w:fldChar w:fldCharType="end"/>
            </w:r>
          </w:hyperlink>
          <w:r/>
          <w:r>
            <w:rPr>
              <w:rFonts w:asciiTheme="minorHAnsi" w:hAnsiTheme="minorHAnsi" w:eastAsiaTheme="minorEastAsia" w:cstheme="minorBidi"/>
              <w:sz w:val="21"/>
              <w:szCs w:val="22"/>
            </w:rPr>
          </w:r>
        </w:p>
        <w:p>
          <w:pPr>
            <w:pStyle w:val="1349"/>
            <w:pBdr/>
            <w:spacing/>
            <w:ind/>
            <w:rPr>
              <w:rFonts w:asciiTheme="minorHAnsi" w:hAnsiTheme="minorHAnsi" w:eastAsiaTheme="minorEastAsia" w:cstheme="minorBidi"/>
              <w:i w:val="0"/>
              <w:iCs w:val="0"/>
              <w:sz w:val="21"/>
              <w:szCs w:val="22"/>
            </w:rPr>
          </w:pPr>
          <w:r/>
          <w:hyperlink w:tooltip="#_Toc140505109" w:anchor="_Toc140505109" w:history="1">
            <w:r>
              <w:rPr>
                <w:rStyle w:val="1375"/>
                <w:rFonts w:ascii="Arial Narrow" w:hAnsi="Arial Narrow" w:eastAsia="仿宋_GB2312" w:cs="Arial"/>
                <w:color w:val="auto"/>
              </w:rPr>
              <w:t xml:space="preserve">2.2.1</w:t>
            </w:r>
            <w:r>
              <w:rPr>
                <w:rFonts w:asciiTheme="minorHAnsi" w:hAnsiTheme="minorHAnsi" w:eastAsiaTheme="minorEastAsia" w:cstheme="minorBidi"/>
                <w:i w:val="0"/>
                <w:iCs w:val="0"/>
                <w:sz w:val="21"/>
                <w:szCs w:val="22"/>
              </w:rPr>
              <w:tab/>
            </w:r>
            <w:r>
              <w:rPr>
                <w:rStyle w:val="1375"/>
                <w:rFonts w:ascii="Arial Narrow" w:hAnsi="Arial Narrow" w:eastAsia="仿宋_GB2312" w:cs="Arial"/>
                <w:color w:val="auto"/>
              </w:rPr>
              <w:t xml:space="preserve">公司基本信息</w:t>
            </w:r>
            <w:r>
              <w:tab/>
            </w:r>
            <w:r>
              <w:fldChar w:fldCharType="begin"/>
            </w:r>
            <w:r>
              <w:instrText xml:space="preserve"> PAGEREF _Toc140505109 \h </w:instrText>
            </w:r>
            <w:r>
              <w:fldChar w:fldCharType="separate"/>
            </w:r>
            <w:r>
              <w:t xml:space="preserve">5</w:t>
            </w:r>
            <w:r>
              <w:fldChar w:fldCharType="end"/>
            </w:r>
          </w:hyperlink>
          <w:r/>
          <w:r>
            <w:rPr>
              <w:rFonts w:asciiTheme="minorHAnsi" w:hAnsiTheme="minorHAnsi" w:eastAsiaTheme="minorEastAsia" w:cstheme="minorBidi"/>
              <w:i w:val="0"/>
              <w:iCs w:val="0"/>
              <w:sz w:val="21"/>
              <w:szCs w:val="22"/>
            </w:rPr>
          </w:r>
        </w:p>
        <w:p>
          <w:pPr>
            <w:pStyle w:val="1349"/>
            <w:pBdr/>
            <w:spacing/>
            <w:ind/>
            <w:rPr>
              <w:rFonts w:asciiTheme="minorHAnsi" w:hAnsiTheme="minorHAnsi" w:eastAsiaTheme="minorEastAsia" w:cstheme="minorBidi"/>
              <w:i w:val="0"/>
              <w:iCs w:val="0"/>
              <w:sz w:val="21"/>
              <w:szCs w:val="22"/>
            </w:rPr>
          </w:pPr>
          <w:r/>
          <w:hyperlink w:tooltip="#_Toc140505110" w:anchor="_Toc140505110" w:history="1">
            <w:r>
              <w:rPr>
                <w:rStyle w:val="1375"/>
                <w:rFonts w:ascii="Arial Narrow" w:hAnsi="Arial Narrow" w:eastAsia="仿宋_GB2312" w:cs="Arial"/>
                <w:color w:val="auto"/>
              </w:rPr>
              <w:t xml:space="preserve">2.2.2</w:t>
            </w:r>
            <w:r>
              <w:rPr>
                <w:rFonts w:asciiTheme="minorHAnsi" w:hAnsiTheme="minorHAnsi" w:eastAsiaTheme="minorEastAsia" w:cstheme="minorBidi"/>
                <w:i w:val="0"/>
                <w:iCs w:val="0"/>
                <w:sz w:val="21"/>
                <w:szCs w:val="22"/>
              </w:rPr>
              <w:tab/>
            </w:r>
            <w:r>
              <w:rPr>
                <w:rStyle w:val="1375"/>
                <w:rFonts w:ascii="Arial Narrow" w:hAnsi="Arial Narrow" w:eastAsia="仿宋_GB2312" w:cs="Arial"/>
                <w:color w:val="auto"/>
              </w:rPr>
              <w:t xml:space="preserve">公司组织结构图和主要部门</w:t>
            </w:r>
            <w:r>
              <w:tab/>
            </w:r>
            <w:r>
              <w:fldChar w:fldCharType="begin"/>
            </w:r>
            <w:r>
              <w:instrText xml:space="preserve"> PAGEREF _Toc140505110 \h </w:instrText>
            </w:r>
            <w:r>
              <w:fldChar w:fldCharType="separate"/>
            </w:r>
            <w:r>
              <w:t xml:space="preserve">6</w:t>
            </w:r>
            <w:r>
              <w:fldChar w:fldCharType="end"/>
            </w:r>
          </w:hyperlink>
          <w:r/>
          <w:r>
            <w:rPr>
              <w:rFonts w:asciiTheme="minorHAnsi" w:hAnsiTheme="minorHAnsi" w:eastAsiaTheme="minorEastAsia" w:cstheme="minorBidi"/>
              <w:i w:val="0"/>
              <w:iCs w:val="0"/>
              <w:sz w:val="21"/>
              <w:szCs w:val="22"/>
            </w:rPr>
          </w:r>
        </w:p>
        <w:p>
          <w:pPr>
            <w:pStyle w:val="1363"/>
            <w:pBdr/>
            <w:spacing/>
            <w:ind/>
            <w:rPr>
              <w:rFonts w:asciiTheme="minorHAnsi" w:hAnsiTheme="minorHAnsi" w:eastAsiaTheme="minorEastAsia" w:cstheme="minorBidi"/>
              <w:sz w:val="21"/>
              <w:szCs w:val="22"/>
            </w:rPr>
          </w:pPr>
          <w:r/>
          <w:hyperlink w:tooltip="#_Toc140505111" w:anchor="_Toc140505111" w:history="1">
            <w:r>
              <w:rPr>
                <w:rStyle w:val="1375"/>
                <w:rFonts w:ascii="Arial Narrow" w:hAnsi="Arial Narrow" w:eastAsia="仿宋_GB2312" w:cs="Arial"/>
                <w:color w:val="auto"/>
              </w:rPr>
              <w:t xml:space="preserve">2.3</w:t>
            </w:r>
            <w:r>
              <w:rPr>
                <w:rFonts w:asciiTheme="minorHAnsi" w:hAnsiTheme="minorHAnsi" w:eastAsiaTheme="minorEastAsia" w:cstheme="minorBidi"/>
                <w:sz w:val="21"/>
                <w:szCs w:val="22"/>
              </w:rPr>
              <w:tab/>
            </w:r>
            <w:r>
              <w:rPr>
                <w:rStyle w:val="1375"/>
                <w:rFonts w:ascii="Arial Narrow" w:hAnsi="Arial Narrow" w:eastAsia="仿宋_GB2312" w:cs="Arial"/>
                <w:color w:val="auto"/>
              </w:rPr>
              <w:t xml:space="preserve">主营业务及财务状况</w:t>
            </w:r>
            <w:r>
              <w:tab/>
            </w:r>
            <w:r>
              <w:fldChar w:fldCharType="begin"/>
            </w:r>
            <w:r>
              <w:instrText xml:space="preserve"> PAGEREF _Toc140505111 \h </w:instrText>
            </w:r>
            <w:r>
              <w:fldChar w:fldCharType="separate"/>
            </w:r>
            <w:r>
              <w:t xml:space="preserve">7</w:t>
            </w:r>
            <w:r>
              <w:fldChar w:fldCharType="end"/>
            </w:r>
          </w:hyperlink>
          <w:r/>
          <w:r>
            <w:rPr>
              <w:rFonts w:asciiTheme="minorHAnsi" w:hAnsiTheme="minorHAnsi" w:eastAsiaTheme="minorEastAsia" w:cstheme="minorBidi"/>
              <w:sz w:val="21"/>
              <w:szCs w:val="22"/>
            </w:rPr>
          </w:r>
        </w:p>
        <w:p>
          <w:pPr>
            <w:pStyle w:val="1363"/>
            <w:pBdr/>
            <w:spacing/>
            <w:ind/>
            <w:rPr>
              <w:rFonts w:asciiTheme="minorHAnsi" w:hAnsiTheme="minorHAnsi" w:eastAsiaTheme="minorEastAsia" w:cstheme="minorBidi"/>
              <w:sz w:val="21"/>
              <w:szCs w:val="22"/>
            </w:rPr>
          </w:pPr>
          <w:r/>
          <w:hyperlink w:tooltip="#_Toc140505112" w:anchor="_Toc140505112" w:history="1">
            <w:r>
              <w:rPr>
                <w:rStyle w:val="1375"/>
                <w:rFonts w:ascii="Arial Narrow" w:hAnsi="Arial Narrow" w:eastAsia="仿宋_GB2312" w:cs="Arial"/>
                <w:color w:val="auto"/>
              </w:rPr>
              <w:t xml:space="preserve">2.4</w:t>
            </w:r>
            <w:r>
              <w:rPr>
                <w:rFonts w:asciiTheme="minorHAnsi" w:hAnsiTheme="minorHAnsi" w:eastAsiaTheme="minorEastAsia" w:cstheme="minorBidi"/>
                <w:sz w:val="21"/>
                <w:szCs w:val="22"/>
              </w:rPr>
              <w:tab/>
            </w:r>
            <w:r>
              <w:rPr>
                <w:rStyle w:val="1375"/>
                <w:rFonts w:ascii="Arial Narrow" w:hAnsi="Arial Narrow" w:eastAsia="仿宋_GB2312" w:cs="Arial"/>
                <w:color w:val="auto"/>
              </w:rPr>
              <w:t xml:space="preserve">本年度重大变化事项</w:t>
            </w:r>
            <w:r>
              <w:tab/>
            </w:r>
            <w:r>
              <w:fldChar w:fldCharType="begin"/>
            </w:r>
            <w:r>
              <w:instrText xml:space="preserve"> PAGEREF _Toc140505112 \h </w:instrText>
            </w:r>
            <w:r>
              <w:fldChar w:fldCharType="separate"/>
            </w:r>
            <w:r>
              <w:t xml:space="preserve">9</w:t>
            </w:r>
            <w:r>
              <w:fldChar w:fldCharType="end"/>
            </w:r>
          </w:hyperlink>
          <w:r/>
          <w:r>
            <w:rPr>
              <w:rFonts w:asciiTheme="minorHAnsi" w:hAnsiTheme="minorHAnsi" w:eastAsiaTheme="minorEastAsia" w:cstheme="minorBidi"/>
              <w:sz w:val="21"/>
              <w:szCs w:val="22"/>
            </w:rPr>
          </w:r>
        </w:p>
        <w:p>
          <w:pPr>
            <w:pStyle w:val="1356"/>
            <w:pBdr/>
            <w:tabs>
              <w:tab w:val="left" w:leader="none" w:pos="480"/>
            </w:tabs>
            <w:spacing/>
            <w:ind/>
            <w:rPr>
              <w:rFonts w:asciiTheme="minorHAnsi" w:hAnsiTheme="minorHAnsi" w:eastAsiaTheme="minorEastAsia" w:cstheme="minorBidi"/>
              <w:bCs w:val="0"/>
              <w:caps w:val="0"/>
              <w:sz w:val="21"/>
              <w:szCs w:val="22"/>
            </w:rPr>
          </w:pPr>
          <w:r/>
          <w:hyperlink w:tooltip="#_Toc140505113" w:anchor="_Toc140505113" w:history="1">
            <w:r>
              <w:rPr>
                <w:rStyle w:val="1375"/>
                <w:rFonts w:ascii="Arial Narrow" w:hAnsi="Arial Narrow" w:eastAsia="仿宋_GB2312"/>
                <w:color w:val="auto"/>
              </w:rPr>
              <w:t xml:space="preserve">3.</w:t>
            </w:r>
            <w:r>
              <w:rPr>
                <w:rFonts w:asciiTheme="minorHAnsi" w:hAnsiTheme="minorHAnsi" w:eastAsiaTheme="minorEastAsia" w:cstheme="minorBidi"/>
                <w:bCs w:val="0"/>
                <w:caps w:val="0"/>
                <w:sz w:val="21"/>
                <w:szCs w:val="22"/>
              </w:rPr>
              <w:tab/>
            </w:r>
            <w:r>
              <w:rPr>
                <w:rStyle w:val="1375"/>
                <w:rFonts w:ascii="Arial Narrow" w:hAnsi="Arial Narrow" w:eastAsia="仿宋_GB2312"/>
                <w:color w:val="auto"/>
              </w:rPr>
              <w:t xml:space="preserve">行业分析</w:t>
            </w:r>
            <w:r>
              <w:tab/>
            </w:r>
            <w:r>
              <w:fldChar w:fldCharType="begin"/>
            </w:r>
            <w:r>
              <w:instrText xml:space="preserve"> PAGEREF _Toc140505113 \h </w:instrText>
            </w:r>
            <w:r>
              <w:fldChar w:fldCharType="separate"/>
            </w:r>
            <w:r>
              <w:t xml:space="preserve">10</w:t>
            </w:r>
            <w:r>
              <w:fldChar w:fldCharType="end"/>
            </w:r>
          </w:hyperlink>
          <w:r/>
          <w:r>
            <w:rPr>
              <w:rFonts w:asciiTheme="minorHAnsi" w:hAnsiTheme="minorHAnsi" w:eastAsiaTheme="minorEastAsia" w:cstheme="minorBidi"/>
              <w:bCs w:val="0"/>
              <w:caps w:val="0"/>
              <w:sz w:val="21"/>
              <w:szCs w:val="22"/>
            </w:rPr>
          </w:r>
        </w:p>
        <w:p>
          <w:pPr>
            <w:pStyle w:val="1363"/>
            <w:pBdr/>
            <w:spacing/>
            <w:ind/>
            <w:rPr>
              <w:rFonts w:asciiTheme="minorHAnsi" w:hAnsiTheme="minorHAnsi" w:eastAsiaTheme="minorEastAsia" w:cstheme="minorBidi"/>
              <w:sz w:val="21"/>
              <w:szCs w:val="22"/>
            </w:rPr>
          </w:pPr>
          <w:r/>
          <w:hyperlink w:tooltip="#_Toc140505114" w:anchor="_Toc140505114" w:history="1">
            <w:r>
              <w:rPr>
                <w:rStyle w:val="1375"/>
                <w:rFonts w:ascii="Arial Narrow" w:hAnsi="Arial Narrow" w:eastAsia="仿宋_GB2312" w:cs="Arial"/>
                <w:color w:val="auto"/>
              </w:rPr>
              <w:t xml:space="preserve">3.1</w:t>
            </w:r>
            <w:r>
              <w:rPr>
                <w:rFonts w:asciiTheme="minorHAnsi" w:hAnsiTheme="minorHAnsi" w:eastAsiaTheme="minorEastAsia" w:cstheme="minorBidi"/>
                <w:sz w:val="21"/>
                <w:szCs w:val="22"/>
              </w:rPr>
              <w:tab/>
            </w:r>
            <w:r>
              <w:rPr>
                <w:rStyle w:val="1375"/>
                <w:rFonts w:ascii="Arial Narrow" w:hAnsi="Arial Narrow" w:eastAsia="仿宋_GB2312" w:cs="Arial"/>
                <w:color w:val="auto"/>
              </w:rPr>
              <w:t xml:space="preserve">化妆品行业分析</w:t>
            </w:r>
            <w:r>
              <w:tab/>
            </w:r>
            <w:r>
              <w:fldChar w:fldCharType="begin"/>
            </w:r>
            <w:r>
              <w:instrText xml:space="preserve"> PAGEREF _Toc140505114 \h </w:instrText>
            </w:r>
            <w:r>
              <w:fldChar w:fldCharType="separate"/>
            </w:r>
            <w:r>
              <w:t xml:space="preserve">10</w:t>
            </w:r>
            <w:r>
              <w:fldChar w:fldCharType="end"/>
            </w:r>
          </w:hyperlink>
          <w:r/>
          <w:r>
            <w:rPr>
              <w:rFonts w:asciiTheme="minorHAnsi" w:hAnsiTheme="minorHAnsi" w:eastAsiaTheme="minorEastAsia" w:cstheme="minorBidi"/>
              <w:sz w:val="21"/>
              <w:szCs w:val="22"/>
            </w:rPr>
          </w:r>
        </w:p>
        <w:p>
          <w:pPr>
            <w:pStyle w:val="1349"/>
            <w:pBdr/>
            <w:spacing/>
            <w:ind/>
            <w:rPr>
              <w:rFonts w:asciiTheme="minorHAnsi" w:hAnsiTheme="minorHAnsi" w:eastAsiaTheme="minorEastAsia" w:cstheme="minorBidi"/>
              <w:i w:val="0"/>
              <w:iCs w:val="0"/>
              <w:sz w:val="21"/>
              <w:szCs w:val="22"/>
            </w:rPr>
          </w:pPr>
          <w:r/>
          <w:hyperlink w:tooltip="#_Toc140505115" w:anchor="_Toc140505115" w:history="1">
            <w:r>
              <w:rPr>
                <w:rStyle w:val="1375"/>
                <w:rFonts w:ascii="Arial Narrow" w:hAnsi="Arial Narrow" w:eastAsia="仿宋_GB2312" w:cs="Arial"/>
                <w:color w:val="auto"/>
              </w:rPr>
              <w:t xml:space="preserve">3.1.1</w:t>
            </w:r>
            <w:r>
              <w:rPr>
                <w:rFonts w:asciiTheme="minorHAnsi" w:hAnsiTheme="minorHAnsi" w:eastAsiaTheme="minorEastAsia" w:cstheme="minorBidi"/>
                <w:i w:val="0"/>
                <w:iCs w:val="0"/>
                <w:sz w:val="21"/>
                <w:szCs w:val="22"/>
              </w:rPr>
              <w:tab/>
            </w:r>
            <w:r>
              <w:rPr>
                <w:rStyle w:val="1375"/>
                <w:rFonts w:ascii="Arial Narrow" w:hAnsi="Arial Narrow" w:eastAsia="仿宋_GB2312" w:cs="Arial"/>
                <w:color w:val="auto"/>
              </w:rPr>
              <w:t xml:space="preserve">化妆品概述</w:t>
            </w:r>
            <w:r>
              <w:tab/>
            </w:r>
            <w:r>
              <w:fldChar w:fldCharType="begin"/>
            </w:r>
            <w:r>
              <w:instrText xml:space="preserve"> PAGEREF _Toc140505115 \h </w:instrText>
            </w:r>
            <w:r>
              <w:fldChar w:fldCharType="separate"/>
            </w:r>
            <w:r>
              <w:t xml:space="preserve">10</w:t>
            </w:r>
            <w:r>
              <w:fldChar w:fldCharType="end"/>
            </w:r>
          </w:hyperlink>
          <w:r/>
          <w:r>
            <w:rPr>
              <w:rFonts w:asciiTheme="minorHAnsi" w:hAnsiTheme="minorHAnsi" w:eastAsiaTheme="minorEastAsia" w:cstheme="minorBidi"/>
              <w:i w:val="0"/>
              <w:iCs w:val="0"/>
              <w:sz w:val="21"/>
              <w:szCs w:val="22"/>
            </w:rPr>
          </w:r>
        </w:p>
        <w:p>
          <w:pPr>
            <w:pStyle w:val="1349"/>
            <w:pBdr/>
            <w:spacing/>
            <w:ind/>
            <w:rPr>
              <w:rFonts w:asciiTheme="minorHAnsi" w:hAnsiTheme="minorHAnsi" w:eastAsiaTheme="minorEastAsia" w:cstheme="minorBidi"/>
              <w:i w:val="0"/>
              <w:iCs w:val="0"/>
              <w:sz w:val="21"/>
              <w:szCs w:val="22"/>
            </w:rPr>
          </w:pPr>
          <w:r/>
          <w:hyperlink w:tooltip="#_Toc140505116" w:anchor="_Toc140505116" w:history="1">
            <w:r>
              <w:rPr>
                <w:rStyle w:val="1375"/>
                <w:rFonts w:ascii="Arial Narrow" w:hAnsi="Arial Narrow" w:eastAsia="仿宋_GB2312" w:cs="Arial"/>
                <w:color w:val="auto"/>
              </w:rPr>
              <w:t xml:space="preserve">3.1.2</w:t>
            </w:r>
            <w:r>
              <w:rPr>
                <w:rFonts w:asciiTheme="minorHAnsi" w:hAnsiTheme="minorHAnsi" w:eastAsiaTheme="minorEastAsia" w:cstheme="minorBidi"/>
                <w:i w:val="0"/>
                <w:iCs w:val="0"/>
                <w:sz w:val="21"/>
                <w:szCs w:val="22"/>
              </w:rPr>
              <w:tab/>
            </w:r>
            <w:r>
              <w:rPr>
                <w:rStyle w:val="1375"/>
                <w:rFonts w:ascii="Arial Narrow" w:hAnsi="Arial Narrow" w:eastAsia="仿宋_GB2312" w:cs="Arial"/>
                <w:color w:val="auto"/>
              </w:rPr>
              <w:t xml:space="preserve">全球行业分析</w:t>
            </w:r>
            <w:r>
              <w:tab/>
            </w:r>
            <w:r>
              <w:fldChar w:fldCharType="begin"/>
            </w:r>
            <w:r>
              <w:instrText xml:space="preserve"> PAGEREF _Toc140505116 \h </w:instrText>
            </w:r>
            <w:r>
              <w:fldChar w:fldCharType="separate"/>
            </w:r>
            <w:r>
              <w:t xml:space="preserve">11</w:t>
            </w:r>
            <w:r>
              <w:fldChar w:fldCharType="end"/>
            </w:r>
          </w:hyperlink>
          <w:r/>
          <w:r>
            <w:rPr>
              <w:rFonts w:asciiTheme="minorHAnsi" w:hAnsiTheme="minorHAnsi" w:eastAsiaTheme="minorEastAsia" w:cstheme="minorBidi"/>
              <w:i w:val="0"/>
              <w:iCs w:val="0"/>
              <w:sz w:val="21"/>
              <w:szCs w:val="22"/>
            </w:rPr>
          </w:r>
        </w:p>
        <w:p>
          <w:pPr>
            <w:pStyle w:val="1349"/>
            <w:pBdr/>
            <w:spacing/>
            <w:ind/>
            <w:rPr>
              <w:rFonts w:asciiTheme="minorHAnsi" w:hAnsiTheme="minorHAnsi" w:eastAsiaTheme="minorEastAsia" w:cstheme="minorBidi"/>
              <w:i w:val="0"/>
              <w:iCs w:val="0"/>
              <w:sz w:val="21"/>
              <w:szCs w:val="22"/>
            </w:rPr>
          </w:pPr>
          <w:r/>
          <w:hyperlink w:tooltip="#_Toc140505117" w:anchor="_Toc140505117" w:history="1">
            <w:r>
              <w:rPr>
                <w:rStyle w:val="1375"/>
                <w:rFonts w:ascii="Arial Narrow" w:hAnsi="Arial Narrow" w:eastAsia="仿宋_GB2312" w:cs="Arial"/>
                <w:color w:val="auto"/>
              </w:rPr>
              <w:t xml:space="preserve">3.1.3</w:t>
            </w:r>
            <w:r>
              <w:rPr>
                <w:rFonts w:asciiTheme="minorHAnsi" w:hAnsiTheme="minorHAnsi" w:eastAsiaTheme="minorEastAsia" w:cstheme="minorBidi"/>
                <w:i w:val="0"/>
                <w:iCs w:val="0"/>
                <w:sz w:val="21"/>
                <w:szCs w:val="22"/>
              </w:rPr>
              <w:tab/>
            </w:r>
            <w:r>
              <w:rPr>
                <w:rStyle w:val="1375"/>
                <w:rFonts w:ascii="Arial Narrow" w:hAnsi="Arial Narrow" w:eastAsia="仿宋_GB2312" w:cs="Arial"/>
                <w:color w:val="auto"/>
              </w:rPr>
              <w:t xml:space="preserve">中国行业分析</w:t>
            </w:r>
            <w:r>
              <w:tab/>
            </w:r>
            <w:r>
              <w:fldChar w:fldCharType="begin"/>
            </w:r>
            <w:r>
              <w:instrText xml:space="preserve"> PAGEREF _Toc140505117 \h </w:instrText>
            </w:r>
            <w:r>
              <w:fldChar w:fldCharType="separate"/>
            </w:r>
            <w:r>
              <w:t xml:space="preserve">13</w:t>
            </w:r>
            <w:r>
              <w:fldChar w:fldCharType="end"/>
            </w:r>
          </w:hyperlink>
          <w:r/>
          <w:r>
            <w:rPr>
              <w:rFonts w:asciiTheme="minorHAnsi" w:hAnsiTheme="minorHAnsi" w:eastAsiaTheme="minorEastAsia" w:cstheme="minorBidi"/>
              <w:i w:val="0"/>
              <w:iCs w:val="0"/>
              <w:sz w:val="21"/>
              <w:szCs w:val="22"/>
            </w:rPr>
          </w:r>
        </w:p>
        <w:p>
          <w:pPr>
            <w:pStyle w:val="1349"/>
            <w:pBdr/>
            <w:spacing/>
            <w:ind/>
            <w:rPr>
              <w:rFonts w:asciiTheme="minorHAnsi" w:hAnsiTheme="minorHAnsi" w:eastAsiaTheme="minorEastAsia" w:cstheme="minorBidi"/>
              <w:i w:val="0"/>
              <w:iCs w:val="0"/>
              <w:sz w:val="21"/>
              <w:szCs w:val="22"/>
            </w:rPr>
          </w:pPr>
          <w:r/>
          <w:hyperlink w:tooltip="#_Toc140505118" w:anchor="_Toc140505118" w:history="1">
            <w:r>
              <w:rPr>
                <w:rStyle w:val="1375"/>
                <w:rFonts w:ascii="Arial Narrow" w:hAnsi="Arial Narrow" w:eastAsia="仿宋_GB2312" w:cs="Arial"/>
                <w:color w:val="auto"/>
              </w:rPr>
              <w:t xml:space="preserve">3.1.4</w:t>
            </w:r>
            <w:r>
              <w:rPr>
                <w:rFonts w:asciiTheme="minorHAnsi" w:hAnsiTheme="minorHAnsi" w:eastAsiaTheme="minorEastAsia" w:cstheme="minorBidi"/>
                <w:i w:val="0"/>
                <w:iCs w:val="0"/>
                <w:sz w:val="21"/>
                <w:szCs w:val="22"/>
              </w:rPr>
              <w:tab/>
            </w:r>
            <w:r>
              <w:rPr>
                <w:rStyle w:val="1375"/>
                <w:rFonts w:ascii="Arial Narrow" w:hAnsi="Arial Narrow" w:eastAsia="仿宋_GB2312" w:cs="Arial"/>
                <w:color w:val="auto"/>
              </w:rPr>
              <w:t xml:space="preserve">中国化妆品行业存在问题分析</w:t>
            </w:r>
            <w:r>
              <w:tab/>
            </w:r>
            <w:r>
              <w:fldChar w:fldCharType="begin"/>
            </w:r>
            <w:r>
              <w:instrText xml:space="preserve"> PAGEREF _Toc140505118 \h </w:instrText>
            </w:r>
            <w:r>
              <w:fldChar w:fldCharType="separate"/>
            </w:r>
            <w:r>
              <w:t xml:space="preserve">16</w:t>
            </w:r>
            <w:r>
              <w:fldChar w:fldCharType="end"/>
            </w:r>
          </w:hyperlink>
          <w:r/>
          <w:r>
            <w:rPr>
              <w:rFonts w:asciiTheme="minorHAnsi" w:hAnsiTheme="minorHAnsi" w:eastAsiaTheme="minorEastAsia" w:cstheme="minorBidi"/>
              <w:i w:val="0"/>
              <w:iCs w:val="0"/>
              <w:sz w:val="21"/>
              <w:szCs w:val="22"/>
            </w:rPr>
          </w:r>
        </w:p>
        <w:p>
          <w:pPr>
            <w:pStyle w:val="1363"/>
            <w:pBdr/>
            <w:spacing/>
            <w:ind/>
            <w:rPr>
              <w:rFonts w:asciiTheme="minorHAnsi" w:hAnsiTheme="minorHAnsi" w:eastAsiaTheme="minorEastAsia" w:cstheme="minorBidi"/>
              <w:sz w:val="21"/>
              <w:szCs w:val="22"/>
            </w:rPr>
          </w:pPr>
          <w:r/>
          <w:hyperlink w:tooltip="#_Toc140505119" w:anchor="_Toc140505119" w:history="1">
            <w:r>
              <w:rPr>
                <w:rStyle w:val="1375"/>
                <w:rFonts w:ascii="Arial Narrow" w:hAnsi="Arial Narrow" w:eastAsia="仿宋_GB2312" w:cs="Arial"/>
                <w:color w:val="auto"/>
              </w:rPr>
              <w:t xml:space="preserve">3.2</w:t>
            </w:r>
            <w:r>
              <w:rPr>
                <w:rFonts w:asciiTheme="minorHAnsi" w:hAnsiTheme="minorHAnsi" w:eastAsiaTheme="minorEastAsia" w:cstheme="minorBidi"/>
                <w:sz w:val="21"/>
                <w:szCs w:val="22"/>
              </w:rPr>
              <w:tab/>
            </w:r>
            <w:r>
              <w:rPr>
                <w:rStyle w:val="1375"/>
                <w:rFonts w:ascii="Arial Narrow" w:hAnsi="Arial Narrow" w:eastAsia="仿宋_GB2312" w:cs="Arial"/>
                <w:color w:val="auto"/>
              </w:rPr>
              <w:t xml:space="preserve">结论</w:t>
            </w:r>
            <w:r>
              <w:tab/>
            </w:r>
            <w:r>
              <w:fldChar w:fldCharType="begin"/>
            </w:r>
            <w:r>
              <w:instrText xml:space="preserve"> PAGEREF _Toc140505119 \h </w:instrText>
            </w:r>
            <w:r>
              <w:fldChar w:fldCharType="separate"/>
            </w:r>
            <w:r>
              <w:t xml:space="preserve">17</w:t>
            </w:r>
            <w:r>
              <w:fldChar w:fldCharType="end"/>
            </w:r>
          </w:hyperlink>
          <w:r/>
          <w:r>
            <w:rPr>
              <w:rFonts w:asciiTheme="minorHAnsi" w:hAnsiTheme="minorHAnsi" w:eastAsiaTheme="minorEastAsia" w:cstheme="minorBidi"/>
              <w:sz w:val="21"/>
              <w:szCs w:val="22"/>
            </w:rPr>
          </w:r>
        </w:p>
        <w:p>
          <w:pPr>
            <w:pStyle w:val="1356"/>
            <w:pBdr/>
            <w:tabs>
              <w:tab w:val="left" w:leader="none" w:pos="480"/>
            </w:tabs>
            <w:spacing/>
            <w:ind/>
            <w:rPr>
              <w:rFonts w:asciiTheme="minorHAnsi" w:hAnsiTheme="minorHAnsi" w:eastAsiaTheme="minorEastAsia" w:cstheme="minorBidi"/>
              <w:bCs w:val="0"/>
              <w:caps w:val="0"/>
              <w:sz w:val="21"/>
              <w:szCs w:val="22"/>
            </w:rPr>
          </w:pPr>
          <w:r/>
          <w:hyperlink w:tooltip="#_Toc140505120" w:anchor="_Toc140505120" w:history="1">
            <w:r>
              <w:rPr>
                <w:rStyle w:val="1375"/>
                <w:rFonts w:ascii="Arial Narrow" w:hAnsi="Arial Narrow" w:eastAsia="仿宋_GB2312"/>
                <w:color w:val="auto"/>
              </w:rPr>
              <w:t xml:space="preserve">4.</w:t>
            </w:r>
            <w:r>
              <w:rPr>
                <w:rFonts w:asciiTheme="minorHAnsi" w:hAnsiTheme="minorHAnsi" w:eastAsiaTheme="minorEastAsia" w:cstheme="minorBidi"/>
                <w:bCs w:val="0"/>
                <w:caps w:val="0"/>
                <w:sz w:val="21"/>
                <w:szCs w:val="22"/>
              </w:rPr>
              <w:tab/>
            </w:r>
            <w:r>
              <w:rPr>
                <w:rStyle w:val="1375"/>
                <w:rFonts w:ascii="Arial Narrow" w:hAnsi="Arial Narrow" w:eastAsia="仿宋_GB2312"/>
                <w:color w:val="auto"/>
              </w:rPr>
              <w:t xml:space="preserve">关联交易</w:t>
            </w:r>
            <w:r>
              <w:tab/>
            </w:r>
            <w:r>
              <w:fldChar w:fldCharType="begin"/>
            </w:r>
            <w:r>
              <w:instrText xml:space="preserve"> PAGEREF _Toc140505120 \h </w:instrText>
            </w:r>
            <w:r>
              <w:fldChar w:fldCharType="separate"/>
            </w:r>
            <w:r>
              <w:t xml:space="preserve">18</w:t>
            </w:r>
            <w:r>
              <w:fldChar w:fldCharType="end"/>
            </w:r>
          </w:hyperlink>
          <w:r/>
          <w:r>
            <w:rPr>
              <w:rFonts w:asciiTheme="minorHAnsi" w:hAnsiTheme="minorHAnsi" w:eastAsiaTheme="minorEastAsia" w:cstheme="minorBidi"/>
              <w:bCs w:val="0"/>
              <w:caps w:val="0"/>
              <w:sz w:val="21"/>
              <w:szCs w:val="22"/>
            </w:rPr>
          </w:r>
        </w:p>
        <w:p>
          <w:pPr>
            <w:pStyle w:val="1363"/>
            <w:pBdr/>
            <w:spacing/>
            <w:ind/>
            <w:rPr>
              <w:rFonts w:asciiTheme="minorHAnsi" w:hAnsiTheme="minorHAnsi" w:eastAsiaTheme="minorEastAsia" w:cstheme="minorBidi"/>
              <w:sz w:val="21"/>
              <w:szCs w:val="22"/>
            </w:rPr>
          </w:pPr>
          <w:r/>
          <w:hyperlink w:tooltip="#_Toc140505121" w:anchor="_Toc140505121" w:history="1">
            <w:r>
              <w:rPr>
                <w:rStyle w:val="1375"/>
                <w:rFonts w:ascii="Arial Narrow" w:hAnsi="Arial Narrow" w:eastAsia="仿宋_GB2312" w:cs="Arial"/>
                <w:color w:val="auto"/>
              </w:rPr>
              <w:t xml:space="preserve">4.1</w:t>
            </w:r>
            <w:r>
              <w:rPr>
                <w:rFonts w:asciiTheme="minorHAnsi" w:hAnsiTheme="minorHAnsi" w:eastAsiaTheme="minorEastAsia" w:cstheme="minorBidi"/>
                <w:sz w:val="21"/>
                <w:szCs w:val="22"/>
              </w:rPr>
              <w:tab/>
            </w:r>
            <w:r>
              <w:rPr>
                <w:rStyle w:val="1375"/>
                <w:rFonts w:ascii="Arial Narrow" w:hAnsi="Arial Narrow" w:eastAsia="仿宋_GB2312" w:cs="Arial"/>
                <w:color w:val="auto"/>
              </w:rPr>
              <w:t xml:space="preserve">关联方信息</w:t>
            </w:r>
            <w:r>
              <w:tab/>
            </w:r>
            <w:r>
              <w:fldChar w:fldCharType="begin"/>
            </w:r>
            <w:r>
              <w:instrText xml:space="preserve"> PAGEREF _Toc140505121 \h </w:instrText>
            </w:r>
            <w:r>
              <w:fldChar w:fldCharType="separate"/>
            </w:r>
            <w:r>
              <w:t xml:space="preserve">18</w:t>
            </w:r>
            <w:r>
              <w:fldChar w:fldCharType="end"/>
            </w:r>
          </w:hyperlink>
          <w:r/>
          <w:r>
            <w:rPr>
              <w:rFonts w:asciiTheme="minorHAnsi" w:hAnsiTheme="minorHAnsi" w:eastAsiaTheme="minorEastAsia" w:cstheme="minorBidi"/>
              <w:sz w:val="21"/>
              <w:szCs w:val="22"/>
            </w:rPr>
          </w:r>
        </w:p>
        <w:p>
          <w:pPr>
            <w:pStyle w:val="1363"/>
            <w:pBdr/>
            <w:spacing/>
            <w:ind/>
            <w:rPr>
              <w:rFonts w:asciiTheme="minorHAnsi" w:hAnsiTheme="minorHAnsi" w:eastAsiaTheme="minorEastAsia" w:cstheme="minorBidi"/>
              <w:sz w:val="21"/>
              <w:szCs w:val="22"/>
            </w:rPr>
          </w:pPr>
          <w:r/>
          <w:hyperlink w:tooltip="#_Toc140505122" w:anchor="_Toc140505122" w:history="1">
            <w:r>
              <w:rPr>
                <w:rStyle w:val="1375"/>
                <w:rFonts w:ascii="Arial Narrow" w:hAnsi="Arial Narrow" w:eastAsia="仿宋_GB2312" w:cs="Arial"/>
                <w:color w:val="auto"/>
              </w:rPr>
              <w:t xml:space="preserve">4.2</w:t>
            </w:r>
            <w:r>
              <w:rPr>
                <w:rFonts w:asciiTheme="minorHAnsi" w:hAnsiTheme="minorHAnsi" w:eastAsiaTheme="minorEastAsia" w:cstheme="minorBidi"/>
                <w:sz w:val="21"/>
                <w:szCs w:val="22"/>
              </w:rPr>
              <w:tab/>
            </w:r>
            <w:r>
              <w:rPr>
                <w:rStyle w:val="1375"/>
                <w:rFonts w:ascii="Arial Narrow" w:hAnsi="Arial Narrow" w:eastAsia="仿宋_GB2312" w:cs="Arial"/>
                <w:color w:val="auto"/>
              </w:rPr>
              <w:t xml:space="preserve">主要关联交易</w:t>
            </w:r>
            <w:r>
              <w:tab/>
            </w:r>
            <w:r>
              <w:fldChar w:fldCharType="begin"/>
            </w:r>
            <w:r>
              <w:instrText xml:space="preserve"> PAGEREF _Toc140505122 \h </w:instrText>
            </w:r>
            <w:r>
              <w:fldChar w:fldCharType="separate"/>
            </w:r>
            <w:r>
              <w:t xml:space="preserve">18</w:t>
            </w:r>
            <w:r>
              <w:fldChar w:fldCharType="end"/>
            </w:r>
          </w:hyperlink>
          <w:r/>
          <w:r>
            <w:rPr>
              <w:rFonts w:asciiTheme="minorHAnsi" w:hAnsiTheme="minorHAnsi" w:eastAsiaTheme="minorEastAsia" w:cstheme="minorBidi"/>
              <w:sz w:val="21"/>
              <w:szCs w:val="22"/>
            </w:rPr>
          </w:r>
        </w:p>
        <w:p>
          <w:pPr>
            <w:pStyle w:val="1363"/>
            <w:pBdr/>
            <w:spacing/>
            <w:ind/>
            <w:rPr>
              <w:rFonts w:asciiTheme="minorHAnsi" w:hAnsiTheme="minorHAnsi" w:eastAsiaTheme="minorEastAsia" w:cstheme="minorBidi"/>
              <w:sz w:val="21"/>
              <w:szCs w:val="22"/>
            </w:rPr>
          </w:pPr>
          <w:r/>
          <w:hyperlink w:tooltip="#_Toc140505123" w:anchor="_Toc140505123" w:history="1">
            <w:r>
              <w:rPr>
                <w:rStyle w:val="1375"/>
                <w:rFonts w:ascii="Arial Narrow" w:hAnsi="Arial Narrow" w:eastAsia="仿宋_GB2312" w:cs="Arial"/>
                <w:color w:val="auto"/>
              </w:rPr>
              <w:t xml:space="preserve">4.3</w:t>
            </w:r>
            <w:r>
              <w:rPr>
                <w:rFonts w:asciiTheme="minorHAnsi" w:hAnsiTheme="minorHAnsi" w:eastAsiaTheme="minorEastAsia" w:cstheme="minorBidi"/>
                <w:sz w:val="21"/>
                <w:szCs w:val="22"/>
              </w:rPr>
              <w:tab/>
            </w:r>
            <w:r>
              <w:rPr>
                <w:rStyle w:val="1375"/>
                <w:rFonts w:ascii="Arial Narrow" w:hAnsi="Arial Narrow" w:eastAsia="仿宋_GB2312" w:cs="Arial"/>
                <w:color w:val="auto"/>
              </w:rPr>
              <w:t xml:space="preserve">关联购销</w:t>
            </w:r>
            <w:r>
              <w:tab/>
            </w:r>
            <w:r>
              <w:fldChar w:fldCharType="begin"/>
            </w:r>
            <w:r>
              <w:instrText xml:space="preserve"> PAGEREF _Toc140505123 \h </w:instrText>
            </w:r>
            <w:r>
              <w:fldChar w:fldCharType="separate"/>
            </w:r>
            <w:r>
              <w:t xml:space="preserve">19</w:t>
            </w:r>
            <w:r>
              <w:fldChar w:fldCharType="end"/>
            </w:r>
          </w:hyperlink>
          <w:r/>
          <w:r>
            <w:rPr>
              <w:rFonts w:asciiTheme="minorHAnsi" w:hAnsiTheme="minorHAnsi" w:eastAsiaTheme="minorEastAsia" w:cstheme="minorBidi"/>
              <w:sz w:val="21"/>
              <w:szCs w:val="22"/>
            </w:rPr>
          </w:r>
        </w:p>
        <w:p>
          <w:pPr>
            <w:pStyle w:val="1349"/>
            <w:pBdr/>
            <w:spacing/>
            <w:ind/>
            <w:rPr>
              <w:rFonts w:asciiTheme="minorHAnsi" w:hAnsiTheme="minorHAnsi" w:eastAsiaTheme="minorEastAsia" w:cstheme="minorBidi"/>
              <w:i w:val="0"/>
              <w:iCs w:val="0"/>
              <w:sz w:val="21"/>
              <w:szCs w:val="22"/>
            </w:rPr>
          </w:pPr>
          <w:r/>
          <w:hyperlink w:tooltip="#_Toc140505124" w:anchor="_Toc140505124" w:history="1">
            <w:r>
              <w:rPr>
                <w:rStyle w:val="1375"/>
                <w:rFonts w:ascii="Arial Narrow" w:hAnsi="Arial Narrow" w:eastAsia="仿宋_GB2312" w:cs="Arial"/>
                <w:color w:val="auto"/>
              </w:rPr>
              <w:t xml:space="preserve">4.3.1</w:t>
            </w:r>
            <w:r>
              <w:rPr>
                <w:rFonts w:asciiTheme="minorHAnsi" w:hAnsiTheme="minorHAnsi" w:eastAsiaTheme="minorEastAsia" w:cstheme="minorBidi"/>
                <w:i w:val="0"/>
                <w:iCs w:val="0"/>
                <w:sz w:val="21"/>
                <w:szCs w:val="22"/>
              </w:rPr>
              <w:tab/>
            </w:r>
            <w:r>
              <w:rPr>
                <w:rStyle w:val="1375"/>
                <w:rFonts w:ascii="Arial Narrow" w:hAnsi="Arial Narrow" w:eastAsia="仿宋_GB2312" w:cs="Arial"/>
                <w:color w:val="auto"/>
              </w:rPr>
              <w:t xml:space="preserve">交易流程</w:t>
            </w:r>
            <w:r>
              <w:tab/>
            </w:r>
            <w:r>
              <w:fldChar w:fldCharType="begin"/>
            </w:r>
            <w:r>
              <w:instrText xml:space="preserve"> PAGEREF _Toc140505124 \h </w:instrText>
            </w:r>
            <w:r>
              <w:fldChar w:fldCharType="separate"/>
            </w:r>
            <w:r>
              <w:t xml:space="preserve">19</w:t>
            </w:r>
            <w:r>
              <w:fldChar w:fldCharType="end"/>
            </w:r>
          </w:hyperlink>
          <w:r/>
          <w:r>
            <w:rPr>
              <w:rFonts w:asciiTheme="minorHAnsi" w:hAnsiTheme="minorHAnsi" w:eastAsiaTheme="minorEastAsia" w:cstheme="minorBidi"/>
              <w:i w:val="0"/>
              <w:iCs w:val="0"/>
              <w:sz w:val="21"/>
              <w:szCs w:val="22"/>
            </w:rPr>
          </w:r>
        </w:p>
        <w:p>
          <w:pPr>
            <w:pStyle w:val="1349"/>
            <w:pBdr/>
            <w:spacing/>
            <w:ind/>
            <w:rPr>
              <w:rFonts w:asciiTheme="minorHAnsi" w:hAnsiTheme="minorHAnsi" w:eastAsiaTheme="minorEastAsia" w:cstheme="minorBidi"/>
              <w:i w:val="0"/>
              <w:iCs w:val="0"/>
              <w:sz w:val="21"/>
              <w:szCs w:val="22"/>
            </w:rPr>
          </w:pPr>
          <w:r/>
          <w:hyperlink w:tooltip="#_Toc140505125" w:anchor="_Toc140505125" w:history="1">
            <w:r>
              <w:rPr>
                <w:rStyle w:val="1375"/>
                <w:rFonts w:ascii="Arial Narrow" w:hAnsi="Arial Narrow" w:eastAsia="仿宋_GB2312" w:cs="Arial"/>
                <w:color w:val="auto"/>
              </w:rPr>
              <w:t xml:space="preserve">4.3.2</w:t>
            </w:r>
            <w:r>
              <w:rPr>
                <w:rFonts w:asciiTheme="minorHAnsi" w:hAnsiTheme="minorHAnsi" w:eastAsiaTheme="minorEastAsia" w:cstheme="minorBidi"/>
                <w:i w:val="0"/>
                <w:iCs w:val="0"/>
                <w:sz w:val="21"/>
                <w:szCs w:val="22"/>
              </w:rPr>
              <w:tab/>
            </w:r>
            <w:r>
              <w:rPr>
                <w:rStyle w:val="1375"/>
                <w:rFonts w:ascii="Arial Narrow" w:hAnsi="Arial Narrow" w:eastAsia="仿宋_GB2312" w:cs="Arial"/>
                <w:color w:val="auto"/>
              </w:rPr>
              <w:t xml:space="preserve">交易明细</w:t>
            </w:r>
            <w:r>
              <w:tab/>
            </w:r>
            <w:r>
              <w:fldChar w:fldCharType="begin"/>
            </w:r>
            <w:r>
              <w:instrText xml:space="preserve"> PAGEREF _Toc140505125 \h </w:instrText>
            </w:r>
            <w:r>
              <w:fldChar w:fldCharType="separate"/>
            </w:r>
            <w:r>
              <w:t xml:space="preserve">19</w:t>
            </w:r>
            <w:r>
              <w:fldChar w:fldCharType="end"/>
            </w:r>
          </w:hyperlink>
          <w:r/>
          <w:r>
            <w:rPr>
              <w:rFonts w:asciiTheme="minorHAnsi" w:hAnsiTheme="minorHAnsi" w:eastAsiaTheme="minorEastAsia" w:cstheme="minorBidi"/>
              <w:i w:val="0"/>
              <w:iCs w:val="0"/>
              <w:sz w:val="21"/>
              <w:szCs w:val="22"/>
            </w:rPr>
          </w:r>
        </w:p>
        <w:p>
          <w:pPr>
            <w:pStyle w:val="1349"/>
            <w:pBdr/>
            <w:spacing/>
            <w:ind/>
            <w:rPr>
              <w:rFonts w:asciiTheme="minorHAnsi" w:hAnsiTheme="minorHAnsi" w:eastAsiaTheme="minorEastAsia" w:cstheme="minorBidi"/>
              <w:i w:val="0"/>
              <w:iCs w:val="0"/>
              <w:sz w:val="21"/>
              <w:szCs w:val="22"/>
            </w:rPr>
          </w:pPr>
          <w:r/>
          <w:hyperlink w:tooltip="#_Toc140505126" w:anchor="_Toc140505126" w:history="1">
            <w:r>
              <w:rPr>
                <w:rStyle w:val="1375"/>
                <w:rFonts w:ascii="Arial Narrow" w:hAnsi="Arial Narrow" w:eastAsia="仿宋_GB2312" w:cs="Arial"/>
                <w:color w:val="auto"/>
              </w:rPr>
              <w:t xml:space="preserve">4.3.3</w:t>
            </w:r>
            <w:r>
              <w:rPr>
                <w:rFonts w:asciiTheme="minorHAnsi" w:hAnsiTheme="minorHAnsi" w:eastAsiaTheme="minorEastAsia" w:cstheme="minorBidi"/>
                <w:i w:val="0"/>
                <w:iCs w:val="0"/>
                <w:sz w:val="21"/>
                <w:szCs w:val="22"/>
              </w:rPr>
              <w:tab/>
            </w:r>
            <w:r>
              <w:rPr>
                <w:rStyle w:val="1375"/>
                <w:rFonts w:ascii="Arial Narrow" w:hAnsi="Arial Narrow" w:eastAsia="仿宋_GB2312" w:cs="Arial"/>
                <w:color w:val="auto"/>
              </w:rPr>
              <w:t xml:space="preserve">交易定价政策</w:t>
            </w:r>
            <w:r>
              <w:tab/>
            </w:r>
            <w:r>
              <w:fldChar w:fldCharType="begin"/>
            </w:r>
            <w:r>
              <w:instrText xml:space="preserve"> PAGEREF _Toc140505126 \h </w:instrText>
            </w:r>
            <w:r>
              <w:fldChar w:fldCharType="separate"/>
            </w:r>
            <w:r>
              <w:t xml:space="preserve">20</w:t>
            </w:r>
            <w:r>
              <w:fldChar w:fldCharType="end"/>
            </w:r>
          </w:hyperlink>
          <w:r/>
          <w:r>
            <w:rPr>
              <w:rFonts w:asciiTheme="minorHAnsi" w:hAnsiTheme="minorHAnsi" w:eastAsiaTheme="minorEastAsia" w:cstheme="minorBidi"/>
              <w:i w:val="0"/>
              <w:iCs w:val="0"/>
              <w:sz w:val="21"/>
              <w:szCs w:val="22"/>
            </w:rPr>
          </w:r>
        </w:p>
        <w:p>
          <w:pPr>
            <w:pStyle w:val="1363"/>
            <w:pBdr/>
            <w:spacing/>
            <w:ind/>
            <w:rPr>
              <w:rFonts w:asciiTheme="minorHAnsi" w:hAnsiTheme="minorHAnsi" w:eastAsiaTheme="minorEastAsia" w:cstheme="minorBidi"/>
              <w:sz w:val="21"/>
              <w:szCs w:val="22"/>
            </w:rPr>
          </w:pPr>
          <w:r/>
          <w:hyperlink w:tooltip="#_Toc140505127" w:anchor="_Toc140505127" w:history="1">
            <w:r>
              <w:rPr>
                <w:rStyle w:val="1375"/>
                <w:rFonts w:ascii="Arial Narrow" w:hAnsi="Arial Narrow" w:eastAsia="仿宋_GB2312" w:cs="Arial"/>
                <w:color w:val="auto"/>
              </w:rPr>
              <w:t xml:space="preserve">4.4</w:t>
            </w:r>
            <w:r>
              <w:rPr>
                <w:rFonts w:asciiTheme="minorHAnsi" w:hAnsiTheme="minorHAnsi" w:eastAsiaTheme="minorEastAsia" w:cstheme="minorBidi"/>
                <w:sz w:val="21"/>
                <w:szCs w:val="22"/>
              </w:rPr>
              <w:tab/>
            </w:r>
            <w:r>
              <w:rPr>
                <w:rStyle w:val="1375"/>
                <w:rFonts w:ascii="Arial Narrow" w:hAnsi="Arial Narrow" w:eastAsia="仿宋_GB2312" w:cs="Arial"/>
                <w:color w:val="auto"/>
              </w:rPr>
              <w:t xml:space="preserve">关联交易合同及执行汇总</w:t>
            </w:r>
            <w:r>
              <w:tab/>
            </w:r>
            <w:r>
              <w:fldChar w:fldCharType="begin"/>
            </w:r>
            <w:r>
              <w:instrText xml:space="preserve"> PAGEREF _Toc140505127 \h </w:instrText>
            </w:r>
            <w:r>
              <w:fldChar w:fldCharType="separate"/>
            </w:r>
            <w:r>
              <w:t xml:space="preserve">20</w:t>
            </w:r>
            <w:r>
              <w:fldChar w:fldCharType="end"/>
            </w:r>
          </w:hyperlink>
          <w:r/>
          <w:r>
            <w:rPr>
              <w:rFonts w:asciiTheme="minorHAnsi" w:hAnsiTheme="minorHAnsi" w:eastAsiaTheme="minorEastAsia" w:cstheme="minorBidi"/>
              <w:sz w:val="21"/>
              <w:szCs w:val="22"/>
            </w:rPr>
          </w:r>
        </w:p>
        <w:p>
          <w:pPr>
            <w:pStyle w:val="1363"/>
            <w:pBdr/>
            <w:spacing/>
            <w:ind/>
            <w:rPr>
              <w:rFonts w:asciiTheme="minorHAnsi" w:hAnsiTheme="minorHAnsi" w:eastAsiaTheme="minorEastAsia" w:cstheme="minorBidi"/>
              <w:sz w:val="21"/>
              <w:szCs w:val="22"/>
            </w:rPr>
          </w:pPr>
          <w:r/>
          <w:hyperlink w:tooltip="#_Toc140505128" w:anchor="_Toc140505128" w:history="1">
            <w:r>
              <w:rPr>
                <w:rStyle w:val="1375"/>
                <w:rFonts w:ascii="Arial Narrow" w:hAnsi="Arial Narrow" w:eastAsia="仿宋_GB2312" w:cs="Arial"/>
                <w:color w:val="auto"/>
              </w:rPr>
              <w:t xml:space="preserve">4.5</w:t>
            </w:r>
            <w:r>
              <w:rPr>
                <w:rFonts w:asciiTheme="minorHAnsi" w:hAnsiTheme="minorHAnsi" w:eastAsiaTheme="minorEastAsia" w:cstheme="minorBidi"/>
                <w:sz w:val="21"/>
                <w:szCs w:val="22"/>
              </w:rPr>
              <w:tab/>
            </w:r>
            <w:r>
              <w:rPr>
                <w:rStyle w:val="1375"/>
                <w:rFonts w:ascii="Arial Narrow" w:hAnsi="Arial Narrow" w:eastAsia="仿宋_GB2312" w:cs="Arial"/>
                <w:color w:val="auto"/>
              </w:rPr>
              <w:t xml:space="preserve">与企业关联交易直接相关的预约定价安排和其他税收裁定</w:t>
            </w:r>
            <w:r>
              <w:tab/>
            </w:r>
            <w:r>
              <w:fldChar w:fldCharType="begin"/>
            </w:r>
            <w:r>
              <w:instrText xml:space="preserve"> PAGEREF _Toc140505128 \h </w:instrText>
            </w:r>
            <w:r>
              <w:fldChar w:fldCharType="separate"/>
            </w:r>
            <w:r>
              <w:t xml:space="preserve">20</w:t>
            </w:r>
            <w:r>
              <w:fldChar w:fldCharType="end"/>
            </w:r>
          </w:hyperlink>
          <w:r/>
          <w:r>
            <w:rPr>
              <w:rFonts w:asciiTheme="minorHAnsi" w:hAnsiTheme="minorHAnsi" w:eastAsiaTheme="minorEastAsia" w:cstheme="minorBidi"/>
              <w:sz w:val="21"/>
              <w:szCs w:val="22"/>
            </w:rPr>
          </w:r>
        </w:p>
        <w:p>
          <w:pPr>
            <w:pStyle w:val="1363"/>
            <w:pBdr/>
            <w:spacing/>
            <w:ind/>
            <w:rPr>
              <w:rFonts w:asciiTheme="minorHAnsi" w:hAnsiTheme="minorHAnsi" w:eastAsiaTheme="minorEastAsia" w:cstheme="minorBidi"/>
              <w:sz w:val="21"/>
              <w:szCs w:val="22"/>
            </w:rPr>
          </w:pPr>
          <w:r/>
          <w:hyperlink w:tooltip="#_Toc140505129" w:anchor="_Toc140505129" w:history="1">
            <w:r>
              <w:rPr>
                <w:rStyle w:val="1375"/>
                <w:rFonts w:ascii="Arial Narrow" w:hAnsi="Arial Narrow" w:eastAsia="仿宋_GB2312" w:cs="Arial"/>
                <w:color w:val="auto"/>
              </w:rPr>
              <w:t xml:space="preserve">4.6</w:t>
            </w:r>
            <w:r>
              <w:rPr>
                <w:rFonts w:asciiTheme="minorHAnsi" w:hAnsiTheme="minorHAnsi" w:eastAsiaTheme="minorEastAsia" w:cstheme="minorBidi"/>
                <w:sz w:val="21"/>
                <w:szCs w:val="22"/>
              </w:rPr>
              <w:tab/>
            </w:r>
            <w:r>
              <w:rPr>
                <w:rStyle w:val="1375"/>
                <w:rFonts w:ascii="Arial Narrow" w:hAnsi="Arial Narrow" w:eastAsia="仿宋_GB2312" w:cs="Arial"/>
                <w:color w:val="auto"/>
              </w:rPr>
              <w:t xml:space="preserve">关联交易财务状况</w:t>
            </w:r>
            <w:r>
              <w:tab/>
            </w:r>
            <w:r>
              <w:fldChar w:fldCharType="begin"/>
            </w:r>
            <w:r>
              <w:instrText xml:space="preserve"> PAGEREF _Toc140505129 \h </w:instrText>
            </w:r>
            <w:r>
              <w:fldChar w:fldCharType="separate"/>
            </w:r>
            <w:r>
              <w:t xml:space="preserve">20</w:t>
            </w:r>
            <w:r>
              <w:fldChar w:fldCharType="end"/>
            </w:r>
          </w:hyperlink>
          <w:r/>
          <w:r>
            <w:rPr>
              <w:rFonts w:asciiTheme="minorHAnsi" w:hAnsiTheme="minorHAnsi" w:eastAsiaTheme="minorEastAsia" w:cstheme="minorBidi"/>
              <w:sz w:val="21"/>
              <w:szCs w:val="22"/>
            </w:rPr>
          </w:r>
        </w:p>
        <w:p>
          <w:pPr>
            <w:pStyle w:val="1363"/>
            <w:pBdr/>
            <w:spacing/>
            <w:ind/>
            <w:rPr>
              <w:rFonts w:asciiTheme="minorHAnsi" w:hAnsiTheme="minorHAnsi" w:eastAsiaTheme="minorEastAsia" w:cstheme="minorBidi"/>
              <w:sz w:val="21"/>
              <w:szCs w:val="22"/>
            </w:rPr>
          </w:pPr>
          <w:r/>
          <w:hyperlink w:tooltip="#_Toc140505130" w:anchor="_Toc140505130" w:history="1">
            <w:r>
              <w:rPr>
                <w:rStyle w:val="1375"/>
                <w:rFonts w:ascii="Arial Narrow" w:hAnsi="Arial Narrow" w:eastAsia="仿宋_GB2312" w:cs="Arial"/>
                <w:color w:val="auto"/>
              </w:rPr>
              <w:t xml:space="preserve">4.7</w:t>
            </w:r>
            <w:r>
              <w:rPr>
                <w:rFonts w:asciiTheme="minorHAnsi" w:hAnsiTheme="minorHAnsi" w:eastAsiaTheme="minorEastAsia" w:cstheme="minorBidi"/>
                <w:sz w:val="21"/>
                <w:szCs w:val="22"/>
              </w:rPr>
              <w:tab/>
            </w:r>
            <w:r>
              <w:rPr>
                <w:rStyle w:val="1375"/>
                <w:rFonts w:ascii="Arial Narrow" w:hAnsi="Arial Narrow" w:eastAsia="仿宋_GB2312" w:cs="Arial"/>
                <w:color w:val="auto"/>
              </w:rPr>
              <w:t xml:space="preserve">结论</w:t>
            </w:r>
            <w:r>
              <w:tab/>
            </w:r>
            <w:r>
              <w:fldChar w:fldCharType="begin"/>
            </w:r>
            <w:r>
              <w:instrText xml:space="preserve"> PAGEREF _Toc140505130 \h </w:instrText>
            </w:r>
            <w:r>
              <w:fldChar w:fldCharType="separate"/>
            </w:r>
            <w:r>
              <w:t xml:space="preserve">21</w:t>
            </w:r>
            <w:r>
              <w:fldChar w:fldCharType="end"/>
            </w:r>
          </w:hyperlink>
          <w:r/>
          <w:r>
            <w:rPr>
              <w:rFonts w:asciiTheme="minorHAnsi" w:hAnsiTheme="minorHAnsi" w:eastAsiaTheme="minorEastAsia" w:cstheme="minorBidi"/>
              <w:sz w:val="21"/>
              <w:szCs w:val="22"/>
            </w:rPr>
          </w:r>
        </w:p>
        <w:p>
          <w:pPr>
            <w:pStyle w:val="1356"/>
            <w:pBdr/>
            <w:tabs>
              <w:tab w:val="left" w:leader="none" w:pos="480"/>
            </w:tabs>
            <w:spacing/>
            <w:ind/>
            <w:rPr>
              <w:rFonts w:asciiTheme="minorHAnsi" w:hAnsiTheme="minorHAnsi" w:eastAsiaTheme="minorEastAsia" w:cstheme="minorBidi"/>
              <w:bCs w:val="0"/>
              <w:caps w:val="0"/>
              <w:sz w:val="21"/>
              <w:szCs w:val="22"/>
            </w:rPr>
          </w:pPr>
          <w:r/>
          <w:hyperlink w:tooltip="#_Toc140505131" w:anchor="_Toc140505131" w:history="1">
            <w:r>
              <w:rPr>
                <w:rStyle w:val="1375"/>
                <w:rFonts w:ascii="Arial Narrow" w:hAnsi="Arial Narrow" w:eastAsia="仿宋_GB2312"/>
                <w:color w:val="auto"/>
              </w:rPr>
              <w:t xml:space="preserve">5.</w:t>
            </w:r>
            <w:r>
              <w:rPr>
                <w:rFonts w:asciiTheme="minorHAnsi" w:hAnsiTheme="minorHAnsi" w:eastAsiaTheme="minorEastAsia" w:cstheme="minorBidi"/>
                <w:bCs w:val="0"/>
                <w:caps w:val="0"/>
                <w:sz w:val="21"/>
                <w:szCs w:val="22"/>
              </w:rPr>
              <w:tab/>
            </w:r>
            <w:r>
              <w:rPr>
                <w:rStyle w:val="1375"/>
                <w:rFonts w:ascii="Arial Narrow" w:hAnsi="Arial Narrow" w:eastAsia="仿宋_GB2312"/>
                <w:color w:val="auto"/>
              </w:rPr>
              <w:t xml:space="preserve">功能和风险分析</w:t>
            </w:r>
            <w:r>
              <w:tab/>
            </w:r>
            <w:r>
              <w:fldChar w:fldCharType="begin"/>
            </w:r>
            <w:r>
              <w:instrText xml:space="preserve"> PAGEREF _Toc140505131 \h </w:instrText>
            </w:r>
            <w:r>
              <w:fldChar w:fldCharType="separate"/>
            </w:r>
            <w:r>
              <w:t xml:space="preserve">22</w:t>
            </w:r>
            <w:r>
              <w:fldChar w:fldCharType="end"/>
            </w:r>
          </w:hyperlink>
          <w:r/>
          <w:r>
            <w:rPr>
              <w:rFonts w:asciiTheme="minorHAnsi" w:hAnsiTheme="minorHAnsi" w:eastAsiaTheme="minorEastAsia" w:cstheme="minorBidi"/>
              <w:bCs w:val="0"/>
              <w:caps w:val="0"/>
              <w:sz w:val="21"/>
              <w:szCs w:val="22"/>
            </w:rPr>
          </w:r>
        </w:p>
        <w:p>
          <w:pPr>
            <w:pStyle w:val="1363"/>
            <w:pBdr/>
            <w:spacing/>
            <w:ind/>
            <w:rPr>
              <w:rFonts w:asciiTheme="minorHAnsi" w:hAnsiTheme="minorHAnsi" w:eastAsiaTheme="minorEastAsia" w:cstheme="minorBidi"/>
              <w:sz w:val="21"/>
              <w:szCs w:val="22"/>
            </w:rPr>
          </w:pPr>
          <w:r/>
          <w:hyperlink w:tooltip="#_Toc140505132" w:anchor="_Toc140505132" w:history="1">
            <w:r>
              <w:rPr>
                <w:rStyle w:val="1375"/>
                <w:rFonts w:ascii="Arial Narrow" w:hAnsi="Arial Narrow" w:eastAsia="仿宋_GB2312" w:cs="Arial"/>
                <w:color w:val="auto"/>
              </w:rPr>
              <w:t xml:space="preserve">5.1</w:t>
            </w:r>
            <w:r>
              <w:rPr>
                <w:rFonts w:asciiTheme="minorHAnsi" w:hAnsiTheme="minorHAnsi" w:eastAsiaTheme="minorEastAsia" w:cstheme="minorBidi"/>
                <w:sz w:val="21"/>
                <w:szCs w:val="22"/>
              </w:rPr>
              <w:tab/>
            </w:r>
            <w:r>
              <w:rPr>
                <w:rStyle w:val="1375"/>
                <w:rFonts w:ascii="Arial Narrow" w:hAnsi="Arial Narrow" w:eastAsia="仿宋_GB2312" w:cs="Arial"/>
                <w:color w:val="auto"/>
              </w:rPr>
              <w:t xml:space="preserve">简介</w:t>
            </w:r>
            <w:r>
              <w:tab/>
            </w:r>
            <w:r>
              <w:fldChar w:fldCharType="begin"/>
            </w:r>
            <w:r>
              <w:instrText xml:space="preserve"> PAGEREF _Toc140505132 \h </w:instrText>
            </w:r>
            <w:r>
              <w:fldChar w:fldCharType="separate"/>
            </w:r>
            <w:r>
              <w:t xml:space="preserve">22</w:t>
            </w:r>
            <w:r>
              <w:fldChar w:fldCharType="end"/>
            </w:r>
          </w:hyperlink>
          <w:r/>
          <w:r>
            <w:rPr>
              <w:rFonts w:asciiTheme="minorHAnsi" w:hAnsiTheme="minorHAnsi" w:eastAsiaTheme="minorEastAsia" w:cstheme="minorBidi"/>
              <w:sz w:val="21"/>
              <w:szCs w:val="22"/>
            </w:rPr>
          </w:r>
        </w:p>
        <w:p>
          <w:pPr>
            <w:pStyle w:val="1363"/>
            <w:pBdr/>
            <w:spacing/>
            <w:ind/>
            <w:rPr>
              <w:rFonts w:asciiTheme="minorHAnsi" w:hAnsiTheme="minorHAnsi" w:eastAsiaTheme="minorEastAsia" w:cstheme="minorBidi"/>
              <w:sz w:val="21"/>
              <w:szCs w:val="22"/>
            </w:rPr>
          </w:pPr>
          <w:r/>
          <w:hyperlink w:tooltip="#_Toc140505133" w:anchor="_Toc140505133" w:history="1">
            <w:r>
              <w:rPr>
                <w:rStyle w:val="1375"/>
                <w:rFonts w:ascii="Arial Narrow" w:hAnsi="Arial Narrow" w:eastAsia="仿宋_GB2312" w:cs="Arial"/>
                <w:color w:val="auto"/>
              </w:rPr>
              <w:t xml:space="preserve">5.2</w:t>
            </w:r>
            <w:r>
              <w:rPr>
                <w:rFonts w:asciiTheme="minorHAnsi" w:hAnsiTheme="minorHAnsi" w:eastAsiaTheme="minorEastAsia" w:cstheme="minorBidi"/>
                <w:sz w:val="21"/>
                <w:szCs w:val="22"/>
              </w:rPr>
              <w:tab/>
            </w:r>
            <w:r>
              <w:rPr>
                <w:rStyle w:val="1375"/>
                <w:rFonts w:ascii="Arial Narrow" w:hAnsi="Arial Narrow" w:eastAsia="仿宋_GB2312" w:cs="Arial"/>
                <w:color w:val="auto"/>
              </w:rPr>
              <w:t xml:space="preserve">功能及风险分析</w:t>
            </w:r>
            <w:r>
              <w:tab/>
            </w:r>
            <w:r>
              <w:fldChar w:fldCharType="begin"/>
            </w:r>
            <w:r>
              <w:instrText xml:space="preserve"> PAGEREF _Toc140505133 \h </w:instrText>
            </w:r>
            <w:r>
              <w:fldChar w:fldCharType="separate"/>
            </w:r>
            <w:r>
              <w:t xml:space="preserve">22</w:t>
            </w:r>
            <w:r>
              <w:fldChar w:fldCharType="end"/>
            </w:r>
          </w:hyperlink>
          <w:r/>
          <w:r>
            <w:rPr>
              <w:rFonts w:asciiTheme="minorHAnsi" w:hAnsiTheme="minorHAnsi" w:eastAsiaTheme="minorEastAsia" w:cstheme="minorBidi"/>
              <w:sz w:val="21"/>
              <w:szCs w:val="22"/>
            </w:rPr>
          </w:r>
        </w:p>
        <w:p>
          <w:pPr>
            <w:pStyle w:val="1349"/>
            <w:pBdr/>
            <w:spacing/>
            <w:ind/>
            <w:rPr>
              <w:rFonts w:asciiTheme="minorHAnsi" w:hAnsiTheme="minorHAnsi" w:eastAsiaTheme="minorEastAsia" w:cstheme="minorBidi"/>
              <w:i w:val="0"/>
              <w:iCs w:val="0"/>
              <w:sz w:val="21"/>
              <w:szCs w:val="22"/>
            </w:rPr>
          </w:pPr>
          <w:r/>
          <w:hyperlink w:tooltip="#_Toc140505134" w:anchor="_Toc140505134" w:history="1">
            <w:r>
              <w:rPr>
                <w:rStyle w:val="1375"/>
                <w:rFonts w:ascii="Arial Narrow" w:hAnsi="Arial Narrow" w:eastAsia="仿宋_GB2312" w:cs="Arial"/>
                <w:color w:val="auto"/>
              </w:rPr>
              <w:t xml:space="preserve">5.2.1</w:t>
            </w:r>
            <w:r>
              <w:rPr>
                <w:rFonts w:asciiTheme="minorHAnsi" w:hAnsiTheme="minorHAnsi" w:eastAsiaTheme="minorEastAsia" w:cstheme="minorBidi"/>
                <w:i w:val="0"/>
                <w:iCs w:val="0"/>
                <w:sz w:val="21"/>
                <w:szCs w:val="22"/>
              </w:rPr>
              <w:tab/>
            </w:r>
            <w:r>
              <w:rPr>
                <w:rStyle w:val="1375"/>
                <w:rFonts w:ascii="Arial Narrow" w:hAnsi="Arial Narrow" w:eastAsia="仿宋_GB2312" w:cs="Arial"/>
                <w:color w:val="auto"/>
              </w:rPr>
              <w:t xml:space="preserve">功能分析</w:t>
            </w:r>
            <w:r>
              <w:tab/>
            </w:r>
            <w:r>
              <w:fldChar w:fldCharType="begin"/>
            </w:r>
            <w:r>
              <w:instrText xml:space="preserve"> PAGEREF _Toc140505134 \h </w:instrText>
            </w:r>
            <w:r>
              <w:fldChar w:fldCharType="separate"/>
            </w:r>
            <w:r>
              <w:t xml:space="preserve">22</w:t>
            </w:r>
            <w:r>
              <w:fldChar w:fldCharType="end"/>
            </w:r>
          </w:hyperlink>
          <w:r/>
          <w:r>
            <w:rPr>
              <w:rFonts w:asciiTheme="minorHAnsi" w:hAnsiTheme="minorHAnsi" w:eastAsiaTheme="minorEastAsia" w:cstheme="minorBidi"/>
              <w:i w:val="0"/>
              <w:iCs w:val="0"/>
              <w:sz w:val="21"/>
              <w:szCs w:val="22"/>
            </w:rPr>
          </w:r>
        </w:p>
        <w:p>
          <w:pPr>
            <w:pStyle w:val="1349"/>
            <w:pBdr/>
            <w:spacing/>
            <w:ind/>
            <w:rPr>
              <w:rFonts w:asciiTheme="minorHAnsi" w:hAnsiTheme="minorHAnsi" w:eastAsiaTheme="minorEastAsia" w:cstheme="minorBidi"/>
              <w:i w:val="0"/>
              <w:iCs w:val="0"/>
              <w:sz w:val="21"/>
              <w:szCs w:val="22"/>
            </w:rPr>
          </w:pPr>
          <w:r/>
          <w:hyperlink w:tooltip="#_Toc140505135" w:anchor="_Toc140505135" w:history="1">
            <w:r>
              <w:rPr>
                <w:rStyle w:val="1375"/>
                <w:rFonts w:ascii="Arial Narrow" w:hAnsi="Arial Narrow" w:eastAsia="仿宋_GB2312" w:cs="Arial"/>
                <w:color w:val="auto"/>
              </w:rPr>
              <w:t xml:space="preserve">5.2.2</w:t>
            </w:r>
            <w:r>
              <w:rPr>
                <w:rFonts w:asciiTheme="minorHAnsi" w:hAnsiTheme="minorHAnsi" w:eastAsiaTheme="minorEastAsia" w:cstheme="minorBidi"/>
                <w:i w:val="0"/>
                <w:iCs w:val="0"/>
                <w:sz w:val="21"/>
                <w:szCs w:val="22"/>
              </w:rPr>
              <w:tab/>
            </w:r>
            <w:r>
              <w:rPr>
                <w:rStyle w:val="1375"/>
                <w:rFonts w:ascii="Arial Narrow" w:hAnsi="Arial Narrow" w:eastAsia="仿宋_GB2312" w:cs="Arial"/>
                <w:color w:val="auto"/>
              </w:rPr>
              <w:t xml:space="preserve">风险分析</w:t>
            </w:r>
            <w:r>
              <w:tab/>
            </w:r>
            <w:r>
              <w:fldChar w:fldCharType="begin"/>
            </w:r>
            <w:r>
              <w:instrText xml:space="preserve"> PAGEREF _Toc140505135 \h </w:instrText>
            </w:r>
            <w:r>
              <w:fldChar w:fldCharType="separate"/>
            </w:r>
            <w:r>
              <w:t xml:space="preserve">27</w:t>
            </w:r>
            <w:r>
              <w:fldChar w:fldCharType="end"/>
            </w:r>
          </w:hyperlink>
          <w:r/>
          <w:r>
            <w:rPr>
              <w:rFonts w:asciiTheme="minorHAnsi" w:hAnsiTheme="minorHAnsi" w:eastAsiaTheme="minorEastAsia" w:cstheme="minorBidi"/>
              <w:i w:val="0"/>
              <w:iCs w:val="0"/>
              <w:sz w:val="21"/>
              <w:szCs w:val="22"/>
            </w:rPr>
          </w:r>
        </w:p>
        <w:p>
          <w:pPr>
            <w:pStyle w:val="1363"/>
            <w:pBdr/>
            <w:spacing/>
            <w:ind/>
            <w:rPr>
              <w:rFonts w:asciiTheme="minorHAnsi" w:hAnsiTheme="minorHAnsi" w:eastAsiaTheme="minorEastAsia" w:cstheme="minorBidi"/>
              <w:sz w:val="21"/>
              <w:szCs w:val="22"/>
            </w:rPr>
          </w:pPr>
          <w:r/>
          <w:hyperlink w:tooltip="#_Toc140505136" w:anchor="_Toc140505136" w:history="1">
            <w:r>
              <w:rPr>
                <w:rStyle w:val="1375"/>
                <w:rFonts w:ascii="Arial Narrow" w:hAnsi="Arial Narrow" w:eastAsia="仿宋_GB2312" w:cs="Arial"/>
                <w:color w:val="auto"/>
              </w:rPr>
              <w:t xml:space="preserve">5.3</w:t>
            </w:r>
            <w:r>
              <w:rPr>
                <w:rFonts w:asciiTheme="minorHAnsi" w:hAnsiTheme="minorHAnsi" w:eastAsiaTheme="minorEastAsia" w:cstheme="minorBidi"/>
                <w:sz w:val="21"/>
                <w:szCs w:val="22"/>
              </w:rPr>
              <w:tab/>
            </w:r>
            <w:r>
              <w:rPr>
                <w:rStyle w:val="1375"/>
                <w:rFonts w:ascii="Arial Narrow" w:hAnsi="Arial Narrow" w:eastAsia="仿宋_GB2312" w:cs="Arial"/>
                <w:color w:val="auto"/>
              </w:rPr>
              <w:t xml:space="preserve">资产分析</w:t>
            </w:r>
            <w:r>
              <w:tab/>
            </w:r>
            <w:r>
              <w:fldChar w:fldCharType="begin"/>
            </w:r>
            <w:r>
              <w:instrText xml:space="preserve"> PAGEREF _Toc140505136 \h </w:instrText>
            </w:r>
            <w:r>
              <w:fldChar w:fldCharType="separate"/>
            </w:r>
            <w:r>
              <w:t xml:space="preserve">29</w:t>
            </w:r>
            <w:r>
              <w:fldChar w:fldCharType="end"/>
            </w:r>
          </w:hyperlink>
          <w:r/>
          <w:r>
            <w:rPr>
              <w:rFonts w:asciiTheme="minorHAnsi" w:hAnsiTheme="minorHAnsi" w:eastAsiaTheme="minorEastAsia" w:cstheme="minorBidi"/>
              <w:sz w:val="21"/>
              <w:szCs w:val="22"/>
            </w:rPr>
          </w:r>
        </w:p>
        <w:p>
          <w:pPr>
            <w:pStyle w:val="1349"/>
            <w:pBdr/>
            <w:spacing/>
            <w:ind/>
            <w:rPr>
              <w:rFonts w:asciiTheme="minorHAnsi" w:hAnsiTheme="minorHAnsi" w:eastAsiaTheme="minorEastAsia" w:cstheme="minorBidi"/>
              <w:i w:val="0"/>
              <w:iCs w:val="0"/>
              <w:sz w:val="21"/>
              <w:szCs w:val="22"/>
            </w:rPr>
          </w:pPr>
          <w:r/>
          <w:hyperlink w:tooltip="#_Toc140505137" w:anchor="_Toc140505137" w:history="1">
            <w:r>
              <w:rPr>
                <w:rStyle w:val="1375"/>
                <w:rFonts w:ascii="Arial Narrow" w:hAnsi="Arial Narrow" w:eastAsia="仿宋_GB2312" w:cs="Arial"/>
                <w:color w:val="auto"/>
              </w:rPr>
              <w:t xml:space="preserve">5.3.1</w:t>
            </w:r>
            <w:r>
              <w:rPr>
                <w:rFonts w:asciiTheme="minorHAnsi" w:hAnsiTheme="minorHAnsi" w:eastAsiaTheme="minorEastAsia" w:cstheme="minorBidi"/>
                <w:i w:val="0"/>
                <w:iCs w:val="0"/>
                <w:sz w:val="21"/>
                <w:szCs w:val="22"/>
              </w:rPr>
              <w:tab/>
            </w:r>
            <w:r>
              <w:rPr>
                <w:rStyle w:val="1375"/>
                <w:rFonts w:ascii="Arial Narrow" w:hAnsi="Arial Narrow" w:eastAsia="仿宋_GB2312" w:cs="Arial"/>
                <w:color w:val="auto"/>
              </w:rPr>
              <w:t xml:space="preserve">有形资产</w:t>
            </w:r>
            <w:r>
              <w:tab/>
            </w:r>
            <w:r>
              <w:fldChar w:fldCharType="begin"/>
            </w:r>
            <w:r>
              <w:instrText xml:space="preserve"> PAGEREF _Toc140505137 \h </w:instrText>
            </w:r>
            <w:r>
              <w:fldChar w:fldCharType="separate"/>
            </w:r>
            <w:r>
              <w:t xml:space="preserve">30</w:t>
            </w:r>
            <w:r>
              <w:fldChar w:fldCharType="end"/>
            </w:r>
          </w:hyperlink>
          <w:r/>
          <w:r>
            <w:rPr>
              <w:rFonts w:asciiTheme="minorHAnsi" w:hAnsiTheme="minorHAnsi" w:eastAsiaTheme="minorEastAsia" w:cstheme="minorBidi"/>
              <w:i w:val="0"/>
              <w:iCs w:val="0"/>
              <w:sz w:val="21"/>
              <w:szCs w:val="22"/>
            </w:rPr>
          </w:r>
        </w:p>
        <w:p>
          <w:pPr>
            <w:pStyle w:val="1349"/>
            <w:pBdr/>
            <w:spacing/>
            <w:ind/>
            <w:rPr>
              <w:rFonts w:asciiTheme="minorHAnsi" w:hAnsiTheme="minorHAnsi" w:eastAsiaTheme="minorEastAsia" w:cstheme="minorBidi"/>
              <w:i w:val="0"/>
              <w:iCs w:val="0"/>
              <w:sz w:val="21"/>
              <w:szCs w:val="22"/>
            </w:rPr>
          </w:pPr>
          <w:r/>
          <w:hyperlink w:tooltip="#_Toc140505138" w:anchor="_Toc140505138" w:history="1">
            <w:r>
              <w:rPr>
                <w:rStyle w:val="1375"/>
                <w:rFonts w:ascii="Arial Narrow" w:hAnsi="Arial Narrow" w:eastAsia="仿宋_GB2312" w:cs="Arial"/>
                <w:color w:val="auto"/>
              </w:rPr>
              <w:t xml:space="preserve">5.3.2</w:t>
            </w:r>
            <w:r>
              <w:rPr>
                <w:rFonts w:asciiTheme="minorHAnsi" w:hAnsiTheme="minorHAnsi" w:eastAsiaTheme="minorEastAsia" w:cstheme="minorBidi"/>
                <w:i w:val="0"/>
                <w:iCs w:val="0"/>
                <w:sz w:val="21"/>
                <w:szCs w:val="22"/>
              </w:rPr>
              <w:tab/>
            </w:r>
            <w:r>
              <w:rPr>
                <w:rStyle w:val="1375"/>
                <w:rFonts w:ascii="Arial Narrow" w:hAnsi="Arial Narrow" w:eastAsia="仿宋_GB2312" w:cs="Arial"/>
                <w:color w:val="auto"/>
              </w:rPr>
              <w:t xml:space="preserve">无形资产</w:t>
            </w:r>
            <w:r>
              <w:tab/>
            </w:r>
            <w:r>
              <w:fldChar w:fldCharType="begin"/>
            </w:r>
            <w:r>
              <w:instrText xml:space="preserve"> PAGEREF _Toc140505138 \h </w:instrText>
            </w:r>
            <w:r>
              <w:fldChar w:fldCharType="separate"/>
            </w:r>
            <w:r>
              <w:t xml:space="preserve">30</w:t>
            </w:r>
            <w:r>
              <w:fldChar w:fldCharType="end"/>
            </w:r>
          </w:hyperlink>
          <w:r/>
          <w:r>
            <w:rPr>
              <w:rFonts w:asciiTheme="minorHAnsi" w:hAnsiTheme="minorHAnsi" w:eastAsiaTheme="minorEastAsia" w:cstheme="minorBidi"/>
              <w:i w:val="0"/>
              <w:iCs w:val="0"/>
              <w:sz w:val="21"/>
              <w:szCs w:val="22"/>
            </w:rPr>
          </w:r>
        </w:p>
        <w:p>
          <w:pPr>
            <w:pStyle w:val="1363"/>
            <w:pBdr/>
            <w:spacing/>
            <w:ind/>
            <w:rPr>
              <w:rFonts w:asciiTheme="minorHAnsi" w:hAnsiTheme="minorHAnsi" w:eastAsiaTheme="minorEastAsia" w:cstheme="minorBidi"/>
              <w:sz w:val="21"/>
              <w:szCs w:val="22"/>
            </w:rPr>
          </w:pPr>
          <w:r/>
          <w:hyperlink w:tooltip="#_Toc140505139" w:anchor="_Toc140505139" w:history="1">
            <w:r>
              <w:rPr>
                <w:rStyle w:val="1375"/>
                <w:rFonts w:ascii="Arial Narrow" w:hAnsi="Arial Narrow" w:eastAsia="仿宋_GB2312" w:cs="Arial"/>
                <w:color w:val="auto"/>
              </w:rPr>
              <w:t xml:space="preserve">5.4</w:t>
            </w:r>
            <w:r>
              <w:rPr>
                <w:rFonts w:asciiTheme="minorHAnsi" w:hAnsiTheme="minorHAnsi" w:eastAsiaTheme="minorEastAsia" w:cstheme="minorBidi"/>
                <w:sz w:val="21"/>
                <w:szCs w:val="22"/>
              </w:rPr>
              <w:tab/>
            </w:r>
            <w:r>
              <w:rPr>
                <w:rStyle w:val="1375"/>
                <w:rFonts w:ascii="Arial Narrow" w:hAnsi="Arial Narrow" w:eastAsia="仿宋_GB2312" w:cs="Arial"/>
                <w:color w:val="auto"/>
              </w:rPr>
              <w:t xml:space="preserve">小结</w:t>
            </w:r>
            <w:r>
              <w:tab/>
            </w:r>
            <w:r>
              <w:fldChar w:fldCharType="begin"/>
            </w:r>
            <w:r>
              <w:instrText xml:space="preserve"> PAGEREF _Toc140505139 \h </w:instrText>
            </w:r>
            <w:r>
              <w:fldChar w:fldCharType="separate"/>
            </w:r>
            <w:r>
              <w:t xml:space="preserve">30</w:t>
            </w:r>
            <w:r>
              <w:fldChar w:fldCharType="end"/>
            </w:r>
          </w:hyperlink>
          <w:r/>
          <w:r>
            <w:rPr>
              <w:rFonts w:asciiTheme="minorHAnsi" w:hAnsiTheme="minorHAnsi" w:eastAsiaTheme="minorEastAsia" w:cstheme="minorBidi"/>
              <w:sz w:val="21"/>
              <w:szCs w:val="22"/>
            </w:rPr>
          </w:r>
        </w:p>
        <w:p>
          <w:pPr>
            <w:pStyle w:val="1356"/>
            <w:pBdr/>
            <w:tabs>
              <w:tab w:val="left" w:leader="none" w:pos="480"/>
            </w:tabs>
            <w:spacing/>
            <w:ind/>
            <w:rPr>
              <w:rFonts w:asciiTheme="minorHAnsi" w:hAnsiTheme="minorHAnsi" w:eastAsiaTheme="minorEastAsia" w:cstheme="minorBidi"/>
              <w:bCs w:val="0"/>
              <w:caps w:val="0"/>
              <w:sz w:val="21"/>
              <w:szCs w:val="22"/>
            </w:rPr>
          </w:pPr>
          <w:r/>
          <w:hyperlink w:tooltip="#_Toc140505140" w:anchor="_Toc140505140" w:history="1">
            <w:r>
              <w:rPr>
                <w:rStyle w:val="1375"/>
                <w:rFonts w:ascii="Arial Narrow" w:hAnsi="Arial Narrow" w:eastAsia="仿宋_GB2312"/>
                <w:color w:val="auto"/>
              </w:rPr>
              <w:t xml:space="preserve">6.</w:t>
            </w:r>
            <w:r>
              <w:rPr>
                <w:rFonts w:asciiTheme="minorHAnsi" w:hAnsiTheme="minorHAnsi" w:eastAsiaTheme="minorEastAsia" w:cstheme="minorBidi"/>
                <w:bCs w:val="0"/>
                <w:caps w:val="0"/>
                <w:sz w:val="21"/>
                <w:szCs w:val="22"/>
              </w:rPr>
              <w:tab/>
            </w:r>
            <w:r>
              <w:rPr>
                <w:rStyle w:val="1375"/>
                <w:rFonts w:ascii="Arial Narrow" w:hAnsi="Arial Narrow" w:eastAsia="仿宋_GB2312"/>
                <w:color w:val="auto"/>
              </w:rPr>
              <w:t xml:space="preserve">价值链分析</w:t>
            </w:r>
            <w:r>
              <w:tab/>
            </w:r>
            <w:r>
              <w:fldChar w:fldCharType="begin"/>
            </w:r>
            <w:r>
              <w:instrText xml:space="preserve"> PAGEREF _Toc140505140 \h </w:instrText>
            </w:r>
            <w:r>
              <w:fldChar w:fldCharType="separate"/>
            </w:r>
            <w:r>
              <w:t xml:space="preserve">31</w:t>
            </w:r>
            <w:r>
              <w:fldChar w:fldCharType="end"/>
            </w:r>
          </w:hyperlink>
          <w:r/>
          <w:r>
            <w:rPr>
              <w:rFonts w:asciiTheme="minorHAnsi" w:hAnsiTheme="minorHAnsi" w:eastAsiaTheme="minorEastAsia" w:cstheme="minorBidi"/>
              <w:bCs w:val="0"/>
              <w:caps w:val="0"/>
              <w:sz w:val="21"/>
              <w:szCs w:val="22"/>
            </w:rPr>
          </w:r>
        </w:p>
        <w:p>
          <w:pPr>
            <w:pStyle w:val="1363"/>
            <w:pBdr/>
            <w:spacing/>
            <w:ind/>
            <w:rPr>
              <w:rFonts w:asciiTheme="minorHAnsi" w:hAnsiTheme="minorHAnsi" w:eastAsiaTheme="minorEastAsia" w:cstheme="minorBidi"/>
              <w:sz w:val="21"/>
              <w:szCs w:val="22"/>
            </w:rPr>
          </w:pPr>
          <w:r/>
          <w:hyperlink w:tooltip="#_Toc140505141" w:anchor="_Toc140505141" w:history="1">
            <w:r>
              <w:rPr>
                <w:rStyle w:val="1375"/>
                <w:rFonts w:ascii="Arial Narrow" w:hAnsi="Arial Narrow" w:eastAsia="仿宋_GB2312" w:cs="Arial"/>
                <w:color w:val="auto"/>
              </w:rPr>
              <w:t xml:space="preserve">6.1</w:t>
            </w:r>
            <w:r>
              <w:rPr>
                <w:rFonts w:asciiTheme="minorHAnsi" w:hAnsiTheme="minorHAnsi" w:eastAsiaTheme="minorEastAsia" w:cstheme="minorBidi"/>
                <w:sz w:val="21"/>
                <w:szCs w:val="22"/>
              </w:rPr>
              <w:tab/>
            </w:r>
            <w:r>
              <w:rPr>
                <w:rStyle w:val="1375"/>
                <w:rFonts w:ascii="Arial Narrow" w:hAnsi="Arial Narrow" w:eastAsia="仿宋_GB2312" w:cs="Arial"/>
                <w:color w:val="auto"/>
              </w:rPr>
              <w:t xml:space="preserve">确定关键价值驱动因素</w:t>
            </w:r>
            <w:r>
              <w:tab/>
            </w:r>
            <w:r>
              <w:fldChar w:fldCharType="begin"/>
            </w:r>
            <w:r>
              <w:instrText xml:space="preserve"> PAGEREF _Toc140505141 \h </w:instrText>
            </w:r>
            <w:r>
              <w:fldChar w:fldCharType="separate"/>
            </w:r>
            <w:r>
              <w:t xml:space="preserve">31</w:t>
            </w:r>
            <w:r>
              <w:fldChar w:fldCharType="end"/>
            </w:r>
          </w:hyperlink>
          <w:r/>
          <w:r>
            <w:rPr>
              <w:rFonts w:asciiTheme="minorHAnsi" w:hAnsiTheme="minorHAnsi" w:eastAsiaTheme="minorEastAsia" w:cstheme="minorBidi"/>
              <w:sz w:val="21"/>
              <w:szCs w:val="22"/>
            </w:rPr>
          </w:r>
        </w:p>
        <w:p>
          <w:pPr>
            <w:pStyle w:val="1363"/>
            <w:pBdr/>
            <w:spacing/>
            <w:ind/>
            <w:rPr>
              <w:rFonts w:asciiTheme="minorHAnsi" w:hAnsiTheme="minorHAnsi" w:eastAsiaTheme="minorEastAsia" w:cstheme="minorBidi"/>
              <w:sz w:val="21"/>
              <w:szCs w:val="22"/>
            </w:rPr>
          </w:pPr>
          <w:r/>
          <w:hyperlink w:tooltip="#_Toc140505142" w:anchor="_Toc140505142" w:history="1">
            <w:r>
              <w:rPr>
                <w:rStyle w:val="1375"/>
                <w:rFonts w:ascii="Arial Narrow" w:hAnsi="Arial Narrow" w:eastAsia="仿宋_GB2312" w:cs="Arial"/>
                <w:color w:val="auto"/>
              </w:rPr>
              <w:t xml:space="preserve">6.2</w:t>
            </w:r>
            <w:r>
              <w:rPr>
                <w:rFonts w:asciiTheme="minorHAnsi" w:hAnsiTheme="minorHAnsi" w:eastAsiaTheme="minorEastAsia" w:cstheme="minorBidi"/>
                <w:sz w:val="21"/>
                <w:szCs w:val="22"/>
              </w:rPr>
              <w:tab/>
            </w:r>
            <w:r>
              <w:rPr>
                <w:rStyle w:val="1375"/>
                <w:rFonts w:ascii="Arial Narrow" w:hAnsi="Arial Narrow" w:eastAsia="仿宋_GB2312" w:cs="Arial"/>
                <w:color w:val="auto"/>
              </w:rPr>
              <w:t xml:space="preserve">集团价值链</w:t>
            </w:r>
            <w:r>
              <w:tab/>
            </w:r>
            <w:r>
              <w:fldChar w:fldCharType="begin"/>
            </w:r>
            <w:r>
              <w:instrText xml:space="preserve"> PAGEREF _Toc140505142 \h </w:instrText>
            </w:r>
            <w:r>
              <w:fldChar w:fldCharType="separate"/>
            </w:r>
            <w:r>
              <w:t xml:space="preserve">32</w:t>
            </w:r>
            <w:r>
              <w:fldChar w:fldCharType="end"/>
            </w:r>
          </w:hyperlink>
          <w:r/>
          <w:r>
            <w:rPr>
              <w:rFonts w:asciiTheme="minorHAnsi" w:hAnsiTheme="minorHAnsi" w:eastAsiaTheme="minorEastAsia" w:cstheme="minorBidi"/>
              <w:sz w:val="21"/>
              <w:szCs w:val="22"/>
            </w:rPr>
          </w:r>
        </w:p>
        <w:p>
          <w:pPr>
            <w:pStyle w:val="1363"/>
            <w:pBdr/>
            <w:spacing/>
            <w:ind/>
            <w:rPr>
              <w:rFonts w:asciiTheme="minorHAnsi" w:hAnsiTheme="minorHAnsi" w:eastAsiaTheme="minorEastAsia" w:cstheme="minorBidi"/>
              <w:sz w:val="21"/>
              <w:szCs w:val="22"/>
            </w:rPr>
          </w:pPr>
          <w:r/>
          <w:hyperlink w:tooltip="#_Toc140505143" w:anchor="_Toc140505143" w:history="1">
            <w:r>
              <w:rPr>
                <w:rStyle w:val="1375"/>
                <w:rFonts w:ascii="Arial Narrow" w:hAnsi="Arial Narrow" w:eastAsia="仿宋_GB2312" w:cs="Arial"/>
                <w:color w:val="auto"/>
              </w:rPr>
              <w:t xml:space="preserve">6.3</w:t>
            </w:r>
            <w:r>
              <w:rPr>
                <w:rFonts w:asciiTheme="minorHAnsi" w:hAnsiTheme="minorHAnsi" w:eastAsiaTheme="minorEastAsia" w:cstheme="minorBidi"/>
                <w:sz w:val="21"/>
                <w:szCs w:val="22"/>
              </w:rPr>
              <w:tab/>
            </w:r>
            <w:r>
              <w:rPr>
                <w:rStyle w:val="1375"/>
                <w:rFonts w:ascii="Arial Narrow" w:hAnsi="Arial Narrow" w:eastAsia="仿宋_GB2312" w:cs="Arial"/>
                <w:color w:val="auto"/>
              </w:rPr>
              <w:t xml:space="preserve">交易定价影响要素</w:t>
            </w:r>
            <w:r>
              <w:tab/>
            </w:r>
            <w:r>
              <w:fldChar w:fldCharType="begin"/>
            </w:r>
            <w:r>
              <w:instrText xml:space="preserve"> PAGEREF _Toc140505143 \h </w:instrText>
            </w:r>
            <w:r>
              <w:fldChar w:fldCharType="separate"/>
            </w:r>
            <w:r>
              <w:t xml:space="preserve">33</w:t>
            </w:r>
            <w:r>
              <w:fldChar w:fldCharType="end"/>
            </w:r>
          </w:hyperlink>
          <w:r/>
          <w:r>
            <w:rPr>
              <w:rFonts w:asciiTheme="minorHAnsi" w:hAnsiTheme="minorHAnsi" w:eastAsiaTheme="minorEastAsia" w:cstheme="minorBidi"/>
              <w:sz w:val="21"/>
              <w:szCs w:val="22"/>
            </w:rPr>
          </w:r>
        </w:p>
        <w:p>
          <w:pPr>
            <w:pStyle w:val="1349"/>
            <w:pBdr/>
            <w:spacing/>
            <w:ind/>
            <w:rPr>
              <w:rFonts w:asciiTheme="minorHAnsi" w:hAnsiTheme="minorHAnsi" w:eastAsiaTheme="minorEastAsia" w:cstheme="minorBidi"/>
              <w:i w:val="0"/>
              <w:iCs w:val="0"/>
              <w:sz w:val="21"/>
              <w:szCs w:val="22"/>
            </w:rPr>
          </w:pPr>
          <w:r/>
          <w:hyperlink w:tooltip="#_Toc140505144" w:anchor="_Toc140505144" w:history="1">
            <w:r>
              <w:rPr>
                <w:rStyle w:val="1375"/>
                <w:rFonts w:ascii="Arial Narrow" w:hAnsi="Arial Narrow" w:eastAsia="仿宋_GB2312" w:cs="Arial"/>
                <w:color w:val="auto"/>
              </w:rPr>
              <w:t xml:space="preserve">6.3.1</w:t>
            </w:r>
            <w:r>
              <w:rPr>
                <w:rFonts w:asciiTheme="minorHAnsi" w:hAnsiTheme="minorHAnsi" w:eastAsiaTheme="minorEastAsia" w:cstheme="minorBidi"/>
                <w:i w:val="0"/>
                <w:iCs w:val="0"/>
                <w:sz w:val="21"/>
                <w:szCs w:val="22"/>
              </w:rPr>
              <w:tab/>
            </w:r>
            <w:r>
              <w:rPr>
                <w:rStyle w:val="1375"/>
                <w:rFonts w:ascii="Arial Narrow" w:hAnsi="Arial Narrow" w:eastAsia="仿宋_GB2312" w:cs="Arial"/>
                <w:color w:val="auto"/>
              </w:rPr>
              <w:t xml:space="preserve">地域成本节约</w:t>
            </w:r>
            <w:r>
              <w:tab/>
            </w:r>
            <w:r>
              <w:fldChar w:fldCharType="begin"/>
            </w:r>
            <w:r>
              <w:instrText xml:space="preserve"> PAGEREF _Toc140505144 \h </w:instrText>
            </w:r>
            <w:r>
              <w:fldChar w:fldCharType="separate"/>
            </w:r>
            <w:r>
              <w:t xml:space="preserve">34</w:t>
            </w:r>
            <w:r>
              <w:fldChar w:fldCharType="end"/>
            </w:r>
          </w:hyperlink>
          <w:r/>
          <w:r>
            <w:rPr>
              <w:rFonts w:asciiTheme="minorHAnsi" w:hAnsiTheme="minorHAnsi" w:eastAsiaTheme="minorEastAsia" w:cstheme="minorBidi"/>
              <w:i w:val="0"/>
              <w:iCs w:val="0"/>
              <w:sz w:val="21"/>
              <w:szCs w:val="22"/>
            </w:rPr>
          </w:r>
        </w:p>
        <w:p>
          <w:pPr>
            <w:pStyle w:val="1349"/>
            <w:pBdr/>
            <w:spacing/>
            <w:ind/>
            <w:rPr>
              <w:rFonts w:asciiTheme="minorHAnsi" w:hAnsiTheme="minorHAnsi" w:eastAsiaTheme="minorEastAsia" w:cstheme="minorBidi"/>
              <w:i w:val="0"/>
              <w:iCs w:val="0"/>
              <w:sz w:val="21"/>
              <w:szCs w:val="22"/>
            </w:rPr>
          </w:pPr>
          <w:r/>
          <w:hyperlink w:tooltip="#_Toc140505145" w:anchor="_Toc140505145" w:history="1">
            <w:r>
              <w:rPr>
                <w:rStyle w:val="1375"/>
                <w:rFonts w:ascii="Arial Narrow" w:hAnsi="Arial Narrow" w:eastAsia="仿宋_GB2312" w:cs="Arial"/>
                <w:color w:val="auto"/>
              </w:rPr>
              <w:t xml:space="preserve">6.3.2</w:t>
            </w:r>
            <w:r>
              <w:rPr>
                <w:rFonts w:asciiTheme="minorHAnsi" w:hAnsiTheme="minorHAnsi" w:eastAsiaTheme="minorEastAsia" w:cstheme="minorBidi"/>
                <w:i w:val="0"/>
                <w:iCs w:val="0"/>
                <w:sz w:val="21"/>
                <w:szCs w:val="22"/>
              </w:rPr>
              <w:tab/>
            </w:r>
            <w:r>
              <w:rPr>
                <w:rStyle w:val="1375"/>
                <w:rFonts w:ascii="Arial Narrow" w:hAnsi="Arial Narrow" w:eastAsia="仿宋_GB2312" w:cs="Arial"/>
                <w:color w:val="auto"/>
              </w:rPr>
              <w:t xml:space="preserve">市场溢价</w:t>
            </w:r>
            <w:r>
              <w:tab/>
            </w:r>
            <w:r>
              <w:fldChar w:fldCharType="begin"/>
            </w:r>
            <w:r>
              <w:instrText xml:space="preserve"> PAGEREF _Toc140505145 \h </w:instrText>
            </w:r>
            <w:r>
              <w:fldChar w:fldCharType="separate"/>
            </w:r>
            <w:r>
              <w:t xml:space="preserve">35</w:t>
            </w:r>
            <w:r>
              <w:fldChar w:fldCharType="end"/>
            </w:r>
          </w:hyperlink>
          <w:r/>
          <w:r>
            <w:rPr>
              <w:rFonts w:asciiTheme="minorHAnsi" w:hAnsiTheme="minorHAnsi" w:eastAsiaTheme="minorEastAsia" w:cstheme="minorBidi"/>
              <w:i w:val="0"/>
              <w:iCs w:val="0"/>
              <w:sz w:val="21"/>
              <w:szCs w:val="22"/>
            </w:rPr>
          </w:r>
        </w:p>
        <w:p>
          <w:pPr>
            <w:pStyle w:val="1363"/>
            <w:pBdr/>
            <w:spacing/>
            <w:ind/>
            <w:rPr>
              <w:rFonts w:asciiTheme="minorHAnsi" w:hAnsiTheme="minorHAnsi" w:eastAsiaTheme="minorEastAsia" w:cstheme="minorBidi"/>
              <w:sz w:val="21"/>
              <w:szCs w:val="22"/>
            </w:rPr>
          </w:pPr>
          <w:r/>
          <w:hyperlink w:tooltip="#_Toc140505146" w:anchor="_Toc140505146" w:history="1">
            <w:r>
              <w:rPr>
                <w:rStyle w:val="1375"/>
                <w:rFonts w:ascii="Arial Narrow" w:hAnsi="Arial Narrow" w:eastAsia="仿宋_GB2312" w:cs="Arial"/>
                <w:color w:val="auto"/>
              </w:rPr>
              <w:t xml:space="preserve">6.4</w:t>
            </w:r>
            <w:r>
              <w:rPr>
                <w:rFonts w:asciiTheme="minorHAnsi" w:hAnsiTheme="minorHAnsi" w:eastAsiaTheme="minorEastAsia" w:cstheme="minorBidi"/>
                <w:sz w:val="21"/>
                <w:szCs w:val="22"/>
              </w:rPr>
              <w:tab/>
            </w:r>
            <w:r>
              <w:rPr>
                <w:rStyle w:val="1375"/>
                <w:rFonts w:ascii="Arial Narrow" w:hAnsi="Arial Narrow" w:eastAsia="仿宋_GB2312" w:cs="Arial"/>
                <w:color w:val="auto"/>
              </w:rPr>
              <w:t xml:space="preserve">价值链各参与方财务报表</w:t>
            </w:r>
            <w:r>
              <w:tab/>
            </w:r>
            <w:r>
              <w:fldChar w:fldCharType="begin"/>
            </w:r>
            <w:r>
              <w:instrText xml:space="preserve"> PAGEREF _Toc140505146 \h </w:instrText>
            </w:r>
            <w:r>
              <w:fldChar w:fldCharType="separate"/>
            </w:r>
            <w:r>
              <w:t xml:space="preserve">36</w:t>
            </w:r>
            <w:r>
              <w:fldChar w:fldCharType="end"/>
            </w:r>
          </w:hyperlink>
          <w:r/>
          <w:r>
            <w:rPr>
              <w:rFonts w:asciiTheme="minorHAnsi" w:hAnsiTheme="minorHAnsi" w:eastAsiaTheme="minorEastAsia" w:cstheme="minorBidi"/>
              <w:sz w:val="21"/>
              <w:szCs w:val="22"/>
            </w:rPr>
          </w:r>
        </w:p>
        <w:p>
          <w:pPr>
            <w:pStyle w:val="1356"/>
            <w:pBdr/>
            <w:tabs>
              <w:tab w:val="left" w:leader="none" w:pos="480"/>
            </w:tabs>
            <w:spacing/>
            <w:ind/>
            <w:rPr>
              <w:rFonts w:asciiTheme="minorHAnsi" w:hAnsiTheme="minorHAnsi" w:eastAsiaTheme="minorEastAsia" w:cstheme="minorBidi"/>
              <w:bCs w:val="0"/>
              <w:caps w:val="0"/>
              <w:sz w:val="21"/>
              <w:szCs w:val="22"/>
            </w:rPr>
          </w:pPr>
          <w:r/>
          <w:hyperlink w:tooltip="#_Toc140505147" w:anchor="_Toc140505147" w:history="1">
            <w:r>
              <w:rPr>
                <w:rStyle w:val="1375"/>
                <w:rFonts w:ascii="Arial Narrow" w:hAnsi="Arial Narrow" w:eastAsia="仿宋_GB2312"/>
                <w:color w:val="auto"/>
              </w:rPr>
              <w:t xml:space="preserve">7.</w:t>
            </w:r>
            <w:r>
              <w:rPr>
                <w:rFonts w:asciiTheme="minorHAnsi" w:hAnsiTheme="minorHAnsi" w:eastAsiaTheme="minorEastAsia" w:cstheme="minorBidi"/>
                <w:bCs w:val="0"/>
                <w:caps w:val="0"/>
                <w:sz w:val="21"/>
                <w:szCs w:val="22"/>
              </w:rPr>
              <w:tab/>
            </w:r>
            <w:r>
              <w:rPr>
                <w:rStyle w:val="1375"/>
                <w:rFonts w:ascii="Arial Narrow" w:hAnsi="Arial Narrow" w:eastAsia="仿宋_GB2312"/>
                <w:color w:val="auto"/>
              </w:rPr>
              <w:t xml:space="preserve">可比性分析</w:t>
            </w:r>
            <w:r>
              <w:tab/>
            </w:r>
            <w:r>
              <w:fldChar w:fldCharType="begin"/>
            </w:r>
            <w:r>
              <w:instrText xml:space="preserve"> PAGEREF _Toc140505147 \h </w:instrText>
            </w:r>
            <w:r>
              <w:fldChar w:fldCharType="separate"/>
            </w:r>
            <w:r>
              <w:t xml:space="preserve">37</w:t>
            </w:r>
            <w:r>
              <w:fldChar w:fldCharType="end"/>
            </w:r>
          </w:hyperlink>
          <w:r/>
          <w:r>
            <w:rPr>
              <w:rFonts w:asciiTheme="minorHAnsi" w:hAnsiTheme="minorHAnsi" w:eastAsiaTheme="minorEastAsia" w:cstheme="minorBidi"/>
              <w:bCs w:val="0"/>
              <w:caps w:val="0"/>
              <w:sz w:val="21"/>
              <w:szCs w:val="22"/>
            </w:rPr>
          </w:r>
        </w:p>
        <w:p>
          <w:pPr>
            <w:pStyle w:val="1363"/>
            <w:pBdr/>
            <w:spacing/>
            <w:ind/>
            <w:rPr>
              <w:rFonts w:asciiTheme="minorHAnsi" w:hAnsiTheme="minorHAnsi" w:eastAsiaTheme="minorEastAsia" w:cstheme="minorBidi"/>
              <w:sz w:val="21"/>
              <w:szCs w:val="22"/>
            </w:rPr>
          </w:pPr>
          <w:r/>
          <w:hyperlink w:tooltip="#_Toc140505148" w:anchor="_Toc140505148" w:history="1">
            <w:r>
              <w:rPr>
                <w:rStyle w:val="1375"/>
                <w:rFonts w:ascii="Arial Narrow" w:hAnsi="Arial Narrow" w:eastAsia="仿宋_GB2312" w:cs="Arial"/>
                <w:color w:val="auto"/>
              </w:rPr>
              <w:t xml:space="preserve">7.1</w:t>
            </w:r>
            <w:r>
              <w:rPr>
                <w:rFonts w:asciiTheme="minorHAnsi" w:hAnsiTheme="minorHAnsi" w:eastAsiaTheme="minorEastAsia" w:cstheme="minorBidi"/>
                <w:sz w:val="21"/>
                <w:szCs w:val="22"/>
              </w:rPr>
              <w:tab/>
            </w:r>
            <w:r>
              <w:rPr>
                <w:rStyle w:val="1375"/>
                <w:rFonts w:ascii="Arial Narrow" w:hAnsi="Arial Narrow" w:eastAsia="仿宋_GB2312" w:cs="Arial"/>
                <w:color w:val="auto"/>
              </w:rPr>
              <w:t xml:space="preserve">简介</w:t>
            </w:r>
            <w:r>
              <w:tab/>
            </w:r>
            <w:r>
              <w:fldChar w:fldCharType="begin"/>
            </w:r>
            <w:r>
              <w:instrText xml:space="preserve"> PAGEREF _Toc140505148 \h </w:instrText>
            </w:r>
            <w:r>
              <w:fldChar w:fldCharType="separate"/>
            </w:r>
            <w:r>
              <w:t xml:space="preserve">37</w:t>
            </w:r>
            <w:r>
              <w:fldChar w:fldCharType="end"/>
            </w:r>
          </w:hyperlink>
          <w:r/>
          <w:r>
            <w:rPr>
              <w:rFonts w:asciiTheme="minorHAnsi" w:hAnsiTheme="minorHAnsi" w:eastAsiaTheme="minorEastAsia" w:cstheme="minorBidi"/>
              <w:sz w:val="21"/>
              <w:szCs w:val="22"/>
            </w:rPr>
          </w:r>
        </w:p>
        <w:p>
          <w:pPr>
            <w:pStyle w:val="1363"/>
            <w:pBdr/>
            <w:spacing/>
            <w:ind/>
            <w:rPr>
              <w:rFonts w:asciiTheme="minorHAnsi" w:hAnsiTheme="minorHAnsi" w:eastAsiaTheme="minorEastAsia" w:cstheme="minorBidi"/>
              <w:sz w:val="21"/>
              <w:szCs w:val="22"/>
            </w:rPr>
          </w:pPr>
          <w:r/>
          <w:hyperlink w:tooltip="#_Toc140505149" w:anchor="_Toc140505149" w:history="1">
            <w:r>
              <w:rPr>
                <w:rStyle w:val="1375"/>
                <w:rFonts w:ascii="Arial Narrow" w:hAnsi="Arial Narrow" w:eastAsia="仿宋_GB2312" w:cs="Arial"/>
                <w:color w:val="auto"/>
              </w:rPr>
              <w:t xml:space="preserve">7.2</w:t>
            </w:r>
            <w:r>
              <w:rPr>
                <w:rFonts w:asciiTheme="minorHAnsi" w:hAnsiTheme="minorHAnsi" w:eastAsiaTheme="minorEastAsia" w:cstheme="minorBidi"/>
                <w:sz w:val="21"/>
                <w:szCs w:val="22"/>
              </w:rPr>
              <w:tab/>
            </w:r>
            <w:r>
              <w:rPr>
                <w:rStyle w:val="1375"/>
                <w:rFonts w:ascii="Arial Narrow" w:hAnsi="Arial Narrow" w:eastAsia="仿宋_GB2312" w:cs="Arial"/>
                <w:color w:val="auto"/>
              </w:rPr>
              <w:t xml:space="preserve">转让定价方法的选择</w:t>
            </w:r>
            <w:r>
              <w:tab/>
            </w:r>
            <w:r>
              <w:fldChar w:fldCharType="begin"/>
            </w:r>
            <w:r>
              <w:instrText xml:space="preserve"> PAGEREF _Toc140505149 \h </w:instrText>
            </w:r>
            <w:r>
              <w:fldChar w:fldCharType="separate"/>
            </w:r>
            <w:r>
              <w:t xml:space="preserve">37</w:t>
            </w:r>
            <w:r>
              <w:fldChar w:fldCharType="end"/>
            </w:r>
          </w:hyperlink>
          <w:r/>
          <w:r>
            <w:rPr>
              <w:rFonts w:asciiTheme="minorHAnsi" w:hAnsiTheme="minorHAnsi" w:eastAsiaTheme="minorEastAsia" w:cstheme="minorBidi"/>
              <w:sz w:val="21"/>
              <w:szCs w:val="22"/>
            </w:rPr>
          </w:r>
        </w:p>
        <w:p>
          <w:pPr>
            <w:pStyle w:val="1363"/>
            <w:pBdr/>
            <w:spacing/>
            <w:ind/>
            <w:rPr>
              <w:rFonts w:asciiTheme="minorHAnsi" w:hAnsiTheme="minorHAnsi" w:eastAsiaTheme="minorEastAsia" w:cstheme="minorBidi"/>
              <w:sz w:val="21"/>
              <w:szCs w:val="22"/>
            </w:rPr>
          </w:pPr>
          <w:r/>
          <w:hyperlink w:tooltip="#_Toc140505150" w:anchor="_Toc140505150" w:history="1">
            <w:r>
              <w:rPr>
                <w:rStyle w:val="1375"/>
                <w:rFonts w:ascii="Arial Narrow" w:hAnsi="Arial Narrow" w:eastAsia="仿宋_GB2312" w:cs="Arial"/>
                <w:color w:val="auto"/>
              </w:rPr>
              <w:t xml:space="preserve">7.3</w:t>
            </w:r>
            <w:r>
              <w:rPr>
                <w:rFonts w:asciiTheme="minorHAnsi" w:hAnsiTheme="minorHAnsi" w:eastAsiaTheme="minorEastAsia" w:cstheme="minorBidi"/>
                <w:sz w:val="21"/>
                <w:szCs w:val="22"/>
              </w:rPr>
              <w:tab/>
            </w:r>
            <w:r>
              <w:rPr>
                <w:rStyle w:val="1375"/>
                <w:rFonts w:ascii="Arial Narrow" w:hAnsi="Arial Narrow" w:eastAsia="仿宋_GB2312" w:cs="Arial"/>
                <w:color w:val="auto"/>
              </w:rPr>
              <w:t xml:space="preserve">验证对象的选择</w:t>
            </w:r>
            <w:r>
              <w:tab/>
            </w:r>
            <w:r>
              <w:fldChar w:fldCharType="begin"/>
            </w:r>
            <w:r>
              <w:instrText xml:space="preserve"> PAGEREF _Toc140505150 \h </w:instrText>
            </w:r>
            <w:r>
              <w:fldChar w:fldCharType="separate"/>
            </w:r>
            <w:r>
              <w:t xml:space="preserve">39</w:t>
            </w:r>
            <w:r>
              <w:fldChar w:fldCharType="end"/>
            </w:r>
          </w:hyperlink>
          <w:r/>
          <w:r>
            <w:rPr>
              <w:rFonts w:asciiTheme="minorHAnsi" w:hAnsiTheme="minorHAnsi" w:eastAsiaTheme="minorEastAsia" w:cstheme="minorBidi"/>
              <w:sz w:val="21"/>
              <w:szCs w:val="22"/>
            </w:rPr>
          </w:r>
        </w:p>
        <w:p>
          <w:pPr>
            <w:pStyle w:val="1363"/>
            <w:pBdr/>
            <w:spacing/>
            <w:ind/>
            <w:rPr>
              <w:rFonts w:asciiTheme="minorHAnsi" w:hAnsiTheme="minorHAnsi" w:eastAsiaTheme="minorEastAsia" w:cstheme="minorBidi"/>
              <w:sz w:val="21"/>
              <w:szCs w:val="22"/>
            </w:rPr>
          </w:pPr>
          <w:r/>
          <w:hyperlink w:tooltip="#_Toc140505168" w:anchor="_Toc140505168" w:history="1">
            <w:r>
              <w:rPr>
                <w:rStyle w:val="1375"/>
                <w:rFonts w:ascii="Arial Narrow" w:hAnsi="Arial Narrow" w:eastAsia="仿宋_GB2312" w:cs="Arial"/>
                <w:color w:val="auto"/>
              </w:rPr>
              <w:t xml:space="preserve">7.4</w:t>
            </w:r>
            <w:r>
              <w:rPr>
                <w:rFonts w:asciiTheme="minorHAnsi" w:hAnsiTheme="minorHAnsi" w:eastAsiaTheme="minorEastAsia" w:cstheme="minorBidi"/>
                <w:sz w:val="21"/>
                <w:szCs w:val="22"/>
              </w:rPr>
              <w:tab/>
            </w:r>
            <w:r>
              <w:rPr>
                <w:rStyle w:val="1375"/>
                <w:rFonts w:ascii="Arial Narrow" w:hAnsi="Arial Narrow" w:eastAsia="仿宋_GB2312" w:cs="Arial"/>
                <w:color w:val="auto"/>
              </w:rPr>
              <w:t xml:space="preserve">转让定价方法的应用</w:t>
            </w:r>
            <w:r>
              <w:tab/>
            </w:r>
            <w:r>
              <w:fldChar w:fldCharType="begin"/>
            </w:r>
            <w:r>
              <w:instrText xml:space="preserve"> PAGEREF _Toc140505168 \h </w:instrText>
            </w:r>
            <w:r>
              <w:fldChar w:fldCharType="separate"/>
            </w:r>
            <w:r>
              <w:t xml:space="preserve">40</w:t>
            </w:r>
            <w:r>
              <w:fldChar w:fldCharType="end"/>
            </w:r>
          </w:hyperlink>
          <w:r/>
          <w:r>
            <w:rPr>
              <w:rFonts w:asciiTheme="minorHAnsi" w:hAnsiTheme="minorHAnsi" w:eastAsiaTheme="minorEastAsia" w:cstheme="minorBidi"/>
              <w:sz w:val="21"/>
              <w:szCs w:val="22"/>
            </w:rPr>
          </w:r>
        </w:p>
        <w:p>
          <w:pPr>
            <w:pStyle w:val="1349"/>
            <w:pBdr/>
            <w:spacing/>
            <w:ind/>
            <w:rPr>
              <w:rFonts w:asciiTheme="minorHAnsi" w:hAnsiTheme="minorHAnsi" w:eastAsiaTheme="minorEastAsia" w:cstheme="minorBidi"/>
              <w:i w:val="0"/>
              <w:iCs w:val="0"/>
              <w:sz w:val="21"/>
              <w:szCs w:val="22"/>
            </w:rPr>
          </w:pPr>
          <w:r/>
          <w:hyperlink w:tooltip="#_Toc140505169" w:anchor="_Toc140505169" w:history="1">
            <w:r>
              <w:rPr>
                <w:rStyle w:val="1375"/>
                <w:rFonts w:ascii="Arial Narrow" w:hAnsi="Arial Narrow" w:eastAsia="仿宋_GB2312" w:cs="Arial"/>
                <w:color w:val="auto"/>
              </w:rPr>
              <w:t xml:space="preserve">7.4.1</w:t>
            </w:r>
            <w:r>
              <w:rPr>
                <w:rFonts w:asciiTheme="minorHAnsi" w:hAnsiTheme="minorHAnsi" w:eastAsiaTheme="minorEastAsia" w:cstheme="minorBidi"/>
                <w:i w:val="0"/>
                <w:iCs w:val="0"/>
                <w:sz w:val="21"/>
                <w:szCs w:val="22"/>
              </w:rPr>
              <w:tab/>
            </w:r>
            <w:r>
              <w:rPr>
                <w:rStyle w:val="1375"/>
                <w:rFonts w:ascii="Arial Narrow" w:hAnsi="Arial Narrow" w:eastAsia="仿宋_GB2312" w:cs="Arial"/>
                <w:color w:val="auto"/>
              </w:rPr>
              <w:t xml:space="preserve">概述</w:t>
            </w:r>
            <w:r>
              <w:tab/>
            </w:r>
            <w:r>
              <w:fldChar w:fldCharType="begin"/>
            </w:r>
            <w:r>
              <w:instrText xml:space="preserve"> PAGEREF _Toc140505169 \h </w:instrText>
            </w:r>
            <w:r>
              <w:fldChar w:fldCharType="separate"/>
            </w:r>
            <w:r>
              <w:t xml:space="preserve">40</w:t>
            </w:r>
            <w:r>
              <w:fldChar w:fldCharType="end"/>
            </w:r>
          </w:hyperlink>
          <w:r/>
          <w:r>
            <w:rPr>
              <w:rFonts w:asciiTheme="minorHAnsi" w:hAnsiTheme="minorHAnsi" w:eastAsiaTheme="minorEastAsia" w:cstheme="minorBidi"/>
              <w:i w:val="0"/>
              <w:iCs w:val="0"/>
              <w:sz w:val="21"/>
              <w:szCs w:val="22"/>
            </w:rPr>
          </w:r>
        </w:p>
        <w:p>
          <w:pPr>
            <w:pStyle w:val="1349"/>
            <w:pBdr/>
            <w:spacing/>
            <w:ind/>
            <w:rPr>
              <w:rFonts w:asciiTheme="minorHAnsi" w:hAnsiTheme="minorHAnsi" w:eastAsiaTheme="minorEastAsia" w:cstheme="minorBidi"/>
              <w:i w:val="0"/>
              <w:iCs w:val="0"/>
              <w:sz w:val="21"/>
              <w:szCs w:val="22"/>
            </w:rPr>
          </w:pPr>
          <w:r/>
          <w:hyperlink w:tooltip="#_Toc140505170" w:anchor="_Toc140505170" w:history="1">
            <w:r>
              <w:rPr>
                <w:rStyle w:val="1375"/>
                <w:rFonts w:ascii="Arial Narrow" w:hAnsi="Arial Narrow" w:eastAsia="仿宋_GB2312" w:cs="Arial"/>
                <w:color w:val="auto"/>
              </w:rPr>
              <w:t xml:space="preserve">7.4.2</w:t>
            </w:r>
            <w:r>
              <w:rPr>
                <w:rFonts w:asciiTheme="minorHAnsi" w:hAnsiTheme="minorHAnsi" w:eastAsiaTheme="minorEastAsia" w:cstheme="minorBidi"/>
                <w:i w:val="0"/>
                <w:iCs w:val="0"/>
                <w:sz w:val="21"/>
                <w:szCs w:val="22"/>
              </w:rPr>
              <w:tab/>
            </w:r>
            <w:r>
              <w:rPr>
                <w:rStyle w:val="1375"/>
                <w:rFonts w:ascii="Arial Narrow" w:hAnsi="Arial Narrow" w:eastAsia="仿宋_GB2312" w:cs="Arial"/>
                <w:color w:val="auto"/>
              </w:rPr>
              <w:t xml:space="preserve">确定与受测关联交易相关的财务数据</w:t>
            </w:r>
            <w:r>
              <w:tab/>
            </w:r>
            <w:r>
              <w:fldChar w:fldCharType="begin"/>
            </w:r>
            <w:r>
              <w:instrText xml:space="preserve"> PAGEREF _Toc140505170 \h </w:instrText>
            </w:r>
            <w:r>
              <w:fldChar w:fldCharType="separate"/>
            </w:r>
            <w:r>
              <w:t xml:space="preserve">40</w:t>
            </w:r>
            <w:r>
              <w:fldChar w:fldCharType="end"/>
            </w:r>
          </w:hyperlink>
          <w:r/>
          <w:r>
            <w:rPr>
              <w:rFonts w:asciiTheme="minorHAnsi" w:hAnsiTheme="minorHAnsi" w:eastAsiaTheme="minorEastAsia" w:cstheme="minorBidi"/>
              <w:i w:val="0"/>
              <w:iCs w:val="0"/>
              <w:sz w:val="21"/>
              <w:szCs w:val="22"/>
            </w:rPr>
          </w:r>
        </w:p>
        <w:p>
          <w:pPr>
            <w:pStyle w:val="1349"/>
            <w:pBdr/>
            <w:spacing/>
            <w:ind/>
            <w:rPr>
              <w:rFonts w:asciiTheme="minorHAnsi" w:hAnsiTheme="minorHAnsi" w:eastAsiaTheme="minorEastAsia" w:cstheme="minorBidi"/>
              <w:i w:val="0"/>
              <w:iCs w:val="0"/>
              <w:sz w:val="21"/>
              <w:szCs w:val="22"/>
            </w:rPr>
          </w:pPr>
          <w:r/>
          <w:hyperlink w:tooltip="#_Toc140505173" w:anchor="_Toc140505173" w:history="1">
            <w:r>
              <w:rPr>
                <w:rStyle w:val="1375"/>
                <w:rFonts w:ascii="Arial Narrow" w:hAnsi="Arial Narrow" w:eastAsia="仿宋_GB2312" w:cs="Arial"/>
                <w:color w:val="auto"/>
              </w:rPr>
              <w:t xml:space="preserve">7.4.3</w:t>
            </w:r>
            <w:r>
              <w:rPr>
                <w:rFonts w:asciiTheme="minorHAnsi" w:hAnsiTheme="minorHAnsi" w:eastAsiaTheme="minorEastAsia" w:cstheme="minorBidi"/>
                <w:i w:val="0"/>
                <w:iCs w:val="0"/>
                <w:sz w:val="21"/>
                <w:szCs w:val="22"/>
              </w:rPr>
              <w:tab/>
            </w:r>
            <w:r>
              <w:rPr>
                <w:rStyle w:val="1375"/>
                <w:rFonts w:ascii="Arial Narrow" w:hAnsi="Arial Narrow" w:eastAsia="仿宋_GB2312" w:cs="Arial"/>
                <w:color w:val="auto"/>
              </w:rPr>
              <w:t xml:space="preserve">搜寻外部可比公司</w:t>
            </w:r>
            <w:r>
              <w:tab/>
            </w:r>
            <w:r>
              <w:fldChar w:fldCharType="begin"/>
            </w:r>
            <w:r>
              <w:instrText xml:space="preserve"> PAGEREF _Toc140505173 \h </w:instrText>
            </w:r>
            <w:r>
              <w:fldChar w:fldCharType="separate"/>
            </w:r>
            <w:r>
              <w:t xml:space="preserve">41</w:t>
            </w:r>
            <w:r>
              <w:fldChar w:fldCharType="end"/>
            </w:r>
          </w:hyperlink>
          <w:r/>
          <w:r>
            <w:rPr>
              <w:rFonts w:asciiTheme="minorHAnsi" w:hAnsiTheme="minorHAnsi" w:eastAsiaTheme="minorEastAsia" w:cstheme="minorBidi"/>
              <w:i w:val="0"/>
              <w:iCs w:val="0"/>
              <w:sz w:val="21"/>
              <w:szCs w:val="22"/>
            </w:rPr>
          </w:r>
        </w:p>
        <w:p>
          <w:pPr>
            <w:pStyle w:val="1349"/>
            <w:pBdr/>
            <w:spacing/>
            <w:ind/>
            <w:rPr>
              <w:rFonts w:asciiTheme="minorHAnsi" w:hAnsiTheme="minorHAnsi" w:eastAsiaTheme="minorEastAsia" w:cstheme="minorBidi"/>
              <w:i w:val="0"/>
              <w:iCs w:val="0"/>
              <w:sz w:val="21"/>
              <w:szCs w:val="22"/>
            </w:rPr>
          </w:pPr>
          <w:r/>
          <w:hyperlink w:tooltip="#_Toc140505174" w:anchor="_Toc140505174" w:history="1">
            <w:r>
              <w:rPr>
                <w:rStyle w:val="1375"/>
                <w:rFonts w:ascii="Arial Narrow" w:hAnsi="Arial Narrow" w:eastAsia="仿宋_GB2312" w:cs="Arial"/>
                <w:color w:val="auto"/>
              </w:rPr>
              <w:t xml:space="preserve">7.4.4</w:t>
            </w:r>
            <w:r>
              <w:rPr>
                <w:rFonts w:asciiTheme="minorHAnsi" w:hAnsiTheme="minorHAnsi" w:eastAsiaTheme="minorEastAsia" w:cstheme="minorBidi"/>
                <w:i w:val="0"/>
                <w:iCs w:val="0"/>
                <w:sz w:val="21"/>
                <w:szCs w:val="22"/>
              </w:rPr>
              <w:tab/>
            </w:r>
            <w:r>
              <w:rPr>
                <w:rStyle w:val="1375"/>
                <w:rFonts w:ascii="Arial Narrow" w:hAnsi="Arial Narrow" w:eastAsia="仿宋_GB2312" w:cs="Arial"/>
                <w:color w:val="auto"/>
              </w:rPr>
              <w:t xml:space="preserve">可比公司利润水平</w:t>
            </w:r>
            <w:r>
              <w:tab/>
            </w:r>
            <w:r>
              <w:fldChar w:fldCharType="begin"/>
            </w:r>
            <w:r>
              <w:instrText xml:space="preserve"> PAGEREF _Toc140505174 \h </w:instrText>
            </w:r>
            <w:r>
              <w:fldChar w:fldCharType="separate"/>
            </w:r>
            <w:r>
              <w:t xml:space="preserve">44</w:t>
            </w:r>
            <w:r>
              <w:fldChar w:fldCharType="end"/>
            </w:r>
          </w:hyperlink>
          <w:r/>
          <w:r>
            <w:rPr>
              <w:rFonts w:asciiTheme="minorHAnsi" w:hAnsiTheme="minorHAnsi" w:eastAsiaTheme="minorEastAsia" w:cstheme="minorBidi"/>
              <w:i w:val="0"/>
              <w:iCs w:val="0"/>
              <w:sz w:val="21"/>
              <w:szCs w:val="22"/>
            </w:rPr>
          </w:r>
        </w:p>
        <w:p>
          <w:pPr>
            <w:pStyle w:val="1356"/>
            <w:pBdr/>
            <w:tabs>
              <w:tab w:val="left" w:leader="none" w:pos="480"/>
            </w:tabs>
            <w:spacing/>
            <w:ind/>
            <w:rPr>
              <w:rFonts w:asciiTheme="minorHAnsi" w:hAnsiTheme="minorHAnsi" w:eastAsiaTheme="minorEastAsia" w:cstheme="minorBidi"/>
              <w:bCs w:val="0"/>
              <w:caps w:val="0"/>
              <w:sz w:val="21"/>
              <w:szCs w:val="22"/>
            </w:rPr>
          </w:pPr>
          <w:r/>
          <w:hyperlink w:tooltip="#_Toc140505175" w:anchor="_Toc140505175" w:history="1">
            <w:r>
              <w:rPr>
                <w:rStyle w:val="1375"/>
                <w:rFonts w:ascii="Arial Narrow" w:hAnsi="Arial Narrow" w:eastAsia="仿宋_GB2312"/>
                <w:color w:val="auto"/>
              </w:rPr>
              <w:t xml:space="preserve">8.</w:t>
            </w:r>
            <w:r>
              <w:rPr>
                <w:rFonts w:asciiTheme="minorHAnsi" w:hAnsiTheme="minorHAnsi" w:eastAsiaTheme="minorEastAsia" w:cstheme="minorBidi"/>
                <w:bCs w:val="0"/>
                <w:caps w:val="0"/>
                <w:sz w:val="21"/>
                <w:szCs w:val="22"/>
              </w:rPr>
              <w:tab/>
            </w:r>
            <w:r>
              <w:rPr>
                <w:rStyle w:val="1375"/>
                <w:rFonts w:ascii="Arial Narrow" w:hAnsi="Arial Narrow" w:eastAsia="仿宋_GB2312"/>
                <w:color w:val="auto"/>
              </w:rPr>
              <w:t xml:space="preserve">结论</w:t>
            </w:r>
            <w:r>
              <w:tab/>
            </w:r>
            <w:r>
              <w:fldChar w:fldCharType="begin"/>
            </w:r>
            <w:r>
              <w:instrText xml:space="preserve"> PAGEREF _Toc140505175 \h </w:instrText>
            </w:r>
            <w:r>
              <w:fldChar w:fldCharType="separate"/>
            </w:r>
            <w:r>
              <w:t xml:space="preserve">48</w:t>
            </w:r>
            <w:r>
              <w:fldChar w:fldCharType="end"/>
            </w:r>
          </w:hyperlink>
          <w:r/>
          <w:r>
            <w:rPr>
              <w:rFonts w:asciiTheme="minorHAnsi" w:hAnsiTheme="minorHAnsi" w:eastAsiaTheme="minorEastAsia" w:cstheme="minorBidi"/>
              <w:bCs w:val="0"/>
              <w:caps w:val="0"/>
              <w:sz w:val="21"/>
              <w:szCs w:val="22"/>
            </w:rPr>
          </w:r>
        </w:p>
        <w:p>
          <w:pPr>
            <w:pStyle w:val="1356"/>
            <w:pBdr/>
            <w:spacing/>
            <w:ind/>
            <w:rPr>
              <w:rFonts w:asciiTheme="minorHAnsi" w:hAnsiTheme="minorHAnsi" w:eastAsiaTheme="minorEastAsia" w:cstheme="minorBidi"/>
              <w:bCs w:val="0"/>
              <w:caps w:val="0"/>
              <w:sz w:val="21"/>
              <w:szCs w:val="22"/>
            </w:rPr>
          </w:pPr>
          <w:r/>
          <w:hyperlink w:tooltip="#_Toc140505176" w:anchor="_Toc140505176" w:history="1">
            <w:r>
              <w:rPr>
                <w:rStyle w:val="1375"/>
                <w:rFonts w:ascii="Arial Narrow" w:hAnsi="Arial Narrow" w:eastAsia="仿宋_GB2312" w:cs="Arial"/>
                <w:color w:val="auto"/>
              </w:rPr>
              <w:t xml:space="preserve">附件列表</w:t>
            </w:r>
            <w:r>
              <w:tab/>
            </w:r>
            <w:r>
              <w:fldChar w:fldCharType="begin"/>
            </w:r>
            <w:r>
              <w:instrText xml:space="preserve"> PAGEREF _Toc140505176 \h </w:instrText>
            </w:r>
            <w:r>
              <w:fldChar w:fldCharType="separate"/>
            </w:r>
            <w:r>
              <w:t xml:space="preserve">49</w:t>
            </w:r>
            <w:r>
              <w:fldChar w:fldCharType="end"/>
            </w:r>
          </w:hyperlink>
          <w:r/>
          <w:r>
            <w:rPr>
              <w:rFonts w:asciiTheme="minorHAnsi" w:hAnsiTheme="minorHAnsi" w:eastAsiaTheme="minorEastAsia" w:cstheme="minorBidi"/>
              <w:bCs w:val="0"/>
              <w:caps w:val="0"/>
              <w:sz w:val="21"/>
              <w:szCs w:val="22"/>
            </w:rPr>
          </w:r>
        </w:p>
        <w:p>
          <w:pPr>
            <w:pStyle w:val="1356"/>
            <w:pBdr/>
            <w:spacing/>
            <w:ind/>
            <w:rPr>
              <w:rFonts w:asciiTheme="minorHAnsi" w:hAnsiTheme="minorHAnsi" w:eastAsiaTheme="minorEastAsia" w:cstheme="minorBidi"/>
              <w:bCs w:val="0"/>
              <w:caps w:val="0"/>
              <w:sz w:val="21"/>
              <w:szCs w:val="22"/>
            </w:rPr>
          </w:pPr>
          <w:r/>
          <w:hyperlink w:tooltip="#_Toc140505177" w:anchor="_Toc140505177" w:history="1">
            <w:r>
              <w:rPr>
                <w:rStyle w:val="1375"/>
                <w:rFonts w:ascii="Arial Narrow" w:hAnsi="Arial Narrow" w:eastAsia="仿宋_GB2312" w:cs="Arial"/>
                <w:color w:val="auto"/>
              </w:rPr>
              <w:t xml:space="preserve">附件</w:t>
            </w:r>
            <w:r>
              <w:rPr>
                <w:rStyle w:val="1375"/>
                <w:rFonts w:ascii="Arial Narrow" w:hAnsi="Arial Narrow" w:eastAsia="仿宋_GB2312" w:cs="Arial"/>
                <w:color w:val="auto"/>
              </w:rPr>
              <w:t xml:space="preserve">1</w:t>
            </w:r>
            <w:r>
              <w:rPr>
                <w:rStyle w:val="1375"/>
                <w:rFonts w:ascii="Arial Narrow" w:hAnsi="Arial Narrow" w:eastAsia="仿宋_GB2312" w:cs="Arial"/>
                <w:color w:val="auto"/>
              </w:rPr>
              <w:t xml:space="preserve">转让定价方法简介</w:t>
            </w:r>
            <w:r>
              <w:tab/>
            </w:r>
            <w:r>
              <w:fldChar w:fldCharType="begin"/>
            </w:r>
            <w:r>
              <w:instrText xml:space="preserve"> PAGEREF _Toc140505177 \h </w:instrText>
            </w:r>
            <w:r>
              <w:fldChar w:fldCharType="separate"/>
            </w:r>
            <w:r>
              <w:t xml:space="preserve">50</w:t>
            </w:r>
            <w:r>
              <w:fldChar w:fldCharType="end"/>
            </w:r>
          </w:hyperlink>
          <w:r/>
          <w:r>
            <w:rPr>
              <w:rFonts w:asciiTheme="minorHAnsi" w:hAnsiTheme="minorHAnsi" w:eastAsiaTheme="minorEastAsia" w:cstheme="minorBidi"/>
              <w:bCs w:val="0"/>
              <w:caps w:val="0"/>
              <w:sz w:val="21"/>
              <w:szCs w:val="22"/>
            </w:rPr>
          </w:r>
        </w:p>
        <w:p>
          <w:pPr>
            <w:pStyle w:val="1356"/>
            <w:pBdr/>
            <w:spacing/>
            <w:ind/>
            <w:rPr>
              <w:rFonts w:asciiTheme="minorHAnsi" w:hAnsiTheme="minorHAnsi" w:eastAsiaTheme="minorEastAsia" w:cstheme="minorBidi"/>
              <w:bCs w:val="0"/>
              <w:caps w:val="0"/>
              <w:sz w:val="21"/>
              <w:szCs w:val="22"/>
            </w:rPr>
          </w:pPr>
          <w:r/>
          <w:hyperlink w:tooltip="#_Toc140505178" w:anchor="_Toc140505178" w:history="1">
            <w:r>
              <w:rPr>
                <w:rStyle w:val="1375"/>
                <w:rFonts w:ascii="Arial Narrow" w:hAnsi="Arial Narrow" w:eastAsia="仿宋_GB2312" w:cs="Arial"/>
                <w:color w:val="auto"/>
              </w:rPr>
              <w:t xml:space="preserve">附件</w:t>
            </w:r>
            <w:r>
              <w:rPr>
                <w:rStyle w:val="1375"/>
                <w:rFonts w:ascii="Arial Narrow" w:hAnsi="Arial Narrow" w:eastAsia="仿宋_GB2312" w:cs="Arial"/>
                <w:color w:val="auto"/>
              </w:rPr>
              <w:t xml:space="preserve">2</w:t>
            </w:r>
            <w:r>
              <w:rPr>
                <w:rStyle w:val="1375"/>
                <w:rFonts w:ascii="Arial Narrow" w:hAnsi="Arial Narrow" w:eastAsia="仿宋_GB2312" w:cs="Arial"/>
                <w:color w:val="auto"/>
              </w:rPr>
              <w:t xml:space="preserve">企业年度关联交易财务状况分析表</w:t>
            </w:r>
            <w:r>
              <w:tab/>
            </w:r>
            <w:r>
              <w:fldChar w:fldCharType="begin"/>
            </w:r>
            <w:r>
              <w:instrText xml:space="preserve"> PAGEREF _Toc140505178 \h </w:instrText>
            </w:r>
            <w:r>
              <w:fldChar w:fldCharType="separate"/>
            </w:r>
            <w:r>
              <w:t xml:space="preserve">53</w:t>
            </w:r>
            <w:r>
              <w:fldChar w:fldCharType="end"/>
            </w:r>
          </w:hyperlink>
          <w:r/>
          <w:r>
            <w:rPr>
              <w:rFonts w:asciiTheme="minorHAnsi" w:hAnsiTheme="minorHAnsi" w:eastAsiaTheme="minorEastAsia" w:cstheme="minorBidi"/>
              <w:bCs w:val="0"/>
              <w:caps w:val="0"/>
              <w:sz w:val="21"/>
              <w:szCs w:val="22"/>
            </w:rPr>
          </w:r>
        </w:p>
        <w:p>
          <w:pPr>
            <w:pStyle w:val="1356"/>
            <w:pBdr/>
            <w:spacing/>
            <w:ind/>
            <w:rPr>
              <w:rFonts w:asciiTheme="minorHAnsi" w:hAnsiTheme="minorHAnsi" w:eastAsiaTheme="minorEastAsia" w:cstheme="minorBidi"/>
              <w:bCs w:val="0"/>
              <w:caps w:val="0"/>
              <w:sz w:val="21"/>
              <w:szCs w:val="22"/>
            </w:rPr>
          </w:pPr>
          <w:r/>
          <w:hyperlink w:tooltip="#_Toc140505179" w:anchor="_Toc140505179" w:history="1">
            <w:r>
              <w:rPr>
                <w:rStyle w:val="1375"/>
                <w:rFonts w:ascii="Arial Narrow" w:hAnsi="Arial Narrow" w:eastAsia="仿宋_GB2312" w:cs="Arial"/>
                <w:color w:val="auto"/>
              </w:rPr>
              <w:t xml:space="preserve">附件</w:t>
            </w:r>
            <w:r>
              <w:rPr>
                <w:rStyle w:val="1375"/>
                <w:rFonts w:ascii="Arial Narrow" w:hAnsi="Arial Narrow" w:eastAsia="仿宋_GB2312" w:cs="Arial"/>
                <w:color w:val="auto"/>
              </w:rPr>
              <w:t xml:space="preserve">3</w:t>
            </w:r>
            <w:r>
              <w:rPr>
                <w:rStyle w:val="1375"/>
                <w:rFonts w:ascii="Arial Narrow" w:hAnsi="Arial Narrow" w:eastAsia="仿宋_GB2312" w:cs="Arial"/>
                <w:color w:val="auto"/>
              </w:rPr>
              <w:t xml:space="preserve">被选可比公司的业务简介</w:t>
            </w:r>
            <w:r>
              <w:tab/>
            </w:r>
            <w:r>
              <w:fldChar w:fldCharType="begin"/>
            </w:r>
            <w:r>
              <w:instrText xml:space="preserve"> PAGEREF _Toc140505179 \h </w:instrText>
            </w:r>
            <w:r>
              <w:fldChar w:fldCharType="separate"/>
            </w:r>
            <w:r>
              <w:t xml:space="preserve">54</w:t>
            </w:r>
            <w:r>
              <w:fldChar w:fldCharType="end"/>
            </w:r>
          </w:hyperlink>
          <w:r/>
          <w:r>
            <w:rPr>
              <w:rFonts w:asciiTheme="minorHAnsi" w:hAnsiTheme="minorHAnsi" w:eastAsiaTheme="minorEastAsia" w:cstheme="minorBidi"/>
              <w:bCs w:val="0"/>
              <w:caps w:val="0"/>
              <w:sz w:val="21"/>
              <w:szCs w:val="22"/>
            </w:rPr>
          </w:r>
        </w:p>
        <w:p>
          <w:pPr>
            <w:pStyle w:val="1356"/>
            <w:pBdr/>
            <w:spacing/>
            <w:ind/>
            <w:rPr>
              <w:rFonts w:asciiTheme="minorHAnsi" w:hAnsiTheme="minorHAnsi" w:eastAsiaTheme="minorEastAsia" w:cstheme="minorBidi"/>
              <w:bCs w:val="0"/>
              <w:caps w:val="0"/>
              <w:sz w:val="21"/>
              <w:szCs w:val="22"/>
            </w:rPr>
          </w:pPr>
          <w:r/>
          <w:hyperlink w:tooltip="#_Toc140505180" w:anchor="_Toc140505180" w:history="1">
            <w:r>
              <w:rPr>
                <w:rStyle w:val="1375"/>
                <w:rFonts w:ascii="Arial Narrow" w:hAnsi="Arial Narrow" w:eastAsia="仿宋_GB2312" w:cs="Arial"/>
                <w:color w:val="auto"/>
              </w:rPr>
              <w:t xml:space="preserve">附件</w:t>
            </w:r>
            <w:r>
              <w:rPr>
                <w:rStyle w:val="1375"/>
                <w:rFonts w:ascii="Arial Narrow" w:hAnsi="Arial Narrow" w:eastAsia="仿宋_GB2312" w:cs="Arial"/>
                <w:color w:val="auto"/>
              </w:rPr>
              <w:t xml:space="preserve">4</w:t>
            </w:r>
            <w:r>
              <w:rPr>
                <w:rStyle w:val="1375"/>
                <w:rFonts w:ascii="Arial Narrow" w:hAnsi="Arial Narrow" w:eastAsia="仿宋_GB2312" w:cs="Arial"/>
                <w:color w:val="auto"/>
              </w:rPr>
              <w:t xml:space="preserve">被选可比公司完全成本加成率的计算</w:t>
            </w:r>
            <w:r>
              <w:tab/>
            </w:r>
            <w:r>
              <w:fldChar w:fldCharType="begin"/>
            </w:r>
            <w:r>
              <w:instrText xml:space="preserve"> PAGEREF _Toc140505180 \h </w:instrText>
            </w:r>
            <w:r>
              <w:fldChar w:fldCharType="separate"/>
            </w:r>
            <w:r>
              <w:t xml:space="preserve">57</w:t>
            </w:r>
            <w:r>
              <w:fldChar w:fldCharType="end"/>
            </w:r>
          </w:hyperlink>
          <w:r/>
          <w:r>
            <w:rPr>
              <w:rFonts w:asciiTheme="minorHAnsi" w:hAnsiTheme="minorHAnsi" w:eastAsiaTheme="minorEastAsia" w:cstheme="minorBidi"/>
              <w:bCs w:val="0"/>
              <w:caps w:val="0"/>
              <w:sz w:val="21"/>
              <w:szCs w:val="22"/>
            </w:rPr>
          </w:r>
        </w:p>
        <w:p>
          <w:pPr>
            <w:pBdr/>
            <w:spacing w:after="100" w:afterAutospacing="1" w:before="100" w:beforeAutospacing="1"/>
            <w:ind/>
            <w:rPr>
              <w:rFonts w:ascii="Arial Narrow" w:hAnsi="Arial Narrow" w:eastAsia="仿宋_GB2312" w:cs="Arial"/>
              <w:sz w:val="22"/>
              <w:szCs w:val="22"/>
            </w:rPr>
          </w:pPr>
          <w:r>
            <w:rPr>
              <w:rFonts w:ascii="Arial Narrow" w:hAnsi="Arial Narrow" w:eastAsia="仿宋_GB2312" w:cs="Arial"/>
              <w:b/>
              <w:bCs/>
              <w:sz w:val="24"/>
              <w:szCs w:val="24"/>
              <w:lang w:val="zh-CN"/>
            </w:rPr>
            <w:fldChar w:fldCharType="end"/>
          </w:r>
          <w:r>
            <w:rPr>
              <w:rFonts w:ascii="Arial Narrow" w:hAnsi="Arial Narrow" w:eastAsia="仿宋_GB2312" w:cs="Arial"/>
              <w:sz w:val="22"/>
              <w:szCs w:val="22"/>
            </w:rPr>
          </w:r>
        </w:p>
      </w:sdtContent>
    </w:sdt>
    <w:p>
      <w:pPr>
        <w:pBdr/>
        <w:spacing w:after="240"/>
        <w:ind/>
        <w:jc w:val="center"/>
        <w:rPr>
          <w:rFonts w:ascii="Arial Narrow" w:hAnsi="Arial Narrow" w:eastAsia="仿宋_GB2312" w:cs="Arial"/>
          <w:b/>
          <w:sz w:val="36"/>
        </w:rPr>
      </w:pPr>
      <w:r/>
      <w:bookmarkStart w:id="47" w:name="OLE_LINK2"/>
      <w:r/>
      <w:bookmarkEnd w:id="47"/>
      <w:r/>
      <w:r>
        <w:rPr>
          <w:rFonts w:ascii="Arial Narrow" w:hAnsi="Arial Narrow" w:eastAsia="仿宋_GB2312" w:cs="Arial"/>
          <w:b/>
          <w:sz w:val="36"/>
        </w:rPr>
      </w:r>
    </w:p>
    <w:p>
      <w:pPr>
        <w:pBdr/>
        <w:tabs>
          <w:tab w:val="left" w:leader="none" w:pos="900"/>
        </w:tabs>
        <w:spacing w:before="240"/>
        <w:ind/>
        <w:jc w:val="both"/>
        <w:rPr>
          <w:rFonts w:ascii="Arial Narrow" w:hAnsi="Arial Narrow" w:eastAsia="仿宋_GB2312" w:cs="Arial"/>
          <w:sz w:val="22"/>
          <w:szCs w:val="22"/>
        </w:rPr>
        <w:sectPr>
          <w:headerReference w:type="default" r:id="rId13"/>
          <w:headerReference w:type="even" r:id="rId14"/>
          <w:headerReference w:type="first" r:id="rId15"/>
          <w:footerReference w:type="default" r:id="rId22"/>
          <w:footnotePr/>
          <w:endnotePr/>
          <w:type w:val="nextPage"/>
          <w:pgSz w:h="16839" w:orient="portrait" w:w="11907"/>
          <w:pgMar w:top="1440" w:right="1800" w:bottom="1440" w:left="1800" w:header="709" w:footer="709" w:gutter="0"/>
          <w:cols w:num="1" w:sep="0" w:space="720" w:equalWidth="1"/>
        </w:sectPr>
      </w:pPr>
      <w:r>
        <w:rPr>
          <w:rFonts w:ascii="Arial Narrow" w:hAnsi="Arial Narrow" w:eastAsia="仿宋_GB2312" w:cs="Arial"/>
          <w:sz w:val="22"/>
          <w:szCs w:val="22"/>
        </w:rPr>
      </w:r>
      <w:r>
        <w:rPr>
          <w:rFonts w:ascii="Arial Narrow" w:hAnsi="Arial Narrow" w:eastAsia="仿宋_GB2312" w:cs="Arial"/>
          <w:sz w:val="22"/>
          <w:szCs w:val="22"/>
        </w:rPr>
      </w:r>
    </w:p>
    <w:p>
      <w:pPr>
        <w:pStyle w:val="1323"/>
        <w:numPr>
          <w:ilvl w:val="0"/>
          <w:numId w:val="0"/>
        </w:numPr>
        <w:pBdr/>
        <w:spacing/>
        <w:ind w:left="360"/>
        <w:rPr/>
      </w:pPr>
      <w:r/>
      <w:bookmarkStart w:id="48" w:name="_Toc140505093"/>
      <w:r/>
      <w:bookmarkStart w:id="49" w:name="_Toc53229044"/>
      <w:r>
        <w:t xml:space="preserve">同期资料本地文档对照表</w:t>
      </w:r>
      <w:bookmarkEnd w:id="48"/>
      <w:r/>
      <w:bookmarkEnd w:id="49"/>
      <w:r/>
      <w:r/>
    </w:p>
    <w:p>
      <w:pPr>
        <w:pBdr/>
        <w:spacing w:after="240" w:before="240"/>
        <w:ind w:firstLine="475"/>
        <w:rPr>
          <w:rFonts w:ascii="Arial Narrow" w:hAnsi="Arial Narrow" w:eastAsia="仿宋_GB2312" w:cs="Arial"/>
          <w:sz w:val="22"/>
        </w:rPr>
      </w:pPr>
      <w:r>
        <w:rPr>
          <w:rFonts w:ascii="Arial Narrow" w:hAnsi="Arial Narrow" w:eastAsia="仿宋_GB2312" w:cs="Arial"/>
          <w:sz w:val="22"/>
          <w:szCs w:val="22"/>
        </w:rPr>
        <w:t xml:space="preserve">以下是{{企业名称}}2023年度关联交易同期资料本地文档报告内容与[2016]42号公告第十四条规定的本地文档内容对照表。</w:t>
      </w:r>
      <w:r>
        <w:rPr>
          <w:rFonts w:ascii="Arial Narrow" w:hAnsi="Arial Narrow" w:eastAsia="仿宋_GB2312" w:cs="Arial"/>
          <w:sz w:val="22"/>
          <w:szCs w:val="22"/>
        </w:rPr>
      </w:r>
      <w:r>
        <w:rPr>
          <w:rFonts w:ascii="Arial Narrow" w:hAnsi="Arial Narrow" w:eastAsia="仿宋_GB2312" w:cs="Arial"/>
          <w:sz w:val="22"/>
        </w:rPr>
      </w:r>
    </w:p>
    <w:tbl>
      <w:tblPr>
        <w:tblStyle w:val="1496"/>
        <w:tblW w:w="8217" w:type="dxa"/>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Look w:val="04A0" w:firstRow="1" w:lastRow="0" w:firstColumn="1" w:lastColumn="0" w:noHBand="0" w:noVBand="1"/>
      </w:tblPr>
      <w:tblGrid>
        <w:gridCol w:w="988"/>
        <w:gridCol w:w="6095"/>
        <w:gridCol w:w="1134"/>
      </w:tblGrid>
      <w:tr>
        <w:trPr>
          <w:trHeight w:val="427"/>
          <w:tblHeader/>
        </w:trPr>
        <w:tc>
          <w:tcPr>
            <w:shd w:val="clear" w:color="auto" w:fill="002060"/>
            <w:tcBorders>
              <w:top w:val="none" w:color="000000" w:sz="4" w:space="0"/>
              <w:left w:val="none" w:color="000000" w:sz="4" w:space="0"/>
              <w:bottom w:val="single" w:color="000000" w:sz="4" w:space="0"/>
            </w:tcBorders>
            <w:tcW w:w="988" w:type="dxa"/>
            <w:vAlign w:val="center"/>
            <w:textDirection w:val="lrTb"/>
            <w:noWrap w:val="false"/>
          </w:tcPr>
          <w:p>
            <w:pPr>
              <w:pStyle w:val="1453"/>
              <w:pBdr/>
              <w:spacing w:line="240" w:lineRule="auto"/>
              <w:ind w:firstLine="0"/>
              <w:jc w:val="center"/>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条文</w:t>
            </w:r>
            <w:r>
              <w:rPr>
                <w:rFonts w:ascii="Arial Narrow" w:hAnsi="Arial Narrow" w:eastAsia="仿宋_GB2312" w:cs="Arial"/>
                <w:sz w:val="20"/>
                <w:szCs w:val="20"/>
                <w:lang w:eastAsia="zh-CN"/>
              </w:rPr>
            </w:r>
          </w:p>
        </w:tc>
        <w:tc>
          <w:tcPr>
            <w:shd w:val="clear" w:color="auto" w:fill="002060"/>
            <w:tcBorders>
              <w:top w:val="none" w:color="000000" w:sz="4" w:space="0"/>
              <w:bottom w:val="single" w:color="000000" w:sz="4" w:space="0"/>
            </w:tcBorders>
            <w:tcW w:w="6095" w:type="dxa"/>
            <w:vAlign w:val="center"/>
            <w:textDirection w:val="lrTb"/>
            <w:noWrap w:val="false"/>
          </w:tcPr>
          <w:p>
            <w:pPr>
              <w:pStyle w:val="1453"/>
              <w:pBdr/>
              <w:spacing w:line="240" w:lineRule="auto"/>
              <w:ind w:firstLine="0"/>
              <w:jc w:val="center"/>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法规要求</w:t>
            </w:r>
            <w:r>
              <w:rPr>
                <w:rFonts w:ascii="Arial Narrow" w:hAnsi="Arial Narrow" w:eastAsia="仿宋_GB2312" w:cs="Arial"/>
                <w:sz w:val="20"/>
                <w:szCs w:val="20"/>
                <w:lang w:eastAsia="zh-CN"/>
              </w:rPr>
            </w:r>
          </w:p>
        </w:tc>
        <w:tc>
          <w:tcPr>
            <w:shd w:val="clear" w:color="auto" w:fill="002060"/>
            <w:tcBorders>
              <w:top w:val="none" w:color="000000" w:sz="4" w:space="0"/>
              <w:bottom w:val="single" w:color="000000" w:sz="4" w:space="0"/>
              <w:right w:val="none" w:color="000000" w:sz="4" w:space="0"/>
            </w:tcBorders>
            <w:tcW w:w="1134" w:type="dxa"/>
            <w:vAlign w:val="center"/>
            <w:textDirection w:val="lrTb"/>
            <w:noWrap w:val="false"/>
          </w:tcPr>
          <w:p>
            <w:pPr>
              <w:pStyle w:val="1453"/>
              <w:pBdr/>
              <w:spacing w:line="240" w:lineRule="auto"/>
              <w:ind w:firstLine="0"/>
              <w:jc w:val="center"/>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报告索引</w:t>
            </w:r>
            <w:r>
              <w:rPr>
                <w:rFonts w:ascii="Arial Narrow" w:hAnsi="Arial Narrow" w:eastAsia="仿宋_GB2312" w:cs="Arial"/>
                <w:sz w:val="20"/>
                <w:szCs w:val="20"/>
                <w:lang w:eastAsia="zh-CN"/>
              </w:rPr>
            </w:r>
          </w:p>
        </w:tc>
      </w:tr>
      <w:tr>
        <w:trPr/>
        <w:tc>
          <w:tcPr>
            <w:shd w:val="clear" w:color="auto" w:fill="auto"/>
            <w:tcBorders>
              <w:top w:val="single" w:color="000000" w:sz="4" w:space="0"/>
              <w:left w:val="single" w:color="000000" w:sz="4" w:space="0"/>
              <w:bottom w:val="single" w:color="000000" w:sz="4" w:space="0"/>
              <w:right w:val="single" w:color="000000" w:sz="4" w:space="0"/>
            </w:tcBorders>
            <w:tcW w:w="988" w:type="dxa"/>
            <w:vAlign w:val="center"/>
            <w:vMerge w:val="restart"/>
            <w:textDirection w:val="lrTb"/>
            <w:noWrap w:val="false"/>
          </w:tcPr>
          <w:p>
            <w:pPr>
              <w:pStyle w:val="1453"/>
              <w:pBdr/>
              <w:spacing w:line="240" w:lineRule="auto"/>
              <w:ind w:firstLine="0"/>
              <w:jc w:val="center"/>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（一）企业概况</w:t>
            </w:r>
            <w:r>
              <w:rPr>
                <w:rFonts w:ascii="Arial Narrow" w:hAnsi="Arial Narrow" w:eastAsia="仿宋_GB2312" w:cs="Arial"/>
                <w:sz w:val="20"/>
                <w:szCs w:val="20"/>
                <w:lang w:eastAsia="zh-CN"/>
              </w:rPr>
            </w:r>
          </w:p>
        </w:tc>
        <w:tc>
          <w:tcPr>
            <w:shd w:val="clear" w:color="auto" w:fill="auto"/>
            <w:tcBorders>
              <w:top w:val="single" w:color="000000" w:sz="4" w:space="0"/>
              <w:left w:val="single" w:color="000000" w:sz="4" w:space="0"/>
              <w:bottom w:val="single" w:color="000000" w:sz="4" w:space="0"/>
              <w:right w:val="single" w:color="000000" w:sz="4" w:space="0"/>
            </w:tcBorders>
            <w:tcW w:w="6095" w:type="dxa"/>
            <w:vAlign w:val="center"/>
            <w:textDirection w:val="lrTb"/>
            <w:noWrap w:val="false"/>
          </w:tcPr>
          <w:p>
            <w:pPr>
              <w:pStyle w:val="1453"/>
              <w:numPr>
                <w:ilvl w:val="0"/>
                <w:numId w:val="9"/>
              </w:numPr>
              <w:pBdr/>
              <w:spacing w:after="0" w:before="0" w:line="240" w:lineRule="auto"/>
              <w:ind w:hanging="426" w:left="583"/>
              <w:jc w:val="left"/>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组织结构，包括企业各职能部门的设置、职责范围和雇员数量等；</w:t>
            </w:r>
            <w:r>
              <w:rPr>
                <w:rFonts w:ascii="Arial Narrow" w:hAnsi="Arial Narrow" w:eastAsia="仿宋_GB2312" w:cs="Arial"/>
                <w:sz w:val="20"/>
                <w:szCs w:val="20"/>
                <w:lang w:eastAsia="zh-CN"/>
              </w:rPr>
            </w:r>
          </w:p>
        </w:tc>
        <w:tc>
          <w:tcPr>
            <w:shd w:val="clear" w:color="auto" w:fill="auto"/>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1453"/>
              <w:pBdr/>
              <w:spacing w:after="60" w:before="60"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2.2</w:t>
            </w:r>
            <w:r>
              <w:rPr>
                <w:rFonts w:ascii="Arial Narrow" w:hAnsi="Arial Narrow" w:eastAsia="仿宋_GB2312" w:cs="Arial"/>
                <w:sz w:val="20"/>
                <w:szCs w:val="20"/>
                <w:lang w:eastAsia="zh-CN"/>
              </w:rPr>
            </w:r>
          </w:p>
        </w:tc>
      </w:tr>
      <w:tr>
        <w:trPr/>
        <w:tc>
          <w:tcPr>
            <w:shd w:val="clear" w:color="auto" w:fill="auto"/>
            <w:tcBorders>
              <w:top w:val="single" w:color="000000" w:sz="4" w:space="0"/>
              <w:left w:val="single" w:color="000000" w:sz="4" w:space="0"/>
              <w:bottom w:val="single" w:color="000000" w:sz="4" w:space="0"/>
              <w:right w:val="single" w:color="000000" w:sz="4" w:space="0"/>
            </w:tcBorders>
            <w:tcW w:w="988" w:type="dxa"/>
            <w:vAlign w:val="center"/>
            <w:vMerge w:val="continue"/>
            <w:textDirection w:val="lrTb"/>
            <w:noWrap w:val="false"/>
          </w:tcPr>
          <w:p>
            <w:pPr>
              <w:pStyle w:val="1453"/>
              <w:pBdr/>
              <w:spacing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r>
            <w:r>
              <w:rPr>
                <w:rFonts w:ascii="Arial Narrow" w:hAnsi="Arial Narrow" w:eastAsia="仿宋_GB2312" w:cs="Arial"/>
                <w:sz w:val="20"/>
                <w:szCs w:val="20"/>
                <w:lang w:eastAsia="zh-CN"/>
              </w:rPr>
            </w:r>
          </w:p>
        </w:tc>
        <w:tc>
          <w:tcPr>
            <w:shd w:val="clear" w:color="auto" w:fill="ddebf7"/>
            <w:tcBorders>
              <w:top w:val="single" w:color="000000" w:sz="4" w:space="0"/>
              <w:left w:val="single" w:color="000000" w:sz="4" w:space="0"/>
              <w:bottom w:val="single" w:color="000000" w:sz="4" w:space="0"/>
              <w:right w:val="single" w:color="000000" w:sz="4" w:space="0"/>
            </w:tcBorders>
            <w:tcW w:w="6095" w:type="dxa"/>
            <w:vAlign w:val="center"/>
            <w:textDirection w:val="lrTb"/>
            <w:noWrap w:val="false"/>
          </w:tcPr>
          <w:p>
            <w:pPr>
              <w:pStyle w:val="1453"/>
              <w:numPr>
                <w:ilvl w:val="0"/>
                <w:numId w:val="9"/>
              </w:numPr>
              <w:pBdr/>
              <w:spacing w:after="0" w:before="0" w:line="240" w:lineRule="auto"/>
              <w:ind w:hanging="426" w:left="583"/>
              <w:jc w:val="left"/>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管理架构，包括企业各级管理层的汇报对象以及汇报对象主要办公所在地等；</w:t>
            </w:r>
            <w:r>
              <w:rPr>
                <w:rFonts w:ascii="Arial Narrow" w:hAnsi="Arial Narrow" w:eastAsia="仿宋_GB2312" w:cs="Arial"/>
                <w:sz w:val="20"/>
                <w:szCs w:val="20"/>
                <w:lang w:eastAsia="zh-CN"/>
              </w:rPr>
            </w:r>
          </w:p>
        </w:tc>
        <w:tc>
          <w:tcPr>
            <w:shd w:val="clear" w:color="auto" w:fill="ddebf7"/>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1453"/>
              <w:pBdr/>
              <w:spacing w:after="60" w:before="60"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2.2</w:t>
            </w:r>
            <w:r>
              <w:rPr>
                <w:rFonts w:ascii="Arial Narrow" w:hAnsi="Arial Narrow" w:eastAsia="仿宋_GB2312" w:cs="Arial"/>
                <w:sz w:val="20"/>
                <w:szCs w:val="20"/>
                <w:lang w:eastAsia="zh-CN"/>
              </w:rPr>
            </w:r>
          </w:p>
        </w:tc>
      </w:tr>
      <w:tr>
        <w:trPr/>
        <w:tc>
          <w:tcPr>
            <w:shd w:val="clear" w:color="auto" w:fill="auto"/>
            <w:tcBorders>
              <w:top w:val="single" w:color="000000" w:sz="4" w:space="0"/>
              <w:left w:val="single" w:color="000000" w:sz="4" w:space="0"/>
              <w:bottom w:val="single" w:color="000000" w:sz="4" w:space="0"/>
              <w:right w:val="single" w:color="000000" w:sz="4" w:space="0"/>
            </w:tcBorders>
            <w:tcW w:w="988" w:type="dxa"/>
            <w:vAlign w:val="center"/>
            <w:vMerge w:val="continue"/>
            <w:textDirection w:val="lrTb"/>
            <w:noWrap w:val="false"/>
          </w:tcPr>
          <w:p>
            <w:pPr>
              <w:pStyle w:val="1453"/>
              <w:pBdr/>
              <w:spacing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r>
            <w:r>
              <w:rPr>
                <w:rFonts w:ascii="Arial Narrow" w:hAnsi="Arial Narrow" w:eastAsia="仿宋_GB2312" w:cs="Arial"/>
                <w:sz w:val="20"/>
                <w:szCs w:val="20"/>
                <w:lang w:eastAsia="zh-CN"/>
              </w:rPr>
            </w:r>
          </w:p>
        </w:tc>
        <w:tc>
          <w:tcPr>
            <w:shd w:val="clear" w:color="auto" w:fill="auto"/>
            <w:tcBorders>
              <w:top w:val="single" w:color="000000" w:sz="4" w:space="0"/>
              <w:left w:val="single" w:color="000000" w:sz="4" w:space="0"/>
              <w:bottom w:val="single" w:color="000000" w:sz="4" w:space="0"/>
              <w:right w:val="single" w:color="000000" w:sz="4" w:space="0"/>
            </w:tcBorders>
            <w:tcW w:w="6095" w:type="dxa"/>
            <w:vAlign w:val="center"/>
            <w:textDirection w:val="lrTb"/>
            <w:noWrap w:val="false"/>
          </w:tcPr>
          <w:p>
            <w:pPr>
              <w:pStyle w:val="1453"/>
              <w:numPr>
                <w:ilvl w:val="0"/>
                <w:numId w:val="9"/>
              </w:numPr>
              <w:pBdr/>
              <w:spacing w:after="0" w:before="0" w:line="240" w:lineRule="auto"/>
              <w:ind w:hanging="426" w:left="583"/>
              <w:jc w:val="left"/>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业务描述，包括企业所属行业的发展概况、产业政策、行业限制等影响企业和行业的主要经济和法律问题，主要竞争者等；</w:t>
            </w:r>
            <w:r>
              <w:rPr>
                <w:rFonts w:ascii="Arial Narrow" w:hAnsi="Arial Narrow" w:eastAsia="仿宋_GB2312" w:cs="Arial"/>
                <w:sz w:val="20"/>
                <w:szCs w:val="20"/>
                <w:lang w:eastAsia="zh-CN"/>
              </w:rPr>
            </w:r>
          </w:p>
        </w:tc>
        <w:tc>
          <w:tcPr>
            <w:shd w:val="clear" w:color="auto" w:fill="auto"/>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1453"/>
              <w:pBdr/>
              <w:spacing w:after="60" w:before="60"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2.2</w:t>
            </w:r>
            <w:r>
              <w:rPr>
                <w:rFonts w:ascii="Arial Narrow" w:hAnsi="Arial Narrow" w:eastAsia="仿宋_GB2312" w:cs="Arial"/>
                <w:sz w:val="20"/>
                <w:szCs w:val="20"/>
                <w:lang w:eastAsia="zh-CN"/>
              </w:rPr>
            </w:r>
          </w:p>
          <w:p>
            <w:pPr>
              <w:pStyle w:val="1453"/>
              <w:pBdr/>
              <w:spacing w:after="60" w:before="60"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3</w:t>
            </w:r>
            <w:r>
              <w:rPr>
                <w:rFonts w:ascii="Arial Narrow" w:hAnsi="Arial Narrow" w:eastAsia="仿宋_GB2312" w:cs="Arial"/>
                <w:sz w:val="20"/>
                <w:szCs w:val="20"/>
                <w:lang w:eastAsia="zh-CN"/>
              </w:rPr>
            </w:r>
          </w:p>
        </w:tc>
      </w:tr>
      <w:tr>
        <w:trPr>
          <w:trHeight w:val="737"/>
        </w:trPr>
        <w:tc>
          <w:tcPr>
            <w:shd w:val="clear" w:color="auto" w:fill="auto"/>
            <w:tcBorders>
              <w:top w:val="single" w:color="000000" w:sz="4" w:space="0"/>
              <w:left w:val="single" w:color="000000" w:sz="4" w:space="0"/>
              <w:bottom w:val="single" w:color="000000" w:sz="4" w:space="0"/>
              <w:right w:val="single" w:color="000000" w:sz="4" w:space="0"/>
            </w:tcBorders>
            <w:tcW w:w="988" w:type="dxa"/>
            <w:vAlign w:val="center"/>
            <w:vMerge w:val="continue"/>
            <w:textDirection w:val="lrTb"/>
            <w:noWrap w:val="false"/>
          </w:tcPr>
          <w:p>
            <w:pPr>
              <w:pStyle w:val="1453"/>
              <w:pBdr/>
              <w:spacing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r>
            <w:r>
              <w:rPr>
                <w:rFonts w:ascii="Arial Narrow" w:hAnsi="Arial Narrow" w:eastAsia="仿宋_GB2312" w:cs="Arial"/>
                <w:sz w:val="20"/>
                <w:szCs w:val="20"/>
                <w:lang w:eastAsia="zh-CN"/>
              </w:rPr>
            </w:r>
          </w:p>
        </w:tc>
        <w:tc>
          <w:tcPr>
            <w:shd w:val="clear" w:color="auto" w:fill="ddebf7"/>
            <w:tcBorders>
              <w:top w:val="single" w:color="000000" w:sz="4" w:space="0"/>
              <w:left w:val="single" w:color="000000" w:sz="4" w:space="0"/>
              <w:bottom w:val="single" w:color="000000" w:sz="4" w:space="0"/>
              <w:right w:val="single" w:color="000000" w:sz="4" w:space="0"/>
            </w:tcBorders>
            <w:tcW w:w="6095" w:type="dxa"/>
            <w:vAlign w:val="center"/>
            <w:textDirection w:val="lrTb"/>
            <w:noWrap w:val="false"/>
          </w:tcPr>
          <w:p>
            <w:pPr>
              <w:pStyle w:val="1453"/>
              <w:numPr>
                <w:ilvl w:val="0"/>
                <w:numId w:val="9"/>
              </w:numPr>
              <w:pBdr/>
              <w:spacing w:after="0" w:before="0" w:line="240" w:lineRule="auto"/>
              <w:ind w:hanging="426" w:left="583"/>
              <w:jc w:val="left"/>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经营策略，包括企业各部门、各环节的业务流程，运营模式，价值贡献因素等；</w:t>
            </w:r>
            <w:r>
              <w:rPr>
                <w:rFonts w:ascii="Arial Narrow" w:hAnsi="Arial Narrow" w:eastAsia="仿宋_GB2312" w:cs="Arial"/>
                <w:sz w:val="20"/>
                <w:szCs w:val="20"/>
                <w:lang w:eastAsia="zh-CN"/>
              </w:rPr>
            </w:r>
          </w:p>
        </w:tc>
        <w:tc>
          <w:tcPr>
            <w:shd w:val="clear" w:color="auto" w:fill="ddebf7"/>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1453"/>
              <w:pBdr/>
              <w:spacing w:after="60" w:before="60"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2.2</w:t>
            </w:r>
            <w:r>
              <w:rPr>
                <w:rFonts w:ascii="Arial Narrow" w:hAnsi="Arial Narrow" w:eastAsia="仿宋_GB2312" w:cs="Arial"/>
                <w:sz w:val="20"/>
                <w:szCs w:val="20"/>
                <w:lang w:eastAsia="zh-CN"/>
              </w:rPr>
            </w:r>
          </w:p>
          <w:p>
            <w:pPr>
              <w:pStyle w:val="1453"/>
              <w:pBdr/>
              <w:spacing w:after="60" w:before="60"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6</w:t>
            </w:r>
            <w:r>
              <w:rPr>
                <w:rFonts w:ascii="Arial Narrow" w:hAnsi="Arial Narrow" w:eastAsia="仿宋_GB2312" w:cs="Arial"/>
                <w:sz w:val="20"/>
                <w:szCs w:val="20"/>
                <w:lang w:eastAsia="zh-CN"/>
              </w:rPr>
            </w:r>
          </w:p>
        </w:tc>
      </w:tr>
      <w:tr>
        <w:trPr>
          <w:trHeight w:val="593"/>
        </w:trPr>
        <w:tc>
          <w:tcPr>
            <w:shd w:val="clear" w:color="auto" w:fill="auto"/>
            <w:tcBorders>
              <w:top w:val="single" w:color="000000" w:sz="4" w:space="0"/>
              <w:left w:val="single" w:color="000000" w:sz="4" w:space="0"/>
              <w:bottom w:val="single" w:color="000000" w:sz="4" w:space="0"/>
              <w:right w:val="single" w:color="000000" w:sz="4" w:space="0"/>
            </w:tcBorders>
            <w:tcW w:w="988" w:type="dxa"/>
            <w:vAlign w:val="center"/>
            <w:vMerge w:val="continue"/>
            <w:textDirection w:val="lrTb"/>
            <w:noWrap w:val="false"/>
          </w:tcPr>
          <w:p>
            <w:pPr>
              <w:pStyle w:val="1453"/>
              <w:pBdr/>
              <w:spacing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r>
            <w:r>
              <w:rPr>
                <w:rFonts w:ascii="Arial Narrow" w:hAnsi="Arial Narrow" w:eastAsia="仿宋_GB2312" w:cs="Arial"/>
                <w:sz w:val="20"/>
                <w:szCs w:val="20"/>
                <w:lang w:eastAsia="zh-CN"/>
              </w:rPr>
            </w:r>
          </w:p>
        </w:tc>
        <w:tc>
          <w:tcPr>
            <w:shd w:val="clear" w:color="auto" w:fill="auto"/>
            <w:tcBorders>
              <w:top w:val="single" w:color="000000" w:sz="4" w:space="0"/>
              <w:left w:val="single" w:color="000000" w:sz="4" w:space="0"/>
              <w:bottom w:val="single" w:color="000000" w:sz="4" w:space="0"/>
              <w:right w:val="single" w:color="000000" w:sz="4" w:space="0"/>
            </w:tcBorders>
            <w:tcW w:w="6095" w:type="dxa"/>
            <w:vAlign w:val="center"/>
            <w:textDirection w:val="lrTb"/>
            <w:noWrap w:val="false"/>
          </w:tcPr>
          <w:p>
            <w:pPr>
              <w:pStyle w:val="1453"/>
              <w:numPr>
                <w:ilvl w:val="0"/>
                <w:numId w:val="9"/>
              </w:numPr>
              <w:pBdr/>
              <w:spacing w:after="0" w:before="0" w:line="240" w:lineRule="auto"/>
              <w:ind w:hanging="426" w:left="583"/>
              <w:jc w:val="left"/>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财务数据，包括企业不同类型业务及产品的收入、成本、费用及利润；</w:t>
            </w:r>
            <w:r>
              <w:rPr>
                <w:rFonts w:ascii="Arial Narrow" w:hAnsi="Arial Narrow" w:eastAsia="仿宋_GB2312" w:cs="Arial"/>
                <w:sz w:val="20"/>
                <w:szCs w:val="20"/>
                <w:lang w:eastAsia="zh-CN"/>
              </w:rPr>
            </w:r>
          </w:p>
        </w:tc>
        <w:tc>
          <w:tcPr>
            <w:shd w:val="clear" w:color="auto" w:fill="auto"/>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1453"/>
              <w:pBdr/>
              <w:spacing w:after="60" w:before="60"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2.3</w:t>
            </w:r>
            <w:r>
              <w:rPr>
                <w:rFonts w:ascii="Arial Narrow" w:hAnsi="Arial Narrow" w:eastAsia="仿宋_GB2312" w:cs="Arial"/>
                <w:sz w:val="20"/>
                <w:szCs w:val="20"/>
                <w:lang w:eastAsia="zh-CN"/>
              </w:rPr>
            </w:r>
          </w:p>
        </w:tc>
      </w:tr>
      <w:tr>
        <w:trPr>
          <w:trHeight w:val="647"/>
        </w:trPr>
        <w:tc>
          <w:tcPr>
            <w:shd w:val="clear" w:color="auto" w:fill="auto"/>
            <w:tcBorders>
              <w:top w:val="single" w:color="000000" w:sz="4" w:space="0"/>
              <w:left w:val="single" w:color="000000" w:sz="4" w:space="0"/>
              <w:bottom w:val="single" w:color="000000" w:sz="4" w:space="0"/>
              <w:right w:val="single" w:color="000000" w:sz="4" w:space="0"/>
            </w:tcBorders>
            <w:tcW w:w="988" w:type="dxa"/>
            <w:vAlign w:val="center"/>
            <w:vMerge w:val="continue"/>
            <w:textDirection w:val="lrTb"/>
            <w:noWrap w:val="false"/>
          </w:tcPr>
          <w:p>
            <w:pPr>
              <w:pStyle w:val="1453"/>
              <w:pBdr/>
              <w:spacing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r>
            <w:r>
              <w:rPr>
                <w:rFonts w:ascii="Arial Narrow" w:hAnsi="Arial Narrow" w:eastAsia="仿宋_GB2312" w:cs="Arial"/>
                <w:sz w:val="20"/>
                <w:szCs w:val="20"/>
                <w:lang w:eastAsia="zh-CN"/>
              </w:rPr>
            </w:r>
          </w:p>
        </w:tc>
        <w:tc>
          <w:tcPr>
            <w:shd w:val="clear" w:color="auto" w:fill="ddebf7"/>
            <w:tcBorders>
              <w:top w:val="single" w:color="000000" w:sz="4" w:space="0"/>
              <w:left w:val="single" w:color="000000" w:sz="4" w:space="0"/>
              <w:bottom w:val="single" w:color="000000" w:sz="4" w:space="0"/>
              <w:right w:val="single" w:color="000000" w:sz="4" w:space="0"/>
            </w:tcBorders>
            <w:tcW w:w="6095" w:type="dxa"/>
            <w:vAlign w:val="center"/>
            <w:textDirection w:val="lrTb"/>
            <w:noWrap w:val="false"/>
          </w:tcPr>
          <w:p>
            <w:pPr>
              <w:pStyle w:val="1453"/>
              <w:numPr>
                <w:ilvl w:val="0"/>
                <w:numId w:val="9"/>
              </w:numPr>
              <w:pBdr/>
              <w:spacing w:after="0" w:before="0" w:line="240" w:lineRule="auto"/>
              <w:ind w:hanging="426" w:left="583"/>
              <w:jc w:val="left"/>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涉及本企业或者对本企业产生影响的重组或者无形资产转让情况，以及对本企业的影响分析；</w:t>
            </w:r>
            <w:r>
              <w:rPr>
                <w:rFonts w:ascii="Arial Narrow" w:hAnsi="Arial Narrow" w:eastAsia="仿宋_GB2312" w:cs="Arial"/>
                <w:sz w:val="20"/>
                <w:szCs w:val="20"/>
                <w:lang w:eastAsia="zh-CN"/>
              </w:rPr>
            </w:r>
          </w:p>
        </w:tc>
        <w:tc>
          <w:tcPr>
            <w:shd w:val="clear" w:color="auto" w:fill="ddebf7"/>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1453"/>
              <w:pBdr/>
              <w:spacing w:after="60" w:before="60"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2.4</w:t>
            </w:r>
            <w:r>
              <w:rPr>
                <w:rFonts w:ascii="Arial Narrow" w:hAnsi="Arial Narrow" w:eastAsia="仿宋_GB2312" w:cs="Arial"/>
                <w:sz w:val="20"/>
                <w:szCs w:val="20"/>
                <w:lang w:eastAsia="zh-CN"/>
              </w:rPr>
            </w:r>
          </w:p>
        </w:tc>
      </w:tr>
      <w:tr>
        <w:trPr/>
        <w:tc>
          <w:tcPr>
            <w:shd w:val="clear" w:color="auto" w:fill="auto"/>
            <w:tcBorders>
              <w:top w:val="single" w:color="000000" w:sz="4" w:space="0"/>
              <w:left w:val="single" w:color="000000" w:sz="4" w:space="0"/>
              <w:bottom w:val="single" w:color="000000" w:sz="4" w:space="0"/>
              <w:right w:val="single" w:color="000000" w:sz="4" w:space="0"/>
            </w:tcBorders>
            <w:tcW w:w="988" w:type="dxa"/>
            <w:vAlign w:val="center"/>
            <w:vMerge w:val="restart"/>
            <w:textDirection w:val="lrTb"/>
            <w:noWrap w:val="false"/>
          </w:tcPr>
          <w:p>
            <w:pPr>
              <w:pStyle w:val="1453"/>
              <w:pBdr/>
              <w:spacing w:line="240" w:lineRule="auto"/>
              <w:ind w:firstLine="0"/>
              <w:jc w:val="center"/>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（二）关联关系</w:t>
            </w:r>
            <w:r>
              <w:rPr>
                <w:rFonts w:ascii="Arial Narrow" w:hAnsi="Arial Narrow" w:eastAsia="仿宋_GB2312" w:cs="Arial"/>
                <w:sz w:val="20"/>
                <w:szCs w:val="20"/>
                <w:lang w:eastAsia="zh-CN"/>
              </w:rPr>
            </w:r>
          </w:p>
        </w:tc>
        <w:tc>
          <w:tcPr>
            <w:shd w:val="clear" w:color="auto" w:fill="auto"/>
            <w:tcBorders>
              <w:top w:val="single" w:color="000000" w:sz="4" w:space="0"/>
              <w:left w:val="single" w:color="000000" w:sz="4" w:space="0"/>
              <w:bottom w:val="single" w:color="000000" w:sz="4" w:space="0"/>
              <w:right w:val="single" w:color="000000" w:sz="4" w:space="0"/>
            </w:tcBorders>
            <w:tcW w:w="6095" w:type="dxa"/>
            <w:vAlign w:val="center"/>
            <w:textDirection w:val="lrTb"/>
            <w:noWrap w:val="false"/>
          </w:tcPr>
          <w:p>
            <w:pPr>
              <w:pStyle w:val="1453"/>
              <w:numPr>
                <w:ilvl w:val="0"/>
                <w:numId w:val="10"/>
              </w:numPr>
              <w:pBdr/>
              <w:spacing w:after="0" w:before="0" w:line="240" w:lineRule="auto"/>
              <w:ind w:hanging="425" w:left="600"/>
              <w:jc w:val="left"/>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关联方信息，包括直接或者间接拥有企业股权的关联方，以及与企业发生交易的关联方，内容涵盖关联方名称、法定代表人、高级管理人员的构成情况、注册地址、实际经营地址，以及关联个人的姓名、国籍、居住地等情况。</w:t>
            </w:r>
            <w:r>
              <w:rPr>
                <w:rFonts w:ascii="Arial Narrow" w:hAnsi="Arial Narrow" w:eastAsia="仿宋_GB2312" w:cs="Arial"/>
                <w:sz w:val="20"/>
                <w:szCs w:val="20"/>
                <w:lang w:eastAsia="zh-CN"/>
              </w:rPr>
            </w:r>
          </w:p>
        </w:tc>
        <w:tc>
          <w:tcPr>
            <w:shd w:val="clear" w:color="auto" w:fill="auto"/>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1453"/>
              <w:pBdr/>
              <w:spacing w:after="60" w:before="60"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4.1</w:t>
            </w:r>
            <w:r>
              <w:rPr>
                <w:rFonts w:ascii="Arial Narrow" w:hAnsi="Arial Narrow" w:eastAsia="仿宋_GB2312" w:cs="Arial"/>
                <w:sz w:val="20"/>
                <w:szCs w:val="20"/>
                <w:lang w:eastAsia="zh-CN"/>
              </w:rPr>
            </w:r>
          </w:p>
        </w:tc>
      </w:tr>
      <w:tr>
        <w:trPr/>
        <w:tc>
          <w:tcPr>
            <w:shd w:val="clear" w:color="auto" w:fill="auto"/>
            <w:tcBorders>
              <w:top w:val="single" w:color="000000" w:sz="4" w:space="0"/>
              <w:left w:val="single" w:color="000000" w:sz="4" w:space="0"/>
              <w:bottom w:val="single" w:color="000000" w:sz="4" w:space="0"/>
              <w:right w:val="single" w:color="000000" w:sz="4" w:space="0"/>
            </w:tcBorders>
            <w:tcW w:w="988" w:type="dxa"/>
            <w:vAlign w:val="center"/>
            <w:vMerge w:val="continue"/>
            <w:textDirection w:val="lrTb"/>
            <w:noWrap w:val="false"/>
          </w:tcPr>
          <w:p>
            <w:pPr>
              <w:pStyle w:val="1453"/>
              <w:pBdr/>
              <w:spacing w:line="240" w:lineRule="auto"/>
              <w:ind w:firstLine="0"/>
              <w:jc w:val="center"/>
              <w:rPr>
                <w:rFonts w:ascii="Arial Narrow" w:hAnsi="Arial Narrow" w:eastAsia="仿宋_GB2312" w:cs="Arial"/>
                <w:sz w:val="20"/>
                <w:szCs w:val="20"/>
                <w:lang w:eastAsia="zh-CN"/>
              </w:rPr>
            </w:pPr>
            <w:r>
              <w:rPr>
                <w:rFonts w:ascii="Arial Narrow" w:hAnsi="Arial Narrow" w:eastAsia="仿宋_GB2312" w:cs="Arial"/>
                <w:sz w:val="20"/>
                <w:szCs w:val="20"/>
                <w:lang w:eastAsia="zh-CN"/>
              </w:rPr>
            </w:r>
            <w:r>
              <w:rPr>
                <w:rFonts w:ascii="Arial Narrow" w:hAnsi="Arial Narrow" w:eastAsia="仿宋_GB2312" w:cs="Arial"/>
                <w:sz w:val="20"/>
                <w:szCs w:val="20"/>
                <w:lang w:eastAsia="zh-CN"/>
              </w:rPr>
            </w:r>
          </w:p>
        </w:tc>
        <w:tc>
          <w:tcPr>
            <w:shd w:val="clear" w:color="auto" w:fill="ddebf7"/>
            <w:tcBorders>
              <w:top w:val="single" w:color="000000" w:sz="4" w:space="0"/>
              <w:left w:val="single" w:color="000000" w:sz="4" w:space="0"/>
              <w:bottom w:val="single" w:color="000000" w:sz="4" w:space="0"/>
              <w:right w:val="single" w:color="000000" w:sz="4" w:space="0"/>
            </w:tcBorders>
            <w:tcW w:w="6095" w:type="dxa"/>
            <w:vAlign w:val="center"/>
            <w:textDirection w:val="lrTb"/>
            <w:noWrap w:val="false"/>
          </w:tcPr>
          <w:p>
            <w:pPr>
              <w:pStyle w:val="1453"/>
              <w:numPr>
                <w:ilvl w:val="0"/>
                <w:numId w:val="10"/>
              </w:numPr>
              <w:pBdr/>
              <w:spacing w:after="0" w:before="0" w:line="240" w:lineRule="auto"/>
              <w:ind w:hanging="425" w:left="600"/>
              <w:jc w:val="left"/>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上述关联方适用的具有所得税性质的税种、税率及相应可享受的税收优惠。</w:t>
            </w:r>
            <w:r>
              <w:rPr>
                <w:rFonts w:ascii="Arial Narrow" w:hAnsi="Arial Narrow" w:eastAsia="仿宋_GB2312" w:cs="Arial"/>
                <w:sz w:val="20"/>
                <w:szCs w:val="20"/>
                <w:lang w:eastAsia="zh-CN"/>
              </w:rPr>
            </w:r>
          </w:p>
        </w:tc>
        <w:tc>
          <w:tcPr>
            <w:shd w:val="clear" w:color="auto" w:fill="ddebf7"/>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1453"/>
              <w:pBdr/>
              <w:spacing w:after="60" w:before="60"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4.1</w:t>
            </w:r>
            <w:r>
              <w:rPr>
                <w:rFonts w:ascii="Arial Narrow" w:hAnsi="Arial Narrow" w:eastAsia="仿宋_GB2312" w:cs="Arial"/>
                <w:sz w:val="20"/>
                <w:szCs w:val="20"/>
                <w:lang w:eastAsia="zh-CN"/>
              </w:rPr>
            </w:r>
          </w:p>
        </w:tc>
      </w:tr>
      <w:tr>
        <w:trPr/>
        <w:tc>
          <w:tcPr>
            <w:shd w:val="clear" w:color="auto" w:fill="auto"/>
            <w:tcBorders>
              <w:top w:val="single" w:color="000000" w:sz="4" w:space="0"/>
              <w:left w:val="single" w:color="000000" w:sz="4" w:space="0"/>
              <w:bottom w:val="single" w:color="000000" w:sz="4" w:space="0"/>
              <w:right w:val="single" w:color="000000" w:sz="4" w:space="0"/>
            </w:tcBorders>
            <w:tcW w:w="988" w:type="dxa"/>
            <w:vAlign w:val="center"/>
            <w:vMerge w:val="continue"/>
            <w:textDirection w:val="lrTb"/>
            <w:noWrap w:val="false"/>
          </w:tcPr>
          <w:p>
            <w:pPr>
              <w:pStyle w:val="1453"/>
              <w:pBdr/>
              <w:spacing w:line="240" w:lineRule="auto"/>
              <w:ind w:firstLine="0"/>
              <w:jc w:val="center"/>
              <w:rPr>
                <w:rFonts w:ascii="Arial Narrow" w:hAnsi="Arial Narrow" w:eastAsia="仿宋_GB2312" w:cs="Arial"/>
                <w:sz w:val="20"/>
                <w:szCs w:val="20"/>
                <w:lang w:eastAsia="zh-CN"/>
              </w:rPr>
            </w:pPr>
            <w:r>
              <w:rPr>
                <w:rFonts w:ascii="Arial Narrow" w:hAnsi="Arial Narrow" w:eastAsia="仿宋_GB2312" w:cs="Arial"/>
                <w:sz w:val="20"/>
                <w:szCs w:val="20"/>
                <w:lang w:eastAsia="zh-CN"/>
              </w:rPr>
            </w:r>
            <w:r>
              <w:rPr>
                <w:rFonts w:ascii="Arial Narrow" w:hAnsi="Arial Narrow" w:eastAsia="仿宋_GB2312" w:cs="Arial"/>
                <w:sz w:val="20"/>
                <w:szCs w:val="20"/>
                <w:lang w:eastAsia="zh-CN"/>
              </w:rPr>
            </w:r>
          </w:p>
        </w:tc>
        <w:tc>
          <w:tcPr>
            <w:shd w:val="clear" w:color="auto" w:fill="auto"/>
            <w:tcBorders>
              <w:top w:val="single" w:color="000000" w:sz="4" w:space="0"/>
              <w:left w:val="single" w:color="000000" w:sz="4" w:space="0"/>
              <w:bottom w:val="single" w:color="000000" w:sz="4" w:space="0"/>
              <w:right w:val="single" w:color="000000" w:sz="4" w:space="0"/>
            </w:tcBorders>
            <w:tcW w:w="6095" w:type="dxa"/>
            <w:vAlign w:val="center"/>
            <w:textDirection w:val="lrTb"/>
            <w:noWrap w:val="false"/>
          </w:tcPr>
          <w:p>
            <w:pPr>
              <w:pStyle w:val="1453"/>
              <w:numPr>
                <w:ilvl w:val="0"/>
                <w:numId w:val="10"/>
              </w:numPr>
              <w:pBdr/>
              <w:spacing w:after="0" w:before="0" w:line="240" w:lineRule="auto"/>
              <w:ind w:hanging="425" w:left="600"/>
              <w:jc w:val="left"/>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本会计年度内，企业关联关系的变化情况。</w:t>
            </w:r>
            <w:r>
              <w:rPr>
                <w:rFonts w:ascii="Arial Narrow" w:hAnsi="Arial Narrow" w:eastAsia="仿宋_GB2312" w:cs="Arial"/>
                <w:sz w:val="20"/>
                <w:szCs w:val="20"/>
                <w:lang w:eastAsia="zh-CN"/>
              </w:rPr>
            </w:r>
          </w:p>
        </w:tc>
        <w:tc>
          <w:tcPr>
            <w:shd w:val="clear" w:color="auto" w:fill="auto"/>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1453"/>
              <w:keepNext w:val="true"/>
              <w:pBdr/>
              <w:spacing w:after="60" w:before="60"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4.1</w:t>
            </w:r>
            <w:r>
              <w:rPr>
                <w:rFonts w:ascii="Arial Narrow" w:hAnsi="Arial Narrow" w:eastAsia="仿宋_GB2312" w:cs="Arial"/>
                <w:sz w:val="20"/>
                <w:szCs w:val="20"/>
                <w:lang w:eastAsia="zh-CN"/>
              </w:rPr>
            </w:r>
          </w:p>
        </w:tc>
      </w:tr>
      <w:tr>
        <w:trPr/>
        <w:tc>
          <w:tcPr>
            <w:shd w:val="clear" w:color="auto" w:fill="ddebf7"/>
            <w:tcBorders>
              <w:top w:val="single" w:color="000000" w:sz="4" w:space="0"/>
              <w:left w:val="single" w:color="000000" w:sz="4" w:space="0"/>
              <w:bottom w:val="single" w:color="000000" w:sz="4" w:space="0"/>
              <w:right w:val="single" w:color="000000" w:sz="4" w:space="0"/>
            </w:tcBorders>
            <w:tcW w:w="988" w:type="dxa"/>
            <w:vAlign w:val="center"/>
            <w:vMerge w:val="restart"/>
            <w:textDirection w:val="lrTb"/>
            <w:noWrap w:val="false"/>
          </w:tcPr>
          <w:p>
            <w:pPr>
              <w:pStyle w:val="1453"/>
              <w:pBdr/>
              <w:spacing w:line="240" w:lineRule="auto"/>
              <w:ind w:firstLine="0"/>
              <w:jc w:val="center"/>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（三）关联交易</w:t>
            </w:r>
            <w:r>
              <w:rPr>
                <w:rFonts w:ascii="Arial Narrow" w:hAnsi="Arial Narrow" w:eastAsia="仿宋_GB2312" w:cs="Arial"/>
                <w:sz w:val="20"/>
                <w:szCs w:val="20"/>
                <w:lang w:eastAsia="zh-CN"/>
              </w:rPr>
            </w:r>
          </w:p>
          <w:p>
            <w:pPr>
              <w:pStyle w:val="1453"/>
              <w:pBdr/>
              <w:spacing w:line="240" w:lineRule="auto"/>
              <w:ind w:firstLine="0"/>
              <w:jc w:val="center"/>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1.关联交易概况</w:t>
            </w:r>
            <w:r>
              <w:rPr>
                <w:rFonts w:ascii="Arial Narrow" w:hAnsi="Arial Narrow" w:eastAsia="仿宋_GB2312" w:cs="Arial"/>
                <w:sz w:val="20"/>
                <w:szCs w:val="20"/>
                <w:lang w:eastAsia="zh-CN"/>
              </w:rPr>
            </w:r>
            <w:r>
              <w:rPr>
                <w:rFonts w:ascii="Arial Narrow" w:hAnsi="Arial Narrow" w:eastAsia="仿宋_GB2312" w:cs="Arial"/>
                <w:sz w:val="20"/>
                <w:szCs w:val="20"/>
                <w:lang w:eastAsia="zh-CN"/>
              </w:rPr>
            </w:r>
          </w:p>
        </w:tc>
        <w:tc>
          <w:tcPr>
            <w:shd w:val="clear" w:color="auto" w:fill="ddebf7"/>
            <w:tcBorders>
              <w:top w:val="single" w:color="000000" w:sz="4" w:space="0"/>
              <w:left w:val="single" w:color="000000" w:sz="4" w:space="0"/>
              <w:bottom w:val="single" w:color="000000" w:sz="4" w:space="0"/>
              <w:right w:val="single" w:color="000000" w:sz="4" w:space="0"/>
            </w:tcBorders>
            <w:tcW w:w="6095" w:type="dxa"/>
            <w:vAlign w:val="center"/>
            <w:textDirection w:val="lrTb"/>
            <w:noWrap w:val="false"/>
          </w:tcPr>
          <w:p>
            <w:pPr>
              <w:pStyle w:val="1453"/>
              <w:numPr>
                <w:ilvl w:val="0"/>
                <w:numId w:val="11"/>
              </w:numPr>
              <w:pBdr/>
              <w:spacing w:after="0" w:before="0" w:line="240" w:lineRule="auto"/>
              <w:ind w:hanging="425" w:left="600"/>
              <w:jc w:val="left"/>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关联交易描述和明细，包括关联交易相关合同或者协议副本及其执行情况的说明，交易标的的特性，关联交易的类型、参与方、时间、金额、结算货币、交易条件、贸易形式，以及关联交易与非关联交易业务的异同等。</w:t>
            </w:r>
            <w:r>
              <w:rPr>
                <w:rFonts w:ascii="Arial Narrow" w:hAnsi="Arial Narrow" w:eastAsia="仿宋_GB2312" w:cs="Arial"/>
                <w:sz w:val="20"/>
                <w:szCs w:val="20"/>
                <w:lang w:eastAsia="zh-CN"/>
              </w:rPr>
            </w:r>
          </w:p>
        </w:tc>
        <w:tc>
          <w:tcPr>
            <w:shd w:val="clear" w:color="auto" w:fill="ddebf7"/>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1453"/>
              <w:pBdr/>
              <w:spacing w:after="60" w:before="60"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4.2</w:t>
            </w:r>
            <w:r>
              <w:rPr>
                <w:rFonts w:ascii="Arial Narrow" w:hAnsi="Arial Narrow" w:eastAsia="仿宋_GB2312" w:cs="Arial"/>
                <w:sz w:val="20"/>
                <w:szCs w:val="20"/>
                <w:lang w:eastAsia="zh-CN"/>
              </w:rPr>
            </w:r>
          </w:p>
          <w:p>
            <w:pPr>
              <w:pStyle w:val="1453"/>
              <w:pBdr/>
              <w:spacing w:after="60" w:before="60"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4.3</w:t>
            </w:r>
            <w:r>
              <w:rPr>
                <w:rFonts w:ascii="Arial Narrow" w:hAnsi="Arial Narrow" w:eastAsia="仿宋_GB2312" w:cs="Arial"/>
                <w:sz w:val="20"/>
                <w:szCs w:val="20"/>
                <w:lang w:eastAsia="zh-CN"/>
              </w:rPr>
            </w:r>
          </w:p>
          <w:p>
            <w:pPr>
              <w:pStyle w:val="1453"/>
              <w:pBdr/>
              <w:spacing w:after="60" w:before="60"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4.4</w:t>
            </w:r>
            <w:r>
              <w:rPr>
                <w:rFonts w:ascii="Arial Narrow" w:hAnsi="Arial Narrow" w:eastAsia="仿宋_GB2312" w:cs="Arial"/>
                <w:sz w:val="20"/>
                <w:szCs w:val="20"/>
                <w:lang w:eastAsia="zh-CN"/>
              </w:rPr>
            </w:r>
          </w:p>
          <w:p>
            <w:pPr>
              <w:pStyle w:val="1453"/>
              <w:pBdr/>
              <w:spacing w:after="60" w:before="60"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4.5</w:t>
            </w:r>
            <w:r>
              <w:rPr>
                <w:rFonts w:ascii="Arial Narrow" w:hAnsi="Arial Narrow" w:eastAsia="仿宋_GB2312" w:cs="Arial"/>
                <w:sz w:val="20"/>
                <w:szCs w:val="20"/>
                <w:lang w:eastAsia="zh-CN"/>
              </w:rPr>
            </w:r>
          </w:p>
        </w:tc>
      </w:tr>
      <w:tr>
        <w:trPr/>
        <w:tc>
          <w:tcPr>
            <w:shd w:val="clear" w:color="auto" w:fill="auto"/>
            <w:tcBorders>
              <w:top w:val="single" w:color="000000" w:sz="4" w:space="0"/>
              <w:left w:val="single" w:color="000000" w:sz="4" w:space="0"/>
              <w:bottom w:val="single" w:color="000000" w:sz="4" w:space="0"/>
              <w:right w:val="single" w:color="000000" w:sz="4" w:space="0"/>
            </w:tcBorders>
            <w:tcW w:w="988" w:type="dxa"/>
            <w:vAlign w:val="center"/>
            <w:vMerge w:val="continue"/>
            <w:textDirection w:val="lrTb"/>
            <w:noWrap w:val="false"/>
          </w:tcPr>
          <w:p>
            <w:pPr>
              <w:pStyle w:val="1453"/>
              <w:pBdr/>
              <w:spacing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r>
            <w:r>
              <w:rPr>
                <w:rFonts w:ascii="Arial Narrow" w:hAnsi="Arial Narrow" w:eastAsia="仿宋_GB2312" w:cs="Arial"/>
                <w:sz w:val="20"/>
                <w:szCs w:val="20"/>
                <w:lang w:eastAsia="zh-CN"/>
              </w:rPr>
            </w:r>
          </w:p>
        </w:tc>
        <w:tc>
          <w:tcPr>
            <w:shd w:val="clear" w:color="auto" w:fill="auto"/>
            <w:tcBorders>
              <w:top w:val="single" w:color="000000" w:sz="4" w:space="0"/>
              <w:left w:val="single" w:color="000000" w:sz="4" w:space="0"/>
              <w:bottom w:val="single" w:color="000000" w:sz="4" w:space="0"/>
              <w:right w:val="single" w:color="000000" w:sz="4" w:space="0"/>
            </w:tcBorders>
            <w:tcW w:w="6095" w:type="dxa"/>
            <w:vAlign w:val="center"/>
            <w:textDirection w:val="lrTb"/>
            <w:noWrap w:val="false"/>
          </w:tcPr>
          <w:p>
            <w:pPr>
              <w:pStyle w:val="1453"/>
              <w:numPr>
                <w:ilvl w:val="0"/>
                <w:numId w:val="11"/>
              </w:numPr>
              <w:pBdr/>
              <w:spacing w:after="0" w:before="0" w:line="240" w:lineRule="auto"/>
              <w:ind w:hanging="425" w:left="600"/>
              <w:jc w:val="left"/>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关联交易流程，包括关联交易的信息流、物流和资金流，与非关联交易业务流程的异同；</w:t>
            </w:r>
            <w:r>
              <w:rPr>
                <w:rFonts w:ascii="Arial Narrow" w:hAnsi="Arial Narrow" w:eastAsia="仿宋_GB2312" w:cs="Arial"/>
                <w:sz w:val="20"/>
                <w:szCs w:val="20"/>
                <w:lang w:eastAsia="zh-CN"/>
              </w:rPr>
            </w:r>
          </w:p>
        </w:tc>
        <w:tc>
          <w:tcPr>
            <w:shd w:val="clear" w:color="auto" w:fill="auto"/>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1453"/>
              <w:pBdr/>
              <w:spacing w:after="60" w:before="60"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4.3</w:t>
            </w:r>
            <w:r>
              <w:rPr>
                <w:rFonts w:ascii="Arial Narrow" w:hAnsi="Arial Narrow" w:eastAsia="仿宋_GB2312" w:cs="Arial"/>
                <w:sz w:val="20"/>
                <w:szCs w:val="20"/>
                <w:lang w:eastAsia="zh-CN"/>
              </w:rPr>
            </w:r>
          </w:p>
          <w:p>
            <w:pPr>
              <w:pStyle w:val="1453"/>
              <w:pBdr/>
              <w:spacing w:after="60" w:before="60"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4.4</w:t>
            </w:r>
            <w:r>
              <w:rPr>
                <w:rFonts w:ascii="Arial Narrow" w:hAnsi="Arial Narrow" w:eastAsia="仿宋_GB2312" w:cs="Arial"/>
                <w:sz w:val="20"/>
                <w:szCs w:val="20"/>
                <w:lang w:eastAsia="zh-CN"/>
              </w:rPr>
            </w:r>
          </w:p>
        </w:tc>
      </w:tr>
      <w:tr>
        <w:trPr/>
        <w:tc>
          <w:tcPr>
            <w:shd w:val="clear" w:color="auto" w:fill="auto"/>
            <w:tcBorders>
              <w:top w:val="single" w:color="000000" w:sz="4" w:space="0"/>
              <w:left w:val="single" w:color="000000" w:sz="4" w:space="0"/>
              <w:bottom w:val="single" w:color="000000" w:sz="4" w:space="0"/>
              <w:right w:val="single" w:color="000000" w:sz="4" w:space="0"/>
            </w:tcBorders>
            <w:tcW w:w="988" w:type="dxa"/>
            <w:vAlign w:val="center"/>
            <w:vMerge w:val="continue"/>
            <w:textDirection w:val="lrTb"/>
            <w:noWrap w:val="false"/>
          </w:tcPr>
          <w:p>
            <w:pPr>
              <w:pStyle w:val="1453"/>
              <w:pBdr/>
              <w:spacing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r>
            <w:r>
              <w:rPr>
                <w:rFonts w:ascii="Arial Narrow" w:hAnsi="Arial Narrow" w:eastAsia="仿宋_GB2312" w:cs="Arial"/>
                <w:sz w:val="20"/>
                <w:szCs w:val="20"/>
                <w:lang w:eastAsia="zh-CN"/>
              </w:rPr>
            </w:r>
          </w:p>
        </w:tc>
        <w:tc>
          <w:tcPr>
            <w:shd w:val="clear" w:color="auto" w:fill="ddebf7"/>
            <w:tcBorders>
              <w:top w:val="single" w:color="000000" w:sz="4" w:space="0"/>
              <w:left w:val="single" w:color="000000" w:sz="4" w:space="0"/>
              <w:bottom w:val="single" w:color="000000" w:sz="4" w:space="0"/>
              <w:right w:val="single" w:color="000000" w:sz="4" w:space="0"/>
            </w:tcBorders>
            <w:tcW w:w="6095" w:type="dxa"/>
            <w:vAlign w:val="center"/>
            <w:textDirection w:val="lrTb"/>
            <w:noWrap w:val="false"/>
          </w:tcPr>
          <w:p>
            <w:pPr>
              <w:pStyle w:val="1453"/>
              <w:numPr>
                <w:ilvl w:val="0"/>
                <w:numId w:val="11"/>
              </w:numPr>
              <w:pBdr/>
              <w:spacing w:after="0" w:before="0" w:line="240" w:lineRule="auto"/>
              <w:ind w:hanging="425" w:left="600"/>
              <w:jc w:val="left"/>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功能风险描述，包括企业及其关联方在各类关联交易中执行的功能、承担的风险和使用的资产；</w:t>
            </w:r>
            <w:r>
              <w:rPr>
                <w:rFonts w:ascii="Arial Narrow" w:hAnsi="Arial Narrow" w:eastAsia="仿宋_GB2312" w:cs="Arial"/>
                <w:sz w:val="20"/>
                <w:szCs w:val="20"/>
                <w:lang w:eastAsia="zh-CN"/>
              </w:rPr>
            </w:r>
          </w:p>
        </w:tc>
        <w:tc>
          <w:tcPr>
            <w:shd w:val="clear" w:color="auto" w:fill="ddebf7"/>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1453"/>
              <w:pBdr/>
              <w:spacing w:after="60" w:before="60"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5</w:t>
            </w:r>
            <w:r>
              <w:rPr>
                <w:rFonts w:ascii="Arial Narrow" w:hAnsi="Arial Narrow" w:eastAsia="仿宋_GB2312" w:cs="Arial"/>
                <w:sz w:val="20"/>
                <w:szCs w:val="20"/>
                <w:lang w:eastAsia="zh-CN"/>
              </w:rPr>
            </w:r>
          </w:p>
        </w:tc>
      </w:tr>
      <w:tr>
        <w:trPr/>
        <w:tc>
          <w:tcPr>
            <w:shd w:val="clear" w:color="auto" w:fill="auto"/>
            <w:tcBorders>
              <w:top w:val="single" w:color="000000" w:sz="4" w:space="0"/>
              <w:left w:val="single" w:color="000000" w:sz="4" w:space="0"/>
              <w:bottom w:val="single" w:color="000000" w:sz="4" w:space="0"/>
              <w:right w:val="single" w:color="000000" w:sz="4" w:space="0"/>
            </w:tcBorders>
            <w:tcW w:w="988" w:type="dxa"/>
            <w:vAlign w:val="center"/>
            <w:vMerge w:val="continue"/>
            <w:textDirection w:val="lrTb"/>
            <w:noWrap w:val="false"/>
          </w:tcPr>
          <w:p>
            <w:pPr>
              <w:pStyle w:val="1453"/>
              <w:pBdr/>
              <w:spacing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r>
            <w:r>
              <w:rPr>
                <w:rFonts w:ascii="Arial Narrow" w:hAnsi="Arial Narrow" w:eastAsia="仿宋_GB2312" w:cs="Arial"/>
                <w:sz w:val="20"/>
                <w:szCs w:val="20"/>
                <w:lang w:eastAsia="zh-CN"/>
              </w:rPr>
            </w:r>
          </w:p>
        </w:tc>
        <w:tc>
          <w:tcPr>
            <w:shd w:val="clear" w:color="auto" w:fill="auto"/>
            <w:tcBorders>
              <w:top w:val="single" w:color="000000" w:sz="4" w:space="0"/>
              <w:left w:val="single" w:color="000000" w:sz="4" w:space="0"/>
              <w:bottom w:val="single" w:color="000000" w:sz="4" w:space="0"/>
              <w:right w:val="single" w:color="000000" w:sz="4" w:space="0"/>
            </w:tcBorders>
            <w:tcW w:w="6095" w:type="dxa"/>
            <w:vAlign w:val="center"/>
            <w:textDirection w:val="lrTb"/>
            <w:noWrap w:val="false"/>
          </w:tcPr>
          <w:p>
            <w:pPr>
              <w:pStyle w:val="1453"/>
              <w:numPr>
                <w:ilvl w:val="0"/>
                <w:numId w:val="11"/>
              </w:numPr>
              <w:pBdr/>
              <w:spacing w:after="0" w:before="0" w:line="240" w:lineRule="auto"/>
              <w:ind w:hanging="425" w:left="600"/>
              <w:jc w:val="left"/>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r>
              <w:rPr>
                <w:rFonts w:ascii="Arial Narrow" w:hAnsi="Arial Narrow" w:eastAsia="仿宋_GB2312" w:cs="Arial"/>
                <w:sz w:val="20"/>
                <w:szCs w:val="20"/>
                <w:lang w:eastAsia="zh-CN"/>
              </w:rPr>
            </w:r>
          </w:p>
        </w:tc>
        <w:tc>
          <w:tcPr>
            <w:shd w:val="clear" w:color="auto" w:fill="auto"/>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1453"/>
              <w:pBdr/>
              <w:spacing w:after="60" w:before="60"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6.3</w:t>
            </w:r>
            <w:r>
              <w:rPr>
                <w:rFonts w:ascii="Arial Narrow" w:hAnsi="Arial Narrow" w:eastAsia="仿宋_GB2312" w:cs="Arial"/>
                <w:sz w:val="20"/>
                <w:szCs w:val="20"/>
                <w:lang w:eastAsia="zh-CN"/>
              </w:rPr>
            </w:r>
          </w:p>
        </w:tc>
      </w:tr>
      <w:tr>
        <w:trPr/>
        <w:tc>
          <w:tcPr>
            <w:shd w:val="clear" w:color="auto" w:fill="auto"/>
            <w:tcBorders>
              <w:top w:val="single" w:color="000000" w:sz="4" w:space="0"/>
              <w:left w:val="single" w:color="000000" w:sz="4" w:space="0"/>
              <w:bottom w:val="single" w:color="000000" w:sz="4" w:space="0"/>
              <w:right w:val="single" w:color="000000" w:sz="4" w:space="0"/>
            </w:tcBorders>
            <w:tcW w:w="988" w:type="dxa"/>
            <w:vAlign w:val="center"/>
            <w:vMerge w:val="continue"/>
            <w:textDirection w:val="lrTb"/>
            <w:noWrap w:val="false"/>
          </w:tcPr>
          <w:p>
            <w:pPr>
              <w:pStyle w:val="1453"/>
              <w:pBdr/>
              <w:spacing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r>
            <w:r>
              <w:rPr>
                <w:rFonts w:ascii="Arial Narrow" w:hAnsi="Arial Narrow" w:eastAsia="仿宋_GB2312" w:cs="Arial"/>
                <w:sz w:val="20"/>
                <w:szCs w:val="20"/>
                <w:lang w:eastAsia="zh-CN"/>
              </w:rPr>
            </w:r>
          </w:p>
        </w:tc>
        <w:tc>
          <w:tcPr>
            <w:shd w:val="clear" w:color="auto" w:fill="ddebf7"/>
            <w:tcBorders>
              <w:top w:val="single" w:color="000000" w:sz="4" w:space="0"/>
              <w:left w:val="single" w:color="000000" w:sz="4" w:space="0"/>
              <w:bottom w:val="single" w:color="000000" w:sz="4" w:space="0"/>
              <w:right w:val="single" w:color="000000" w:sz="4" w:space="0"/>
            </w:tcBorders>
            <w:tcW w:w="6095" w:type="dxa"/>
            <w:vAlign w:val="center"/>
            <w:textDirection w:val="lrTb"/>
            <w:noWrap w:val="false"/>
          </w:tcPr>
          <w:p>
            <w:pPr>
              <w:pStyle w:val="1453"/>
              <w:numPr>
                <w:ilvl w:val="0"/>
                <w:numId w:val="11"/>
              </w:numPr>
              <w:pBdr/>
              <w:spacing w:after="0" w:before="0" w:line="240" w:lineRule="auto"/>
              <w:ind w:hanging="425" w:left="600"/>
              <w:jc w:val="left"/>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关联交易数据，包括各关联方、各类关联交易涉及的交易金额。分别披露关联交易和非关联交易的收入、成本、费用和利润，不能直接归集的，按照合理比例划分，并说明该划分比例的依据。</w:t>
            </w:r>
            <w:r>
              <w:rPr>
                <w:rFonts w:ascii="Arial Narrow" w:hAnsi="Arial Narrow" w:eastAsia="仿宋_GB2312" w:cs="Arial"/>
                <w:sz w:val="20"/>
                <w:szCs w:val="20"/>
                <w:lang w:eastAsia="zh-CN"/>
              </w:rPr>
            </w:r>
          </w:p>
        </w:tc>
        <w:tc>
          <w:tcPr>
            <w:shd w:val="clear" w:color="auto" w:fill="ddebf7"/>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1453"/>
              <w:pBdr/>
              <w:spacing w:after="60" w:before="60"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4.2</w:t>
            </w:r>
            <w:r>
              <w:rPr>
                <w:rFonts w:ascii="Arial Narrow" w:hAnsi="Arial Narrow" w:eastAsia="仿宋_GB2312" w:cs="Arial"/>
                <w:sz w:val="20"/>
                <w:szCs w:val="20"/>
                <w:lang w:eastAsia="zh-CN"/>
              </w:rPr>
            </w:r>
          </w:p>
          <w:p>
            <w:pPr>
              <w:pStyle w:val="1453"/>
              <w:pBdr/>
              <w:spacing w:after="60" w:before="60"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4.3</w:t>
            </w:r>
            <w:r>
              <w:rPr>
                <w:rFonts w:ascii="Arial Narrow" w:hAnsi="Arial Narrow" w:eastAsia="仿宋_GB2312" w:cs="Arial"/>
                <w:sz w:val="20"/>
                <w:szCs w:val="20"/>
                <w:lang w:eastAsia="zh-CN"/>
              </w:rPr>
            </w:r>
          </w:p>
          <w:p>
            <w:pPr>
              <w:pStyle w:val="1453"/>
              <w:pBdr/>
              <w:spacing w:after="60" w:before="60"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4.4</w:t>
            </w:r>
            <w:r>
              <w:rPr>
                <w:rFonts w:ascii="Arial Narrow" w:hAnsi="Arial Narrow" w:eastAsia="仿宋_GB2312" w:cs="Arial"/>
                <w:sz w:val="20"/>
                <w:szCs w:val="20"/>
                <w:lang w:eastAsia="zh-CN"/>
              </w:rPr>
            </w:r>
          </w:p>
          <w:p>
            <w:pPr>
              <w:pStyle w:val="1453"/>
              <w:pBdr/>
              <w:spacing w:after="60" w:before="60"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4.5</w:t>
            </w:r>
            <w:r>
              <w:rPr>
                <w:rFonts w:ascii="Arial Narrow" w:hAnsi="Arial Narrow" w:eastAsia="仿宋_GB2312" w:cs="Arial"/>
                <w:sz w:val="20"/>
                <w:szCs w:val="20"/>
                <w:lang w:eastAsia="zh-CN"/>
              </w:rPr>
            </w:r>
          </w:p>
          <w:p>
            <w:pPr>
              <w:pStyle w:val="1453"/>
              <w:pBdr/>
              <w:spacing w:after="60" w:before="60"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4.6</w:t>
            </w:r>
            <w:r>
              <w:rPr>
                <w:rFonts w:ascii="Arial Narrow" w:hAnsi="Arial Narrow" w:eastAsia="仿宋_GB2312" w:cs="Arial"/>
                <w:sz w:val="20"/>
                <w:szCs w:val="20"/>
                <w:lang w:eastAsia="zh-CN"/>
              </w:rPr>
            </w:r>
          </w:p>
          <w:p>
            <w:pPr>
              <w:pStyle w:val="1453"/>
              <w:pBdr/>
              <w:spacing w:after="60" w:before="60"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附件2</w:t>
            </w:r>
            <w:r>
              <w:rPr>
                <w:rFonts w:ascii="Arial Narrow" w:hAnsi="Arial Narrow" w:eastAsia="仿宋_GB2312" w:cs="Arial"/>
                <w:sz w:val="20"/>
                <w:szCs w:val="20"/>
                <w:lang w:eastAsia="zh-CN"/>
              </w:rPr>
            </w:r>
            <w:r>
              <w:rPr>
                <w:rFonts w:ascii="Arial Narrow" w:hAnsi="Arial Narrow" w:eastAsia="仿宋_GB2312" w:cs="Arial"/>
                <w:sz w:val="20"/>
                <w:szCs w:val="20"/>
                <w:lang w:eastAsia="zh-CN"/>
              </w:rPr>
            </w:r>
          </w:p>
        </w:tc>
      </w:tr>
      <w:tr>
        <w:trPr/>
        <w:tc>
          <w:tcPr>
            <w:shd w:val="clear" w:color="auto" w:fill="auto"/>
            <w:tcBorders>
              <w:top w:val="single" w:color="000000" w:sz="4" w:space="0"/>
              <w:left w:val="single" w:color="auto" w:sz="4" w:space="0"/>
              <w:bottom w:val="single" w:color="auto" w:sz="4" w:space="0"/>
              <w:right w:val="single" w:color="auto" w:sz="4" w:space="0"/>
            </w:tcBorders>
            <w:tcW w:w="988" w:type="dxa"/>
            <w:vAlign w:val="center"/>
            <w:vMerge w:val="restart"/>
            <w:textDirection w:val="lrTb"/>
            <w:noWrap w:val="false"/>
          </w:tcPr>
          <w:p>
            <w:pPr>
              <w:pStyle w:val="1453"/>
              <w:pBdr/>
              <w:spacing w:line="240" w:lineRule="auto"/>
              <w:ind w:firstLine="0"/>
              <w:jc w:val="center"/>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（三）关联交易</w:t>
            </w:r>
            <w:r>
              <w:rPr>
                <w:rFonts w:ascii="Arial Narrow" w:hAnsi="Arial Narrow" w:eastAsia="仿宋_GB2312" w:cs="Arial"/>
                <w:sz w:val="20"/>
                <w:szCs w:val="20"/>
                <w:lang w:eastAsia="zh-CN"/>
              </w:rPr>
            </w:r>
          </w:p>
          <w:p>
            <w:pPr>
              <w:pStyle w:val="1453"/>
              <w:pBdr/>
              <w:spacing w:line="240" w:lineRule="auto"/>
              <w:ind w:firstLine="0"/>
              <w:jc w:val="center"/>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2.价值链分析</w:t>
            </w:r>
            <w:r>
              <w:rPr>
                <w:rFonts w:ascii="Arial Narrow" w:hAnsi="Arial Narrow" w:eastAsia="仿宋_GB2312" w:cs="Arial"/>
                <w:sz w:val="20"/>
                <w:szCs w:val="20"/>
                <w:lang w:eastAsia="zh-CN"/>
              </w:rPr>
            </w:r>
            <w:r>
              <w:rPr>
                <w:rFonts w:ascii="Arial Narrow" w:hAnsi="Arial Narrow" w:eastAsia="仿宋_GB2312" w:cs="Arial"/>
                <w:sz w:val="20"/>
                <w:szCs w:val="20"/>
                <w:lang w:eastAsia="zh-CN"/>
              </w:rPr>
            </w:r>
          </w:p>
        </w:tc>
        <w:tc>
          <w:tcPr>
            <w:shd w:val="clear" w:color="auto" w:fill="auto"/>
            <w:tcBorders>
              <w:top w:val="single" w:color="000000" w:sz="4" w:space="0"/>
              <w:left w:val="single" w:color="auto" w:sz="4" w:space="0"/>
              <w:bottom w:val="single" w:color="auto" w:sz="4" w:space="0"/>
              <w:right w:val="single" w:color="auto" w:sz="4" w:space="0"/>
            </w:tcBorders>
            <w:tcW w:w="6095" w:type="dxa"/>
            <w:vAlign w:val="center"/>
            <w:textDirection w:val="lrTb"/>
            <w:noWrap w:val="false"/>
          </w:tcPr>
          <w:p>
            <w:pPr>
              <w:pStyle w:val="1453"/>
              <w:numPr>
                <w:ilvl w:val="0"/>
                <w:numId w:val="12"/>
              </w:numPr>
              <w:pBdr/>
              <w:spacing w:after="0" w:before="0" w:line="240" w:lineRule="auto"/>
              <w:ind w:hanging="425" w:left="600"/>
              <w:jc w:val="left"/>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企业集团内业务流、物流和资金流，包括商品、劳务或者其他交易标的从设计、开发、生产制造、营销、销售、交货、结算、消费、售后服务、循环利用等各环节及其参与方；</w:t>
            </w:r>
            <w:r>
              <w:rPr>
                <w:rFonts w:ascii="Arial Narrow" w:hAnsi="Arial Narrow" w:eastAsia="仿宋_GB2312" w:cs="Arial"/>
                <w:sz w:val="20"/>
                <w:szCs w:val="20"/>
                <w:lang w:eastAsia="zh-CN"/>
              </w:rPr>
            </w:r>
          </w:p>
        </w:tc>
        <w:tc>
          <w:tcPr>
            <w:shd w:val="clear" w:color="auto" w:fill="auto"/>
            <w:tcBorders>
              <w:top w:val="single" w:color="000000" w:sz="4" w:space="0"/>
              <w:left w:val="single" w:color="auto" w:sz="4" w:space="0"/>
              <w:bottom w:val="single" w:color="auto" w:sz="4" w:space="0"/>
              <w:right w:val="single" w:color="auto" w:sz="4" w:space="0"/>
            </w:tcBorders>
            <w:tcW w:w="1134" w:type="dxa"/>
            <w:vAlign w:val="center"/>
            <w:textDirection w:val="lrTb"/>
            <w:noWrap w:val="false"/>
          </w:tcPr>
          <w:p>
            <w:pPr>
              <w:pStyle w:val="1453"/>
              <w:pBdr/>
              <w:spacing w:after="60" w:before="60"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4</w:t>
            </w:r>
            <w:r>
              <w:rPr>
                <w:rFonts w:ascii="Arial Narrow" w:hAnsi="Arial Narrow" w:eastAsia="仿宋_GB2312" w:cs="Arial"/>
                <w:sz w:val="20"/>
                <w:szCs w:val="20"/>
                <w:lang w:eastAsia="zh-CN"/>
              </w:rPr>
            </w:r>
          </w:p>
          <w:p>
            <w:pPr>
              <w:pStyle w:val="1453"/>
              <w:pBdr/>
              <w:spacing w:after="60" w:before="60"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6</w:t>
            </w:r>
            <w:r>
              <w:rPr>
                <w:rFonts w:ascii="Arial Narrow" w:hAnsi="Arial Narrow" w:eastAsia="仿宋_GB2312" w:cs="Arial"/>
                <w:sz w:val="20"/>
                <w:szCs w:val="20"/>
                <w:lang w:eastAsia="zh-CN"/>
              </w:rPr>
            </w:r>
          </w:p>
        </w:tc>
      </w:tr>
      <w:tr>
        <w:trPr/>
        <w:tc>
          <w:tcPr>
            <w:shd w:val="clear" w:color="auto" w:fill="auto"/>
            <w:tcBorders>
              <w:top w:val="single" w:color="auto" w:sz="4" w:space="0"/>
              <w:left w:val="single" w:color="auto" w:sz="4" w:space="0"/>
              <w:bottom w:val="single" w:color="auto" w:sz="4" w:space="0"/>
              <w:right w:val="single" w:color="auto" w:sz="4" w:space="0"/>
            </w:tcBorders>
            <w:tcW w:w="988" w:type="dxa"/>
            <w:vAlign w:val="center"/>
            <w:vMerge w:val="continue"/>
            <w:textDirection w:val="lrTb"/>
            <w:noWrap w:val="false"/>
          </w:tcPr>
          <w:p>
            <w:pPr>
              <w:pStyle w:val="1453"/>
              <w:pBdr/>
              <w:spacing w:line="240" w:lineRule="auto"/>
              <w:ind w:firstLine="0"/>
              <w:jc w:val="center"/>
              <w:rPr>
                <w:rFonts w:ascii="Arial Narrow" w:hAnsi="Arial Narrow" w:eastAsia="仿宋_GB2312" w:cs="Arial"/>
                <w:sz w:val="20"/>
                <w:szCs w:val="20"/>
                <w:lang w:eastAsia="zh-CN"/>
              </w:rPr>
            </w:pPr>
            <w:r>
              <w:rPr>
                <w:rFonts w:ascii="Arial Narrow" w:hAnsi="Arial Narrow" w:eastAsia="仿宋_GB2312" w:cs="Arial"/>
                <w:sz w:val="20"/>
                <w:szCs w:val="20"/>
                <w:lang w:eastAsia="zh-CN"/>
              </w:rPr>
            </w:r>
            <w:r>
              <w:rPr>
                <w:rFonts w:ascii="Arial Narrow" w:hAnsi="Arial Narrow" w:eastAsia="仿宋_GB2312" w:cs="Arial"/>
                <w:sz w:val="20"/>
                <w:szCs w:val="20"/>
                <w:lang w:eastAsia="zh-CN"/>
              </w:rPr>
            </w:r>
          </w:p>
        </w:tc>
        <w:tc>
          <w:tcPr>
            <w:shd w:val="clear" w:color="auto" w:fill="ddebf7"/>
            <w:tcBorders>
              <w:top w:val="single" w:color="auto" w:sz="4" w:space="0"/>
              <w:left w:val="single" w:color="auto" w:sz="4" w:space="0"/>
              <w:bottom w:val="single" w:color="auto" w:sz="4" w:space="0"/>
              <w:right w:val="single" w:color="auto" w:sz="4" w:space="0"/>
            </w:tcBorders>
            <w:tcW w:w="6095" w:type="dxa"/>
            <w:vAlign w:val="center"/>
            <w:textDirection w:val="lrTb"/>
            <w:noWrap w:val="false"/>
          </w:tcPr>
          <w:p>
            <w:pPr>
              <w:pStyle w:val="1453"/>
              <w:numPr>
                <w:ilvl w:val="0"/>
                <w:numId w:val="12"/>
              </w:numPr>
              <w:pBdr/>
              <w:spacing w:after="0" w:before="0" w:line="240" w:lineRule="auto"/>
              <w:ind w:hanging="425" w:left="600"/>
              <w:jc w:val="left"/>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上述各环节参与方最近会计年度的财务报表；</w:t>
            </w:r>
            <w:r>
              <w:rPr>
                <w:rFonts w:ascii="Arial Narrow" w:hAnsi="Arial Narrow" w:eastAsia="仿宋_GB2312" w:cs="Arial"/>
                <w:sz w:val="20"/>
                <w:szCs w:val="20"/>
                <w:lang w:eastAsia="zh-CN"/>
              </w:rPr>
            </w:r>
          </w:p>
        </w:tc>
        <w:tc>
          <w:tcPr>
            <w:shd w:val="clear" w:color="auto" w:fill="ddebf7"/>
            <w:tcBorders>
              <w:top w:val="single" w:color="auto" w:sz="4" w:space="0"/>
              <w:left w:val="single" w:color="auto" w:sz="4" w:space="0"/>
              <w:bottom w:val="single" w:color="auto" w:sz="4" w:space="0"/>
              <w:right w:val="single" w:color="auto" w:sz="4" w:space="0"/>
            </w:tcBorders>
            <w:tcW w:w="1134" w:type="dxa"/>
            <w:vAlign w:val="center"/>
            <w:textDirection w:val="lrTb"/>
            <w:noWrap w:val="false"/>
          </w:tcPr>
          <w:p>
            <w:pPr>
              <w:pStyle w:val="1453"/>
              <w:pBdr/>
              <w:spacing w:after="60" w:before="60"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待税局要求后配合提供</w:t>
            </w:r>
            <w:r>
              <w:rPr>
                <w:rFonts w:ascii="Arial Narrow" w:hAnsi="Arial Narrow" w:eastAsia="仿宋_GB2312" w:cs="Arial"/>
                <w:sz w:val="20"/>
                <w:szCs w:val="20"/>
                <w:lang w:eastAsia="zh-CN"/>
              </w:rPr>
            </w:r>
          </w:p>
        </w:tc>
      </w:tr>
      <w:tr>
        <w:trPr/>
        <w:tc>
          <w:tcPr>
            <w:shd w:val="clear" w:color="auto" w:fill="auto"/>
            <w:tcBorders>
              <w:top w:val="single" w:color="auto" w:sz="4" w:space="0"/>
              <w:left w:val="single" w:color="auto" w:sz="4" w:space="0"/>
              <w:bottom w:val="single" w:color="auto" w:sz="4" w:space="0"/>
              <w:right w:val="single" w:color="auto" w:sz="4" w:space="0"/>
            </w:tcBorders>
            <w:tcW w:w="988" w:type="dxa"/>
            <w:vAlign w:val="center"/>
            <w:vMerge w:val="continue"/>
            <w:textDirection w:val="lrTb"/>
            <w:noWrap w:val="false"/>
          </w:tcPr>
          <w:p>
            <w:pPr>
              <w:pStyle w:val="1453"/>
              <w:pBdr/>
              <w:spacing w:line="240" w:lineRule="auto"/>
              <w:ind w:firstLine="0"/>
              <w:jc w:val="center"/>
              <w:rPr>
                <w:rFonts w:ascii="Arial Narrow" w:hAnsi="Arial Narrow" w:eastAsia="仿宋_GB2312" w:cs="Arial"/>
                <w:sz w:val="20"/>
                <w:szCs w:val="20"/>
                <w:lang w:eastAsia="zh-CN"/>
              </w:rPr>
            </w:pPr>
            <w:r>
              <w:rPr>
                <w:rFonts w:ascii="Arial Narrow" w:hAnsi="Arial Narrow" w:eastAsia="仿宋_GB2312" w:cs="Arial"/>
                <w:sz w:val="20"/>
                <w:szCs w:val="20"/>
                <w:lang w:eastAsia="zh-CN"/>
              </w:rPr>
            </w:r>
            <w:r>
              <w:rPr>
                <w:rFonts w:ascii="Arial Narrow" w:hAnsi="Arial Narrow" w:eastAsia="仿宋_GB2312" w:cs="Arial"/>
                <w:sz w:val="20"/>
                <w:szCs w:val="20"/>
                <w:lang w:eastAsia="zh-CN"/>
              </w:rPr>
            </w:r>
          </w:p>
        </w:tc>
        <w:tc>
          <w:tcPr>
            <w:shd w:val="clear" w:color="auto" w:fill="auto"/>
            <w:tcBorders>
              <w:top w:val="single" w:color="auto" w:sz="4" w:space="0"/>
              <w:left w:val="single" w:color="auto" w:sz="4" w:space="0"/>
              <w:bottom w:val="single" w:color="auto" w:sz="4" w:space="0"/>
              <w:right w:val="single" w:color="auto" w:sz="4" w:space="0"/>
            </w:tcBorders>
            <w:tcW w:w="6095" w:type="dxa"/>
            <w:vAlign w:val="center"/>
            <w:textDirection w:val="lrTb"/>
            <w:noWrap w:val="false"/>
          </w:tcPr>
          <w:p>
            <w:pPr>
              <w:pStyle w:val="1453"/>
              <w:numPr>
                <w:ilvl w:val="0"/>
                <w:numId w:val="12"/>
              </w:numPr>
              <w:pBdr/>
              <w:spacing w:after="0" w:before="0" w:line="240" w:lineRule="auto"/>
              <w:ind w:hanging="425" w:left="600"/>
              <w:jc w:val="left"/>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地域特殊因素对企业创造价值贡献的计量及其归属；</w:t>
            </w:r>
            <w:r>
              <w:rPr>
                <w:rFonts w:ascii="Arial Narrow" w:hAnsi="Arial Narrow" w:eastAsia="仿宋_GB2312" w:cs="Arial"/>
                <w:sz w:val="20"/>
                <w:szCs w:val="20"/>
                <w:lang w:eastAsia="zh-CN"/>
              </w:rPr>
            </w:r>
          </w:p>
        </w:tc>
        <w:tc>
          <w:tcPr>
            <w:shd w:val="clear" w:color="auto" w:fill="auto"/>
            <w:tcBorders>
              <w:top w:val="single" w:color="auto" w:sz="4" w:space="0"/>
              <w:left w:val="single" w:color="auto" w:sz="4" w:space="0"/>
              <w:bottom w:val="single" w:color="auto" w:sz="4" w:space="0"/>
              <w:right w:val="single" w:color="auto" w:sz="4" w:space="0"/>
            </w:tcBorders>
            <w:tcW w:w="1134" w:type="dxa"/>
            <w:vAlign w:val="center"/>
            <w:textDirection w:val="lrTb"/>
            <w:noWrap w:val="false"/>
          </w:tcPr>
          <w:p>
            <w:pPr>
              <w:pStyle w:val="1453"/>
              <w:pBdr/>
              <w:spacing w:after="60" w:before="60"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6</w:t>
            </w:r>
            <w:r>
              <w:rPr>
                <w:rFonts w:ascii="Arial Narrow" w:hAnsi="Arial Narrow" w:eastAsia="仿宋_GB2312" w:cs="Arial"/>
                <w:sz w:val="20"/>
                <w:szCs w:val="20"/>
                <w:lang w:eastAsia="zh-CN"/>
              </w:rPr>
            </w:r>
          </w:p>
        </w:tc>
      </w:tr>
      <w:tr>
        <w:trPr/>
        <w:tc>
          <w:tcPr>
            <w:shd w:val="clear" w:color="auto" w:fill="auto"/>
            <w:tcBorders>
              <w:top w:val="single" w:color="auto" w:sz="4" w:space="0"/>
              <w:left w:val="single" w:color="auto" w:sz="4" w:space="0"/>
              <w:bottom w:val="single" w:color="auto" w:sz="4" w:space="0"/>
              <w:right w:val="single" w:color="auto" w:sz="4" w:space="0"/>
            </w:tcBorders>
            <w:tcW w:w="988" w:type="dxa"/>
            <w:vAlign w:val="center"/>
            <w:vMerge w:val="continue"/>
            <w:textDirection w:val="lrTb"/>
            <w:noWrap w:val="false"/>
          </w:tcPr>
          <w:p>
            <w:pPr>
              <w:pStyle w:val="1453"/>
              <w:pBdr/>
              <w:spacing w:line="240" w:lineRule="auto"/>
              <w:ind w:firstLine="0"/>
              <w:jc w:val="center"/>
              <w:rPr>
                <w:rFonts w:ascii="Arial Narrow" w:hAnsi="Arial Narrow" w:eastAsia="仿宋_GB2312" w:cs="Arial"/>
                <w:sz w:val="20"/>
                <w:szCs w:val="20"/>
                <w:lang w:eastAsia="zh-CN"/>
              </w:rPr>
            </w:pPr>
            <w:r>
              <w:rPr>
                <w:rFonts w:ascii="Arial Narrow" w:hAnsi="Arial Narrow" w:eastAsia="仿宋_GB2312" w:cs="Arial"/>
                <w:sz w:val="20"/>
                <w:szCs w:val="20"/>
                <w:lang w:eastAsia="zh-CN"/>
              </w:rPr>
            </w:r>
            <w:r>
              <w:rPr>
                <w:rFonts w:ascii="Arial Narrow" w:hAnsi="Arial Narrow" w:eastAsia="仿宋_GB2312" w:cs="Arial"/>
                <w:sz w:val="20"/>
                <w:szCs w:val="20"/>
                <w:lang w:eastAsia="zh-CN"/>
              </w:rPr>
            </w:r>
          </w:p>
        </w:tc>
        <w:tc>
          <w:tcPr>
            <w:shd w:val="clear" w:color="auto" w:fill="ddebf7"/>
            <w:tcBorders>
              <w:top w:val="single" w:color="auto" w:sz="4" w:space="0"/>
              <w:left w:val="single" w:color="auto" w:sz="4" w:space="0"/>
              <w:bottom w:val="single" w:color="auto" w:sz="4" w:space="0"/>
              <w:right w:val="single" w:color="auto" w:sz="4" w:space="0"/>
            </w:tcBorders>
            <w:tcW w:w="6095" w:type="dxa"/>
            <w:vAlign w:val="center"/>
            <w:textDirection w:val="lrTb"/>
            <w:noWrap w:val="false"/>
          </w:tcPr>
          <w:p>
            <w:pPr>
              <w:pStyle w:val="1453"/>
              <w:numPr>
                <w:ilvl w:val="0"/>
                <w:numId w:val="12"/>
              </w:numPr>
              <w:pBdr/>
              <w:spacing w:after="0" w:before="0" w:line="240" w:lineRule="auto"/>
              <w:ind w:hanging="425" w:left="600"/>
              <w:jc w:val="left"/>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企业集团利润在全球价值链条中的分配原则和分配结果；</w:t>
            </w:r>
            <w:r>
              <w:rPr>
                <w:rFonts w:ascii="Arial Narrow" w:hAnsi="Arial Narrow" w:eastAsia="仿宋_GB2312" w:cs="Arial"/>
                <w:sz w:val="20"/>
                <w:szCs w:val="20"/>
                <w:lang w:eastAsia="zh-CN"/>
              </w:rPr>
            </w:r>
          </w:p>
        </w:tc>
        <w:tc>
          <w:tcPr>
            <w:shd w:val="clear" w:color="auto" w:fill="ddebf7"/>
            <w:tcBorders>
              <w:top w:val="single" w:color="auto" w:sz="4" w:space="0"/>
              <w:left w:val="single" w:color="auto" w:sz="4" w:space="0"/>
              <w:bottom w:val="single" w:color="auto" w:sz="4" w:space="0"/>
              <w:right w:val="single" w:color="auto" w:sz="4" w:space="0"/>
            </w:tcBorders>
            <w:tcW w:w="1134" w:type="dxa"/>
            <w:vAlign w:val="center"/>
            <w:textDirection w:val="lrTb"/>
            <w:noWrap w:val="false"/>
          </w:tcPr>
          <w:p>
            <w:pPr>
              <w:pStyle w:val="1453"/>
              <w:pBdr/>
              <w:spacing w:after="60" w:before="60"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6</w:t>
            </w:r>
            <w:r>
              <w:rPr>
                <w:rFonts w:ascii="Arial Narrow" w:hAnsi="Arial Narrow" w:eastAsia="仿宋_GB2312" w:cs="Arial"/>
                <w:sz w:val="20"/>
                <w:szCs w:val="20"/>
                <w:lang w:eastAsia="zh-CN"/>
              </w:rPr>
            </w:r>
          </w:p>
        </w:tc>
      </w:tr>
      <w:tr>
        <w:trPr/>
        <w:tc>
          <w:tcPr>
            <w:shd w:val="clear" w:color="auto" w:fill="auto"/>
            <w:tcBorders>
              <w:top w:val="single" w:color="auto" w:sz="4" w:space="0"/>
              <w:left w:val="single" w:color="auto" w:sz="4" w:space="0"/>
              <w:bottom w:val="single" w:color="auto" w:sz="4" w:space="0"/>
              <w:right w:val="single" w:color="auto" w:sz="4" w:space="0"/>
            </w:tcBorders>
            <w:tcW w:w="988" w:type="dxa"/>
            <w:vAlign w:val="center"/>
            <w:vMerge w:val="restart"/>
            <w:textDirection w:val="lrTb"/>
            <w:noWrap w:val="false"/>
          </w:tcPr>
          <w:p>
            <w:pPr>
              <w:pStyle w:val="1453"/>
              <w:pBdr/>
              <w:spacing w:line="240" w:lineRule="auto"/>
              <w:ind w:firstLine="0"/>
              <w:jc w:val="center"/>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（三）关联交易</w:t>
            </w:r>
            <w:r>
              <w:rPr>
                <w:rFonts w:ascii="Arial Narrow" w:hAnsi="Arial Narrow" w:eastAsia="仿宋_GB2312" w:cs="Arial"/>
                <w:sz w:val="20"/>
                <w:szCs w:val="20"/>
                <w:lang w:eastAsia="zh-CN"/>
              </w:rPr>
            </w:r>
          </w:p>
          <w:p>
            <w:pPr>
              <w:pStyle w:val="1453"/>
              <w:pBdr/>
              <w:spacing w:line="240" w:lineRule="auto"/>
              <w:ind w:firstLine="0"/>
              <w:jc w:val="center"/>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3.对外投资</w:t>
            </w:r>
            <w:r>
              <w:rPr>
                <w:rFonts w:ascii="Arial Narrow" w:hAnsi="Arial Narrow" w:eastAsia="仿宋_GB2312" w:cs="Arial"/>
                <w:sz w:val="20"/>
                <w:szCs w:val="20"/>
                <w:lang w:eastAsia="zh-CN"/>
              </w:rPr>
            </w:r>
            <w:r>
              <w:rPr>
                <w:rFonts w:ascii="Arial Narrow" w:hAnsi="Arial Narrow" w:eastAsia="仿宋_GB2312" w:cs="Arial"/>
                <w:sz w:val="20"/>
                <w:szCs w:val="20"/>
                <w:lang w:eastAsia="zh-CN"/>
              </w:rPr>
            </w:r>
          </w:p>
        </w:tc>
        <w:tc>
          <w:tcPr>
            <w:shd w:val="clear" w:color="auto" w:fill="auto"/>
            <w:tcBorders>
              <w:top w:val="single" w:color="auto" w:sz="4" w:space="0"/>
              <w:left w:val="single" w:color="auto" w:sz="4" w:space="0"/>
              <w:bottom w:val="single" w:color="auto" w:sz="4" w:space="0"/>
              <w:right w:val="single" w:color="auto" w:sz="4" w:space="0"/>
            </w:tcBorders>
            <w:tcW w:w="6095" w:type="dxa"/>
            <w:vAlign w:val="center"/>
            <w:textDirection w:val="lrTb"/>
            <w:noWrap w:val="false"/>
          </w:tcPr>
          <w:p>
            <w:pPr>
              <w:pStyle w:val="1453"/>
              <w:numPr>
                <w:ilvl w:val="0"/>
                <w:numId w:val="13"/>
              </w:numPr>
              <w:pBdr/>
              <w:spacing w:after="0" w:before="0" w:line="240" w:lineRule="auto"/>
              <w:ind w:hanging="425" w:left="600"/>
              <w:jc w:val="left"/>
              <w:rPr>
                <w:rFonts w:ascii="Arial Narrow" w:hAnsi="Arial Narrow" w:eastAsia="仿宋_GB2312" w:cs="Arial"/>
                <w:sz w:val="20"/>
                <w:szCs w:val="20"/>
                <w:lang w:eastAsia="zh-CN"/>
              </w:rPr>
            </w:pPr>
            <w:r>
              <w:rPr>
                <w:rFonts w:ascii="Arial Narrow" w:hAnsi="Arial Narrow" w:eastAsia="仿宋_GB2312" w:cs="Arial"/>
                <w:color w:val="000000"/>
                <w:sz w:val="20"/>
                <w:szCs w:val="20"/>
                <w:lang w:eastAsia="zh-CN"/>
              </w:rPr>
              <w:t xml:space="preserve">对外投资基本信息，包括对外投资项目的投资地区、金额、主营业务及战略规划。</w:t>
            </w:r>
            <w:r>
              <w:rPr>
                <w:rFonts w:ascii="Arial Narrow" w:hAnsi="Arial Narrow" w:eastAsia="仿宋_GB2312" w:cs="Arial"/>
                <w:sz w:val="20"/>
                <w:szCs w:val="20"/>
                <w:lang w:eastAsia="zh-CN"/>
              </w:rPr>
            </w:r>
          </w:p>
        </w:tc>
        <w:tc>
          <w:tcPr>
            <w:shd w:val="clear" w:color="auto" w:fill="auto"/>
            <w:tcBorders>
              <w:top w:val="single" w:color="auto" w:sz="4" w:space="0"/>
              <w:left w:val="single" w:color="auto" w:sz="4" w:space="0"/>
              <w:bottom w:val="single" w:color="auto" w:sz="4" w:space="0"/>
              <w:right w:val="single" w:color="auto" w:sz="4" w:space="0"/>
            </w:tcBorders>
            <w:tcW w:w="1134" w:type="dxa"/>
            <w:vAlign w:val="center"/>
            <w:vMerge w:val="restart"/>
            <w:textDirection w:val="lrTb"/>
            <w:noWrap w:val="false"/>
          </w:tcPr>
          <w:p>
            <w:pPr>
              <w:pStyle w:val="1453"/>
              <w:pBdr/>
              <w:spacing w:after="60" w:before="60"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2.4</w:t>
            </w:r>
            <w:r>
              <w:rPr>
                <w:rFonts w:ascii="Arial Narrow" w:hAnsi="Arial Narrow" w:eastAsia="仿宋_GB2312" w:cs="Arial"/>
                <w:sz w:val="20"/>
                <w:szCs w:val="20"/>
                <w:lang w:eastAsia="zh-CN"/>
              </w:rPr>
            </w:r>
          </w:p>
        </w:tc>
      </w:tr>
      <w:tr>
        <w:trPr/>
        <w:tc>
          <w:tcPr>
            <w:shd w:val="clear" w:color="auto" w:fill="auto"/>
            <w:tcBorders>
              <w:top w:val="single" w:color="auto" w:sz="4" w:space="0"/>
              <w:left w:val="single" w:color="auto" w:sz="4" w:space="0"/>
              <w:bottom w:val="single" w:color="auto" w:sz="4" w:space="0"/>
              <w:right w:val="single" w:color="auto" w:sz="4" w:space="0"/>
            </w:tcBorders>
            <w:tcW w:w="988" w:type="dxa"/>
            <w:vAlign w:val="center"/>
            <w:vMerge w:val="continue"/>
            <w:textDirection w:val="lrTb"/>
            <w:noWrap w:val="false"/>
          </w:tcPr>
          <w:p>
            <w:pPr>
              <w:pStyle w:val="1453"/>
              <w:pBdr/>
              <w:spacing w:line="240" w:lineRule="auto"/>
              <w:ind w:firstLine="0"/>
              <w:jc w:val="center"/>
              <w:rPr>
                <w:rFonts w:ascii="Arial Narrow" w:hAnsi="Arial Narrow" w:eastAsia="仿宋_GB2312" w:cs="Arial"/>
                <w:sz w:val="20"/>
                <w:szCs w:val="20"/>
                <w:lang w:eastAsia="zh-CN"/>
              </w:rPr>
            </w:pPr>
            <w:r>
              <w:rPr>
                <w:rFonts w:ascii="Arial Narrow" w:hAnsi="Arial Narrow" w:eastAsia="仿宋_GB2312" w:cs="Arial"/>
                <w:sz w:val="20"/>
                <w:szCs w:val="20"/>
                <w:lang w:eastAsia="zh-CN"/>
              </w:rPr>
            </w:r>
            <w:r>
              <w:rPr>
                <w:rFonts w:ascii="Arial Narrow" w:hAnsi="Arial Narrow" w:eastAsia="仿宋_GB2312" w:cs="Arial"/>
                <w:sz w:val="20"/>
                <w:szCs w:val="20"/>
                <w:lang w:eastAsia="zh-CN"/>
              </w:rPr>
            </w:r>
          </w:p>
        </w:tc>
        <w:tc>
          <w:tcPr>
            <w:shd w:val="clear" w:color="auto" w:fill="ddebf7"/>
            <w:tcBorders>
              <w:top w:val="single" w:color="auto" w:sz="4" w:space="0"/>
              <w:left w:val="single" w:color="auto" w:sz="4" w:space="0"/>
              <w:bottom w:val="single" w:color="auto" w:sz="4" w:space="0"/>
              <w:right w:val="single" w:color="auto" w:sz="4" w:space="0"/>
            </w:tcBorders>
            <w:tcW w:w="6095" w:type="dxa"/>
            <w:vAlign w:val="center"/>
            <w:textDirection w:val="lrTb"/>
            <w:noWrap w:val="false"/>
          </w:tcPr>
          <w:p>
            <w:pPr>
              <w:pStyle w:val="1453"/>
              <w:numPr>
                <w:ilvl w:val="0"/>
                <w:numId w:val="13"/>
              </w:numPr>
              <w:pBdr/>
              <w:spacing w:after="0" w:before="0" w:line="240" w:lineRule="auto"/>
              <w:ind w:hanging="425" w:left="600"/>
              <w:jc w:val="left"/>
              <w:rPr>
                <w:rFonts w:ascii="Arial Narrow" w:hAnsi="Arial Narrow" w:eastAsia="仿宋_GB2312" w:cs="Arial"/>
                <w:sz w:val="20"/>
                <w:szCs w:val="20"/>
                <w:lang w:eastAsia="zh-CN"/>
              </w:rPr>
            </w:pPr>
            <w:r>
              <w:rPr>
                <w:rFonts w:ascii="Arial Narrow" w:hAnsi="Arial Narrow" w:eastAsia="仿宋_GB2312" w:cs="Arial"/>
                <w:color w:val="000000"/>
                <w:sz w:val="20"/>
                <w:szCs w:val="20"/>
                <w:lang w:eastAsia="zh-CN"/>
              </w:rPr>
              <w:t xml:space="preserve">对外投资项目概况，包括对外投资项目的股权架构、组织结构，高级管理人员的雇佣方式，项目决策权限的归属。</w:t>
            </w:r>
            <w:r>
              <w:rPr>
                <w:rFonts w:ascii="Arial Narrow" w:hAnsi="Arial Narrow" w:eastAsia="仿宋_GB2312" w:cs="Arial"/>
                <w:sz w:val="20"/>
                <w:szCs w:val="20"/>
                <w:lang w:eastAsia="zh-CN"/>
              </w:rPr>
            </w:r>
          </w:p>
        </w:tc>
        <w:tc>
          <w:tcPr>
            <w:shd w:val="clear" w:color="auto" w:fill="auto"/>
            <w:tcBorders>
              <w:top w:val="single" w:color="auto" w:sz="4" w:space="0"/>
              <w:left w:val="single" w:color="auto" w:sz="4" w:space="0"/>
              <w:bottom w:val="single" w:color="auto" w:sz="4" w:space="0"/>
              <w:right w:val="single" w:color="auto" w:sz="4" w:space="0"/>
            </w:tcBorders>
            <w:tcW w:w="1134" w:type="dxa"/>
            <w:vAlign w:val="center"/>
            <w:vMerge w:val="continue"/>
            <w:textDirection w:val="lrTb"/>
            <w:noWrap w:val="false"/>
          </w:tcPr>
          <w:p>
            <w:pPr>
              <w:pStyle w:val="1453"/>
              <w:pBdr/>
              <w:spacing w:after="60" w:before="60" w:line="240" w:lineRule="auto"/>
              <w:ind/>
              <w:rPr>
                <w:rFonts w:ascii="Arial Narrow" w:hAnsi="Arial Narrow" w:eastAsia="仿宋_GB2312" w:cs="Arial"/>
                <w:sz w:val="20"/>
                <w:szCs w:val="20"/>
                <w:lang w:eastAsia="zh-CN"/>
              </w:rPr>
            </w:pPr>
            <w:r>
              <w:rPr>
                <w:rFonts w:ascii="Arial Narrow" w:hAnsi="Arial Narrow" w:eastAsia="仿宋_GB2312" w:cs="Arial"/>
                <w:sz w:val="20"/>
                <w:szCs w:val="20"/>
                <w:lang w:eastAsia="zh-CN"/>
              </w:rPr>
            </w:r>
            <w:r>
              <w:rPr>
                <w:rFonts w:ascii="Arial Narrow" w:hAnsi="Arial Narrow" w:eastAsia="仿宋_GB2312" w:cs="Arial"/>
                <w:sz w:val="20"/>
                <w:szCs w:val="20"/>
                <w:lang w:eastAsia="zh-CN"/>
              </w:rPr>
            </w:r>
          </w:p>
        </w:tc>
      </w:tr>
      <w:tr>
        <w:trPr>
          <w:trHeight w:val="291"/>
        </w:trPr>
        <w:tc>
          <w:tcPr>
            <w:shd w:val="clear" w:color="auto" w:fill="auto"/>
            <w:tcBorders>
              <w:top w:val="single" w:color="auto" w:sz="4" w:space="0"/>
              <w:left w:val="single" w:color="auto" w:sz="4" w:space="0"/>
              <w:bottom w:val="single" w:color="auto" w:sz="4" w:space="0"/>
              <w:right w:val="single" w:color="auto" w:sz="4" w:space="0"/>
            </w:tcBorders>
            <w:tcW w:w="988" w:type="dxa"/>
            <w:vAlign w:val="center"/>
            <w:vMerge w:val="continue"/>
            <w:textDirection w:val="lrTb"/>
            <w:noWrap w:val="false"/>
          </w:tcPr>
          <w:p>
            <w:pPr>
              <w:pStyle w:val="1453"/>
              <w:pBdr/>
              <w:spacing w:line="240" w:lineRule="auto"/>
              <w:ind w:firstLine="0"/>
              <w:jc w:val="center"/>
              <w:rPr>
                <w:rFonts w:ascii="Arial Narrow" w:hAnsi="Arial Narrow" w:eastAsia="仿宋_GB2312" w:cs="Arial"/>
                <w:sz w:val="20"/>
                <w:szCs w:val="20"/>
                <w:lang w:eastAsia="zh-CN"/>
              </w:rPr>
            </w:pPr>
            <w:r>
              <w:rPr>
                <w:rFonts w:ascii="Arial Narrow" w:hAnsi="Arial Narrow" w:eastAsia="仿宋_GB2312" w:cs="Arial"/>
                <w:sz w:val="20"/>
                <w:szCs w:val="20"/>
                <w:lang w:eastAsia="zh-CN"/>
              </w:rPr>
            </w:r>
            <w:r>
              <w:rPr>
                <w:rFonts w:ascii="Arial Narrow" w:hAnsi="Arial Narrow" w:eastAsia="仿宋_GB2312" w:cs="Arial"/>
                <w:sz w:val="20"/>
                <w:szCs w:val="20"/>
                <w:lang w:eastAsia="zh-CN"/>
              </w:rPr>
            </w:r>
          </w:p>
        </w:tc>
        <w:tc>
          <w:tcPr>
            <w:shd w:val="clear" w:color="auto" w:fill="auto"/>
            <w:tcBorders>
              <w:top w:val="single" w:color="auto" w:sz="4" w:space="0"/>
              <w:left w:val="single" w:color="auto" w:sz="4" w:space="0"/>
              <w:bottom w:val="single" w:color="auto" w:sz="4" w:space="0"/>
              <w:right w:val="single" w:color="auto" w:sz="4" w:space="0"/>
            </w:tcBorders>
            <w:tcW w:w="6095" w:type="dxa"/>
            <w:vAlign w:val="center"/>
            <w:textDirection w:val="lrTb"/>
            <w:noWrap w:val="false"/>
          </w:tcPr>
          <w:p>
            <w:pPr>
              <w:pStyle w:val="1453"/>
              <w:numPr>
                <w:ilvl w:val="0"/>
                <w:numId w:val="13"/>
              </w:numPr>
              <w:pBdr/>
              <w:spacing w:after="0" w:before="0" w:line="240" w:lineRule="auto"/>
              <w:ind w:hanging="425" w:left="600"/>
              <w:jc w:val="left"/>
              <w:rPr>
                <w:rFonts w:ascii="Arial Narrow" w:hAnsi="Arial Narrow" w:eastAsia="仿宋_GB2312" w:cs="Arial"/>
                <w:sz w:val="20"/>
                <w:szCs w:val="20"/>
                <w:lang w:eastAsia="zh-CN"/>
              </w:rPr>
            </w:pPr>
            <w:r>
              <w:rPr>
                <w:rFonts w:ascii="Arial Narrow" w:hAnsi="Arial Narrow" w:eastAsia="仿宋_GB2312" w:cs="Arial"/>
                <w:color w:val="000000"/>
                <w:sz w:val="20"/>
                <w:szCs w:val="20"/>
                <w:lang w:eastAsia="zh-CN"/>
              </w:rPr>
              <w:t xml:space="preserve">对外投资项目数据，包括对外投资项目的营运数据。</w:t>
            </w:r>
            <w:r>
              <w:rPr>
                <w:rFonts w:ascii="Arial Narrow" w:hAnsi="Arial Narrow" w:eastAsia="仿宋_GB2312" w:cs="Arial"/>
                <w:sz w:val="20"/>
                <w:szCs w:val="20"/>
                <w:lang w:eastAsia="zh-CN"/>
              </w:rPr>
            </w:r>
          </w:p>
        </w:tc>
        <w:tc>
          <w:tcPr>
            <w:shd w:val="clear" w:color="auto" w:fill="auto"/>
            <w:tcBorders>
              <w:top w:val="single" w:color="auto" w:sz="4" w:space="0"/>
              <w:left w:val="single" w:color="auto" w:sz="4" w:space="0"/>
              <w:bottom w:val="single" w:color="auto" w:sz="4" w:space="0"/>
              <w:right w:val="single" w:color="auto" w:sz="4" w:space="0"/>
            </w:tcBorders>
            <w:tcW w:w="1134" w:type="dxa"/>
            <w:vAlign w:val="center"/>
            <w:vMerge w:val="continue"/>
            <w:textDirection w:val="lrTb"/>
            <w:noWrap w:val="false"/>
          </w:tcPr>
          <w:p>
            <w:pPr>
              <w:pStyle w:val="1453"/>
              <w:pBdr/>
              <w:spacing w:after="60" w:before="60"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r>
            <w:r>
              <w:rPr>
                <w:rFonts w:ascii="Arial Narrow" w:hAnsi="Arial Narrow" w:eastAsia="仿宋_GB2312" w:cs="Arial"/>
                <w:sz w:val="20"/>
                <w:szCs w:val="20"/>
                <w:lang w:eastAsia="zh-CN"/>
              </w:rPr>
            </w:r>
          </w:p>
        </w:tc>
      </w:tr>
      <w:tr>
        <w:trPr/>
        <w:tc>
          <w:tcPr>
            <w:shd w:val="clear" w:color="auto" w:fill="ddebf7"/>
            <w:tcBorders>
              <w:top w:val="single" w:color="auto" w:sz="4" w:space="0"/>
              <w:left w:val="single" w:color="auto" w:sz="4" w:space="0"/>
              <w:bottom w:val="single" w:color="auto" w:sz="4" w:space="0"/>
              <w:right w:val="single" w:color="auto" w:sz="4" w:space="0"/>
            </w:tcBorders>
            <w:tcW w:w="988" w:type="dxa"/>
            <w:vAlign w:val="center"/>
            <w:vMerge w:val="restart"/>
            <w:textDirection w:val="lrTb"/>
            <w:noWrap w:val="false"/>
          </w:tcPr>
          <w:p>
            <w:pPr>
              <w:pStyle w:val="1453"/>
              <w:pBdr/>
              <w:spacing w:line="240" w:lineRule="auto"/>
              <w:ind w:firstLine="0"/>
              <w:jc w:val="center"/>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（三）关联交易</w:t>
            </w:r>
            <w:r>
              <w:rPr>
                <w:rFonts w:ascii="Arial Narrow" w:hAnsi="Arial Narrow" w:eastAsia="仿宋_GB2312" w:cs="Arial"/>
                <w:sz w:val="20"/>
                <w:szCs w:val="20"/>
                <w:lang w:eastAsia="zh-CN"/>
              </w:rPr>
            </w:r>
          </w:p>
          <w:p>
            <w:pPr>
              <w:pStyle w:val="1453"/>
              <w:pBdr/>
              <w:spacing w:line="240" w:lineRule="auto"/>
              <w:ind w:firstLine="0"/>
              <w:jc w:val="center"/>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4.关联股权转让</w:t>
            </w:r>
            <w:r>
              <w:rPr>
                <w:rFonts w:ascii="Arial Narrow" w:hAnsi="Arial Narrow" w:eastAsia="仿宋_GB2312" w:cs="Arial"/>
                <w:sz w:val="20"/>
                <w:szCs w:val="20"/>
                <w:lang w:eastAsia="zh-CN"/>
              </w:rPr>
            </w:r>
            <w:r>
              <w:rPr>
                <w:rFonts w:ascii="Arial Narrow" w:hAnsi="Arial Narrow" w:eastAsia="仿宋_GB2312" w:cs="Arial"/>
                <w:sz w:val="20"/>
                <w:szCs w:val="20"/>
                <w:lang w:eastAsia="zh-CN"/>
              </w:rPr>
            </w:r>
          </w:p>
        </w:tc>
        <w:tc>
          <w:tcPr>
            <w:shd w:val="clear" w:color="auto" w:fill="ddebf7"/>
            <w:tcBorders>
              <w:top w:val="single" w:color="auto" w:sz="4" w:space="0"/>
              <w:left w:val="single" w:color="auto" w:sz="4" w:space="0"/>
              <w:bottom w:val="single" w:color="auto" w:sz="4" w:space="0"/>
              <w:right w:val="single" w:color="auto" w:sz="4" w:space="0"/>
            </w:tcBorders>
            <w:tcW w:w="6095" w:type="dxa"/>
            <w:vAlign w:val="center"/>
            <w:textDirection w:val="lrTb"/>
            <w:noWrap w:val="false"/>
          </w:tcPr>
          <w:p>
            <w:pPr>
              <w:pStyle w:val="1453"/>
              <w:numPr>
                <w:ilvl w:val="0"/>
                <w:numId w:val="14"/>
              </w:numPr>
              <w:pBdr/>
              <w:spacing w:after="0" w:before="0" w:line="240" w:lineRule="auto"/>
              <w:ind w:hanging="425" w:left="600"/>
              <w:jc w:val="left"/>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股权转让概况，包括转让背景、参与方、时间、价格、支付方式，以及影响股权转让的其他因素。</w:t>
            </w:r>
            <w:r>
              <w:rPr>
                <w:rFonts w:ascii="Arial Narrow" w:hAnsi="Arial Narrow" w:eastAsia="仿宋_GB2312" w:cs="Arial"/>
                <w:sz w:val="20"/>
                <w:szCs w:val="20"/>
                <w:lang w:eastAsia="zh-CN"/>
              </w:rPr>
            </w:r>
          </w:p>
        </w:tc>
        <w:tc>
          <w:tcPr>
            <w:shd w:val="clear" w:color="auto" w:fill="ddebf7"/>
            <w:tcBorders>
              <w:top w:val="single" w:color="auto" w:sz="4" w:space="0"/>
              <w:left w:val="single" w:color="auto" w:sz="4" w:space="0"/>
              <w:bottom w:val="single" w:color="auto" w:sz="4" w:space="0"/>
              <w:right w:val="single" w:color="auto" w:sz="4" w:space="0"/>
            </w:tcBorders>
            <w:tcW w:w="1134" w:type="dxa"/>
            <w:vAlign w:val="center"/>
            <w:vMerge w:val="restart"/>
            <w:textDirection w:val="lrTb"/>
            <w:noWrap w:val="false"/>
          </w:tcPr>
          <w:p>
            <w:pPr>
              <w:pStyle w:val="1453"/>
              <w:pBdr/>
              <w:spacing w:after="60" w:before="60"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2.4</w:t>
            </w:r>
            <w:r>
              <w:rPr>
                <w:rFonts w:ascii="Arial Narrow" w:hAnsi="Arial Narrow" w:eastAsia="仿宋_GB2312" w:cs="Arial"/>
                <w:sz w:val="20"/>
                <w:szCs w:val="20"/>
                <w:lang w:eastAsia="zh-CN"/>
              </w:rPr>
            </w:r>
          </w:p>
        </w:tc>
      </w:tr>
      <w:tr>
        <w:trPr/>
        <w:tc>
          <w:tcPr>
            <w:shd w:val="clear" w:color="auto" w:fill="auto"/>
            <w:tcBorders>
              <w:top w:val="single" w:color="auto" w:sz="4" w:space="0"/>
              <w:left w:val="single" w:color="auto" w:sz="4" w:space="0"/>
              <w:bottom w:val="single" w:color="auto" w:sz="4" w:space="0"/>
              <w:right w:val="single" w:color="auto" w:sz="4" w:space="0"/>
            </w:tcBorders>
            <w:tcW w:w="988" w:type="dxa"/>
            <w:vAlign w:val="center"/>
            <w:vMerge w:val="continue"/>
            <w:textDirection w:val="lrTb"/>
            <w:noWrap w:val="false"/>
          </w:tcPr>
          <w:p>
            <w:pPr>
              <w:pStyle w:val="1453"/>
              <w:pBdr/>
              <w:spacing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r>
            <w:r>
              <w:rPr>
                <w:rFonts w:ascii="Arial Narrow" w:hAnsi="Arial Narrow" w:eastAsia="仿宋_GB2312" w:cs="Arial"/>
                <w:sz w:val="20"/>
                <w:szCs w:val="20"/>
                <w:lang w:eastAsia="zh-CN"/>
              </w:rPr>
            </w:r>
          </w:p>
        </w:tc>
        <w:tc>
          <w:tcPr>
            <w:shd w:val="clear" w:color="auto" w:fill="auto"/>
            <w:tcBorders>
              <w:top w:val="single" w:color="auto" w:sz="4" w:space="0"/>
              <w:left w:val="single" w:color="auto" w:sz="4" w:space="0"/>
              <w:bottom w:val="single" w:color="auto" w:sz="4" w:space="0"/>
              <w:right w:val="single" w:color="auto" w:sz="4" w:space="0"/>
            </w:tcBorders>
            <w:tcW w:w="6095" w:type="dxa"/>
            <w:vAlign w:val="center"/>
            <w:textDirection w:val="lrTb"/>
            <w:noWrap w:val="false"/>
          </w:tcPr>
          <w:p>
            <w:pPr>
              <w:pStyle w:val="1453"/>
              <w:numPr>
                <w:ilvl w:val="0"/>
                <w:numId w:val="14"/>
              </w:numPr>
              <w:pBdr/>
              <w:spacing w:after="0" w:before="0" w:line="240" w:lineRule="auto"/>
              <w:ind w:hanging="425" w:left="600"/>
              <w:jc w:val="left"/>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股权转让标的的相关信息，包括股权转让标的所在地，出让方获取该股权的时间、方式和成本，股权转让收益等信息。</w:t>
            </w:r>
            <w:r>
              <w:rPr>
                <w:rFonts w:ascii="Arial Narrow" w:hAnsi="Arial Narrow" w:eastAsia="仿宋_GB2312" w:cs="Arial"/>
                <w:sz w:val="20"/>
                <w:szCs w:val="20"/>
                <w:lang w:eastAsia="zh-CN"/>
              </w:rPr>
            </w:r>
          </w:p>
        </w:tc>
        <w:tc>
          <w:tcPr>
            <w:shd w:val="clear" w:color="auto" w:fill="auto"/>
            <w:tcBorders>
              <w:top w:val="single" w:color="auto" w:sz="4" w:space="0"/>
              <w:left w:val="single" w:color="auto" w:sz="4" w:space="0"/>
              <w:bottom w:val="single" w:color="auto" w:sz="4" w:space="0"/>
              <w:right w:val="single" w:color="auto" w:sz="4" w:space="0"/>
            </w:tcBorders>
            <w:tcW w:w="1134" w:type="dxa"/>
            <w:vAlign w:val="center"/>
            <w:vMerge w:val="continue"/>
            <w:textDirection w:val="lrTb"/>
            <w:noWrap w:val="false"/>
          </w:tcPr>
          <w:p>
            <w:pPr>
              <w:pStyle w:val="1453"/>
              <w:pBdr/>
              <w:spacing w:after="60" w:before="60" w:line="240" w:lineRule="auto"/>
              <w:ind/>
              <w:rPr>
                <w:rFonts w:ascii="Arial Narrow" w:hAnsi="Arial Narrow" w:eastAsia="仿宋_GB2312" w:cs="Arial"/>
                <w:sz w:val="20"/>
                <w:szCs w:val="20"/>
                <w:lang w:eastAsia="zh-CN"/>
              </w:rPr>
            </w:pPr>
            <w:r>
              <w:rPr>
                <w:rFonts w:ascii="Arial Narrow" w:hAnsi="Arial Narrow" w:eastAsia="仿宋_GB2312" w:cs="Arial"/>
                <w:sz w:val="20"/>
                <w:szCs w:val="20"/>
                <w:lang w:eastAsia="zh-CN"/>
              </w:rPr>
            </w:r>
            <w:r>
              <w:rPr>
                <w:rFonts w:ascii="Arial Narrow" w:hAnsi="Arial Narrow" w:eastAsia="仿宋_GB2312" w:cs="Arial"/>
                <w:sz w:val="20"/>
                <w:szCs w:val="20"/>
                <w:lang w:eastAsia="zh-CN"/>
              </w:rPr>
            </w:r>
          </w:p>
        </w:tc>
      </w:tr>
      <w:tr>
        <w:trPr/>
        <w:tc>
          <w:tcPr>
            <w:shd w:val="clear" w:color="auto" w:fill="auto"/>
            <w:tcBorders>
              <w:top w:val="single" w:color="auto" w:sz="4" w:space="0"/>
              <w:left w:val="single" w:color="auto" w:sz="4" w:space="0"/>
              <w:bottom w:val="single" w:color="auto" w:sz="4" w:space="0"/>
              <w:right w:val="single" w:color="auto" w:sz="4" w:space="0"/>
            </w:tcBorders>
            <w:tcW w:w="988" w:type="dxa"/>
            <w:vAlign w:val="center"/>
            <w:vMerge w:val="continue"/>
            <w:textDirection w:val="lrTb"/>
            <w:noWrap w:val="false"/>
          </w:tcPr>
          <w:p>
            <w:pPr>
              <w:pStyle w:val="1453"/>
              <w:pBdr/>
              <w:spacing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r>
            <w:r>
              <w:rPr>
                <w:rFonts w:ascii="Arial Narrow" w:hAnsi="Arial Narrow" w:eastAsia="仿宋_GB2312" w:cs="Arial"/>
                <w:sz w:val="20"/>
                <w:szCs w:val="20"/>
                <w:lang w:eastAsia="zh-CN"/>
              </w:rPr>
            </w:r>
          </w:p>
        </w:tc>
        <w:tc>
          <w:tcPr>
            <w:shd w:val="clear" w:color="auto" w:fill="ddebf7"/>
            <w:tcBorders>
              <w:top w:val="single" w:color="auto" w:sz="4" w:space="0"/>
              <w:left w:val="single" w:color="auto" w:sz="4" w:space="0"/>
              <w:bottom w:val="single" w:color="auto" w:sz="4" w:space="0"/>
              <w:right w:val="single" w:color="auto" w:sz="4" w:space="0"/>
            </w:tcBorders>
            <w:tcW w:w="6095" w:type="dxa"/>
            <w:vAlign w:val="center"/>
            <w:textDirection w:val="lrTb"/>
            <w:noWrap w:val="false"/>
          </w:tcPr>
          <w:p>
            <w:pPr>
              <w:pStyle w:val="1453"/>
              <w:numPr>
                <w:ilvl w:val="0"/>
                <w:numId w:val="14"/>
              </w:numPr>
              <w:pBdr/>
              <w:spacing w:after="0" w:before="0" w:line="240" w:lineRule="auto"/>
              <w:ind w:hanging="425" w:left="600"/>
              <w:jc w:val="left"/>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尽职调查报告或者资产评估报告等与股权转让相关的其他信息。</w:t>
            </w:r>
            <w:r>
              <w:rPr>
                <w:rFonts w:ascii="Arial Narrow" w:hAnsi="Arial Narrow" w:eastAsia="仿宋_GB2312" w:cs="Arial"/>
                <w:sz w:val="20"/>
                <w:szCs w:val="20"/>
                <w:lang w:eastAsia="zh-CN"/>
              </w:rPr>
            </w:r>
          </w:p>
        </w:tc>
        <w:tc>
          <w:tcPr>
            <w:shd w:val="clear" w:color="auto" w:fill="ddebf7"/>
            <w:tcBorders>
              <w:top w:val="single" w:color="auto" w:sz="4" w:space="0"/>
              <w:left w:val="single" w:color="auto" w:sz="4" w:space="0"/>
              <w:bottom w:val="single" w:color="auto" w:sz="4" w:space="0"/>
              <w:right w:val="single" w:color="auto" w:sz="4" w:space="0"/>
            </w:tcBorders>
            <w:tcW w:w="1134" w:type="dxa"/>
            <w:vAlign w:val="center"/>
            <w:vMerge w:val="continue"/>
            <w:textDirection w:val="lrTb"/>
            <w:noWrap w:val="false"/>
          </w:tcPr>
          <w:p>
            <w:pPr>
              <w:pStyle w:val="1453"/>
              <w:pBdr/>
              <w:spacing w:after="60" w:before="60"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r>
            <w:r>
              <w:rPr>
                <w:rFonts w:ascii="Arial Narrow" w:hAnsi="Arial Narrow" w:eastAsia="仿宋_GB2312" w:cs="Arial"/>
                <w:sz w:val="20"/>
                <w:szCs w:val="20"/>
                <w:lang w:eastAsia="zh-CN"/>
              </w:rPr>
            </w:r>
          </w:p>
        </w:tc>
      </w:tr>
      <w:tr>
        <w:trPr/>
        <w:tc>
          <w:tcPr>
            <w:shd w:val="clear" w:color="auto" w:fill="auto"/>
            <w:tcBorders>
              <w:top w:val="single" w:color="auto" w:sz="4" w:space="0"/>
              <w:left w:val="single" w:color="auto" w:sz="4" w:space="0"/>
              <w:bottom w:val="single" w:color="auto" w:sz="4" w:space="0"/>
              <w:right w:val="single" w:color="auto" w:sz="4" w:space="0"/>
            </w:tcBorders>
            <w:tcW w:w="988" w:type="dxa"/>
            <w:vAlign w:val="center"/>
            <w:vMerge w:val="restart"/>
            <w:textDirection w:val="lrTb"/>
            <w:noWrap w:val="false"/>
          </w:tcPr>
          <w:p>
            <w:pPr>
              <w:pStyle w:val="1453"/>
              <w:pBdr/>
              <w:spacing w:line="240" w:lineRule="auto"/>
              <w:ind w:firstLine="0"/>
              <w:jc w:val="center"/>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（三）关联交易</w:t>
            </w:r>
            <w:r>
              <w:rPr>
                <w:rFonts w:ascii="Arial Narrow" w:hAnsi="Arial Narrow" w:eastAsia="仿宋_GB2312" w:cs="Arial"/>
                <w:sz w:val="20"/>
                <w:szCs w:val="20"/>
                <w:lang w:eastAsia="zh-CN"/>
              </w:rPr>
            </w:r>
          </w:p>
          <w:p>
            <w:pPr>
              <w:pStyle w:val="1453"/>
              <w:pBdr/>
              <w:spacing w:line="240" w:lineRule="auto"/>
              <w:ind w:firstLine="0"/>
              <w:jc w:val="center"/>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5.关联劳务</w:t>
            </w:r>
            <w:r>
              <w:rPr>
                <w:rFonts w:ascii="Arial Narrow" w:hAnsi="Arial Narrow" w:eastAsia="仿宋_GB2312" w:cs="Arial"/>
                <w:sz w:val="20"/>
                <w:szCs w:val="20"/>
                <w:lang w:eastAsia="zh-CN"/>
              </w:rPr>
            </w:r>
            <w:r>
              <w:rPr>
                <w:rFonts w:ascii="Arial Narrow" w:hAnsi="Arial Narrow" w:eastAsia="仿宋_GB2312" w:cs="Arial"/>
                <w:sz w:val="20"/>
                <w:szCs w:val="20"/>
                <w:lang w:eastAsia="zh-CN"/>
              </w:rPr>
            </w:r>
          </w:p>
        </w:tc>
        <w:tc>
          <w:tcPr>
            <w:shd w:val="clear" w:color="auto" w:fill="auto"/>
            <w:tcBorders>
              <w:top w:val="single" w:color="auto" w:sz="4" w:space="0"/>
              <w:left w:val="single" w:color="auto" w:sz="4" w:space="0"/>
              <w:bottom w:val="single" w:color="auto" w:sz="4" w:space="0"/>
              <w:right w:val="single" w:color="auto" w:sz="4" w:space="0"/>
            </w:tcBorders>
            <w:tcW w:w="6095" w:type="dxa"/>
            <w:vAlign w:val="center"/>
            <w:textDirection w:val="lrTb"/>
            <w:noWrap w:val="false"/>
          </w:tcPr>
          <w:p>
            <w:pPr>
              <w:pStyle w:val="1453"/>
              <w:numPr>
                <w:ilvl w:val="0"/>
                <w:numId w:val="15"/>
              </w:numPr>
              <w:pBdr/>
              <w:spacing w:after="0" w:before="0" w:line="240" w:lineRule="auto"/>
              <w:ind w:hanging="425" w:left="600"/>
              <w:jc w:val="left"/>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关联劳务概况，包括劳务提供方和接受方，劳务的具体内容、特性、开展方式、定价原则、支付形式，以及劳务发生后各方受益情况等。</w:t>
            </w:r>
            <w:r>
              <w:rPr>
                <w:rFonts w:ascii="Arial Narrow" w:hAnsi="Arial Narrow" w:eastAsia="仿宋_GB2312" w:cs="Arial"/>
                <w:sz w:val="20"/>
                <w:szCs w:val="20"/>
                <w:lang w:eastAsia="zh-CN"/>
              </w:rPr>
            </w:r>
          </w:p>
        </w:tc>
        <w:tc>
          <w:tcPr>
            <w:shd w:val="clear" w:color="auto" w:fill="auto"/>
            <w:tcBorders>
              <w:top w:val="single" w:color="auto" w:sz="4" w:space="0"/>
              <w:left w:val="single" w:color="auto" w:sz="4" w:space="0"/>
              <w:bottom w:val="single" w:color="auto" w:sz="4" w:space="0"/>
              <w:right w:val="single" w:color="auto" w:sz="4" w:space="0"/>
            </w:tcBorders>
            <w:tcW w:w="1134" w:type="dxa"/>
            <w:vAlign w:val="center"/>
            <w:vMerge w:val="restart"/>
            <w:textDirection w:val="lrTb"/>
            <w:noWrap w:val="false"/>
          </w:tcPr>
          <w:p>
            <w:pPr>
              <w:pStyle w:val="1453"/>
              <w:pBdr/>
              <w:spacing w:after="60" w:before="60" w:line="240" w:lineRule="auto"/>
              <w:ind w:firstLine="0"/>
              <w:rPr>
                <w:rFonts w:ascii="Arial Narrow" w:hAnsi="Arial Narrow" w:eastAsia="仿宋_GB2312" w:cs="Arial"/>
                <w:sz w:val="20"/>
                <w:szCs w:val="20"/>
                <w:lang w:eastAsia="zh-CN"/>
              </w:rPr>
            </w:pPr>
            <w:r>
              <w:rPr>
                <w:rFonts w:hint="eastAsia" w:ascii="Arial Narrow" w:hAnsi="Arial Narrow" w:eastAsia="仿宋_GB2312" w:cs="Arial"/>
                <w:sz w:val="20"/>
                <w:szCs w:val="20"/>
                <w:lang w:eastAsia="zh-CN"/>
              </w:rPr>
              <w:t xml:space="preserve">不适用</w:t>
            </w:r>
            <w:r>
              <w:rPr>
                <w:rFonts w:ascii="Arial Narrow" w:hAnsi="Arial Narrow" w:eastAsia="仿宋_GB2312" w:cs="Arial"/>
                <w:sz w:val="20"/>
                <w:szCs w:val="20"/>
                <w:lang w:eastAsia="zh-CN"/>
              </w:rPr>
            </w:r>
          </w:p>
        </w:tc>
      </w:tr>
      <w:tr>
        <w:trPr/>
        <w:tc>
          <w:tcPr>
            <w:shd w:val="clear" w:color="auto" w:fill="auto"/>
            <w:tcBorders>
              <w:top w:val="single" w:color="auto" w:sz="4" w:space="0"/>
              <w:left w:val="single" w:color="auto" w:sz="4" w:space="0"/>
              <w:bottom w:val="single" w:color="auto" w:sz="4" w:space="0"/>
              <w:right w:val="single" w:color="auto" w:sz="4" w:space="0"/>
            </w:tcBorders>
            <w:tcW w:w="988" w:type="dxa"/>
            <w:vAlign w:val="center"/>
            <w:vMerge w:val="continue"/>
            <w:textDirection w:val="lrTb"/>
            <w:noWrap w:val="false"/>
          </w:tcPr>
          <w:p>
            <w:pPr>
              <w:pStyle w:val="1453"/>
              <w:pBdr/>
              <w:spacing w:line="240" w:lineRule="auto"/>
              <w:ind w:firstLine="0"/>
              <w:jc w:val="center"/>
              <w:rPr>
                <w:rFonts w:ascii="Arial Narrow" w:hAnsi="Arial Narrow" w:eastAsia="仿宋_GB2312" w:cs="Arial"/>
                <w:sz w:val="20"/>
                <w:szCs w:val="20"/>
                <w:lang w:eastAsia="zh-CN"/>
              </w:rPr>
            </w:pPr>
            <w:r>
              <w:rPr>
                <w:rFonts w:ascii="Arial Narrow" w:hAnsi="Arial Narrow" w:eastAsia="仿宋_GB2312" w:cs="Arial"/>
                <w:sz w:val="20"/>
                <w:szCs w:val="20"/>
                <w:lang w:eastAsia="zh-CN"/>
              </w:rPr>
            </w:r>
            <w:r>
              <w:rPr>
                <w:rFonts w:ascii="Arial Narrow" w:hAnsi="Arial Narrow" w:eastAsia="仿宋_GB2312" w:cs="Arial"/>
                <w:sz w:val="20"/>
                <w:szCs w:val="20"/>
                <w:lang w:eastAsia="zh-CN"/>
              </w:rPr>
            </w:r>
          </w:p>
        </w:tc>
        <w:tc>
          <w:tcPr>
            <w:shd w:val="clear" w:color="auto" w:fill="ddebf7"/>
            <w:tcBorders>
              <w:top w:val="single" w:color="auto" w:sz="4" w:space="0"/>
              <w:left w:val="single" w:color="auto" w:sz="4" w:space="0"/>
              <w:bottom w:val="single" w:color="auto" w:sz="4" w:space="0"/>
              <w:right w:val="single" w:color="auto" w:sz="4" w:space="0"/>
            </w:tcBorders>
            <w:tcW w:w="6095" w:type="dxa"/>
            <w:vAlign w:val="center"/>
            <w:textDirection w:val="lrTb"/>
            <w:noWrap w:val="false"/>
          </w:tcPr>
          <w:p>
            <w:pPr>
              <w:pStyle w:val="1453"/>
              <w:numPr>
                <w:ilvl w:val="0"/>
                <w:numId w:val="15"/>
              </w:numPr>
              <w:pBdr/>
              <w:spacing w:after="0" w:before="0" w:line="240" w:lineRule="auto"/>
              <w:ind w:hanging="425" w:left="600"/>
              <w:jc w:val="left"/>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劳务成本费用的归集方法、项目、金额、分配标准、计算过程及结果等。</w:t>
            </w:r>
            <w:r>
              <w:rPr>
                <w:rFonts w:ascii="Arial Narrow" w:hAnsi="Arial Narrow" w:eastAsia="仿宋_GB2312" w:cs="Arial"/>
                <w:sz w:val="20"/>
                <w:szCs w:val="20"/>
                <w:lang w:eastAsia="zh-CN"/>
              </w:rPr>
            </w:r>
          </w:p>
        </w:tc>
        <w:tc>
          <w:tcPr>
            <w:shd w:val="clear" w:color="auto" w:fill="ddebf7"/>
            <w:tcBorders>
              <w:top w:val="single" w:color="auto" w:sz="4" w:space="0"/>
              <w:left w:val="single" w:color="auto" w:sz="4" w:space="0"/>
              <w:bottom w:val="single" w:color="auto" w:sz="4" w:space="0"/>
              <w:right w:val="single" w:color="auto" w:sz="4" w:space="0"/>
            </w:tcBorders>
            <w:tcW w:w="1134" w:type="dxa"/>
            <w:vAlign w:val="center"/>
            <w:vMerge w:val="continue"/>
            <w:textDirection w:val="lrTb"/>
            <w:noWrap w:val="false"/>
          </w:tcPr>
          <w:p>
            <w:pPr>
              <w:pStyle w:val="1453"/>
              <w:pBdr/>
              <w:spacing w:after="60" w:before="60" w:line="240" w:lineRule="auto"/>
              <w:ind/>
              <w:rPr>
                <w:rFonts w:ascii="Arial Narrow" w:hAnsi="Arial Narrow" w:eastAsia="仿宋_GB2312" w:cs="Arial"/>
                <w:sz w:val="20"/>
                <w:szCs w:val="20"/>
                <w:lang w:eastAsia="zh-CN"/>
              </w:rPr>
            </w:pPr>
            <w:r>
              <w:rPr>
                <w:rFonts w:ascii="Arial Narrow" w:hAnsi="Arial Narrow" w:eastAsia="仿宋_GB2312" w:cs="Arial"/>
                <w:sz w:val="20"/>
                <w:szCs w:val="20"/>
                <w:lang w:eastAsia="zh-CN"/>
              </w:rPr>
            </w:r>
            <w:r>
              <w:rPr>
                <w:rFonts w:ascii="Arial Narrow" w:hAnsi="Arial Narrow" w:eastAsia="仿宋_GB2312" w:cs="Arial"/>
                <w:sz w:val="20"/>
                <w:szCs w:val="20"/>
                <w:lang w:eastAsia="zh-CN"/>
              </w:rPr>
            </w:r>
          </w:p>
        </w:tc>
      </w:tr>
      <w:tr>
        <w:trPr/>
        <w:tc>
          <w:tcPr>
            <w:shd w:val="clear" w:color="auto" w:fill="auto"/>
            <w:tcBorders>
              <w:top w:val="single" w:color="auto" w:sz="4" w:space="0"/>
              <w:left w:val="single" w:color="auto" w:sz="4" w:space="0"/>
              <w:bottom w:val="single" w:color="auto" w:sz="4" w:space="0"/>
              <w:right w:val="single" w:color="auto" w:sz="4" w:space="0"/>
            </w:tcBorders>
            <w:tcW w:w="988" w:type="dxa"/>
            <w:vAlign w:val="center"/>
            <w:vMerge w:val="continue"/>
            <w:textDirection w:val="lrTb"/>
            <w:noWrap w:val="false"/>
          </w:tcPr>
          <w:p>
            <w:pPr>
              <w:pStyle w:val="1453"/>
              <w:pBdr/>
              <w:spacing w:line="240" w:lineRule="auto"/>
              <w:ind w:firstLine="0"/>
              <w:jc w:val="center"/>
              <w:rPr>
                <w:rFonts w:ascii="Arial Narrow" w:hAnsi="Arial Narrow" w:eastAsia="仿宋_GB2312" w:cs="Arial"/>
                <w:sz w:val="20"/>
                <w:szCs w:val="20"/>
                <w:lang w:eastAsia="zh-CN"/>
              </w:rPr>
            </w:pPr>
            <w:r>
              <w:rPr>
                <w:rFonts w:ascii="Arial Narrow" w:hAnsi="Arial Narrow" w:eastAsia="仿宋_GB2312" w:cs="Arial"/>
                <w:sz w:val="20"/>
                <w:szCs w:val="20"/>
                <w:lang w:eastAsia="zh-CN"/>
              </w:rPr>
            </w:r>
            <w:r>
              <w:rPr>
                <w:rFonts w:ascii="Arial Narrow" w:hAnsi="Arial Narrow" w:eastAsia="仿宋_GB2312" w:cs="Arial"/>
                <w:sz w:val="20"/>
                <w:szCs w:val="20"/>
                <w:lang w:eastAsia="zh-CN"/>
              </w:rPr>
            </w:r>
          </w:p>
        </w:tc>
        <w:tc>
          <w:tcPr>
            <w:shd w:val="clear" w:color="auto" w:fill="auto"/>
            <w:tcBorders>
              <w:top w:val="single" w:color="auto" w:sz="4" w:space="0"/>
              <w:left w:val="single" w:color="auto" w:sz="4" w:space="0"/>
              <w:bottom w:val="single" w:color="auto" w:sz="4" w:space="0"/>
              <w:right w:val="single" w:color="auto" w:sz="4" w:space="0"/>
            </w:tcBorders>
            <w:tcW w:w="6095" w:type="dxa"/>
            <w:vAlign w:val="center"/>
            <w:textDirection w:val="lrTb"/>
            <w:noWrap w:val="false"/>
          </w:tcPr>
          <w:p>
            <w:pPr>
              <w:pStyle w:val="1453"/>
              <w:numPr>
                <w:ilvl w:val="0"/>
                <w:numId w:val="15"/>
              </w:numPr>
              <w:pBdr/>
              <w:spacing w:after="0" w:before="0" w:line="240" w:lineRule="auto"/>
              <w:ind w:hanging="425" w:left="600"/>
              <w:jc w:val="left"/>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企业及其所属企业集团与非关联方存在相同或者类似劳务交易的，还应当详细说明关联劳务与非关联劳务在定价原则和交易结果上的异同。</w:t>
            </w:r>
            <w:r>
              <w:rPr>
                <w:rFonts w:ascii="Arial Narrow" w:hAnsi="Arial Narrow" w:eastAsia="仿宋_GB2312" w:cs="Arial"/>
                <w:sz w:val="20"/>
                <w:szCs w:val="20"/>
                <w:lang w:eastAsia="zh-CN"/>
              </w:rPr>
            </w:r>
          </w:p>
        </w:tc>
        <w:tc>
          <w:tcPr>
            <w:shd w:val="clear" w:color="auto" w:fill="auto"/>
            <w:tcBorders>
              <w:top w:val="single" w:color="auto" w:sz="4" w:space="0"/>
              <w:left w:val="single" w:color="auto" w:sz="4" w:space="0"/>
              <w:bottom w:val="single" w:color="auto" w:sz="4" w:space="0"/>
              <w:right w:val="single" w:color="auto" w:sz="4" w:space="0"/>
            </w:tcBorders>
            <w:tcW w:w="1134" w:type="dxa"/>
            <w:vAlign w:val="center"/>
            <w:vMerge w:val="continue"/>
            <w:textDirection w:val="lrTb"/>
            <w:noWrap w:val="false"/>
          </w:tcPr>
          <w:p>
            <w:pPr>
              <w:pStyle w:val="1453"/>
              <w:pBdr/>
              <w:spacing w:after="60" w:before="60"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r>
            <w:r>
              <w:rPr>
                <w:rFonts w:ascii="Arial Narrow" w:hAnsi="Arial Narrow" w:eastAsia="仿宋_GB2312" w:cs="Arial"/>
                <w:sz w:val="20"/>
                <w:szCs w:val="20"/>
                <w:lang w:eastAsia="zh-CN"/>
              </w:rPr>
            </w:r>
          </w:p>
        </w:tc>
      </w:tr>
      <w:tr>
        <w:trPr>
          <w:trHeight w:val="1263"/>
        </w:trPr>
        <w:tc>
          <w:tcPr>
            <w:shd w:val="clear" w:color="auto" w:fill="ddebf7"/>
            <w:tcBorders>
              <w:top w:val="single" w:color="auto" w:sz="4" w:space="0"/>
              <w:left w:val="single" w:color="auto" w:sz="4" w:space="0"/>
              <w:bottom w:val="single" w:color="auto" w:sz="4" w:space="0"/>
              <w:right w:val="single" w:color="auto" w:sz="4" w:space="0"/>
            </w:tcBorders>
            <w:tcW w:w="988" w:type="dxa"/>
            <w:vAlign w:val="center"/>
            <w:textDirection w:val="lrTb"/>
            <w:noWrap w:val="false"/>
          </w:tcPr>
          <w:p>
            <w:pPr>
              <w:pStyle w:val="1453"/>
              <w:pBdr/>
              <w:spacing w:line="240" w:lineRule="auto"/>
              <w:ind w:firstLine="0"/>
              <w:jc w:val="center"/>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（三）关联交易</w:t>
            </w:r>
            <w:r>
              <w:rPr>
                <w:rFonts w:ascii="Arial Narrow" w:hAnsi="Arial Narrow" w:eastAsia="仿宋_GB2312" w:cs="Arial"/>
                <w:sz w:val="20"/>
                <w:szCs w:val="20"/>
                <w:lang w:eastAsia="zh-CN"/>
              </w:rPr>
            </w:r>
          </w:p>
          <w:p>
            <w:pPr>
              <w:pStyle w:val="1453"/>
              <w:pBdr/>
              <w:spacing w:line="240" w:lineRule="auto"/>
              <w:ind w:firstLine="0"/>
              <w:jc w:val="center"/>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6.预约定价安排和作出的其他税收裁定</w:t>
            </w:r>
            <w:r>
              <w:rPr>
                <w:rFonts w:ascii="Arial Narrow" w:hAnsi="Arial Narrow" w:eastAsia="仿宋_GB2312" w:cs="Arial"/>
                <w:sz w:val="20"/>
                <w:szCs w:val="20"/>
                <w:lang w:eastAsia="zh-CN"/>
              </w:rPr>
            </w:r>
            <w:r>
              <w:rPr>
                <w:rFonts w:ascii="Arial Narrow" w:hAnsi="Arial Narrow" w:eastAsia="仿宋_GB2312" w:cs="Arial"/>
                <w:sz w:val="20"/>
                <w:szCs w:val="20"/>
                <w:lang w:eastAsia="zh-CN"/>
              </w:rPr>
            </w:r>
          </w:p>
        </w:tc>
        <w:tc>
          <w:tcPr>
            <w:shd w:val="clear" w:color="auto" w:fill="ddebf7"/>
            <w:tcBorders>
              <w:top w:val="single" w:color="auto" w:sz="4" w:space="0"/>
              <w:left w:val="single" w:color="auto" w:sz="4" w:space="0"/>
              <w:bottom w:val="single" w:color="auto" w:sz="4" w:space="0"/>
              <w:right w:val="single" w:color="auto" w:sz="4" w:space="0"/>
            </w:tcBorders>
            <w:tcW w:w="6095" w:type="dxa"/>
            <w:vAlign w:val="center"/>
            <w:textDirection w:val="lrTb"/>
            <w:noWrap w:val="false"/>
          </w:tcPr>
          <w:p>
            <w:pPr>
              <w:pStyle w:val="1453"/>
              <w:pBdr/>
              <w:spacing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与企业关联交易直接相关的，中国以外其他国家税务主管当局签订的预约定价安排和作出的其他税收裁定</w:t>
            </w:r>
            <w:r>
              <w:rPr>
                <w:rFonts w:ascii="Arial Narrow" w:hAnsi="Arial Narrow" w:eastAsia="仿宋_GB2312" w:cs="Arial"/>
                <w:sz w:val="20"/>
                <w:szCs w:val="20"/>
                <w:lang w:eastAsia="zh-CN"/>
              </w:rPr>
            </w:r>
          </w:p>
        </w:tc>
        <w:tc>
          <w:tcPr>
            <w:shd w:val="clear" w:color="auto" w:fill="ddebf7"/>
            <w:tcBorders>
              <w:top w:val="single" w:color="auto" w:sz="4" w:space="0"/>
              <w:left w:val="single" w:color="auto" w:sz="4" w:space="0"/>
              <w:bottom w:val="single" w:color="auto" w:sz="4" w:space="0"/>
              <w:right w:val="single" w:color="auto" w:sz="4" w:space="0"/>
            </w:tcBorders>
            <w:tcW w:w="1134" w:type="dxa"/>
            <w:vAlign w:val="center"/>
            <w:textDirection w:val="lrTb"/>
            <w:noWrap w:val="false"/>
          </w:tcPr>
          <w:p>
            <w:pPr>
              <w:pStyle w:val="1453"/>
              <w:pBdr/>
              <w:spacing w:after="60" w:before="60"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4.5</w:t>
            </w:r>
            <w:r>
              <w:rPr>
                <w:rFonts w:ascii="Arial Narrow" w:hAnsi="Arial Narrow" w:eastAsia="仿宋_GB2312" w:cs="Arial"/>
                <w:sz w:val="20"/>
                <w:szCs w:val="20"/>
                <w:lang w:eastAsia="zh-CN"/>
              </w:rPr>
            </w:r>
          </w:p>
        </w:tc>
      </w:tr>
      <w:tr>
        <w:trPr>
          <w:trHeight w:val="718"/>
        </w:trPr>
        <w:tc>
          <w:tcPr>
            <w:shd w:val="clear" w:color="auto" w:fill="auto"/>
            <w:tcBorders>
              <w:top w:val="single" w:color="auto" w:sz="4" w:space="0"/>
              <w:left w:val="single" w:color="auto" w:sz="4" w:space="0"/>
              <w:bottom w:val="single" w:color="auto" w:sz="4" w:space="0"/>
              <w:right w:val="single" w:color="auto" w:sz="4" w:space="0"/>
            </w:tcBorders>
            <w:tcW w:w="988" w:type="dxa"/>
            <w:vAlign w:val="center"/>
            <w:vMerge w:val="restart"/>
            <w:textDirection w:val="lrTb"/>
            <w:noWrap w:val="false"/>
          </w:tcPr>
          <w:p>
            <w:pPr>
              <w:pStyle w:val="1453"/>
              <w:pBdr/>
              <w:spacing w:line="240" w:lineRule="auto"/>
              <w:ind w:firstLine="0"/>
              <w:jc w:val="center"/>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（四）可比性分析</w:t>
            </w:r>
            <w:r>
              <w:rPr>
                <w:rFonts w:ascii="Arial Narrow" w:hAnsi="Arial Narrow" w:eastAsia="仿宋_GB2312" w:cs="Arial"/>
                <w:sz w:val="20"/>
                <w:szCs w:val="20"/>
                <w:lang w:eastAsia="zh-CN"/>
              </w:rPr>
            </w:r>
          </w:p>
        </w:tc>
        <w:tc>
          <w:tcPr>
            <w:shd w:val="clear" w:color="auto" w:fill="auto"/>
            <w:tcBorders>
              <w:top w:val="single" w:color="auto" w:sz="4" w:space="0"/>
              <w:left w:val="single" w:color="auto" w:sz="4" w:space="0"/>
              <w:bottom w:val="single" w:color="auto" w:sz="4" w:space="0"/>
              <w:right w:val="single" w:color="auto" w:sz="4" w:space="0"/>
            </w:tcBorders>
            <w:tcW w:w="6095" w:type="dxa"/>
            <w:vAlign w:val="center"/>
            <w:textDirection w:val="lrTb"/>
            <w:noWrap w:val="false"/>
          </w:tcPr>
          <w:p>
            <w:pPr>
              <w:pStyle w:val="1453"/>
              <w:numPr>
                <w:ilvl w:val="0"/>
                <w:numId w:val="16"/>
              </w:numPr>
              <w:pBdr/>
              <w:spacing w:after="0" w:before="0" w:line="240" w:lineRule="auto"/>
              <w:ind w:hanging="270" w:left="496"/>
              <w:jc w:val="left"/>
              <w:rPr>
                <w:rFonts w:ascii="Arial Narrow" w:hAnsi="Arial Narrow" w:eastAsia="仿宋_GB2312" w:cs="Arial"/>
                <w:color w:val="000000"/>
                <w:sz w:val="20"/>
                <w:szCs w:val="20"/>
                <w:lang w:eastAsia="zh-CN"/>
              </w:rPr>
            </w:pPr>
            <w:r>
              <w:rPr>
                <w:rFonts w:ascii="Arial Narrow" w:hAnsi="Arial Narrow" w:eastAsia="仿宋_GB2312" w:cs="Arial"/>
                <w:color w:val="000000"/>
                <w:sz w:val="20"/>
                <w:szCs w:val="20"/>
                <w:lang w:eastAsia="zh-CN"/>
              </w:rPr>
              <w:t xml:space="preserve">可比性分析考虑的因素，包括交易资产或者劳务特性，交易各方功能、风险和资产，合同条款，经济环境，经营策略等。</w:t>
            </w:r>
            <w:r>
              <w:rPr>
                <w:rFonts w:ascii="Arial Narrow" w:hAnsi="Arial Narrow" w:eastAsia="仿宋_GB2312" w:cs="Arial"/>
                <w:color w:val="000000"/>
                <w:sz w:val="20"/>
                <w:szCs w:val="20"/>
                <w:lang w:eastAsia="zh-CN"/>
              </w:rPr>
            </w:r>
          </w:p>
        </w:tc>
        <w:tc>
          <w:tcPr>
            <w:shd w:val="clear" w:color="auto" w:fill="auto"/>
            <w:tcBorders>
              <w:top w:val="single" w:color="auto" w:sz="4" w:space="0"/>
              <w:left w:val="single" w:color="auto" w:sz="4" w:space="0"/>
              <w:bottom w:val="single" w:color="auto" w:sz="4" w:space="0"/>
              <w:right w:val="single" w:color="auto" w:sz="4" w:space="0"/>
            </w:tcBorders>
            <w:tcW w:w="1134" w:type="dxa"/>
            <w:vAlign w:val="center"/>
            <w:textDirection w:val="lrTb"/>
            <w:noWrap w:val="false"/>
          </w:tcPr>
          <w:p>
            <w:pPr>
              <w:pStyle w:val="1453"/>
              <w:pBdr/>
              <w:spacing w:after="60" w:before="60"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7</w:t>
            </w:r>
            <w:r>
              <w:rPr>
                <w:rFonts w:ascii="Arial Narrow" w:hAnsi="Arial Narrow" w:eastAsia="仿宋_GB2312" w:cs="Arial"/>
                <w:sz w:val="20"/>
                <w:szCs w:val="20"/>
                <w:lang w:eastAsia="zh-CN"/>
              </w:rPr>
            </w:r>
          </w:p>
        </w:tc>
      </w:tr>
      <w:tr>
        <w:trPr>
          <w:trHeight w:val="502"/>
        </w:trPr>
        <w:tc>
          <w:tcPr>
            <w:shd w:val="clear" w:color="auto" w:fill="auto"/>
            <w:tcBorders>
              <w:top w:val="single" w:color="auto" w:sz="4" w:space="0"/>
              <w:left w:val="single" w:color="auto" w:sz="4" w:space="0"/>
              <w:bottom w:val="single" w:color="auto" w:sz="4" w:space="0"/>
              <w:right w:val="single" w:color="auto" w:sz="4" w:space="0"/>
            </w:tcBorders>
            <w:tcW w:w="988" w:type="dxa"/>
            <w:vAlign w:val="center"/>
            <w:vMerge w:val="continue"/>
            <w:textDirection w:val="lrTb"/>
            <w:noWrap w:val="false"/>
          </w:tcPr>
          <w:p>
            <w:pPr>
              <w:pStyle w:val="1453"/>
              <w:pBdr/>
              <w:spacing w:line="240" w:lineRule="auto"/>
              <w:ind w:firstLine="0"/>
              <w:jc w:val="center"/>
              <w:rPr>
                <w:rFonts w:ascii="Arial Narrow" w:hAnsi="Arial Narrow" w:eastAsia="仿宋_GB2312" w:cs="Arial"/>
                <w:sz w:val="20"/>
                <w:szCs w:val="20"/>
                <w:lang w:eastAsia="zh-CN"/>
              </w:rPr>
            </w:pPr>
            <w:r>
              <w:rPr>
                <w:rFonts w:ascii="Arial Narrow" w:hAnsi="Arial Narrow" w:eastAsia="仿宋_GB2312" w:cs="Arial"/>
                <w:sz w:val="20"/>
                <w:szCs w:val="20"/>
                <w:lang w:eastAsia="zh-CN"/>
              </w:rPr>
            </w:r>
            <w:r>
              <w:rPr>
                <w:rFonts w:ascii="Arial Narrow" w:hAnsi="Arial Narrow" w:eastAsia="仿宋_GB2312" w:cs="Arial"/>
                <w:sz w:val="20"/>
                <w:szCs w:val="20"/>
                <w:lang w:eastAsia="zh-CN"/>
              </w:rPr>
            </w:r>
          </w:p>
        </w:tc>
        <w:tc>
          <w:tcPr>
            <w:shd w:val="clear" w:color="auto" w:fill="ddebf7"/>
            <w:tcBorders>
              <w:top w:val="single" w:color="auto" w:sz="4" w:space="0"/>
              <w:left w:val="single" w:color="auto" w:sz="4" w:space="0"/>
              <w:bottom w:val="single" w:color="auto" w:sz="4" w:space="0"/>
              <w:right w:val="single" w:color="auto" w:sz="4" w:space="0"/>
            </w:tcBorders>
            <w:tcW w:w="6095" w:type="dxa"/>
            <w:vAlign w:val="center"/>
            <w:textDirection w:val="lrTb"/>
            <w:noWrap w:val="false"/>
          </w:tcPr>
          <w:p>
            <w:pPr>
              <w:pStyle w:val="1453"/>
              <w:numPr>
                <w:ilvl w:val="0"/>
                <w:numId w:val="16"/>
              </w:numPr>
              <w:pBdr/>
              <w:spacing w:after="0" w:before="0" w:line="240" w:lineRule="auto"/>
              <w:ind w:hanging="270" w:left="496"/>
              <w:jc w:val="left"/>
              <w:rPr>
                <w:rFonts w:ascii="Arial Narrow" w:hAnsi="Arial Narrow" w:eastAsia="仿宋_GB2312" w:cs="Arial"/>
                <w:color w:val="000000"/>
                <w:sz w:val="20"/>
                <w:szCs w:val="20"/>
                <w:lang w:eastAsia="zh-CN"/>
              </w:rPr>
            </w:pPr>
            <w:r>
              <w:rPr>
                <w:rFonts w:ascii="Arial Narrow" w:hAnsi="Arial Narrow" w:eastAsia="仿宋_GB2312" w:cs="Arial"/>
                <w:color w:val="000000"/>
                <w:sz w:val="20"/>
                <w:szCs w:val="20"/>
                <w:lang w:eastAsia="zh-CN"/>
              </w:rPr>
              <w:t xml:space="preserve">可比企业执行的功能、承担的风险以及使用的资产等相关信息。</w:t>
            </w:r>
            <w:r>
              <w:rPr>
                <w:rFonts w:ascii="Arial Narrow" w:hAnsi="Arial Narrow" w:eastAsia="仿宋_GB2312" w:cs="Arial"/>
                <w:color w:val="000000"/>
                <w:sz w:val="20"/>
                <w:szCs w:val="20"/>
                <w:lang w:eastAsia="zh-CN"/>
              </w:rPr>
            </w:r>
          </w:p>
        </w:tc>
        <w:tc>
          <w:tcPr>
            <w:shd w:val="clear" w:color="auto" w:fill="ddebf7"/>
            <w:tcBorders>
              <w:top w:val="single" w:color="auto" w:sz="4" w:space="0"/>
              <w:left w:val="single" w:color="auto" w:sz="4" w:space="0"/>
              <w:bottom w:val="single" w:color="auto" w:sz="4" w:space="0"/>
              <w:right w:val="single" w:color="auto" w:sz="4" w:space="0"/>
            </w:tcBorders>
            <w:tcW w:w="1134" w:type="dxa"/>
            <w:vAlign w:val="center"/>
            <w:textDirection w:val="lrTb"/>
            <w:noWrap w:val="false"/>
          </w:tcPr>
          <w:p>
            <w:pPr>
              <w:pStyle w:val="1453"/>
              <w:pBdr/>
              <w:spacing w:after="60" w:before="60"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5</w:t>
            </w:r>
            <w:r>
              <w:rPr>
                <w:rFonts w:ascii="Arial Narrow" w:hAnsi="Arial Narrow" w:eastAsia="仿宋_GB2312" w:cs="Arial"/>
                <w:sz w:val="20"/>
                <w:szCs w:val="20"/>
                <w:lang w:eastAsia="zh-CN"/>
              </w:rPr>
            </w:r>
          </w:p>
          <w:p>
            <w:pPr>
              <w:pStyle w:val="1453"/>
              <w:pBdr/>
              <w:spacing w:after="60" w:before="60"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附件3</w:t>
            </w:r>
            <w:r>
              <w:rPr>
                <w:rFonts w:ascii="Arial Narrow" w:hAnsi="Arial Narrow" w:eastAsia="仿宋_GB2312" w:cs="Arial"/>
                <w:sz w:val="20"/>
                <w:szCs w:val="20"/>
                <w:lang w:eastAsia="zh-CN"/>
              </w:rPr>
            </w:r>
            <w:r>
              <w:rPr>
                <w:rFonts w:ascii="Arial Narrow" w:hAnsi="Arial Narrow" w:eastAsia="仿宋_GB2312" w:cs="Arial"/>
                <w:sz w:val="20"/>
                <w:szCs w:val="20"/>
                <w:lang w:eastAsia="zh-CN"/>
              </w:rPr>
            </w:r>
          </w:p>
        </w:tc>
      </w:tr>
      <w:tr>
        <w:trPr/>
        <w:tc>
          <w:tcPr>
            <w:shd w:val="clear" w:color="auto" w:fill="auto"/>
            <w:tcBorders>
              <w:top w:val="single" w:color="auto" w:sz="4" w:space="0"/>
              <w:left w:val="single" w:color="auto" w:sz="4" w:space="0"/>
              <w:bottom w:val="single" w:color="auto" w:sz="4" w:space="0"/>
              <w:right w:val="single" w:color="auto" w:sz="4" w:space="0"/>
            </w:tcBorders>
            <w:tcW w:w="988" w:type="dxa"/>
            <w:vAlign w:val="center"/>
            <w:vMerge w:val="continue"/>
            <w:textDirection w:val="lrTb"/>
            <w:noWrap w:val="false"/>
          </w:tcPr>
          <w:p>
            <w:pPr>
              <w:pStyle w:val="1453"/>
              <w:pBdr/>
              <w:spacing w:line="240" w:lineRule="auto"/>
              <w:ind w:firstLine="0"/>
              <w:jc w:val="center"/>
              <w:rPr>
                <w:rFonts w:ascii="Arial Narrow" w:hAnsi="Arial Narrow" w:eastAsia="仿宋_GB2312" w:cs="Arial"/>
                <w:sz w:val="20"/>
                <w:szCs w:val="20"/>
                <w:lang w:eastAsia="zh-CN"/>
              </w:rPr>
            </w:pPr>
            <w:r>
              <w:rPr>
                <w:rFonts w:ascii="Arial Narrow" w:hAnsi="Arial Narrow" w:eastAsia="仿宋_GB2312" w:cs="Arial"/>
                <w:sz w:val="20"/>
                <w:szCs w:val="20"/>
                <w:lang w:eastAsia="zh-CN"/>
              </w:rPr>
            </w:r>
            <w:r>
              <w:rPr>
                <w:rFonts w:ascii="Arial Narrow" w:hAnsi="Arial Narrow" w:eastAsia="仿宋_GB2312" w:cs="Arial"/>
                <w:sz w:val="20"/>
                <w:szCs w:val="20"/>
                <w:lang w:eastAsia="zh-CN"/>
              </w:rPr>
            </w:r>
          </w:p>
        </w:tc>
        <w:tc>
          <w:tcPr>
            <w:shd w:val="clear" w:color="auto" w:fill="auto"/>
            <w:tcBorders>
              <w:top w:val="single" w:color="auto" w:sz="4" w:space="0"/>
              <w:left w:val="single" w:color="auto" w:sz="4" w:space="0"/>
              <w:bottom w:val="single" w:color="auto" w:sz="4" w:space="0"/>
              <w:right w:val="single" w:color="auto" w:sz="4" w:space="0"/>
            </w:tcBorders>
            <w:tcW w:w="6095" w:type="dxa"/>
            <w:vAlign w:val="center"/>
            <w:textDirection w:val="lrTb"/>
            <w:noWrap w:val="false"/>
          </w:tcPr>
          <w:p>
            <w:pPr>
              <w:pStyle w:val="1453"/>
              <w:numPr>
                <w:ilvl w:val="0"/>
                <w:numId w:val="16"/>
              </w:numPr>
              <w:pBdr/>
              <w:spacing w:after="0" w:before="0" w:line="240" w:lineRule="auto"/>
              <w:ind w:hanging="270" w:left="496"/>
              <w:jc w:val="left"/>
              <w:rPr>
                <w:rFonts w:ascii="Arial Narrow" w:hAnsi="Arial Narrow" w:eastAsia="仿宋_GB2312" w:cs="Arial"/>
                <w:color w:val="000000"/>
                <w:sz w:val="20"/>
                <w:szCs w:val="20"/>
                <w:lang w:eastAsia="zh-CN"/>
              </w:rPr>
            </w:pPr>
            <w:r>
              <w:rPr>
                <w:rFonts w:ascii="Arial Narrow" w:hAnsi="Arial Narrow" w:eastAsia="仿宋_GB2312" w:cs="Arial"/>
                <w:color w:val="000000"/>
                <w:sz w:val="20"/>
                <w:szCs w:val="20"/>
                <w:lang w:eastAsia="zh-CN"/>
              </w:rPr>
              <w:t xml:space="preserve">可比对象搜索方法、信息来源、选择条件及理由。</w:t>
            </w:r>
            <w:r>
              <w:rPr>
                <w:rFonts w:ascii="Arial Narrow" w:hAnsi="Arial Narrow" w:eastAsia="仿宋_GB2312" w:cs="Arial"/>
                <w:color w:val="000000"/>
                <w:sz w:val="20"/>
                <w:szCs w:val="20"/>
                <w:lang w:eastAsia="zh-CN"/>
              </w:rPr>
            </w:r>
          </w:p>
        </w:tc>
        <w:tc>
          <w:tcPr>
            <w:shd w:val="clear" w:color="auto" w:fill="auto"/>
            <w:tcBorders>
              <w:top w:val="single" w:color="auto" w:sz="4" w:space="0"/>
              <w:left w:val="single" w:color="auto" w:sz="4" w:space="0"/>
              <w:bottom w:val="single" w:color="auto" w:sz="4" w:space="0"/>
              <w:right w:val="single" w:color="auto" w:sz="4" w:space="0"/>
            </w:tcBorders>
            <w:tcW w:w="1134" w:type="dxa"/>
            <w:vAlign w:val="center"/>
            <w:textDirection w:val="lrTb"/>
            <w:noWrap w:val="false"/>
          </w:tcPr>
          <w:p>
            <w:pPr>
              <w:pStyle w:val="1453"/>
              <w:pBdr/>
              <w:spacing w:after="60" w:before="60"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7.5</w:t>
            </w:r>
            <w:r>
              <w:rPr>
                <w:rFonts w:ascii="Arial Narrow" w:hAnsi="Arial Narrow" w:eastAsia="仿宋_GB2312" w:cs="Arial"/>
                <w:sz w:val="20"/>
                <w:szCs w:val="20"/>
                <w:lang w:eastAsia="zh-CN"/>
              </w:rPr>
            </w:r>
          </w:p>
        </w:tc>
      </w:tr>
      <w:tr>
        <w:trPr/>
        <w:tc>
          <w:tcPr>
            <w:shd w:val="clear" w:color="auto" w:fill="auto"/>
            <w:tcBorders>
              <w:top w:val="single" w:color="auto" w:sz="4" w:space="0"/>
              <w:left w:val="single" w:color="auto" w:sz="4" w:space="0"/>
              <w:bottom w:val="single" w:color="auto" w:sz="4" w:space="0"/>
              <w:right w:val="single" w:color="auto" w:sz="4" w:space="0"/>
            </w:tcBorders>
            <w:tcW w:w="988" w:type="dxa"/>
            <w:vAlign w:val="center"/>
            <w:vMerge w:val="continue"/>
            <w:textDirection w:val="lrTb"/>
            <w:noWrap w:val="false"/>
          </w:tcPr>
          <w:p>
            <w:pPr>
              <w:pStyle w:val="1453"/>
              <w:pBdr/>
              <w:spacing w:line="240" w:lineRule="auto"/>
              <w:ind w:firstLine="0"/>
              <w:jc w:val="center"/>
              <w:rPr>
                <w:rFonts w:ascii="Arial Narrow" w:hAnsi="Arial Narrow" w:eastAsia="仿宋_GB2312" w:cs="Arial"/>
                <w:sz w:val="20"/>
                <w:szCs w:val="20"/>
                <w:lang w:eastAsia="zh-CN"/>
              </w:rPr>
            </w:pPr>
            <w:r>
              <w:rPr>
                <w:rFonts w:ascii="Arial Narrow" w:hAnsi="Arial Narrow" w:eastAsia="仿宋_GB2312" w:cs="Arial"/>
                <w:sz w:val="20"/>
                <w:szCs w:val="20"/>
                <w:lang w:eastAsia="zh-CN"/>
              </w:rPr>
            </w:r>
            <w:r>
              <w:rPr>
                <w:rFonts w:ascii="Arial Narrow" w:hAnsi="Arial Narrow" w:eastAsia="仿宋_GB2312" w:cs="Arial"/>
                <w:sz w:val="20"/>
                <w:szCs w:val="20"/>
                <w:lang w:eastAsia="zh-CN"/>
              </w:rPr>
            </w:r>
          </w:p>
        </w:tc>
        <w:tc>
          <w:tcPr>
            <w:shd w:val="clear" w:color="auto" w:fill="ddebf7"/>
            <w:tcBorders>
              <w:top w:val="single" w:color="auto" w:sz="4" w:space="0"/>
              <w:left w:val="single" w:color="auto" w:sz="4" w:space="0"/>
              <w:bottom w:val="single" w:color="auto" w:sz="4" w:space="0"/>
              <w:right w:val="single" w:color="auto" w:sz="4" w:space="0"/>
            </w:tcBorders>
            <w:tcW w:w="6095" w:type="dxa"/>
            <w:vAlign w:val="center"/>
            <w:textDirection w:val="lrTb"/>
            <w:noWrap w:val="false"/>
          </w:tcPr>
          <w:p>
            <w:pPr>
              <w:pStyle w:val="1453"/>
              <w:numPr>
                <w:ilvl w:val="0"/>
                <w:numId w:val="16"/>
              </w:numPr>
              <w:pBdr/>
              <w:spacing w:after="0" w:before="0" w:line="240" w:lineRule="auto"/>
              <w:ind w:hanging="270" w:left="496"/>
              <w:jc w:val="left"/>
              <w:rPr>
                <w:rFonts w:ascii="Arial Narrow" w:hAnsi="Arial Narrow" w:eastAsia="仿宋_GB2312" w:cs="Arial"/>
                <w:color w:val="000000"/>
                <w:sz w:val="20"/>
                <w:szCs w:val="20"/>
                <w:lang w:eastAsia="zh-CN"/>
              </w:rPr>
            </w:pPr>
            <w:r>
              <w:rPr>
                <w:rFonts w:ascii="Arial Narrow" w:hAnsi="Arial Narrow" w:eastAsia="仿宋_GB2312" w:cs="Arial"/>
                <w:color w:val="000000"/>
                <w:sz w:val="20"/>
                <w:szCs w:val="20"/>
                <w:lang w:eastAsia="zh-CN"/>
              </w:rPr>
              <w:t xml:space="preserve">所选取的内部或者外部可比非受控交易信息和可比企业的财务信息。</w:t>
            </w:r>
            <w:r>
              <w:rPr>
                <w:rFonts w:ascii="Arial Narrow" w:hAnsi="Arial Narrow" w:eastAsia="仿宋_GB2312" w:cs="Arial"/>
                <w:color w:val="000000"/>
                <w:sz w:val="20"/>
                <w:szCs w:val="20"/>
                <w:lang w:eastAsia="zh-CN"/>
              </w:rPr>
            </w:r>
          </w:p>
        </w:tc>
        <w:tc>
          <w:tcPr>
            <w:shd w:val="clear" w:color="auto" w:fill="ddebf7"/>
            <w:tcBorders>
              <w:top w:val="single" w:color="auto" w:sz="4" w:space="0"/>
              <w:left w:val="single" w:color="auto" w:sz="4" w:space="0"/>
              <w:bottom w:val="single" w:color="auto" w:sz="4" w:space="0"/>
              <w:right w:val="single" w:color="auto" w:sz="4" w:space="0"/>
            </w:tcBorders>
            <w:tcW w:w="1134" w:type="dxa"/>
            <w:vAlign w:val="center"/>
            <w:textDirection w:val="lrTb"/>
            <w:noWrap w:val="false"/>
          </w:tcPr>
          <w:p>
            <w:pPr>
              <w:pStyle w:val="1453"/>
              <w:pBdr/>
              <w:spacing w:after="60" w:before="60"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附件4</w:t>
            </w:r>
            <w:r>
              <w:rPr>
                <w:rFonts w:ascii="Arial Narrow" w:hAnsi="Arial Narrow" w:eastAsia="仿宋_GB2312" w:cs="Arial"/>
                <w:sz w:val="20"/>
                <w:szCs w:val="20"/>
                <w:lang w:eastAsia="zh-CN"/>
              </w:rPr>
            </w:r>
            <w:r>
              <w:rPr>
                <w:rFonts w:ascii="Arial Narrow" w:hAnsi="Arial Narrow" w:eastAsia="仿宋_GB2312" w:cs="Arial"/>
                <w:sz w:val="20"/>
                <w:szCs w:val="20"/>
                <w:lang w:eastAsia="zh-CN"/>
              </w:rPr>
            </w:r>
          </w:p>
        </w:tc>
      </w:tr>
      <w:tr>
        <w:trPr/>
        <w:tc>
          <w:tcPr>
            <w:shd w:val="clear" w:color="auto" w:fill="auto"/>
            <w:tcBorders>
              <w:top w:val="single" w:color="auto" w:sz="4" w:space="0"/>
              <w:bottom w:val="single" w:color="auto" w:sz="4" w:space="0"/>
              <w:right w:val="single" w:color="auto" w:sz="4" w:space="0"/>
            </w:tcBorders>
            <w:tcW w:w="988" w:type="dxa"/>
            <w:vAlign w:val="center"/>
            <w:vMerge w:val="continue"/>
            <w:textDirection w:val="lrTb"/>
            <w:noWrap w:val="false"/>
          </w:tcPr>
          <w:p>
            <w:pPr>
              <w:pStyle w:val="1453"/>
              <w:pBdr/>
              <w:spacing w:line="240" w:lineRule="auto"/>
              <w:ind w:firstLine="0"/>
              <w:jc w:val="center"/>
              <w:rPr>
                <w:rFonts w:ascii="Arial Narrow" w:hAnsi="Arial Narrow" w:eastAsia="仿宋_GB2312" w:cs="Arial"/>
                <w:sz w:val="20"/>
                <w:szCs w:val="20"/>
                <w:lang w:eastAsia="zh-CN"/>
              </w:rPr>
            </w:pPr>
            <w:r>
              <w:rPr>
                <w:rFonts w:ascii="Arial Narrow" w:hAnsi="Arial Narrow" w:eastAsia="仿宋_GB2312" w:cs="Arial"/>
                <w:sz w:val="20"/>
                <w:szCs w:val="20"/>
                <w:lang w:eastAsia="zh-CN"/>
              </w:rPr>
            </w:r>
            <w:r>
              <w:rPr>
                <w:rFonts w:ascii="Arial Narrow" w:hAnsi="Arial Narrow" w:eastAsia="仿宋_GB2312" w:cs="Arial"/>
                <w:sz w:val="20"/>
                <w:szCs w:val="20"/>
                <w:lang w:eastAsia="zh-CN"/>
              </w:rPr>
            </w:r>
          </w:p>
        </w:tc>
        <w:tc>
          <w:tcPr>
            <w:shd w:val="clear" w:color="auto" w:fill="auto"/>
            <w:tcBorders>
              <w:top w:val="single" w:color="auto" w:sz="4" w:space="0"/>
              <w:left w:val="single" w:color="auto" w:sz="4" w:space="0"/>
              <w:bottom w:val="single" w:color="auto" w:sz="4" w:space="0"/>
              <w:right w:val="single" w:color="auto" w:sz="4" w:space="0"/>
            </w:tcBorders>
            <w:tcW w:w="6095" w:type="dxa"/>
            <w:vAlign w:val="center"/>
            <w:textDirection w:val="lrTb"/>
            <w:noWrap w:val="false"/>
          </w:tcPr>
          <w:p>
            <w:pPr>
              <w:pStyle w:val="1453"/>
              <w:numPr>
                <w:ilvl w:val="0"/>
                <w:numId w:val="16"/>
              </w:numPr>
              <w:pBdr/>
              <w:spacing w:after="0" w:before="0" w:line="240" w:lineRule="auto"/>
              <w:ind w:hanging="270" w:left="496"/>
              <w:jc w:val="left"/>
              <w:rPr>
                <w:rFonts w:ascii="Arial Narrow" w:hAnsi="Arial Narrow" w:eastAsia="仿宋_GB2312" w:cs="Arial"/>
                <w:color w:val="000000"/>
                <w:sz w:val="20"/>
                <w:szCs w:val="20"/>
                <w:lang w:eastAsia="zh-CN"/>
              </w:rPr>
            </w:pPr>
            <w:r>
              <w:rPr>
                <w:rFonts w:ascii="Arial Narrow" w:hAnsi="Arial Narrow" w:eastAsia="仿宋_GB2312" w:cs="Arial"/>
                <w:color w:val="000000"/>
                <w:sz w:val="20"/>
                <w:szCs w:val="20"/>
                <w:lang w:eastAsia="zh-CN"/>
              </w:rPr>
              <w:t xml:space="preserve">可比数据的差异调整及理由。</w:t>
            </w:r>
            <w:r>
              <w:rPr>
                <w:rFonts w:ascii="Arial Narrow" w:hAnsi="Arial Narrow" w:eastAsia="仿宋_GB2312" w:cs="Arial"/>
                <w:color w:val="000000"/>
                <w:sz w:val="20"/>
                <w:szCs w:val="20"/>
                <w:lang w:eastAsia="zh-CN"/>
              </w:rPr>
            </w:r>
          </w:p>
        </w:tc>
        <w:tc>
          <w:tcPr>
            <w:shd w:val="clear" w:color="auto" w:fill="auto"/>
            <w:tcBorders>
              <w:top w:val="single" w:color="auto" w:sz="4" w:space="0"/>
              <w:left w:val="single" w:color="auto" w:sz="4" w:space="0"/>
              <w:bottom w:val="single" w:color="auto" w:sz="4" w:space="0"/>
              <w:right w:val="single" w:color="auto" w:sz="4" w:space="0"/>
            </w:tcBorders>
            <w:tcW w:w="1134" w:type="dxa"/>
            <w:vAlign w:val="center"/>
            <w:textDirection w:val="lrTb"/>
            <w:noWrap w:val="false"/>
          </w:tcPr>
          <w:p>
            <w:pPr>
              <w:pStyle w:val="1453"/>
              <w:pBdr/>
              <w:spacing w:after="60" w:before="60"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7.5</w:t>
            </w:r>
            <w:r>
              <w:rPr>
                <w:rFonts w:ascii="Arial Narrow" w:hAnsi="Arial Narrow" w:eastAsia="仿宋_GB2312" w:cs="Arial"/>
                <w:sz w:val="20"/>
                <w:szCs w:val="20"/>
                <w:lang w:eastAsia="zh-CN"/>
              </w:rPr>
            </w:r>
          </w:p>
        </w:tc>
      </w:tr>
      <w:tr>
        <w:trPr/>
        <w:tc>
          <w:tcPr>
            <w:shd w:val="clear" w:color="auto" w:fill="ddebf7"/>
            <w:tcBorders>
              <w:top w:val="single" w:color="auto" w:sz="4" w:space="0"/>
              <w:left w:val="single" w:color="auto" w:sz="4" w:space="0"/>
              <w:bottom w:val="single" w:color="auto" w:sz="4" w:space="0"/>
              <w:right w:val="single" w:color="auto" w:sz="4" w:space="0"/>
            </w:tcBorders>
            <w:tcW w:w="988" w:type="dxa"/>
            <w:vAlign w:val="center"/>
            <w:vMerge w:val="restart"/>
            <w:textDirection w:val="lrTb"/>
            <w:noWrap w:val="false"/>
          </w:tcPr>
          <w:p>
            <w:pPr>
              <w:pStyle w:val="1453"/>
              <w:pBdr/>
              <w:spacing w:line="240" w:lineRule="auto"/>
              <w:ind w:firstLine="0"/>
              <w:jc w:val="center"/>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（五）转让定价方法的选择和适用</w:t>
            </w:r>
            <w:r>
              <w:rPr>
                <w:rFonts w:ascii="Arial Narrow" w:hAnsi="Arial Narrow" w:eastAsia="仿宋_GB2312" w:cs="Arial"/>
                <w:sz w:val="20"/>
                <w:szCs w:val="20"/>
                <w:lang w:eastAsia="zh-CN"/>
              </w:rPr>
            </w:r>
          </w:p>
        </w:tc>
        <w:tc>
          <w:tcPr>
            <w:shd w:val="clear" w:color="auto" w:fill="ddebf7"/>
            <w:tcBorders>
              <w:top w:val="single" w:color="auto" w:sz="4" w:space="0"/>
              <w:left w:val="single" w:color="auto" w:sz="4" w:space="0"/>
              <w:bottom w:val="single" w:color="auto" w:sz="4" w:space="0"/>
              <w:right w:val="single" w:color="auto" w:sz="4" w:space="0"/>
            </w:tcBorders>
            <w:tcW w:w="6095" w:type="dxa"/>
            <w:vAlign w:val="center"/>
            <w:textDirection w:val="lrTb"/>
            <w:noWrap w:val="false"/>
          </w:tcPr>
          <w:p>
            <w:pPr>
              <w:pStyle w:val="1453"/>
              <w:numPr>
                <w:ilvl w:val="0"/>
                <w:numId w:val="17"/>
              </w:numPr>
              <w:pBdr/>
              <w:spacing w:after="0" w:before="0" w:line="240" w:lineRule="auto"/>
              <w:ind w:hanging="270" w:left="496"/>
              <w:jc w:val="left"/>
              <w:rPr>
                <w:rFonts w:ascii="Arial Narrow" w:hAnsi="Arial Narrow" w:eastAsia="仿宋_GB2312" w:cs="Arial"/>
                <w:color w:val="000000"/>
                <w:sz w:val="20"/>
                <w:szCs w:val="20"/>
                <w:lang w:eastAsia="zh-CN"/>
              </w:rPr>
            </w:pPr>
            <w:r>
              <w:rPr>
                <w:rFonts w:ascii="Arial Narrow" w:hAnsi="Arial Narrow" w:eastAsia="仿宋_GB2312" w:cs="Arial"/>
                <w:color w:val="000000"/>
                <w:sz w:val="20"/>
                <w:szCs w:val="20"/>
                <w:lang w:eastAsia="zh-CN"/>
              </w:rPr>
              <w:t xml:space="preserve">被测试方的选择及理由。</w:t>
            </w:r>
            <w:r>
              <w:rPr>
                <w:rFonts w:ascii="Arial Narrow" w:hAnsi="Arial Narrow" w:eastAsia="仿宋_GB2312" w:cs="Arial"/>
                <w:color w:val="000000"/>
                <w:sz w:val="20"/>
                <w:szCs w:val="20"/>
                <w:lang w:eastAsia="zh-CN"/>
              </w:rPr>
            </w:r>
          </w:p>
        </w:tc>
        <w:tc>
          <w:tcPr>
            <w:shd w:val="clear" w:color="auto" w:fill="ddebf7"/>
            <w:tcBorders>
              <w:top w:val="single" w:color="auto" w:sz="4" w:space="0"/>
              <w:left w:val="single" w:color="auto" w:sz="4" w:space="0"/>
              <w:bottom w:val="single" w:color="auto" w:sz="4" w:space="0"/>
              <w:right w:val="single" w:color="auto" w:sz="4" w:space="0"/>
            </w:tcBorders>
            <w:tcW w:w="1134" w:type="dxa"/>
            <w:vAlign w:val="center"/>
            <w:textDirection w:val="lrTb"/>
            <w:noWrap w:val="false"/>
          </w:tcPr>
          <w:p>
            <w:pPr>
              <w:pStyle w:val="1453"/>
              <w:pBdr/>
              <w:spacing w:after="60" w:before="60"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7</w:t>
            </w:r>
            <w:r>
              <w:rPr>
                <w:rFonts w:ascii="Arial Narrow" w:hAnsi="Arial Narrow" w:eastAsia="仿宋_GB2312" w:cs="Arial"/>
                <w:sz w:val="20"/>
                <w:szCs w:val="20"/>
                <w:lang w:eastAsia="zh-CN"/>
              </w:rPr>
            </w:r>
          </w:p>
        </w:tc>
      </w:tr>
      <w:tr>
        <w:trPr/>
        <w:tc>
          <w:tcPr>
            <w:shd w:val="clear" w:color="auto" w:fill="auto"/>
            <w:tcBorders>
              <w:top w:val="single" w:color="auto" w:sz="4" w:space="0"/>
              <w:left w:val="single" w:color="auto" w:sz="4" w:space="0"/>
              <w:bottom w:val="single" w:color="auto" w:sz="4" w:space="0"/>
              <w:right w:val="single" w:color="auto" w:sz="4" w:space="0"/>
            </w:tcBorders>
            <w:tcW w:w="988" w:type="dxa"/>
            <w:vAlign w:val="center"/>
            <w:vMerge w:val="continue"/>
            <w:textDirection w:val="lrTb"/>
            <w:noWrap w:val="false"/>
          </w:tcPr>
          <w:p>
            <w:pPr>
              <w:pStyle w:val="1453"/>
              <w:pBdr/>
              <w:spacing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r>
            <w:r>
              <w:rPr>
                <w:rFonts w:ascii="Arial Narrow" w:hAnsi="Arial Narrow" w:eastAsia="仿宋_GB2312" w:cs="Arial"/>
                <w:sz w:val="20"/>
                <w:szCs w:val="20"/>
                <w:lang w:eastAsia="zh-CN"/>
              </w:rPr>
            </w:r>
          </w:p>
        </w:tc>
        <w:tc>
          <w:tcPr>
            <w:shd w:val="clear" w:color="auto" w:fill="auto"/>
            <w:tcBorders>
              <w:top w:val="single" w:color="auto" w:sz="4" w:space="0"/>
              <w:left w:val="single" w:color="auto" w:sz="4" w:space="0"/>
              <w:bottom w:val="single" w:color="auto" w:sz="4" w:space="0"/>
              <w:right w:val="single" w:color="auto" w:sz="4" w:space="0"/>
            </w:tcBorders>
            <w:tcW w:w="6095" w:type="dxa"/>
            <w:vAlign w:val="center"/>
            <w:textDirection w:val="lrTb"/>
            <w:noWrap w:val="false"/>
          </w:tcPr>
          <w:p>
            <w:pPr>
              <w:pStyle w:val="1453"/>
              <w:numPr>
                <w:ilvl w:val="0"/>
                <w:numId w:val="17"/>
              </w:numPr>
              <w:pBdr/>
              <w:spacing w:after="0" w:before="0" w:line="240" w:lineRule="auto"/>
              <w:ind w:hanging="270" w:left="496"/>
              <w:jc w:val="left"/>
              <w:rPr>
                <w:rFonts w:ascii="Arial Narrow" w:hAnsi="Arial Narrow" w:eastAsia="仿宋_GB2312" w:cs="Arial"/>
                <w:color w:val="000000"/>
                <w:sz w:val="20"/>
                <w:szCs w:val="20"/>
                <w:lang w:eastAsia="zh-CN"/>
              </w:rPr>
            </w:pPr>
            <w:r>
              <w:rPr>
                <w:rFonts w:ascii="Arial Narrow" w:hAnsi="Arial Narrow" w:eastAsia="仿宋_GB2312" w:cs="Arial"/>
                <w:color w:val="000000"/>
                <w:sz w:val="20"/>
                <w:szCs w:val="20"/>
                <w:lang w:eastAsia="zh-CN"/>
              </w:rPr>
              <w:t xml:space="preserve">转让定价方法的选用及理由，无论选择何种转让定价方法，均须说明企业对集团整体利润或者剩余利润所做的贡献。</w:t>
            </w:r>
            <w:r>
              <w:rPr>
                <w:rFonts w:ascii="Arial Narrow" w:hAnsi="Arial Narrow" w:eastAsia="仿宋_GB2312" w:cs="Arial"/>
                <w:color w:val="000000"/>
                <w:sz w:val="20"/>
                <w:szCs w:val="20"/>
                <w:lang w:eastAsia="zh-CN"/>
              </w:rPr>
            </w:r>
          </w:p>
        </w:tc>
        <w:tc>
          <w:tcPr>
            <w:shd w:val="clear" w:color="auto" w:fill="auto"/>
            <w:tcBorders>
              <w:top w:val="single" w:color="auto" w:sz="4" w:space="0"/>
              <w:left w:val="single" w:color="auto" w:sz="4" w:space="0"/>
              <w:bottom w:val="single" w:color="auto" w:sz="4" w:space="0"/>
              <w:right w:val="single" w:color="auto" w:sz="4" w:space="0"/>
            </w:tcBorders>
            <w:tcW w:w="1134" w:type="dxa"/>
            <w:vAlign w:val="center"/>
            <w:textDirection w:val="lrTb"/>
            <w:noWrap w:val="false"/>
          </w:tcPr>
          <w:p>
            <w:pPr>
              <w:pStyle w:val="1453"/>
              <w:pBdr/>
              <w:spacing w:after="60" w:before="60"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6</w:t>
            </w:r>
            <w:r>
              <w:rPr>
                <w:rFonts w:ascii="Arial Narrow" w:hAnsi="Arial Narrow" w:eastAsia="仿宋_GB2312" w:cs="Arial"/>
                <w:sz w:val="20"/>
                <w:szCs w:val="20"/>
                <w:lang w:eastAsia="zh-CN"/>
              </w:rPr>
            </w:r>
          </w:p>
          <w:p>
            <w:pPr>
              <w:pStyle w:val="1453"/>
              <w:pBdr/>
              <w:spacing w:after="60" w:before="60"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7</w:t>
            </w:r>
            <w:r>
              <w:rPr>
                <w:rFonts w:ascii="Arial Narrow" w:hAnsi="Arial Narrow" w:eastAsia="仿宋_GB2312" w:cs="Arial"/>
                <w:sz w:val="20"/>
                <w:szCs w:val="20"/>
                <w:lang w:eastAsia="zh-CN"/>
              </w:rPr>
            </w:r>
          </w:p>
          <w:p>
            <w:pPr>
              <w:pStyle w:val="1453"/>
              <w:pBdr/>
              <w:spacing w:after="60" w:before="60"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附件1</w:t>
            </w:r>
            <w:r>
              <w:rPr>
                <w:rFonts w:ascii="Arial Narrow" w:hAnsi="Arial Narrow" w:eastAsia="仿宋_GB2312" w:cs="Arial"/>
                <w:sz w:val="20"/>
                <w:szCs w:val="20"/>
                <w:lang w:eastAsia="zh-CN"/>
              </w:rPr>
            </w:r>
            <w:r>
              <w:rPr>
                <w:rFonts w:ascii="Arial Narrow" w:hAnsi="Arial Narrow" w:eastAsia="仿宋_GB2312" w:cs="Arial"/>
                <w:sz w:val="20"/>
                <w:szCs w:val="20"/>
                <w:lang w:eastAsia="zh-CN"/>
              </w:rPr>
            </w:r>
          </w:p>
        </w:tc>
      </w:tr>
      <w:tr>
        <w:trPr/>
        <w:tc>
          <w:tcPr>
            <w:shd w:val="clear" w:color="auto" w:fill="auto"/>
            <w:tcBorders>
              <w:top w:val="single" w:color="auto" w:sz="4" w:space="0"/>
              <w:left w:val="single" w:color="auto" w:sz="4" w:space="0"/>
              <w:bottom w:val="single" w:color="auto" w:sz="4" w:space="0"/>
              <w:right w:val="single" w:color="auto" w:sz="4" w:space="0"/>
            </w:tcBorders>
            <w:tcW w:w="988" w:type="dxa"/>
            <w:vAlign w:val="center"/>
            <w:vMerge w:val="continue"/>
            <w:textDirection w:val="lrTb"/>
            <w:noWrap w:val="false"/>
          </w:tcPr>
          <w:p>
            <w:pPr>
              <w:pStyle w:val="1453"/>
              <w:pBdr/>
              <w:spacing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r>
            <w:r>
              <w:rPr>
                <w:rFonts w:ascii="Arial Narrow" w:hAnsi="Arial Narrow" w:eastAsia="仿宋_GB2312" w:cs="Arial"/>
                <w:sz w:val="20"/>
                <w:szCs w:val="20"/>
                <w:lang w:eastAsia="zh-CN"/>
              </w:rPr>
            </w:r>
          </w:p>
        </w:tc>
        <w:tc>
          <w:tcPr>
            <w:shd w:val="clear" w:color="auto" w:fill="ddebf7"/>
            <w:tcBorders>
              <w:top w:val="single" w:color="auto" w:sz="4" w:space="0"/>
              <w:left w:val="single" w:color="auto" w:sz="4" w:space="0"/>
              <w:bottom w:val="single" w:color="auto" w:sz="4" w:space="0"/>
              <w:right w:val="single" w:color="auto" w:sz="4" w:space="0"/>
            </w:tcBorders>
            <w:tcW w:w="6095" w:type="dxa"/>
            <w:vAlign w:val="center"/>
            <w:textDirection w:val="lrTb"/>
            <w:noWrap w:val="false"/>
          </w:tcPr>
          <w:p>
            <w:pPr>
              <w:pStyle w:val="1453"/>
              <w:numPr>
                <w:ilvl w:val="0"/>
                <w:numId w:val="17"/>
              </w:numPr>
              <w:pBdr/>
              <w:spacing w:after="0" w:before="0" w:line="240" w:lineRule="auto"/>
              <w:ind w:hanging="270" w:left="496"/>
              <w:jc w:val="left"/>
              <w:rPr>
                <w:rFonts w:ascii="Arial Narrow" w:hAnsi="Arial Narrow" w:eastAsia="仿宋_GB2312" w:cs="Arial"/>
                <w:color w:val="000000"/>
                <w:sz w:val="20"/>
                <w:szCs w:val="20"/>
                <w:lang w:eastAsia="zh-CN"/>
              </w:rPr>
            </w:pPr>
            <w:r>
              <w:rPr>
                <w:rFonts w:ascii="Arial Narrow" w:hAnsi="Arial Narrow" w:eastAsia="仿宋_GB2312" w:cs="Arial"/>
                <w:color w:val="000000"/>
                <w:sz w:val="20"/>
                <w:szCs w:val="20"/>
                <w:lang w:eastAsia="zh-CN"/>
              </w:rPr>
              <w:t xml:space="preserve">确定可比非关联交易价格或者利润的过程中所做的假设和判断。</w:t>
            </w:r>
            <w:r>
              <w:rPr>
                <w:rFonts w:ascii="Arial Narrow" w:hAnsi="Arial Narrow" w:eastAsia="仿宋_GB2312" w:cs="Arial"/>
                <w:color w:val="000000"/>
                <w:sz w:val="20"/>
                <w:szCs w:val="20"/>
                <w:lang w:eastAsia="zh-CN"/>
              </w:rPr>
            </w:r>
          </w:p>
        </w:tc>
        <w:tc>
          <w:tcPr>
            <w:shd w:val="clear" w:color="auto" w:fill="ddebf7"/>
            <w:tcBorders>
              <w:top w:val="single" w:color="auto" w:sz="4" w:space="0"/>
              <w:left w:val="single" w:color="auto" w:sz="4" w:space="0"/>
              <w:bottom w:val="single" w:color="auto" w:sz="4" w:space="0"/>
              <w:right w:val="single" w:color="auto" w:sz="4" w:space="0"/>
            </w:tcBorders>
            <w:tcW w:w="1134" w:type="dxa"/>
            <w:vAlign w:val="center"/>
            <w:textDirection w:val="lrTb"/>
            <w:noWrap w:val="false"/>
          </w:tcPr>
          <w:p>
            <w:pPr>
              <w:pStyle w:val="1453"/>
              <w:pBdr/>
              <w:spacing w:after="60" w:before="60"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7.5</w:t>
            </w:r>
            <w:r>
              <w:rPr>
                <w:rFonts w:ascii="Arial Narrow" w:hAnsi="Arial Narrow" w:eastAsia="仿宋_GB2312" w:cs="Arial"/>
                <w:sz w:val="20"/>
                <w:szCs w:val="20"/>
                <w:lang w:eastAsia="zh-CN"/>
              </w:rPr>
            </w:r>
          </w:p>
        </w:tc>
      </w:tr>
      <w:tr>
        <w:trPr/>
        <w:tc>
          <w:tcPr>
            <w:shd w:val="clear" w:color="auto" w:fill="auto"/>
            <w:tcBorders>
              <w:top w:val="single" w:color="auto" w:sz="4" w:space="0"/>
              <w:left w:val="single" w:color="auto" w:sz="4" w:space="0"/>
              <w:bottom w:val="single" w:color="auto" w:sz="4" w:space="0"/>
              <w:right w:val="single" w:color="auto" w:sz="4" w:space="0"/>
            </w:tcBorders>
            <w:tcW w:w="988" w:type="dxa"/>
            <w:vAlign w:val="center"/>
            <w:vMerge w:val="continue"/>
            <w:textDirection w:val="lrTb"/>
            <w:noWrap w:val="false"/>
          </w:tcPr>
          <w:p>
            <w:pPr>
              <w:pStyle w:val="1453"/>
              <w:pBdr/>
              <w:spacing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r>
            <w:r>
              <w:rPr>
                <w:rFonts w:ascii="Arial Narrow" w:hAnsi="Arial Narrow" w:eastAsia="仿宋_GB2312" w:cs="Arial"/>
                <w:sz w:val="20"/>
                <w:szCs w:val="20"/>
                <w:lang w:eastAsia="zh-CN"/>
              </w:rPr>
            </w:r>
          </w:p>
        </w:tc>
        <w:tc>
          <w:tcPr>
            <w:shd w:val="clear" w:color="auto" w:fill="auto"/>
            <w:tcBorders>
              <w:top w:val="single" w:color="auto" w:sz="4" w:space="0"/>
              <w:left w:val="single" w:color="auto" w:sz="4" w:space="0"/>
              <w:bottom w:val="single" w:color="auto" w:sz="4" w:space="0"/>
              <w:right w:val="single" w:color="auto" w:sz="4" w:space="0"/>
            </w:tcBorders>
            <w:tcW w:w="6095" w:type="dxa"/>
            <w:vAlign w:val="center"/>
            <w:textDirection w:val="lrTb"/>
            <w:noWrap w:val="false"/>
          </w:tcPr>
          <w:p>
            <w:pPr>
              <w:pStyle w:val="1453"/>
              <w:numPr>
                <w:ilvl w:val="0"/>
                <w:numId w:val="17"/>
              </w:numPr>
              <w:pBdr/>
              <w:spacing w:after="0" w:before="0" w:line="240" w:lineRule="auto"/>
              <w:ind w:hanging="270" w:left="496"/>
              <w:jc w:val="left"/>
              <w:rPr>
                <w:rFonts w:ascii="Arial Narrow" w:hAnsi="Arial Narrow" w:eastAsia="仿宋_GB2312" w:cs="Arial"/>
                <w:color w:val="000000"/>
                <w:sz w:val="20"/>
                <w:szCs w:val="20"/>
                <w:lang w:eastAsia="zh-CN"/>
              </w:rPr>
            </w:pPr>
            <w:r>
              <w:rPr>
                <w:rFonts w:ascii="Arial Narrow" w:hAnsi="Arial Narrow" w:eastAsia="仿宋_GB2312" w:cs="Arial"/>
                <w:color w:val="000000"/>
                <w:sz w:val="20"/>
                <w:szCs w:val="20"/>
                <w:lang w:eastAsia="zh-CN"/>
              </w:rPr>
              <w:t xml:space="preserve">运用合理的转让定价方法和可比性分析结果，确定可比非关联交易价格或者利润。</w:t>
            </w:r>
            <w:r>
              <w:rPr>
                <w:rFonts w:ascii="Arial Narrow" w:hAnsi="Arial Narrow" w:eastAsia="仿宋_GB2312" w:cs="Arial"/>
                <w:color w:val="000000"/>
                <w:sz w:val="20"/>
                <w:szCs w:val="20"/>
                <w:lang w:eastAsia="zh-CN"/>
              </w:rPr>
            </w:r>
          </w:p>
        </w:tc>
        <w:tc>
          <w:tcPr>
            <w:shd w:val="clear" w:color="auto" w:fill="auto"/>
            <w:tcBorders>
              <w:top w:val="single" w:color="auto" w:sz="4" w:space="0"/>
              <w:left w:val="single" w:color="auto" w:sz="4" w:space="0"/>
              <w:bottom w:val="single" w:color="auto" w:sz="4" w:space="0"/>
              <w:right w:val="single" w:color="auto" w:sz="4" w:space="0"/>
            </w:tcBorders>
            <w:tcW w:w="1134" w:type="dxa"/>
            <w:vAlign w:val="center"/>
            <w:textDirection w:val="lrTb"/>
            <w:noWrap w:val="false"/>
          </w:tcPr>
          <w:p>
            <w:pPr>
              <w:pStyle w:val="1453"/>
              <w:pBdr/>
              <w:spacing w:after="60" w:before="60"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7.5</w:t>
            </w:r>
            <w:r>
              <w:rPr>
                <w:rFonts w:ascii="Arial Narrow" w:hAnsi="Arial Narrow" w:eastAsia="仿宋_GB2312" w:cs="Arial"/>
                <w:sz w:val="20"/>
                <w:szCs w:val="20"/>
                <w:lang w:eastAsia="zh-CN"/>
              </w:rPr>
            </w:r>
          </w:p>
        </w:tc>
      </w:tr>
      <w:tr>
        <w:trPr/>
        <w:tc>
          <w:tcPr>
            <w:shd w:val="clear" w:color="auto" w:fill="auto"/>
            <w:tcBorders>
              <w:top w:val="single" w:color="auto" w:sz="4" w:space="0"/>
              <w:left w:val="single" w:color="auto" w:sz="4" w:space="0"/>
              <w:bottom w:val="single" w:color="auto" w:sz="4" w:space="0"/>
              <w:right w:val="single" w:color="auto" w:sz="4" w:space="0"/>
            </w:tcBorders>
            <w:tcW w:w="988" w:type="dxa"/>
            <w:vAlign w:val="center"/>
            <w:vMerge w:val="continue"/>
            <w:textDirection w:val="lrTb"/>
            <w:noWrap w:val="false"/>
          </w:tcPr>
          <w:p>
            <w:pPr>
              <w:pStyle w:val="1453"/>
              <w:pBdr/>
              <w:spacing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r>
            <w:r>
              <w:rPr>
                <w:rFonts w:ascii="Arial Narrow" w:hAnsi="Arial Narrow" w:eastAsia="仿宋_GB2312" w:cs="Arial"/>
                <w:sz w:val="20"/>
                <w:szCs w:val="20"/>
                <w:lang w:eastAsia="zh-CN"/>
              </w:rPr>
            </w:r>
          </w:p>
        </w:tc>
        <w:tc>
          <w:tcPr>
            <w:shd w:val="clear" w:color="auto" w:fill="ddebf7"/>
            <w:tcBorders>
              <w:top w:val="single" w:color="auto" w:sz="4" w:space="0"/>
              <w:left w:val="single" w:color="auto" w:sz="4" w:space="0"/>
              <w:bottom w:val="single" w:color="auto" w:sz="4" w:space="0"/>
              <w:right w:val="single" w:color="auto" w:sz="4" w:space="0"/>
            </w:tcBorders>
            <w:tcW w:w="6095" w:type="dxa"/>
            <w:vAlign w:val="center"/>
            <w:textDirection w:val="lrTb"/>
            <w:noWrap w:val="false"/>
          </w:tcPr>
          <w:p>
            <w:pPr>
              <w:pStyle w:val="1453"/>
              <w:numPr>
                <w:ilvl w:val="0"/>
                <w:numId w:val="17"/>
              </w:numPr>
              <w:pBdr/>
              <w:spacing w:after="0" w:before="0" w:line="240" w:lineRule="auto"/>
              <w:ind w:hanging="270" w:left="496"/>
              <w:jc w:val="left"/>
              <w:rPr>
                <w:rFonts w:ascii="Arial Narrow" w:hAnsi="Arial Narrow" w:eastAsia="仿宋_GB2312" w:cs="Arial"/>
                <w:color w:val="000000"/>
                <w:sz w:val="20"/>
                <w:szCs w:val="20"/>
                <w:lang w:eastAsia="zh-CN"/>
              </w:rPr>
            </w:pPr>
            <w:r>
              <w:rPr>
                <w:rFonts w:ascii="Arial Narrow" w:hAnsi="Arial Narrow" w:eastAsia="仿宋_GB2312" w:cs="Arial"/>
                <w:color w:val="000000"/>
                <w:sz w:val="20"/>
                <w:szCs w:val="20"/>
                <w:lang w:eastAsia="zh-CN"/>
              </w:rPr>
              <w:t xml:space="preserve">其他支持所选用转让定价方法的资料。</w:t>
            </w:r>
            <w:r>
              <w:rPr>
                <w:rFonts w:ascii="Arial Narrow" w:hAnsi="Arial Narrow" w:eastAsia="仿宋_GB2312" w:cs="Arial"/>
                <w:color w:val="000000"/>
                <w:sz w:val="20"/>
                <w:szCs w:val="20"/>
                <w:lang w:eastAsia="zh-CN"/>
              </w:rPr>
            </w:r>
          </w:p>
        </w:tc>
        <w:tc>
          <w:tcPr>
            <w:shd w:val="clear" w:color="auto" w:fill="ddebf7"/>
            <w:tcBorders>
              <w:top w:val="single" w:color="auto" w:sz="4" w:space="0"/>
              <w:left w:val="single" w:color="auto" w:sz="4" w:space="0"/>
              <w:bottom w:val="single" w:color="auto" w:sz="4" w:space="0"/>
              <w:right w:val="single" w:color="auto" w:sz="4" w:space="0"/>
            </w:tcBorders>
            <w:tcW w:w="1134" w:type="dxa"/>
            <w:vAlign w:val="center"/>
            <w:textDirection w:val="lrTb"/>
            <w:noWrap w:val="false"/>
          </w:tcPr>
          <w:p>
            <w:pPr>
              <w:pStyle w:val="1453"/>
              <w:pBdr/>
              <w:spacing w:after="60" w:before="60"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不适用</w:t>
            </w:r>
            <w:r>
              <w:rPr>
                <w:rFonts w:ascii="Arial Narrow" w:hAnsi="Arial Narrow" w:eastAsia="仿宋_GB2312" w:cs="Arial"/>
                <w:sz w:val="20"/>
                <w:szCs w:val="20"/>
                <w:lang w:eastAsia="zh-CN"/>
              </w:rPr>
            </w:r>
          </w:p>
        </w:tc>
      </w:tr>
      <w:tr>
        <w:trPr/>
        <w:tc>
          <w:tcPr>
            <w:shd w:val="clear" w:color="auto" w:fill="auto"/>
            <w:tcBorders>
              <w:top w:val="single" w:color="auto" w:sz="4" w:space="0"/>
              <w:left w:val="single" w:color="auto" w:sz="4" w:space="0"/>
              <w:bottom w:val="single" w:color="auto" w:sz="4" w:space="0"/>
              <w:right w:val="single" w:color="auto" w:sz="4" w:space="0"/>
            </w:tcBorders>
            <w:tcW w:w="988" w:type="dxa"/>
            <w:vAlign w:val="center"/>
            <w:vMerge w:val="continue"/>
            <w:textDirection w:val="lrTb"/>
            <w:noWrap w:val="false"/>
          </w:tcPr>
          <w:p>
            <w:pPr>
              <w:pStyle w:val="1453"/>
              <w:pBdr/>
              <w:spacing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r>
            <w:r>
              <w:rPr>
                <w:rFonts w:ascii="Arial Narrow" w:hAnsi="Arial Narrow" w:eastAsia="仿宋_GB2312" w:cs="Arial"/>
                <w:sz w:val="20"/>
                <w:szCs w:val="20"/>
                <w:lang w:eastAsia="zh-CN"/>
              </w:rPr>
            </w:r>
          </w:p>
        </w:tc>
        <w:tc>
          <w:tcPr>
            <w:shd w:val="clear" w:color="auto" w:fill="auto"/>
            <w:tcBorders>
              <w:top w:val="single" w:color="auto" w:sz="4" w:space="0"/>
              <w:left w:val="single" w:color="auto" w:sz="4" w:space="0"/>
              <w:bottom w:val="single" w:color="auto" w:sz="4" w:space="0"/>
              <w:right w:val="single" w:color="auto" w:sz="4" w:space="0"/>
            </w:tcBorders>
            <w:tcW w:w="6095" w:type="dxa"/>
            <w:vAlign w:val="center"/>
            <w:textDirection w:val="lrTb"/>
            <w:noWrap w:val="false"/>
          </w:tcPr>
          <w:p>
            <w:pPr>
              <w:pStyle w:val="1453"/>
              <w:numPr>
                <w:ilvl w:val="0"/>
                <w:numId w:val="17"/>
              </w:numPr>
              <w:pBdr/>
              <w:spacing w:after="0" w:before="0" w:line="240" w:lineRule="auto"/>
              <w:ind w:hanging="270" w:left="496"/>
              <w:jc w:val="left"/>
              <w:rPr>
                <w:rFonts w:ascii="Arial Narrow" w:hAnsi="Arial Narrow" w:eastAsia="仿宋_GB2312" w:cs="Arial"/>
                <w:color w:val="000000"/>
                <w:sz w:val="20"/>
                <w:szCs w:val="20"/>
                <w:lang w:eastAsia="zh-CN"/>
              </w:rPr>
            </w:pPr>
            <w:r>
              <w:rPr>
                <w:rFonts w:ascii="Arial Narrow" w:hAnsi="Arial Narrow" w:eastAsia="仿宋_GB2312" w:cs="Arial"/>
                <w:color w:val="000000"/>
                <w:sz w:val="20"/>
                <w:szCs w:val="20"/>
                <w:lang w:eastAsia="zh-CN"/>
              </w:rPr>
              <w:t xml:space="preserve">关联交易定价是否符合独立交易原则的分析及结论。</w:t>
            </w:r>
            <w:r>
              <w:rPr>
                <w:rFonts w:ascii="Arial Narrow" w:hAnsi="Arial Narrow" w:eastAsia="仿宋_GB2312" w:cs="Arial"/>
                <w:color w:val="000000"/>
                <w:sz w:val="20"/>
                <w:szCs w:val="20"/>
                <w:lang w:eastAsia="zh-CN"/>
              </w:rPr>
            </w:r>
          </w:p>
        </w:tc>
        <w:tc>
          <w:tcPr>
            <w:shd w:val="clear" w:color="auto" w:fill="auto"/>
            <w:tcBorders>
              <w:top w:val="single" w:color="auto" w:sz="4" w:space="0"/>
              <w:left w:val="single" w:color="auto" w:sz="4" w:space="0"/>
              <w:bottom w:val="single" w:color="auto" w:sz="4" w:space="0"/>
              <w:right w:val="single" w:color="auto" w:sz="4" w:space="0"/>
            </w:tcBorders>
            <w:tcW w:w="1134" w:type="dxa"/>
            <w:vAlign w:val="center"/>
            <w:textDirection w:val="lrTb"/>
            <w:noWrap w:val="false"/>
          </w:tcPr>
          <w:p>
            <w:pPr>
              <w:pStyle w:val="1453"/>
              <w:pBdr/>
              <w:spacing w:after="60" w:before="60" w:line="240" w:lineRule="auto"/>
              <w:ind w:firstLine="0"/>
              <w:rPr>
                <w:rFonts w:ascii="Arial Narrow" w:hAnsi="Arial Narrow" w:eastAsia="仿宋_GB2312" w:cs="Arial"/>
                <w:sz w:val="20"/>
                <w:szCs w:val="20"/>
                <w:lang w:eastAsia="zh-CN"/>
              </w:rPr>
            </w:pPr>
            <w:r>
              <w:rPr>
                <w:rFonts w:ascii="Arial Narrow" w:hAnsi="Arial Narrow" w:eastAsia="仿宋_GB2312" w:cs="Arial"/>
                <w:sz w:val="20"/>
                <w:szCs w:val="20"/>
                <w:lang w:eastAsia="zh-CN"/>
              </w:rPr>
              <w:t xml:space="preserve">8</w:t>
            </w:r>
            <w:r>
              <w:rPr>
                <w:rFonts w:ascii="Arial Narrow" w:hAnsi="Arial Narrow" w:eastAsia="仿宋_GB2312" w:cs="Arial"/>
                <w:sz w:val="20"/>
                <w:szCs w:val="20"/>
                <w:lang w:eastAsia="zh-CN"/>
              </w:rPr>
            </w:r>
          </w:p>
        </w:tc>
      </w:tr>
    </w:tbl>
    <w:p>
      <w:pPr>
        <w:pBdr/>
        <w:spacing/>
        <w:ind/>
        <w:jc w:val="both"/>
        <w:rPr>
          <w:rFonts w:ascii="Arial Narrow" w:hAnsi="Arial Narrow" w:eastAsia="仿宋_GB2312" w:cs="Arial"/>
          <w:sz w:val="22"/>
          <w:szCs w:val="22"/>
        </w:rPr>
      </w:pPr>
      <w:r>
        <w:rPr>
          <w:rFonts w:ascii="Arial Narrow" w:hAnsi="Arial Narrow" w:eastAsia="仿宋_GB2312" w:cs="Arial"/>
          <w:sz w:val="22"/>
          <w:szCs w:val="22"/>
        </w:rPr>
      </w:r>
      <w:r>
        <w:rPr>
          <w:rFonts w:ascii="Arial Narrow" w:hAnsi="Arial Narrow" w:eastAsia="仿宋_GB2312" w:cs="Arial"/>
          <w:sz w:val="22"/>
          <w:szCs w:val="22"/>
        </w:rPr>
      </w:r>
    </w:p>
    <w:p>
      <w:pPr>
        <w:pBdr/>
        <w:spacing/>
        <w:ind/>
        <w:jc w:val="both"/>
        <w:rPr>
          <w:rFonts w:ascii="Arial Narrow" w:hAnsi="Arial Narrow" w:eastAsia="仿宋_GB2312" w:cs="Arial"/>
          <w:sz w:val="22"/>
          <w:szCs w:val="22"/>
        </w:rPr>
      </w:pPr>
      <w:r>
        <w:rPr>
          <w:rFonts w:ascii="Arial Narrow" w:hAnsi="Arial Narrow" w:eastAsia="仿宋_GB2312" w:cs="Arial"/>
          <w:sz w:val="22"/>
          <w:szCs w:val="22"/>
        </w:rPr>
      </w:r>
      <w:r>
        <w:rPr>
          <w:rFonts w:ascii="Arial Narrow" w:hAnsi="Arial Narrow" w:eastAsia="仿宋_GB2312" w:cs="Arial"/>
          <w:sz w:val="22"/>
          <w:szCs w:val="22"/>
        </w:rPr>
      </w:r>
    </w:p>
    <w:p>
      <w:pPr>
        <w:pBdr/>
        <w:spacing/>
        <w:ind/>
        <w:jc w:val="both"/>
        <w:rPr>
          <w:rFonts w:ascii="Arial Narrow" w:hAnsi="Arial Narrow" w:eastAsia="仿宋_GB2312" w:cs="Arial"/>
          <w:sz w:val="22"/>
          <w:szCs w:val="22"/>
        </w:rPr>
        <w:sectPr>
          <w:footerReference w:type="default" r:id="rId23"/>
          <w:footnotePr/>
          <w:endnotePr/>
          <w:type w:val="nextPage"/>
          <w:pgSz w:h="16839" w:orient="portrait" w:w="11907"/>
          <w:pgMar w:top="1440" w:right="1800" w:bottom="1440" w:left="1800" w:header="709" w:footer="709" w:gutter="0"/>
          <w:pgNumType w:start="1"/>
          <w:cols w:num="1" w:sep="0" w:space="720" w:equalWidth="1"/>
        </w:sectPr>
      </w:pPr>
      <w:r>
        <w:rPr>
          <w:rFonts w:ascii="Arial Narrow" w:hAnsi="Arial Narrow" w:eastAsia="仿宋_GB2312" w:cs="Arial"/>
          <w:sz w:val="22"/>
          <w:szCs w:val="22"/>
        </w:rPr>
      </w:r>
      <w:r>
        <w:rPr>
          <w:rFonts w:ascii="Arial Narrow" w:hAnsi="Arial Narrow" w:eastAsia="仿宋_GB2312" w:cs="Arial"/>
          <w:sz w:val="22"/>
          <w:szCs w:val="22"/>
        </w:rPr>
      </w:r>
    </w:p>
    <w:p>
      <w:pPr>
        <w:pStyle w:val="1323"/>
        <w:numPr>
          <w:ilvl w:val="0"/>
          <w:numId w:val="0"/>
        </w:numPr>
        <w:pBdr/>
        <w:spacing/>
        <w:ind w:left="360"/>
        <w:rPr/>
      </w:pPr>
      <w:r/>
      <w:bookmarkStart w:id="50" w:name="_Toc140505094"/>
      <w:r/>
      <w:bookmarkStart w:id="51" w:name="_Toc53229045"/>
      <w:r>
        <w:t xml:space="preserve">缩略语索引表</w:t>
      </w:r>
      <w:bookmarkEnd w:id="50"/>
      <w:r/>
      <w:bookmarkEnd w:id="51"/>
      <w:r/>
      <w:r/>
    </w:p>
    <w:tbl>
      <w:tblPr>
        <w:tblW w:w="8363" w:type="dxa"/>
        <w:jc w:val="center"/>
        <w:tblCellSpacing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83"/>
        <w:gridCol w:w="5380"/>
      </w:tblGrid>
      <w:tr>
        <w:trPr>
          <w:jc w:val="center"/>
          <w:tblCellSpacing w:w="0" w:type="dxa"/>
          <w:trHeight w:val="555" w:hRule="exact"/>
          <w:tblHeader/>
        </w:trPr>
        <w:tc>
          <w:tcPr>
            <w:shd w:val="clear" w:color="auto" w:fill="002060"/>
            <w:tcBorders/>
            <w:tcW w:w="2983" w:type="dxa"/>
            <w:vAlign w:val="center"/>
            <w:textDirection w:val="lrTb"/>
            <w:noWrap w:val="false"/>
          </w:tcPr>
          <w:p>
            <w:pPr>
              <w:pBdr/>
              <w:spacing/>
              <w:ind/>
              <w:jc w:val="center"/>
              <w:rPr>
                <w:rFonts w:ascii="Arial Narrow" w:hAnsi="Arial Narrow" w:eastAsia="仿宋_GB2312" w:cs="Arial"/>
                <w:b/>
                <w:color w:val="ffffff"/>
                <w:sz w:val="22"/>
                <w:szCs w:val="22"/>
              </w:rPr>
            </w:pPr>
            <w:r>
              <w:rPr>
                <w:rFonts w:ascii="Arial Narrow" w:hAnsi="Arial Narrow" w:eastAsia="仿宋_GB2312" w:cs="Arial"/>
                <w:b/>
                <w:color w:val="ffffff"/>
                <w:sz w:val="22"/>
                <w:szCs w:val="22"/>
              </w:rPr>
              <w:t xml:space="preserve">缩略语</w:t>
            </w:r>
            <w:r>
              <w:rPr>
                <w:rFonts w:ascii="Arial Narrow" w:hAnsi="Arial Narrow" w:eastAsia="仿宋_GB2312" w:cs="Arial"/>
                <w:b/>
                <w:color w:val="ffffff"/>
                <w:sz w:val="22"/>
                <w:szCs w:val="22"/>
              </w:rPr>
            </w:r>
          </w:p>
        </w:tc>
        <w:tc>
          <w:tcPr>
            <w:shd w:val="clear" w:color="auto" w:fill="002060"/>
            <w:tcBorders/>
            <w:tcW w:w="5380" w:type="dxa"/>
            <w:vAlign w:val="center"/>
            <w:textDirection w:val="lrTb"/>
            <w:noWrap w:val="false"/>
          </w:tcPr>
          <w:p>
            <w:pPr>
              <w:pBdr/>
              <w:spacing/>
              <w:ind/>
              <w:jc w:val="center"/>
              <w:rPr>
                <w:rFonts w:ascii="Arial Narrow" w:hAnsi="Arial Narrow" w:eastAsia="仿宋_GB2312" w:cs="Arial"/>
                <w:b/>
                <w:color w:val="ffffff"/>
                <w:sz w:val="22"/>
                <w:szCs w:val="22"/>
              </w:rPr>
            </w:pPr>
            <w:r>
              <w:rPr>
                <w:rFonts w:ascii="Arial Narrow" w:hAnsi="Arial Narrow" w:eastAsia="仿宋_GB2312" w:cs="Arial"/>
                <w:b/>
                <w:color w:val="ffffff"/>
                <w:sz w:val="22"/>
                <w:szCs w:val="22"/>
              </w:rPr>
              <w:t xml:space="preserve">全称</w:t>
            </w:r>
            <w:r>
              <w:rPr>
                <w:rFonts w:ascii="Arial Narrow" w:hAnsi="Arial Narrow" w:eastAsia="仿宋_GB2312" w:cs="Arial"/>
                <w:b/>
                <w:color w:val="ffffff"/>
                <w:sz w:val="22"/>
                <w:szCs w:val="22"/>
              </w:rPr>
            </w:r>
          </w:p>
        </w:tc>
      </w:tr>
      <w:tr>
        <w:trPr>
          <w:jc w:val="center"/>
          <w:tblCellSpacing w:w="0" w:type="dxa"/>
          <w:trHeight w:val="615"/>
        </w:trPr>
        <w:tc>
          <w:tcPr>
            <w:shd w:val="clear" w:color="auto" w:fill="auto"/>
            <w:tcBorders/>
            <w:tcW w:w="2983" w:type="dxa"/>
            <w:vAlign w:val="center"/>
            <w:textDirection w:val="lrTb"/>
            <w:noWrap w:val="false"/>
          </w:tcPr>
          <w:p>
            <w:pPr>
              <w:pBdr/>
              <w:spacing/>
              <w:ind/>
              <w:rPr>
                <w:rFonts w:ascii="Arial Narrow" w:hAnsi="Arial Narrow" w:eastAsia="仿宋_GB2312" w:cs="Arial"/>
                <w:sz w:val="22"/>
                <w:szCs w:val="22"/>
              </w:rPr>
            </w:pPr>
            <w:r>
              <w:rPr>
                <w:rFonts w:hint="eastAsia" w:ascii="Arial Narrow" w:hAnsi="Arial Narrow" w:eastAsia="仿宋_GB2312" w:cs="Arial"/>
                <w:sz w:val="22"/>
                <w:szCs w:val="22"/>
              </w:rPr>
              <w:t xml:space="preserve">立信或我们</w:t>
            </w:r>
            <w:r>
              <w:rPr>
                <w:rFonts w:ascii="Arial Narrow" w:hAnsi="Arial Narrow" w:eastAsia="仿宋_GB2312" w:cs="Arial"/>
                <w:sz w:val="22"/>
                <w:szCs w:val="22"/>
              </w:rPr>
            </w:r>
            <w:r>
              <w:rPr>
                <w:rFonts w:ascii="Arial Narrow" w:hAnsi="Arial Narrow" w:eastAsia="仿宋_GB2312" w:cs="Arial"/>
                <w:sz w:val="22"/>
                <w:szCs w:val="22"/>
              </w:rPr>
            </w:r>
          </w:p>
        </w:tc>
        <w:tc>
          <w:tcPr>
            <w:shd w:val="clear" w:color="auto" w:fill="auto"/>
            <w:tcBorders/>
            <w:tcW w:w="5380" w:type="dxa"/>
            <w:vAlign w:val="center"/>
            <w:textDirection w:val="lrTb"/>
            <w:noWrap w:val="false"/>
          </w:tcPr>
          <w:p>
            <w:pPr>
              <w:pBdr/>
              <w:spacing/>
              <w:ind/>
              <w:rPr>
                <w:rFonts w:ascii="Arial Narrow" w:hAnsi="Arial Narrow" w:eastAsia="仿宋_GB2312" w:cs="Arial"/>
                <w:sz w:val="22"/>
                <w:szCs w:val="22"/>
              </w:rPr>
            </w:pPr>
            <w:r>
              <w:rPr>
                <w:rFonts w:hint="eastAsia" w:ascii="Arial Narrow" w:hAnsi="Arial Narrow" w:eastAsia="仿宋_GB2312" w:cs="Arial"/>
                <w:sz w:val="22"/>
                <w:szCs w:val="22"/>
              </w:rPr>
              <w:t xml:space="preserve">{{事务所名称}}</w:t>
            </w:r>
            <w:r>
              <w:rPr>
                <w:rFonts w:ascii="Arial Narrow" w:hAnsi="Arial Narrow" w:eastAsia="仿宋_GB2312" w:cs="Arial"/>
                <w:sz w:val="22"/>
                <w:szCs w:val="22"/>
              </w:rPr>
            </w:r>
          </w:p>
        </w:tc>
      </w:tr>
      <w:tr>
        <w:trPr>
          <w:jc w:val="center"/>
          <w:tblCellSpacing w:w="0" w:type="dxa"/>
          <w:trHeight w:val="615"/>
        </w:trPr>
        <w:tc>
          <w:tcPr>
            <w:shd w:val="clear" w:color="auto" w:fill="auto"/>
            <w:tcBorders/>
            <w:tcW w:w="2983" w:type="dxa"/>
            <w:vAlign w:val="center"/>
            <w:textDirection w:val="lrTb"/>
            <w:noWrap w:val="false"/>
          </w:tcPr>
          <w:p>
            <w:pPr>
              <w:pBdr/>
              <w:spacing/>
              <w:ind/>
              <w:rPr>
                <w:rFonts w:ascii="Arial Narrow" w:hAnsi="Arial Narrow" w:eastAsia="仿宋_GB2312" w:cs="Arial"/>
                <w:sz w:val="22"/>
                <w:szCs w:val="22"/>
              </w:rPr>
            </w:pPr>
            <w:r>
              <w:rPr>
                <w:rFonts w:ascii="Arial Narrow" w:hAnsi="Arial Narrow" w:eastAsia="仿宋_GB2312" w:cs="Arial"/>
                <w:sz w:val="22"/>
                <w:szCs w:val="22"/>
              </w:rPr>
              <w:t xml:space="preserve">松莉科技或贵公司</w:t>
            </w:r>
            <w:r>
              <w:rPr>
                <w:rFonts w:ascii="Arial Narrow" w:hAnsi="Arial Narrow" w:eastAsia="仿宋_GB2312" w:cs="Arial"/>
                <w:sz w:val="22"/>
                <w:szCs w:val="22"/>
              </w:rPr>
            </w:r>
          </w:p>
        </w:tc>
        <w:tc>
          <w:tcPr>
            <w:shd w:val="clear" w:color="auto" w:fill="auto"/>
            <w:tcBorders/>
            <w:tcW w:w="5380" w:type="dxa"/>
            <w:vAlign w:val="center"/>
            <w:textDirection w:val="lrTb"/>
            <w:noWrap w:val="false"/>
          </w:tcPr>
          <w:p>
            <w:pPr>
              <w:pBdr/>
              <w:spacing/>
              <w:ind/>
              <w:jc w:val="both"/>
              <w:rPr>
                <w:rFonts w:ascii="Arial Narrow" w:hAnsi="Arial Narrow" w:eastAsia="仿宋_GB2312" w:cs="Arial"/>
                <w:sz w:val="22"/>
                <w:szCs w:val="22"/>
              </w:rPr>
            </w:pPr>
            <w:r>
              <w:rPr>
                <w:rFonts w:ascii="Arial Narrow" w:hAnsi="Arial Narrow" w:eastAsia="仿宋_GB2312" w:cs="Arial"/>
                <w:sz w:val="22"/>
                <w:szCs w:val="22"/>
              </w:rPr>
              <w:t xml:space="preserve">{{企业名称}}</w:t>
            </w:r>
            <w:r>
              <w:rPr>
                <w:rFonts w:ascii="Arial Narrow" w:hAnsi="Arial Narrow" w:eastAsia="仿宋_GB2312" w:cs="Arial"/>
                <w:sz w:val="22"/>
                <w:szCs w:val="22"/>
              </w:rPr>
            </w:r>
          </w:p>
        </w:tc>
      </w:tr>
      <w:tr>
        <w:trPr>
          <w:jc w:val="center"/>
          <w:tblCellSpacing w:w="0" w:type="dxa"/>
          <w:trHeight w:val="615"/>
        </w:trPr>
        <w:tc>
          <w:tcPr>
            <w:shd w:val="clear" w:color="auto" w:fill="auto"/>
            <w:tcBorders/>
            <w:tcW w:w="2983" w:type="dxa"/>
            <w:vAlign w:val="center"/>
            <w:textDirection w:val="lrTb"/>
            <w:noWrap w:val="false"/>
          </w:tcPr>
          <w:p>
            <w:pPr>
              <w:pBdr/>
              <w:spacing/>
              <w:ind/>
              <w:rPr>
                <w:rFonts w:ascii="Arial Narrow" w:hAnsi="Arial Narrow" w:eastAsia="仿宋_GB2312" w:cs="Arial"/>
                <w:sz w:val="22"/>
                <w:szCs w:val="22"/>
              </w:rPr>
            </w:pPr>
            <w:r>
              <w:rPr>
                <w:rFonts w:ascii="Arial Narrow" w:hAnsi="Arial Narrow" w:eastAsia="仿宋_GB2312" w:cs="Arial"/>
                <w:sz w:val="22"/>
                <w:szCs w:val="22"/>
              </w:rPr>
              <w:t xml:space="preserve">Markwins集团</w:t>
            </w:r>
            <w:r>
              <w:rPr>
                <w:rFonts w:ascii="Arial Narrow" w:hAnsi="Arial Narrow" w:eastAsia="仿宋_GB2312" w:cs="Arial"/>
                <w:sz w:val="22"/>
                <w:szCs w:val="22"/>
              </w:rPr>
            </w:r>
            <w:r>
              <w:rPr>
                <w:rFonts w:ascii="Arial Narrow" w:hAnsi="Arial Narrow" w:eastAsia="仿宋_GB2312" w:cs="Arial"/>
                <w:sz w:val="22"/>
                <w:szCs w:val="22"/>
              </w:rPr>
            </w:r>
          </w:p>
        </w:tc>
        <w:tc>
          <w:tcPr>
            <w:shd w:val="clear" w:color="auto" w:fill="auto"/>
            <w:tcBorders/>
            <w:tcW w:w="5380" w:type="dxa"/>
            <w:vAlign w:val="center"/>
            <w:textDirection w:val="lrTb"/>
            <w:noWrap w:val="false"/>
          </w:tcPr>
          <w:p>
            <w:pPr>
              <w:pBdr/>
              <w:spacing/>
              <w:ind/>
              <w:jc w:val="both"/>
              <w:rPr>
                <w:rFonts w:ascii="Arial Narrow" w:hAnsi="Arial Narrow" w:eastAsia="仿宋_GB2312" w:cs="Arial"/>
                <w:sz w:val="22"/>
                <w:szCs w:val="22"/>
              </w:rPr>
            </w:pPr>
            <w:r>
              <w:rPr>
                <w:rFonts w:ascii="Arial Narrow" w:hAnsi="Arial Narrow" w:eastAsia="仿宋_GB2312" w:cs="Arial"/>
                <w:sz w:val="22"/>
                <w:szCs w:val="22"/>
              </w:rPr>
              <w:t xml:space="preserve">{{母公司全称}}及其关联公司</w:t>
            </w:r>
            <w:r>
              <w:rPr>
                <w:rFonts w:ascii="Arial Narrow" w:hAnsi="Arial Narrow" w:eastAsia="仿宋_GB2312" w:cs="Arial"/>
                <w:sz w:val="22"/>
                <w:szCs w:val="22"/>
              </w:rPr>
            </w:r>
            <w:r>
              <w:rPr>
                <w:rFonts w:ascii="Arial Narrow" w:hAnsi="Arial Narrow" w:eastAsia="仿宋_GB2312" w:cs="Arial"/>
                <w:sz w:val="22"/>
                <w:szCs w:val="22"/>
              </w:rPr>
            </w:r>
          </w:p>
        </w:tc>
      </w:tr>
      <w:tr>
        <w:trPr>
          <w:jc w:val="center"/>
          <w:tblCellSpacing w:w="0" w:type="dxa"/>
          <w:trHeight w:val="615"/>
        </w:trPr>
        <w:tc>
          <w:tcPr>
            <w:shd w:val="clear" w:color="auto" w:fill="auto"/>
            <w:tcBorders/>
            <w:tcW w:w="2983" w:type="dxa"/>
            <w:vAlign w:val="center"/>
            <w:textDirection w:val="lrTb"/>
            <w:noWrap w:val="false"/>
          </w:tcPr>
          <w:p>
            <w:pPr>
              <w:pBdr/>
              <w:spacing/>
              <w:ind/>
              <w:rPr>
                <w:rFonts w:ascii="Arial Narrow" w:hAnsi="Arial Narrow" w:eastAsia="仿宋_GB2312" w:cs="Arial"/>
                <w:sz w:val="22"/>
                <w:szCs w:val="22"/>
              </w:rPr>
            </w:pPr>
            <w:r>
              <w:rPr>
                <w:rFonts w:ascii="Arial Narrow" w:hAnsi="Arial Narrow" w:eastAsia="仿宋_GB2312" w:cs="Arial"/>
                <w:sz w:val="22"/>
                <w:szCs w:val="22"/>
              </w:rPr>
              <w:t xml:space="preserve">Markwins US</w:t>
            </w:r>
            <w:r>
              <w:rPr>
                <w:rFonts w:ascii="Arial Narrow" w:hAnsi="Arial Narrow" w:eastAsia="仿宋_GB2312" w:cs="Arial"/>
                <w:sz w:val="22"/>
                <w:szCs w:val="22"/>
              </w:rPr>
            </w:r>
          </w:p>
        </w:tc>
        <w:tc>
          <w:tcPr>
            <w:shd w:val="clear" w:color="auto" w:fill="auto"/>
            <w:tcBorders/>
            <w:tcW w:w="5380" w:type="dxa"/>
            <w:vAlign w:val="center"/>
            <w:textDirection w:val="lrTb"/>
            <w:noWrap w:val="false"/>
          </w:tcPr>
          <w:p>
            <w:pPr>
              <w:pBdr/>
              <w:spacing/>
              <w:ind/>
              <w:jc w:val="both"/>
              <w:rPr>
                <w:rFonts w:ascii="Arial Narrow" w:hAnsi="Arial Narrow" w:eastAsia="仿宋_GB2312" w:cs="Arial"/>
                <w:sz w:val="22"/>
                <w:szCs w:val="22"/>
              </w:rPr>
            </w:pPr>
            <w:r>
              <w:rPr>
                <w:rFonts w:ascii="Arial Narrow" w:hAnsi="Arial Narrow" w:eastAsia="仿宋_GB2312" w:cs="Arial"/>
                <w:sz w:val="22"/>
                <w:szCs w:val="22"/>
              </w:rPr>
              <w:t xml:space="preserve">Markwins Beauty Brands, Inc.</w:t>
            </w:r>
            <w:r>
              <w:rPr>
                <w:rFonts w:ascii="Arial Narrow" w:hAnsi="Arial Narrow" w:eastAsia="仿宋_GB2312" w:cs="Arial"/>
                <w:sz w:val="22"/>
                <w:szCs w:val="22"/>
              </w:rPr>
            </w:r>
            <w:r>
              <w:rPr>
                <w:rFonts w:ascii="Arial Narrow" w:hAnsi="Arial Narrow" w:eastAsia="仿宋_GB2312" w:cs="Arial"/>
                <w:sz w:val="22"/>
                <w:szCs w:val="22"/>
              </w:rPr>
            </w:r>
          </w:p>
        </w:tc>
      </w:tr>
      <w:tr>
        <w:trPr>
          <w:jc w:val="center"/>
          <w:tblCellSpacing w:w="0" w:type="dxa"/>
          <w:trHeight w:val="615"/>
        </w:trPr>
        <w:tc>
          <w:tcPr>
            <w:shd w:val="clear" w:color="auto" w:fill="auto"/>
            <w:tcBorders/>
            <w:tcW w:w="2983" w:type="dxa"/>
            <w:vAlign w:val="center"/>
            <w:textDirection w:val="lrTb"/>
            <w:noWrap w:val="false"/>
          </w:tcPr>
          <w:p>
            <w:pPr>
              <w:pBdr/>
              <w:spacing/>
              <w:ind/>
              <w:rPr>
                <w:rFonts w:ascii="Arial Narrow" w:hAnsi="Arial Narrow" w:eastAsia="仿宋_GB2312" w:cs="Arial"/>
                <w:sz w:val="22"/>
                <w:szCs w:val="22"/>
              </w:rPr>
            </w:pPr>
            <w:r>
              <w:rPr>
                <w:rFonts w:hint="eastAsia" w:ascii="Arial Narrow" w:hAnsi="Arial Narrow" w:eastAsia="仿宋_GB2312" w:cs="Arial"/>
                <w:sz w:val="22"/>
                <w:szCs w:val="22"/>
              </w:rPr>
              <w:t xml:space="preserve">Markwins HK</w:t>
            </w:r>
            <w:r>
              <w:rPr>
                <w:rFonts w:ascii="Arial Narrow" w:hAnsi="Arial Narrow" w:eastAsia="仿宋_GB2312" w:cs="Arial"/>
                <w:sz w:val="22"/>
                <w:szCs w:val="22"/>
              </w:rPr>
            </w:r>
          </w:p>
        </w:tc>
        <w:tc>
          <w:tcPr>
            <w:shd w:val="clear" w:color="auto" w:fill="auto"/>
            <w:tcBorders/>
            <w:tcW w:w="5380" w:type="dxa"/>
            <w:vAlign w:val="center"/>
            <w:textDirection w:val="lrTb"/>
            <w:noWrap w:val="false"/>
          </w:tcPr>
          <w:p>
            <w:pPr>
              <w:pBdr/>
              <w:spacing/>
              <w:ind/>
              <w:jc w:val="both"/>
              <w:rPr>
                <w:rFonts w:ascii="Arial Narrow" w:hAnsi="Arial Narrow" w:eastAsia="仿宋_GB2312" w:cs="Arial"/>
                <w:sz w:val="22"/>
                <w:szCs w:val="22"/>
              </w:rPr>
            </w:pPr>
            <w:r>
              <w:rPr>
                <w:rFonts w:hint="eastAsia" w:ascii="Arial Narrow" w:hAnsi="Arial Narrow" w:eastAsia="仿宋_GB2312" w:cs="Arial"/>
                <w:sz w:val="22"/>
                <w:szCs w:val="22"/>
              </w:rPr>
              <w:t xml:space="preserve">Markwins International Corporation Limited</w:t>
            </w:r>
            <w:r>
              <w:rPr>
                <w:rFonts w:ascii="Arial Narrow" w:hAnsi="Arial Narrow" w:eastAsia="仿宋_GB2312" w:cs="Arial"/>
                <w:sz w:val="22"/>
                <w:szCs w:val="22"/>
              </w:rPr>
            </w:r>
          </w:p>
        </w:tc>
      </w:tr>
      <w:tr>
        <w:trPr>
          <w:jc w:val="center"/>
          <w:tblCellSpacing w:w="0" w:type="dxa"/>
          <w:trHeight w:val="615"/>
        </w:trPr>
        <w:tc>
          <w:tcPr>
            <w:shd w:val="clear" w:color="auto" w:fill="auto"/>
            <w:tcBorders/>
            <w:tcW w:w="2983" w:type="dxa"/>
            <w:vAlign w:val="center"/>
            <w:textDirection w:val="lrTb"/>
            <w:noWrap w:val="false"/>
          </w:tcPr>
          <w:p>
            <w:pPr>
              <w:pBdr/>
              <w:spacing/>
              <w:ind/>
              <w:rPr>
                <w:rFonts w:ascii="Arial Narrow" w:hAnsi="Arial Narrow" w:eastAsia="仿宋_GB2312" w:cs="Arial"/>
                <w:sz w:val="22"/>
                <w:szCs w:val="22"/>
              </w:rPr>
            </w:pPr>
            <w:r>
              <w:rPr>
                <w:rFonts w:hint="eastAsia" w:ascii="Arial Narrow" w:hAnsi="Arial Narrow" w:eastAsia="仿宋_GB2312" w:cs="Arial"/>
                <w:sz w:val="22"/>
                <w:szCs w:val="22"/>
              </w:rPr>
              <w:t xml:space="preserve">Markwins Pro Art</w:t>
            </w:r>
            <w:r>
              <w:rPr>
                <w:rFonts w:ascii="Arial Narrow" w:hAnsi="Arial Narrow" w:eastAsia="仿宋_GB2312" w:cs="Arial"/>
                <w:sz w:val="22"/>
                <w:szCs w:val="22"/>
              </w:rPr>
            </w:r>
          </w:p>
        </w:tc>
        <w:tc>
          <w:tcPr>
            <w:shd w:val="clear" w:color="auto" w:fill="auto"/>
            <w:tcBorders/>
            <w:tcW w:w="5380" w:type="dxa"/>
            <w:vAlign w:val="center"/>
            <w:textDirection w:val="lrTb"/>
            <w:noWrap w:val="false"/>
          </w:tcPr>
          <w:p>
            <w:pPr>
              <w:pBdr/>
              <w:spacing/>
              <w:ind/>
              <w:jc w:val="both"/>
              <w:rPr>
                <w:rFonts w:ascii="Arial Narrow" w:hAnsi="Arial Narrow" w:eastAsia="仿宋_GB2312" w:cs="Arial"/>
                <w:sz w:val="22"/>
                <w:szCs w:val="22"/>
              </w:rPr>
            </w:pPr>
            <w:r>
              <w:rPr>
                <w:rFonts w:hint="eastAsia" w:ascii="Arial Narrow" w:hAnsi="Arial Narrow" w:eastAsia="仿宋_GB2312" w:cs="Arial"/>
                <w:sz w:val="22"/>
                <w:szCs w:val="22"/>
              </w:rPr>
              <w:t xml:space="preserve">Pro Art Cosmetics Limited</w:t>
            </w:r>
            <w:r>
              <w:rPr>
                <w:rFonts w:ascii="Arial Narrow" w:hAnsi="Arial Narrow" w:eastAsia="仿宋_GB2312" w:cs="Arial"/>
                <w:sz w:val="22"/>
                <w:szCs w:val="22"/>
              </w:rPr>
            </w:r>
          </w:p>
        </w:tc>
      </w:tr>
      <w:tr>
        <w:trPr>
          <w:jc w:val="center"/>
          <w:tblCellSpacing w:w="0" w:type="dxa"/>
          <w:trHeight w:val="615"/>
        </w:trPr>
        <w:tc>
          <w:tcPr>
            <w:shd w:val="clear" w:color="auto" w:fill="auto"/>
            <w:tcBorders/>
            <w:tcW w:w="2983" w:type="dxa"/>
            <w:vAlign w:val="center"/>
            <w:textDirection w:val="lrTb"/>
            <w:noWrap w:val="false"/>
          </w:tcPr>
          <w:p>
            <w:pPr>
              <w:pBdr/>
              <w:spacing/>
              <w:ind/>
              <w:rPr>
                <w:rFonts w:ascii="Arial Narrow" w:hAnsi="Arial Narrow" w:eastAsia="仿宋_GB2312" w:cs="Arial"/>
                <w:sz w:val="22"/>
                <w:szCs w:val="22"/>
              </w:rPr>
            </w:pPr>
            <w:r>
              <w:rPr>
                <w:rFonts w:ascii="Arial Narrow" w:hAnsi="Arial Narrow" w:eastAsia="仿宋_GB2312" w:cs="Arial"/>
                <w:sz w:val="22"/>
                <w:szCs w:val="22"/>
              </w:rPr>
              <w:t xml:space="preserve">评估期间或2023年度</w:t>
            </w:r>
            <w:r>
              <w:rPr>
                <w:rFonts w:ascii="Arial Narrow" w:hAnsi="Arial Narrow" w:eastAsia="仿宋_GB2312" w:cs="Arial"/>
                <w:sz w:val="22"/>
                <w:szCs w:val="22"/>
              </w:rPr>
            </w:r>
            <w:r>
              <w:rPr>
                <w:rFonts w:ascii="Arial Narrow" w:hAnsi="Arial Narrow" w:eastAsia="仿宋_GB2312" w:cs="Arial"/>
                <w:sz w:val="22"/>
                <w:szCs w:val="22"/>
              </w:rPr>
            </w:r>
          </w:p>
        </w:tc>
        <w:tc>
          <w:tcPr>
            <w:shd w:val="clear" w:color="auto" w:fill="auto"/>
            <w:tcBorders/>
            <w:tcW w:w="5380" w:type="dxa"/>
            <w:vAlign w:val="center"/>
            <w:textDirection w:val="lrTb"/>
            <w:noWrap w:val="false"/>
          </w:tcPr>
          <w:p>
            <w:pPr>
              <w:pBdr/>
              <w:spacing/>
              <w:ind/>
              <w:jc w:val="both"/>
              <w:rPr>
                <w:rFonts w:ascii="Arial Narrow" w:hAnsi="Arial Narrow" w:eastAsia="仿宋_GB2312" w:cs="Arial"/>
                <w:sz w:val="22"/>
                <w:szCs w:val="22"/>
              </w:rPr>
            </w:pPr>
            <w:r>
              <w:rPr>
                <w:rFonts w:ascii="Arial Narrow" w:hAnsi="Arial Narrow" w:eastAsia="仿宋_GB2312" w:cs="Arial"/>
                <w:sz w:val="22"/>
                <w:szCs w:val="22"/>
              </w:rPr>
              <w:t xml:space="preserve">2023年1月1日至2023年12月31日</w:t>
            </w:r>
            <w:r>
              <w:rPr>
                <w:rFonts w:ascii="Arial Narrow" w:hAnsi="Arial Narrow" w:eastAsia="仿宋_GB2312" w:cs="Arial"/>
                <w:sz w:val="22"/>
                <w:szCs w:val="22"/>
              </w:rPr>
            </w:r>
            <w:r>
              <w:rPr>
                <w:rFonts w:ascii="Arial Narrow" w:hAnsi="Arial Narrow" w:eastAsia="仿宋_GB2312" w:cs="Arial"/>
                <w:sz w:val="22"/>
                <w:szCs w:val="22"/>
              </w:rPr>
            </w:r>
          </w:p>
        </w:tc>
      </w:tr>
      <w:tr>
        <w:trPr>
          <w:jc w:val="center"/>
          <w:tblCellSpacing w:w="0" w:type="dxa"/>
          <w:trHeight w:val="615"/>
        </w:trPr>
        <w:tc>
          <w:tcPr>
            <w:shd w:val="clear" w:color="auto" w:fill="auto"/>
            <w:tcBorders/>
            <w:tcW w:w="2983" w:type="dxa"/>
            <w:vAlign w:val="center"/>
            <w:textDirection w:val="lrTb"/>
            <w:noWrap w:val="false"/>
          </w:tcPr>
          <w:p>
            <w:pPr>
              <w:pBdr/>
              <w:spacing/>
              <w:ind/>
              <w:rPr>
                <w:rFonts w:ascii="Arial Narrow" w:hAnsi="Arial Narrow" w:eastAsia="仿宋_GB2312" w:cs="Arial"/>
                <w:sz w:val="22"/>
                <w:szCs w:val="22"/>
              </w:rPr>
            </w:pPr>
            <w:r>
              <w:rPr>
                <w:rFonts w:ascii="Arial Narrow" w:hAnsi="Arial Narrow" w:eastAsia="仿宋_GB2312" w:cs="Arial"/>
                <w:sz w:val="22"/>
                <w:szCs w:val="22"/>
              </w:rPr>
              <w:t xml:space="preserve">国税总局</w:t>
            </w:r>
            <w:r>
              <w:rPr>
                <w:rFonts w:ascii="Arial Narrow" w:hAnsi="Arial Narrow" w:eastAsia="仿宋_GB2312" w:cs="Arial"/>
                <w:sz w:val="22"/>
                <w:szCs w:val="22"/>
              </w:rPr>
            </w:r>
          </w:p>
        </w:tc>
        <w:tc>
          <w:tcPr>
            <w:shd w:val="clear" w:color="auto" w:fill="auto"/>
            <w:tcBorders/>
            <w:tcW w:w="5380" w:type="dxa"/>
            <w:vAlign w:val="center"/>
            <w:textDirection w:val="lrTb"/>
            <w:noWrap w:val="false"/>
          </w:tcPr>
          <w:p>
            <w:pPr>
              <w:pBdr/>
              <w:spacing/>
              <w:ind/>
              <w:jc w:val="both"/>
              <w:rPr>
                <w:rFonts w:ascii="Arial Narrow" w:hAnsi="Arial Narrow" w:eastAsia="仿宋_GB2312" w:cs="Arial"/>
                <w:sz w:val="22"/>
                <w:szCs w:val="22"/>
              </w:rPr>
            </w:pPr>
            <w:r>
              <w:rPr>
                <w:rFonts w:ascii="Arial Narrow" w:hAnsi="Arial Narrow" w:eastAsia="仿宋_GB2312" w:cs="Arial"/>
                <w:sz w:val="22"/>
                <w:szCs w:val="22"/>
              </w:rPr>
              <w:t xml:space="preserve">中华人民共和国国家税务总局</w:t>
            </w:r>
            <w:r>
              <w:rPr>
                <w:rFonts w:ascii="Arial Narrow" w:hAnsi="Arial Narrow" w:eastAsia="仿宋_GB2312" w:cs="Arial"/>
                <w:sz w:val="22"/>
                <w:szCs w:val="22"/>
              </w:rPr>
            </w:r>
          </w:p>
        </w:tc>
      </w:tr>
      <w:tr>
        <w:trPr>
          <w:jc w:val="center"/>
          <w:tblCellSpacing w:w="0" w:type="dxa"/>
          <w:trHeight w:val="615"/>
        </w:trPr>
        <w:tc>
          <w:tcPr>
            <w:shd w:val="clear" w:color="auto" w:fill="auto"/>
            <w:tcBorders/>
            <w:tcW w:w="2983" w:type="dxa"/>
            <w:vAlign w:val="center"/>
            <w:textDirection w:val="lrTb"/>
            <w:noWrap w:val="false"/>
          </w:tcPr>
          <w:p>
            <w:pPr>
              <w:pBdr/>
              <w:spacing/>
              <w:ind/>
              <w:rPr>
                <w:rFonts w:ascii="Arial Narrow" w:hAnsi="Arial Narrow" w:eastAsia="仿宋_GB2312" w:cs="Arial"/>
                <w:sz w:val="22"/>
                <w:szCs w:val="22"/>
              </w:rPr>
            </w:pPr>
            <w:r>
              <w:rPr>
                <w:rFonts w:ascii="Arial Narrow" w:hAnsi="Arial Narrow" w:eastAsia="仿宋_GB2312" w:cs="Arial"/>
                <w:sz w:val="22"/>
                <w:szCs w:val="22"/>
              </w:rPr>
              <w:t xml:space="preserve">企业所得税法</w:t>
            </w:r>
            <w:r>
              <w:rPr>
                <w:rFonts w:ascii="Arial Narrow" w:hAnsi="Arial Narrow" w:eastAsia="仿宋_GB2312" w:cs="Arial"/>
                <w:sz w:val="22"/>
                <w:szCs w:val="22"/>
              </w:rPr>
            </w:r>
          </w:p>
        </w:tc>
        <w:tc>
          <w:tcPr>
            <w:shd w:val="clear" w:color="auto" w:fill="auto"/>
            <w:tcBorders/>
            <w:tcW w:w="5380" w:type="dxa"/>
            <w:vAlign w:val="center"/>
            <w:textDirection w:val="lrTb"/>
            <w:noWrap w:val="false"/>
          </w:tcPr>
          <w:p>
            <w:pPr>
              <w:pBdr/>
              <w:spacing/>
              <w:ind/>
              <w:jc w:val="both"/>
              <w:rPr>
                <w:rFonts w:ascii="Arial Narrow" w:hAnsi="Arial Narrow" w:eastAsia="仿宋_GB2312" w:cs="Arial"/>
                <w:sz w:val="22"/>
                <w:szCs w:val="22"/>
              </w:rPr>
            </w:pPr>
            <w:r>
              <w:rPr>
                <w:rFonts w:ascii="Arial Narrow" w:hAnsi="Arial Narrow" w:eastAsia="仿宋_GB2312" w:cs="Arial"/>
                <w:sz w:val="22"/>
                <w:szCs w:val="22"/>
              </w:rPr>
              <w:t xml:space="preserve">《中华人民共和国企业所得税法》及其实施条例</w:t>
            </w:r>
            <w:r>
              <w:rPr>
                <w:rFonts w:ascii="Arial Narrow" w:hAnsi="Arial Narrow" w:eastAsia="仿宋_GB2312" w:cs="Arial"/>
                <w:sz w:val="22"/>
                <w:szCs w:val="22"/>
              </w:rPr>
            </w:r>
          </w:p>
        </w:tc>
      </w:tr>
      <w:tr>
        <w:trPr>
          <w:jc w:val="center"/>
          <w:tblCellSpacing w:w="0" w:type="dxa"/>
          <w:trHeight w:val="615"/>
        </w:trPr>
        <w:tc>
          <w:tcPr>
            <w:shd w:val="clear" w:color="auto" w:fill="auto"/>
            <w:tcBorders/>
            <w:tcW w:w="2983" w:type="dxa"/>
            <w:vAlign w:val="center"/>
            <w:textDirection w:val="lrTb"/>
            <w:noWrap w:val="false"/>
          </w:tcPr>
          <w:p>
            <w:pPr>
              <w:pBdr/>
              <w:spacing/>
              <w:ind/>
              <w:rPr>
                <w:rFonts w:ascii="Arial Narrow" w:hAnsi="Arial Narrow" w:eastAsia="仿宋_GB2312" w:cs="Arial"/>
                <w:sz w:val="22"/>
                <w:szCs w:val="22"/>
              </w:rPr>
            </w:pPr>
            <w:r>
              <w:rPr>
                <w:rFonts w:ascii="Arial Narrow" w:hAnsi="Arial Narrow" w:eastAsia="仿宋_GB2312" w:cs="Arial"/>
                <w:sz w:val="22"/>
                <w:szCs w:val="22"/>
              </w:rPr>
              <w:t xml:space="preserve">税收征管法</w:t>
            </w:r>
            <w:r>
              <w:rPr>
                <w:rFonts w:ascii="Arial Narrow" w:hAnsi="Arial Narrow" w:eastAsia="仿宋_GB2312" w:cs="Arial"/>
                <w:sz w:val="22"/>
                <w:szCs w:val="22"/>
              </w:rPr>
            </w:r>
          </w:p>
        </w:tc>
        <w:tc>
          <w:tcPr>
            <w:shd w:val="clear" w:color="auto" w:fill="auto"/>
            <w:tcBorders/>
            <w:tcW w:w="5380" w:type="dxa"/>
            <w:vAlign w:val="center"/>
            <w:textDirection w:val="lrTb"/>
            <w:noWrap w:val="false"/>
          </w:tcPr>
          <w:p>
            <w:pPr>
              <w:pBdr/>
              <w:spacing/>
              <w:ind/>
              <w:jc w:val="both"/>
              <w:rPr>
                <w:rFonts w:ascii="Arial Narrow" w:hAnsi="Arial Narrow" w:eastAsia="仿宋_GB2312" w:cs="Arial"/>
                <w:sz w:val="22"/>
                <w:szCs w:val="22"/>
              </w:rPr>
            </w:pPr>
            <w:r>
              <w:rPr>
                <w:rFonts w:ascii="Arial Narrow" w:hAnsi="Arial Narrow" w:eastAsia="仿宋_GB2312" w:cs="Arial"/>
                <w:sz w:val="22"/>
                <w:szCs w:val="22"/>
              </w:rPr>
              <w:t xml:space="preserve">《中华人民共和国税收征收管理法》及其实施细则</w:t>
            </w:r>
            <w:r>
              <w:rPr>
                <w:rFonts w:ascii="Arial Narrow" w:hAnsi="Arial Narrow" w:eastAsia="仿宋_GB2312" w:cs="Arial"/>
                <w:sz w:val="22"/>
                <w:szCs w:val="22"/>
              </w:rPr>
            </w:r>
          </w:p>
        </w:tc>
      </w:tr>
      <w:tr>
        <w:trPr>
          <w:jc w:val="center"/>
          <w:tblCellSpacing w:w="0" w:type="dxa"/>
          <w:trHeight w:val="615"/>
        </w:trPr>
        <w:tc>
          <w:tcPr>
            <w:shd w:val="clear" w:color="auto" w:fill="auto"/>
            <w:tcBorders/>
            <w:tcW w:w="2983" w:type="dxa"/>
            <w:vAlign w:val="center"/>
            <w:textDirection w:val="lrTb"/>
            <w:noWrap w:val="false"/>
          </w:tcPr>
          <w:p>
            <w:pPr>
              <w:pBdr/>
              <w:spacing/>
              <w:ind/>
              <w:rPr>
                <w:rFonts w:ascii="Arial Narrow" w:hAnsi="Arial Narrow" w:eastAsia="仿宋_GB2312" w:cs="Arial"/>
                <w:sz w:val="22"/>
                <w:szCs w:val="22"/>
              </w:rPr>
            </w:pPr>
            <w:r>
              <w:rPr>
                <w:rFonts w:ascii="Arial Narrow" w:hAnsi="Arial Narrow" w:eastAsia="仿宋_GB2312" w:cs="Arial"/>
                <w:sz w:val="22"/>
                <w:szCs w:val="22"/>
              </w:rPr>
              <w:t xml:space="preserve">[2016]42号公告</w:t>
            </w:r>
            <w:r>
              <w:rPr>
                <w:rFonts w:ascii="Arial Narrow" w:hAnsi="Arial Narrow" w:eastAsia="仿宋_GB2312" w:cs="Arial"/>
                <w:sz w:val="22"/>
                <w:szCs w:val="22"/>
              </w:rPr>
            </w:r>
            <w:r>
              <w:rPr>
                <w:rFonts w:ascii="Arial Narrow" w:hAnsi="Arial Narrow" w:eastAsia="仿宋_GB2312" w:cs="Arial"/>
                <w:sz w:val="22"/>
                <w:szCs w:val="22"/>
              </w:rPr>
            </w:r>
          </w:p>
        </w:tc>
        <w:tc>
          <w:tcPr>
            <w:shd w:val="clear" w:color="auto" w:fill="auto"/>
            <w:tcBorders/>
            <w:tcW w:w="5380" w:type="dxa"/>
            <w:vAlign w:val="center"/>
            <w:textDirection w:val="lrTb"/>
            <w:noWrap w:val="false"/>
          </w:tcPr>
          <w:p>
            <w:pPr>
              <w:pBdr/>
              <w:spacing/>
              <w:ind/>
              <w:jc w:val="both"/>
              <w:rPr>
                <w:rFonts w:ascii="Arial Narrow" w:hAnsi="Arial Narrow" w:eastAsia="仿宋_GB2312" w:cs="Arial"/>
                <w:sz w:val="22"/>
                <w:szCs w:val="22"/>
              </w:rPr>
            </w:pPr>
            <w:r>
              <w:rPr>
                <w:rFonts w:ascii="Arial Narrow" w:hAnsi="Arial Narrow" w:eastAsia="仿宋_GB2312" w:cs="Arial"/>
                <w:sz w:val="22"/>
                <w:szCs w:val="22"/>
              </w:rPr>
              <w:t xml:space="preserve">国家税务总局公告2016年第42号《关于完善关联申报和同期资料管理有关事项的公告》</w:t>
            </w:r>
            <w:r>
              <w:rPr>
                <w:rFonts w:ascii="Arial Narrow" w:hAnsi="Arial Narrow" w:eastAsia="仿宋_GB2312" w:cs="Arial"/>
                <w:sz w:val="22"/>
                <w:szCs w:val="22"/>
              </w:rPr>
            </w:r>
            <w:r>
              <w:rPr>
                <w:rFonts w:ascii="Arial Narrow" w:hAnsi="Arial Narrow" w:eastAsia="仿宋_GB2312" w:cs="Arial"/>
                <w:sz w:val="22"/>
                <w:szCs w:val="22"/>
              </w:rPr>
            </w:r>
          </w:p>
        </w:tc>
      </w:tr>
      <w:tr>
        <w:trPr>
          <w:jc w:val="center"/>
          <w:tblCellSpacing w:w="0" w:type="dxa"/>
          <w:trHeight w:val="615"/>
        </w:trPr>
        <w:tc>
          <w:tcPr>
            <w:shd w:val="clear" w:color="auto" w:fill="auto"/>
            <w:tcBorders/>
            <w:tcW w:w="2983" w:type="dxa"/>
            <w:vAlign w:val="center"/>
            <w:textDirection w:val="lrTb"/>
            <w:noWrap w:val="false"/>
          </w:tcPr>
          <w:p>
            <w:pPr>
              <w:pBdr/>
              <w:spacing/>
              <w:ind/>
              <w:rPr>
                <w:rFonts w:ascii="Arial Narrow" w:hAnsi="Arial Narrow" w:eastAsia="仿宋_GB2312" w:cs="Arial"/>
                <w:sz w:val="22"/>
                <w:szCs w:val="22"/>
              </w:rPr>
            </w:pPr>
            <w:r>
              <w:rPr>
                <w:rFonts w:ascii="Arial Narrow" w:hAnsi="Arial Narrow" w:eastAsia="仿宋_GB2312" w:cs="Arial"/>
                <w:sz w:val="22"/>
                <w:szCs w:val="22"/>
              </w:rPr>
              <w:t xml:space="preserve">[2017]6号公告</w:t>
            </w:r>
            <w:r>
              <w:rPr>
                <w:rFonts w:ascii="Arial Narrow" w:hAnsi="Arial Narrow" w:eastAsia="仿宋_GB2312" w:cs="Arial"/>
                <w:sz w:val="22"/>
                <w:szCs w:val="22"/>
              </w:rPr>
            </w:r>
            <w:r>
              <w:rPr>
                <w:rFonts w:ascii="Arial Narrow" w:hAnsi="Arial Narrow" w:eastAsia="仿宋_GB2312" w:cs="Arial"/>
                <w:sz w:val="22"/>
                <w:szCs w:val="22"/>
              </w:rPr>
            </w:r>
          </w:p>
        </w:tc>
        <w:tc>
          <w:tcPr>
            <w:shd w:val="clear" w:color="auto" w:fill="auto"/>
            <w:tcBorders/>
            <w:tcW w:w="5380" w:type="dxa"/>
            <w:vAlign w:val="center"/>
            <w:textDirection w:val="lrTb"/>
            <w:noWrap w:val="false"/>
          </w:tcPr>
          <w:p>
            <w:pPr>
              <w:pBdr/>
              <w:spacing/>
              <w:ind/>
              <w:jc w:val="both"/>
              <w:rPr>
                <w:rFonts w:ascii="Arial Narrow" w:hAnsi="Arial Narrow" w:eastAsia="仿宋_GB2312" w:cs="Arial"/>
                <w:sz w:val="22"/>
                <w:szCs w:val="22"/>
              </w:rPr>
            </w:pPr>
            <w:r>
              <w:rPr>
                <w:rFonts w:ascii="Arial Narrow" w:hAnsi="Arial Narrow" w:eastAsia="仿宋_GB2312" w:cs="Arial"/>
                <w:sz w:val="22"/>
                <w:szCs w:val="22"/>
              </w:rPr>
              <w:t xml:space="preserve">国家税务总局公告2017年第6号关于发布《特别纳税调查调整及相互协商程序管理办法》的公告</w:t>
            </w:r>
            <w:r>
              <w:rPr>
                <w:rFonts w:ascii="Arial Narrow" w:hAnsi="Arial Narrow" w:eastAsia="仿宋_GB2312" w:cs="Arial"/>
                <w:sz w:val="22"/>
                <w:szCs w:val="22"/>
              </w:rPr>
            </w:r>
            <w:r>
              <w:rPr>
                <w:rFonts w:ascii="Arial Narrow" w:hAnsi="Arial Narrow" w:eastAsia="仿宋_GB2312" w:cs="Arial"/>
                <w:sz w:val="22"/>
                <w:szCs w:val="22"/>
              </w:rPr>
            </w:r>
          </w:p>
        </w:tc>
      </w:tr>
      <w:tr>
        <w:trPr>
          <w:jc w:val="center"/>
          <w:tblCellSpacing w:w="0" w:type="dxa"/>
          <w:trHeight w:val="615"/>
        </w:trPr>
        <w:tc>
          <w:tcPr>
            <w:shd w:val="clear" w:color="auto" w:fill="auto"/>
            <w:tcBorders/>
            <w:tcW w:w="2983" w:type="dxa"/>
            <w:vAlign w:val="center"/>
            <w:textDirection w:val="lrTb"/>
            <w:noWrap w:val="false"/>
          </w:tcPr>
          <w:p>
            <w:pPr>
              <w:pBdr/>
              <w:spacing/>
              <w:ind/>
              <w:rPr>
                <w:rFonts w:ascii="Arial Narrow" w:hAnsi="Arial Narrow" w:eastAsia="仿宋_GB2312" w:cs="Arial"/>
                <w:sz w:val="22"/>
                <w:szCs w:val="22"/>
              </w:rPr>
            </w:pPr>
            <w:r>
              <w:rPr>
                <w:rFonts w:ascii="Arial Narrow" w:hAnsi="Arial Narrow" w:eastAsia="仿宋_GB2312" w:cs="Arial"/>
                <w:sz w:val="22"/>
                <w:szCs w:val="22"/>
              </w:rPr>
              <w:t xml:space="preserve">OECD或经合组织</w:t>
            </w:r>
            <w:r>
              <w:rPr>
                <w:rFonts w:ascii="Arial Narrow" w:hAnsi="Arial Narrow" w:eastAsia="仿宋_GB2312" w:cs="Arial"/>
                <w:sz w:val="22"/>
                <w:szCs w:val="22"/>
              </w:rPr>
            </w:r>
            <w:r>
              <w:rPr>
                <w:rFonts w:ascii="Arial Narrow" w:hAnsi="Arial Narrow" w:eastAsia="仿宋_GB2312" w:cs="Arial"/>
                <w:sz w:val="22"/>
                <w:szCs w:val="22"/>
              </w:rPr>
            </w:r>
          </w:p>
        </w:tc>
        <w:tc>
          <w:tcPr>
            <w:shd w:val="clear" w:color="auto" w:fill="auto"/>
            <w:tcBorders/>
            <w:tcW w:w="5380" w:type="dxa"/>
            <w:vAlign w:val="center"/>
            <w:textDirection w:val="lrTb"/>
            <w:noWrap w:val="false"/>
          </w:tcPr>
          <w:p>
            <w:pPr>
              <w:pBdr/>
              <w:spacing/>
              <w:ind/>
              <w:jc w:val="both"/>
              <w:rPr>
                <w:rFonts w:ascii="Arial Narrow" w:hAnsi="Arial Narrow" w:eastAsia="仿宋_GB2312" w:cs="Arial"/>
                <w:sz w:val="22"/>
                <w:szCs w:val="22"/>
              </w:rPr>
            </w:pPr>
            <w:r>
              <w:rPr>
                <w:rFonts w:ascii="Arial Narrow" w:hAnsi="Arial Narrow" w:eastAsia="仿宋_GB2312" w:cs="Arial"/>
                <w:sz w:val="22"/>
                <w:szCs w:val="22"/>
              </w:rPr>
              <w:t xml:space="preserve">经济合作与发展组织</w:t>
            </w:r>
            <w:r>
              <w:rPr>
                <w:rFonts w:ascii="Arial Narrow" w:hAnsi="Arial Narrow" w:eastAsia="仿宋_GB2312" w:cs="Arial"/>
                <w:sz w:val="22"/>
                <w:szCs w:val="22"/>
              </w:rPr>
            </w:r>
          </w:p>
        </w:tc>
      </w:tr>
      <w:tr>
        <w:trPr>
          <w:jc w:val="center"/>
          <w:tblCellSpacing w:w="0" w:type="dxa"/>
          <w:trHeight w:val="615"/>
        </w:trPr>
        <w:tc>
          <w:tcPr>
            <w:shd w:val="clear" w:color="auto" w:fill="auto"/>
            <w:tcBorders/>
            <w:tcW w:w="2983" w:type="dxa"/>
            <w:vAlign w:val="center"/>
            <w:textDirection w:val="lrTb"/>
            <w:noWrap w:val="false"/>
          </w:tcPr>
          <w:p>
            <w:pPr>
              <w:pBdr/>
              <w:spacing/>
              <w:ind/>
              <w:rPr>
                <w:rFonts w:ascii="Arial Narrow" w:hAnsi="Arial Narrow" w:eastAsia="仿宋_GB2312" w:cs="Arial"/>
                <w:sz w:val="22"/>
                <w:szCs w:val="22"/>
              </w:rPr>
            </w:pPr>
            <w:r>
              <w:rPr>
                <w:rFonts w:ascii="Arial Narrow" w:hAnsi="Arial Narrow" w:eastAsia="仿宋_GB2312" w:cs="Arial"/>
                <w:sz w:val="22"/>
                <w:szCs w:val="22"/>
              </w:rPr>
              <w:t xml:space="preserve">OECD指南</w:t>
            </w:r>
            <w:r>
              <w:rPr>
                <w:rFonts w:ascii="Arial Narrow" w:hAnsi="Arial Narrow" w:eastAsia="仿宋_GB2312" w:cs="Arial"/>
                <w:sz w:val="22"/>
                <w:szCs w:val="22"/>
              </w:rPr>
            </w:r>
            <w:r>
              <w:rPr>
                <w:rFonts w:ascii="Arial Narrow" w:hAnsi="Arial Narrow" w:eastAsia="仿宋_GB2312" w:cs="Arial"/>
                <w:sz w:val="22"/>
                <w:szCs w:val="22"/>
              </w:rPr>
            </w:r>
          </w:p>
        </w:tc>
        <w:tc>
          <w:tcPr>
            <w:shd w:val="clear" w:color="auto" w:fill="auto"/>
            <w:tcBorders/>
            <w:tcW w:w="5380" w:type="dxa"/>
            <w:vAlign w:val="center"/>
            <w:textDirection w:val="lrTb"/>
            <w:noWrap w:val="false"/>
          </w:tcPr>
          <w:p>
            <w:pPr>
              <w:pBdr/>
              <w:spacing/>
              <w:ind/>
              <w:jc w:val="both"/>
              <w:rPr>
                <w:rFonts w:ascii="Arial Narrow" w:hAnsi="Arial Narrow" w:eastAsia="仿宋_GB2312" w:cs="Arial"/>
                <w:sz w:val="22"/>
                <w:szCs w:val="22"/>
              </w:rPr>
            </w:pPr>
            <w:r>
              <w:rPr>
                <w:rFonts w:ascii="Arial Narrow" w:hAnsi="Arial Narrow" w:eastAsia="仿宋_GB2312" w:cs="Arial"/>
                <w:sz w:val="22"/>
                <w:szCs w:val="22"/>
              </w:rPr>
              <w:t xml:space="preserve">《OECD跨国企业与税务机关转让定价指南》</w:t>
            </w:r>
            <w:r>
              <w:rPr>
                <w:rFonts w:ascii="Arial Narrow" w:hAnsi="Arial Narrow" w:eastAsia="仿宋_GB2312" w:cs="Arial"/>
                <w:sz w:val="22"/>
                <w:szCs w:val="22"/>
              </w:rPr>
            </w:r>
            <w:r>
              <w:rPr>
                <w:rFonts w:ascii="Arial Narrow" w:hAnsi="Arial Narrow" w:eastAsia="仿宋_GB2312" w:cs="Arial"/>
                <w:sz w:val="22"/>
                <w:szCs w:val="22"/>
              </w:rPr>
            </w:r>
          </w:p>
        </w:tc>
      </w:tr>
      <w:tr>
        <w:trPr>
          <w:jc w:val="center"/>
          <w:tblCellSpacing w:w="0" w:type="dxa"/>
          <w:trHeight w:val="1712" w:hRule="exact"/>
        </w:trPr>
        <w:tc>
          <w:tcPr>
            <w:shd w:val="clear" w:color="auto" w:fill="auto"/>
            <w:tcBorders/>
            <w:tcW w:w="2983" w:type="dxa"/>
            <w:vAlign w:val="center"/>
            <w:textDirection w:val="lrTb"/>
            <w:noWrap w:val="false"/>
          </w:tcPr>
          <w:p>
            <w:pPr>
              <w:pBdr/>
              <w:spacing/>
              <w:ind/>
              <w:rPr>
                <w:rFonts w:ascii="Arial Narrow" w:hAnsi="Arial Narrow" w:eastAsia="仿宋_GB2312" w:cs="Arial"/>
                <w:sz w:val="22"/>
                <w:szCs w:val="22"/>
              </w:rPr>
            </w:pPr>
            <w:r>
              <w:rPr>
                <w:rFonts w:ascii="Arial Narrow" w:hAnsi="Arial Narrow" w:eastAsia="仿宋_GB2312" w:cs="Arial"/>
                <w:sz w:val="22"/>
                <w:szCs w:val="22"/>
              </w:rPr>
              <w:t xml:space="preserve">中国转让定价法律、法规</w:t>
            </w:r>
            <w:r>
              <w:rPr>
                <w:rFonts w:ascii="Arial Narrow" w:hAnsi="Arial Narrow" w:eastAsia="仿宋_GB2312" w:cs="Arial"/>
                <w:sz w:val="22"/>
                <w:szCs w:val="22"/>
              </w:rPr>
            </w:r>
          </w:p>
        </w:tc>
        <w:tc>
          <w:tcPr>
            <w:shd w:val="clear" w:color="auto" w:fill="auto"/>
            <w:tcBorders/>
            <w:tcW w:w="5380" w:type="dxa"/>
            <w:vAlign w:val="center"/>
            <w:textDirection w:val="lrTb"/>
            <w:noWrap w:val="false"/>
          </w:tcPr>
          <w:p>
            <w:pPr>
              <w:pBdr/>
              <w:spacing/>
              <w:ind/>
              <w:jc w:val="both"/>
              <w:rPr>
                <w:rFonts w:ascii="Arial Narrow" w:hAnsi="Arial Narrow" w:eastAsia="仿宋_GB2312" w:cs="Arial"/>
                <w:sz w:val="22"/>
                <w:szCs w:val="22"/>
              </w:rPr>
            </w:pPr>
            <w:r>
              <w:rPr>
                <w:rFonts w:ascii="Arial Narrow" w:hAnsi="Arial Narrow" w:eastAsia="仿宋_GB2312" w:cs="Arial"/>
                <w:sz w:val="22"/>
                <w:szCs w:val="22"/>
              </w:rPr>
              <w:t xml:space="preserve">《中华人民共和国企业所得税法》及其实施条例第六章“特别纳税调整”，《中华人民共和国税收征收管理法》第三十六条，国税总局颁布[2016]42号公告、[2017]6号公告及其他有关转让定价管理的规章和规范性文件</w:t>
            </w:r>
            <w:r>
              <w:rPr>
                <w:rFonts w:ascii="Arial Narrow" w:hAnsi="Arial Narrow" w:eastAsia="仿宋_GB2312" w:cs="Arial"/>
                <w:sz w:val="22"/>
                <w:szCs w:val="22"/>
              </w:rPr>
            </w:r>
            <w:r>
              <w:rPr>
                <w:rFonts w:ascii="Arial Narrow" w:hAnsi="Arial Narrow" w:eastAsia="仿宋_GB2312" w:cs="Arial"/>
                <w:sz w:val="22"/>
                <w:szCs w:val="22"/>
              </w:rPr>
            </w:r>
          </w:p>
        </w:tc>
      </w:tr>
      <w:tr>
        <w:trPr>
          <w:jc w:val="center"/>
          <w:tblCellSpacing w:w="0" w:type="dxa"/>
          <w:trHeight w:val="649" w:hRule="exact"/>
        </w:trPr>
        <w:tc>
          <w:tcPr>
            <w:shd w:val="clear" w:color="auto" w:fill="auto"/>
            <w:tcBorders/>
            <w:tcW w:w="2983" w:type="dxa"/>
            <w:vAlign w:val="center"/>
            <w:textDirection w:val="lrTb"/>
            <w:noWrap w:val="false"/>
          </w:tcPr>
          <w:p>
            <w:pPr>
              <w:pBdr/>
              <w:spacing/>
              <w:ind/>
              <w:rPr>
                <w:rFonts w:ascii="Arial Narrow" w:hAnsi="Arial Narrow" w:eastAsia="仿宋_GB2312" w:cs="Arial"/>
                <w:sz w:val="22"/>
                <w:szCs w:val="22"/>
              </w:rPr>
            </w:pPr>
            <w:r>
              <w:rPr>
                <w:rFonts w:ascii="Arial Narrow" w:hAnsi="Arial Narrow" w:eastAsia="仿宋_GB2312" w:cs="Arial"/>
                <w:sz w:val="22"/>
                <w:szCs w:val="22"/>
              </w:rPr>
              <w:t xml:space="preserve">SIC代码</w:t>
            </w:r>
            <w:r>
              <w:rPr>
                <w:rFonts w:ascii="Arial Narrow" w:hAnsi="Arial Narrow" w:eastAsia="仿宋_GB2312" w:cs="Arial"/>
                <w:sz w:val="22"/>
                <w:szCs w:val="22"/>
              </w:rPr>
            </w:r>
            <w:r>
              <w:rPr>
                <w:rFonts w:ascii="Arial Narrow" w:hAnsi="Arial Narrow" w:eastAsia="仿宋_GB2312" w:cs="Arial"/>
                <w:sz w:val="22"/>
                <w:szCs w:val="22"/>
              </w:rPr>
            </w:r>
          </w:p>
        </w:tc>
        <w:tc>
          <w:tcPr>
            <w:shd w:val="clear" w:color="auto" w:fill="auto"/>
            <w:tcBorders/>
            <w:tcW w:w="5380" w:type="dxa"/>
            <w:vAlign w:val="center"/>
            <w:textDirection w:val="lrTb"/>
            <w:noWrap w:val="false"/>
          </w:tcPr>
          <w:p>
            <w:pPr>
              <w:pBdr/>
              <w:spacing/>
              <w:ind/>
              <w:jc w:val="both"/>
              <w:rPr>
                <w:rFonts w:ascii="Arial Narrow" w:hAnsi="Arial Narrow" w:eastAsia="仿宋_GB2312" w:cs="Arial"/>
                <w:sz w:val="22"/>
                <w:szCs w:val="22"/>
              </w:rPr>
            </w:pPr>
            <w:r>
              <w:rPr>
                <w:rFonts w:ascii="Arial Narrow" w:hAnsi="Arial Narrow" w:eastAsia="仿宋_GB2312" w:cs="Arial"/>
                <w:sz w:val="22"/>
                <w:szCs w:val="22"/>
              </w:rPr>
              <w:t xml:space="preserve">美国标准行业分类代码</w:t>
            </w:r>
            <w:r>
              <w:rPr>
                <w:rFonts w:ascii="Arial Narrow" w:hAnsi="Arial Narrow" w:eastAsia="仿宋_GB2312" w:cs="Arial"/>
                <w:sz w:val="22"/>
                <w:szCs w:val="22"/>
              </w:rPr>
            </w:r>
          </w:p>
        </w:tc>
      </w:tr>
    </w:tbl>
    <w:p>
      <w:pPr>
        <w:pBdr/>
        <w:tabs>
          <w:tab w:val="left" w:leader="none" w:pos="900"/>
        </w:tabs>
        <w:spacing w:before="240"/>
        <w:ind/>
        <w:jc w:val="both"/>
        <w:rPr>
          <w:rFonts w:ascii="Arial Narrow" w:hAnsi="Arial Narrow" w:eastAsia="仿宋_GB2312" w:cs="Arial"/>
          <w:iCs/>
          <w:sz w:val="22"/>
          <w:szCs w:val="22"/>
        </w:rPr>
      </w:pPr>
      <w:r>
        <w:rPr>
          <w:rFonts w:ascii="Arial Narrow" w:hAnsi="Arial Narrow" w:eastAsia="仿宋_GB2312" w:cs="Arial"/>
          <w:iCs/>
          <w:sz w:val="22"/>
          <w:szCs w:val="22"/>
        </w:rPr>
      </w:r>
      <w:r>
        <w:rPr>
          <w:rFonts w:ascii="Arial Narrow" w:hAnsi="Arial Narrow" w:eastAsia="仿宋_GB2312" w:cs="Arial"/>
          <w:iCs/>
          <w:sz w:val="22"/>
          <w:szCs w:val="22"/>
        </w:rPr>
      </w:r>
    </w:p>
    <w:p>
      <w:pPr>
        <w:pBdr/>
        <w:tabs>
          <w:tab w:val="left" w:leader="none" w:pos="900"/>
        </w:tabs>
        <w:spacing w:before="240"/>
        <w:ind/>
        <w:jc w:val="both"/>
        <w:rPr>
          <w:rFonts w:ascii="Arial Narrow" w:hAnsi="Arial Narrow" w:eastAsia="仿宋_GB2312" w:cs="Arial"/>
          <w:iCs/>
          <w:sz w:val="22"/>
          <w:szCs w:val="22"/>
        </w:rPr>
        <w:sectPr>
          <w:footnotePr/>
          <w:endnotePr/>
          <w:type w:val="nextPage"/>
          <w:pgSz w:h="16839" w:orient="portrait" w:w="11907"/>
          <w:pgMar w:top="1440" w:right="1800" w:bottom="1440" w:left="1800" w:header="709" w:footer="709" w:gutter="0"/>
          <w:cols w:num="1" w:sep="0" w:space="720" w:equalWidth="1"/>
        </w:sectPr>
      </w:pPr>
      <w:r>
        <w:rPr>
          <w:rFonts w:ascii="Arial Narrow" w:hAnsi="Arial Narrow" w:eastAsia="仿宋_GB2312" w:cs="Arial"/>
          <w:iCs/>
          <w:sz w:val="22"/>
          <w:szCs w:val="22"/>
        </w:rPr>
      </w:r>
      <w:r>
        <w:rPr>
          <w:rFonts w:ascii="Arial Narrow" w:hAnsi="Arial Narrow" w:eastAsia="仿宋_GB2312" w:cs="Arial"/>
          <w:iCs/>
          <w:sz w:val="22"/>
          <w:szCs w:val="22"/>
        </w:rPr>
      </w:r>
    </w:p>
    <w:p>
      <w:pPr>
        <w:pStyle w:val="1323"/>
        <w:pBdr/>
        <w:spacing/>
        <w:ind/>
        <w:rPr>
          <w:b/>
        </w:rPr>
      </w:pPr>
      <w:r/>
      <w:bookmarkStart w:id="52" w:name="_Toc140505095"/>
      <w:r/>
      <w:bookmarkStart w:id="53" w:name="_Toc245032302"/>
      <w:r/>
      <w:bookmarkStart w:id="54" w:name="_Toc53229046"/>
      <w:r/>
      <w:bookmarkStart w:id="55" w:name="_Toc62016489"/>
      <w:r/>
      <w:bookmarkStart w:id="56" w:name="_Toc129167478"/>
      <w:r/>
      <w:bookmarkStart w:id="57" w:name="_Toc63759077"/>
      <w:r/>
      <w:bookmarkStart w:id="58" w:name="_Toc129167483"/>
      <w:r/>
      <w:bookmarkStart w:id="59" w:name="_Toc63759081"/>
      <w:r/>
      <w:bookmarkStart w:id="60" w:name="_Toc62016493"/>
      <w:r/>
      <w:bookmarkStart w:id="61" w:name="_Toc527388043"/>
      <w:r/>
      <w:bookmarkStart w:id="62" w:name="_Toc517684893"/>
      <w:r/>
      <w:bookmarkStart w:id="63" w:name="_Toc494184194"/>
      <w:r/>
      <w:bookmarkStart w:id="64" w:name="_Toc127024140"/>
      <w:r/>
      <w:bookmarkStart w:id="65" w:name="_Toc441821680"/>
      <w:r>
        <w:t xml:space="preserve">报告摘要</w:t>
      </w:r>
      <w:bookmarkEnd w:id="52"/>
      <w:r/>
      <w:bookmarkEnd w:id="53"/>
      <w:r/>
      <w:bookmarkEnd w:id="54"/>
      <w:r/>
      <w:r>
        <w:rPr>
          <w:b/>
        </w:rPr>
      </w:r>
    </w:p>
    <w:p>
      <w:pPr>
        <w:pStyle w:val="1324"/>
        <w:pBdr/>
        <w:spacing/>
        <w:ind/>
        <w:rPr>
          <w:b/>
          <w:bCs/>
        </w:rPr>
      </w:pPr>
      <w:r/>
      <w:bookmarkStart w:id="66" w:name="_Toc140505096"/>
      <w:r/>
      <w:bookmarkStart w:id="67" w:name="_Toc53229047"/>
      <w:r>
        <w:t xml:space="preserve">范围和目的</w:t>
      </w:r>
      <w:bookmarkEnd w:id="66"/>
      <w:r/>
      <w:bookmarkEnd w:id="67"/>
      <w:r/>
      <w:r>
        <w:rPr>
          <w:b/>
          <w:bCs/>
        </w:rPr>
      </w:r>
    </w:p>
    <w:p>
      <w:pPr>
        <w:pBdr/>
        <w:spacing w:after="180" w:before="180" w:line="360" w:lineRule="auto"/>
        <w:ind w:firstLine="440"/>
        <w:jc w:val="both"/>
        <w:rPr>
          <w:rFonts w:ascii="Arial Narrow" w:hAnsi="Arial Narrow" w:eastAsia="仿宋_GB2312" w:cs="Arial"/>
          <w:sz w:val="22"/>
          <w:szCs w:val="22"/>
        </w:rPr>
      </w:pPr>
      <w:r>
        <w:rPr>
          <w:rFonts w:hint="eastAsia" w:ascii="Arial Narrow" w:hAnsi="Arial Narrow" w:eastAsia="仿宋_GB2312" w:cs="Arial"/>
          <w:sz w:val="22"/>
          <w:szCs w:val="22"/>
        </w:rPr>
        <w:t xml:space="preserve">{{事务所名称}}（以下简称“立信”或“我们”）受{{企业名称}}（以下简称“松莉科技”或“贵公司”）的委托，协助准备2023财务年度（以下简称“评估期间”或“2023年度”）的关联交易同期资料的本地文档报告（以下简称“本报告”）。</w:t>
      </w:r>
      <w:r>
        <w:rPr>
          <w:rFonts w:ascii="Arial Narrow" w:hAnsi="Arial Narrow" w:eastAsia="仿宋_GB2312" w:cs="Arial"/>
          <w:sz w:val="22"/>
          <w:szCs w:val="22"/>
        </w:rPr>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2023年度，松莉科技和其境内外关联方进行了一系列关联交易，交易类型为关联购销交易。由于松莉科技与关联方之间的关联购销交易合计金额为人民币 295,427,614.07元，因此松莉科技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Narrow" w:hAnsi="Arial Narrow" w:eastAsia="仿宋_GB2312" w:cs="Arial"/>
          <w:sz w:val="22"/>
          <w:szCs w:val="22"/>
        </w:rPr>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依照[2016]42号公告第14条的相关规定，本报告作为松莉科技2023年度的同期资料本地文档，旨在对其与其关联方在评估期间发生的受测关联交易进行分析和说明。</w:t>
      </w:r>
      <w:r>
        <w:rPr>
          <w:rFonts w:ascii="Arial Narrow" w:hAnsi="Arial Narrow" w:eastAsia="仿宋_GB2312" w:cs="Arial"/>
          <w:sz w:val="22"/>
          <w:szCs w:val="22"/>
        </w:rPr>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本报告仅旨在说明松莉科技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r>
        <w:rPr>
          <w:rFonts w:ascii="Arial Narrow" w:hAnsi="Arial Narrow" w:eastAsia="仿宋_GB2312" w:cs="Arial"/>
          <w:sz w:val="22"/>
          <w:szCs w:val="22"/>
        </w:rPr>
      </w:r>
      <w:r>
        <w:rPr>
          <w:rFonts w:ascii="Arial Narrow" w:hAnsi="Arial Narrow" w:eastAsia="仿宋_GB2312" w:cs="Arial"/>
          <w:sz w:val="22"/>
          <w:szCs w:val="22"/>
        </w:rPr>
      </w:r>
    </w:p>
    <w:p>
      <w:pPr>
        <w:pStyle w:val="1324"/>
        <w:pBdr/>
        <w:spacing/>
        <w:ind/>
        <w:rPr>
          <w:b/>
          <w:bCs/>
        </w:rPr>
      </w:pPr>
      <w:r/>
      <w:bookmarkStart w:id="68" w:name="_Toc53229048"/>
      <w:r/>
      <w:bookmarkStart w:id="69" w:name="_Toc140505097"/>
      <w:r>
        <w:t xml:space="preserve">受测关联交易</w:t>
      </w:r>
      <w:bookmarkEnd w:id="68"/>
      <w:r/>
      <w:bookmarkEnd w:id="69"/>
      <w:r/>
      <w:r>
        <w:rPr>
          <w:b/>
          <w:bCs/>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评估期间，松莉科技的主要关联交易为：</w:t>
      </w:r>
      <w:r>
        <w:rPr>
          <w:rFonts w:ascii="Arial Narrow" w:hAnsi="Arial Narrow" w:eastAsia="仿宋_GB2312" w:cs="Arial"/>
          <w:sz w:val="22"/>
          <w:szCs w:val="22"/>
        </w:rPr>
      </w:r>
    </w:p>
    <w:p>
      <w:pPr>
        <w:pStyle w:val="1443"/>
        <w:numPr>
          <w:ilvl w:val="0"/>
          <w:numId w:val="18"/>
        </w:numPr>
        <w:pBdr/>
        <w:spacing w:after="180" w:before="180" w:line="360" w:lineRule="auto"/>
        <w:ind/>
        <w:jc w:val="both"/>
        <w:rPr>
          <w:rFonts w:ascii="Arial Narrow" w:hAnsi="Arial Narrow" w:eastAsia="仿宋_GB2312" w:cs="Arial"/>
        </w:rPr>
      </w:pPr>
      <w:r>
        <w:rPr>
          <w:rFonts w:ascii="Arial Narrow" w:hAnsi="Arial Narrow" w:eastAsia="仿宋_GB2312" w:cs="Arial"/>
        </w:rPr>
        <w:t xml:space="preserve">松莉科技与境内外关联方的关联购销交易。</w:t>
      </w:r>
      <w:r>
        <w:rPr>
          <w:rFonts w:ascii="Arial Narrow" w:hAnsi="Arial Narrow" w:eastAsia="仿宋_GB2312" w:cs="Arial"/>
        </w:rPr>
      </w:r>
      <w:r>
        <w:rPr>
          <w:rFonts w:ascii="Arial Narrow" w:hAnsi="Arial Narrow" w:eastAsia="仿宋_GB2312" w:cs="Arial"/>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上述关联交易，以下简称“受测关联交易”。其他任何涉及松莉科技和其他关联公司或分支机构的关联交易不在本报告的分析范围内。</w:t>
      </w:r>
      <w:r>
        <w:rPr>
          <w:rFonts w:ascii="Arial Narrow" w:hAnsi="Arial Narrow" w:eastAsia="仿宋_GB2312" w:cs="Arial"/>
          <w:sz w:val="22"/>
          <w:szCs w:val="22"/>
        </w:rPr>
      </w:r>
      <w:r>
        <w:rPr>
          <w:rFonts w:ascii="Arial Narrow" w:hAnsi="Arial Narrow" w:eastAsia="仿宋_GB2312" w:cs="Arial"/>
          <w:sz w:val="22"/>
          <w:szCs w:val="22"/>
        </w:rPr>
      </w:r>
    </w:p>
    <w:p>
      <w:pPr>
        <w:pStyle w:val="1324"/>
        <w:pBdr/>
        <w:spacing/>
        <w:ind/>
        <w:rPr>
          <w:b/>
          <w:bCs/>
        </w:rPr>
      </w:pPr>
      <w:r/>
      <w:bookmarkStart w:id="70" w:name="_Toc48317194"/>
      <w:r/>
      <w:bookmarkStart w:id="71" w:name="_Toc489951794"/>
      <w:r/>
      <w:bookmarkStart w:id="72" w:name="_Toc48317093"/>
      <w:r/>
      <w:bookmarkStart w:id="73" w:name="_Toc48582499"/>
      <w:r/>
      <w:bookmarkStart w:id="74" w:name="_Toc48582912"/>
      <w:r/>
      <w:bookmarkStart w:id="75" w:name="_Toc48582501"/>
      <w:r/>
      <w:bookmarkStart w:id="76" w:name="_Toc48582913"/>
      <w:r/>
      <w:bookmarkStart w:id="77" w:name="_Toc48317092"/>
      <w:r/>
      <w:bookmarkStart w:id="78" w:name="_Toc48317380"/>
      <w:r/>
      <w:bookmarkStart w:id="79" w:name="_Toc48317195"/>
      <w:r/>
      <w:bookmarkStart w:id="80" w:name="_Toc48317193"/>
      <w:r/>
      <w:bookmarkStart w:id="81" w:name="_Toc48399516"/>
      <w:r/>
      <w:bookmarkStart w:id="82" w:name="_Toc48317379"/>
      <w:r/>
      <w:bookmarkStart w:id="83" w:name="_Toc48399518"/>
      <w:r/>
      <w:bookmarkStart w:id="84" w:name="_Toc48399517"/>
      <w:r/>
      <w:bookmarkStart w:id="85" w:name="_Toc48582500"/>
      <w:r/>
      <w:bookmarkStart w:id="86" w:name="_Toc48582914"/>
      <w:r/>
      <w:bookmarkStart w:id="87" w:name="_Toc48317378"/>
      <w:r/>
      <w:bookmarkStart w:id="88" w:name="_Toc48317091"/>
      <w:r/>
      <w:bookmarkStart w:id="89" w:name="_Toc53229049"/>
      <w:r/>
      <w:bookmarkStart w:id="90" w:name="_Toc140505098"/>
      <w:r/>
      <w:bookmarkEnd w:id="70"/>
      <w:r/>
      <w:bookmarkEnd w:id="71"/>
      <w:r/>
      <w:bookmarkEnd w:id="72"/>
      <w:r/>
      <w:bookmarkEnd w:id="73"/>
      <w:r/>
      <w:bookmarkEnd w:id="74"/>
      <w:r/>
      <w:bookmarkEnd w:id="75"/>
      <w:r/>
      <w:bookmarkEnd w:id="76"/>
      <w:r/>
      <w:bookmarkEnd w:id="77"/>
      <w:r/>
      <w:bookmarkEnd w:id="78"/>
      <w:r/>
      <w:bookmarkEnd w:id="79"/>
      <w:r/>
      <w:bookmarkEnd w:id="80"/>
      <w:r/>
      <w:bookmarkEnd w:id="81"/>
      <w:r/>
      <w:bookmarkEnd w:id="82"/>
      <w:r/>
      <w:bookmarkEnd w:id="83"/>
      <w:r/>
      <w:bookmarkEnd w:id="84"/>
      <w:r/>
      <w:bookmarkEnd w:id="85"/>
      <w:r/>
      <w:bookmarkEnd w:id="86"/>
      <w:r/>
      <w:bookmarkEnd w:id="87"/>
      <w:r/>
      <w:bookmarkEnd w:id="88"/>
      <w:r>
        <w:t xml:space="preserve">功能和风险分析及价值链分析总结</w:t>
      </w:r>
      <w:bookmarkEnd w:id="89"/>
      <w:r/>
      <w:bookmarkEnd w:id="90"/>
      <w:r/>
      <w:r>
        <w:rPr>
          <w:b/>
          <w:bCs/>
        </w:rPr>
      </w:r>
    </w:p>
    <w:p>
      <w:pPr>
        <w:pBdr/>
        <w:spacing w:after="180" w:before="180" w:line="360" w:lineRule="auto"/>
        <w:ind w:right="40" w:firstLine="440" w:left="42"/>
        <w:jc w:val="both"/>
        <w:rPr>
          <w:rFonts w:ascii="Arial Narrow" w:hAnsi="Arial Narrow" w:eastAsia="仿宋_GB2312" w:cs="Arial"/>
          <w:sz w:val="22"/>
          <w:szCs w:val="22"/>
        </w:rPr>
      </w:pPr>
      <w:r/>
      <w:bookmarkStart w:id="91" w:name="_Toc48582921"/>
      <w:r/>
      <w:bookmarkStart w:id="92" w:name="_Toc48317384"/>
      <w:r/>
      <w:bookmarkStart w:id="93" w:name="_Toc48317386"/>
      <w:r/>
      <w:bookmarkStart w:id="94" w:name="_Toc48317201"/>
      <w:r/>
      <w:bookmarkStart w:id="95" w:name="_Toc48317197"/>
      <w:r/>
      <w:bookmarkStart w:id="96" w:name="_Toc48317199"/>
      <w:r/>
      <w:bookmarkStart w:id="97" w:name="_Toc274480740"/>
      <w:r/>
      <w:bookmarkStart w:id="98" w:name="_Toc274409730"/>
      <w:r/>
      <w:bookmarkStart w:id="99" w:name="_Toc274409731"/>
      <w:r/>
      <w:bookmarkStart w:id="100" w:name="_Toc274409412"/>
      <w:r/>
      <w:bookmarkStart w:id="101" w:name="_Toc48582917"/>
      <w:r/>
      <w:bookmarkStart w:id="102" w:name="_Toc48317100"/>
      <w:r/>
      <w:bookmarkStart w:id="103" w:name="_Toc48399523"/>
      <w:r/>
      <w:bookmarkStart w:id="104" w:name="_Toc48317095"/>
      <w:r/>
      <w:bookmarkStart w:id="105" w:name="_Toc274409088"/>
      <w:r/>
      <w:bookmarkStart w:id="106" w:name="_Toc48399525"/>
      <w:r/>
      <w:bookmarkStart w:id="107" w:name="_Toc48317200"/>
      <w:r/>
      <w:bookmarkStart w:id="108" w:name="_Toc48582919"/>
      <w:r/>
      <w:bookmarkStart w:id="109" w:name="_Toc48399521"/>
      <w:r/>
      <w:bookmarkStart w:id="110" w:name="_Toc274409307"/>
      <w:r/>
      <w:bookmarkStart w:id="111" w:name="_Toc48582504"/>
      <w:r/>
      <w:bookmarkStart w:id="112" w:name="_Toc274409411"/>
      <w:r/>
      <w:bookmarkStart w:id="113" w:name="_Toc274480739"/>
      <w:r/>
      <w:bookmarkStart w:id="114" w:name="_Toc274409733"/>
      <w:r/>
      <w:bookmarkStart w:id="115" w:name="_Toc48582920"/>
      <w:r/>
      <w:bookmarkStart w:id="116" w:name="_Toc48582918"/>
      <w:r/>
      <w:bookmarkStart w:id="117" w:name="_Toc48582508"/>
      <w:r/>
      <w:bookmarkStart w:id="118" w:name="_Toc48317385"/>
      <w:r/>
      <w:bookmarkStart w:id="119" w:name="_Toc274409410"/>
      <w:r/>
      <w:bookmarkStart w:id="120" w:name="_Toc274480738"/>
      <w:r/>
      <w:bookmarkStart w:id="121" w:name="_Toc274409623"/>
      <w:r/>
      <w:bookmarkStart w:id="122" w:name="_Toc274409087"/>
      <w:r/>
      <w:bookmarkStart w:id="123" w:name="_Toc48317097"/>
      <w:r/>
      <w:bookmarkStart w:id="124" w:name="_Toc48317383"/>
      <w:r/>
      <w:bookmarkStart w:id="125" w:name="_Toc274409306"/>
      <w:r/>
      <w:bookmarkStart w:id="126" w:name="_Toc48399524"/>
      <w:r/>
      <w:bookmarkStart w:id="127" w:name="_Toc48317096"/>
      <w:r/>
      <w:bookmarkStart w:id="128" w:name="_Toc274409305"/>
      <w:r/>
      <w:bookmarkStart w:id="129" w:name="_Toc48399522"/>
      <w:r/>
      <w:bookmarkStart w:id="130" w:name="_Toc48317382"/>
      <w:r/>
      <w:bookmarkStart w:id="131" w:name="_Toc48582506"/>
      <w:r/>
      <w:bookmarkStart w:id="132" w:name="_Toc274409413"/>
      <w:r/>
      <w:bookmarkStart w:id="133" w:name="_Toc48317202"/>
      <w:r/>
      <w:bookmarkStart w:id="134" w:name="_Toc48582507"/>
      <w:r/>
      <w:bookmarkStart w:id="135" w:name="_Toc48399520"/>
      <w:r/>
      <w:bookmarkStart w:id="136" w:name="_Toc48317098"/>
      <w:r/>
      <w:bookmarkStart w:id="137" w:name="_Toc48582505"/>
      <w:r/>
      <w:bookmarkStart w:id="138" w:name="_Toc274409622"/>
      <w:r/>
      <w:bookmarkStart w:id="139" w:name="_Toc274409304"/>
      <w:r/>
      <w:bookmarkStart w:id="140" w:name="_Toc48317099"/>
      <w:r/>
      <w:bookmarkStart w:id="141" w:name="_Toc48582503"/>
      <w:r/>
      <w:bookmarkStart w:id="142" w:name="_Toc274409624"/>
      <w:r/>
      <w:bookmarkStart w:id="143" w:name="_Toc274480737"/>
      <w:r/>
      <w:bookmarkStart w:id="144" w:name="_Toc48582916"/>
      <w:r/>
      <w:bookmarkStart w:id="145" w:name="_Toc274409732"/>
      <w:r/>
      <w:bookmarkStart w:id="146" w:name="_Toc48317387"/>
      <w:r/>
      <w:bookmarkStart w:id="147" w:name="_Toc274409089"/>
      <w:r/>
      <w:bookmarkStart w:id="148" w:name="_Toc48317198"/>
      <w:r/>
      <w:bookmarkStart w:id="149" w:name="_Toc274409625"/>
      <w:r/>
      <w:bookmarkStart w:id="150" w:name="_Toc274409086"/>
      <w:r/>
      <w:bookmarkStart w:id="151" w:name="_Toc48317101"/>
      <w:r/>
      <w:bookmarkStart w:id="152" w:name="_Toc48317388"/>
      <w:r/>
      <w:bookmarkEnd w:id="91"/>
      <w:r/>
      <w:bookmarkEnd w:id="92"/>
      <w:r/>
      <w:bookmarkEnd w:id="93"/>
      <w:r/>
      <w:bookmarkEnd w:id="94"/>
      <w:r/>
      <w:bookmarkEnd w:id="95"/>
      <w:r/>
      <w:bookmarkEnd w:id="96"/>
      <w:r/>
      <w:bookmarkEnd w:id="97"/>
      <w:r/>
      <w:bookmarkEnd w:id="98"/>
      <w:r/>
      <w:bookmarkEnd w:id="99"/>
      <w:r/>
      <w:bookmarkEnd w:id="100"/>
      <w:r/>
      <w:bookmarkEnd w:id="101"/>
      <w:r/>
      <w:bookmarkEnd w:id="102"/>
      <w:r/>
      <w:bookmarkEnd w:id="103"/>
      <w:r/>
      <w:bookmarkEnd w:id="104"/>
      <w:r/>
      <w:bookmarkEnd w:id="105"/>
      <w:r/>
      <w:bookmarkEnd w:id="106"/>
      <w:r/>
      <w:bookmarkEnd w:id="107"/>
      <w:r/>
      <w:bookmarkEnd w:id="108"/>
      <w:r/>
      <w:bookmarkEnd w:id="109"/>
      <w:r/>
      <w:bookmarkEnd w:id="110"/>
      <w:r/>
      <w:bookmarkEnd w:id="111"/>
      <w:r/>
      <w:bookmarkEnd w:id="112"/>
      <w:r/>
      <w:bookmarkEnd w:id="113"/>
      <w:r/>
      <w:bookmarkEnd w:id="114"/>
      <w:r/>
      <w:bookmarkEnd w:id="115"/>
      <w:r/>
      <w:bookmarkEnd w:id="116"/>
      <w:r/>
      <w:bookmarkEnd w:id="117"/>
      <w:r/>
      <w:bookmarkEnd w:id="118"/>
      <w:r/>
      <w:bookmarkEnd w:id="119"/>
      <w:r/>
      <w:bookmarkEnd w:id="120"/>
      <w:r/>
      <w:bookmarkEnd w:id="121"/>
      <w:r/>
      <w:bookmarkEnd w:id="122"/>
      <w:r/>
      <w:bookmarkEnd w:id="123"/>
      <w:r/>
      <w:bookmarkEnd w:id="124"/>
      <w:r/>
      <w:bookmarkEnd w:id="125"/>
      <w:r/>
      <w:bookmarkEnd w:id="126"/>
      <w:r/>
      <w:bookmarkEnd w:id="127"/>
      <w:r/>
      <w:bookmarkEnd w:id="128"/>
      <w:r/>
      <w:bookmarkEnd w:id="129"/>
      <w:r/>
      <w:bookmarkEnd w:id="130"/>
      <w:r/>
      <w:bookmarkEnd w:id="131"/>
      <w:r/>
      <w:bookmarkEnd w:id="132"/>
      <w:r/>
      <w:bookmarkEnd w:id="133"/>
      <w:r/>
      <w:bookmarkEnd w:id="134"/>
      <w:r/>
      <w:bookmarkEnd w:id="135"/>
      <w:r/>
      <w:bookmarkEnd w:id="136"/>
      <w:r/>
      <w:bookmarkEnd w:id="137"/>
      <w:r/>
      <w:bookmarkEnd w:id="138"/>
      <w:r/>
      <w:bookmarkEnd w:id="139"/>
      <w:r/>
      <w:bookmarkEnd w:id="140"/>
      <w:r/>
      <w:bookmarkEnd w:id="141"/>
      <w:r/>
      <w:bookmarkEnd w:id="142"/>
      <w:r/>
      <w:bookmarkEnd w:id="143"/>
      <w:r/>
      <w:bookmarkEnd w:id="144"/>
      <w:r/>
      <w:bookmarkEnd w:id="145"/>
      <w:r/>
      <w:bookmarkEnd w:id="146"/>
      <w:r/>
      <w:bookmarkEnd w:id="147"/>
      <w:r/>
      <w:bookmarkEnd w:id="148"/>
      <w:r/>
      <w:bookmarkEnd w:id="149"/>
      <w:r/>
      <w:bookmarkEnd w:id="150"/>
      <w:r>
        <w:rPr>
          <w:rFonts w:ascii="Arial Narrow" w:hAnsi="Arial Narrow" w:eastAsia="仿宋_GB2312" w:cs="Arial"/>
          <w:sz w:val="22"/>
          <w:szCs w:val="22"/>
        </w:rPr>
        <w:t xml:space="preserve">从功能和风险角度判断，松莉科技执行有限的研发、生产、采购、质量控制、库存管理、物流、有限的销售、有限的售后服务和一般行政管理的功能；松莉科技主要承担生产风险、存货风险、市场风险、有限的信用风险、汇率风险；从功能和风险分析应归为承担一定功能及风险的合约生产制造商。</w:t>
      </w:r>
      <w:r>
        <w:rPr>
          <w:rFonts w:hint="eastAsia" w:ascii="Arial Narrow" w:hAnsi="Arial Narrow" w:eastAsia="仿宋_GB2312" w:cs="Arial"/>
          <w:sz w:val="22"/>
          <w:szCs w:val="22"/>
        </w:rPr>
      </w:r>
      <w:r>
        <w:rPr>
          <w:rFonts w:ascii="Arial Narrow" w:hAnsi="Arial Narrow" w:eastAsia="仿宋_GB2312" w:cs="Arial"/>
          <w:sz w:val="22"/>
          <w:szCs w:val="22"/>
        </w:rPr>
      </w:r>
    </w:p>
    <w:p>
      <w:pPr>
        <w:pBdr/>
        <w:spacing w:after="180" w:before="180" w:line="360" w:lineRule="auto"/>
        <w:ind w:right="40" w:firstLine="440" w:left="42"/>
        <w:jc w:val="both"/>
        <w:rPr>
          <w:rFonts w:ascii="Arial Narrow" w:hAnsi="Arial Narrow" w:eastAsia="仿宋_GB2312" w:cs="Arial"/>
          <w:sz w:val="22"/>
          <w:szCs w:val="22"/>
        </w:rPr>
      </w:pPr>
      <w:r>
        <w:rPr>
          <w:rFonts w:hint="eastAsia" w:ascii="Arial Narrow" w:hAnsi="Arial Narrow" w:eastAsia="仿宋_GB2312" w:cs="Arial"/>
          <w:sz w:val="22"/>
          <w:szCs w:val="22"/>
        </w:rPr>
        <w:t xml:space="preserve">此外，松莉科技拥有全部的生产和测试所需的有形资产，不拥有核心技术专利及品牌等有价值的无形资产。</w:t>
      </w:r>
      <w:r>
        <w:rPr>
          <w:rFonts w:ascii="Arial Narrow" w:hAnsi="Arial Narrow" w:eastAsia="仿宋_GB2312" w:cs="Arial"/>
          <w:sz w:val="22"/>
          <w:szCs w:val="22"/>
        </w:rPr>
      </w:r>
    </w:p>
    <w:p>
      <w:pPr>
        <w:pBdr/>
        <w:spacing w:after="180" w:before="180" w:line="360" w:lineRule="auto"/>
        <w:ind w:right="40" w:firstLine="440" w:left="42"/>
        <w:jc w:val="both"/>
        <w:rPr>
          <w:rFonts w:ascii="Arial Narrow" w:hAnsi="Arial Narrow" w:eastAsia="仿宋_GB2312" w:cs="Arial"/>
          <w:sz w:val="22"/>
          <w:szCs w:val="22"/>
        </w:rPr>
      </w:pPr>
      <w:r>
        <w:rPr>
          <w:rFonts w:ascii="Arial Narrow" w:hAnsi="Arial Narrow" w:eastAsia="仿宋_GB2312" w:cs="Arial"/>
          <w:sz w:val="22"/>
          <w:szCs w:val="22"/>
        </w:rPr>
        <w:t xml:space="preserve">在整个集团经营活动中，松莉科技执行上述功能并且承担上述风险，其在集团价值链中的主要角色主要为承担一定功能及风险的合约生产制造商。</w:t>
      </w:r>
      <w:r>
        <w:rPr>
          <w:rFonts w:hint="eastAsia" w:ascii="Arial Narrow" w:hAnsi="Arial Narrow" w:eastAsia="仿宋_GB2312" w:cs="Arial"/>
          <w:sz w:val="22"/>
          <w:szCs w:val="22"/>
        </w:rPr>
      </w:r>
      <w:bookmarkEnd w:id="151"/>
      <w:r/>
      <w:bookmarkEnd w:id="152"/>
      <w:r/>
      <w:r>
        <w:rPr>
          <w:rFonts w:ascii="Arial Narrow" w:hAnsi="Arial Narrow" w:eastAsia="仿宋_GB2312" w:cs="Arial"/>
          <w:sz w:val="22"/>
          <w:szCs w:val="22"/>
        </w:rPr>
      </w:r>
    </w:p>
    <w:p>
      <w:pPr>
        <w:pStyle w:val="1324"/>
        <w:pBdr/>
        <w:spacing/>
        <w:ind/>
        <w:rPr/>
      </w:pPr>
      <w:r/>
      <w:bookmarkStart w:id="153" w:name="_Toc140505099"/>
      <w:r/>
      <w:bookmarkStart w:id="154" w:name="_Toc53229050"/>
      <w:r>
        <w:t xml:space="preserve">经济分析总结 —— 对受测关联交易的分析</w:t>
      </w:r>
      <w:bookmarkStart w:id="155" w:name="_Toc447817171"/>
      <w:r/>
      <w:bookmarkStart w:id="156" w:name="_Toc15689"/>
      <w:r/>
      <w:bookmarkStart w:id="157" w:name="_Toc435807829"/>
      <w:r/>
      <w:bookmarkEnd w:id="153"/>
      <w:r/>
      <w:bookmarkEnd w:id="154"/>
      <w:r/>
      <w:bookmarkEnd w:id="155"/>
      <w:r/>
      <w:bookmarkEnd w:id="156"/>
      <w:r/>
      <w:bookmarkEnd w:id="157"/>
      <w:r/>
      <w:r/>
    </w:p>
    <w:p>
      <w:pPr>
        <w:pBdr/>
        <w:spacing w:after="180" w:before="180" w:line="360" w:lineRule="auto"/>
        <w:ind w:right="40" w:firstLine="440" w:left="42"/>
        <w:jc w:val="both"/>
        <w:rPr>
          <w:rFonts w:ascii="Arial Narrow" w:hAnsi="Arial Narrow" w:eastAsia="仿宋_GB2312" w:cs="Arial"/>
          <w:sz w:val="22"/>
          <w:szCs w:val="22"/>
        </w:rPr>
      </w:pPr>
      <w:r>
        <w:rPr>
          <w:rFonts w:ascii="Arial Narrow" w:hAnsi="Arial Narrow" w:eastAsia="仿宋_GB2312" w:cs="Arial"/>
          <w:sz w:val="22"/>
          <w:szCs w:val="22"/>
        </w:rPr>
        <w:t xml:space="preserve">我们基于松莉科技对集团整体利润或者剩余利润所做的贡献，以及其所承担的功能风险，对中国转让定价法规以及《OECD转让定价指南》中列明的常用转让定价评估方法进行了比较和研究。我们最终选择松莉科技作为验证对象，选用交易净利润法作为分析方法，以完全成本加成率作为利润水平指标对松莉科技的受测关联交易和转让定价进行了评估。</w:t>
      </w:r>
      <w:bookmarkStart w:id="158" w:name="OLE_LINK1"/>
      <w:r>
        <w:rPr>
          <w:rFonts w:ascii="Arial Narrow" w:hAnsi="Arial Narrow" w:eastAsia="仿宋_GB2312" w:cs="Arial"/>
          <w:sz w:val="22"/>
          <w:szCs w:val="22"/>
        </w:rPr>
      </w:r>
      <w:bookmarkEnd w:id="158"/>
      <w:r>
        <w:rPr>
          <w:rFonts w:ascii="Arial Narrow" w:hAnsi="Arial Narrow" w:eastAsia="仿宋_GB2312" w:cs="Arial"/>
          <w:sz w:val="22"/>
          <w:szCs w:val="22"/>
        </w:rPr>
      </w:r>
      <w:r>
        <w:rPr>
          <w:rFonts w:ascii="Arial Narrow" w:hAnsi="Arial Narrow" w:eastAsia="仿宋_GB2312" w:cs="Arial"/>
          <w:sz w:val="22"/>
          <w:szCs w:val="22"/>
        </w:rPr>
      </w:r>
    </w:p>
    <w:p>
      <w:pPr>
        <w:pBdr/>
        <w:spacing w:after="180" w:before="180" w:line="360" w:lineRule="auto"/>
        <w:ind w:right="40" w:firstLine="440" w:left="42"/>
        <w:jc w:val="both"/>
        <w:rPr>
          <w:rFonts w:ascii="Arial Narrow" w:hAnsi="Arial Narrow" w:eastAsia="仿宋_GB2312" w:cs="Arial"/>
          <w:sz w:val="22"/>
          <w:szCs w:val="22"/>
        </w:rPr>
      </w:pPr>
      <w:r>
        <w:rPr>
          <w:rFonts w:ascii="Arial Narrow" w:hAnsi="Arial Narrow" w:eastAsia="仿宋_GB2312" w:cs="Arial"/>
          <w:sz w:val="22"/>
          <w:szCs w:val="22"/>
        </w:rPr>
        <w:t xml:space="preserve">我们选择松莉科技作为本报告的被验证对象从而分析其完全成本加成率，主要由于在关联交易中，相对于关联方，松莉科技的功能风险相对简单，利润水平可以被有效地确定。因此，我们选择松莉科技作为本报告的被验证对象。我们通过选取与松莉科技在受测关联交易中从事相似业务的非受控公司，分析其财务数据，建立了一组符合独立交易原则的利润率区间。</w:t>
      </w:r>
      <w:r>
        <w:rPr>
          <w:rFonts w:ascii="Arial Narrow" w:hAnsi="Arial Narrow" w:eastAsia="仿宋_GB2312" w:cs="Arial"/>
          <w:sz w:val="22"/>
          <w:szCs w:val="22"/>
        </w:rPr>
      </w:r>
      <w:r>
        <w:rPr>
          <w:rFonts w:ascii="Arial Narrow" w:hAnsi="Arial Narrow" w:eastAsia="仿宋_GB2312" w:cs="Arial"/>
          <w:sz w:val="22"/>
          <w:szCs w:val="22"/>
        </w:rPr>
      </w:r>
    </w:p>
    <w:p>
      <w:pPr>
        <w:pBdr/>
        <w:spacing w:after="180" w:before="180" w:line="360" w:lineRule="auto"/>
        <w:ind w:right="40" w:firstLine="440" w:left="42"/>
        <w:jc w:val="both"/>
        <w:rPr>
          <w:rFonts w:ascii="Arial Narrow" w:hAnsi="Arial Narrow" w:eastAsia="仿宋_GB2312" w:cs="Arial"/>
          <w:sz w:val="22"/>
          <w:szCs w:val="22"/>
        </w:rPr>
      </w:pPr>
      <w:r>
        <w:rPr>
          <w:rFonts w:ascii="Arial Narrow" w:hAnsi="Arial Narrow" w:eastAsia="仿宋_GB2312" w:cs="Arial"/>
          <w:sz w:val="22"/>
          <w:szCs w:val="22"/>
        </w:rPr>
        <w:t xml:space="preserve">选取的可比非受控公司样本在2020到2022财务年度（“财年”）实现的加权平均完全成本加成率水平总结如下：</w:t>
      </w:r>
      <w:r>
        <w:rPr>
          <w:rFonts w:ascii="Arial Narrow" w:hAnsi="Arial Narrow" w:eastAsia="仿宋_GB2312" w:cs="Arial"/>
          <w:sz w:val="22"/>
          <w:szCs w:val="22"/>
        </w:rPr>
      </w:r>
      <w:r>
        <w:rPr>
          <w:rFonts w:ascii="Arial Narrow" w:hAnsi="Arial Narrow" w:eastAsia="仿宋_GB2312" w:cs="Arial"/>
          <w:sz w:val="22"/>
          <w:szCs w:val="22"/>
        </w:rPr>
      </w:r>
    </w:p>
    <w:p>
      <w:pPr>
        <w:pStyle w:val="1338"/>
        <w:keepNext w:val="true"/>
        <w:pBdr/>
        <w:spacing/>
        <w:ind/>
        <w:jc w:val="center"/>
        <w:rPr>
          <w:rFonts w:ascii="Arial Narrow" w:hAnsi="Arial Narrow" w:eastAsia="仿宋_GB2312" w:cs="Arial"/>
          <w:sz w:val="22"/>
        </w:rPr>
      </w:pPr>
      <w:r>
        <w:rPr>
          <w:rFonts w:ascii="Arial Narrow" w:hAnsi="Arial Narrow" w:eastAsia="仿宋_GB2312" w:cs="Arial"/>
          <w:sz w:val="22"/>
        </w:rPr>
        <w:t xml:space="preserve">图表 1：完全成本加成率的独立交易区间（2020财年到2022财年）</w:t>
      </w:r>
      <w:r>
        <w:rPr>
          <w:rFonts w:ascii="Arial Narrow" w:hAnsi="Arial Narrow" w:eastAsia="仿宋_GB2312" w:cs="Arial"/>
          <w:sz w:val="22"/>
        </w:rPr>
        <w:fldChar w:fldCharType="begin"/>
      </w:r>
      <w:r>
        <w:rPr>
          <w:rFonts w:ascii="Arial Narrow" w:hAnsi="Arial Narrow" w:eastAsia="仿宋_GB2312" w:cs="Arial"/>
          <w:sz w:val="22"/>
        </w:rPr>
        <w:instrText xml:space="preserve"> SEQ </w:instrText>
      </w:r>
      <w:r>
        <w:rPr>
          <w:rFonts w:ascii="Arial Narrow" w:hAnsi="Arial Narrow" w:eastAsia="仿宋_GB2312" w:cs="Arial"/>
          <w:sz w:val="22"/>
        </w:rPr>
        <w:instrText xml:space="preserve">图表</w:instrText>
      </w:r>
      <w:r>
        <w:rPr>
          <w:rFonts w:ascii="Arial Narrow" w:hAnsi="Arial Narrow" w:eastAsia="仿宋_GB2312" w:cs="Arial"/>
          <w:sz w:val="22"/>
        </w:rPr>
        <w:instrText xml:space="preserve"> \* ARABIC </w:instrText>
      </w:r>
      <w:r>
        <w:rPr>
          <w:rFonts w:ascii="Arial Narrow" w:hAnsi="Arial Narrow" w:eastAsia="仿宋_GB2312" w:cs="Arial"/>
          <w:sz w:val="22"/>
        </w:rPr>
        <w:fldChar w:fldCharType="separate"/>
      </w:r>
      <w:r>
        <w:rPr>
          <w:rFonts w:ascii="Arial Narrow" w:hAnsi="Arial Narrow" w:eastAsia="仿宋_GB2312" w:cs="Arial"/>
          <w:sz w:val="22"/>
        </w:rPr>
        <w:fldChar w:fldCharType="end"/>
      </w:r>
      <w:r>
        <w:rPr>
          <w:rFonts w:ascii="Arial Narrow" w:hAnsi="Arial Narrow" w:eastAsia="仿宋_GB2312" w:cs="Arial"/>
          <w:sz w:val="22"/>
        </w:rPr>
      </w:r>
      <w:r>
        <w:rPr>
          <w:rFonts w:ascii="Arial Narrow" w:hAnsi="Arial Narrow" w:eastAsia="仿宋_GB2312" w:cs="Arial"/>
          <w:sz w:val="22"/>
        </w:rPr>
      </w:r>
    </w:p>
    <w:tbl>
      <w:tblPr>
        <w:tblW w:w="6379" w:type="dxa"/>
        <w:jc w:val="center"/>
        <w:tblBorders/>
        <w:tblLayout w:type="fixed"/>
        <w:tblLook w:val="04A0" w:firstRow="1" w:lastRow="0" w:firstColumn="1" w:lastColumn="0" w:noHBand="0" w:noVBand="1"/>
      </w:tblPr>
      <w:tblGrid>
        <w:gridCol w:w="2863"/>
        <w:gridCol w:w="3516"/>
      </w:tblGrid>
      <w:tr>
        <w:trPr>
          <w:jc w:val="center"/>
          <w:trHeight w:val="454"/>
        </w:trPr>
        <w:tc>
          <w:tcPr>
            <w:shd w:val="clear" w:color="auto" w:fill="002060"/>
            <w:tcBorders>
              <w:top w:val="single" w:color="auto" w:sz="8" w:space="0"/>
              <w:left w:val="single" w:color="auto" w:sz="8" w:space="0"/>
              <w:bottom w:val="single" w:color="auto" w:sz="8" w:space="0"/>
              <w:right w:val="single" w:color="auto" w:sz="8" w:space="0"/>
            </w:tcBorders>
            <w:tcW w:w="2863" w:type="dxa"/>
            <w:vAlign w:val="center"/>
            <w:textDirection w:val="lrTb"/>
            <w:noWrap w:val="false"/>
          </w:tcPr>
          <w:p>
            <w:pPr>
              <w:pStyle w:val="1367"/>
              <w:widowControl w:val="false"/>
              <w:pBdr/>
              <w:spacing w:after="0" w:afterAutospacing="0" w:before="0" w:beforeAutospacing="0"/>
              <w:ind/>
              <w:jc w:val="center"/>
              <w:rPr>
                <w:rFonts w:ascii="Arial Narrow" w:hAnsi="Arial Narrow" w:eastAsia="仿宋_GB2312" w:cs="Arial"/>
                <w:b/>
                <w:color w:val="ffffff"/>
                <w:sz w:val="22"/>
                <w:szCs w:val="22"/>
                <w:lang w:bidi="ar"/>
              </w:rPr>
            </w:pPr>
            <w:r>
              <w:rPr>
                <w:rFonts w:ascii="Arial Narrow" w:hAnsi="Arial Narrow" w:eastAsia="仿宋_GB2312" w:cs="Arial"/>
                <w:b/>
                <w:color w:val="ffffff"/>
                <w:sz w:val="22"/>
                <w:szCs w:val="22"/>
                <w:lang w:bidi="ar"/>
              </w:rPr>
              <w:t xml:space="preserve">四分位区间</w:t>
            </w:r>
            <w:r>
              <w:rPr>
                <w:rFonts w:ascii="Arial Narrow" w:hAnsi="Arial Narrow" w:eastAsia="仿宋_GB2312" w:cs="Arial"/>
                <w:b/>
                <w:color w:val="ffffff"/>
                <w:sz w:val="22"/>
                <w:szCs w:val="22"/>
                <w:lang w:bidi="ar"/>
              </w:rPr>
            </w:r>
          </w:p>
        </w:tc>
        <w:tc>
          <w:tcPr>
            <w:shd w:val="clear" w:color="auto" w:fill="002060"/>
            <w:tcBorders>
              <w:top w:val="single" w:color="auto" w:sz="8" w:space="0"/>
              <w:left w:val="none" w:color="000000" w:sz="4" w:space="0"/>
              <w:bottom w:val="single" w:color="auto" w:sz="8" w:space="0"/>
              <w:right w:val="single" w:color="auto" w:sz="8" w:space="0"/>
            </w:tcBorders>
            <w:tcW w:w="3516" w:type="dxa"/>
            <w:vAlign w:val="center"/>
            <w:textDirection w:val="lrTb"/>
            <w:noWrap w:val="false"/>
          </w:tcPr>
          <w:p>
            <w:pPr>
              <w:pStyle w:val="1367"/>
              <w:widowControl w:val="false"/>
              <w:pBdr/>
              <w:spacing w:after="0" w:afterAutospacing="0" w:before="0" w:beforeAutospacing="0"/>
              <w:ind/>
              <w:jc w:val="center"/>
              <w:rPr>
                <w:rFonts w:ascii="Arial Narrow" w:hAnsi="Arial Narrow" w:eastAsia="仿宋_GB2312" w:cs="Arial"/>
                <w:b/>
                <w:color w:val="ffffff"/>
                <w:sz w:val="22"/>
                <w:szCs w:val="22"/>
                <w:lang w:bidi="ar"/>
              </w:rPr>
            </w:pPr>
            <w:r>
              <w:rPr>
                <w:rFonts w:ascii="Arial Narrow" w:hAnsi="Arial Narrow" w:eastAsia="仿宋_GB2312" w:cs="Arial"/>
                <w:b/>
                <w:color w:val="ffffff"/>
                <w:sz w:val="22"/>
                <w:szCs w:val="22"/>
                <w:lang w:bidi="ar"/>
              </w:rPr>
              <w:t xml:space="preserve">加权平均完全成本加成率</w:t>
            </w:r>
            <w:r>
              <w:rPr>
                <w:rFonts w:ascii="Arial Narrow" w:hAnsi="Arial Narrow" w:eastAsia="仿宋_GB2312" w:cs="Arial"/>
                <w:b/>
                <w:color w:val="ffffff"/>
                <w:sz w:val="22"/>
                <w:szCs w:val="22"/>
                <w:lang w:bidi="ar"/>
              </w:rPr>
            </w:r>
          </w:p>
        </w:tc>
      </w:tr>
      <w:tr>
        <w:trPr>
          <w:jc w:val="center"/>
          <w:trHeight w:val="454"/>
        </w:trPr>
        <w:tc>
          <w:tcPr>
            <w:tcBorders>
              <w:top w:val="none" w:color="000000" w:sz="4" w:space="0"/>
              <w:left w:val="single" w:color="auto" w:sz="8" w:space="0"/>
              <w:bottom w:val="single" w:color="auto" w:sz="8" w:space="0"/>
              <w:right w:val="single" w:color="auto" w:sz="8" w:space="0"/>
            </w:tcBorders>
            <w:tcW w:w="2863" w:type="dxa"/>
            <w:vAlign w:val="center"/>
            <w:textDirection w:val="lrTb"/>
            <w:noWrap w:val="false"/>
          </w:tcPr>
          <w:p>
            <w:pPr>
              <w:pBdr/>
              <w:spacing/>
              <w:ind/>
              <w:jc w:val="center"/>
              <w:rPr>
                <w:rFonts w:ascii="Arial Narrow" w:hAnsi="Arial Narrow" w:eastAsia="仿宋_GB2312" w:cs="Arial"/>
                <w:color w:val="000000"/>
                <w:sz w:val="22"/>
                <w:szCs w:val="22"/>
              </w:rPr>
            </w:pPr>
            <w:r>
              <w:rPr>
                <w:rFonts w:ascii="Arial Narrow" w:hAnsi="Arial Narrow" w:eastAsia="仿宋_GB2312" w:cs="Arial"/>
                <w:color w:val="000000"/>
                <w:sz w:val="22"/>
                <w:szCs w:val="22"/>
              </w:rPr>
              <w:t xml:space="preserve">可比公司数量</w:t>
            </w:r>
            <w:r>
              <w:rPr>
                <w:rFonts w:ascii="Arial Narrow" w:hAnsi="Arial Narrow" w:eastAsia="仿宋_GB2312" w:cs="Arial"/>
                <w:color w:val="000000"/>
                <w:sz w:val="22"/>
                <w:szCs w:val="22"/>
              </w:rPr>
            </w:r>
          </w:p>
        </w:tc>
        <w:tc>
          <w:tcPr>
            <w:tcBorders>
              <w:top w:val="none" w:color="000000" w:sz="4" w:space="0"/>
              <w:left w:val="none" w:color="000000" w:sz="4" w:space="0"/>
              <w:bottom w:val="single" w:color="auto" w:sz="8" w:space="0"/>
              <w:right w:val="single" w:color="auto" w:sz="8" w:space="0"/>
            </w:tcBorders>
            <w:tcW w:w="3516" w:type="dxa"/>
            <w:vAlign w:val="center"/>
            <w:textDirection w:val="lrTb"/>
            <w:noWrap w:val="false"/>
          </w:tcPr>
          <w:p>
            <w:pPr>
              <w:pBdr/>
              <w:spacing/>
              <w:ind/>
              <w:jc w:val="center"/>
              <w:rPr>
                <w:rFonts w:ascii="Arial Narrow" w:hAnsi="Arial Narrow" w:eastAsia="仿宋_GB2312" w:cs="Arial"/>
                <w:color w:val="000000"/>
                <w:sz w:val="22"/>
                <w:szCs w:val="22"/>
              </w:rPr>
            </w:pPr>
            <w:r>
              <w:rPr>
                <w:rFonts w:hint="eastAsia" w:ascii="Arial Narrow" w:hAnsi="Arial Narrow" w:eastAsia="仿宋_GB2312" w:cs="Arial"/>
                <w:color w:val="000000"/>
                <w:sz w:val="22"/>
                <w:szCs w:val="22"/>
              </w:rPr>
              <w:t xml:space="preserve">9</w:t>
            </w:r>
            <w:r>
              <w:rPr>
                <w:rFonts w:ascii="Arial Narrow" w:hAnsi="Arial Narrow" w:eastAsia="仿宋_GB2312" w:cs="Arial"/>
                <w:color w:val="000000"/>
                <w:sz w:val="22"/>
                <w:szCs w:val="22"/>
              </w:rPr>
            </w:r>
          </w:p>
        </w:tc>
      </w:tr>
      <w:tr>
        <w:trPr>
          <w:jc w:val="center"/>
          <w:trHeight w:val="454"/>
        </w:trPr>
        <w:tc>
          <w:tcPr>
            <w:tcBorders>
              <w:top w:val="none" w:color="000000" w:sz="4" w:space="0"/>
              <w:left w:val="single" w:color="auto" w:sz="8" w:space="0"/>
              <w:bottom w:val="single" w:color="auto" w:sz="8" w:space="0"/>
              <w:right w:val="single" w:color="auto" w:sz="8" w:space="0"/>
            </w:tcBorders>
            <w:tcW w:w="2863" w:type="dxa"/>
            <w:vAlign w:val="center"/>
            <w:textDirection w:val="lrTb"/>
            <w:noWrap w:val="false"/>
          </w:tcPr>
          <w:p>
            <w:pPr>
              <w:pBdr/>
              <w:spacing/>
              <w:ind/>
              <w:jc w:val="center"/>
              <w:rPr>
                <w:rFonts w:ascii="Arial Narrow" w:hAnsi="Arial Narrow" w:eastAsia="仿宋_GB2312" w:cs="Arial"/>
                <w:color w:val="000000"/>
                <w:sz w:val="22"/>
                <w:szCs w:val="22"/>
              </w:rPr>
            </w:pPr>
            <w:r>
              <w:rPr>
                <w:rFonts w:ascii="Arial Narrow" w:hAnsi="Arial Narrow" w:eastAsia="仿宋_GB2312" w:cs="Arial"/>
                <w:color w:val="000000"/>
                <w:sz w:val="22"/>
                <w:szCs w:val="22"/>
              </w:rPr>
              <w:t xml:space="preserve">上四分位数</w:t>
            </w:r>
            <w:r>
              <w:rPr>
                <w:rFonts w:ascii="Arial Narrow" w:hAnsi="Arial Narrow" w:eastAsia="仿宋_GB2312" w:cs="Arial"/>
                <w:color w:val="000000"/>
                <w:sz w:val="22"/>
                <w:szCs w:val="22"/>
              </w:rPr>
            </w:r>
          </w:p>
        </w:tc>
        <w:tc>
          <w:tcPr>
            <w:tcBorders>
              <w:top w:val="none" w:color="000000" w:sz="4" w:space="0"/>
              <w:left w:val="none" w:color="000000" w:sz="4" w:space="0"/>
              <w:bottom w:val="single" w:color="auto" w:sz="8" w:space="0"/>
              <w:right w:val="single" w:color="auto" w:sz="8" w:space="0"/>
            </w:tcBorders>
            <w:tcW w:w="3516" w:type="dxa"/>
            <w:vAlign w:val="center"/>
            <w:textDirection w:val="lrTb"/>
            <w:noWrap w:val="false"/>
          </w:tcPr>
          <w:p>
            <w:pPr>
              <w:pBdr/>
              <w:spacing/>
              <w:ind/>
              <w:jc w:val="center"/>
              <w:rPr>
                <w:rFonts w:ascii="Arial Narrow" w:hAnsi="Arial Narrow" w:eastAsia="仿宋_GB2312" w:cs="Arial"/>
                <w:color w:val="000000"/>
                <w:sz w:val="22"/>
                <w:szCs w:val="22"/>
                <w:highlight w:val="yellow"/>
              </w:rPr>
            </w:pPr>
            <w:r>
              <w:rPr>
                <w:rFonts w:hint="eastAsia" w:ascii="Arial Narrow" w:hAnsi="Arial Narrow" w:eastAsia="仿宋_GB2312" w:cs="Arial"/>
                <w:color w:val="000000"/>
                <w:sz w:val="22"/>
                <w:szCs w:val="22"/>
              </w:rPr>
              <w:t xml:space="preserve">7.29%</w:t>
            </w:r>
            <w:r>
              <w:rPr>
                <w:rFonts w:ascii="Arial Narrow" w:hAnsi="Arial Narrow" w:eastAsia="仿宋_GB2312" w:cs="Arial"/>
                <w:color w:val="000000"/>
                <w:sz w:val="22"/>
                <w:szCs w:val="22"/>
                <w:highlight w:val="yellow"/>
              </w:rPr>
            </w:r>
          </w:p>
        </w:tc>
      </w:tr>
      <w:tr>
        <w:trPr>
          <w:jc w:val="center"/>
          <w:trHeight w:val="454"/>
        </w:trPr>
        <w:tc>
          <w:tcPr>
            <w:tcBorders>
              <w:top w:val="none" w:color="000000" w:sz="4" w:space="0"/>
              <w:left w:val="single" w:color="auto" w:sz="8" w:space="0"/>
              <w:bottom w:val="single" w:color="auto" w:sz="8" w:space="0"/>
              <w:right w:val="single" w:color="auto" w:sz="8" w:space="0"/>
            </w:tcBorders>
            <w:tcW w:w="2863" w:type="dxa"/>
            <w:vAlign w:val="center"/>
            <w:textDirection w:val="lrTb"/>
            <w:noWrap w:val="false"/>
          </w:tcPr>
          <w:p>
            <w:pPr>
              <w:pBdr/>
              <w:spacing/>
              <w:ind/>
              <w:jc w:val="center"/>
              <w:rPr>
                <w:rFonts w:ascii="Arial Narrow" w:hAnsi="Arial Narrow" w:eastAsia="仿宋_GB2312" w:cs="Arial"/>
                <w:color w:val="000000"/>
                <w:sz w:val="22"/>
                <w:szCs w:val="22"/>
              </w:rPr>
            </w:pPr>
            <w:r>
              <w:rPr>
                <w:rFonts w:ascii="Arial Narrow" w:hAnsi="Arial Narrow" w:eastAsia="仿宋_GB2312" w:cs="Arial"/>
                <w:color w:val="000000"/>
                <w:sz w:val="22"/>
                <w:szCs w:val="22"/>
              </w:rPr>
              <w:t xml:space="preserve">中位值</w:t>
            </w:r>
            <w:r>
              <w:rPr>
                <w:rFonts w:ascii="Arial Narrow" w:hAnsi="Arial Narrow" w:eastAsia="仿宋_GB2312" w:cs="Arial"/>
                <w:color w:val="000000"/>
                <w:sz w:val="22"/>
                <w:szCs w:val="22"/>
              </w:rPr>
            </w:r>
          </w:p>
        </w:tc>
        <w:tc>
          <w:tcPr>
            <w:tcBorders>
              <w:top w:val="none" w:color="000000" w:sz="4" w:space="0"/>
              <w:left w:val="none" w:color="000000" w:sz="4" w:space="0"/>
              <w:bottom w:val="single" w:color="auto" w:sz="8" w:space="0"/>
              <w:right w:val="single" w:color="auto" w:sz="8" w:space="0"/>
            </w:tcBorders>
            <w:tcW w:w="3516" w:type="dxa"/>
            <w:vAlign w:val="center"/>
            <w:textDirection w:val="lrTb"/>
            <w:noWrap w:val="false"/>
          </w:tcPr>
          <w:p>
            <w:pPr>
              <w:pBdr/>
              <w:spacing/>
              <w:ind/>
              <w:jc w:val="center"/>
              <w:rPr>
                <w:rFonts w:ascii="Arial Narrow" w:hAnsi="Arial Narrow" w:eastAsia="仿宋_GB2312" w:cs="Arial"/>
                <w:color w:val="000000"/>
                <w:sz w:val="22"/>
                <w:szCs w:val="22"/>
                <w:highlight w:val="yellow"/>
              </w:rPr>
            </w:pPr>
            <w:r>
              <w:rPr>
                <w:rFonts w:hint="eastAsia" w:ascii="Arial Narrow" w:hAnsi="Arial Narrow" w:eastAsia="仿宋_GB2312" w:cs="Arial"/>
                <w:color w:val="000000"/>
                <w:sz w:val="22"/>
                <w:szCs w:val="22"/>
              </w:rPr>
              <w:t xml:space="preserve">1.39%</w:t>
            </w:r>
            <w:r>
              <w:rPr>
                <w:rFonts w:ascii="Arial Narrow" w:hAnsi="Arial Narrow" w:eastAsia="仿宋_GB2312" w:cs="Arial"/>
                <w:color w:val="000000"/>
                <w:sz w:val="22"/>
                <w:szCs w:val="22"/>
                <w:highlight w:val="yellow"/>
              </w:rPr>
            </w:r>
          </w:p>
        </w:tc>
      </w:tr>
      <w:tr>
        <w:trPr>
          <w:jc w:val="center"/>
          <w:trHeight w:val="454"/>
        </w:trPr>
        <w:tc>
          <w:tcPr>
            <w:tcBorders>
              <w:top w:val="none" w:color="000000" w:sz="4" w:space="0"/>
              <w:left w:val="single" w:color="auto" w:sz="8" w:space="0"/>
              <w:bottom w:val="single" w:color="auto" w:sz="8" w:space="0"/>
              <w:right w:val="single" w:color="auto" w:sz="8" w:space="0"/>
            </w:tcBorders>
            <w:tcW w:w="2863" w:type="dxa"/>
            <w:vAlign w:val="center"/>
            <w:textDirection w:val="lrTb"/>
            <w:noWrap w:val="false"/>
          </w:tcPr>
          <w:p>
            <w:pPr>
              <w:pBdr/>
              <w:spacing/>
              <w:ind/>
              <w:jc w:val="center"/>
              <w:rPr>
                <w:rFonts w:ascii="Arial Narrow" w:hAnsi="Arial Narrow" w:eastAsia="仿宋_GB2312" w:cs="Arial"/>
                <w:color w:val="000000"/>
                <w:sz w:val="22"/>
                <w:szCs w:val="22"/>
              </w:rPr>
            </w:pPr>
            <w:r>
              <w:rPr>
                <w:rFonts w:ascii="Arial Narrow" w:hAnsi="Arial Narrow" w:eastAsia="仿宋_GB2312" w:cs="Arial"/>
                <w:color w:val="000000"/>
                <w:sz w:val="22"/>
                <w:szCs w:val="22"/>
              </w:rPr>
              <w:t xml:space="preserve">下四分位数</w:t>
            </w:r>
            <w:r>
              <w:rPr>
                <w:rFonts w:ascii="Arial Narrow" w:hAnsi="Arial Narrow" w:eastAsia="仿宋_GB2312" w:cs="Arial"/>
                <w:color w:val="000000"/>
                <w:sz w:val="22"/>
                <w:szCs w:val="22"/>
              </w:rPr>
            </w:r>
          </w:p>
        </w:tc>
        <w:tc>
          <w:tcPr>
            <w:tcBorders>
              <w:top w:val="none" w:color="000000" w:sz="4" w:space="0"/>
              <w:left w:val="none" w:color="000000" w:sz="4" w:space="0"/>
              <w:bottom w:val="single" w:color="auto" w:sz="8" w:space="0"/>
              <w:right w:val="single" w:color="auto" w:sz="8" w:space="0"/>
            </w:tcBorders>
            <w:tcW w:w="3516" w:type="dxa"/>
            <w:vAlign w:val="center"/>
            <w:textDirection w:val="lrTb"/>
            <w:noWrap w:val="false"/>
          </w:tcPr>
          <w:p>
            <w:pPr>
              <w:pBdr/>
              <w:spacing/>
              <w:ind/>
              <w:jc w:val="center"/>
              <w:rPr>
                <w:rFonts w:ascii="Arial Narrow" w:hAnsi="Arial Narrow" w:eastAsia="仿宋_GB2312" w:cs="Arial"/>
                <w:color w:val="000000"/>
                <w:sz w:val="22"/>
                <w:szCs w:val="22"/>
                <w:highlight w:val="yellow"/>
              </w:rPr>
            </w:pPr>
            <w:r>
              <w:rPr>
                <w:rFonts w:hint="eastAsia" w:ascii="Arial Narrow" w:hAnsi="Arial Narrow" w:eastAsia="仿宋_GB2312" w:cs="Arial"/>
                <w:color w:val="000000"/>
                <w:sz w:val="22"/>
                <w:szCs w:val="22"/>
              </w:rPr>
              <w:t xml:space="preserve">0.59%</w:t>
            </w:r>
            <w:bookmarkEnd w:id="55"/>
            <w:bookmarkEnd w:id="56"/>
            <w:bookmarkEnd w:id="57"/>
            <w:r>
              <w:rPr>
                <w:rFonts w:ascii="Arial Narrow" w:hAnsi="Arial Narrow" w:eastAsia="仿宋_GB2312" w:cs="Arial"/>
                <w:color w:val="000000"/>
                <w:sz w:val="22"/>
                <w:szCs w:val="22"/>
                <w:highlight w:val="yellow"/>
              </w:rPr>
            </w:r>
          </w:p>
        </w:tc>
      </w:tr>
    </w:tbl>
    <w:p>
      <w:pPr>
        <w:pBdr/>
        <w:spacing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如上图表所示，2020到2022财年加权平均完全成本加成率独立交易区间为0.59%到7.29%，中位值为1.39%。松莉科技2023年的完全成本加成率为5.25%，位于可比非受控公司在2020到2022财年加权平均完全成本加成率的四分位区间之内，且高于中位值。</w:t>
      </w:r>
      <w:r>
        <w:rPr>
          <w:rFonts w:hint="eastAsia" w:ascii="Arial Narrow" w:hAnsi="Arial Narrow" w:eastAsia="仿宋_GB2312" w:cs="Arial"/>
          <w:sz w:val="22"/>
          <w:szCs w:val="22"/>
        </w:rPr>
      </w:r>
      <w:r>
        <w:rPr>
          <w:rFonts w:ascii="Arial Narrow" w:hAnsi="Arial Narrow" w:eastAsia="仿宋_GB2312" w:cs="Arial"/>
          <w:sz w:val="22"/>
          <w:szCs w:val="22"/>
        </w:rPr>
      </w:r>
    </w:p>
    <w:p>
      <w:pPr>
        <w:pBdr/>
        <w:spacing w:line="360" w:lineRule="auto"/>
        <w:ind w:firstLine="440"/>
        <w:jc w:val="both"/>
        <w:rPr>
          <w:rFonts w:ascii="Arial Narrow" w:hAnsi="Arial Narrow" w:eastAsia="仿宋_GB2312" w:cs="Arial"/>
          <w:sz w:val="22"/>
          <w:szCs w:val="22"/>
          <w:highlight w:val="yellow"/>
        </w:rPr>
      </w:pPr>
      <w:r>
        <w:rPr>
          <w:rFonts w:hint="eastAsia" w:ascii="Arial Narrow" w:hAnsi="Arial Narrow" w:eastAsia="仿宋_GB2312" w:cs="Arial"/>
          <w:sz w:val="22"/>
          <w:szCs w:val="22"/>
        </w:rPr>
        <w:t xml:space="preserve">因此，从中国转让定价角度，松莉科技在2023年受测关联交易中的转让定价安排符合独立交易原则。</w:t>
      </w:r>
      <w:r>
        <w:rPr>
          <w:rFonts w:hint="eastAsia" w:ascii="Arial Narrow" w:hAnsi="Arial Narrow" w:eastAsia="仿宋_GB2312" w:cs="Arial"/>
          <w:sz w:val="22"/>
          <w:szCs w:val="22"/>
        </w:rPr>
      </w:r>
      <w:r>
        <w:rPr>
          <w:rFonts w:ascii="Arial Narrow" w:hAnsi="Arial Narrow" w:eastAsia="仿宋_GB2312" w:cs="Arial"/>
          <w:sz w:val="22"/>
          <w:szCs w:val="22"/>
          <w:highlight w:val="yellow"/>
        </w:rPr>
      </w:r>
    </w:p>
    <w:p>
      <w:pPr>
        <w:pStyle w:val="1324"/>
        <w:pBdr/>
        <w:spacing/>
        <w:ind/>
        <w:rPr>
          <w:b/>
          <w:bCs/>
        </w:rPr>
      </w:pPr>
      <w:r/>
      <w:bookmarkStart w:id="159" w:name="_Toc85557479"/>
      <w:r/>
      <w:bookmarkStart w:id="160" w:name="_Toc85557612"/>
      <w:r/>
      <w:bookmarkStart w:id="161" w:name="_Toc140505104"/>
      <w:r/>
      <w:bookmarkStart w:id="162" w:name="_Toc140505100"/>
      <w:r/>
      <w:bookmarkStart w:id="163" w:name="_Toc140505102"/>
      <w:r/>
      <w:bookmarkStart w:id="164" w:name="_Toc140505101"/>
      <w:r/>
      <w:bookmarkStart w:id="165" w:name="_Toc140505103"/>
      <w:r/>
      <w:bookmarkStart w:id="166" w:name="_Toc85622846"/>
      <w:r/>
      <w:bookmarkStart w:id="167" w:name="_Toc85042475"/>
      <w:r/>
      <w:bookmarkStart w:id="168" w:name="_Toc140505105"/>
      <w:r/>
      <w:bookmarkStart w:id="169" w:name="_Toc53229051"/>
      <w:r/>
      <w:bookmarkEnd w:id="159"/>
      <w:r/>
      <w:bookmarkEnd w:id="160"/>
      <w:r/>
      <w:bookmarkEnd w:id="161"/>
      <w:r/>
      <w:bookmarkEnd w:id="162"/>
      <w:r/>
      <w:bookmarkEnd w:id="163"/>
      <w:r/>
      <w:bookmarkEnd w:id="164"/>
      <w:r/>
      <w:bookmarkEnd w:id="165"/>
      <w:r/>
      <w:bookmarkEnd w:id="166"/>
      <w:r/>
      <w:bookmarkEnd w:id="167"/>
      <w:r>
        <w:t xml:space="preserve">局限性</w:t>
      </w:r>
      <w:bookmarkEnd w:id="168"/>
      <w:r/>
      <w:bookmarkEnd w:id="169"/>
      <w:r/>
      <w:r>
        <w:rPr>
          <w:b/>
          <w:bCs/>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本报告中的转让定价分析是遵照中国转让定价法规的有关规定进行的，但其分析意见及结论仅代表我们对中国现行转让定价法规的理解与诠释，对中国税务机关不具有任何约束力。因此，本报告中的分析结论不应被视为会被中国税务机关接受，或松莉科技及其关联方在转让定价调查中免于税务调整的保证。但本报告应可以为松莉科技提供良好的文件支持以应对中国税务机关对松莉科技转让定价安排的初步质询，并有助松莉科技向税务机关展示其严肃对待纳税义务的努力。本报告所引用的松莉科技的数据均来源于松莉科技所提供的文件或信息。</w:t>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在本报告中，我们并未对任何消费税、增值税或其他国家及地方税的纳税义务（无论该纳税义务是否由我们的转让定价分析意见所引起）进行审查。</w:t>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本报告是由立信根据截止于报告提交日由松莉科技提供的相关事实而准备的。本报告以特定的事实和情况为基础，可能不适用于松莉科技之外的第三方。我们在准备本报告时仅从与松莉科技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r>
        <w:rPr>
          <w:rFonts w:ascii="Arial Narrow" w:hAnsi="Arial Narrow" w:eastAsia="仿宋_GB2312" w:cs="Arial"/>
          <w:sz w:val="22"/>
          <w:szCs w:val="22"/>
        </w:rPr>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本报告是依照[2016]42号公告第14条对同期资料的相关规定而准备，松莉科技可以在中国税务机关要求的情况下将本报告提交给中国税务机关。</w:t>
      </w:r>
      <w:r>
        <w:rPr>
          <w:rFonts w:ascii="Arial Narrow" w:hAnsi="Arial Narrow" w:eastAsia="仿宋_GB2312" w:cs="Arial"/>
          <w:sz w:val="22"/>
          <w:szCs w:val="22"/>
        </w:rPr>
      </w:r>
      <w:r>
        <w:rPr>
          <w:rFonts w:ascii="Arial Narrow" w:hAnsi="Arial Narrow" w:eastAsia="仿宋_GB2312" w:cs="Arial"/>
          <w:sz w:val="22"/>
          <w:szCs w:val="22"/>
        </w:rPr>
      </w:r>
    </w:p>
    <w:p>
      <w:pPr>
        <w:pBdr/>
        <w:spacing w:after="240" w:before="240"/>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任何包括在我们的服务合同中的限制性条款将同样适用于本报告。</w:t>
      </w:r>
      <w:r>
        <w:rPr>
          <w:rFonts w:ascii="Arial Narrow" w:hAnsi="Arial Narrow" w:eastAsia="仿宋_GB2312" w:cs="Arial"/>
          <w:sz w:val="22"/>
          <w:szCs w:val="22"/>
        </w:rPr>
      </w:r>
    </w:p>
    <w:p>
      <w:pPr>
        <w:pBdr/>
        <w:spacing w:after="240" w:before="240"/>
        <w:ind/>
        <w:jc w:val="both"/>
        <w:rPr>
          <w:rFonts w:ascii="Arial Narrow" w:hAnsi="Arial Narrow" w:eastAsia="仿宋_GB2312" w:cs="Arial"/>
          <w:sz w:val="22"/>
          <w:szCs w:val="22"/>
        </w:rPr>
      </w:pPr>
      <w:r>
        <w:rPr>
          <w:rFonts w:ascii="Arial Narrow" w:hAnsi="Arial Narrow" w:eastAsia="仿宋_GB2312" w:cs="Arial"/>
          <w:sz w:val="22"/>
          <w:szCs w:val="22"/>
        </w:rPr>
      </w:r>
      <w:r>
        <w:rPr>
          <w:rFonts w:ascii="Arial Narrow" w:hAnsi="Arial Narrow" w:eastAsia="仿宋_GB2312" w:cs="Arial"/>
          <w:sz w:val="22"/>
          <w:szCs w:val="22"/>
        </w:rPr>
      </w:r>
    </w:p>
    <w:p>
      <w:pPr>
        <w:pBdr/>
        <w:spacing w:after="240" w:before="240"/>
        <w:ind/>
        <w:jc w:val="both"/>
        <w:rPr>
          <w:rFonts w:ascii="Arial Narrow" w:hAnsi="Arial Narrow" w:eastAsia="仿宋_GB2312" w:cs="Arial"/>
          <w:sz w:val="22"/>
          <w:szCs w:val="22"/>
        </w:rPr>
        <w:sectPr>
          <w:footerReference w:type="default" r:id="rId24"/>
          <w:footnotePr/>
          <w:endnotePr/>
          <w:type w:val="nextPage"/>
          <w:pgSz w:h="16839" w:orient="portrait" w:w="11907"/>
          <w:pgMar w:top="1440" w:right="1800" w:bottom="1440" w:left="1800" w:header="709" w:footer="709" w:gutter="0"/>
          <w:pgNumType w:start="1"/>
          <w:cols w:num="1" w:sep="0" w:space="720" w:equalWidth="1"/>
        </w:sectPr>
      </w:pPr>
      <w:r>
        <w:rPr>
          <w:rFonts w:ascii="Arial Narrow" w:hAnsi="Arial Narrow" w:eastAsia="仿宋_GB2312" w:cs="Arial"/>
          <w:sz w:val="22"/>
          <w:szCs w:val="22"/>
        </w:rPr>
      </w:r>
      <w:r>
        <w:rPr>
          <w:rFonts w:ascii="Arial Narrow" w:hAnsi="Arial Narrow" w:eastAsia="仿宋_GB2312" w:cs="Arial"/>
          <w:sz w:val="22"/>
          <w:szCs w:val="22"/>
        </w:rPr>
      </w:r>
    </w:p>
    <w:p>
      <w:pPr>
        <w:pStyle w:val="1323"/>
        <w:pBdr/>
        <w:spacing/>
        <w:ind/>
        <w:rPr>
          <w:b/>
        </w:rPr>
      </w:pPr>
      <w:r/>
      <w:bookmarkStart w:id="170" w:name="_Toc53229052"/>
      <w:r/>
      <w:bookmarkStart w:id="171" w:name="_Toc274825217"/>
      <w:r/>
      <w:bookmarkStart w:id="172" w:name="_Toc140505106"/>
      <w:r>
        <w:t xml:space="preserve">企业概况</w:t>
      </w:r>
      <w:bookmarkEnd w:id="170"/>
      <w:r/>
      <w:bookmarkEnd w:id="171"/>
      <w:r/>
      <w:bookmarkEnd w:id="172"/>
      <w:r/>
      <w:r>
        <w:rPr>
          <w:b/>
        </w:rPr>
      </w:r>
    </w:p>
    <w:p>
      <w:pPr>
        <w:pStyle w:val="1324"/>
        <w:pBdr/>
        <w:spacing/>
        <w:ind/>
        <w:rPr>
          <w:b/>
          <w:bCs/>
        </w:rPr>
      </w:pPr>
      <w:r/>
      <w:bookmarkStart w:id="173" w:name="_Toc140505107"/>
      <w:r/>
      <w:bookmarkStart w:id="174" w:name="_Toc53229053"/>
      <w:r>
        <w:t xml:space="preserve">集团概况</w:t>
      </w:r>
      <w:r>
        <w:rPr>
          <w:rStyle w:val="1377"/>
        </w:rPr>
        <w:footnoteReference w:id="2"/>
      </w:r>
      <w:bookmarkEnd w:id="173"/>
      <w:r/>
      <w:bookmarkEnd w:id="174"/>
      <w:r/>
      <w:r>
        <w:rPr>
          <w:b/>
          <w:bCs/>
        </w:rPr>
      </w:r>
    </w:p>
    <w:p>
      <w:pPr>
        <w:pBdr/>
        <w:spacing w:after="180" w:before="180" w:line="360" w:lineRule="auto"/>
        <w:ind w:firstLine="440"/>
        <w:jc w:val="both"/>
        <w:rPr>
          <w:rFonts w:ascii="Arial Narrow" w:hAnsi="Arial Narrow" w:eastAsia="仿宋_GB2312" w:cs="Arial"/>
          <w:sz w:val="22"/>
          <w:szCs w:val="22"/>
        </w:rPr>
      </w:pPr>
      <w:r/>
      <w:bookmarkStart w:id="175" w:name="_Toc48317392"/>
      <w:r/>
      <w:bookmarkStart w:id="176" w:name="_Toc48317105"/>
      <w:r>
        <w:rPr>
          <w:rFonts w:ascii="Arial Narrow" w:hAnsi="Arial Narrow" w:eastAsia="仿宋_GB2312" w:cs="Arial"/>
          <w:sz w:val="22"/>
          <w:szCs w:val="22"/>
        </w:rPr>
        <w:t xml:space="preserve">Markwins Beauty Brands, Inc.（以下简称“Markwins US”）成立于1984年，总部设在美国加州洛杉矶，主要从事化妆品生产、行销及研究开发。公司拥有不断创新的设计能力、先进的生产技术、雄厚的财力、优越的行销能力，是全球化妆品行业最大的供应商之一，致力于满足不同年龄、种族、经济状况和肤色的消费者。</w:t>
      </w:r>
      <w:r>
        <w:rPr>
          <w:rFonts w:ascii="Arial Narrow" w:hAnsi="Arial Narrow" w:eastAsia="仿宋_GB2312" w:cs="Arial"/>
          <w:sz w:val="22"/>
          <w:szCs w:val="22"/>
        </w:rPr>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hint="eastAsia" w:ascii="Arial Narrow" w:hAnsi="Arial Narrow" w:eastAsia="仿宋_GB2312" w:cs="Arial"/>
          <w:sz w:val="22"/>
          <w:szCs w:val="22"/>
        </w:rPr>
        <w:t xml:space="preserve">Markwins 集团的策略是专注于单价较低的产品。随着消费者对小众市场越来越感兴趣，Markwins 集团通过满足所有年龄组别和人群的成年人、青少年品牌，为所有年龄段的消费者提供经济适用型美容产品，从而填补了小众市场这一重大空白。</w:t>
      </w:r>
      <w:r>
        <w:rPr>
          <w:rFonts w:hint="eastAsia" w:ascii="Arial Narrow" w:hAnsi="Arial Narrow" w:eastAsia="仿宋_GB2312" w:cs="Arial"/>
          <w:sz w:val="22"/>
          <w:szCs w:val="22"/>
        </w:rPr>
      </w:r>
      <w:bookmarkEnd w:id="175"/>
      <w:r/>
      <w:bookmarkEnd w:id="176"/>
      <w:r/>
      <w:r>
        <w:rPr>
          <w:rFonts w:ascii="Arial Narrow" w:hAnsi="Arial Narrow" w:eastAsia="仿宋_GB2312" w:cs="Arial"/>
          <w:sz w:val="22"/>
          <w:szCs w:val="22"/>
        </w:rPr>
      </w:r>
    </w:p>
    <w:p>
      <w:pPr>
        <w:pStyle w:val="1324"/>
        <w:pBdr/>
        <w:spacing/>
        <w:ind/>
        <w:rPr>
          <w:b/>
          <w:bCs/>
        </w:rPr>
      </w:pPr>
      <w:r/>
      <w:bookmarkStart w:id="177" w:name="_Toc53229054"/>
      <w:r/>
      <w:bookmarkStart w:id="178" w:name="_Toc140505108"/>
      <w:r>
        <w:t xml:space="preserve">公司概况</w:t>
      </w:r>
      <w:bookmarkEnd w:id="177"/>
      <w:r/>
      <w:bookmarkEnd w:id="178"/>
      <w:r/>
      <w:r>
        <w:rPr>
          <w:b/>
          <w:bCs/>
        </w:rPr>
      </w:r>
    </w:p>
    <w:p>
      <w:pPr>
        <w:pStyle w:val="1325"/>
        <w:pBdr/>
        <w:spacing/>
        <w:ind/>
        <w:rPr>
          <w:b/>
          <w:bCs/>
        </w:rPr>
      </w:pPr>
      <w:r/>
      <w:bookmarkStart w:id="179" w:name="_Toc53229055"/>
      <w:r/>
      <w:bookmarkStart w:id="180" w:name="_Toc140505109"/>
      <w:r>
        <w:t xml:space="preserve">公司基本信息</w:t>
      </w:r>
      <w:bookmarkEnd w:id="179"/>
      <w:r/>
      <w:bookmarkEnd w:id="180"/>
      <w:r/>
      <w:r>
        <w:rPr>
          <w:b/>
          <w:bCs/>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松莉科技成立于2018年11月29日，经营期限为50年，注册资本为美元4,000万元，主要从事化妆品生产经营业务。松莉科技的基本信息详见下表。</w:t>
      </w:r>
      <w:r>
        <w:rPr>
          <w:rFonts w:ascii="Arial Narrow" w:hAnsi="Arial Narrow" w:eastAsia="仿宋_GB2312" w:cs="Arial"/>
          <w:sz w:val="22"/>
          <w:szCs w:val="22"/>
        </w:rPr>
      </w:r>
      <w:r>
        <w:rPr>
          <w:rFonts w:ascii="Arial Narrow" w:hAnsi="Arial Narrow" w:eastAsia="仿宋_GB2312" w:cs="Arial"/>
          <w:sz w:val="22"/>
          <w:szCs w:val="22"/>
        </w:rPr>
      </w:r>
    </w:p>
    <w:p>
      <w:pPr>
        <w:pStyle w:val="1338"/>
        <w:keepNext w:val="true"/>
        <w:pBdr/>
        <w:spacing/>
        <w:ind/>
        <w:jc w:val="center"/>
        <w:rPr>
          <w:rFonts w:ascii="Arial Narrow" w:hAnsi="Arial Narrow" w:eastAsia="仿宋_GB2312" w:cs="Arial"/>
          <w:sz w:val="22"/>
        </w:rPr>
      </w:pPr>
      <w:r/>
      <w:bookmarkStart w:id="181" w:name="_Toc48399533"/>
      <w:r/>
      <w:bookmarkStart w:id="182" w:name="_Toc48582930"/>
      <w:r/>
      <w:bookmarkStart w:id="183" w:name="_Toc48317395"/>
      <w:r/>
      <w:bookmarkStart w:id="184" w:name="_Toc48317394"/>
      <w:r/>
      <w:bookmarkStart w:id="185" w:name="_Toc48317211"/>
      <w:r/>
      <w:bookmarkStart w:id="186" w:name="_Toc48582516"/>
      <w:r/>
      <w:bookmarkStart w:id="187" w:name="_Toc48317212"/>
      <w:r/>
      <w:bookmarkStart w:id="188" w:name="_Toc48582929"/>
      <w:r/>
      <w:bookmarkStart w:id="189" w:name="_Toc48317209"/>
      <w:r/>
      <w:bookmarkStart w:id="190" w:name="_Toc48399532"/>
      <w:r/>
      <w:bookmarkStart w:id="191" w:name="_Toc48582515"/>
      <w:r/>
      <w:bookmarkStart w:id="192" w:name="_Toc48317396"/>
      <w:r/>
      <w:bookmarkStart w:id="193" w:name="_Toc48582928"/>
      <w:r/>
      <w:bookmarkStart w:id="194" w:name="_Toc48582517"/>
      <w:r/>
      <w:bookmarkStart w:id="195" w:name="_Toc48582518"/>
      <w:r/>
      <w:bookmarkStart w:id="196" w:name="_Toc48399534"/>
      <w:r/>
      <w:bookmarkStart w:id="197" w:name="_Toc48317397"/>
      <w:r/>
      <w:bookmarkStart w:id="198" w:name="_Toc48399535"/>
      <w:r/>
      <w:bookmarkStart w:id="199" w:name="_Toc48582931"/>
      <w:r/>
      <w:bookmarkStart w:id="200" w:name="_Toc48317210"/>
      <w:r/>
      <w:bookmarkStart w:id="201" w:name="_Hlk50481429"/>
      <w:r/>
      <w:bookmarkStart w:id="202" w:name="_Toc48317398"/>
      <w:r/>
      <w:bookmarkEnd w:id="181"/>
      <w:r/>
      <w:bookmarkEnd w:id="182"/>
      <w:r/>
      <w:bookmarkEnd w:id="183"/>
      <w:r/>
      <w:bookmarkEnd w:id="184"/>
      <w:r/>
      <w:bookmarkEnd w:id="185"/>
      <w:r/>
      <w:bookmarkEnd w:id="186"/>
      <w:r/>
      <w:bookmarkEnd w:id="187"/>
      <w:r/>
      <w:bookmarkEnd w:id="188"/>
      <w:r/>
      <w:bookmarkEnd w:id="189"/>
      <w:r/>
      <w:bookmarkEnd w:id="190"/>
      <w:r/>
      <w:bookmarkEnd w:id="191"/>
      <w:r/>
      <w:bookmarkEnd w:id="192"/>
      <w:r/>
      <w:bookmarkEnd w:id="193"/>
      <w:r/>
      <w:bookmarkEnd w:id="194"/>
      <w:r/>
      <w:bookmarkEnd w:id="195"/>
      <w:r/>
      <w:bookmarkEnd w:id="196"/>
      <w:r/>
      <w:bookmarkEnd w:id="197"/>
      <w:r/>
      <w:bookmarkEnd w:id="198"/>
      <w:r/>
      <w:bookmarkEnd w:id="199"/>
      <w:r/>
      <w:bookmarkEnd w:id="200"/>
      <w:r>
        <w:rPr>
          <w:rFonts w:ascii="Arial Narrow" w:hAnsi="Arial Narrow" w:eastAsia="仿宋_GB2312" w:cs="Arial"/>
          <w:sz w:val="22"/>
        </w:rPr>
        <w:t xml:space="preserve">图表 2：松莉科技基本信息</w:t>
      </w:r>
      <w:r>
        <w:rPr>
          <w:rFonts w:ascii="Arial Narrow" w:hAnsi="Arial Narrow" w:eastAsia="仿宋_GB2312" w:cs="Arial"/>
          <w:sz w:val="22"/>
        </w:rPr>
        <w:fldChar w:fldCharType="begin"/>
      </w:r>
      <w:r>
        <w:rPr>
          <w:rFonts w:ascii="Arial Narrow" w:hAnsi="Arial Narrow" w:eastAsia="仿宋_GB2312" w:cs="Arial"/>
          <w:sz w:val="22"/>
        </w:rPr>
        <w:instrText xml:space="preserve"> SEQ </w:instrText>
      </w:r>
      <w:r>
        <w:rPr>
          <w:rFonts w:ascii="Arial Narrow" w:hAnsi="Arial Narrow" w:eastAsia="仿宋_GB2312" w:cs="Arial"/>
          <w:sz w:val="22"/>
        </w:rPr>
        <w:instrText xml:space="preserve">图表</w:instrText>
      </w:r>
      <w:r>
        <w:rPr>
          <w:rFonts w:ascii="Arial Narrow" w:hAnsi="Arial Narrow" w:eastAsia="仿宋_GB2312" w:cs="Arial"/>
          <w:sz w:val="22"/>
        </w:rPr>
        <w:instrText xml:space="preserve"> \* ARABIC </w:instrText>
      </w:r>
      <w:r>
        <w:rPr>
          <w:rFonts w:ascii="Arial Narrow" w:hAnsi="Arial Narrow" w:eastAsia="仿宋_GB2312" w:cs="Arial"/>
          <w:sz w:val="22"/>
        </w:rPr>
        <w:fldChar w:fldCharType="separate"/>
      </w:r>
      <w:r>
        <w:rPr>
          <w:rFonts w:ascii="Arial Narrow" w:hAnsi="Arial Narrow" w:eastAsia="仿宋_GB2312" w:cs="Arial"/>
          <w:sz w:val="22"/>
        </w:rPr>
        <w:fldChar w:fldCharType="end"/>
      </w:r>
      <w:bookmarkEnd w:id="201"/>
      <w:r>
        <w:rPr>
          <w:rFonts w:ascii="Arial Narrow" w:hAnsi="Arial Narrow" w:eastAsia="仿宋_GB2312" w:cs="Arial"/>
          <w:sz w:val="22"/>
        </w:rPr>
      </w:r>
      <w:r>
        <w:rPr>
          <w:rFonts w:ascii="Arial Narrow" w:hAnsi="Arial Narrow" w:eastAsia="仿宋_GB2312" w:cs="Arial"/>
          <w:sz w:val="22"/>
        </w:rPr>
      </w:r>
    </w:p>
    <w:tbl>
      <w:tblPr>
        <w:tblW w:w="818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155"/>
        <w:gridCol w:w="6029"/>
      </w:tblGrid>
      <w:tr>
        <w:trPr>
          <w:trHeight w:val="454" w:hRule="exact"/>
        </w:trPr>
        <w:tc>
          <w:tcPr>
            <w:shd w:val="clear" w:color="auto" w:fill="002060"/>
            <w:tcBorders>
              <w:bottom w:val="single" w:color="ffffff" w:themeColor="background1" w:sz="4" w:space="0"/>
            </w:tcBorders>
            <w:tcW w:w="2155" w:type="dxa"/>
            <w:vAlign w:val="center"/>
            <w:textDirection w:val="lrTb"/>
            <w:noWrap w:val="false"/>
          </w:tcPr>
          <w:p>
            <w:pPr>
              <w:widowControl w:val="false"/>
              <w:pBdr/>
              <w:spacing/>
              <w:ind/>
              <w:rPr>
                <w:rFonts w:ascii="Arial Narrow" w:hAnsi="Arial Narrow" w:eastAsia="仿宋_GB2312" w:cs="Arial"/>
                <w:b/>
                <w:color w:val="ffffff" w:themeColor="background1"/>
                <w:sz w:val="22"/>
                <w:szCs w:val="22"/>
              </w:rPr>
            </w:pPr>
            <w:r>
              <w:rPr>
                <w:rFonts w:ascii="Arial Narrow" w:hAnsi="Arial Narrow" w:eastAsia="仿宋_GB2312" w:cs="Arial"/>
                <w:b/>
                <w:color w:val="ffffff" w:themeColor="background1"/>
                <w:sz w:val="22"/>
                <w:szCs w:val="22"/>
              </w:rPr>
              <w:t xml:space="preserve">公司名称</w:t>
            </w:r>
            <w:r>
              <w:rPr>
                <w:rFonts w:ascii="Arial Narrow" w:hAnsi="Arial Narrow" w:eastAsia="仿宋_GB2312" w:cs="Arial"/>
                <w:b/>
                <w:color w:val="ffffff" w:themeColor="background1"/>
                <w:sz w:val="22"/>
                <w:szCs w:val="22"/>
              </w:rPr>
            </w:r>
          </w:p>
        </w:tc>
        <w:tc>
          <w:tcPr>
            <w:tcBorders/>
            <w:tcW w:w="6029" w:type="dxa"/>
            <w:vAlign w:val="center"/>
            <w:textDirection w:val="lrTb"/>
            <w:noWrap w:val="false"/>
          </w:tcPr>
          <w:p>
            <w:pPr>
              <w:pBdr/>
              <w:spacing/>
              <w:ind/>
              <w:rPr>
                <w:rFonts w:ascii="Arial Narrow" w:hAnsi="Arial Narrow" w:eastAsia="仿宋_GB2312" w:cs="Arial"/>
                <w:color w:val="000000"/>
                <w:sz w:val="22"/>
                <w:szCs w:val="22"/>
              </w:rPr>
            </w:pPr>
            <w:r>
              <w:rPr>
                <w:rFonts w:ascii="Arial Narrow" w:hAnsi="Arial Narrow" w:eastAsia="仿宋_GB2312" w:cs="Arial"/>
                <w:color w:val="000000"/>
                <w:sz w:val="22"/>
                <w:szCs w:val="22"/>
              </w:rPr>
              <w:t xml:space="preserve">{{企业名称}}</w:t>
            </w:r>
            <w:r>
              <w:rPr>
                <w:rFonts w:ascii="Arial Narrow" w:hAnsi="Arial Narrow" w:eastAsia="仿宋_GB2312" w:cs="Arial"/>
                <w:color w:val="000000"/>
                <w:sz w:val="22"/>
                <w:szCs w:val="22"/>
              </w:rPr>
            </w:r>
          </w:p>
        </w:tc>
      </w:tr>
      <w:tr>
        <w:trPr>
          <w:trHeight w:val="454" w:hRule="exact"/>
        </w:trPr>
        <w:tc>
          <w:tcPr>
            <w:shd w:val="clear" w:color="auto" w:fill="002060"/>
            <w:tcBorders>
              <w:top w:val="single" w:color="ffffff" w:themeColor="background1" w:sz="4" w:space="0"/>
            </w:tcBorders>
            <w:tcW w:w="2155" w:type="dxa"/>
            <w:vAlign w:val="center"/>
            <w:textDirection w:val="lrTb"/>
            <w:noWrap w:val="false"/>
          </w:tcPr>
          <w:p>
            <w:pPr>
              <w:widowControl w:val="false"/>
              <w:pBdr/>
              <w:spacing/>
              <w:ind/>
              <w:rPr>
                <w:rFonts w:ascii="Arial Narrow" w:hAnsi="Arial Narrow" w:eastAsia="仿宋_GB2312" w:cs="Arial"/>
                <w:b/>
                <w:color w:val="ffffff" w:themeColor="background1"/>
                <w:sz w:val="22"/>
                <w:szCs w:val="22"/>
              </w:rPr>
            </w:pPr>
            <w:r>
              <w:rPr>
                <w:rFonts w:ascii="Arial Narrow" w:hAnsi="Arial Narrow" w:eastAsia="仿宋_GB2312" w:cs="Arial"/>
                <w:b/>
                <w:color w:val="ffffff" w:themeColor="background1"/>
                <w:sz w:val="22"/>
                <w:szCs w:val="22"/>
              </w:rPr>
              <w:t xml:space="preserve">经营地址</w:t>
            </w:r>
            <w:r>
              <w:rPr>
                <w:rFonts w:ascii="Arial Narrow" w:hAnsi="Arial Narrow" w:eastAsia="仿宋_GB2312" w:cs="Arial"/>
                <w:b/>
                <w:color w:val="ffffff" w:themeColor="background1"/>
                <w:sz w:val="22"/>
                <w:szCs w:val="22"/>
              </w:rPr>
            </w:r>
          </w:p>
        </w:tc>
        <w:tc>
          <w:tcPr>
            <w:tcBorders/>
            <w:tcW w:w="6029" w:type="dxa"/>
            <w:vAlign w:val="center"/>
            <w:textDirection w:val="lrTb"/>
            <w:noWrap w:val="false"/>
          </w:tcPr>
          <w:p>
            <w:pPr>
              <w:pBdr/>
              <w:spacing/>
              <w:ind/>
              <w:rPr>
                <w:rFonts w:ascii="Arial Narrow" w:hAnsi="Arial Narrow" w:eastAsia="仿宋_GB2312" w:cs="Arial"/>
                <w:color w:val="000000"/>
                <w:sz w:val="22"/>
                <w:szCs w:val="22"/>
              </w:rPr>
            </w:pPr>
            <w:r>
              <w:rPr>
                <w:rFonts w:ascii="Arial Narrow" w:hAnsi="Arial Narrow" w:eastAsia="仿宋_GB2312" w:cs="Arial"/>
                <w:color w:val="000000"/>
                <w:sz w:val="22"/>
                <w:szCs w:val="22"/>
              </w:rPr>
              <w:t xml:space="preserve">上海市奉贤区芝云路168号7幢1层B区、2层、3层</w:t>
            </w:r>
            <w:r>
              <w:rPr>
                <w:rFonts w:ascii="Arial Narrow" w:hAnsi="Arial Narrow" w:eastAsia="仿宋_GB2312" w:cs="Arial"/>
                <w:color w:val="000000"/>
                <w:sz w:val="22"/>
                <w:szCs w:val="22"/>
              </w:rPr>
            </w:r>
            <w:r>
              <w:rPr>
                <w:rFonts w:ascii="Arial Narrow" w:hAnsi="Arial Narrow" w:eastAsia="仿宋_GB2312" w:cs="Arial"/>
                <w:color w:val="000000"/>
                <w:sz w:val="22"/>
                <w:szCs w:val="22"/>
              </w:rPr>
            </w:r>
          </w:p>
        </w:tc>
      </w:tr>
      <w:tr>
        <w:trPr>
          <w:trHeight w:val="454" w:hRule="exact"/>
        </w:trPr>
        <w:tc>
          <w:tcPr>
            <w:shd w:val="clear" w:color="auto" w:fill="002060"/>
            <w:tcBorders>
              <w:bottom w:val="single" w:color="ffffff" w:themeColor="background1" w:sz="4" w:space="0"/>
            </w:tcBorders>
            <w:tcW w:w="2155" w:type="dxa"/>
            <w:vAlign w:val="center"/>
            <w:textDirection w:val="lrTb"/>
            <w:noWrap w:val="false"/>
          </w:tcPr>
          <w:p>
            <w:pPr>
              <w:widowControl w:val="false"/>
              <w:pBdr/>
              <w:spacing/>
              <w:ind/>
              <w:rPr>
                <w:rFonts w:ascii="Arial Narrow" w:hAnsi="Arial Narrow" w:eastAsia="仿宋_GB2312" w:cs="Arial"/>
                <w:b/>
                <w:color w:val="ffffff" w:themeColor="background1"/>
                <w:sz w:val="22"/>
                <w:szCs w:val="22"/>
              </w:rPr>
            </w:pPr>
            <w:r>
              <w:rPr>
                <w:rFonts w:ascii="Arial Narrow" w:hAnsi="Arial Narrow" w:eastAsia="仿宋_GB2312" w:cs="Arial"/>
                <w:b/>
                <w:color w:val="ffffff" w:themeColor="background1"/>
                <w:sz w:val="22"/>
                <w:szCs w:val="22"/>
              </w:rPr>
              <w:t xml:space="preserve">成立日期</w:t>
            </w:r>
            <w:r>
              <w:rPr>
                <w:rFonts w:ascii="Arial Narrow" w:hAnsi="Arial Narrow" w:eastAsia="仿宋_GB2312" w:cs="Arial"/>
                <w:b/>
                <w:color w:val="ffffff" w:themeColor="background1"/>
                <w:sz w:val="22"/>
                <w:szCs w:val="22"/>
              </w:rPr>
            </w:r>
          </w:p>
        </w:tc>
        <w:tc>
          <w:tcPr>
            <w:tcBorders/>
            <w:tcW w:w="6029" w:type="dxa"/>
            <w:vAlign w:val="center"/>
            <w:textDirection w:val="lrTb"/>
            <w:noWrap w:val="false"/>
          </w:tcPr>
          <w:p>
            <w:pPr>
              <w:pBdr/>
              <w:spacing/>
              <w:ind/>
              <w:rPr>
                <w:rFonts w:ascii="Arial Narrow" w:hAnsi="Arial Narrow" w:eastAsia="仿宋_GB2312" w:cs="Arial"/>
                <w:color w:val="000000"/>
                <w:sz w:val="22"/>
                <w:szCs w:val="22"/>
              </w:rPr>
            </w:pPr>
            <w:r>
              <w:rPr>
                <w:rFonts w:ascii="Arial Narrow" w:hAnsi="Arial Narrow" w:eastAsia="仿宋_GB2312" w:cs="Arial"/>
                <w:color w:val="000000"/>
                <w:sz w:val="22"/>
                <w:szCs w:val="22"/>
              </w:rPr>
              <w:t xml:space="preserve">2018年11月29日</w:t>
            </w:r>
            <w:r>
              <w:rPr>
                <w:rFonts w:ascii="Arial Narrow" w:hAnsi="Arial Narrow" w:eastAsia="仿宋_GB2312" w:cs="Arial"/>
                <w:color w:val="000000"/>
                <w:sz w:val="22"/>
                <w:szCs w:val="22"/>
              </w:rPr>
            </w:r>
            <w:r>
              <w:rPr>
                <w:rFonts w:ascii="Arial Narrow" w:hAnsi="Arial Narrow" w:eastAsia="仿宋_GB2312" w:cs="Arial"/>
                <w:color w:val="000000"/>
                <w:sz w:val="22"/>
                <w:szCs w:val="22"/>
              </w:rPr>
            </w:r>
          </w:p>
        </w:tc>
      </w:tr>
      <w:tr>
        <w:trPr>
          <w:trHeight w:val="454" w:hRule="exact"/>
        </w:trPr>
        <w:tc>
          <w:tcPr>
            <w:shd w:val="clear" w:color="auto" w:fill="002060"/>
            <w:tcBorders>
              <w:top w:val="single" w:color="ffffff" w:themeColor="background1" w:sz="4" w:space="0"/>
              <w:bottom w:val="single" w:color="ffffff" w:themeColor="background1" w:sz="4" w:space="0"/>
            </w:tcBorders>
            <w:tcW w:w="2155" w:type="dxa"/>
            <w:vAlign w:val="center"/>
            <w:textDirection w:val="lrTb"/>
            <w:noWrap w:val="false"/>
          </w:tcPr>
          <w:p>
            <w:pPr>
              <w:widowControl w:val="false"/>
              <w:pBdr/>
              <w:spacing/>
              <w:ind/>
              <w:rPr>
                <w:rFonts w:ascii="Arial Narrow" w:hAnsi="Arial Narrow" w:eastAsia="仿宋_GB2312" w:cs="Arial"/>
                <w:b/>
                <w:color w:val="ffffff" w:themeColor="background1"/>
                <w:sz w:val="22"/>
                <w:szCs w:val="22"/>
              </w:rPr>
            </w:pPr>
            <w:r>
              <w:rPr>
                <w:rFonts w:ascii="Arial Narrow" w:hAnsi="Arial Narrow" w:eastAsia="仿宋_GB2312" w:cs="Arial"/>
                <w:b/>
                <w:color w:val="ffffff" w:themeColor="background1"/>
                <w:sz w:val="22"/>
                <w:szCs w:val="22"/>
              </w:rPr>
              <w:t xml:space="preserve">公司类型</w:t>
            </w:r>
            <w:r>
              <w:rPr>
                <w:rFonts w:ascii="Arial Narrow" w:hAnsi="Arial Narrow" w:eastAsia="仿宋_GB2312" w:cs="Arial"/>
                <w:b/>
                <w:color w:val="ffffff" w:themeColor="background1"/>
                <w:sz w:val="22"/>
                <w:szCs w:val="22"/>
              </w:rPr>
            </w:r>
          </w:p>
        </w:tc>
        <w:tc>
          <w:tcPr>
            <w:tcBorders/>
            <w:tcW w:w="6029" w:type="dxa"/>
            <w:vAlign w:val="center"/>
            <w:textDirection w:val="lrTb"/>
            <w:noWrap w:val="false"/>
          </w:tcPr>
          <w:p>
            <w:pPr>
              <w:pBdr/>
              <w:spacing/>
              <w:ind/>
              <w:rPr>
                <w:rFonts w:ascii="Arial Narrow" w:hAnsi="Arial Narrow" w:eastAsia="仿宋_GB2312" w:cs="Arial"/>
                <w:color w:val="000000"/>
                <w:sz w:val="22"/>
                <w:szCs w:val="22"/>
              </w:rPr>
            </w:pPr>
            <w:r>
              <w:rPr>
                <w:rFonts w:ascii="Arial Narrow" w:hAnsi="Arial Narrow" w:eastAsia="仿宋_GB2312" w:cs="Arial"/>
                <w:color w:val="000000"/>
                <w:sz w:val="22"/>
                <w:szCs w:val="22"/>
              </w:rPr>
              <w:t xml:space="preserve">有限责任公司（港澳台法人独资）</w:t>
            </w:r>
            <w:r>
              <w:rPr>
                <w:rFonts w:ascii="Arial Narrow" w:hAnsi="Arial Narrow" w:eastAsia="仿宋_GB2312" w:cs="Arial"/>
                <w:color w:val="000000"/>
                <w:sz w:val="22"/>
                <w:szCs w:val="22"/>
              </w:rPr>
            </w:r>
          </w:p>
        </w:tc>
      </w:tr>
      <w:tr>
        <w:trPr>
          <w:trHeight w:val="454" w:hRule="exact"/>
        </w:trPr>
        <w:tc>
          <w:tcPr>
            <w:shd w:val="clear" w:color="auto" w:fill="002060"/>
            <w:tcBorders>
              <w:top w:val="single" w:color="ffffff" w:themeColor="background1" w:sz="4" w:space="0"/>
              <w:bottom w:val="single" w:color="ffffff" w:themeColor="background1" w:sz="4" w:space="0"/>
            </w:tcBorders>
            <w:tcW w:w="2155" w:type="dxa"/>
            <w:vAlign w:val="center"/>
            <w:textDirection w:val="lrTb"/>
            <w:noWrap w:val="false"/>
          </w:tcPr>
          <w:p>
            <w:pPr>
              <w:widowControl w:val="false"/>
              <w:pBdr/>
              <w:spacing/>
              <w:ind/>
              <w:rPr>
                <w:rFonts w:ascii="Arial Narrow" w:hAnsi="Arial Narrow" w:eastAsia="仿宋_GB2312" w:cs="Arial"/>
                <w:b/>
                <w:color w:val="ffffff" w:themeColor="background1"/>
                <w:sz w:val="22"/>
                <w:szCs w:val="22"/>
              </w:rPr>
            </w:pPr>
            <w:r>
              <w:rPr>
                <w:rFonts w:ascii="Arial Narrow" w:hAnsi="Arial Narrow" w:eastAsia="仿宋_GB2312" w:cs="Arial"/>
                <w:b/>
                <w:color w:val="ffffff" w:themeColor="background1"/>
                <w:sz w:val="22"/>
                <w:szCs w:val="22"/>
              </w:rPr>
              <w:t xml:space="preserve">投资方</w:t>
            </w:r>
            <w:r>
              <w:rPr>
                <w:rFonts w:ascii="Arial Narrow" w:hAnsi="Arial Narrow" w:eastAsia="仿宋_GB2312" w:cs="Arial"/>
                <w:b/>
                <w:color w:val="ffffff" w:themeColor="background1"/>
                <w:sz w:val="22"/>
                <w:szCs w:val="22"/>
              </w:rPr>
            </w:r>
          </w:p>
        </w:tc>
        <w:tc>
          <w:tcPr>
            <w:tcBorders/>
            <w:tcW w:w="6029" w:type="dxa"/>
            <w:vAlign w:val="center"/>
            <w:textDirection w:val="lrTb"/>
            <w:noWrap w:val="false"/>
          </w:tcPr>
          <w:p>
            <w:pPr>
              <w:pBdr/>
              <w:spacing/>
              <w:ind/>
              <w:rPr>
                <w:rFonts w:ascii="Arial Narrow" w:hAnsi="Arial Narrow" w:eastAsia="仿宋_GB2312" w:cs="Arial"/>
                <w:color w:val="000000"/>
                <w:sz w:val="22"/>
                <w:szCs w:val="22"/>
              </w:rPr>
            </w:pPr>
            <w:r>
              <w:rPr>
                <w:rFonts w:ascii="Arial Narrow" w:hAnsi="Arial Narrow" w:eastAsia="仿宋_GB2312" w:cs="Arial"/>
                <w:color w:val="000000"/>
                <w:sz w:val="22"/>
                <w:szCs w:val="22"/>
              </w:rPr>
              <w:t xml:space="preserve">Markwins International Corporation Limited</w:t>
            </w:r>
            <w:r>
              <w:rPr>
                <w:rFonts w:ascii="Arial Narrow" w:hAnsi="Arial Narrow" w:eastAsia="仿宋_GB2312" w:cs="Arial"/>
                <w:color w:val="000000"/>
                <w:sz w:val="22"/>
                <w:szCs w:val="22"/>
              </w:rPr>
            </w:r>
          </w:p>
        </w:tc>
      </w:tr>
      <w:tr>
        <w:trPr>
          <w:trHeight w:val="454" w:hRule="exact"/>
        </w:trPr>
        <w:tc>
          <w:tcPr>
            <w:shd w:val="clear" w:color="auto" w:fill="002060"/>
            <w:tcBorders>
              <w:top w:val="single" w:color="ffffff" w:themeColor="background1" w:sz="4" w:space="0"/>
            </w:tcBorders>
            <w:tcW w:w="2155" w:type="dxa"/>
            <w:vAlign w:val="center"/>
            <w:textDirection w:val="lrTb"/>
            <w:noWrap w:val="false"/>
          </w:tcPr>
          <w:p>
            <w:pPr>
              <w:widowControl w:val="false"/>
              <w:pBdr/>
              <w:spacing/>
              <w:ind/>
              <w:rPr>
                <w:rFonts w:ascii="Arial Narrow" w:hAnsi="Arial Narrow" w:eastAsia="仿宋_GB2312" w:cs="Arial"/>
                <w:b/>
                <w:color w:val="ffffff" w:themeColor="background1"/>
                <w:sz w:val="22"/>
                <w:szCs w:val="22"/>
              </w:rPr>
            </w:pPr>
            <w:r>
              <w:rPr>
                <w:rFonts w:ascii="Arial Narrow" w:hAnsi="Arial Narrow" w:eastAsia="仿宋_GB2312" w:cs="Arial"/>
                <w:b/>
                <w:color w:val="ffffff" w:themeColor="background1"/>
                <w:sz w:val="22"/>
                <w:szCs w:val="22"/>
              </w:rPr>
              <w:t xml:space="preserve">经营期限</w:t>
            </w:r>
            <w:r>
              <w:rPr>
                <w:rFonts w:ascii="Arial Narrow" w:hAnsi="Arial Narrow" w:eastAsia="仿宋_GB2312" w:cs="Arial"/>
                <w:b/>
                <w:color w:val="ffffff" w:themeColor="background1"/>
                <w:sz w:val="22"/>
                <w:szCs w:val="22"/>
              </w:rPr>
            </w:r>
          </w:p>
        </w:tc>
        <w:tc>
          <w:tcPr>
            <w:tcBorders/>
            <w:tcW w:w="6029" w:type="dxa"/>
            <w:vAlign w:val="center"/>
            <w:textDirection w:val="lrTb"/>
            <w:noWrap w:val="false"/>
          </w:tcPr>
          <w:p>
            <w:pPr>
              <w:pBdr/>
              <w:spacing/>
              <w:ind/>
              <w:rPr>
                <w:rFonts w:ascii="Arial Narrow" w:hAnsi="Arial Narrow" w:eastAsia="仿宋_GB2312" w:cs="Arial"/>
                <w:color w:val="000000"/>
                <w:sz w:val="22"/>
                <w:szCs w:val="22"/>
              </w:rPr>
            </w:pPr>
            <w:r>
              <w:rPr>
                <w:rFonts w:ascii="Arial Narrow" w:hAnsi="Arial Narrow" w:eastAsia="仿宋_GB2312" w:cs="Arial"/>
                <w:color w:val="000000"/>
                <w:sz w:val="22"/>
                <w:szCs w:val="22"/>
              </w:rPr>
              <w:t xml:space="preserve">50年</w:t>
            </w:r>
            <w:r>
              <w:rPr>
                <w:rFonts w:ascii="Arial Narrow" w:hAnsi="Arial Narrow" w:eastAsia="仿宋_GB2312" w:cs="Arial"/>
                <w:color w:val="000000"/>
                <w:sz w:val="22"/>
                <w:szCs w:val="22"/>
              </w:rPr>
            </w:r>
            <w:r>
              <w:rPr>
                <w:rFonts w:ascii="Arial Narrow" w:hAnsi="Arial Narrow" w:eastAsia="仿宋_GB2312" w:cs="Arial"/>
                <w:color w:val="000000"/>
                <w:sz w:val="22"/>
                <w:szCs w:val="22"/>
              </w:rPr>
            </w:r>
          </w:p>
        </w:tc>
      </w:tr>
      <w:tr>
        <w:trPr>
          <w:trHeight w:val="454" w:hRule="exact"/>
        </w:trPr>
        <w:tc>
          <w:tcPr>
            <w:shd w:val="clear" w:color="auto" w:fill="002060"/>
            <w:tcBorders/>
            <w:tcW w:w="2155" w:type="dxa"/>
            <w:vAlign w:val="center"/>
            <w:textDirection w:val="lrTb"/>
            <w:noWrap w:val="false"/>
          </w:tcPr>
          <w:p>
            <w:pPr>
              <w:widowControl w:val="false"/>
              <w:pBdr/>
              <w:spacing/>
              <w:ind/>
              <w:rPr>
                <w:rFonts w:ascii="Arial Narrow" w:hAnsi="Arial Narrow" w:eastAsia="仿宋_GB2312" w:cs="Arial"/>
                <w:b/>
                <w:color w:val="ffffff" w:themeColor="background1"/>
                <w:sz w:val="22"/>
                <w:szCs w:val="22"/>
              </w:rPr>
            </w:pPr>
            <w:r>
              <w:rPr>
                <w:rFonts w:ascii="Arial Narrow" w:hAnsi="Arial Narrow" w:eastAsia="仿宋_GB2312" w:cs="Arial"/>
                <w:b/>
                <w:color w:val="ffffff" w:themeColor="background1"/>
                <w:sz w:val="22"/>
                <w:szCs w:val="22"/>
              </w:rPr>
              <w:t xml:space="preserve">注册资本</w:t>
            </w:r>
            <w:r>
              <w:rPr>
                <w:rFonts w:ascii="Arial Narrow" w:hAnsi="Arial Narrow" w:eastAsia="仿宋_GB2312" w:cs="Arial"/>
                <w:b/>
                <w:color w:val="ffffff" w:themeColor="background1"/>
                <w:sz w:val="22"/>
                <w:szCs w:val="22"/>
              </w:rPr>
            </w:r>
          </w:p>
        </w:tc>
        <w:tc>
          <w:tcPr>
            <w:tcBorders/>
            <w:tcW w:w="6029" w:type="dxa"/>
            <w:vAlign w:val="center"/>
            <w:textDirection w:val="lrTb"/>
            <w:noWrap w:val="false"/>
          </w:tcPr>
          <w:p>
            <w:pPr>
              <w:pBdr/>
              <w:spacing/>
              <w:ind/>
              <w:rPr>
                <w:rFonts w:ascii="Arial Narrow" w:hAnsi="Arial Narrow" w:eastAsia="仿宋_GB2312" w:cs="Arial"/>
                <w:color w:val="000000"/>
                <w:sz w:val="22"/>
                <w:szCs w:val="22"/>
              </w:rPr>
            </w:pPr>
            <w:r>
              <w:rPr>
                <w:rFonts w:ascii="Arial Narrow" w:hAnsi="Arial Narrow" w:eastAsia="仿宋_GB2312" w:cs="Arial"/>
                <w:color w:val="000000"/>
                <w:sz w:val="22"/>
                <w:szCs w:val="22"/>
              </w:rPr>
              <w:t xml:space="preserve">4,000万美元</w:t>
            </w:r>
            <w:r>
              <w:rPr>
                <w:rFonts w:ascii="Arial Narrow" w:hAnsi="Arial Narrow" w:eastAsia="仿宋_GB2312" w:cs="Arial"/>
                <w:color w:val="000000"/>
                <w:sz w:val="22"/>
                <w:szCs w:val="22"/>
              </w:rPr>
            </w:r>
            <w:r>
              <w:rPr>
                <w:rFonts w:ascii="Arial Narrow" w:hAnsi="Arial Narrow" w:eastAsia="仿宋_GB2312" w:cs="Arial"/>
                <w:color w:val="000000"/>
                <w:sz w:val="22"/>
                <w:szCs w:val="22"/>
              </w:rPr>
            </w:r>
          </w:p>
        </w:tc>
      </w:tr>
      <w:tr>
        <w:trPr>
          <w:trHeight w:val="2310" w:hRule="exact"/>
        </w:trPr>
        <w:tc>
          <w:tcPr>
            <w:shd w:val="clear" w:color="auto" w:fill="002060"/>
            <w:tcBorders>
              <w:bottom w:val="single" w:color="ffffff" w:themeColor="background1" w:sz="4" w:space="0"/>
            </w:tcBorders>
            <w:tcW w:w="2155" w:type="dxa"/>
            <w:vAlign w:val="center"/>
            <w:textDirection w:val="lrTb"/>
            <w:noWrap w:val="false"/>
          </w:tcPr>
          <w:p>
            <w:pPr>
              <w:widowControl w:val="false"/>
              <w:pBdr/>
              <w:spacing/>
              <w:ind/>
              <w:rPr>
                <w:rFonts w:ascii="Arial Narrow" w:hAnsi="Arial Narrow" w:eastAsia="仿宋_GB2312" w:cs="Arial"/>
                <w:b/>
                <w:color w:val="ffffff" w:themeColor="background1"/>
                <w:sz w:val="22"/>
                <w:szCs w:val="22"/>
              </w:rPr>
            </w:pPr>
            <w:r>
              <w:rPr>
                <w:rFonts w:ascii="Arial Narrow" w:hAnsi="Arial Narrow" w:eastAsia="仿宋_GB2312" w:cs="Arial"/>
                <w:b/>
                <w:color w:val="ffffff" w:themeColor="background1"/>
                <w:sz w:val="22"/>
                <w:szCs w:val="22"/>
              </w:rPr>
              <w:t xml:space="preserve">经营范围</w:t>
            </w:r>
            <w:r>
              <w:rPr>
                <w:rFonts w:ascii="Arial Narrow" w:hAnsi="Arial Narrow" w:eastAsia="仿宋_GB2312" w:cs="Arial"/>
                <w:b/>
                <w:color w:val="ffffff" w:themeColor="background1"/>
                <w:sz w:val="22"/>
                <w:szCs w:val="22"/>
              </w:rPr>
            </w:r>
          </w:p>
        </w:tc>
        <w:tc>
          <w:tcPr>
            <w:tcBorders/>
            <w:tcW w:w="6029" w:type="dxa"/>
            <w:vAlign w:val="center"/>
            <w:textDirection w:val="lrTb"/>
            <w:noWrap w:val="false"/>
          </w:tcPr>
          <w:p>
            <w:pPr>
              <w:pBdr/>
              <w:spacing/>
              <w:ind/>
              <w:rPr>
                <w:rFonts w:ascii="Arial Narrow" w:hAnsi="Arial Narrow" w:eastAsia="仿宋_GB2312" w:cs="Arial"/>
                <w:color w:val="000000"/>
                <w:sz w:val="22"/>
                <w:szCs w:val="22"/>
              </w:rPr>
            </w:pPr>
            <w:r>
              <w:rPr>
                <w:rFonts w:ascii="Arial Narrow" w:hAnsi="Arial Narrow" w:eastAsia="仿宋_GB2312" w:cs="Arial"/>
                <w:color w:val="000000"/>
                <w:sz w:val="22"/>
                <w:szCs w:val="22"/>
              </w:rPr>
              <w:t xml:space="preserve">一般项目：美容科技领域内的技术服务、技术开发、技术咨询、技术交流、技术推广；健康信息咨询（医疗诊疗除外）；化妆品的生产，销售公司自产产品，与上述产品同类、化妆品的批发、进出口，并提供相关配套服务；化工产品（不含许可类化工产品）、包装材料及制品、日用杂品、卫生用品和一次性使用医疗产品的批发、进出口、网上零售。（除依法须经批准的项目外，凭营业执照依法自主开展经营活动）</w:t>
            </w:r>
            <w:r>
              <w:rPr>
                <w:rFonts w:ascii="Arial Narrow" w:hAnsi="Arial Narrow" w:eastAsia="仿宋_GB2312" w:cs="Arial"/>
                <w:color w:val="000000"/>
                <w:sz w:val="22"/>
                <w:szCs w:val="22"/>
              </w:rPr>
            </w:r>
          </w:p>
        </w:tc>
      </w:tr>
      <w:tr>
        <w:trPr>
          <w:trHeight w:val="704" w:hRule="exact"/>
        </w:trPr>
        <w:tc>
          <w:tcPr>
            <w:shd w:val="clear" w:color="auto" w:fill="002060"/>
            <w:tcBorders>
              <w:top w:val="single" w:color="ffffff" w:themeColor="background1" w:sz="4" w:space="0"/>
            </w:tcBorders>
            <w:tcW w:w="2155" w:type="dxa"/>
            <w:vAlign w:val="center"/>
            <w:textDirection w:val="lrTb"/>
            <w:noWrap w:val="false"/>
          </w:tcPr>
          <w:p>
            <w:pPr>
              <w:widowControl w:val="false"/>
              <w:pBdr/>
              <w:spacing/>
              <w:ind/>
              <w:rPr>
                <w:rFonts w:ascii="Arial Narrow" w:hAnsi="Arial Narrow" w:eastAsia="仿宋_GB2312" w:cs="Arial"/>
                <w:b/>
                <w:color w:val="ffffff" w:themeColor="background1"/>
                <w:sz w:val="22"/>
                <w:szCs w:val="22"/>
              </w:rPr>
            </w:pPr>
            <w:r>
              <w:rPr>
                <w:rFonts w:ascii="Arial Narrow" w:hAnsi="Arial Narrow" w:eastAsia="仿宋_GB2312" w:cs="Arial"/>
                <w:b/>
                <w:color w:val="ffffff" w:themeColor="background1"/>
                <w:sz w:val="22"/>
                <w:szCs w:val="22"/>
              </w:rPr>
              <w:t xml:space="preserve">2023年度适用的企业所得税率</w:t>
            </w:r>
            <w:r>
              <w:rPr>
                <w:rFonts w:ascii="Arial Narrow" w:hAnsi="Arial Narrow" w:eastAsia="仿宋_GB2312" w:cs="Arial"/>
                <w:b/>
                <w:color w:val="ffffff" w:themeColor="background1"/>
                <w:sz w:val="22"/>
                <w:szCs w:val="22"/>
              </w:rPr>
            </w:r>
            <w:r>
              <w:rPr>
                <w:rFonts w:ascii="Arial Narrow" w:hAnsi="Arial Narrow" w:eastAsia="仿宋_GB2312" w:cs="Arial"/>
                <w:b/>
                <w:color w:val="ffffff" w:themeColor="background1"/>
                <w:sz w:val="22"/>
                <w:szCs w:val="22"/>
              </w:rPr>
            </w:r>
          </w:p>
        </w:tc>
        <w:tc>
          <w:tcPr>
            <w:tcBorders/>
            <w:tcW w:w="6029" w:type="dxa"/>
            <w:vAlign w:val="center"/>
            <w:textDirection w:val="lrTb"/>
            <w:noWrap w:val="false"/>
          </w:tcPr>
          <w:p>
            <w:pPr>
              <w:pBdr/>
              <w:spacing/>
              <w:ind/>
              <w:rPr>
                <w:rFonts w:ascii="Arial Narrow" w:hAnsi="Arial Narrow" w:eastAsia="仿宋_GB2312" w:cs="Arial"/>
                <w:color w:val="000000"/>
                <w:sz w:val="22"/>
                <w:szCs w:val="22"/>
              </w:rPr>
            </w:pPr>
            <w:r>
              <w:rPr>
                <w:rFonts w:ascii="Arial Narrow" w:hAnsi="Arial Narrow" w:eastAsia="仿宋_GB2312" w:cs="Arial"/>
                <w:color w:val="000000"/>
                <w:sz w:val="22"/>
                <w:szCs w:val="22"/>
              </w:rPr>
              <w:t xml:space="preserve">25%</w:t>
            </w:r>
            <w:r>
              <w:rPr>
                <w:rFonts w:ascii="Arial Narrow" w:hAnsi="Arial Narrow" w:eastAsia="仿宋_GB2312" w:cs="Arial"/>
                <w:color w:val="000000"/>
                <w:sz w:val="22"/>
                <w:szCs w:val="22"/>
              </w:rPr>
            </w:r>
          </w:p>
        </w:tc>
      </w:tr>
    </w:tbl>
    <w:p>
      <w:pPr>
        <w:pBdr/>
        <w:spacing/>
        <w:ind/>
        <w:rPr>
          <w:rFonts w:ascii="Arial Narrow" w:hAnsi="Arial Narrow" w:eastAsia="仿宋_GB2312" w:cs="Arial"/>
          <w:i/>
          <w:iCs/>
          <w:sz w:val="16"/>
          <w:szCs w:val="16"/>
        </w:rPr>
      </w:pPr>
      <w:r>
        <w:rPr>
          <w:rFonts w:ascii="Arial Narrow" w:hAnsi="Arial Narrow" w:eastAsia="仿宋_GB2312" w:cs="Arial"/>
          <w:i/>
          <w:iCs/>
          <w:sz w:val="16"/>
          <w:szCs w:val="16"/>
        </w:rPr>
        <w:t xml:space="preserve">信息来源：松莉科技营业执照及2023年度审计报告</w:t>
      </w:r>
      <w:r>
        <w:rPr>
          <w:rFonts w:ascii="Arial Narrow" w:hAnsi="Arial Narrow" w:eastAsia="仿宋_GB2312" w:cs="Arial"/>
          <w:i/>
          <w:iCs/>
          <w:sz w:val="16"/>
          <w:szCs w:val="16"/>
        </w:rPr>
      </w:r>
      <w:bookmarkEnd w:id="202"/>
      <w:r/>
      <w:r>
        <w:rPr>
          <w:rFonts w:ascii="Arial Narrow" w:hAnsi="Arial Narrow" w:eastAsia="仿宋_GB2312" w:cs="Arial"/>
          <w:i/>
          <w:iCs/>
          <w:sz w:val="16"/>
          <w:szCs w:val="16"/>
        </w:rPr>
      </w:r>
    </w:p>
    <w:p>
      <w:pPr>
        <w:pStyle w:val="1325"/>
        <w:pBdr/>
        <w:spacing/>
        <w:ind/>
        <w:rPr>
          <w:b/>
          <w:bCs/>
        </w:rPr>
      </w:pPr>
      <w:r/>
      <w:bookmarkStart w:id="203" w:name="_Toc140505110"/>
      <w:r/>
      <w:bookmarkStart w:id="204" w:name="_Toc53229056"/>
      <w:r>
        <w:t xml:space="preserve">公司组织结构图和主要部门</w:t>
      </w:r>
      <w:bookmarkEnd w:id="203"/>
      <w:r/>
      <w:bookmarkEnd w:id="204"/>
      <w:r/>
      <w:r>
        <w:rPr>
          <w:b/>
          <w:bCs/>
        </w:rPr>
      </w:r>
    </w:p>
    <w:p>
      <w:pPr>
        <w:pBdr/>
        <w:spacing w:after="180" w:before="180" w:line="360" w:lineRule="auto"/>
        <w:ind w:firstLine="440"/>
        <w:rPr>
          <w:rFonts w:ascii="Arial Narrow" w:hAnsi="Arial Narrow" w:eastAsia="仿宋_GB2312" w:cs="Arial"/>
          <w:sz w:val="22"/>
          <w:szCs w:val="22"/>
        </w:rPr>
      </w:pPr>
      <w:r>
        <w:rPr>
          <w:rFonts w:ascii="Arial Narrow" w:hAnsi="Arial Narrow" w:eastAsia="仿宋_GB2312" w:cs="Arial"/>
          <w:sz w:val="22"/>
          <w:szCs w:val="22"/>
        </w:rPr>
        <w:t xml:space="preserve">截至2023年12月31日，松莉科技的管理组织结构显示如下：</w:t>
      </w:r>
      <w:r>
        <w:rPr>
          <w:rFonts w:ascii="Arial Narrow" w:hAnsi="Arial Narrow" w:eastAsia="仿宋_GB2312" w:cs="Arial"/>
          <w:sz w:val="22"/>
          <w:szCs w:val="22"/>
        </w:rPr>
      </w:r>
      <w:r>
        <w:rPr>
          <w:rFonts w:ascii="Arial Narrow" w:hAnsi="Arial Narrow" w:eastAsia="仿宋_GB2312" w:cs="Arial"/>
          <w:sz w:val="22"/>
          <w:szCs w:val="22"/>
        </w:rPr>
      </w:r>
    </w:p>
    <w:p>
      <w:pPr>
        <w:widowControl w:val="false"/>
        <w:pBdr/>
        <w:spacing/>
        <w:ind/>
        <w:jc w:val="center"/>
        <w:rPr>
          <w:rFonts w:ascii="Arial Narrow" w:hAnsi="Arial Narrow" w:eastAsia="仿宋_GB2312" w:cs="Arial"/>
          <w:b/>
          <w:sz w:val="22"/>
        </w:rPr>
      </w:pPr>
      <w:r/>
      <w:bookmarkStart w:id="205" w:name="_Toc12286303"/>
      <w:r>
        <w:rPr>
          <w:rFonts w:ascii="Arial Narrow" w:hAnsi="Arial Narrow" w:eastAsia="仿宋_GB2312" w:cs="Arial"/>
          <w:b/>
          <w:bCs/>
          <w:sz w:val="22"/>
        </w:rPr>
        <w:t xml:space="preserve">图表 3：松莉科技的组织结构图</w:t>
      </w:r>
      <w:r>
        <w:rPr>
          <w:rFonts w:ascii="Arial Narrow" w:hAnsi="Arial Narrow" w:eastAsia="仿宋_GB2312" w:cs="Arial"/>
          <w:b/>
          <w:bCs/>
          <w:sz w:val="22"/>
        </w:rPr>
        <w:fldChar w:fldCharType="begin"/>
      </w:r>
      <w:r>
        <w:rPr>
          <w:rFonts w:ascii="Arial Narrow" w:hAnsi="Arial Narrow" w:eastAsia="仿宋_GB2312" w:cs="Arial"/>
          <w:b/>
          <w:bCs/>
          <w:sz w:val="22"/>
        </w:rPr>
        <w:instrText xml:space="preserve"> SEQ </w:instrText>
      </w:r>
      <w:r>
        <w:rPr>
          <w:rFonts w:ascii="Arial Narrow" w:hAnsi="Arial Narrow" w:eastAsia="仿宋_GB2312" w:cs="Arial"/>
          <w:b/>
          <w:bCs/>
          <w:sz w:val="22"/>
        </w:rPr>
        <w:instrText xml:space="preserve">图表</w:instrText>
      </w:r>
      <w:r>
        <w:rPr>
          <w:rFonts w:ascii="Arial Narrow" w:hAnsi="Arial Narrow" w:eastAsia="仿宋_GB2312" w:cs="Arial"/>
          <w:b/>
          <w:bCs/>
          <w:sz w:val="22"/>
        </w:rPr>
        <w:instrText xml:space="preserve"> \* ARABIC </w:instrText>
      </w:r>
      <w:r>
        <w:rPr>
          <w:rFonts w:ascii="Arial Narrow" w:hAnsi="Arial Narrow" w:eastAsia="仿宋_GB2312" w:cs="Arial"/>
          <w:b/>
          <w:bCs/>
          <w:sz w:val="22"/>
        </w:rPr>
        <w:fldChar w:fldCharType="separate"/>
      </w:r>
      <w:r>
        <w:rPr>
          <w:rFonts w:ascii="Arial Narrow" w:hAnsi="Arial Narrow" w:eastAsia="仿宋_GB2312" w:cs="Arial"/>
          <w:b/>
          <w:bCs/>
          <w:sz w:val="22"/>
        </w:rPr>
        <w:fldChar w:fldCharType="end"/>
      </w:r>
      <w:r>
        <w:rPr>
          <w:rFonts w:ascii="Arial Narrow" w:hAnsi="Arial Narrow" w:eastAsia="仿宋_GB2312" w:cs="Arial"/>
          <w:b/>
          <w:sz w:val="22"/>
        </w:rPr>
      </w:r>
      <w:bookmarkEnd w:id="205"/>
      <w:r/>
      <w:r>
        <w:rPr>
          <w:rFonts w:ascii="Arial Narrow" w:hAnsi="Arial Narrow" w:eastAsia="仿宋_GB2312" w:cs="Arial"/>
          <w:b/>
          <w:sz w:val="22"/>
        </w:rPr>
      </w:r>
    </w:p>
    <w:p>
      <w:pPr>
        <w:widowControl w:val="false"/>
        <w:pBdr/>
        <w:spacing/>
        <w:ind/>
        <w:jc w:val="center"/>
        <w:rPr>
          <w:rFonts w:ascii="Arial Narrow" w:hAnsi="Arial Narrow" w:eastAsia="仿宋_GB2312" w:cs="Arial"/>
          <w:i/>
          <w:iCs/>
          <w:sz w:val="16"/>
          <w:szCs w:val="16"/>
        </w:rPr>
      </w:pPr>
      <w:r>
        <w:rPr>
          <w:rFonts w:ascii="Arial Narrow" w:hAnsi="Arial Narrow" w:eastAsia="仿宋_GB2312" w:cs="Arial"/>
          <w:i/>
          <w:iCs/>
          <w:sz w:val="16"/>
          <w:szCs w:val="16"/>
        </w:rPr>
      </w:r>
      <w:r>
        <w:rPr>
          <w:rFonts w:ascii="Arial Narrow" w:hAnsi="Arial Narrow" w:eastAsia="仿宋_GB2312" w:cs="Arial"/>
          <w:i/>
          <w:iCs/>
          <w:sz w:val="16"/>
          <w:szCs w:val="16"/>
        </w:rPr>
      </w:r>
    </w:p>
    <w:p>
      <w:pPr>
        <w:widowControl w:val="false"/>
        <w:pBdr/>
        <w:spacing/>
        <w:ind/>
        <w:jc w:val="center"/>
        <w:rPr>
          <w:rFonts w:ascii="Arial Narrow" w:hAnsi="Arial Narrow" w:eastAsia="仿宋_GB2312" w:cs="Arial"/>
          <w:i/>
          <w:iCs/>
          <w:sz w:val="16"/>
          <w:szCs w:val="16"/>
        </w:rPr>
      </w:pPr>
      <w:r>
        <w:rPr>
          <w:rFonts w:ascii="Arial Narrow" w:hAnsi="Arial Narrow" w:eastAsia="仿宋_GB2312" w:cs="Arial"/>
          <w:i/>
          <w:iCs/>
          <w:sz w:val="16"/>
          <w:szCs w:val="16"/>
        </w:rPr>
        <mc:AlternateContent>
          <mc:Choice Requires="wpg">
            <w:drawing>
              <wp:inline xmlns:wp="http://schemas.openxmlformats.org/drawingml/2006/wordprocessingDrawing" distT="0" distB="0" distL="0" distR="0">
                <wp:extent cx="3767455" cy="3482340"/>
                <wp:effectExtent l="0" t="0" r="12065" b="7620"/>
                <wp:docPr id="2" name="图片 16" descr="微信截图_20240614153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微信截图_20240614153143"/>
                        <pic:cNvPicPr>
                          <a:picLocks noChangeAspect="1"/>
                        </pic:cNvPicPr>
                        <pic:nvPr/>
                      </pic:nvPicPr>
                      <pic:blipFill>
                        <a:blip r:embed="rId28"/>
                        <a:stretch/>
                      </pic:blipFill>
                      <pic:spPr bwMode="auto">
                        <a:xfrm>
                          <a:off x="0" y="0"/>
                          <a:ext cx="3767455" cy="34823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96.65pt;height:274.20pt;mso-wrap-distance-left:0.00pt;mso-wrap-distance-top:0.00pt;mso-wrap-distance-right:0.00pt;mso-wrap-distance-bottom:0.00pt;z-index:1;" stroked="false">
                <v:imagedata r:id="rId28" o:title=""/>
                <o:lock v:ext="edit" rotation="t"/>
              </v:shape>
            </w:pict>
          </mc:Fallback>
        </mc:AlternateContent>
      </w:r>
      <w:r>
        <w:rPr>
          <w:rFonts w:ascii="Arial Narrow" w:hAnsi="Arial Narrow" w:eastAsia="仿宋_GB2312" w:cs="Arial"/>
          <w:i/>
          <w:iCs/>
          <w:sz w:val="16"/>
          <w:szCs w:val="16"/>
        </w:rPr>
      </w:r>
    </w:p>
    <w:p>
      <w:pPr>
        <w:widowControl w:val="false"/>
        <w:pBdr/>
        <w:spacing/>
        <w:ind/>
        <w:rPr>
          <w:rFonts w:ascii="Arial Narrow" w:hAnsi="Arial Narrow" w:eastAsia="仿宋_GB2312" w:cs="Arial"/>
          <w:i/>
          <w:iCs/>
          <w:sz w:val="16"/>
          <w:szCs w:val="16"/>
        </w:rPr>
      </w:pPr>
      <w:r>
        <w:rPr>
          <w:rFonts w:ascii="Arial Narrow" w:hAnsi="Arial Narrow" w:eastAsia="仿宋_GB2312" w:cs="Arial"/>
          <w:i/>
          <w:iCs/>
          <w:sz w:val="16"/>
          <w:szCs w:val="16"/>
        </w:rPr>
        <w:t xml:space="preserve">信息来源：由松莉科技提供</w:t>
      </w:r>
      <w:r>
        <w:rPr>
          <w:rFonts w:ascii="Arial Narrow" w:hAnsi="Arial Narrow" w:eastAsia="仿宋_GB2312" w:cs="Arial"/>
          <w:i/>
          <w:iCs/>
          <w:sz w:val="16"/>
          <w:szCs w:val="16"/>
        </w:rPr>
      </w:r>
    </w:p>
    <w:p>
      <w:pPr>
        <w:pBdr/>
        <w:spacing w:after="180" w:before="180" w:line="360" w:lineRule="auto"/>
        <w:ind w:firstLine="440"/>
        <w:jc w:val="both"/>
        <w:rPr>
          <w:rFonts w:ascii="Arial Narrow" w:hAnsi="Arial Narrow" w:eastAsia="仿宋_GB2312" w:cs="Arial"/>
          <w:sz w:val="22"/>
          <w:szCs w:val="22"/>
        </w:rPr>
      </w:pPr>
      <w:r/>
      <w:bookmarkStart w:id="206" w:name="_Toc48317217"/>
      <w:r/>
      <w:bookmarkStart w:id="207" w:name="_Toc48582936"/>
      <w:r/>
      <w:bookmarkStart w:id="208" w:name="_Toc48317214"/>
      <w:r/>
      <w:bookmarkStart w:id="209" w:name="_Toc48582522"/>
      <w:r/>
      <w:bookmarkStart w:id="210" w:name="_Toc48317399"/>
      <w:r/>
      <w:bookmarkStart w:id="211" w:name="_Toc48399537"/>
      <w:r/>
      <w:bookmarkStart w:id="212" w:name="_Toc48317216"/>
      <w:r/>
      <w:bookmarkStart w:id="213" w:name="_Toc48317402"/>
      <w:r/>
      <w:bookmarkStart w:id="214" w:name="_Toc48582520"/>
      <w:r/>
      <w:bookmarkStart w:id="215" w:name="_Toc48582933"/>
      <w:r/>
      <w:bookmarkStart w:id="216" w:name="_Toc48582523"/>
      <w:r/>
      <w:bookmarkStart w:id="217" w:name="_Toc48317106"/>
      <w:r/>
      <w:bookmarkStart w:id="218" w:name="_Toc48399539"/>
      <w:r/>
      <w:bookmarkStart w:id="219" w:name="_Toc48582935"/>
      <w:r/>
      <w:bookmarkStart w:id="220" w:name="_Toc48317109"/>
      <w:r/>
      <w:bookmarkStart w:id="221" w:name="_Toc48317401"/>
      <w:r/>
      <w:bookmarkStart w:id="222" w:name="_Toc48399540"/>
      <w:r/>
      <w:bookmarkStart w:id="223" w:name="_Toc48317108"/>
      <w:r/>
      <w:bookmarkStart w:id="224" w:name="_Toc48317110"/>
      <w:r/>
      <w:bookmarkStart w:id="225" w:name="_Hlk50647845"/>
      <w:r/>
      <w:bookmarkStart w:id="226" w:name="_Toc48317403"/>
      <w:r/>
      <w:bookmarkEnd w:id="206"/>
      <w:r/>
      <w:bookmarkEnd w:id="207"/>
      <w:r/>
      <w:bookmarkEnd w:id="208"/>
      <w:r/>
      <w:bookmarkEnd w:id="209"/>
      <w:r/>
      <w:bookmarkEnd w:id="210"/>
      <w:r/>
      <w:bookmarkEnd w:id="211"/>
      <w:r/>
      <w:bookmarkEnd w:id="212"/>
      <w:r/>
      <w:bookmarkEnd w:id="213"/>
      <w:r/>
      <w:bookmarkEnd w:id="214"/>
      <w:r/>
      <w:bookmarkEnd w:id="215"/>
      <w:r/>
      <w:bookmarkEnd w:id="216"/>
      <w:r/>
      <w:bookmarkEnd w:id="217"/>
      <w:r/>
      <w:bookmarkEnd w:id="218"/>
      <w:r/>
      <w:bookmarkEnd w:id="219"/>
      <w:r/>
      <w:bookmarkEnd w:id="220"/>
      <w:r/>
      <w:bookmarkEnd w:id="221"/>
      <w:r/>
      <w:bookmarkEnd w:id="222"/>
      <w:r/>
      <w:bookmarkEnd w:id="223"/>
      <w:r>
        <w:rPr>
          <w:rFonts w:ascii="Arial Narrow" w:hAnsi="Arial Narrow" w:eastAsia="仿宋_GB2312" w:cs="Arial"/>
          <w:sz w:val="22"/>
          <w:szCs w:val="22"/>
        </w:rPr>
        <w:t xml:space="preserve">截至2023年12月31日，松莉科技的主要业务部门、职责范围显示如下：</w:t>
      </w:r>
      <w:r>
        <w:rPr>
          <w:rFonts w:ascii="Arial Narrow" w:hAnsi="Arial Narrow" w:eastAsia="仿宋_GB2312" w:cs="Arial"/>
          <w:sz w:val="22"/>
          <w:szCs w:val="22"/>
        </w:rPr>
      </w:r>
      <w:r>
        <w:rPr>
          <w:rFonts w:ascii="Arial Narrow" w:hAnsi="Arial Narrow" w:eastAsia="仿宋_GB2312" w:cs="Arial"/>
          <w:sz w:val="22"/>
          <w:szCs w:val="22"/>
        </w:rPr>
      </w:r>
    </w:p>
    <w:p>
      <w:pPr>
        <w:pStyle w:val="1338"/>
        <w:pBdr/>
        <w:spacing/>
        <w:ind w:hanging="420" w:left="420"/>
        <w:jc w:val="center"/>
        <w:rPr>
          <w:rFonts w:ascii="Arial Narrow" w:hAnsi="Arial Narrow" w:eastAsia="仿宋_GB2312" w:cs="Arial"/>
          <w:sz w:val="22"/>
        </w:rPr>
      </w:pPr>
      <w:r/>
      <w:bookmarkStart w:id="227" w:name="_Toc12286290"/>
      <w:r>
        <w:rPr>
          <w:rFonts w:ascii="Arial Narrow" w:hAnsi="Arial Narrow" w:eastAsia="仿宋_GB2312" w:cs="Arial"/>
          <w:sz w:val="22"/>
        </w:rPr>
        <w:t xml:space="preserve">图表 4：松莉科技的部门结构</w:t>
      </w:r>
      <w:r>
        <w:rPr>
          <w:rFonts w:ascii="Arial Narrow" w:hAnsi="Arial Narrow" w:eastAsia="仿宋_GB2312" w:cs="Arial"/>
          <w:sz w:val="22"/>
        </w:rPr>
        <w:fldChar w:fldCharType="begin"/>
      </w:r>
      <w:r>
        <w:rPr>
          <w:rFonts w:ascii="Arial Narrow" w:hAnsi="Arial Narrow" w:eastAsia="仿宋_GB2312" w:cs="Arial"/>
          <w:sz w:val="22"/>
        </w:rPr>
        <w:instrText xml:space="preserve"> SEQ </w:instrText>
      </w:r>
      <w:r>
        <w:rPr>
          <w:rFonts w:ascii="Arial Narrow" w:hAnsi="Arial Narrow" w:eastAsia="仿宋_GB2312" w:cs="Arial"/>
          <w:sz w:val="22"/>
        </w:rPr>
        <w:instrText xml:space="preserve">图表</w:instrText>
      </w:r>
      <w:r>
        <w:rPr>
          <w:rFonts w:ascii="Arial Narrow" w:hAnsi="Arial Narrow" w:eastAsia="仿宋_GB2312" w:cs="Arial"/>
          <w:sz w:val="22"/>
        </w:rPr>
        <w:instrText xml:space="preserve"> \* ARABIC </w:instrText>
      </w:r>
      <w:r>
        <w:rPr>
          <w:rFonts w:ascii="Arial Narrow" w:hAnsi="Arial Narrow" w:eastAsia="仿宋_GB2312" w:cs="Arial"/>
          <w:sz w:val="22"/>
        </w:rPr>
        <w:fldChar w:fldCharType="separate"/>
      </w:r>
      <w:r>
        <w:rPr>
          <w:rFonts w:ascii="Arial Narrow" w:hAnsi="Arial Narrow" w:eastAsia="仿宋_GB2312" w:cs="Arial"/>
          <w:sz w:val="22"/>
        </w:rPr>
        <w:fldChar w:fldCharType="end"/>
      </w:r>
      <w:r>
        <w:rPr>
          <w:rFonts w:ascii="Arial Narrow" w:hAnsi="Arial Narrow" w:eastAsia="仿宋_GB2312" w:cs="Arial"/>
          <w:sz w:val="22"/>
        </w:rPr>
      </w:r>
      <w:bookmarkEnd w:id="227"/>
      <w:r/>
      <w:r>
        <w:rPr>
          <w:rFonts w:ascii="Arial Narrow" w:hAnsi="Arial Narrow" w:eastAsia="仿宋_GB2312" w:cs="Arial"/>
          <w:sz w:val="22"/>
        </w:rPr>
      </w:r>
    </w:p>
    <w:tbl>
      <w:tblPr>
        <w:tblStyle w:val="1496"/>
        <w:tblW w:w="9067"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A0" w:firstRow="1" w:lastRow="0" w:firstColumn="1" w:lastColumn="0" w:noHBand="0" w:noVBand="1"/>
      </w:tblPr>
      <w:tblGrid>
        <w:gridCol w:w="1501"/>
        <w:gridCol w:w="930"/>
        <w:gridCol w:w="3590"/>
        <w:gridCol w:w="1390"/>
        <w:gridCol w:w="1656"/>
      </w:tblGrid>
      <w:tr>
        <w:trPr>
          <w:trHeight w:val="602"/>
          <w:tblHeader/>
        </w:trPr>
        <w:tc>
          <w:tcPr>
            <w:shd w:val="clear" w:color="auto" w:fill="002060"/>
            <w:tcBorders>
              <w:top w:val="single" w:color="auto" w:sz="4" w:space="0"/>
              <w:left w:val="single" w:color="auto" w:sz="4" w:space="0"/>
              <w:bottom w:val="single" w:color="000000" w:themeColor="text1" w:sz="4" w:space="0"/>
            </w:tcBorders>
            <w:tcW w:w="1501" w:type="dxa"/>
            <w:vAlign w:val="center"/>
            <w:textDirection w:val="lrTb"/>
            <w:noWrap w:val="false"/>
          </w:tcPr>
          <w:p>
            <w:pPr>
              <w:pBdr/>
              <w:spacing/>
              <w:ind/>
              <w:jc w:val="center"/>
              <w:rPr>
                <w:rFonts w:ascii="Arial Narrow" w:hAnsi="Arial Narrow" w:eastAsia="仿宋_GB2312" w:cs="Arial"/>
                <w:sz w:val="22"/>
                <w:szCs w:val="22"/>
              </w:rPr>
            </w:pPr>
            <w:r>
              <w:rPr>
                <w:rFonts w:ascii="Arial Narrow" w:hAnsi="Arial Narrow" w:eastAsia="仿宋_GB2312" w:cs="Arial"/>
                <w:bCs w:val="0"/>
                <w:sz w:val="22"/>
                <w:szCs w:val="22"/>
              </w:rPr>
              <w:t xml:space="preserve">主要部门</w:t>
            </w:r>
            <w:r>
              <w:rPr>
                <w:rFonts w:ascii="Arial Narrow" w:hAnsi="Arial Narrow" w:eastAsia="仿宋_GB2312" w:cs="Arial"/>
                <w:sz w:val="22"/>
                <w:szCs w:val="22"/>
              </w:rPr>
            </w:r>
          </w:p>
        </w:tc>
        <w:tc>
          <w:tcPr>
            <w:shd w:val="clear" w:color="auto" w:fill="002060"/>
            <w:tcBorders>
              <w:top w:val="single" w:color="auto" w:sz="4" w:space="0"/>
              <w:bottom w:val="single" w:color="000000" w:themeColor="text1" w:sz="4" w:space="0"/>
            </w:tcBorders>
            <w:tcW w:w="930" w:type="dxa"/>
            <w:vAlign w:val="center"/>
            <w:textDirection w:val="lrTb"/>
            <w:noWrap w:val="false"/>
          </w:tcPr>
          <w:p>
            <w:pPr>
              <w:pBdr/>
              <w:spacing/>
              <w:ind/>
              <w:jc w:val="center"/>
              <w:rPr>
                <w:rFonts w:ascii="Arial Narrow" w:hAnsi="Arial Narrow" w:eastAsia="仿宋_GB2312" w:cs="Arial"/>
                <w:bCs w:val="0"/>
                <w:sz w:val="22"/>
                <w:szCs w:val="22"/>
              </w:rPr>
            </w:pPr>
            <w:r>
              <w:rPr>
                <w:rFonts w:ascii="Arial Narrow" w:hAnsi="Arial Narrow" w:eastAsia="仿宋_GB2312" w:cs="Arial"/>
                <w:bCs w:val="0"/>
                <w:sz w:val="22"/>
                <w:szCs w:val="22"/>
              </w:rPr>
              <w:t xml:space="preserve">人数</w:t>
            </w:r>
            <w:r>
              <w:rPr>
                <w:rFonts w:ascii="Arial Narrow" w:hAnsi="Arial Narrow" w:eastAsia="仿宋_GB2312" w:cs="Arial"/>
                <w:bCs w:val="0"/>
                <w:sz w:val="22"/>
                <w:szCs w:val="22"/>
              </w:rPr>
            </w:r>
          </w:p>
        </w:tc>
        <w:tc>
          <w:tcPr>
            <w:shd w:val="clear" w:color="auto" w:fill="002060"/>
            <w:tcBorders>
              <w:top w:val="single" w:color="auto" w:sz="4" w:space="0"/>
              <w:bottom w:val="single" w:color="000000" w:themeColor="text1" w:sz="4" w:space="0"/>
            </w:tcBorders>
            <w:tcW w:w="3590" w:type="dxa"/>
            <w:vAlign w:val="center"/>
            <w:textDirection w:val="lrTb"/>
            <w:noWrap w:val="false"/>
          </w:tcPr>
          <w:p>
            <w:pPr>
              <w:pBdr/>
              <w:spacing/>
              <w:ind/>
              <w:jc w:val="center"/>
              <w:rPr>
                <w:rFonts w:ascii="Arial Narrow" w:hAnsi="Arial Narrow" w:eastAsia="仿宋_GB2312" w:cs="Arial"/>
                <w:bCs w:val="0"/>
                <w:sz w:val="22"/>
                <w:szCs w:val="22"/>
              </w:rPr>
            </w:pPr>
            <w:r>
              <w:rPr>
                <w:rFonts w:ascii="Arial Narrow" w:hAnsi="Arial Narrow" w:eastAsia="仿宋_GB2312" w:cs="Arial"/>
                <w:bCs w:val="0"/>
                <w:sz w:val="22"/>
                <w:szCs w:val="22"/>
              </w:rPr>
              <w:t xml:space="preserve">主要职责范围</w:t>
            </w:r>
            <w:r>
              <w:rPr>
                <w:rFonts w:ascii="Arial Narrow" w:hAnsi="Arial Narrow" w:eastAsia="仿宋_GB2312" w:cs="Arial"/>
                <w:bCs w:val="0"/>
                <w:sz w:val="22"/>
                <w:szCs w:val="22"/>
              </w:rPr>
            </w:r>
          </w:p>
        </w:tc>
        <w:tc>
          <w:tcPr>
            <w:shd w:val="clear" w:color="auto" w:fill="002060"/>
            <w:tcBorders>
              <w:top w:val="single" w:color="auto" w:sz="4" w:space="0"/>
              <w:bottom w:val="single" w:color="000000" w:themeColor="text1" w:sz="4" w:space="0"/>
            </w:tcBorders>
            <w:tcW w:w="1390" w:type="dxa"/>
            <w:vAlign w:val="center"/>
            <w:textDirection w:val="lrTb"/>
            <w:noWrap w:val="false"/>
          </w:tcPr>
          <w:p>
            <w:pPr>
              <w:pBdr/>
              <w:spacing/>
              <w:ind/>
              <w:jc w:val="center"/>
              <w:rPr>
                <w:rFonts w:ascii="Arial Narrow" w:hAnsi="Arial Narrow" w:eastAsia="仿宋_GB2312" w:cs="Arial"/>
                <w:bCs w:val="0"/>
                <w:sz w:val="22"/>
                <w:szCs w:val="22"/>
              </w:rPr>
            </w:pPr>
            <w:r>
              <w:rPr>
                <w:rFonts w:ascii="Arial Narrow" w:hAnsi="Arial Narrow" w:eastAsia="仿宋_GB2312" w:cs="Arial"/>
                <w:bCs w:val="0"/>
                <w:sz w:val="22"/>
                <w:szCs w:val="22"/>
              </w:rPr>
              <w:t xml:space="preserve">部门负责人汇报对象</w:t>
            </w:r>
            <w:r>
              <w:rPr>
                <w:rFonts w:ascii="Arial Narrow" w:hAnsi="Arial Narrow" w:eastAsia="仿宋_GB2312" w:cs="Arial"/>
                <w:bCs w:val="0"/>
                <w:sz w:val="22"/>
                <w:szCs w:val="22"/>
              </w:rPr>
            </w:r>
          </w:p>
        </w:tc>
        <w:tc>
          <w:tcPr>
            <w:shd w:val="clear" w:color="auto" w:fill="002060"/>
            <w:tcBorders>
              <w:top w:val="single" w:color="auto" w:sz="4" w:space="0"/>
              <w:bottom w:val="single" w:color="000000" w:themeColor="text1" w:sz="4" w:space="0"/>
              <w:right w:val="single" w:color="auto" w:sz="4" w:space="0"/>
            </w:tcBorders>
            <w:tcW w:w="1656" w:type="dxa"/>
            <w:vAlign w:val="center"/>
            <w:textDirection w:val="lrTb"/>
            <w:noWrap w:val="false"/>
          </w:tcPr>
          <w:p>
            <w:pPr>
              <w:pBdr/>
              <w:spacing/>
              <w:ind/>
              <w:jc w:val="center"/>
              <w:rPr>
                <w:rFonts w:ascii="Arial Narrow" w:hAnsi="Arial Narrow" w:eastAsia="仿宋_GB2312" w:cs="Arial"/>
                <w:bCs w:val="0"/>
                <w:sz w:val="22"/>
                <w:szCs w:val="22"/>
              </w:rPr>
            </w:pPr>
            <w:r>
              <w:rPr>
                <w:rFonts w:ascii="Arial Narrow" w:hAnsi="Arial Narrow" w:eastAsia="仿宋_GB2312" w:cs="Arial"/>
                <w:bCs w:val="0"/>
                <w:sz w:val="22"/>
                <w:szCs w:val="22"/>
              </w:rPr>
              <w:t xml:space="preserve">汇报对象主要办公地（注*）</w:t>
            </w:r>
            <w:r>
              <w:rPr>
                <w:rFonts w:hint="eastAsia" w:ascii="Arial Narrow" w:hAnsi="Arial Narrow" w:eastAsia="仿宋_GB2312" w:cs="Arial"/>
                <w:bCs w:val="0"/>
                <w:sz w:val="22"/>
                <w:szCs w:val="22"/>
              </w:rPr>
            </w:r>
            <w:r>
              <w:rPr>
                <w:rFonts w:ascii="Arial Narrow" w:hAnsi="Arial Narrow" w:eastAsia="仿宋_GB2312" w:cs="Arial"/>
                <w:bCs w:val="0"/>
                <w:sz w:val="22"/>
                <w:szCs w:val="22"/>
              </w:rPr>
            </w:r>
          </w:p>
        </w:tc>
      </w:tr>
      <w:tr>
        <w:trPr>
          <w:trHeight w:val="461"/>
        </w:trPr>
        <w:tc>
          <w:tcPr>
            <w:shd w:val="clear" w:color="auto" w:fill="auto"/>
            <w:tcBorders>
              <w:left w:val="single" w:color="auto" w:sz="4" w:space="0"/>
            </w:tcBorders>
            <w:tcW w:w="1501" w:type="dxa"/>
            <w:vAlign w:val="center"/>
            <w:textDirection w:val="lrTb"/>
            <w:noWrap w:val="false"/>
          </w:tcPr>
          <w:p>
            <w:pPr>
              <w:pBdr/>
              <w:spacing/>
              <w:ind/>
              <w:jc w:val="center"/>
              <w:rPr>
                <w:rFonts w:ascii="Arial Narrow" w:hAnsi="Arial Narrow" w:eastAsia="仿宋_GB2312" w:cs="Arial"/>
                <w:b w:val="0"/>
                <w:bCs w:val="0"/>
                <w:sz w:val="22"/>
                <w:szCs w:val="22"/>
              </w:rPr>
            </w:pPr>
            <w:r>
              <w:rPr>
                <w:rFonts w:ascii="Arial Narrow" w:hAnsi="Arial Narrow" w:eastAsia="仿宋_GB2312" w:cs="Arial"/>
                <w:sz w:val="22"/>
                <w:szCs w:val="22"/>
              </w:rPr>
              <w:t xml:space="preserve">生产部</w:t>
            </w:r>
            <w:r>
              <w:rPr>
                <w:rFonts w:ascii="Arial Narrow" w:hAnsi="Arial Narrow" w:eastAsia="仿宋_GB2312" w:cs="Arial"/>
                <w:b w:val="0"/>
                <w:bCs w:val="0"/>
                <w:sz w:val="22"/>
                <w:szCs w:val="22"/>
              </w:rPr>
            </w:r>
          </w:p>
        </w:tc>
        <w:tc>
          <w:tcPr>
            <w:shd w:val="clear" w:color="auto" w:fill="auto"/>
            <w:tcBorders/>
            <w:tcW w:w="930" w:type="dxa"/>
            <w:vAlign w:val="center"/>
            <w:textDirection w:val="lrTb"/>
            <w:noWrap w:val="false"/>
          </w:tcPr>
          <w:p>
            <w:pPr>
              <w:pBdr/>
              <w:spacing/>
              <w:ind/>
              <w:jc w:val="center"/>
              <w:rPr>
                <w:rFonts w:ascii="Arial Narrow" w:hAnsi="Arial Narrow" w:eastAsia="仿宋_GB2312" w:cs="Arial"/>
                <w:sz w:val="22"/>
                <w:szCs w:val="22"/>
              </w:rPr>
            </w:pPr>
            <w:r>
              <w:rPr>
                <w:rFonts w:hint="eastAsia" w:ascii="Arial Narrow" w:hAnsi="Arial Narrow" w:eastAsia="仿宋_GB2312" w:cs="Arial"/>
                <w:sz w:val="22"/>
                <w:szCs w:val="22"/>
              </w:rPr>
              <w:t xml:space="preserve">352</w:t>
            </w:r>
            <w:r>
              <w:rPr>
                <w:rFonts w:ascii="Arial Narrow" w:hAnsi="Arial Narrow" w:eastAsia="仿宋_GB2312" w:cs="Arial"/>
                <w:sz w:val="22"/>
                <w:szCs w:val="22"/>
              </w:rPr>
            </w:r>
          </w:p>
        </w:tc>
        <w:tc>
          <w:tcPr>
            <w:shd w:val="clear" w:color="auto" w:fill="auto"/>
            <w:tcBorders/>
            <w:tcW w:w="3590" w:type="dxa"/>
            <w:vAlign w:val="center"/>
            <w:textDirection w:val="lrTb"/>
            <w:noWrap w:val="false"/>
          </w:tcPr>
          <w:p>
            <w:pPr>
              <w:pBdr/>
              <w:spacing/>
              <w:ind/>
              <w:jc w:val="both"/>
              <w:rPr>
                <w:rFonts w:ascii="Arial Narrow" w:hAnsi="Arial Narrow" w:eastAsia="仿宋_GB2312" w:cs="Arial"/>
                <w:sz w:val="22"/>
                <w:szCs w:val="22"/>
              </w:rPr>
            </w:pPr>
            <w:r>
              <w:rPr>
                <w:rFonts w:hint="eastAsia" w:ascii="Arial Narrow" w:hAnsi="Arial Narrow" w:eastAsia="仿宋_GB2312" w:cs="Arial"/>
                <w:sz w:val="22"/>
                <w:szCs w:val="22"/>
              </w:rPr>
              <w:t xml:space="preserve">管理车间人员物料机器等资源，根据计划按质按量及时完成产品制造</w:t>
            </w:r>
            <w:r>
              <w:rPr>
                <w:rFonts w:ascii="Arial Narrow" w:hAnsi="Arial Narrow" w:eastAsia="仿宋_GB2312" w:cs="Arial"/>
                <w:sz w:val="22"/>
                <w:szCs w:val="22"/>
              </w:rPr>
            </w:r>
          </w:p>
        </w:tc>
        <w:tc>
          <w:tcPr>
            <w:shd w:val="clear" w:color="auto" w:fill="auto"/>
            <w:tcBorders/>
            <w:tcW w:w="1390" w:type="dxa"/>
            <w:vAlign w:val="center"/>
            <w:textDirection w:val="lrTb"/>
            <w:noWrap w:val="false"/>
          </w:tcPr>
          <w:p>
            <w:pPr>
              <w:pBdr/>
              <w:spacing/>
              <w:ind/>
              <w:jc w:val="center"/>
              <w:rPr>
                <w:rFonts w:ascii="Arial Narrow" w:hAnsi="Arial Narrow" w:eastAsia="仿宋_GB2312" w:cs="Arial"/>
                <w:sz w:val="22"/>
                <w:szCs w:val="22"/>
              </w:rPr>
            </w:pPr>
            <w:r>
              <w:rPr>
                <w:rFonts w:hint="eastAsia" w:ascii="Arial Narrow" w:hAnsi="Arial Narrow" w:eastAsia="仿宋_GB2312" w:cs="Arial"/>
                <w:sz w:val="22"/>
                <w:szCs w:val="22"/>
              </w:rPr>
              <w:t xml:space="preserve">总经理</w:t>
            </w:r>
            <w:r>
              <w:rPr>
                <w:rFonts w:ascii="Arial Narrow" w:hAnsi="Arial Narrow" w:eastAsia="仿宋_GB2312" w:cs="Arial"/>
                <w:sz w:val="22"/>
                <w:szCs w:val="22"/>
              </w:rPr>
            </w:r>
          </w:p>
        </w:tc>
        <w:tc>
          <w:tcPr>
            <w:shd w:val="clear" w:color="auto" w:fill="auto"/>
            <w:tcBorders>
              <w:right w:val="single" w:color="auto" w:sz="4" w:space="0"/>
            </w:tcBorders>
            <w:tcW w:w="1656" w:type="dxa"/>
            <w:vAlign w:val="center"/>
            <w:textDirection w:val="lrTb"/>
            <w:noWrap w:val="false"/>
          </w:tcPr>
          <w:p>
            <w:pPr>
              <w:pBdr/>
              <w:spacing/>
              <w:ind/>
              <w:jc w:val="center"/>
              <w:rPr>
                <w:rFonts w:ascii="Arial Narrow" w:hAnsi="Arial Narrow" w:eastAsia="仿宋_GB2312" w:cs="Arial"/>
                <w:sz w:val="22"/>
                <w:szCs w:val="22"/>
              </w:rPr>
            </w:pPr>
            <w:r>
              <w:rPr>
                <w:rFonts w:hint="eastAsia" w:ascii="Arial Narrow" w:hAnsi="Arial Narrow" w:eastAsia="仿宋_GB2312" w:cs="Arial"/>
                <w:sz w:val="22"/>
                <w:szCs w:val="22"/>
              </w:rPr>
              <w:t xml:space="preserve">中国/美国</w:t>
            </w:r>
            <w:r>
              <w:rPr>
                <w:rFonts w:ascii="Arial Narrow" w:hAnsi="Arial Narrow" w:eastAsia="仿宋_GB2312" w:cs="Arial"/>
                <w:sz w:val="22"/>
                <w:szCs w:val="22"/>
              </w:rPr>
            </w:r>
            <w:r>
              <w:rPr>
                <w:rFonts w:ascii="Arial Narrow" w:hAnsi="Arial Narrow" w:eastAsia="仿宋_GB2312" w:cs="Arial"/>
                <w:sz w:val="22"/>
                <w:szCs w:val="22"/>
              </w:rPr>
            </w:r>
          </w:p>
        </w:tc>
      </w:tr>
      <w:tr>
        <w:trPr>
          <w:trHeight w:val="461"/>
        </w:trPr>
        <w:tc>
          <w:tcPr>
            <w:shd w:val="clear" w:color="auto" w:fill="auto"/>
            <w:tcBorders>
              <w:left w:val="single" w:color="auto" w:sz="4" w:space="0"/>
            </w:tcBorders>
            <w:tcW w:w="1501" w:type="dxa"/>
            <w:vAlign w:val="center"/>
            <w:textDirection w:val="lrTb"/>
            <w:noWrap w:val="false"/>
          </w:tcPr>
          <w:p>
            <w:pPr>
              <w:pBdr/>
              <w:spacing/>
              <w:ind/>
              <w:jc w:val="center"/>
              <w:rPr>
                <w:rFonts w:ascii="Arial Narrow" w:hAnsi="Arial Narrow" w:eastAsia="仿宋_GB2312" w:cs="Arial"/>
                <w:b w:val="0"/>
                <w:bCs w:val="0"/>
                <w:sz w:val="22"/>
                <w:szCs w:val="22"/>
              </w:rPr>
            </w:pPr>
            <w:r>
              <w:rPr>
                <w:rFonts w:hint="eastAsia" w:ascii="Arial Narrow" w:hAnsi="Arial Narrow" w:eastAsia="仿宋_GB2312" w:cs="Arial"/>
                <w:sz w:val="22"/>
                <w:szCs w:val="22"/>
              </w:rPr>
              <w:t xml:space="preserve">计划部</w:t>
            </w:r>
            <w:r>
              <w:rPr>
                <w:rFonts w:ascii="Arial Narrow" w:hAnsi="Arial Narrow" w:eastAsia="仿宋_GB2312" w:cs="Arial"/>
                <w:b w:val="0"/>
                <w:bCs w:val="0"/>
                <w:sz w:val="22"/>
                <w:szCs w:val="22"/>
              </w:rPr>
            </w:r>
          </w:p>
        </w:tc>
        <w:tc>
          <w:tcPr>
            <w:shd w:val="clear" w:color="auto" w:fill="auto"/>
            <w:tcBorders/>
            <w:tcW w:w="930" w:type="dxa"/>
            <w:vAlign w:val="center"/>
            <w:textDirection w:val="lrTb"/>
            <w:noWrap w:val="false"/>
          </w:tcPr>
          <w:p>
            <w:pPr>
              <w:pBdr/>
              <w:spacing/>
              <w:ind/>
              <w:jc w:val="center"/>
              <w:rPr>
                <w:rFonts w:ascii="Arial Narrow" w:hAnsi="Arial Narrow" w:eastAsia="仿宋_GB2312" w:cs="Arial"/>
                <w:sz w:val="22"/>
                <w:szCs w:val="22"/>
              </w:rPr>
            </w:pPr>
            <w:r>
              <w:rPr>
                <w:rFonts w:hint="eastAsia" w:ascii="Arial Narrow" w:hAnsi="Arial Narrow" w:eastAsia="仿宋_GB2312" w:cs="Arial"/>
                <w:sz w:val="22"/>
                <w:szCs w:val="22"/>
              </w:rPr>
              <w:t xml:space="preserve">7</w:t>
            </w:r>
            <w:r>
              <w:rPr>
                <w:rFonts w:ascii="Arial Narrow" w:hAnsi="Arial Narrow" w:eastAsia="仿宋_GB2312" w:cs="Arial"/>
                <w:sz w:val="22"/>
                <w:szCs w:val="22"/>
              </w:rPr>
            </w:r>
          </w:p>
        </w:tc>
        <w:tc>
          <w:tcPr>
            <w:shd w:val="clear" w:color="auto" w:fill="auto"/>
            <w:tcBorders/>
            <w:tcW w:w="3590" w:type="dxa"/>
            <w:vAlign w:val="center"/>
            <w:textDirection w:val="lrTb"/>
            <w:noWrap w:val="false"/>
          </w:tcPr>
          <w:p>
            <w:pPr>
              <w:pBdr/>
              <w:spacing/>
              <w:ind/>
              <w:jc w:val="both"/>
              <w:rPr>
                <w:rFonts w:ascii="Arial Narrow" w:hAnsi="Arial Narrow" w:eastAsia="仿宋_GB2312" w:cs="Arial"/>
                <w:sz w:val="22"/>
                <w:szCs w:val="22"/>
              </w:rPr>
            </w:pPr>
            <w:r>
              <w:rPr>
                <w:rFonts w:hint="eastAsia" w:ascii="Arial Narrow" w:hAnsi="Arial Narrow" w:eastAsia="仿宋_GB2312" w:cs="Arial"/>
                <w:sz w:val="22"/>
                <w:szCs w:val="22"/>
              </w:rPr>
              <w:t xml:space="preserve">生产计划/进度调度控制；物料管控</w:t>
            </w:r>
            <w:r>
              <w:rPr>
                <w:rFonts w:hint="eastAsia" w:ascii="Arial Narrow" w:hAnsi="Arial Narrow" w:eastAsia="仿宋_GB2312" w:cs="Arial"/>
                <w:sz w:val="22"/>
                <w:szCs w:val="22"/>
              </w:rPr>
            </w:r>
            <w:r>
              <w:rPr>
                <w:rFonts w:ascii="Arial Narrow" w:hAnsi="Arial Narrow" w:eastAsia="仿宋_GB2312" w:cs="Arial"/>
                <w:sz w:val="22"/>
                <w:szCs w:val="22"/>
              </w:rPr>
            </w:r>
          </w:p>
        </w:tc>
        <w:tc>
          <w:tcPr>
            <w:shd w:val="clear" w:color="auto" w:fill="auto"/>
            <w:tcBorders/>
            <w:tcW w:w="1390" w:type="dxa"/>
            <w:vAlign w:val="center"/>
            <w:textDirection w:val="lrTb"/>
            <w:noWrap w:val="false"/>
          </w:tcPr>
          <w:p>
            <w:pPr>
              <w:pBdr/>
              <w:spacing/>
              <w:ind/>
              <w:jc w:val="center"/>
              <w:rPr>
                <w:rFonts w:ascii="Arial Narrow" w:hAnsi="Arial Narrow" w:eastAsia="仿宋_GB2312" w:cs="Arial"/>
                <w:sz w:val="22"/>
                <w:szCs w:val="22"/>
              </w:rPr>
            </w:pPr>
            <w:r>
              <w:rPr>
                <w:rFonts w:hint="eastAsia" w:ascii="Arial Narrow" w:hAnsi="Arial Narrow" w:eastAsia="仿宋_GB2312" w:cs="Arial"/>
                <w:sz w:val="22"/>
                <w:szCs w:val="22"/>
              </w:rPr>
              <w:t xml:space="preserve">总经理</w:t>
            </w:r>
            <w:r>
              <w:rPr>
                <w:rFonts w:ascii="Arial Narrow" w:hAnsi="Arial Narrow" w:eastAsia="仿宋_GB2312" w:cs="Arial"/>
                <w:sz w:val="22"/>
                <w:szCs w:val="22"/>
              </w:rPr>
            </w:r>
          </w:p>
        </w:tc>
        <w:tc>
          <w:tcPr>
            <w:shd w:val="clear" w:color="auto" w:fill="auto"/>
            <w:tcBorders>
              <w:right w:val="single" w:color="auto" w:sz="4" w:space="0"/>
            </w:tcBorders>
            <w:tcW w:w="1656" w:type="dxa"/>
            <w:vAlign w:val="center"/>
            <w:textDirection w:val="lrTb"/>
            <w:noWrap w:val="false"/>
          </w:tcPr>
          <w:p>
            <w:pPr>
              <w:pBdr/>
              <w:spacing/>
              <w:ind/>
              <w:jc w:val="center"/>
              <w:rPr>
                <w:rFonts w:ascii="Arial Narrow" w:hAnsi="Arial Narrow" w:eastAsia="仿宋_GB2312" w:cs="Arial"/>
                <w:sz w:val="22"/>
                <w:szCs w:val="22"/>
              </w:rPr>
            </w:pPr>
            <w:r>
              <w:rPr>
                <w:rFonts w:hint="eastAsia" w:ascii="Arial Narrow" w:hAnsi="Arial Narrow" w:eastAsia="仿宋_GB2312" w:cs="Arial"/>
                <w:sz w:val="22"/>
                <w:szCs w:val="22"/>
              </w:rPr>
              <w:t xml:space="preserve">中国/美国</w:t>
            </w:r>
            <w:r>
              <w:rPr>
                <w:rFonts w:ascii="Arial Narrow" w:hAnsi="Arial Narrow" w:eastAsia="仿宋_GB2312" w:cs="Arial"/>
                <w:sz w:val="22"/>
                <w:szCs w:val="22"/>
              </w:rPr>
            </w:r>
            <w:r>
              <w:rPr>
                <w:rFonts w:ascii="Arial Narrow" w:hAnsi="Arial Narrow" w:eastAsia="仿宋_GB2312" w:cs="Arial"/>
                <w:sz w:val="22"/>
                <w:szCs w:val="22"/>
              </w:rPr>
            </w:r>
          </w:p>
        </w:tc>
      </w:tr>
      <w:tr>
        <w:trPr>
          <w:trHeight w:val="461"/>
        </w:trPr>
        <w:tc>
          <w:tcPr>
            <w:shd w:val="clear" w:color="auto" w:fill="auto"/>
            <w:tcBorders>
              <w:left w:val="single" w:color="auto" w:sz="4" w:space="0"/>
            </w:tcBorders>
            <w:tcW w:w="1501" w:type="dxa"/>
            <w:vAlign w:val="center"/>
            <w:textDirection w:val="lrTb"/>
            <w:noWrap w:val="false"/>
          </w:tcPr>
          <w:p>
            <w:pPr>
              <w:pBdr/>
              <w:spacing/>
              <w:ind/>
              <w:jc w:val="center"/>
              <w:rPr>
                <w:rFonts w:ascii="Arial Narrow" w:hAnsi="Arial Narrow" w:eastAsia="仿宋_GB2312" w:cs="Arial"/>
                <w:b w:val="0"/>
                <w:bCs w:val="0"/>
                <w:sz w:val="22"/>
                <w:szCs w:val="22"/>
              </w:rPr>
            </w:pPr>
            <w:r>
              <w:rPr>
                <w:rFonts w:ascii="Arial Narrow" w:hAnsi="Arial Narrow" w:eastAsia="仿宋_GB2312" w:cs="Arial"/>
                <w:sz w:val="22"/>
                <w:szCs w:val="22"/>
              </w:rPr>
              <w:t xml:space="preserve">资材部</w:t>
            </w:r>
            <w:r>
              <w:rPr>
                <w:rFonts w:hint="eastAsia" w:ascii="Arial Narrow" w:hAnsi="Arial Narrow" w:eastAsia="仿宋_GB2312" w:cs="Arial"/>
                <w:sz w:val="22"/>
                <w:szCs w:val="22"/>
              </w:rPr>
            </w:r>
            <w:r>
              <w:rPr>
                <w:rFonts w:ascii="Arial Narrow" w:hAnsi="Arial Narrow" w:eastAsia="仿宋_GB2312" w:cs="Arial"/>
                <w:b w:val="0"/>
                <w:bCs w:val="0"/>
                <w:sz w:val="22"/>
                <w:szCs w:val="22"/>
              </w:rPr>
            </w:r>
          </w:p>
        </w:tc>
        <w:tc>
          <w:tcPr>
            <w:shd w:val="clear" w:color="auto" w:fill="auto"/>
            <w:tcBorders/>
            <w:tcW w:w="930" w:type="dxa"/>
            <w:vAlign w:val="center"/>
            <w:textDirection w:val="lrTb"/>
            <w:noWrap w:val="false"/>
          </w:tcPr>
          <w:p>
            <w:pPr>
              <w:pBdr/>
              <w:spacing/>
              <w:ind/>
              <w:jc w:val="center"/>
              <w:rPr>
                <w:rFonts w:ascii="Arial Narrow" w:hAnsi="Arial Narrow" w:eastAsia="仿宋_GB2312" w:cs="Arial"/>
                <w:sz w:val="22"/>
                <w:szCs w:val="22"/>
              </w:rPr>
            </w:pPr>
            <w:r>
              <w:rPr>
                <w:rFonts w:hint="eastAsia" w:ascii="Arial Narrow" w:hAnsi="Arial Narrow" w:eastAsia="仿宋_GB2312" w:cs="Arial"/>
                <w:sz w:val="22"/>
                <w:szCs w:val="22"/>
              </w:rPr>
              <w:t xml:space="preserve">23</w:t>
            </w:r>
            <w:r>
              <w:rPr>
                <w:rFonts w:ascii="Arial Narrow" w:hAnsi="Arial Narrow" w:eastAsia="仿宋_GB2312" w:cs="Arial"/>
                <w:sz w:val="22"/>
                <w:szCs w:val="22"/>
              </w:rPr>
            </w:r>
          </w:p>
        </w:tc>
        <w:tc>
          <w:tcPr>
            <w:shd w:val="clear" w:color="auto" w:fill="auto"/>
            <w:tcBorders/>
            <w:tcW w:w="3590" w:type="dxa"/>
            <w:vAlign w:val="center"/>
            <w:textDirection w:val="lrTb"/>
            <w:noWrap w:val="false"/>
          </w:tcPr>
          <w:p>
            <w:pPr>
              <w:pBdr/>
              <w:spacing/>
              <w:ind/>
              <w:jc w:val="both"/>
              <w:rPr>
                <w:rFonts w:ascii="Arial Narrow" w:hAnsi="Arial Narrow" w:eastAsia="仿宋_GB2312" w:cs="Arial"/>
                <w:sz w:val="22"/>
                <w:szCs w:val="22"/>
              </w:rPr>
            </w:pPr>
            <w:r>
              <w:rPr>
                <w:rFonts w:hint="eastAsia" w:ascii="Arial Narrow" w:hAnsi="Arial Narrow" w:eastAsia="仿宋_GB2312" w:cs="Arial"/>
                <w:sz w:val="22"/>
                <w:szCs w:val="22"/>
              </w:rPr>
              <w:t xml:space="preserve">货物出入库管理与存货保管盘点，存储空间/环境管理</w:t>
            </w:r>
            <w:r>
              <w:rPr>
                <w:rFonts w:hint="eastAsia" w:ascii="Arial Narrow" w:hAnsi="Arial Narrow" w:eastAsia="仿宋_GB2312" w:cs="Arial"/>
                <w:sz w:val="22"/>
                <w:szCs w:val="22"/>
              </w:rPr>
            </w:r>
            <w:r>
              <w:rPr>
                <w:rFonts w:ascii="Arial Narrow" w:hAnsi="Arial Narrow" w:eastAsia="仿宋_GB2312" w:cs="Arial"/>
                <w:sz w:val="22"/>
                <w:szCs w:val="22"/>
              </w:rPr>
            </w:r>
          </w:p>
        </w:tc>
        <w:tc>
          <w:tcPr>
            <w:shd w:val="clear" w:color="auto" w:fill="auto"/>
            <w:tcBorders/>
            <w:tcW w:w="1390" w:type="dxa"/>
            <w:vAlign w:val="center"/>
            <w:textDirection w:val="lrTb"/>
            <w:noWrap w:val="false"/>
          </w:tcPr>
          <w:p>
            <w:pPr>
              <w:pBdr/>
              <w:spacing/>
              <w:ind/>
              <w:jc w:val="center"/>
              <w:rPr>
                <w:rFonts w:ascii="Arial Narrow" w:hAnsi="Arial Narrow" w:eastAsia="仿宋_GB2312" w:cs="Arial"/>
                <w:sz w:val="22"/>
                <w:szCs w:val="22"/>
              </w:rPr>
            </w:pPr>
            <w:r>
              <w:rPr>
                <w:rFonts w:hint="eastAsia" w:ascii="Arial Narrow" w:hAnsi="Arial Narrow" w:eastAsia="仿宋_GB2312" w:cs="Arial"/>
                <w:sz w:val="22"/>
                <w:szCs w:val="22"/>
              </w:rPr>
              <w:t xml:space="preserve">总经理</w:t>
            </w:r>
            <w:r>
              <w:rPr>
                <w:rFonts w:ascii="Arial Narrow" w:hAnsi="Arial Narrow" w:eastAsia="仿宋_GB2312" w:cs="Arial"/>
                <w:sz w:val="22"/>
                <w:szCs w:val="22"/>
              </w:rPr>
            </w:r>
          </w:p>
        </w:tc>
        <w:tc>
          <w:tcPr>
            <w:shd w:val="clear" w:color="auto" w:fill="auto"/>
            <w:tcBorders>
              <w:right w:val="single" w:color="auto" w:sz="4" w:space="0"/>
            </w:tcBorders>
            <w:tcW w:w="1656" w:type="dxa"/>
            <w:vAlign w:val="center"/>
            <w:textDirection w:val="lrTb"/>
            <w:noWrap w:val="false"/>
          </w:tcPr>
          <w:p>
            <w:pPr>
              <w:pBdr/>
              <w:spacing/>
              <w:ind/>
              <w:jc w:val="center"/>
              <w:rPr>
                <w:rFonts w:ascii="Arial Narrow" w:hAnsi="Arial Narrow" w:eastAsia="仿宋_GB2312" w:cs="Arial"/>
                <w:sz w:val="22"/>
                <w:szCs w:val="22"/>
              </w:rPr>
            </w:pPr>
            <w:r>
              <w:rPr>
                <w:rFonts w:hint="eastAsia" w:ascii="Arial Narrow" w:hAnsi="Arial Narrow" w:eastAsia="仿宋_GB2312" w:cs="Arial"/>
                <w:sz w:val="22"/>
                <w:szCs w:val="22"/>
              </w:rPr>
              <w:t xml:space="preserve">中国/美国</w:t>
            </w:r>
            <w:r>
              <w:rPr>
                <w:rFonts w:ascii="Arial Narrow" w:hAnsi="Arial Narrow" w:eastAsia="仿宋_GB2312" w:cs="Arial"/>
                <w:sz w:val="22"/>
                <w:szCs w:val="22"/>
              </w:rPr>
            </w:r>
            <w:r>
              <w:rPr>
                <w:rFonts w:ascii="Arial Narrow" w:hAnsi="Arial Narrow" w:eastAsia="仿宋_GB2312" w:cs="Arial"/>
                <w:sz w:val="22"/>
                <w:szCs w:val="22"/>
              </w:rPr>
            </w:r>
          </w:p>
        </w:tc>
      </w:tr>
      <w:tr>
        <w:trPr>
          <w:trHeight w:val="461"/>
        </w:trPr>
        <w:tc>
          <w:tcPr>
            <w:shd w:val="clear" w:color="auto" w:fill="auto"/>
            <w:tcBorders>
              <w:left w:val="single" w:color="auto" w:sz="4" w:space="0"/>
            </w:tcBorders>
            <w:tcW w:w="1501" w:type="dxa"/>
            <w:vAlign w:val="center"/>
            <w:textDirection w:val="lrTb"/>
            <w:noWrap w:val="false"/>
          </w:tcPr>
          <w:p>
            <w:pPr>
              <w:pBdr/>
              <w:spacing/>
              <w:ind/>
              <w:jc w:val="center"/>
              <w:rPr>
                <w:rFonts w:ascii="Arial Narrow" w:hAnsi="Arial Narrow" w:eastAsia="仿宋_GB2312" w:cs="Arial"/>
                <w:b w:val="0"/>
                <w:bCs w:val="0"/>
                <w:sz w:val="22"/>
                <w:szCs w:val="22"/>
              </w:rPr>
            </w:pPr>
            <w:r>
              <w:rPr>
                <w:rFonts w:ascii="Arial Narrow" w:hAnsi="Arial Narrow" w:eastAsia="仿宋_GB2312" w:cs="Arial"/>
                <w:sz w:val="22"/>
                <w:szCs w:val="22"/>
              </w:rPr>
              <w:t xml:space="preserve">采购部</w:t>
            </w:r>
            <w:r>
              <w:rPr>
                <w:rFonts w:hint="eastAsia" w:ascii="Arial Narrow" w:hAnsi="Arial Narrow" w:eastAsia="仿宋_GB2312" w:cs="Arial"/>
                <w:sz w:val="22"/>
                <w:szCs w:val="22"/>
              </w:rPr>
            </w:r>
            <w:r>
              <w:rPr>
                <w:rFonts w:ascii="Arial Narrow" w:hAnsi="Arial Narrow" w:eastAsia="仿宋_GB2312" w:cs="Arial"/>
                <w:b w:val="0"/>
                <w:bCs w:val="0"/>
                <w:sz w:val="22"/>
                <w:szCs w:val="22"/>
              </w:rPr>
            </w:r>
          </w:p>
        </w:tc>
        <w:tc>
          <w:tcPr>
            <w:shd w:val="clear" w:color="auto" w:fill="auto"/>
            <w:tcBorders/>
            <w:tcW w:w="930" w:type="dxa"/>
            <w:vAlign w:val="center"/>
            <w:textDirection w:val="lrTb"/>
            <w:noWrap w:val="false"/>
          </w:tcPr>
          <w:p>
            <w:pPr>
              <w:pBdr/>
              <w:spacing/>
              <w:ind/>
              <w:jc w:val="center"/>
              <w:rPr>
                <w:rFonts w:ascii="Arial Narrow" w:hAnsi="Arial Narrow" w:eastAsia="仿宋_GB2312" w:cs="Arial"/>
                <w:sz w:val="22"/>
                <w:szCs w:val="22"/>
              </w:rPr>
            </w:pPr>
            <w:r>
              <w:rPr>
                <w:rFonts w:hint="eastAsia" w:ascii="Arial Narrow" w:hAnsi="Arial Narrow" w:eastAsia="仿宋_GB2312" w:cs="Arial"/>
                <w:sz w:val="22"/>
                <w:szCs w:val="22"/>
              </w:rPr>
              <w:t xml:space="preserve">8</w:t>
            </w:r>
            <w:r>
              <w:rPr>
                <w:rFonts w:ascii="Arial Narrow" w:hAnsi="Arial Narrow" w:eastAsia="仿宋_GB2312" w:cs="Arial"/>
                <w:sz w:val="22"/>
                <w:szCs w:val="22"/>
              </w:rPr>
            </w:r>
          </w:p>
        </w:tc>
        <w:tc>
          <w:tcPr>
            <w:shd w:val="clear" w:color="auto" w:fill="auto"/>
            <w:tcBorders/>
            <w:tcW w:w="3590" w:type="dxa"/>
            <w:vAlign w:val="center"/>
            <w:textDirection w:val="lrTb"/>
            <w:noWrap w:val="false"/>
          </w:tcPr>
          <w:p>
            <w:pPr>
              <w:pBdr/>
              <w:spacing/>
              <w:ind/>
              <w:jc w:val="both"/>
              <w:rPr>
                <w:rFonts w:ascii="Arial Narrow" w:hAnsi="Arial Narrow" w:eastAsia="仿宋_GB2312" w:cs="Arial"/>
                <w:sz w:val="22"/>
                <w:szCs w:val="22"/>
              </w:rPr>
            </w:pPr>
            <w:r>
              <w:rPr>
                <w:rFonts w:hint="eastAsia" w:ascii="Arial Narrow" w:hAnsi="Arial Narrow" w:eastAsia="仿宋_GB2312" w:cs="Arial"/>
                <w:sz w:val="22"/>
                <w:szCs w:val="22"/>
              </w:rPr>
              <w:t xml:space="preserve">询比价开发优质供应商，采购降本，按质按量如期交货</w:t>
            </w:r>
            <w:r>
              <w:rPr>
                <w:rFonts w:ascii="Arial Narrow" w:hAnsi="Arial Narrow" w:eastAsia="仿宋_GB2312" w:cs="Arial"/>
                <w:sz w:val="22"/>
                <w:szCs w:val="22"/>
              </w:rPr>
            </w:r>
          </w:p>
        </w:tc>
        <w:tc>
          <w:tcPr>
            <w:shd w:val="clear" w:color="auto" w:fill="auto"/>
            <w:tcBorders/>
            <w:tcW w:w="1390" w:type="dxa"/>
            <w:vAlign w:val="center"/>
            <w:textDirection w:val="lrTb"/>
            <w:noWrap w:val="false"/>
          </w:tcPr>
          <w:p>
            <w:pPr>
              <w:pBdr/>
              <w:spacing/>
              <w:ind/>
              <w:jc w:val="center"/>
              <w:rPr>
                <w:rFonts w:ascii="Arial Narrow" w:hAnsi="Arial Narrow" w:eastAsia="仿宋_GB2312" w:cs="Arial"/>
                <w:sz w:val="22"/>
                <w:szCs w:val="22"/>
              </w:rPr>
            </w:pPr>
            <w:r>
              <w:rPr>
                <w:rFonts w:hint="eastAsia" w:ascii="Arial Narrow" w:hAnsi="Arial Narrow" w:eastAsia="仿宋_GB2312" w:cs="Arial"/>
                <w:sz w:val="22"/>
                <w:szCs w:val="22"/>
              </w:rPr>
              <w:t xml:space="preserve">总经理</w:t>
            </w:r>
            <w:r>
              <w:rPr>
                <w:rFonts w:ascii="Arial Narrow" w:hAnsi="Arial Narrow" w:eastAsia="仿宋_GB2312" w:cs="Arial"/>
                <w:sz w:val="22"/>
                <w:szCs w:val="22"/>
              </w:rPr>
            </w:r>
          </w:p>
        </w:tc>
        <w:tc>
          <w:tcPr>
            <w:shd w:val="clear" w:color="auto" w:fill="auto"/>
            <w:tcBorders>
              <w:right w:val="single" w:color="auto" w:sz="4" w:space="0"/>
            </w:tcBorders>
            <w:tcW w:w="1656" w:type="dxa"/>
            <w:vAlign w:val="center"/>
            <w:textDirection w:val="lrTb"/>
            <w:noWrap w:val="false"/>
          </w:tcPr>
          <w:p>
            <w:pPr>
              <w:pBdr/>
              <w:spacing/>
              <w:ind/>
              <w:jc w:val="center"/>
              <w:rPr>
                <w:rFonts w:ascii="Arial Narrow" w:hAnsi="Arial Narrow" w:eastAsia="仿宋_GB2312" w:cs="Arial"/>
                <w:sz w:val="22"/>
                <w:szCs w:val="22"/>
              </w:rPr>
            </w:pPr>
            <w:r>
              <w:rPr>
                <w:rFonts w:hint="eastAsia" w:ascii="Arial Narrow" w:hAnsi="Arial Narrow" w:eastAsia="仿宋_GB2312" w:cs="Arial"/>
                <w:sz w:val="22"/>
                <w:szCs w:val="22"/>
              </w:rPr>
              <w:t xml:space="preserve">中国/美国</w:t>
            </w:r>
            <w:r>
              <w:rPr>
                <w:rFonts w:ascii="Arial Narrow" w:hAnsi="Arial Narrow" w:eastAsia="仿宋_GB2312" w:cs="Arial"/>
                <w:sz w:val="22"/>
                <w:szCs w:val="22"/>
              </w:rPr>
            </w:r>
            <w:r>
              <w:rPr>
                <w:rFonts w:ascii="Arial Narrow" w:hAnsi="Arial Narrow" w:eastAsia="仿宋_GB2312" w:cs="Arial"/>
                <w:sz w:val="22"/>
                <w:szCs w:val="22"/>
              </w:rPr>
            </w:r>
          </w:p>
        </w:tc>
      </w:tr>
      <w:tr>
        <w:trPr>
          <w:trHeight w:val="461"/>
        </w:trPr>
        <w:tc>
          <w:tcPr>
            <w:shd w:val="clear" w:color="auto" w:fill="auto"/>
            <w:tcBorders>
              <w:left w:val="single" w:color="auto" w:sz="4" w:space="0"/>
            </w:tcBorders>
            <w:tcW w:w="1501" w:type="dxa"/>
            <w:vAlign w:val="center"/>
            <w:textDirection w:val="lrTb"/>
            <w:noWrap w:val="false"/>
          </w:tcPr>
          <w:p>
            <w:pPr>
              <w:pBdr/>
              <w:spacing/>
              <w:ind/>
              <w:jc w:val="center"/>
              <w:rPr>
                <w:rFonts w:ascii="Arial Narrow" w:hAnsi="Arial Narrow" w:eastAsia="仿宋_GB2312" w:cs="Arial"/>
                <w:b w:val="0"/>
                <w:bCs w:val="0"/>
                <w:sz w:val="22"/>
                <w:szCs w:val="22"/>
              </w:rPr>
            </w:pPr>
            <w:r>
              <w:rPr>
                <w:rFonts w:ascii="Arial Narrow" w:hAnsi="Arial Narrow" w:eastAsia="仿宋_GB2312" w:cs="Arial"/>
                <w:sz w:val="22"/>
                <w:szCs w:val="22"/>
              </w:rPr>
              <w:t xml:space="preserve">关务部</w:t>
            </w:r>
            <w:r>
              <w:rPr>
                <w:rFonts w:hint="eastAsia" w:ascii="Arial Narrow" w:hAnsi="Arial Narrow" w:eastAsia="仿宋_GB2312" w:cs="Arial"/>
                <w:sz w:val="22"/>
                <w:szCs w:val="22"/>
              </w:rPr>
            </w:r>
            <w:r>
              <w:rPr>
                <w:rFonts w:ascii="Arial Narrow" w:hAnsi="Arial Narrow" w:eastAsia="仿宋_GB2312" w:cs="Arial"/>
                <w:b w:val="0"/>
                <w:bCs w:val="0"/>
                <w:sz w:val="22"/>
                <w:szCs w:val="22"/>
              </w:rPr>
            </w:r>
          </w:p>
        </w:tc>
        <w:tc>
          <w:tcPr>
            <w:shd w:val="clear" w:color="auto" w:fill="auto"/>
            <w:tcBorders/>
            <w:tcW w:w="930" w:type="dxa"/>
            <w:vAlign w:val="center"/>
            <w:textDirection w:val="lrTb"/>
            <w:noWrap w:val="false"/>
          </w:tcPr>
          <w:p>
            <w:pPr>
              <w:pBdr/>
              <w:spacing/>
              <w:ind/>
              <w:jc w:val="center"/>
              <w:rPr>
                <w:rFonts w:ascii="Arial Narrow" w:hAnsi="Arial Narrow" w:eastAsia="仿宋_GB2312" w:cs="Arial"/>
                <w:sz w:val="22"/>
                <w:szCs w:val="22"/>
              </w:rPr>
            </w:pPr>
            <w:r>
              <w:rPr>
                <w:rFonts w:hint="eastAsia" w:ascii="Arial Narrow" w:hAnsi="Arial Narrow" w:eastAsia="仿宋_GB2312" w:cs="Arial"/>
                <w:sz w:val="22"/>
                <w:szCs w:val="22"/>
              </w:rPr>
              <w:t xml:space="preserve">4</w:t>
            </w:r>
            <w:r>
              <w:rPr>
                <w:rFonts w:ascii="Arial Narrow" w:hAnsi="Arial Narrow" w:eastAsia="仿宋_GB2312" w:cs="Arial"/>
                <w:sz w:val="22"/>
                <w:szCs w:val="22"/>
              </w:rPr>
            </w:r>
          </w:p>
        </w:tc>
        <w:tc>
          <w:tcPr>
            <w:shd w:val="clear" w:color="auto" w:fill="auto"/>
            <w:tcBorders/>
            <w:tcW w:w="3590" w:type="dxa"/>
            <w:vAlign w:val="center"/>
            <w:textDirection w:val="lrTb"/>
            <w:noWrap w:val="false"/>
          </w:tcPr>
          <w:p>
            <w:pPr>
              <w:pBdr/>
              <w:spacing/>
              <w:ind/>
              <w:jc w:val="both"/>
              <w:rPr>
                <w:rFonts w:ascii="Arial Narrow" w:hAnsi="Arial Narrow" w:eastAsia="仿宋_GB2312" w:cs="Arial"/>
                <w:sz w:val="22"/>
                <w:szCs w:val="22"/>
              </w:rPr>
            </w:pPr>
            <w:r>
              <w:rPr>
                <w:rFonts w:hint="eastAsia" w:ascii="Arial Narrow" w:hAnsi="Arial Narrow" w:eastAsia="仿宋_GB2312" w:cs="Arial"/>
                <w:sz w:val="22"/>
                <w:szCs w:val="22"/>
              </w:rPr>
              <w:t xml:space="preserve">货物进出口申报，船运安排，海关检验检疫</w:t>
            </w:r>
            <w:r>
              <w:rPr>
                <w:rFonts w:ascii="Arial Narrow" w:hAnsi="Arial Narrow" w:eastAsia="仿宋_GB2312" w:cs="Arial"/>
                <w:sz w:val="22"/>
                <w:szCs w:val="22"/>
              </w:rPr>
            </w:r>
          </w:p>
        </w:tc>
        <w:tc>
          <w:tcPr>
            <w:shd w:val="clear" w:color="auto" w:fill="auto"/>
            <w:tcBorders/>
            <w:tcW w:w="1390" w:type="dxa"/>
            <w:vAlign w:val="center"/>
            <w:textDirection w:val="lrTb"/>
            <w:noWrap w:val="false"/>
          </w:tcPr>
          <w:p>
            <w:pPr>
              <w:pBdr/>
              <w:spacing/>
              <w:ind/>
              <w:jc w:val="center"/>
              <w:rPr>
                <w:rFonts w:ascii="Arial Narrow" w:hAnsi="Arial Narrow" w:eastAsia="仿宋_GB2312" w:cs="Arial"/>
                <w:sz w:val="22"/>
                <w:szCs w:val="22"/>
              </w:rPr>
            </w:pPr>
            <w:r>
              <w:rPr>
                <w:rFonts w:hint="eastAsia" w:ascii="Arial Narrow" w:hAnsi="Arial Narrow" w:eastAsia="仿宋_GB2312" w:cs="Arial"/>
                <w:sz w:val="22"/>
                <w:szCs w:val="22"/>
              </w:rPr>
              <w:t xml:space="preserve">总经理</w:t>
            </w:r>
            <w:r>
              <w:rPr>
                <w:rFonts w:ascii="Arial Narrow" w:hAnsi="Arial Narrow" w:eastAsia="仿宋_GB2312" w:cs="Arial"/>
                <w:sz w:val="22"/>
                <w:szCs w:val="22"/>
              </w:rPr>
            </w:r>
          </w:p>
        </w:tc>
        <w:tc>
          <w:tcPr>
            <w:shd w:val="clear" w:color="auto" w:fill="auto"/>
            <w:tcBorders>
              <w:right w:val="single" w:color="auto" w:sz="4" w:space="0"/>
            </w:tcBorders>
            <w:tcW w:w="1656" w:type="dxa"/>
            <w:vAlign w:val="center"/>
            <w:textDirection w:val="lrTb"/>
            <w:noWrap w:val="false"/>
          </w:tcPr>
          <w:p>
            <w:pPr>
              <w:pBdr/>
              <w:spacing/>
              <w:ind/>
              <w:jc w:val="center"/>
              <w:rPr>
                <w:rFonts w:ascii="Arial Narrow" w:hAnsi="Arial Narrow" w:eastAsia="仿宋_GB2312" w:cs="Arial"/>
                <w:sz w:val="22"/>
                <w:szCs w:val="22"/>
              </w:rPr>
            </w:pPr>
            <w:r>
              <w:rPr>
                <w:rFonts w:hint="eastAsia" w:ascii="Arial Narrow" w:hAnsi="Arial Narrow" w:eastAsia="仿宋_GB2312" w:cs="Arial"/>
                <w:sz w:val="22"/>
                <w:szCs w:val="22"/>
              </w:rPr>
              <w:t xml:space="preserve">中国/美国</w:t>
            </w:r>
            <w:r>
              <w:rPr>
                <w:rFonts w:ascii="Arial Narrow" w:hAnsi="Arial Narrow" w:eastAsia="仿宋_GB2312" w:cs="Arial"/>
                <w:sz w:val="22"/>
                <w:szCs w:val="22"/>
              </w:rPr>
            </w:r>
            <w:r>
              <w:rPr>
                <w:rFonts w:ascii="Arial Narrow" w:hAnsi="Arial Narrow" w:eastAsia="仿宋_GB2312" w:cs="Arial"/>
                <w:sz w:val="22"/>
                <w:szCs w:val="22"/>
              </w:rPr>
            </w:r>
          </w:p>
        </w:tc>
      </w:tr>
      <w:tr>
        <w:trPr>
          <w:trHeight w:val="461"/>
        </w:trPr>
        <w:tc>
          <w:tcPr>
            <w:shd w:val="clear" w:color="auto" w:fill="auto"/>
            <w:tcBorders>
              <w:left w:val="single" w:color="auto" w:sz="4" w:space="0"/>
            </w:tcBorders>
            <w:tcW w:w="1501" w:type="dxa"/>
            <w:vAlign w:val="center"/>
            <w:textDirection w:val="lrTb"/>
            <w:noWrap w:val="false"/>
          </w:tcPr>
          <w:p>
            <w:pPr>
              <w:pBdr/>
              <w:spacing/>
              <w:ind/>
              <w:jc w:val="center"/>
              <w:rPr>
                <w:rFonts w:ascii="Arial Narrow" w:hAnsi="Arial Narrow" w:eastAsia="仿宋_GB2312" w:cs="Arial"/>
                <w:b w:val="0"/>
                <w:bCs w:val="0"/>
                <w:sz w:val="22"/>
                <w:szCs w:val="22"/>
              </w:rPr>
            </w:pPr>
            <w:r>
              <w:rPr>
                <w:rFonts w:hint="eastAsia" w:ascii="Arial Narrow" w:hAnsi="Arial Narrow" w:eastAsia="仿宋_GB2312" w:cs="Arial"/>
                <w:sz w:val="22"/>
                <w:szCs w:val="22"/>
              </w:rPr>
              <w:t xml:space="preserve">工程部</w:t>
            </w:r>
            <w:r>
              <w:rPr>
                <w:rFonts w:ascii="Arial Narrow" w:hAnsi="Arial Narrow" w:eastAsia="仿宋_GB2312" w:cs="Arial"/>
                <w:b w:val="0"/>
                <w:bCs w:val="0"/>
                <w:sz w:val="22"/>
                <w:szCs w:val="22"/>
              </w:rPr>
            </w:r>
          </w:p>
        </w:tc>
        <w:tc>
          <w:tcPr>
            <w:shd w:val="clear" w:color="auto" w:fill="auto"/>
            <w:tcBorders/>
            <w:tcW w:w="930" w:type="dxa"/>
            <w:vAlign w:val="center"/>
            <w:textDirection w:val="lrTb"/>
            <w:noWrap w:val="false"/>
          </w:tcPr>
          <w:p>
            <w:pPr>
              <w:pBdr/>
              <w:spacing/>
              <w:ind/>
              <w:jc w:val="center"/>
              <w:rPr>
                <w:rFonts w:ascii="Arial Narrow" w:hAnsi="Arial Narrow" w:eastAsia="仿宋_GB2312" w:cs="Arial"/>
                <w:sz w:val="22"/>
                <w:szCs w:val="22"/>
              </w:rPr>
            </w:pPr>
            <w:r>
              <w:rPr>
                <w:rFonts w:hint="eastAsia" w:ascii="Arial Narrow" w:hAnsi="Arial Narrow" w:eastAsia="仿宋_GB2312" w:cs="Arial"/>
                <w:sz w:val="22"/>
                <w:szCs w:val="22"/>
              </w:rPr>
              <w:t xml:space="preserve">5</w:t>
            </w:r>
            <w:r>
              <w:rPr>
                <w:rFonts w:ascii="Arial Narrow" w:hAnsi="Arial Narrow" w:eastAsia="仿宋_GB2312" w:cs="Arial"/>
                <w:sz w:val="22"/>
                <w:szCs w:val="22"/>
              </w:rPr>
            </w:r>
          </w:p>
        </w:tc>
        <w:tc>
          <w:tcPr>
            <w:shd w:val="clear" w:color="auto" w:fill="auto"/>
            <w:tcBorders/>
            <w:tcW w:w="3590" w:type="dxa"/>
            <w:vAlign w:val="center"/>
            <w:textDirection w:val="lrTb"/>
            <w:noWrap w:val="false"/>
          </w:tcPr>
          <w:p>
            <w:pPr>
              <w:pBdr/>
              <w:spacing/>
              <w:ind/>
              <w:jc w:val="both"/>
              <w:rPr>
                <w:rFonts w:ascii="Arial Narrow" w:hAnsi="Arial Narrow" w:eastAsia="仿宋_GB2312" w:cs="Arial"/>
                <w:sz w:val="22"/>
                <w:szCs w:val="22"/>
              </w:rPr>
            </w:pPr>
            <w:r>
              <w:rPr>
                <w:rFonts w:hint="eastAsia" w:ascii="Arial Narrow" w:hAnsi="Arial Narrow" w:eastAsia="仿宋_GB2312" w:cs="Arial"/>
                <w:sz w:val="22"/>
                <w:szCs w:val="22"/>
              </w:rPr>
              <w:t xml:space="preserve">基础数据维护，IE工程管理</w:t>
            </w:r>
            <w:r>
              <w:rPr>
                <w:rFonts w:hint="eastAsia" w:ascii="Arial Narrow" w:hAnsi="Arial Narrow" w:eastAsia="仿宋_GB2312" w:cs="Arial"/>
                <w:sz w:val="22"/>
                <w:szCs w:val="22"/>
              </w:rPr>
            </w:r>
            <w:r>
              <w:rPr>
                <w:rFonts w:ascii="Arial Narrow" w:hAnsi="Arial Narrow" w:eastAsia="仿宋_GB2312" w:cs="Arial"/>
                <w:sz w:val="22"/>
                <w:szCs w:val="22"/>
              </w:rPr>
            </w:r>
          </w:p>
        </w:tc>
        <w:tc>
          <w:tcPr>
            <w:shd w:val="clear" w:color="auto" w:fill="auto"/>
            <w:tcBorders/>
            <w:tcW w:w="1390" w:type="dxa"/>
            <w:vAlign w:val="center"/>
            <w:textDirection w:val="lrTb"/>
            <w:noWrap w:val="false"/>
          </w:tcPr>
          <w:p>
            <w:pPr>
              <w:pBdr/>
              <w:spacing/>
              <w:ind/>
              <w:jc w:val="center"/>
              <w:rPr>
                <w:rFonts w:ascii="Arial Narrow" w:hAnsi="Arial Narrow" w:eastAsia="仿宋_GB2312" w:cs="Arial"/>
                <w:sz w:val="22"/>
                <w:szCs w:val="22"/>
              </w:rPr>
            </w:pPr>
            <w:r>
              <w:rPr>
                <w:rFonts w:hint="eastAsia" w:ascii="Arial Narrow" w:hAnsi="Arial Narrow" w:eastAsia="仿宋_GB2312" w:cs="Arial"/>
                <w:sz w:val="22"/>
                <w:szCs w:val="22"/>
              </w:rPr>
              <w:t xml:space="preserve">总经理</w:t>
            </w:r>
            <w:r>
              <w:rPr>
                <w:rFonts w:ascii="Arial Narrow" w:hAnsi="Arial Narrow" w:eastAsia="仿宋_GB2312" w:cs="Arial"/>
                <w:sz w:val="22"/>
                <w:szCs w:val="22"/>
              </w:rPr>
            </w:r>
          </w:p>
        </w:tc>
        <w:tc>
          <w:tcPr>
            <w:shd w:val="clear" w:color="auto" w:fill="auto"/>
            <w:tcBorders>
              <w:right w:val="single" w:color="auto" w:sz="4" w:space="0"/>
            </w:tcBorders>
            <w:tcW w:w="1656" w:type="dxa"/>
            <w:vAlign w:val="center"/>
            <w:textDirection w:val="lrTb"/>
            <w:noWrap w:val="false"/>
          </w:tcPr>
          <w:p>
            <w:pPr>
              <w:pBdr/>
              <w:spacing/>
              <w:ind/>
              <w:jc w:val="center"/>
              <w:rPr>
                <w:rFonts w:ascii="Arial Narrow" w:hAnsi="Arial Narrow" w:eastAsia="仿宋_GB2312" w:cs="Arial"/>
                <w:sz w:val="22"/>
                <w:szCs w:val="22"/>
              </w:rPr>
            </w:pPr>
            <w:r>
              <w:rPr>
                <w:rFonts w:hint="eastAsia" w:ascii="Arial Narrow" w:hAnsi="Arial Narrow" w:eastAsia="仿宋_GB2312" w:cs="Arial"/>
                <w:sz w:val="22"/>
                <w:szCs w:val="22"/>
              </w:rPr>
              <w:t xml:space="preserve">中国/美国</w:t>
            </w:r>
            <w:r>
              <w:rPr>
                <w:rFonts w:ascii="Arial Narrow" w:hAnsi="Arial Narrow" w:eastAsia="仿宋_GB2312" w:cs="Arial"/>
                <w:sz w:val="22"/>
                <w:szCs w:val="22"/>
              </w:rPr>
            </w:r>
            <w:r>
              <w:rPr>
                <w:rFonts w:ascii="Arial Narrow" w:hAnsi="Arial Narrow" w:eastAsia="仿宋_GB2312" w:cs="Arial"/>
                <w:sz w:val="22"/>
                <w:szCs w:val="22"/>
              </w:rPr>
            </w:r>
          </w:p>
        </w:tc>
      </w:tr>
      <w:tr>
        <w:trPr>
          <w:trHeight w:val="461"/>
        </w:trPr>
        <w:tc>
          <w:tcPr>
            <w:shd w:val="clear" w:color="auto" w:fill="auto"/>
            <w:tcBorders>
              <w:left w:val="single" w:color="auto" w:sz="4" w:space="0"/>
            </w:tcBorders>
            <w:tcW w:w="1501" w:type="dxa"/>
            <w:vAlign w:val="center"/>
            <w:textDirection w:val="lrTb"/>
            <w:noWrap w:val="false"/>
          </w:tcPr>
          <w:p>
            <w:pPr>
              <w:pBdr/>
              <w:spacing/>
              <w:ind/>
              <w:jc w:val="center"/>
              <w:rPr>
                <w:rFonts w:ascii="Arial Narrow" w:hAnsi="Arial Narrow" w:eastAsia="仿宋_GB2312" w:cs="Arial"/>
                <w:b w:val="0"/>
                <w:bCs w:val="0"/>
                <w:sz w:val="22"/>
                <w:szCs w:val="22"/>
              </w:rPr>
            </w:pPr>
            <w:r>
              <w:rPr>
                <w:rFonts w:hint="eastAsia" w:ascii="Arial Narrow" w:hAnsi="Arial Narrow" w:eastAsia="仿宋_GB2312" w:cs="Arial"/>
                <w:b w:val="0"/>
                <w:sz w:val="22"/>
                <w:szCs w:val="22"/>
              </w:rPr>
              <w:t xml:space="preserve">工务部</w:t>
            </w:r>
            <w:r>
              <w:rPr>
                <w:rFonts w:ascii="Arial Narrow" w:hAnsi="Arial Narrow" w:eastAsia="仿宋_GB2312" w:cs="Arial"/>
                <w:b w:val="0"/>
                <w:bCs w:val="0"/>
                <w:sz w:val="22"/>
                <w:szCs w:val="22"/>
              </w:rPr>
            </w:r>
          </w:p>
        </w:tc>
        <w:tc>
          <w:tcPr>
            <w:shd w:val="clear" w:color="auto" w:fill="auto"/>
            <w:tcBorders/>
            <w:tcW w:w="930" w:type="dxa"/>
            <w:vAlign w:val="center"/>
            <w:textDirection w:val="lrTb"/>
            <w:noWrap w:val="false"/>
          </w:tcPr>
          <w:p>
            <w:pPr>
              <w:pBdr/>
              <w:spacing/>
              <w:ind/>
              <w:jc w:val="center"/>
              <w:rPr>
                <w:rFonts w:ascii="Arial Narrow" w:hAnsi="Arial Narrow" w:eastAsia="仿宋_GB2312" w:cs="Arial"/>
                <w:sz w:val="22"/>
                <w:szCs w:val="22"/>
              </w:rPr>
            </w:pPr>
            <w:r>
              <w:rPr>
                <w:rFonts w:hint="eastAsia" w:ascii="Arial Narrow" w:hAnsi="Arial Narrow" w:eastAsia="仿宋_GB2312" w:cs="Arial"/>
                <w:sz w:val="22"/>
                <w:szCs w:val="22"/>
              </w:rPr>
              <w:t xml:space="preserve">5</w:t>
            </w:r>
            <w:r>
              <w:rPr>
                <w:rFonts w:ascii="Arial Narrow" w:hAnsi="Arial Narrow" w:eastAsia="仿宋_GB2312" w:cs="Arial"/>
                <w:sz w:val="22"/>
                <w:szCs w:val="22"/>
              </w:rPr>
            </w:r>
          </w:p>
        </w:tc>
        <w:tc>
          <w:tcPr>
            <w:shd w:val="clear" w:color="auto" w:fill="auto"/>
            <w:tcBorders/>
            <w:tcW w:w="3590" w:type="dxa"/>
            <w:vAlign w:val="center"/>
            <w:textDirection w:val="lrTb"/>
            <w:noWrap w:val="false"/>
          </w:tcPr>
          <w:p>
            <w:pPr>
              <w:pBdr/>
              <w:spacing/>
              <w:ind/>
              <w:jc w:val="both"/>
              <w:rPr>
                <w:rFonts w:ascii="Arial Narrow" w:hAnsi="Arial Narrow" w:eastAsia="仿宋_GB2312" w:cs="Arial"/>
                <w:sz w:val="22"/>
                <w:szCs w:val="22"/>
              </w:rPr>
            </w:pPr>
            <w:r>
              <w:rPr>
                <w:rFonts w:hint="eastAsia" w:ascii="Arial Narrow" w:hAnsi="Arial Narrow" w:eastAsia="仿宋_GB2312" w:cs="Arial"/>
                <w:sz w:val="22"/>
                <w:szCs w:val="22"/>
              </w:rPr>
              <w:t xml:space="preserve">机器设备零配件修理维保</w:t>
            </w:r>
            <w:r>
              <w:rPr>
                <w:rFonts w:ascii="Arial Narrow" w:hAnsi="Arial Narrow" w:eastAsia="仿宋_GB2312" w:cs="Arial"/>
                <w:sz w:val="22"/>
                <w:szCs w:val="22"/>
              </w:rPr>
            </w:r>
          </w:p>
        </w:tc>
        <w:tc>
          <w:tcPr>
            <w:shd w:val="clear" w:color="auto" w:fill="auto"/>
            <w:tcBorders/>
            <w:tcW w:w="1390" w:type="dxa"/>
            <w:vAlign w:val="center"/>
            <w:textDirection w:val="lrTb"/>
            <w:noWrap w:val="false"/>
          </w:tcPr>
          <w:p>
            <w:pPr>
              <w:pBdr/>
              <w:spacing/>
              <w:ind/>
              <w:jc w:val="center"/>
              <w:rPr>
                <w:rFonts w:ascii="Arial Narrow" w:hAnsi="Arial Narrow" w:eastAsia="仿宋_GB2312" w:cs="Arial"/>
                <w:sz w:val="22"/>
                <w:szCs w:val="22"/>
              </w:rPr>
            </w:pPr>
            <w:r>
              <w:rPr>
                <w:rFonts w:hint="eastAsia" w:ascii="Arial Narrow" w:hAnsi="Arial Narrow" w:eastAsia="仿宋_GB2312" w:cs="Arial"/>
                <w:sz w:val="22"/>
                <w:szCs w:val="22"/>
              </w:rPr>
              <w:t xml:space="preserve">总经理</w:t>
            </w:r>
            <w:r>
              <w:rPr>
                <w:rFonts w:ascii="Arial Narrow" w:hAnsi="Arial Narrow" w:eastAsia="仿宋_GB2312" w:cs="Arial"/>
                <w:sz w:val="22"/>
                <w:szCs w:val="22"/>
              </w:rPr>
            </w:r>
          </w:p>
        </w:tc>
        <w:tc>
          <w:tcPr>
            <w:shd w:val="clear" w:color="auto" w:fill="auto"/>
            <w:tcBorders>
              <w:right w:val="single" w:color="auto" w:sz="4" w:space="0"/>
            </w:tcBorders>
            <w:tcW w:w="1656" w:type="dxa"/>
            <w:vAlign w:val="center"/>
            <w:textDirection w:val="lrTb"/>
            <w:noWrap w:val="false"/>
          </w:tcPr>
          <w:p>
            <w:pPr>
              <w:pBdr/>
              <w:spacing/>
              <w:ind/>
              <w:jc w:val="center"/>
              <w:rPr>
                <w:rFonts w:ascii="Arial Narrow" w:hAnsi="Arial Narrow" w:eastAsia="仿宋_GB2312" w:cs="Arial"/>
                <w:sz w:val="22"/>
                <w:szCs w:val="22"/>
              </w:rPr>
            </w:pPr>
            <w:r>
              <w:rPr>
                <w:rFonts w:hint="eastAsia" w:ascii="Arial Narrow" w:hAnsi="Arial Narrow" w:eastAsia="仿宋_GB2312" w:cs="Arial"/>
                <w:sz w:val="22"/>
                <w:szCs w:val="22"/>
              </w:rPr>
              <w:t xml:space="preserve">中国/美国</w:t>
            </w:r>
            <w:r>
              <w:rPr>
                <w:rFonts w:ascii="Arial Narrow" w:hAnsi="Arial Narrow" w:eastAsia="仿宋_GB2312" w:cs="Arial"/>
                <w:sz w:val="22"/>
                <w:szCs w:val="22"/>
              </w:rPr>
            </w:r>
            <w:r>
              <w:rPr>
                <w:rFonts w:ascii="Arial Narrow" w:hAnsi="Arial Narrow" w:eastAsia="仿宋_GB2312" w:cs="Arial"/>
                <w:sz w:val="22"/>
                <w:szCs w:val="22"/>
              </w:rPr>
            </w:r>
          </w:p>
        </w:tc>
      </w:tr>
      <w:tr>
        <w:trPr>
          <w:trHeight w:val="461"/>
        </w:trPr>
        <w:tc>
          <w:tcPr>
            <w:shd w:val="clear" w:color="auto" w:fill="auto"/>
            <w:tcBorders>
              <w:left w:val="single" w:color="auto" w:sz="4" w:space="0"/>
            </w:tcBorders>
            <w:tcW w:w="1501" w:type="dxa"/>
            <w:vAlign w:val="center"/>
            <w:textDirection w:val="lrTb"/>
            <w:noWrap w:val="false"/>
          </w:tcPr>
          <w:p>
            <w:pPr>
              <w:pBdr/>
              <w:spacing/>
              <w:ind/>
              <w:jc w:val="center"/>
              <w:rPr>
                <w:rFonts w:ascii="Arial Narrow" w:hAnsi="Arial Narrow" w:eastAsia="仿宋_GB2312" w:cs="Arial"/>
                <w:b w:val="0"/>
                <w:sz w:val="22"/>
                <w:szCs w:val="22"/>
              </w:rPr>
            </w:pPr>
            <w:r>
              <w:rPr>
                <w:rFonts w:hint="eastAsia" w:ascii="Arial Narrow" w:hAnsi="Arial Narrow" w:eastAsia="仿宋_GB2312" w:cs="Arial"/>
                <w:b w:val="0"/>
                <w:sz w:val="22"/>
                <w:szCs w:val="22"/>
              </w:rPr>
              <w:t xml:space="preserve">产品开发部</w:t>
            </w:r>
            <w:r>
              <w:rPr>
                <w:rFonts w:ascii="Arial Narrow" w:hAnsi="Arial Narrow" w:eastAsia="仿宋_GB2312" w:cs="Arial"/>
                <w:b w:val="0"/>
                <w:sz w:val="22"/>
                <w:szCs w:val="22"/>
              </w:rPr>
            </w:r>
          </w:p>
        </w:tc>
        <w:tc>
          <w:tcPr>
            <w:shd w:val="clear" w:color="auto" w:fill="auto"/>
            <w:tcBorders/>
            <w:tcW w:w="930" w:type="dxa"/>
            <w:vAlign w:val="center"/>
            <w:textDirection w:val="lrTb"/>
            <w:noWrap w:val="false"/>
          </w:tcPr>
          <w:p>
            <w:pPr>
              <w:pBdr/>
              <w:spacing/>
              <w:ind/>
              <w:jc w:val="center"/>
              <w:rPr>
                <w:rFonts w:ascii="Arial Narrow" w:hAnsi="Arial Narrow" w:eastAsia="仿宋_GB2312" w:cs="Arial"/>
                <w:sz w:val="22"/>
                <w:szCs w:val="22"/>
              </w:rPr>
            </w:pPr>
            <w:r>
              <w:rPr>
                <w:rFonts w:hint="eastAsia" w:ascii="Arial Narrow" w:hAnsi="Arial Narrow" w:eastAsia="仿宋_GB2312" w:cs="Arial"/>
                <w:sz w:val="22"/>
                <w:szCs w:val="22"/>
              </w:rPr>
              <w:t xml:space="preserve">4</w:t>
            </w:r>
            <w:r>
              <w:rPr>
                <w:rFonts w:ascii="Arial Narrow" w:hAnsi="Arial Narrow" w:eastAsia="仿宋_GB2312" w:cs="Arial"/>
                <w:sz w:val="22"/>
                <w:szCs w:val="22"/>
              </w:rPr>
            </w:r>
          </w:p>
        </w:tc>
        <w:tc>
          <w:tcPr>
            <w:shd w:val="clear" w:color="auto" w:fill="auto"/>
            <w:tcBorders/>
            <w:tcW w:w="3590" w:type="dxa"/>
            <w:vAlign w:val="center"/>
            <w:textDirection w:val="lrTb"/>
            <w:noWrap w:val="false"/>
          </w:tcPr>
          <w:p>
            <w:pPr>
              <w:pBdr/>
              <w:spacing/>
              <w:ind/>
              <w:jc w:val="both"/>
              <w:rPr>
                <w:rFonts w:ascii="Arial Narrow" w:hAnsi="Arial Narrow" w:eastAsia="仿宋_GB2312" w:cs="Arial"/>
                <w:sz w:val="22"/>
                <w:szCs w:val="22"/>
              </w:rPr>
            </w:pPr>
            <w:r>
              <w:rPr>
                <w:rFonts w:hint="eastAsia" w:ascii="Arial Narrow" w:hAnsi="Arial Narrow" w:eastAsia="仿宋_GB2312" w:cs="Arial"/>
                <w:sz w:val="22"/>
                <w:szCs w:val="22"/>
              </w:rPr>
              <w:t xml:space="preserve">产品设计开发</w:t>
            </w:r>
            <w:r>
              <w:rPr>
                <w:rFonts w:ascii="Arial Narrow" w:hAnsi="Arial Narrow" w:eastAsia="仿宋_GB2312" w:cs="Arial"/>
                <w:sz w:val="22"/>
                <w:szCs w:val="22"/>
              </w:rPr>
            </w:r>
          </w:p>
        </w:tc>
        <w:tc>
          <w:tcPr>
            <w:shd w:val="clear" w:color="auto" w:fill="auto"/>
            <w:tcBorders/>
            <w:tcW w:w="1390" w:type="dxa"/>
            <w:vAlign w:val="center"/>
            <w:textDirection w:val="lrTb"/>
            <w:noWrap w:val="false"/>
          </w:tcPr>
          <w:p>
            <w:pPr>
              <w:pBdr/>
              <w:spacing/>
              <w:ind/>
              <w:jc w:val="center"/>
              <w:rPr>
                <w:rFonts w:ascii="Arial Narrow" w:hAnsi="Arial Narrow" w:eastAsia="仿宋_GB2312" w:cs="Arial"/>
                <w:sz w:val="22"/>
                <w:szCs w:val="22"/>
              </w:rPr>
            </w:pPr>
            <w:r>
              <w:rPr>
                <w:rFonts w:hint="eastAsia" w:ascii="Arial Narrow" w:hAnsi="Arial Narrow" w:eastAsia="仿宋_GB2312" w:cs="Arial"/>
                <w:sz w:val="22"/>
                <w:szCs w:val="22"/>
              </w:rPr>
              <w:t xml:space="preserve">总经理</w:t>
            </w:r>
            <w:r>
              <w:rPr>
                <w:rFonts w:ascii="Arial Narrow" w:hAnsi="Arial Narrow" w:eastAsia="仿宋_GB2312" w:cs="Arial"/>
                <w:sz w:val="22"/>
                <w:szCs w:val="22"/>
              </w:rPr>
            </w:r>
          </w:p>
        </w:tc>
        <w:tc>
          <w:tcPr>
            <w:shd w:val="clear" w:color="auto" w:fill="auto"/>
            <w:tcBorders>
              <w:right w:val="single" w:color="auto" w:sz="4" w:space="0"/>
            </w:tcBorders>
            <w:tcW w:w="1656" w:type="dxa"/>
            <w:vAlign w:val="center"/>
            <w:textDirection w:val="lrTb"/>
            <w:noWrap w:val="false"/>
          </w:tcPr>
          <w:p>
            <w:pPr>
              <w:pBdr/>
              <w:spacing/>
              <w:ind/>
              <w:jc w:val="center"/>
              <w:rPr>
                <w:rFonts w:ascii="Arial Narrow" w:hAnsi="Arial Narrow" w:eastAsia="仿宋_GB2312" w:cs="Arial"/>
                <w:sz w:val="22"/>
                <w:szCs w:val="22"/>
              </w:rPr>
            </w:pPr>
            <w:r>
              <w:rPr>
                <w:rFonts w:hint="eastAsia" w:ascii="Arial Narrow" w:hAnsi="Arial Narrow" w:eastAsia="仿宋_GB2312" w:cs="Arial"/>
                <w:sz w:val="22"/>
                <w:szCs w:val="22"/>
              </w:rPr>
              <w:t xml:space="preserve">中国/美国</w:t>
            </w:r>
            <w:r>
              <w:rPr>
                <w:rFonts w:ascii="Arial Narrow" w:hAnsi="Arial Narrow" w:eastAsia="仿宋_GB2312" w:cs="Arial"/>
                <w:sz w:val="22"/>
                <w:szCs w:val="22"/>
              </w:rPr>
            </w:r>
            <w:r>
              <w:rPr>
                <w:rFonts w:ascii="Arial Narrow" w:hAnsi="Arial Narrow" w:eastAsia="仿宋_GB2312" w:cs="Arial"/>
                <w:sz w:val="22"/>
                <w:szCs w:val="22"/>
              </w:rPr>
            </w:r>
          </w:p>
        </w:tc>
      </w:tr>
      <w:tr>
        <w:trPr>
          <w:trHeight w:val="461"/>
        </w:trPr>
        <w:tc>
          <w:tcPr>
            <w:shd w:val="clear" w:color="auto" w:fill="auto"/>
            <w:tcBorders>
              <w:left w:val="single" w:color="auto" w:sz="4" w:space="0"/>
            </w:tcBorders>
            <w:tcW w:w="1501" w:type="dxa"/>
            <w:vAlign w:val="center"/>
            <w:textDirection w:val="lrTb"/>
            <w:noWrap w:val="false"/>
          </w:tcPr>
          <w:p>
            <w:pPr>
              <w:pBdr/>
              <w:spacing/>
              <w:ind/>
              <w:jc w:val="center"/>
              <w:rPr>
                <w:rFonts w:ascii="Arial Narrow" w:hAnsi="Arial Narrow" w:eastAsia="仿宋_GB2312" w:cs="Arial"/>
                <w:b w:val="0"/>
                <w:sz w:val="22"/>
                <w:szCs w:val="22"/>
              </w:rPr>
            </w:pPr>
            <w:r>
              <w:rPr>
                <w:rFonts w:hint="eastAsia" w:ascii="Arial Narrow" w:hAnsi="Arial Narrow" w:eastAsia="仿宋_GB2312" w:cs="Arial"/>
                <w:b w:val="0"/>
                <w:sz w:val="22"/>
                <w:szCs w:val="22"/>
              </w:rPr>
              <w:t xml:space="preserve">业务部</w:t>
            </w:r>
            <w:r>
              <w:rPr>
                <w:rFonts w:ascii="Arial Narrow" w:hAnsi="Arial Narrow" w:eastAsia="仿宋_GB2312" w:cs="Arial"/>
                <w:b w:val="0"/>
                <w:sz w:val="22"/>
                <w:szCs w:val="22"/>
              </w:rPr>
            </w:r>
          </w:p>
        </w:tc>
        <w:tc>
          <w:tcPr>
            <w:shd w:val="clear" w:color="auto" w:fill="auto"/>
            <w:tcBorders/>
            <w:tcW w:w="930" w:type="dxa"/>
            <w:vAlign w:val="center"/>
            <w:textDirection w:val="lrTb"/>
            <w:noWrap w:val="false"/>
          </w:tcPr>
          <w:p>
            <w:pPr>
              <w:pBdr/>
              <w:spacing/>
              <w:ind/>
              <w:jc w:val="center"/>
              <w:rPr>
                <w:rFonts w:ascii="Arial Narrow" w:hAnsi="Arial Narrow" w:eastAsia="仿宋_GB2312" w:cs="Arial"/>
                <w:sz w:val="22"/>
                <w:szCs w:val="22"/>
              </w:rPr>
            </w:pPr>
            <w:r>
              <w:rPr>
                <w:rFonts w:hint="eastAsia" w:ascii="Arial Narrow" w:hAnsi="Arial Narrow" w:eastAsia="仿宋_GB2312" w:cs="Arial"/>
                <w:sz w:val="22"/>
                <w:szCs w:val="22"/>
              </w:rPr>
              <w:t xml:space="preserve">5</w:t>
            </w:r>
            <w:r>
              <w:rPr>
                <w:rFonts w:ascii="Arial Narrow" w:hAnsi="Arial Narrow" w:eastAsia="仿宋_GB2312" w:cs="Arial"/>
                <w:sz w:val="22"/>
                <w:szCs w:val="22"/>
              </w:rPr>
            </w:r>
          </w:p>
        </w:tc>
        <w:tc>
          <w:tcPr>
            <w:shd w:val="clear" w:color="auto" w:fill="auto"/>
            <w:tcBorders/>
            <w:tcW w:w="3590" w:type="dxa"/>
            <w:vAlign w:val="center"/>
            <w:textDirection w:val="lrTb"/>
            <w:noWrap w:val="false"/>
          </w:tcPr>
          <w:p>
            <w:pPr>
              <w:pBdr/>
              <w:spacing/>
              <w:ind/>
              <w:jc w:val="both"/>
              <w:rPr>
                <w:rFonts w:ascii="Arial Narrow" w:hAnsi="Arial Narrow" w:eastAsia="仿宋_GB2312" w:cs="Arial"/>
                <w:sz w:val="22"/>
                <w:szCs w:val="22"/>
              </w:rPr>
            </w:pPr>
            <w:r>
              <w:rPr>
                <w:rFonts w:hint="eastAsia" w:ascii="Arial Narrow" w:hAnsi="Arial Narrow" w:eastAsia="仿宋_GB2312" w:cs="Arial"/>
                <w:sz w:val="22"/>
                <w:szCs w:val="22"/>
              </w:rPr>
              <w:t xml:space="preserve">客户关系管理，订单评审，交期出货协调</w:t>
            </w:r>
            <w:r>
              <w:rPr>
                <w:rFonts w:ascii="Arial Narrow" w:hAnsi="Arial Narrow" w:eastAsia="仿宋_GB2312" w:cs="Arial"/>
                <w:sz w:val="22"/>
                <w:szCs w:val="22"/>
              </w:rPr>
            </w:r>
          </w:p>
        </w:tc>
        <w:tc>
          <w:tcPr>
            <w:shd w:val="clear" w:color="auto" w:fill="auto"/>
            <w:tcBorders/>
            <w:tcW w:w="1390" w:type="dxa"/>
            <w:vAlign w:val="center"/>
            <w:textDirection w:val="lrTb"/>
            <w:noWrap w:val="false"/>
          </w:tcPr>
          <w:p>
            <w:pPr>
              <w:pBdr/>
              <w:spacing/>
              <w:ind/>
              <w:jc w:val="center"/>
              <w:rPr>
                <w:rFonts w:ascii="Arial Narrow" w:hAnsi="Arial Narrow" w:eastAsia="仿宋_GB2312" w:cs="Arial"/>
                <w:sz w:val="22"/>
                <w:szCs w:val="22"/>
              </w:rPr>
            </w:pPr>
            <w:r>
              <w:rPr>
                <w:rFonts w:hint="eastAsia" w:ascii="Arial Narrow" w:hAnsi="Arial Narrow" w:eastAsia="仿宋_GB2312" w:cs="Arial"/>
                <w:sz w:val="22"/>
                <w:szCs w:val="22"/>
              </w:rPr>
              <w:t xml:space="preserve">总经理</w:t>
            </w:r>
            <w:r>
              <w:rPr>
                <w:rFonts w:ascii="Arial Narrow" w:hAnsi="Arial Narrow" w:eastAsia="仿宋_GB2312" w:cs="Arial"/>
                <w:sz w:val="22"/>
                <w:szCs w:val="22"/>
              </w:rPr>
            </w:r>
          </w:p>
        </w:tc>
        <w:tc>
          <w:tcPr>
            <w:shd w:val="clear" w:color="auto" w:fill="auto"/>
            <w:tcBorders>
              <w:right w:val="single" w:color="auto" w:sz="4" w:space="0"/>
            </w:tcBorders>
            <w:tcW w:w="1656" w:type="dxa"/>
            <w:vAlign w:val="center"/>
            <w:textDirection w:val="lrTb"/>
            <w:noWrap w:val="false"/>
          </w:tcPr>
          <w:p>
            <w:pPr>
              <w:pBdr/>
              <w:spacing/>
              <w:ind/>
              <w:jc w:val="center"/>
              <w:rPr>
                <w:rFonts w:ascii="Arial Narrow" w:hAnsi="Arial Narrow" w:eastAsia="仿宋_GB2312" w:cs="Arial"/>
                <w:sz w:val="22"/>
                <w:szCs w:val="22"/>
              </w:rPr>
            </w:pPr>
            <w:r>
              <w:rPr>
                <w:rFonts w:hint="eastAsia" w:ascii="Arial Narrow" w:hAnsi="Arial Narrow" w:eastAsia="仿宋_GB2312" w:cs="Arial"/>
                <w:sz w:val="22"/>
                <w:szCs w:val="22"/>
              </w:rPr>
              <w:t xml:space="preserve">中国/美国</w:t>
            </w:r>
            <w:r>
              <w:rPr>
                <w:rFonts w:ascii="Arial Narrow" w:hAnsi="Arial Narrow" w:eastAsia="仿宋_GB2312" w:cs="Arial"/>
                <w:sz w:val="22"/>
                <w:szCs w:val="22"/>
              </w:rPr>
            </w:r>
            <w:r>
              <w:rPr>
                <w:rFonts w:ascii="Arial Narrow" w:hAnsi="Arial Narrow" w:eastAsia="仿宋_GB2312" w:cs="Arial"/>
                <w:sz w:val="22"/>
                <w:szCs w:val="22"/>
              </w:rPr>
            </w:r>
          </w:p>
        </w:tc>
      </w:tr>
      <w:tr>
        <w:trPr>
          <w:trHeight w:val="461"/>
        </w:trPr>
        <w:tc>
          <w:tcPr>
            <w:shd w:val="clear" w:color="auto" w:fill="auto"/>
            <w:tcBorders>
              <w:left w:val="single" w:color="auto" w:sz="4" w:space="0"/>
            </w:tcBorders>
            <w:tcW w:w="1501" w:type="dxa"/>
            <w:vAlign w:val="center"/>
            <w:textDirection w:val="lrTb"/>
            <w:noWrap w:val="false"/>
          </w:tcPr>
          <w:p>
            <w:pPr>
              <w:pBdr/>
              <w:spacing/>
              <w:ind/>
              <w:jc w:val="center"/>
              <w:rPr>
                <w:rFonts w:ascii="Arial Narrow" w:hAnsi="Arial Narrow" w:eastAsia="仿宋_GB2312" w:cs="Arial"/>
                <w:b w:val="0"/>
                <w:sz w:val="22"/>
                <w:szCs w:val="22"/>
              </w:rPr>
            </w:pPr>
            <w:r>
              <w:rPr>
                <w:rFonts w:hint="eastAsia" w:ascii="Arial Narrow" w:hAnsi="Arial Narrow" w:eastAsia="仿宋_GB2312" w:cs="Arial"/>
                <w:b w:val="0"/>
                <w:sz w:val="22"/>
                <w:szCs w:val="22"/>
              </w:rPr>
              <w:t xml:space="preserve">财务部</w:t>
            </w:r>
            <w:r>
              <w:rPr>
                <w:rFonts w:ascii="Arial Narrow" w:hAnsi="Arial Narrow" w:eastAsia="仿宋_GB2312" w:cs="Arial"/>
                <w:b w:val="0"/>
                <w:sz w:val="22"/>
                <w:szCs w:val="22"/>
              </w:rPr>
            </w:r>
          </w:p>
        </w:tc>
        <w:tc>
          <w:tcPr>
            <w:shd w:val="clear" w:color="auto" w:fill="auto"/>
            <w:tcBorders/>
            <w:tcW w:w="930" w:type="dxa"/>
            <w:vAlign w:val="center"/>
            <w:textDirection w:val="lrTb"/>
            <w:noWrap w:val="false"/>
          </w:tcPr>
          <w:p>
            <w:pPr>
              <w:pBdr/>
              <w:spacing/>
              <w:ind/>
              <w:jc w:val="center"/>
              <w:rPr>
                <w:rFonts w:ascii="Arial Narrow" w:hAnsi="Arial Narrow" w:eastAsia="仿宋_GB2312" w:cs="Arial"/>
                <w:sz w:val="22"/>
                <w:szCs w:val="22"/>
              </w:rPr>
            </w:pPr>
            <w:r>
              <w:rPr>
                <w:rFonts w:hint="eastAsia" w:ascii="Arial Narrow" w:hAnsi="Arial Narrow" w:eastAsia="仿宋_GB2312" w:cs="Arial"/>
                <w:sz w:val="22"/>
                <w:szCs w:val="22"/>
              </w:rPr>
              <w:t xml:space="preserve">6</w:t>
            </w:r>
            <w:r>
              <w:rPr>
                <w:rFonts w:ascii="Arial Narrow" w:hAnsi="Arial Narrow" w:eastAsia="仿宋_GB2312" w:cs="Arial"/>
                <w:sz w:val="22"/>
                <w:szCs w:val="22"/>
              </w:rPr>
            </w:r>
          </w:p>
        </w:tc>
        <w:tc>
          <w:tcPr>
            <w:shd w:val="clear" w:color="auto" w:fill="auto"/>
            <w:tcBorders/>
            <w:tcW w:w="3590" w:type="dxa"/>
            <w:vAlign w:val="center"/>
            <w:textDirection w:val="lrTb"/>
            <w:noWrap w:val="false"/>
          </w:tcPr>
          <w:p>
            <w:pPr>
              <w:pBdr/>
              <w:spacing/>
              <w:ind/>
              <w:jc w:val="both"/>
              <w:rPr>
                <w:rFonts w:ascii="Arial Narrow" w:hAnsi="Arial Narrow" w:eastAsia="仿宋_GB2312" w:cs="Arial"/>
                <w:sz w:val="22"/>
                <w:szCs w:val="22"/>
              </w:rPr>
            </w:pPr>
            <w:r>
              <w:rPr>
                <w:rFonts w:hint="eastAsia" w:ascii="Arial Narrow" w:hAnsi="Arial Narrow" w:eastAsia="仿宋_GB2312" w:cs="Arial"/>
                <w:sz w:val="22"/>
                <w:szCs w:val="22"/>
              </w:rPr>
              <w:t xml:space="preserve">会计核算，成本管理，资金管理，财税申报，财务信息化管理</w:t>
            </w:r>
            <w:r>
              <w:rPr>
                <w:rFonts w:ascii="Arial Narrow" w:hAnsi="Arial Narrow" w:eastAsia="仿宋_GB2312" w:cs="Arial"/>
                <w:sz w:val="22"/>
                <w:szCs w:val="22"/>
              </w:rPr>
            </w:r>
          </w:p>
        </w:tc>
        <w:tc>
          <w:tcPr>
            <w:shd w:val="clear" w:color="auto" w:fill="auto"/>
            <w:tcBorders/>
            <w:tcW w:w="1390" w:type="dxa"/>
            <w:vAlign w:val="center"/>
            <w:textDirection w:val="lrTb"/>
            <w:noWrap w:val="false"/>
          </w:tcPr>
          <w:p>
            <w:pPr>
              <w:pBdr/>
              <w:spacing/>
              <w:ind/>
              <w:jc w:val="center"/>
              <w:rPr>
                <w:rFonts w:ascii="Arial Narrow" w:hAnsi="Arial Narrow" w:eastAsia="仿宋_GB2312" w:cs="Arial"/>
                <w:sz w:val="22"/>
                <w:szCs w:val="22"/>
              </w:rPr>
            </w:pPr>
            <w:r>
              <w:rPr>
                <w:rFonts w:hint="eastAsia" w:ascii="Arial Narrow" w:hAnsi="Arial Narrow" w:eastAsia="仿宋_GB2312" w:cs="Arial"/>
                <w:sz w:val="22"/>
                <w:szCs w:val="22"/>
              </w:rPr>
              <w:t xml:space="preserve">总经理</w:t>
            </w:r>
            <w:r>
              <w:rPr>
                <w:rFonts w:ascii="Arial Narrow" w:hAnsi="Arial Narrow" w:eastAsia="仿宋_GB2312" w:cs="Arial"/>
                <w:sz w:val="22"/>
                <w:szCs w:val="22"/>
              </w:rPr>
            </w:r>
          </w:p>
        </w:tc>
        <w:tc>
          <w:tcPr>
            <w:shd w:val="clear" w:color="auto" w:fill="auto"/>
            <w:tcBorders>
              <w:right w:val="single" w:color="auto" w:sz="4" w:space="0"/>
            </w:tcBorders>
            <w:tcW w:w="1656" w:type="dxa"/>
            <w:vAlign w:val="center"/>
            <w:textDirection w:val="lrTb"/>
            <w:noWrap w:val="false"/>
          </w:tcPr>
          <w:p>
            <w:pPr>
              <w:pBdr/>
              <w:spacing/>
              <w:ind/>
              <w:jc w:val="center"/>
              <w:rPr>
                <w:rFonts w:ascii="Arial Narrow" w:hAnsi="Arial Narrow" w:eastAsia="仿宋_GB2312" w:cs="Arial"/>
                <w:sz w:val="22"/>
                <w:szCs w:val="22"/>
              </w:rPr>
            </w:pPr>
            <w:r>
              <w:rPr>
                <w:rFonts w:hint="eastAsia" w:ascii="Arial Narrow" w:hAnsi="Arial Narrow" w:eastAsia="仿宋_GB2312" w:cs="Arial"/>
                <w:sz w:val="22"/>
                <w:szCs w:val="22"/>
              </w:rPr>
              <w:t xml:space="preserve">中国/美国</w:t>
            </w:r>
            <w:r>
              <w:rPr>
                <w:rFonts w:ascii="Arial Narrow" w:hAnsi="Arial Narrow" w:eastAsia="仿宋_GB2312" w:cs="Arial"/>
                <w:sz w:val="22"/>
                <w:szCs w:val="22"/>
              </w:rPr>
            </w:r>
            <w:r>
              <w:rPr>
                <w:rFonts w:ascii="Arial Narrow" w:hAnsi="Arial Narrow" w:eastAsia="仿宋_GB2312" w:cs="Arial"/>
                <w:sz w:val="22"/>
                <w:szCs w:val="22"/>
              </w:rPr>
            </w:r>
          </w:p>
        </w:tc>
      </w:tr>
      <w:tr>
        <w:trPr>
          <w:trHeight w:val="461"/>
        </w:trPr>
        <w:tc>
          <w:tcPr>
            <w:shd w:val="clear" w:color="auto" w:fill="auto"/>
            <w:tcBorders>
              <w:left w:val="single" w:color="auto" w:sz="4" w:space="0"/>
            </w:tcBorders>
            <w:tcW w:w="1501" w:type="dxa"/>
            <w:vAlign w:val="center"/>
            <w:textDirection w:val="lrTb"/>
            <w:noWrap w:val="false"/>
          </w:tcPr>
          <w:p>
            <w:pPr>
              <w:pBdr/>
              <w:spacing/>
              <w:ind/>
              <w:jc w:val="center"/>
              <w:rPr>
                <w:rFonts w:ascii="Arial Narrow" w:hAnsi="Arial Narrow" w:eastAsia="仿宋_GB2312" w:cs="Arial"/>
                <w:b w:val="0"/>
                <w:sz w:val="22"/>
                <w:szCs w:val="22"/>
              </w:rPr>
            </w:pPr>
            <w:r>
              <w:rPr>
                <w:rFonts w:hint="eastAsia" w:ascii="Arial Narrow" w:hAnsi="Arial Narrow" w:eastAsia="仿宋_GB2312" w:cs="Arial"/>
                <w:b w:val="0"/>
                <w:sz w:val="22"/>
                <w:szCs w:val="22"/>
              </w:rPr>
              <w:t xml:space="preserve">资讯部</w:t>
            </w:r>
            <w:r>
              <w:rPr>
                <w:rFonts w:ascii="Arial Narrow" w:hAnsi="Arial Narrow" w:eastAsia="仿宋_GB2312" w:cs="Arial"/>
                <w:b w:val="0"/>
                <w:sz w:val="22"/>
                <w:szCs w:val="22"/>
              </w:rPr>
            </w:r>
          </w:p>
        </w:tc>
        <w:tc>
          <w:tcPr>
            <w:shd w:val="clear" w:color="auto" w:fill="auto"/>
            <w:tcBorders/>
            <w:tcW w:w="930" w:type="dxa"/>
            <w:vAlign w:val="center"/>
            <w:textDirection w:val="lrTb"/>
            <w:noWrap w:val="false"/>
          </w:tcPr>
          <w:p>
            <w:pPr>
              <w:pBdr/>
              <w:spacing/>
              <w:ind/>
              <w:jc w:val="center"/>
              <w:rPr>
                <w:rFonts w:ascii="Arial Narrow" w:hAnsi="Arial Narrow" w:eastAsia="仿宋_GB2312" w:cs="Arial"/>
                <w:sz w:val="22"/>
                <w:szCs w:val="22"/>
              </w:rPr>
            </w:pPr>
            <w:r>
              <w:rPr>
                <w:rFonts w:hint="eastAsia" w:ascii="Arial Narrow" w:hAnsi="Arial Narrow" w:eastAsia="仿宋_GB2312" w:cs="Arial"/>
                <w:sz w:val="22"/>
                <w:szCs w:val="22"/>
              </w:rPr>
              <w:t xml:space="preserve">5</w:t>
            </w:r>
            <w:r>
              <w:rPr>
                <w:rFonts w:ascii="Arial Narrow" w:hAnsi="Arial Narrow" w:eastAsia="仿宋_GB2312" w:cs="Arial"/>
                <w:sz w:val="22"/>
                <w:szCs w:val="22"/>
              </w:rPr>
            </w:r>
          </w:p>
        </w:tc>
        <w:tc>
          <w:tcPr>
            <w:shd w:val="clear" w:color="auto" w:fill="auto"/>
            <w:tcBorders/>
            <w:tcW w:w="3590" w:type="dxa"/>
            <w:vAlign w:val="center"/>
            <w:textDirection w:val="lrTb"/>
            <w:noWrap w:val="false"/>
          </w:tcPr>
          <w:p>
            <w:pPr>
              <w:pBdr/>
              <w:spacing/>
              <w:ind/>
              <w:jc w:val="both"/>
              <w:rPr>
                <w:rFonts w:ascii="Arial Narrow" w:hAnsi="Arial Narrow" w:eastAsia="仿宋_GB2312" w:cs="Arial"/>
                <w:sz w:val="22"/>
                <w:szCs w:val="22"/>
              </w:rPr>
            </w:pPr>
            <w:r>
              <w:rPr>
                <w:rFonts w:hint="eastAsia" w:ascii="Arial Narrow" w:hAnsi="Arial Narrow" w:eastAsia="仿宋_GB2312" w:cs="Arial"/>
                <w:sz w:val="22"/>
                <w:szCs w:val="22"/>
              </w:rPr>
              <w:t xml:space="preserve">网络管理，信息软件培训维保，机房建设与管理</w:t>
            </w:r>
            <w:r>
              <w:rPr>
                <w:rFonts w:ascii="Arial Narrow" w:hAnsi="Arial Narrow" w:eastAsia="仿宋_GB2312" w:cs="Arial"/>
                <w:sz w:val="22"/>
                <w:szCs w:val="22"/>
              </w:rPr>
            </w:r>
          </w:p>
        </w:tc>
        <w:tc>
          <w:tcPr>
            <w:shd w:val="clear" w:color="auto" w:fill="auto"/>
            <w:tcBorders/>
            <w:tcW w:w="1390" w:type="dxa"/>
            <w:vAlign w:val="center"/>
            <w:textDirection w:val="lrTb"/>
            <w:noWrap w:val="false"/>
          </w:tcPr>
          <w:p>
            <w:pPr>
              <w:pBdr/>
              <w:spacing/>
              <w:ind/>
              <w:jc w:val="center"/>
              <w:rPr>
                <w:rFonts w:ascii="Arial Narrow" w:hAnsi="Arial Narrow" w:eastAsia="仿宋_GB2312" w:cs="Arial"/>
                <w:sz w:val="22"/>
                <w:szCs w:val="22"/>
              </w:rPr>
            </w:pPr>
            <w:r>
              <w:rPr>
                <w:rFonts w:hint="eastAsia" w:ascii="Arial Narrow" w:hAnsi="Arial Narrow" w:eastAsia="仿宋_GB2312" w:cs="Arial"/>
                <w:sz w:val="22"/>
                <w:szCs w:val="22"/>
              </w:rPr>
              <w:t xml:space="preserve">总经理</w:t>
            </w:r>
            <w:r>
              <w:rPr>
                <w:rFonts w:ascii="Arial Narrow" w:hAnsi="Arial Narrow" w:eastAsia="仿宋_GB2312" w:cs="Arial"/>
                <w:sz w:val="22"/>
                <w:szCs w:val="22"/>
              </w:rPr>
            </w:r>
          </w:p>
        </w:tc>
        <w:tc>
          <w:tcPr>
            <w:shd w:val="clear" w:color="auto" w:fill="auto"/>
            <w:tcBorders>
              <w:right w:val="single" w:color="auto" w:sz="4" w:space="0"/>
            </w:tcBorders>
            <w:tcW w:w="1656" w:type="dxa"/>
            <w:vAlign w:val="center"/>
            <w:textDirection w:val="lrTb"/>
            <w:noWrap w:val="false"/>
          </w:tcPr>
          <w:p>
            <w:pPr>
              <w:pBdr/>
              <w:spacing/>
              <w:ind/>
              <w:jc w:val="center"/>
              <w:rPr>
                <w:rFonts w:ascii="Arial Narrow" w:hAnsi="Arial Narrow" w:eastAsia="仿宋_GB2312" w:cs="Arial"/>
                <w:sz w:val="22"/>
                <w:szCs w:val="22"/>
              </w:rPr>
            </w:pPr>
            <w:r>
              <w:rPr>
                <w:rFonts w:hint="eastAsia" w:ascii="Arial Narrow" w:hAnsi="Arial Narrow" w:eastAsia="仿宋_GB2312" w:cs="Arial"/>
                <w:sz w:val="22"/>
                <w:szCs w:val="22"/>
              </w:rPr>
              <w:t xml:space="preserve">中国/美国</w:t>
            </w:r>
            <w:r>
              <w:rPr>
                <w:rFonts w:ascii="Arial Narrow" w:hAnsi="Arial Narrow" w:eastAsia="仿宋_GB2312" w:cs="Arial"/>
                <w:sz w:val="22"/>
                <w:szCs w:val="22"/>
              </w:rPr>
            </w:r>
            <w:r>
              <w:rPr>
                <w:rFonts w:ascii="Arial Narrow" w:hAnsi="Arial Narrow" w:eastAsia="仿宋_GB2312" w:cs="Arial"/>
                <w:sz w:val="22"/>
                <w:szCs w:val="22"/>
              </w:rPr>
            </w:r>
          </w:p>
        </w:tc>
      </w:tr>
      <w:tr>
        <w:trPr>
          <w:trHeight w:val="461"/>
        </w:trPr>
        <w:tc>
          <w:tcPr>
            <w:shd w:val="clear" w:color="auto" w:fill="auto"/>
            <w:tcBorders>
              <w:left w:val="single" w:color="auto" w:sz="4" w:space="0"/>
            </w:tcBorders>
            <w:tcW w:w="1501" w:type="dxa"/>
            <w:vAlign w:val="center"/>
            <w:textDirection w:val="lrTb"/>
            <w:noWrap w:val="false"/>
          </w:tcPr>
          <w:p>
            <w:pPr>
              <w:pBdr/>
              <w:spacing/>
              <w:ind/>
              <w:jc w:val="center"/>
              <w:rPr>
                <w:rFonts w:ascii="Arial Narrow" w:hAnsi="Arial Narrow" w:eastAsia="仿宋_GB2312" w:cs="Arial"/>
                <w:b w:val="0"/>
                <w:sz w:val="22"/>
                <w:szCs w:val="22"/>
              </w:rPr>
            </w:pPr>
            <w:r>
              <w:rPr>
                <w:rFonts w:hint="eastAsia" w:ascii="Arial Narrow" w:hAnsi="Arial Narrow" w:eastAsia="仿宋_GB2312" w:cs="Arial"/>
                <w:b w:val="0"/>
                <w:sz w:val="22"/>
                <w:szCs w:val="22"/>
              </w:rPr>
              <w:t xml:space="preserve">人事部</w:t>
            </w:r>
            <w:r>
              <w:rPr>
                <w:rFonts w:ascii="Arial Narrow" w:hAnsi="Arial Narrow" w:eastAsia="仿宋_GB2312" w:cs="Arial"/>
                <w:b w:val="0"/>
                <w:sz w:val="22"/>
                <w:szCs w:val="22"/>
              </w:rPr>
            </w:r>
          </w:p>
        </w:tc>
        <w:tc>
          <w:tcPr>
            <w:shd w:val="clear" w:color="auto" w:fill="auto"/>
            <w:tcBorders/>
            <w:tcW w:w="930" w:type="dxa"/>
            <w:vAlign w:val="center"/>
            <w:textDirection w:val="lrTb"/>
            <w:noWrap w:val="false"/>
          </w:tcPr>
          <w:p>
            <w:pPr>
              <w:pBdr/>
              <w:spacing/>
              <w:ind/>
              <w:jc w:val="center"/>
              <w:rPr>
                <w:rFonts w:ascii="Arial Narrow" w:hAnsi="Arial Narrow" w:eastAsia="仿宋_GB2312" w:cs="Arial"/>
                <w:sz w:val="22"/>
                <w:szCs w:val="22"/>
              </w:rPr>
            </w:pPr>
            <w:r>
              <w:rPr>
                <w:rFonts w:hint="eastAsia" w:ascii="Arial Narrow" w:hAnsi="Arial Narrow" w:eastAsia="仿宋_GB2312" w:cs="Arial"/>
                <w:sz w:val="22"/>
                <w:szCs w:val="22"/>
              </w:rPr>
              <w:t xml:space="preserve">2</w:t>
            </w:r>
            <w:r>
              <w:rPr>
                <w:rFonts w:ascii="Arial Narrow" w:hAnsi="Arial Narrow" w:eastAsia="仿宋_GB2312" w:cs="Arial"/>
                <w:sz w:val="22"/>
                <w:szCs w:val="22"/>
              </w:rPr>
            </w:r>
          </w:p>
        </w:tc>
        <w:tc>
          <w:tcPr>
            <w:shd w:val="clear" w:color="auto" w:fill="auto"/>
            <w:tcBorders/>
            <w:tcW w:w="3590" w:type="dxa"/>
            <w:vAlign w:val="center"/>
            <w:textDirection w:val="lrTb"/>
            <w:noWrap w:val="false"/>
          </w:tcPr>
          <w:p>
            <w:pPr>
              <w:pBdr/>
              <w:spacing/>
              <w:ind/>
              <w:jc w:val="both"/>
              <w:rPr>
                <w:rFonts w:ascii="Arial Narrow" w:hAnsi="Arial Narrow" w:eastAsia="仿宋_GB2312" w:cs="Arial"/>
                <w:sz w:val="22"/>
                <w:szCs w:val="22"/>
              </w:rPr>
            </w:pPr>
            <w:r>
              <w:rPr>
                <w:rFonts w:hint="eastAsia" w:ascii="Arial Narrow" w:hAnsi="Arial Narrow" w:eastAsia="仿宋_GB2312" w:cs="Arial"/>
                <w:sz w:val="22"/>
                <w:szCs w:val="22"/>
              </w:rPr>
              <w:t xml:space="preserve">公司制度订立执行，员工招聘、考核、培训及劳资关系管理</w:t>
            </w:r>
            <w:r>
              <w:rPr>
                <w:rFonts w:ascii="Arial Narrow" w:hAnsi="Arial Narrow" w:eastAsia="仿宋_GB2312" w:cs="Arial"/>
                <w:sz w:val="22"/>
                <w:szCs w:val="22"/>
              </w:rPr>
            </w:r>
          </w:p>
        </w:tc>
        <w:tc>
          <w:tcPr>
            <w:shd w:val="clear" w:color="auto" w:fill="auto"/>
            <w:tcBorders/>
            <w:tcW w:w="1390" w:type="dxa"/>
            <w:vAlign w:val="center"/>
            <w:textDirection w:val="lrTb"/>
            <w:noWrap w:val="false"/>
          </w:tcPr>
          <w:p>
            <w:pPr>
              <w:pBdr/>
              <w:spacing/>
              <w:ind/>
              <w:jc w:val="center"/>
              <w:rPr>
                <w:rFonts w:ascii="Arial Narrow" w:hAnsi="Arial Narrow" w:eastAsia="仿宋_GB2312" w:cs="Arial"/>
                <w:sz w:val="22"/>
                <w:szCs w:val="22"/>
              </w:rPr>
            </w:pPr>
            <w:r>
              <w:rPr>
                <w:rFonts w:hint="eastAsia" w:ascii="Arial Narrow" w:hAnsi="Arial Narrow" w:eastAsia="仿宋_GB2312" w:cs="Arial"/>
                <w:sz w:val="22"/>
                <w:szCs w:val="22"/>
              </w:rPr>
              <w:t xml:space="preserve">总经理</w:t>
            </w:r>
            <w:r>
              <w:rPr>
                <w:rFonts w:ascii="Arial Narrow" w:hAnsi="Arial Narrow" w:eastAsia="仿宋_GB2312" w:cs="Arial"/>
                <w:sz w:val="22"/>
                <w:szCs w:val="22"/>
              </w:rPr>
            </w:r>
          </w:p>
        </w:tc>
        <w:tc>
          <w:tcPr>
            <w:shd w:val="clear" w:color="auto" w:fill="auto"/>
            <w:tcBorders>
              <w:right w:val="single" w:color="auto" w:sz="4" w:space="0"/>
            </w:tcBorders>
            <w:tcW w:w="1656" w:type="dxa"/>
            <w:vAlign w:val="center"/>
            <w:textDirection w:val="lrTb"/>
            <w:noWrap w:val="false"/>
          </w:tcPr>
          <w:p>
            <w:pPr>
              <w:pBdr/>
              <w:spacing/>
              <w:ind/>
              <w:jc w:val="center"/>
              <w:rPr>
                <w:rFonts w:ascii="Arial Narrow" w:hAnsi="Arial Narrow" w:eastAsia="仿宋_GB2312" w:cs="Arial"/>
                <w:sz w:val="22"/>
                <w:szCs w:val="22"/>
              </w:rPr>
            </w:pPr>
            <w:r>
              <w:rPr>
                <w:rFonts w:hint="eastAsia" w:ascii="Arial Narrow" w:hAnsi="Arial Narrow" w:eastAsia="仿宋_GB2312" w:cs="Arial"/>
                <w:sz w:val="22"/>
                <w:szCs w:val="22"/>
              </w:rPr>
              <w:t xml:space="preserve">中国/美国</w:t>
            </w:r>
            <w:r>
              <w:rPr>
                <w:rFonts w:ascii="Arial Narrow" w:hAnsi="Arial Narrow" w:eastAsia="仿宋_GB2312" w:cs="Arial"/>
                <w:sz w:val="22"/>
                <w:szCs w:val="22"/>
              </w:rPr>
            </w:r>
            <w:r>
              <w:rPr>
                <w:rFonts w:ascii="Arial Narrow" w:hAnsi="Arial Narrow" w:eastAsia="仿宋_GB2312" w:cs="Arial"/>
                <w:sz w:val="22"/>
                <w:szCs w:val="22"/>
              </w:rPr>
            </w:r>
          </w:p>
        </w:tc>
      </w:tr>
      <w:tr>
        <w:trPr>
          <w:trHeight w:val="461"/>
        </w:trPr>
        <w:tc>
          <w:tcPr>
            <w:shd w:val="clear" w:color="auto" w:fill="auto"/>
            <w:tcBorders>
              <w:left w:val="single" w:color="auto" w:sz="4" w:space="0"/>
            </w:tcBorders>
            <w:tcW w:w="1501" w:type="dxa"/>
            <w:vAlign w:val="center"/>
            <w:textDirection w:val="lrTb"/>
            <w:noWrap w:val="false"/>
          </w:tcPr>
          <w:p>
            <w:pPr>
              <w:pBdr/>
              <w:spacing/>
              <w:ind/>
              <w:jc w:val="center"/>
              <w:rPr>
                <w:rFonts w:ascii="Arial Narrow" w:hAnsi="Arial Narrow" w:eastAsia="仿宋_GB2312" w:cs="Arial"/>
                <w:b w:val="0"/>
                <w:sz w:val="22"/>
                <w:szCs w:val="22"/>
              </w:rPr>
            </w:pPr>
            <w:r>
              <w:rPr>
                <w:rFonts w:hint="eastAsia" w:ascii="Arial Narrow" w:hAnsi="Arial Narrow" w:eastAsia="仿宋_GB2312" w:cs="Arial"/>
                <w:b w:val="0"/>
                <w:sz w:val="22"/>
                <w:szCs w:val="22"/>
              </w:rPr>
              <w:t xml:space="preserve">管理部</w:t>
            </w:r>
            <w:r>
              <w:rPr>
                <w:rFonts w:ascii="Arial Narrow" w:hAnsi="Arial Narrow" w:eastAsia="仿宋_GB2312" w:cs="Arial"/>
                <w:b w:val="0"/>
                <w:sz w:val="22"/>
                <w:szCs w:val="22"/>
              </w:rPr>
            </w:r>
          </w:p>
        </w:tc>
        <w:tc>
          <w:tcPr>
            <w:shd w:val="clear" w:color="auto" w:fill="auto"/>
            <w:tcBorders/>
            <w:tcW w:w="930" w:type="dxa"/>
            <w:vAlign w:val="center"/>
            <w:textDirection w:val="lrTb"/>
            <w:noWrap w:val="false"/>
          </w:tcPr>
          <w:p>
            <w:pPr>
              <w:pBdr/>
              <w:spacing/>
              <w:ind/>
              <w:jc w:val="center"/>
              <w:rPr>
                <w:rFonts w:ascii="Arial Narrow" w:hAnsi="Arial Narrow" w:eastAsia="仿宋_GB2312" w:cs="Arial"/>
                <w:sz w:val="22"/>
                <w:szCs w:val="22"/>
              </w:rPr>
            </w:pPr>
            <w:r>
              <w:rPr>
                <w:rFonts w:hint="eastAsia" w:ascii="Arial Narrow" w:hAnsi="Arial Narrow" w:eastAsia="仿宋_GB2312" w:cs="Arial"/>
                <w:sz w:val="22"/>
                <w:szCs w:val="22"/>
              </w:rPr>
              <w:t xml:space="preserve">7</w:t>
            </w:r>
            <w:r>
              <w:rPr>
                <w:rFonts w:ascii="Arial Narrow" w:hAnsi="Arial Narrow" w:eastAsia="仿宋_GB2312" w:cs="Arial"/>
                <w:sz w:val="22"/>
                <w:szCs w:val="22"/>
              </w:rPr>
            </w:r>
          </w:p>
        </w:tc>
        <w:tc>
          <w:tcPr>
            <w:shd w:val="clear" w:color="auto" w:fill="auto"/>
            <w:tcBorders/>
            <w:tcW w:w="3590" w:type="dxa"/>
            <w:vAlign w:val="center"/>
            <w:textDirection w:val="lrTb"/>
            <w:noWrap w:val="false"/>
          </w:tcPr>
          <w:p>
            <w:pPr>
              <w:pBdr/>
              <w:spacing/>
              <w:ind/>
              <w:jc w:val="both"/>
              <w:rPr>
                <w:rFonts w:ascii="Arial Narrow" w:hAnsi="Arial Narrow" w:eastAsia="仿宋_GB2312" w:cs="Arial"/>
                <w:sz w:val="22"/>
                <w:szCs w:val="22"/>
              </w:rPr>
            </w:pPr>
            <w:r>
              <w:rPr>
                <w:rFonts w:hint="eastAsia" w:ascii="Arial Narrow" w:hAnsi="Arial Narrow" w:eastAsia="仿宋_GB2312" w:cs="Arial"/>
                <w:sz w:val="22"/>
                <w:szCs w:val="22"/>
              </w:rPr>
              <w:t xml:space="preserve">安保环境管理，职工食宿等行政事务</w:t>
            </w:r>
            <w:r>
              <w:rPr>
                <w:rFonts w:ascii="Arial Narrow" w:hAnsi="Arial Narrow" w:eastAsia="仿宋_GB2312" w:cs="Arial"/>
                <w:sz w:val="22"/>
                <w:szCs w:val="22"/>
              </w:rPr>
            </w:r>
          </w:p>
        </w:tc>
        <w:tc>
          <w:tcPr>
            <w:shd w:val="clear" w:color="auto" w:fill="auto"/>
            <w:tcBorders/>
            <w:tcW w:w="1390" w:type="dxa"/>
            <w:vAlign w:val="center"/>
            <w:textDirection w:val="lrTb"/>
            <w:noWrap w:val="false"/>
          </w:tcPr>
          <w:p>
            <w:pPr>
              <w:pBdr/>
              <w:spacing/>
              <w:ind/>
              <w:jc w:val="center"/>
              <w:rPr>
                <w:rFonts w:ascii="Arial Narrow" w:hAnsi="Arial Narrow" w:eastAsia="仿宋_GB2312" w:cs="Arial"/>
                <w:sz w:val="22"/>
                <w:szCs w:val="22"/>
              </w:rPr>
            </w:pPr>
            <w:r>
              <w:rPr>
                <w:rFonts w:hint="eastAsia" w:ascii="Arial Narrow" w:hAnsi="Arial Narrow" w:eastAsia="仿宋_GB2312" w:cs="Arial"/>
                <w:sz w:val="22"/>
                <w:szCs w:val="22"/>
              </w:rPr>
              <w:t xml:space="preserve">总经理</w:t>
            </w:r>
            <w:r>
              <w:rPr>
                <w:rFonts w:ascii="Arial Narrow" w:hAnsi="Arial Narrow" w:eastAsia="仿宋_GB2312" w:cs="Arial"/>
                <w:sz w:val="22"/>
                <w:szCs w:val="22"/>
              </w:rPr>
            </w:r>
          </w:p>
        </w:tc>
        <w:tc>
          <w:tcPr>
            <w:shd w:val="clear" w:color="auto" w:fill="auto"/>
            <w:tcBorders>
              <w:right w:val="single" w:color="auto" w:sz="4" w:space="0"/>
            </w:tcBorders>
            <w:tcW w:w="1656" w:type="dxa"/>
            <w:vAlign w:val="center"/>
            <w:textDirection w:val="lrTb"/>
            <w:noWrap w:val="false"/>
          </w:tcPr>
          <w:p>
            <w:pPr>
              <w:pBdr/>
              <w:spacing/>
              <w:ind/>
              <w:jc w:val="center"/>
              <w:rPr>
                <w:rFonts w:ascii="Arial Narrow" w:hAnsi="Arial Narrow" w:eastAsia="仿宋_GB2312" w:cs="Arial"/>
                <w:sz w:val="22"/>
                <w:szCs w:val="22"/>
              </w:rPr>
            </w:pPr>
            <w:r>
              <w:rPr>
                <w:rFonts w:hint="eastAsia" w:ascii="Arial Narrow" w:hAnsi="Arial Narrow" w:eastAsia="仿宋_GB2312" w:cs="Arial"/>
                <w:sz w:val="22"/>
                <w:szCs w:val="22"/>
              </w:rPr>
              <w:t xml:space="preserve">中国/美国</w:t>
            </w:r>
            <w:r>
              <w:rPr>
                <w:rFonts w:ascii="Arial Narrow" w:hAnsi="Arial Narrow" w:eastAsia="仿宋_GB2312" w:cs="Arial"/>
                <w:sz w:val="22"/>
                <w:szCs w:val="22"/>
              </w:rPr>
            </w:r>
            <w:r>
              <w:rPr>
                <w:rFonts w:ascii="Arial Narrow" w:hAnsi="Arial Narrow" w:eastAsia="仿宋_GB2312" w:cs="Arial"/>
                <w:sz w:val="22"/>
                <w:szCs w:val="22"/>
              </w:rPr>
            </w:r>
          </w:p>
        </w:tc>
      </w:tr>
      <w:tr>
        <w:trPr>
          <w:trHeight w:val="461"/>
        </w:trPr>
        <w:tc>
          <w:tcPr>
            <w:shd w:val="clear" w:color="auto" w:fill="auto"/>
            <w:tcBorders>
              <w:left w:val="single" w:color="auto" w:sz="4" w:space="0"/>
            </w:tcBorders>
            <w:tcW w:w="1501" w:type="dxa"/>
            <w:vAlign w:val="center"/>
            <w:textDirection w:val="lrTb"/>
            <w:noWrap w:val="false"/>
          </w:tcPr>
          <w:p>
            <w:pPr>
              <w:pBdr/>
              <w:spacing/>
              <w:ind/>
              <w:jc w:val="center"/>
              <w:rPr>
                <w:rFonts w:ascii="Arial Narrow" w:hAnsi="Arial Narrow" w:eastAsia="仿宋_GB2312" w:cs="Arial"/>
                <w:sz w:val="22"/>
                <w:szCs w:val="22"/>
              </w:rPr>
            </w:pPr>
            <w:r>
              <w:rPr>
                <w:rFonts w:hint="eastAsia" w:ascii="Arial Narrow" w:hAnsi="Arial Narrow" w:eastAsia="仿宋_GB2312" w:cs="Arial"/>
                <w:b w:val="0"/>
                <w:sz w:val="22"/>
                <w:szCs w:val="22"/>
              </w:rPr>
              <w:t xml:space="preserve">品质部</w:t>
            </w:r>
            <w:r>
              <w:rPr>
                <w:rFonts w:ascii="Arial Narrow" w:hAnsi="Arial Narrow" w:eastAsia="仿宋_GB2312" w:cs="Arial"/>
                <w:sz w:val="22"/>
                <w:szCs w:val="22"/>
              </w:rPr>
            </w:r>
          </w:p>
        </w:tc>
        <w:tc>
          <w:tcPr>
            <w:shd w:val="clear" w:color="auto" w:fill="auto"/>
            <w:tcBorders/>
            <w:tcW w:w="930" w:type="dxa"/>
            <w:vAlign w:val="center"/>
            <w:textDirection w:val="lrTb"/>
            <w:noWrap w:val="false"/>
          </w:tcPr>
          <w:p>
            <w:pPr>
              <w:pBdr/>
              <w:spacing/>
              <w:ind/>
              <w:jc w:val="center"/>
              <w:rPr>
                <w:rFonts w:ascii="Arial Narrow" w:hAnsi="Arial Narrow" w:eastAsia="仿宋_GB2312" w:cs="Arial"/>
                <w:sz w:val="22"/>
                <w:szCs w:val="22"/>
              </w:rPr>
            </w:pPr>
            <w:r>
              <w:rPr>
                <w:rFonts w:hint="eastAsia" w:ascii="Arial Narrow" w:hAnsi="Arial Narrow" w:eastAsia="仿宋_GB2312" w:cs="Arial"/>
                <w:sz w:val="22"/>
                <w:szCs w:val="22"/>
              </w:rPr>
              <w:t xml:space="preserve">17</w:t>
            </w:r>
            <w:r>
              <w:rPr>
                <w:rFonts w:ascii="Arial Narrow" w:hAnsi="Arial Narrow" w:eastAsia="仿宋_GB2312" w:cs="Arial"/>
                <w:sz w:val="22"/>
                <w:szCs w:val="22"/>
              </w:rPr>
            </w:r>
          </w:p>
        </w:tc>
        <w:tc>
          <w:tcPr>
            <w:shd w:val="clear" w:color="auto" w:fill="auto"/>
            <w:tcBorders/>
            <w:tcW w:w="3590" w:type="dxa"/>
            <w:vAlign w:val="center"/>
            <w:textDirection w:val="lrTb"/>
            <w:noWrap w:val="false"/>
          </w:tcPr>
          <w:p>
            <w:pPr>
              <w:pBdr/>
              <w:spacing/>
              <w:ind/>
              <w:jc w:val="both"/>
              <w:rPr>
                <w:rFonts w:ascii="Arial Narrow" w:hAnsi="Arial Narrow" w:eastAsia="仿宋_GB2312" w:cs="Arial"/>
                <w:sz w:val="22"/>
                <w:szCs w:val="22"/>
              </w:rPr>
            </w:pPr>
            <w:r>
              <w:rPr>
                <w:rFonts w:hint="eastAsia" w:ascii="Arial Narrow" w:hAnsi="Arial Narrow" w:eastAsia="仿宋_GB2312" w:cs="Arial"/>
                <w:sz w:val="22"/>
                <w:szCs w:val="22"/>
              </w:rPr>
              <w:t xml:space="preserve">建立质量体系，制订品质，对物料、制程、产品质量检验</w:t>
            </w:r>
            <w:r>
              <w:rPr>
                <w:rFonts w:ascii="Arial Narrow" w:hAnsi="Arial Narrow" w:eastAsia="仿宋_GB2312" w:cs="Arial"/>
                <w:sz w:val="22"/>
                <w:szCs w:val="22"/>
              </w:rPr>
            </w:r>
          </w:p>
        </w:tc>
        <w:tc>
          <w:tcPr>
            <w:shd w:val="clear" w:color="auto" w:fill="auto"/>
            <w:tcBorders/>
            <w:tcW w:w="1390" w:type="dxa"/>
            <w:vAlign w:val="center"/>
            <w:textDirection w:val="lrTb"/>
            <w:noWrap w:val="false"/>
          </w:tcPr>
          <w:p>
            <w:pPr>
              <w:pBdr/>
              <w:spacing/>
              <w:ind/>
              <w:jc w:val="center"/>
              <w:rPr>
                <w:rFonts w:ascii="Arial Narrow" w:hAnsi="Arial Narrow" w:eastAsia="仿宋_GB2312" w:cs="Arial"/>
                <w:sz w:val="22"/>
                <w:szCs w:val="22"/>
              </w:rPr>
            </w:pPr>
            <w:r>
              <w:rPr>
                <w:rFonts w:hint="eastAsia" w:ascii="Arial Narrow" w:hAnsi="Arial Narrow" w:eastAsia="仿宋_GB2312" w:cs="Arial"/>
                <w:sz w:val="22"/>
                <w:szCs w:val="22"/>
              </w:rPr>
              <w:t xml:space="preserve">总经理</w:t>
            </w:r>
            <w:r>
              <w:rPr>
                <w:rFonts w:ascii="Arial Narrow" w:hAnsi="Arial Narrow" w:eastAsia="仿宋_GB2312" w:cs="Arial"/>
                <w:sz w:val="22"/>
                <w:szCs w:val="22"/>
              </w:rPr>
            </w:r>
          </w:p>
        </w:tc>
        <w:tc>
          <w:tcPr>
            <w:shd w:val="clear" w:color="auto" w:fill="auto"/>
            <w:tcBorders>
              <w:right w:val="single" w:color="auto" w:sz="4" w:space="0"/>
            </w:tcBorders>
            <w:tcW w:w="1656" w:type="dxa"/>
            <w:vAlign w:val="center"/>
            <w:textDirection w:val="lrTb"/>
            <w:noWrap w:val="false"/>
          </w:tcPr>
          <w:p>
            <w:pPr>
              <w:pBdr/>
              <w:spacing/>
              <w:ind/>
              <w:jc w:val="center"/>
              <w:rPr>
                <w:rFonts w:ascii="Arial Narrow" w:hAnsi="Arial Narrow" w:eastAsia="仿宋_GB2312" w:cs="Arial"/>
                <w:sz w:val="22"/>
                <w:szCs w:val="22"/>
              </w:rPr>
            </w:pPr>
            <w:r>
              <w:rPr>
                <w:rFonts w:hint="eastAsia" w:ascii="Arial Narrow" w:hAnsi="Arial Narrow" w:eastAsia="仿宋_GB2312" w:cs="Arial"/>
                <w:sz w:val="22"/>
                <w:szCs w:val="22"/>
              </w:rPr>
              <w:t xml:space="preserve">中国/美国</w:t>
            </w:r>
            <w:r>
              <w:rPr>
                <w:rFonts w:ascii="Arial Narrow" w:hAnsi="Arial Narrow" w:eastAsia="仿宋_GB2312" w:cs="Arial"/>
                <w:sz w:val="22"/>
                <w:szCs w:val="22"/>
              </w:rPr>
            </w:r>
            <w:r>
              <w:rPr>
                <w:rFonts w:ascii="Arial Narrow" w:hAnsi="Arial Narrow" w:eastAsia="仿宋_GB2312" w:cs="Arial"/>
                <w:sz w:val="22"/>
                <w:szCs w:val="22"/>
              </w:rPr>
            </w:r>
          </w:p>
        </w:tc>
      </w:tr>
      <w:tr>
        <w:trPr>
          <w:trHeight w:val="461"/>
        </w:trPr>
        <w:tc>
          <w:tcPr>
            <w:shd w:val="clear" w:color="auto" w:fill="auto"/>
            <w:tcBorders>
              <w:left w:val="single" w:color="auto" w:sz="4" w:space="0"/>
            </w:tcBorders>
            <w:tcW w:w="1501" w:type="dxa"/>
            <w:vAlign w:val="center"/>
            <w:textDirection w:val="lrTb"/>
            <w:noWrap w:val="false"/>
          </w:tcPr>
          <w:p>
            <w:pPr>
              <w:pBdr/>
              <w:spacing/>
              <w:ind/>
              <w:jc w:val="center"/>
              <w:rPr>
                <w:rFonts w:ascii="Arial Narrow" w:hAnsi="Arial Narrow" w:eastAsia="仿宋_GB2312" w:cs="Arial"/>
                <w:sz w:val="22"/>
                <w:szCs w:val="22"/>
              </w:rPr>
            </w:pPr>
            <w:r>
              <w:rPr>
                <w:rFonts w:hint="eastAsia" w:ascii="Arial Narrow" w:hAnsi="Arial Narrow" w:eastAsia="仿宋_GB2312" w:cs="Arial"/>
                <w:b w:val="0"/>
                <w:sz w:val="22"/>
                <w:szCs w:val="22"/>
              </w:rPr>
              <w:t xml:space="preserve">研发部</w:t>
            </w:r>
            <w:r>
              <w:rPr>
                <w:rFonts w:ascii="Arial Narrow" w:hAnsi="Arial Narrow" w:eastAsia="仿宋_GB2312" w:cs="Arial"/>
                <w:sz w:val="22"/>
                <w:szCs w:val="22"/>
              </w:rPr>
            </w:r>
          </w:p>
        </w:tc>
        <w:tc>
          <w:tcPr>
            <w:shd w:val="clear" w:color="auto" w:fill="auto"/>
            <w:tcBorders/>
            <w:tcW w:w="930" w:type="dxa"/>
            <w:vAlign w:val="center"/>
            <w:textDirection w:val="lrTb"/>
            <w:noWrap w:val="false"/>
          </w:tcPr>
          <w:p>
            <w:pPr>
              <w:pBdr/>
              <w:spacing/>
              <w:ind/>
              <w:jc w:val="center"/>
              <w:rPr>
                <w:rFonts w:ascii="Arial Narrow" w:hAnsi="Arial Narrow" w:eastAsia="仿宋_GB2312" w:cs="Arial"/>
                <w:sz w:val="22"/>
                <w:szCs w:val="22"/>
              </w:rPr>
            </w:pPr>
            <w:r>
              <w:rPr>
                <w:rFonts w:hint="eastAsia" w:ascii="Arial Narrow" w:hAnsi="Arial Narrow" w:eastAsia="仿宋_GB2312" w:cs="Arial"/>
                <w:sz w:val="22"/>
                <w:szCs w:val="22"/>
              </w:rPr>
              <w:t xml:space="preserve">14</w:t>
            </w:r>
            <w:r>
              <w:rPr>
                <w:rFonts w:ascii="Arial Narrow" w:hAnsi="Arial Narrow" w:eastAsia="仿宋_GB2312" w:cs="Arial"/>
                <w:sz w:val="22"/>
                <w:szCs w:val="22"/>
              </w:rPr>
            </w:r>
          </w:p>
        </w:tc>
        <w:tc>
          <w:tcPr>
            <w:shd w:val="clear" w:color="auto" w:fill="auto"/>
            <w:tcBorders/>
            <w:tcW w:w="3590" w:type="dxa"/>
            <w:vAlign w:val="center"/>
            <w:textDirection w:val="lrTb"/>
            <w:noWrap w:val="false"/>
          </w:tcPr>
          <w:p>
            <w:pPr>
              <w:pBdr/>
              <w:spacing/>
              <w:ind/>
              <w:jc w:val="both"/>
              <w:rPr>
                <w:rFonts w:ascii="Arial Narrow" w:hAnsi="Arial Narrow" w:eastAsia="仿宋_GB2312" w:cs="Arial"/>
                <w:sz w:val="22"/>
                <w:szCs w:val="22"/>
              </w:rPr>
            </w:pPr>
            <w:r>
              <w:rPr>
                <w:rFonts w:hint="eastAsia" w:ascii="Arial Narrow" w:hAnsi="Arial Narrow" w:eastAsia="仿宋_GB2312" w:cs="Arial"/>
                <w:sz w:val="22"/>
                <w:szCs w:val="22"/>
              </w:rPr>
              <w:t xml:space="preserve">配方管理，新产品调研立项开发，旧产品改进</w:t>
            </w:r>
            <w:r>
              <w:rPr>
                <w:rFonts w:ascii="Arial Narrow" w:hAnsi="Arial Narrow" w:eastAsia="仿宋_GB2312" w:cs="Arial"/>
                <w:sz w:val="22"/>
                <w:szCs w:val="22"/>
              </w:rPr>
            </w:r>
          </w:p>
        </w:tc>
        <w:tc>
          <w:tcPr>
            <w:shd w:val="clear" w:color="auto" w:fill="auto"/>
            <w:tcBorders/>
            <w:tcW w:w="1390" w:type="dxa"/>
            <w:vAlign w:val="center"/>
            <w:textDirection w:val="lrTb"/>
            <w:noWrap w:val="false"/>
          </w:tcPr>
          <w:p>
            <w:pPr>
              <w:pBdr/>
              <w:spacing/>
              <w:ind/>
              <w:jc w:val="center"/>
              <w:rPr>
                <w:rFonts w:ascii="Arial Narrow" w:hAnsi="Arial Narrow" w:eastAsia="仿宋_GB2312" w:cs="Arial"/>
                <w:sz w:val="22"/>
                <w:szCs w:val="22"/>
              </w:rPr>
            </w:pPr>
            <w:r>
              <w:rPr>
                <w:rFonts w:hint="eastAsia" w:ascii="Arial Narrow" w:hAnsi="Arial Narrow" w:eastAsia="仿宋_GB2312" w:cs="Arial"/>
                <w:sz w:val="22"/>
                <w:szCs w:val="22"/>
              </w:rPr>
              <w:t xml:space="preserve">总经理</w:t>
            </w:r>
            <w:r>
              <w:rPr>
                <w:rFonts w:ascii="Arial Narrow" w:hAnsi="Arial Narrow" w:eastAsia="仿宋_GB2312" w:cs="Arial"/>
                <w:sz w:val="22"/>
                <w:szCs w:val="22"/>
              </w:rPr>
            </w:r>
          </w:p>
        </w:tc>
        <w:tc>
          <w:tcPr>
            <w:shd w:val="clear" w:color="auto" w:fill="auto"/>
            <w:tcBorders>
              <w:right w:val="single" w:color="auto" w:sz="4" w:space="0"/>
            </w:tcBorders>
            <w:tcW w:w="1656" w:type="dxa"/>
            <w:vAlign w:val="center"/>
            <w:textDirection w:val="lrTb"/>
            <w:noWrap w:val="false"/>
          </w:tcPr>
          <w:p>
            <w:pPr>
              <w:pBdr/>
              <w:spacing/>
              <w:ind/>
              <w:jc w:val="center"/>
              <w:rPr>
                <w:rFonts w:ascii="Arial Narrow" w:hAnsi="Arial Narrow" w:eastAsia="仿宋_GB2312" w:cs="Arial"/>
                <w:sz w:val="22"/>
                <w:szCs w:val="22"/>
              </w:rPr>
            </w:pPr>
            <w:r>
              <w:rPr>
                <w:rFonts w:hint="eastAsia" w:ascii="Arial Narrow" w:hAnsi="Arial Narrow" w:eastAsia="仿宋_GB2312" w:cs="Arial"/>
                <w:sz w:val="22"/>
                <w:szCs w:val="22"/>
              </w:rPr>
              <w:t xml:space="preserve">中国/美国</w:t>
            </w:r>
            <w:r>
              <w:rPr>
                <w:rFonts w:ascii="Arial Narrow" w:hAnsi="Arial Narrow" w:eastAsia="仿宋_GB2312" w:cs="Arial"/>
                <w:sz w:val="22"/>
                <w:szCs w:val="22"/>
              </w:rPr>
            </w:r>
            <w:r>
              <w:rPr>
                <w:rFonts w:ascii="Arial Narrow" w:hAnsi="Arial Narrow" w:eastAsia="仿宋_GB2312" w:cs="Arial"/>
                <w:sz w:val="22"/>
                <w:szCs w:val="22"/>
              </w:rPr>
            </w:r>
          </w:p>
        </w:tc>
      </w:tr>
      <w:tr>
        <w:trPr>
          <w:trHeight w:val="389"/>
        </w:trPr>
        <w:tc>
          <w:tcPr>
            <w:shd w:val="clear" w:color="auto" w:fill="auto"/>
            <w:tcBorders>
              <w:left w:val="single" w:color="auto" w:sz="4" w:space="0"/>
              <w:bottom w:val="single" w:color="auto" w:sz="4" w:space="0"/>
            </w:tcBorders>
            <w:tcW w:w="1501" w:type="dxa"/>
            <w:vAlign w:val="center"/>
            <w:textDirection w:val="lrTb"/>
            <w:noWrap w:val="false"/>
          </w:tcPr>
          <w:p>
            <w:pPr>
              <w:pBdr/>
              <w:spacing/>
              <w:ind/>
              <w:jc w:val="center"/>
              <w:rPr>
                <w:rFonts w:ascii="Arial Narrow" w:hAnsi="Arial Narrow" w:eastAsia="仿宋_GB2312" w:cs="Arial"/>
                <w:sz w:val="22"/>
                <w:szCs w:val="22"/>
              </w:rPr>
            </w:pPr>
            <w:r>
              <w:rPr>
                <w:rFonts w:ascii="Arial Narrow" w:hAnsi="Arial Narrow" w:eastAsia="仿宋_GB2312" w:cs="Arial"/>
                <w:bCs w:val="0"/>
                <w:sz w:val="22"/>
                <w:szCs w:val="22"/>
              </w:rPr>
              <w:t xml:space="preserve">总计</w:t>
            </w:r>
            <w:r>
              <w:rPr>
                <w:rFonts w:ascii="Arial Narrow" w:hAnsi="Arial Narrow" w:eastAsia="仿宋_GB2312" w:cs="Arial"/>
                <w:sz w:val="22"/>
                <w:szCs w:val="22"/>
              </w:rPr>
            </w:r>
          </w:p>
        </w:tc>
        <w:tc>
          <w:tcPr>
            <w:shd w:val="clear" w:color="auto" w:fill="auto"/>
            <w:tcBorders>
              <w:bottom w:val="single" w:color="auto" w:sz="4" w:space="0"/>
            </w:tcBorders>
            <w:tcW w:w="930" w:type="dxa"/>
            <w:vAlign w:val="center"/>
            <w:textDirection w:val="lrTb"/>
            <w:noWrap w:val="false"/>
          </w:tcPr>
          <w:p>
            <w:pPr>
              <w:pBdr/>
              <w:spacing/>
              <w:ind/>
              <w:jc w:val="center"/>
              <w:rPr>
                <w:rFonts w:ascii="Arial Narrow" w:hAnsi="Arial Narrow" w:eastAsia="仿宋_GB2312" w:cs="Arial"/>
                <w:sz w:val="22"/>
                <w:szCs w:val="22"/>
              </w:rPr>
            </w:pPr>
            <w:r>
              <w:rPr>
                <w:rFonts w:hint="eastAsia" w:ascii="Arial Narrow" w:hAnsi="Arial Narrow" w:eastAsia="仿宋_GB2312" w:cs="Arial"/>
                <w:b/>
                <w:sz w:val="22"/>
                <w:szCs w:val="22"/>
              </w:rPr>
              <w:t xml:space="preserve">464</w:t>
            </w:r>
            <w:r>
              <w:rPr>
                <w:rFonts w:ascii="Arial Narrow" w:hAnsi="Arial Narrow" w:eastAsia="仿宋_GB2312" w:cs="Arial"/>
                <w:sz w:val="22"/>
                <w:szCs w:val="22"/>
              </w:rPr>
            </w:r>
          </w:p>
        </w:tc>
        <w:tc>
          <w:tcPr>
            <w:gridSpan w:val="3"/>
            <w:shd w:val="clear" w:color="auto" w:fill="auto"/>
            <w:tcBorders>
              <w:bottom w:val="single" w:color="auto" w:sz="4" w:space="0"/>
              <w:right w:val="single" w:color="auto" w:sz="4" w:space="0"/>
            </w:tcBorders>
            <w:tcW w:w="6636" w:type="dxa"/>
            <w:vAlign w:val="center"/>
            <w:textDirection w:val="lrTb"/>
            <w:noWrap w:val="false"/>
          </w:tcPr>
          <w:p>
            <w:pPr>
              <w:pBdr/>
              <w:spacing/>
              <w:ind/>
              <w:jc w:val="center"/>
              <w:rPr>
                <w:rFonts w:ascii="Arial Narrow" w:hAnsi="Arial Narrow" w:eastAsia="仿宋_GB2312" w:cs="Arial"/>
                <w:sz w:val="22"/>
                <w:szCs w:val="22"/>
              </w:rPr>
            </w:pPr>
            <w:r>
              <w:rPr>
                <w:rFonts w:ascii="Arial Narrow" w:hAnsi="Arial Narrow" w:eastAsia="仿宋_GB2312" w:cs="Arial"/>
                <w:sz w:val="22"/>
                <w:szCs w:val="22"/>
              </w:rPr>
            </w:r>
            <w:r>
              <w:rPr>
                <w:rFonts w:ascii="Arial Narrow" w:hAnsi="Arial Narrow" w:eastAsia="仿宋_GB2312" w:cs="Arial"/>
                <w:sz w:val="22"/>
                <w:szCs w:val="22"/>
              </w:rPr>
            </w:r>
          </w:p>
        </w:tc>
      </w:tr>
    </w:tbl>
    <w:p>
      <w:pPr>
        <w:pBdr/>
        <w:spacing/>
        <w:ind/>
        <w:rPr>
          <w:rFonts w:ascii="Arial Narrow" w:hAnsi="Arial Narrow" w:eastAsia="仿宋_GB2312" w:cs="Arial"/>
          <w:i/>
          <w:iCs/>
          <w:sz w:val="16"/>
          <w:szCs w:val="16"/>
        </w:rPr>
      </w:pPr>
      <w:r>
        <w:rPr>
          <w:rFonts w:ascii="Arial Narrow" w:hAnsi="Arial Narrow" w:eastAsia="仿宋_GB2312" w:cs="Arial"/>
          <w:i/>
          <w:iCs/>
          <w:sz w:val="16"/>
          <w:szCs w:val="16"/>
        </w:rPr>
        <w:t xml:space="preserve">信息来源：由松莉科技提供</w:t>
      </w:r>
      <w:r>
        <w:rPr>
          <w:rFonts w:ascii="Arial Narrow" w:hAnsi="Arial Narrow" w:eastAsia="仿宋_GB2312" w:cs="Arial"/>
          <w:i/>
          <w:iCs/>
          <w:sz w:val="16"/>
          <w:szCs w:val="16"/>
        </w:rPr>
      </w:r>
    </w:p>
    <w:p>
      <w:pPr>
        <w:pStyle w:val="1324"/>
        <w:pBdr/>
        <w:spacing/>
        <w:ind/>
        <w:rPr>
          <w:b/>
          <w:bCs/>
        </w:rPr>
      </w:pPr>
      <w:r/>
      <w:bookmarkStart w:id="228" w:name="_Toc140505111"/>
      <w:r/>
      <w:bookmarkStart w:id="229" w:name="_Toc53229057"/>
      <w:r/>
      <w:bookmarkEnd w:id="224"/>
      <w:r/>
      <w:bookmarkEnd w:id="225"/>
      <w:r/>
      <w:bookmarkEnd w:id="226"/>
      <w:r>
        <w:t xml:space="preserve">主营业务及财务状况</w:t>
      </w:r>
      <w:bookmarkEnd w:id="228"/>
      <w:r/>
      <w:bookmarkEnd w:id="229"/>
      <w:r/>
      <w:r>
        <w:rPr>
          <w:b/>
          <w:bCs/>
        </w:rPr>
      </w:r>
    </w:p>
    <w:p>
      <w:pPr>
        <w:pBdr/>
        <w:spacing w:after="180" w:before="180" w:line="360" w:lineRule="auto"/>
        <w:ind w:firstLine="440"/>
        <w:jc w:val="both"/>
        <w:rPr>
          <w:rFonts w:ascii="Arial Narrow" w:hAnsi="Arial Narrow" w:eastAsia="仿宋_GB2312" w:cs="Arial"/>
          <w:sz w:val="22"/>
          <w:szCs w:val="22"/>
        </w:rPr>
      </w:pPr>
      <w:r/>
      <w:bookmarkStart w:id="230" w:name="_Toc48317405"/>
      <w:r/>
      <w:bookmarkStart w:id="231" w:name="_Toc48317112"/>
      <w:r/>
      <w:bookmarkStart w:id="232" w:name="_Toc262024927"/>
      <w:r/>
      <w:bookmarkStart w:id="233" w:name="_Toc261811240"/>
      <w:r/>
      <w:bookmarkStart w:id="234" w:name="_Toc135647185"/>
      <w:r/>
      <w:bookmarkStart w:id="235" w:name="_Toc62016497"/>
      <w:r/>
      <w:bookmarkStart w:id="236" w:name="_Toc63759085"/>
      <w:r>
        <w:rPr>
          <w:rFonts w:ascii="Arial Narrow" w:hAnsi="Arial Narrow" w:eastAsia="仿宋_GB2312" w:cs="Arial"/>
          <w:sz w:val="22"/>
          <w:szCs w:val="22"/>
        </w:rPr>
        <w:t xml:space="preserve">评估期间，松莉科技主要生产Markwins 集团旗下品牌的化妆品，主要产品包括Physicians Formula品牌化妆品、Wet n Wild品牌化妆品LiP SMACKER品牌润唇膏等。</w:t>
      </w:r>
      <w:r>
        <w:rPr>
          <w:rFonts w:hint="eastAsia" w:ascii="Arial Narrow" w:hAnsi="Arial Narrow" w:eastAsia="仿宋_GB2312" w:cs="Arial"/>
          <w:sz w:val="22"/>
          <w:szCs w:val="22"/>
        </w:rPr>
      </w:r>
      <w:r>
        <w:rPr>
          <w:rFonts w:ascii="Arial Narrow" w:hAnsi="Arial Narrow" w:eastAsia="仿宋_GB2312" w:cs="Arial"/>
          <w:sz w:val="22"/>
          <w:szCs w:val="22"/>
        </w:rPr>
      </w:r>
    </w:p>
    <w:p>
      <w:pPr>
        <w:numPr>
          <w:ilvl w:val="0"/>
          <w:numId w:val="19"/>
        </w:numPr>
        <w:pBdr/>
        <w:spacing w:after="180" w:before="180" w:line="360" w:lineRule="auto"/>
        <w:ind w:firstLine="440"/>
        <w:jc w:val="both"/>
        <w:rPr>
          <w:rFonts w:ascii="Arial Narrow" w:hAnsi="Arial Narrow" w:eastAsia="仿宋_GB2312" w:cs="Arial"/>
          <w:sz w:val="22"/>
          <w:szCs w:val="22"/>
        </w:rPr>
      </w:pPr>
      <w:r>
        <w:rPr>
          <w:rFonts w:hint="eastAsia" w:ascii="Arial Narrow" w:hAnsi="Arial Narrow" w:eastAsia="仿宋_GB2312" w:cs="Arial"/>
          <w:sz w:val="22"/>
          <w:szCs w:val="22"/>
        </w:rPr>
        <w:t xml:space="preserve">Physicians Formula品牌</w:t>
      </w:r>
      <w:r>
        <w:rPr>
          <w:rFonts w:hint="eastAsia" w:ascii="Arial Narrow" w:hAnsi="Arial Narrow" w:eastAsia="仿宋_GB2312" w:cs="Arial"/>
          <w:sz w:val="22"/>
          <w:szCs w:val="22"/>
        </w:rPr>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hint="eastAsia" w:ascii="Arial Narrow" w:hAnsi="Arial Narrow" w:eastAsia="仿宋_GB2312" w:cs="Arial"/>
          <w:sz w:val="22"/>
          <w:szCs w:val="22"/>
        </w:rPr>
        <w:t xml:space="preserve">致力于为全球有肌肤困扰的女性提供健康、可靠、且性价比极高的化妆品。PF品牌提倡健康可持续的生活方式，一直以来支持零残忍的彩妆和护肤理念，反对动物测试。为给中国消费者更好的品牌和产品体验，2019年5月PF品牌开启内贸。改良了部分产品的气味，优化了中国版本的配方，使其高标准符合中国法规。</w:t>
      </w:r>
      <w:r>
        <w:rPr>
          <w:rFonts w:hint="eastAsia" w:ascii="Arial Narrow" w:hAnsi="Arial Narrow" w:eastAsia="仿宋_GB2312" w:cs="Arial"/>
          <w:sz w:val="22"/>
          <w:szCs w:val="22"/>
        </w:rPr>
      </w:r>
      <w:r>
        <w:rPr>
          <w:rFonts w:ascii="Arial Narrow" w:hAnsi="Arial Narrow" w:eastAsia="仿宋_GB2312" w:cs="Arial"/>
          <w:sz w:val="22"/>
          <w:szCs w:val="22"/>
        </w:rPr>
      </w:r>
    </w:p>
    <w:p>
      <w:pPr>
        <w:numPr>
          <w:ilvl w:val="0"/>
          <w:numId w:val="19"/>
        </w:numPr>
        <w:pBdr/>
        <w:spacing w:after="180" w:before="180" w:line="360" w:lineRule="auto"/>
        <w:ind w:firstLine="440"/>
        <w:jc w:val="both"/>
        <w:rPr>
          <w:rFonts w:ascii="Arial Narrow" w:hAnsi="Arial Narrow" w:eastAsia="仿宋_GB2312" w:cs="Arial"/>
          <w:sz w:val="22"/>
          <w:szCs w:val="22"/>
        </w:rPr>
      </w:pPr>
      <w:r>
        <w:rPr>
          <w:rFonts w:hint="eastAsia" w:ascii="Arial Narrow" w:hAnsi="Arial Narrow" w:eastAsia="仿宋_GB2312" w:cs="Arial"/>
          <w:sz w:val="22"/>
          <w:szCs w:val="22"/>
        </w:rPr>
        <w:t xml:space="preserve">Wet n Wild品牌</w:t>
      </w:r>
      <w:r>
        <w:rPr>
          <w:rFonts w:hint="eastAsia" w:ascii="Arial Narrow" w:hAnsi="Arial Narrow" w:eastAsia="仿宋_GB2312" w:cs="Arial"/>
          <w:sz w:val="22"/>
          <w:szCs w:val="22"/>
        </w:rPr>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hint="eastAsia" w:ascii="Arial Narrow" w:hAnsi="Arial Narrow" w:eastAsia="仿宋_GB2312" w:cs="Arial"/>
          <w:sz w:val="22"/>
          <w:szCs w:val="22"/>
        </w:rPr>
        <w:t xml:space="preserve">作为诞生于美国洛杉矶的时尚彩妆品牌，常年蝉联美国开价彩妆第一，已入驻全美近58,000个零售店，成为全美媒体及时尚博主极力推荐的“美国最时尚彩妆品牌”。品牌持续秉承“张扬无畏、大胆自信、玩转色彩、彩妆先锋”的品牌理念，致力于打造最优品质的各类彩妆单品，在注重优质的上妆体验及出彩妆效的同时平衡性价比。</w:t>
      </w:r>
      <w:r>
        <w:rPr>
          <w:rFonts w:hint="eastAsia" w:ascii="Arial Narrow" w:hAnsi="Arial Narrow" w:eastAsia="仿宋_GB2312" w:cs="Arial"/>
          <w:sz w:val="22"/>
          <w:szCs w:val="22"/>
        </w:rPr>
      </w:r>
      <w:r>
        <w:rPr>
          <w:rFonts w:ascii="Arial Narrow" w:hAnsi="Arial Narrow" w:eastAsia="仿宋_GB2312" w:cs="Arial"/>
          <w:sz w:val="22"/>
          <w:szCs w:val="22"/>
        </w:rPr>
      </w:r>
    </w:p>
    <w:p>
      <w:pPr>
        <w:numPr>
          <w:ilvl w:val="0"/>
          <w:numId w:val="19"/>
        </w:numPr>
        <w:pBdr/>
        <w:spacing w:after="180" w:before="180" w:line="360" w:lineRule="auto"/>
        <w:ind w:firstLine="440"/>
        <w:jc w:val="both"/>
        <w:rPr>
          <w:rFonts w:ascii="Arial Narrow" w:hAnsi="Arial Narrow" w:eastAsia="仿宋_GB2312" w:cs="Arial"/>
          <w:sz w:val="22"/>
          <w:szCs w:val="22"/>
        </w:rPr>
      </w:pPr>
      <w:r>
        <w:rPr>
          <w:rFonts w:hint="eastAsia" w:ascii="Arial Narrow" w:hAnsi="Arial Narrow" w:eastAsia="仿宋_GB2312" w:cs="Arial"/>
          <w:sz w:val="22"/>
          <w:szCs w:val="22"/>
        </w:rPr>
        <w:t xml:space="preserve">LiP SMACKER品牌</w:t>
      </w:r>
      <w:r>
        <w:rPr>
          <w:rFonts w:hint="eastAsia" w:ascii="Arial Narrow" w:hAnsi="Arial Narrow" w:eastAsia="仿宋_GB2312" w:cs="Arial"/>
          <w:sz w:val="22"/>
          <w:szCs w:val="22"/>
        </w:rPr>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LiP SMACKER以热忠于原创、趣味并专注于无与伦比的口味和优质配方而闻名。并持续通过产品创新和独家合作，成为全球青少年必备的第一款润唇膏、并深受潮玩一族的喜爱。MARKWINS将在最近两年将LiP SMACKER 推入中国润唇膏前三品牌当中去。</w:t>
      </w:r>
      <w:r>
        <w:rPr>
          <w:rFonts w:hint="eastAsia" w:ascii="Arial Narrow" w:hAnsi="Arial Narrow" w:eastAsia="仿宋_GB2312" w:cs="Arial"/>
          <w:sz w:val="22"/>
          <w:szCs w:val="22"/>
        </w:rPr>
      </w:r>
      <w:r>
        <w:rPr>
          <w:rFonts w:ascii="Arial Narrow" w:hAnsi="Arial Narrow" w:eastAsia="仿宋_GB2312" w:cs="Arial"/>
          <w:sz w:val="22"/>
          <w:szCs w:val="22"/>
        </w:rPr>
      </w:r>
    </w:p>
    <w:p>
      <w:pPr>
        <w:pStyle w:val="1338"/>
        <w:pBdr/>
        <w:spacing/>
        <w:ind w:hanging="420" w:left="420"/>
        <w:jc w:val="center"/>
        <w:rPr>
          <w:rFonts w:ascii="Arial Narrow" w:hAnsi="Arial Narrow" w:eastAsia="仿宋_GB2312" w:cs="Arial"/>
          <w:sz w:val="22"/>
        </w:rPr>
      </w:pPr>
      <w:r>
        <w:rPr>
          <w:rFonts w:ascii="Arial Narrow" w:hAnsi="Arial Narrow" w:eastAsia="仿宋_GB2312" w:cs="Arial"/>
          <w:sz w:val="22"/>
        </w:rPr>
        <w:t xml:space="preserve">图表 5：松莉科技部分产品示意图</w:t>
      </w:r>
      <w:r>
        <w:rPr>
          <w:rFonts w:ascii="Arial Narrow" w:hAnsi="Arial Narrow" w:eastAsia="仿宋_GB2312" w:cs="Arial"/>
          <w:sz w:val="22"/>
        </w:rPr>
        <w:fldChar w:fldCharType="begin"/>
      </w:r>
      <w:r>
        <w:rPr>
          <w:rFonts w:ascii="Arial Narrow" w:hAnsi="Arial Narrow" w:eastAsia="仿宋_GB2312" w:cs="Arial"/>
          <w:sz w:val="22"/>
        </w:rPr>
        <w:instrText xml:space="preserve"> SEQ </w:instrText>
      </w:r>
      <w:r>
        <w:rPr>
          <w:rFonts w:ascii="Arial Narrow" w:hAnsi="Arial Narrow" w:eastAsia="仿宋_GB2312" w:cs="Arial"/>
          <w:sz w:val="22"/>
        </w:rPr>
        <w:instrText xml:space="preserve">图表</w:instrText>
      </w:r>
      <w:r>
        <w:rPr>
          <w:rFonts w:ascii="Arial Narrow" w:hAnsi="Arial Narrow" w:eastAsia="仿宋_GB2312" w:cs="Arial"/>
          <w:sz w:val="22"/>
        </w:rPr>
        <w:instrText xml:space="preserve"> \* ARABIC </w:instrText>
      </w:r>
      <w:r>
        <w:rPr>
          <w:rFonts w:ascii="Arial Narrow" w:hAnsi="Arial Narrow" w:eastAsia="仿宋_GB2312" w:cs="Arial"/>
          <w:sz w:val="22"/>
        </w:rPr>
        <w:fldChar w:fldCharType="separate"/>
      </w:r>
      <w:r>
        <w:rPr>
          <w:rFonts w:ascii="Arial Narrow" w:hAnsi="Arial Narrow" w:eastAsia="仿宋_GB2312" w:cs="Arial"/>
          <w:sz w:val="22"/>
        </w:rPr>
        <w:fldChar w:fldCharType="end"/>
      </w:r>
      <w:r>
        <w:rPr>
          <w:rFonts w:hint="eastAsia" w:ascii="Arial Narrow" w:hAnsi="Arial Narrow" w:eastAsia="仿宋_GB2312" w:cs="Arial"/>
          <w:sz w:val="22"/>
        </w:rPr>
      </w:r>
      <w:r>
        <w:rPr>
          <w:rFonts w:ascii="Arial Narrow" w:hAnsi="Arial Narrow" w:eastAsia="仿宋_GB2312" w:cs="Arial"/>
          <w:sz w:val="22"/>
        </w:rPr>
      </w:r>
    </w:p>
    <w:tbl>
      <w:tblPr>
        <w:tblStyle w:val="1370"/>
        <w:tblW w:w="0" w:type="auto"/>
        <w:tblBorders/>
        <w:tblLook w:val="04A0" w:firstRow="1" w:lastRow="0" w:firstColumn="1" w:lastColumn="0" w:noHBand="0" w:noVBand="1"/>
      </w:tblPr>
      <w:tblGrid>
        <w:gridCol w:w="2500"/>
        <w:gridCol w:w="5797"/>
      </w:tblGrid>
      <w:tr>
        <w:trPr>
          <w:trHeight w:val="562"/>
        </w:trPr>
        <w:tc>
          <w:tcPr>
            <w:shd w:val="clear" w:color="auto" w:fill="002060"/>
            <w:tcBorders/>
            <w:tcW w:w="2504" w:type="dxa"/>
            <w:vAlign w:val="center"/>
            <w:textDirection w:val="lrTb"/>
            <w:noWrap w:val="false"/>
          </w:tcPr>
          <w:p>
            <w:pPr>
              <w:pBdr/>
              <w:spacing/>
              <w:ind/>
              <w:jc w:val="center"/>
              <w:rPr>
                <w:rFonts w:ascii="Arial Narrow" w:hAnsi="Arial Narrow" w:eastAsia="仿宋_GB2312" w:cs="Arial"/>
                <w:b/>
                <w:bCs/>
                <w:color w:val="ffffff" w:themeColor="background1"/>
                <w:sz w:val="22"/>
                <w:szCs w:val="22"/>
              </w:rPr>
            </w:pPr>
            <w:r>
              <w:rPr>
                <w:rFonts w:hint="eastAsia" w:ascii="Arial Narrow" w:hAnsi="Arial Narrow" w:eastAsia="仿宋_GB2312" w:cs="Arial"/>
                <w:b/>
                <w:bCs/>
                <w:color w:val="ffffff" w:themeColor="background1"/>
                <w:sz w:val="22"/>
                <w:szCs w:val="22"/>
              </w:rPr>
              <w:t xml:space="preserve">产品品牌</w:t>
            </w:r>
            <w:r>
              <w:rPr>
                <w:rFonts w:ascii="Arial Narrow" w:hAnsi="Arial Narrow" w:eastAsia="仿宋_GB2312" w:cs="Arial"/>
                <w:b/>
                <w:bCs/>
                <w:color w:val="ffffff" w:themeColor="background1"/>
                <w:sz w:val="22"/>
                <w:szCs w:val="22"/>
              </w:rPr>
            </w:r>
          </w:p>
        </w:tc>
        <w:tc>
          <w:tcPr>
            <w:shd w:val="clear" w:color="auto" w:fill="002060"/>
            <w:tcBorders/>
            <w:tcW w:w="5798" w:type="dxa"/>
            <w:vAlign w:val="center"/>
            <w:textDirection w:val="lrTb"/>
            <w:noWrap w:val="false"/>
          </w:tcPr>
          <w:p>
            <w:pPr>
              <w:pBdr/>
              <w:spacing/>
              <w:ind/>
              <w:jc w:val="center"/>
              <w:rPr>
                <w:rFonts w:ascii="Arial Narrow" w:hAnsi="Arial Narrow" w:eastAsia="仿宋_GB2312" w:cs="Arial"/>
                <w:b/>
                <w:bCs/>
                <w:color w:val="ffffff" w:themeColor="background1"/>
                <w:sz w:val="22"/>
                <w:szCs w:val="22"/>
              </w:rPr>
            </w:pPr>
            <w:r>
              <w:rPr>
                <w:rFonts w:hint="eastAsia" w:ascii="Arial Narrow" w:hAnsi="Arial Narrow" w:eastAsia="仿宋_GB2312" w:cs="Arial"/>
                <w:b/>
                <w:bCs/>
                <w:color w:val="ffffff" w:themeColor="background1"/>
                <w:sz w:val="22"/>
                <w:szCs w:val="22"/>
              </w:rPr>
              <w:t xml:space="preserve">产品示意图</w:t>
            </w:r>
            <w:r>
              <w:rPr>
                <w:rFonts w:ascii="Arial Narrow" w:hAnsi="Arial Narrow" w:eastAsia="仿宋_GB2312" w:cs="Arial"/>
                <w:b/>
                <w:bCs/>
                <w:color w:val="ffffff" w:themeColor="background1"/>
                <w:sz w:val="22"/>
                <w:szCs w:val="22"/>
              </w:rPr>
            </w:r>
          </w:p>
        </w:tc>
      </w:tr>
      <w:tr>
        <w:trPr>
          <w:trHeight w:val="3501"/>
        </w:trPr>
        <w:tc>
          <w:tcPr>
            <w:shd w:val="clear" w:color="auto" w:fill="auto"/>
            <w:tcBorders/>
            <w:tcW w:w="2504" w:type="dxa"/>
            <w:vAlign w:val="center"/>
            <w:textDirection w:val="lrTb"/>
            <w:noWrap w:val="false"/>
          </w:tcPr>
          <w:p>
            <w:pPr>
              <w:pBdr/>
              <w:spacing/>
              <w:ind/>
              <w:jc w:val="center"/>
              <w:rPr>
                <w:rFonts w:ascii="Arial Narrow" w:hAnsi="Arial Narrow" w:eastAsia="仿宋_GB2312" w:cs="Arial"/>
                <w:bCs/>
                <w:color w:val="000000" w:themeColor="text1"/>
                <w:sz w:val="22"/>
                <w:szCs w:val="22"/>
              </w:rPr>
            </w:pPr>
            <w:r>
              <w:rPr>
                <w:rFonts w:hint="eastAsia" w:ascii="Arial Narrow" w:hAnsi="Arial Narrow" w:eastAsia="仿宋_GB2312" w:cs="Arial"/>
                <w:bCs/>
                <w:color w:val="000000" w:themeColor="text1"/>
                <w:sz w:val="22"/>
                <w:szCs w:val="22"/>
              </w:rPr>
              <w:t xml:space="preserve">Physicians Formula品牌</w:t>
            </w:r>
            <w:r>
              <w:rPr>
                <w:rFonts w:hint="eastAsia" w:ascii="Arial Narrow" w:hAnsi="Arial Narrow" w:eastAsia="仿宋_GB2312" w:cs="Arial"/>
                <w:bCs/>
                <w:color w:val="000000" w:themeColor="text1"/>
                <w:sz w:val="22"/>
                <w:szCs w:val="22"/>
              </w:rPr>
            </w:r>
            <w:r>
              <w:rPr>
                <w:rFonts w:ascii="Arial Narrow" w:hAnsi="Arial Narrow" w:eastAsia="仿宋_GB2312" w:cs="Arial"/>
                <w:bCs/>
                <w:color w:val="000000" w:themeColor="text1"/>
                <w:sz w:val="22"/>
                <w:szCs w:val="22"/>
              </w:rPr>
            </w:r>
          </w:p>
        </w:tc>
        <w:tc>
          <w:tcPr>
            <w:shd w:val="clear" w:color="auto" w:fill="auto"/>
            <w:tcBorders/>
            <w:tcW w:w="5798" w:type="dxa"/>
            <w:vAlign w:val="center"/>
            <w:textDirection w:val="lrTb"/>
            <w:noWrap w:val="false"/>
          </w:tcPr>
          <w:p>
            <w:pPr>
              <w:pBdr/>
              <w:spacing/>
              <w:ind/>
              <w:jc w:val="center"/>
              <w:rPr>
                <w:rFonts w:ascii="Arial Narrow" w:hAnsi="Arial Narrow" w:eastAsia="仿宋_GB2312" w:cs="Arial"/>
                <w:b/>
                <w:bCs/>
                <w:color w:val="ffffff" w:themeColor="background1"/>
                <w:sz w:val="22"/>
                <w:szCs w:val="22"/>
              </w:rPr>
            </w:pPr>
            <w:r>
              <mc:AlternateContent>
                <mc:Choice Requires="wpg">
                  <w:drawing>
                    <wp:inline xmlns:wp="http://schemas.openxmlformats.org/drawingml/2006/wordprocessingDrawing" distT="0" distB="0" distL="0" distR="0">
                      <wp:extent cx="3006725" cy="2041525"/>
                      <wp:effectExtent l="0" t="0" r="3175" b="0"/>
                      <wp:docPr id="3" name="图片 6" descr="微信截图_20230728175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微信截图_20230728175250"/>
                              <pic:cNvPicPr>
                                <a:picLocks noChangeAspect="1"/>
                              </pic:cNvPicPr>
                              <pic:nvPr/>
                            </pic:nvPicPr>
                            <pic:blipFill>
                              <a:blip r:embed="rId29"/>
                              <a:srcRect l="2031" t="0" r="0" b="0"/>
                              <a:stretch/>
                            </pic:blipFill>
                            <pic:spPr bwMode="auto">
                              <a:xfrm>
                                <a:off x="0" y="0"/>
                                <a:ext cx="3007244" cy="2041525"/>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36.75pt;height:160.75pt;mso-wrap-distance-left:0.00pt;mso-wrap-distance-top:0.00pt;mso-wrap-distance-right:0.00pt;mso-wrap-distance-bottom:0.00pt;z-index:1;" stroked="f">
                      <v:imagedata r:id="rId29" o:title=""/>
                      <o:lock v:ext="edit" rotation="t"/>
                    </v:shape>
                  </w:pict>
                </mc:Fallback>
              </mc:AlternateContent>
            </w:r>
            <w:r>
              <w:rPr>
                <w:rFonts w:ascii="Arial Narrow" w:hAnsi="Arial Narrow" w:eastAsia="仿宋_GB2312" w:cs="Arial"/>
                <w:b/>
                <w:bCs/>
                <w:color w:val="ffffff" w:themeColor="background1"/>
                <w:sz w:val="22"/>
                <w:szCs w:val="22"/>
              </w:rPr>
            </w:r>
          </w:p>
        </w:tc>
      </w:tr>
      <w:tr>
        <w:trPr>
          <w:trHeight w:val="2651"/>
        </w:trPr>
        <w:tc>
          <w:tcPr>
            <w:shd w:val="clear" w:color="auto" w:fill="auto"/>
            <w:tcBorders/>
            <w:tcW w:w="2504" w:type="dxa"/>
            <w:vAlign w:val="center"/>
            <w:textDirection w:val="lrTb"/>
            <w:noWrap w:val="false"/>
          </w:tcPr>
          <w:p>
            <w:pPr>
              <w:pBdr/>
              <w:spacing/>
              <w:ind/>
              <w:jc w:val="center"/>
              <w:rPr>
                <w:rFonts w:ascii="Arial Narrow" w:hAnsi="Arial Narrow" w:eastAsia="仿宋_GB2312" w:cs="Arial"/>
                <w:bCs/>
                <w:color w:val="000000" w:themeColor="text1"/>
                <w:sz w:val="22"/>
                <w:szCs w:val="22"/>
              </w:rPr>
            </w:pPr>
            <w:r>
              <w:rPr>
                <w:rFonts w:hint="eastAsia" w:ascii="Arial Narrow" w:hAnsi="Arial Narrow" w:eastAsia="仿宋_GB2312" w:cs="Arial"/>
                <w:bCs/>
                <w:color w:val="000000" w:themeColor="text1"/>
                <w:sz w:val="22"/>
                <w:szCs w:val="22"/>
              </w:rPr>
              <w:t xml:space="preserve">Wet n Wild品牌</w:t>
            </w:r>
            <w:r>
              <w:rPr>
                <w:rFonts w:hint="eastAsia" w:ascii="Arial Narrow" w:hAnsi="Arial Narrow" w:eastAsia="仿宋_GB2312" w:cs="Arial"/>
                <w:bCs/>
                <w:color w:val="000000" w:themeColor="text1"/>
                <w:sz w:val="22"/>
                <w:szCs w:val="22"/>
              </w:rPr>
            </w:r>
            <w:r>
              <w:rPr>
                <w:rFonts w:ascii="Arial Narrow" w:hAnsi="Arial Narrow" w:eastAsia="仿宋_GB2312" w:cs="Arial"/>
                <w:bCs/>
                <w:color w:val="000000" w:themeColor="text1"/>
                <w:sz w:val="22"/>
                <w:szCs w:val="22"/>
              </w:rPr>
            </w:r>
          </w:p>
        </w:tc>
        <w:tc>
          <w:tcPr>
            <w:shd w:val="clear" w:color="auto" w:fill="auto"/>
            <w:tcBorders/>
            <w:tcW w:w="5798" w:type="dxa"/>
            <w:vAlign w:val="center"/>
            <w:textDirection w:val="lrTb"/>
            <w:noWrap w:val="false"/>
          </w:tcPr>
          <w:p>
            <w:pPr>
              <w:pBdr/>
              <w:spacing/>
              <w:ind/>
              <w:jc w:val="center"/>
              <w:rPr>
                <w:rFonts w:ascii="Arial Narrow" w:hAnsi="Arial Narrow" w:eastAsia="仿宋_GB2312" w:cs="Arial"/>
                <w:b/>
                <w:bCs/>
                <w:color w:val="ffffff" w:themeColor="background1"/>
                <w:sz w:val="22"/>
                <w:szCs w:val="22"/>
              </w:rPr>
            </w:pPr>
            <w:r>
              <mc:AlternateContent>
                <mc:Choice Requires="wpg">
                  <w:drawing>
                    <wp:inline xmlns:wp="http://schemas.openxmlformats.org/drawingml/2006/wordprocessingDrawing" distT="0" distB="0" distL="0" distR="0">
                      <wp:extent cx="2983230" cy="1346200"/>
                      <wp:effectExtent l="0" t="0" r="3810" b="10160"/>
                      <wp:docPr id="4" name="图片 2" descr="微信截图_20230728175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截图_20230728175130"/>
                              <pic:cNvPicPr>
                                <a:picLocks noChangeAspect="1"/>
                              </pic:cNvPicPr>
                              <pic:nvPr/>
                            </pic:nvPicPr>
                            <pic:blipFill>
                              <a:blip r:embed="rId30"/>
                              <a:stretch/>
                            </pic:blipFill>
                            <pic:spPr bwMode="auto">
                              <a:xfrm>
                                <a:off x="0" y="0"/>
                                <a:ext cx="2983230" cy="1346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34.90pt;height:106.00pt;mso-wrap-distance-left:0.00pt;mso-wrap-distance-top:0.00pt;mso-wrap-distance-right:0.00pt;mso-wrap-distance-bottom:0.00pt;z-index:1;" stroked="false">
                      <v:imagedata r:id="rId30" o:title=""/>
                      <o:lock v:ext="edit" rotation="t"/>
                    </v:shape>
                  </w:pict>
                </mc:Fallback>
              </mc:AlternateContent>
            </w:r>
            <w:r>
              <w:rPr>
                <w:rFonts w:ascii="Arial Narrow" w:hAnsi="Arial Narrow" w:eastAsia="仿宋_GB2312" w:cs="Arial"/>
                <w:b/>
                <w:bCs/>
                <w:color w:val="ffffff" w:themeColor="background1"/>
                <w:sz w:val="22"/>
                <w:szCs w:val="22"/>
              </w:rPr>
            </w:r>
          </w:p>
        </w:tc>
      </w:tr>
      <w:tr>
        <w:trPr>
          <w:trHeight w:val="4159"/>
        </w:trPr>
        <w:tc>
          <w:tcPr>
            <w:shd w:val="clear" w:color="auto" w:fill="auto"/>
            <w:tcBorders/>
            <w:tcW w:w="2504" w:type="dxa"/>
            <w:vAlign w:val="center"/>
            <w:textDirection w:val="lrTb"/>
            <w:noWrap w:val="false"/>
          </w:tcPr>
          <w:p>
            <w:pPr>
              <w:pBdr/>
              <w:spacing w:after="180" w:before="180" w:line="360" w:lineRule="auto"/>
              <w:ind/>
              <w:jc w:val="center"/>
              <w:rPr>
                <w:rFonts w:ascii="Arial Narrow" w:hAnsi="Arial Narrow" w:eastAsia="仿宋_GB2312" w:cs="Arial"/>
                <w:bCs/>
                <w:color w:val="000000" w:themeColor="text1"/>
                <w:sz w:val="22"/>
                <w:szCs w:val="22"/>
              </w:rPr>
            </w:pPr>
            <w:r>
              <w:rPr>
                <w:rFonts w:hint="eastAsia" w:ascii="Arial Narrow" w:hAnsi="Arial Narrow" w:eastAsia="仿宋_GB2312" w:cs="Arial"/>
                <w:sz w:val="22"/>
                <w:szCs w:val="22"/>
              </w:rPr>
              <w:t xml:space="preserve">LiP SMACKER品牌</w:t>
            </w:r>
            <w:r>
              <w:rPr>
                <w:rFonts w:hint="eastAsia" w:ascii="Arial Narrow" w:hAnsi="Arial Narrow" w:eastAsia="仿宋_GB2312" w:cs="Arial"/>
                <w:sz w:val="22"/>
                <w:szCs w:val="22"/>
              </w:rPr>
            </w:r>
            <w:r>
              <w:rPr>
                <w:rFonts w:ascii="Arial Narrow" w:hAnsi="Arial Narrow" w:eastAsia="仿宋_GB2312" w:cs="Arial"/>
                <w:bCs/>
                <w:color w:val="000000" w:themeColor="text1"/>
                <w:sz w:val="22"/>
                <w:szCs w:val="22"/>
              </w:rPr>
            </w:r>
          </w:p>
        </w:tc>
        <w:tc>
          <w:tcPr>
            <w:shd w:val="clear" w:color="auto" w:fill="auto"/>
            <w:tcBorders/>
            <w:tcW w:w="5798" w:type="dxa"/>
            <w:vAlign w:val="center"/>
            <w:textDirection w:val="lrTb"/>
            <w:noWrap w:val="false"/>
          </w:tcPr>
          <w:p>
            <w:pPr>
              <w:pBdr/>
              <w:spacing/>
              <w:ind/>
              <w:jc w:val="center"/>
              <w:rPr>
                <w:rFonts w:ascii="Arial Narrow" w:hAnsi="Arial Narrow" w:eastAsia="仿宋_GB2312" w:cs="Arial"/>
                <w:b/>
                <w:bCs/>
                <w:color w:val="ffffff" w:themeColor="background1"/>
                <w:sz w:val="22"/>
                <w:szCs w:val="22"/>
              </w:rPr>
            </w:pPr>
            <w:r>
              <mc:AlternateContent>
                <mc:Choice Requires="wpg">
                  <w:drawing>
                    <wp:inline xmlns:wp="http://schemas.openxmlformats.org/drawingml/2006/wordprocessingDrawing" distT="0" distB="0" distL="0" distR="0">
                      <wp:extent cx="3334385" cy="2056130"/>
                      <wp:effectExtent l="0" t="0" r="3175" b="1270"/>
                      <wp:docPr id="5" name="图片 9" descr="微信截图_20230728175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微信截图_20230728175821"/>
                              <pic:cNvPicPr>
                                <a:picLocks noChangeAspect="1"/>
                              </pic:cNvPicPr>
                              <pic:nvPr/>
                            </pic:nvPicPr>
                            <pic:blipFill>
                              <a:blip r:embed="rId31"/>
                              <a:stretch/>
                            </pic:blipFill>
                            <pic:spPr bwMode="auto">
                              <a:xfrm>
                                <a:off x="0" y="0"/>
                                <a:ext cx="3334385" cy="20561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62.55pt;height:161.90pt;mso-wrap-distance-left:0.00pt;mso-wrap-distance-top:0.00pt;mso-wrap-distance-right:0.00pt;mso-wrap-distance-bottom:0.00pt;z-index:1;" stroked="false">
                      <v:imagedata r:id="rId31" o:title=""/>
                      <o:lock v:ext="edit" rotation="t"/>
                    </v:shape>
                  </w:pict>
                </mc:Fallback>
              </mc:AlternateContent>
            </w:r>
            <w:r>
              <w:rPr>
                <w:rFonts w:ascii="Arial Narrow" w:hAnsi="Arial Narrow" w:eastAsia="仿宋_GB2312" w:cs="Arial"/>
                <w:b/>
                <w:bCs/>
                <w:color w:val="ffffff" w:themeColor="background1"/>
                <w:sz w:val="22"/>
                <w:szCs w:val="22"/>
              </w:rPr>
            </w:r>
          </w:p>
        </w:tc>
      </w:tr>
    </w:tbl>
    <w:p>
      <w:pPr>
        <w:pBdr/>
        <w:spacing/>
        <w:ind/>
        <w:rPr>
          <w:rFonts w:ascii="Arial Narrow" w:hAnsi="Arial Narrow" w:eastAsia="仿宋_GB2312" w:cs="Arial"/>
          <w:i/>
          <w:iCs/>
          <w:sz w:val="16"/>
          <w:szCs w:val="16"/>
        </w:rPr>
      </w:pPr>
      <w:r>
        <w:rPr>
          <w:rFonts w:hint="eastAsia" w:ascii="Arial Narrow" w:hAnsi="Arial Narrow" w:eastAsia="仿宋_GB2312" w:cs="Arial"/>
          <w:i/>
          <w:iCs/>
          <w:sz w:val="16"/>
          <w:szCs w:val="16"/>
        </w:rPr>
        <w:t xml:space="preserve">信息来源：Markwins 集团官网</w:t>
      </w:r>
      <w:r>
        <w:rPr>
          <w:rFonts w:hint="eastAsia" w:ascii="Arial Narrow" w:hAnsi="Arial Narrow" w:eastAsia="仿宋_GB2312" w:cs="Arial"/>
          <w:i/>
          <w:iCs/>
          <w:sz w:val="16"/>
          <w:szCs w:val="16"/>
        </w:rPr>
      </w:r>
      <w:r>
        <w:rPr>
          <w:rFonts w:ascii="Arial Narrow" w:hAnsi="Arial Narrow" w:eastAsia="仿宋_GB2312" w:cs="Arial"/>
          <w:i/>
          <w:iCs/>
          <w:sz w:val="16"/>
          <w:szCs w:val="16"/>
        </w:rPr>
      </w:r>
    </w:p>
    <w:p>
      <w:pPr>
        <w:pBdr/>
        <w:spacing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下表列示了2023年度松莉科技的具体财务状况。</w:t>
      </w:r>
      <w:r>
        <w:rPr>
          <w:rFonts w:ascii="Arial Narrow" w:hAnsi="Arial Narrow" w:eastAsia="仿宋_GB2312" w:cs="Arial"/>
          <w:sz w:val="22"/>
          <w:szCs w:val="22"/>
        </w:rPr>
      </w:r>
      <w:r>
        <w:rPr>
          <w:rFonts w:ascii="Arial Narrow" w:hAnsi="Arial Narrow" w:eastAsia="仿宋_GB2312" w:cs="Arial"/>
          <w:sz w:val="22"/>
          <w:szCs w:val="22"/>
        </w:rPr>
      </w:r>
    </w:p>
    <w:p>
      <w:pPr>
        <w:pStyle w:val="1338"/>
        <w:pBdr/>
        <w:spacing/>
        <w:ind w:hanging="420" w:left="420"/>
        <w:jc w:val="center"/>
        <w:rPr>
          <w:rFonts w:ascii="Arial Narrow" w:hAnsi="Arial Narrow" w:eastAsia="仿宋_GB2312" w:cs="Arial"/>
          <w:sz w:val="22"/>
        </w:rPr>
      </w:pPr>
      <w:r>
        <w:rPr>
          <w:rFonts w:ascii="Arial Narrow" w:hAnsi="Arial Narrow" w:eastAsia="仿宋_GB2312" w:cs="Arial"/>
          <w:sz w:val="22"/>
        </w:rPr>
        <w:t xml:space="preserve">图表 6：松莉科技财务状况</w:t>
      </w:r>
      <w:r>
        <w:rPr>
          <w:rFonts w:ascii="Arial Narrow" w:hAnsi="Arial Narrow" w:eastAsia="仿宋_GB2312" w:cs="Arial"/>
          <w:sz w:val="22"/>
        </w:rPr>
        <w:fldChar w:fldCharType="begin"/>
      </w:r>
      <w:r>
        <w:rPr>
          <w:rFonts w:ascii="Arial Narrow" w:hAnsi="Arial Narrow" w:eastAsia="仿宋_GB2312" w:cs="Arial"/>
          <w:sz w:val="22"/>
        </w:rPr>
        <w:instrText xml:space="preserve"> SEQ </w:instrText>
      </w:r>
      <w:r>
        <w:rPr>
          <w:rFonts w:ascii="Arial Narrow" w:hAnsi="Arial Narrow" w:eastAsia="仿宋_GB2312" w:cs="Arial"/>
          <w:sz w:val="22"/>
        </w:rPr>
        <w:instrText xml:space="preserve">图表</w:instrText>
      </w:r>
      <w:r>
        <w:rPr>
          <w:rFonts w:ascii="Arial Narrow" w:hAnsi="Arial Narrow" w:eastAsia="仿宋_GB2312" w:cs="Arial"/>
          <w:sz w:val="22"/>
        </w:rPr>
        <w:instrText xml:space="preserve"> \* ARABIC </w:instrText>
      </w:r>
      <w:r>
        <w:rPr>
          <w:rFonts w:ascii="Arial Narrow" w:hAnsi="Arial Narrow" w:eastAsia="仿宋_GB2312" w:cs="Arial"/>
          <w:sz w:val="22"/>
        </w:rPr>
        <w:fldChar w:fldCharType="separate"/>
      </w:r>
      <w:r>
        <w:rPr>
          <w:rFonts w:ascii="Arial Narrow" w:hAnsi="Arial Narrow" w:eastAsia="仿宋_GB2312" w:cs="Arial"/>
          <w:sz w:val="22"/>
        </w:rPr>
        <w:fldChar w:fldCharType="end"/>
      </w:r>
      <w:r>
        <w:rPr>
          <w:rFonts w:ascii="Arial Narrow" w:hAnsi="Arial Narrow" w:eastAsia="仿宋_GB2312" w:cs="Arial"/>
          <w:sz w:val="22"/>
        </w:rPr>
      </w:r>
      <w:r>
        <w:rPr>
          <w:rFonts w:ascii="Arial Narrow" w:hAnsi="Arial Narrow" w:eastAsia="仿宋_GB2312" w:cs="Arial"/>
          <w:sz w:val="22"/>
        </w:rPr>
      </w:r>
    </w:p>
    <w:tbl>
      <w:tblPr>
        <w:tblW w:w="7087" w:type="dxa"/>
        <w:tblInd w:w="841" w:type="dxa"/>
        <w:tblBorders/>
        <w:tblLayout w:type="fixed"/>
        <w:tblCellMar>
          <w:left w:w="0" w:type="dxa"/>
          <w:right w:w="0" w:type="dxa"/>
        </w:tblCellMar>
        <w:tblLook w:val="04A0" w:firstRow="1" w:lastRow="0" w:firstColumn="1" w:lastColumn="0" w:noHBand="0" w:noVBand="1"/>
      </w:tblPr>
      <w:tblGrid>
        <w:gridCol w:w="2126"/>
        <w:gridCol w:w="2462"/>
        <w:gridCol w:w="2499"/>
      </w:tblGrid>
      <w:tr>
        <w:trPr>
          <w:trHeight w:val="363"/>
        </w:trPr>
        <w:tc>
          <w:tcPr>
            <w:shd w:val="clear" w:color="auto" w:fill="002060"/>
            <w:tcBorders>
              <w:top w:val="single" w:color="auto" w:sz="8" w:space="0"/>
              <w:left w:val="single" w:color="000000" w:sz="8" w:space="0"/>
              <w:bottom w:val="single" w:color="auto" w:sz="4" w:space="0"/>
              <w:right w:val="single" w:color="auto" w:sz="4" w:space="0"/>
            </w:tcBorders>
            <w:tcMar>
              <w:left w:w="15" w:type="dxa"/>
              <w:top w:w="15" w:type="dxa"/>
              <w:right w:w="15" w:type="dxa"/>
              <w:bottom w:w="0" w:type="dxa"/>
            </w:tcMar>
            <w:tcW w:w="2126" w:type="dxa"/>
            <w:vAlign w:val="center"/>
            <w:textDirection w:val="lrTb"/>
            <w:noWrap w:val="false"/>
          </w:tcPr>
          <w:p>
            <w:pPr>
              <w:pBdr/>
              <w:spacing/>
              <w:ind/>
              <w:jc w:val="center"/>
              <w:rPr>
                <w:rFonts w:ascii="Arial Narrow" w:hAnsi="Arial Narrow" w:eastAsia="仿宋_GB2312" w:cs="Arial"/>
                <w:b/>
                <w:bCs/>
                <w:color w:val="ffffff" w:themeColor="background1"/>
                <w:sz w:val="22"/>
                <w:szCs w:val="22"/>
              </w:rPr>
            </w:pPr>
            <w:r>
              <w:rPr>
                <w:rFonts w:ascii="Arial Narrow" w:hAnsi="Arial Narrow" w:eastAsia="仿宋_GB2312" w:cs="Arial"/>
                <w:b/>
                <w:bCs/>
                <w:color w:val="ffffff" w:themeColor="background1"/>
                <w:sz w:val="22"/>
                <w:szCs w:val="22"/>
              </w:rPr>
              <w:t xml:space="preserve">项目</w:t>
            </w:r>
            <w:r>
              <w:rPr>
                <w:rFonts w:ascii="Arial Narrow" w:hAnsi="Arial Narrow" w:eastAsia="仿宋_GB2312" w:cs="Arial"/>
                <w:b/>
                <w:bCs/>
                <w:color w:val="ffffff" w:themeColor="background1"/>
                <w:sz w:val="22"/>
                <w:szCs w:val="22"/>
              </w:rPr>
            </w:r>
          </w:p>
        </w:tc>
        <w:tc>
          <w:tcPr>
            <w:shd w:val="clear" w:color="auto" w:fill="002060"/>
            <w:tcBorders>
              <w:top w:val="single" w:color="auto" w:sz="8" w:space="0"/>
              <w:left w:val="single" w:color="auto" w:sz="4" w:space="0"/>
              <w:bottom w:val="single" w:color="auto" w:sz="4" w:space="0"/>
              <w:right w:val="single" w:color="auto" w:sz="4" w:space="0"/>
            </w:tcBorders>
            <w:tcMar>
              <w:left w:w="15" w:type="dxa"/>
              <w:top w:w="15" w:type="dxa"/>
              <w:right w:w="15" w:type="dxa"/>
              <w:bottom w:w="0" w:type="dxa"/>
            </w:tcMar>
            <w:tcW w:w="2462" w:type="dxa"/>
            <w:vAlign w:val="center"/>
            <w:textDirection w:val="lrTb"/>
            <w:noWrap w:val="false"/>
          </w:tcPr>
          <w:p>
            <w:pPr>
              <w:pBdr/>
              <w:spacing/>
              <w:ind/>
              <w:jc w:val="center"/>
              <w:rPr>
                <w:rFonts w:ascii="Arial Narrow" w:hAnsi="Arial Narrow" w:eastAsia="仿宋_GB2312" w:cs="Arial"/>
                <w:b/>
                <w:bCs/>
                <w:color w:val="ffffff" w:themeColor="background1"/>
                <w:sz w:val="22"/>
                <w:szCs w:val="22"/>
              </w:rPr>
            </w:pPr>
            <w:r>
              <w:rPr>
                <w:rFonts w:ascii="Arial Narrow" w:hAnsi="Arial Narrow" w:eastAsia="仿宋_GB2312" w:cs="Arial"/>
                <w:b/>
                <w:bCs/>
                <w:color w:val="ffffff" w:themeColor="background1"/>
                <w:sz w:val="22"/>
                <w:szCs w:val="22"/>
              </w:rPr>
              <w:t xml:space="preserve">公式</w:t>
            </w:r>
            <w:r>
              <w:rPr>
                <w:rFonts w:ascii="Arial Narrow" w:hAnsi="Arial Narrow" w:eastAsia="仿宋_GB2312" w:cs="Arial"/>
                <w:b/>
                <w:bCs/>
                <w:color w:val="ffffff" w:themeColor="background1"/>
                <w:sz w:val="22"/>
                <w:szCs w:val="22"/>
              </w:rPr>
            </w:r>
          </w:p>
        </w:tc>
        <w:tc>
          <w:tcPr>
            <w:shd w:val="clear" w:color="auto" w:fill="002060"/>
            <w:tcBorders>
              <w:top w:val="single" w:color="000000" w:sz="8" w:space="0"/>
              <w:left w:val="single" w:color="auto" w:sz="4" w:space="0"/>
              <w:bottom w:val="single" w:color="auto" w:sz="4" w:space="0"/>
              <w:right w:val="single" w:color="000000" w:sz="8" w:space="0"/>
            </w:tcBorders>
            <w:tcMar>
              <w:left w:w="15" w:type="dxa"/>
              <w:top w:w="15" w:type="dxa"/>
              <w:right w:w="15" w:type="dxa"/>
              <w:bottom w:w="0" w:type="dxa"/>
            </w:tcMar>
            <w:tcW w:w="2499" w:type="dxa"/>
            <w:vAlign w:val="center"/>
            <w:textDirection w:val="lrTb"/>
            <w:noWrap w:val="false"/>
          </w:tcPr>
          <w:p>
            <w:pPr>
              <w:pBdr/>
              <w:spacing/>
              <w:ind/>
              <w:jc w:val="center"/>
              <w:rPr>
                <w:rFonts w:ascii="Arial Narrow" w:hAnsi="Arial Narrow" w:eastAsia="仿宋_GB2312" w:cs="Arial"/>
                <w:b/>
                <w:bCs/>
                <w:color w:val="ffffff" w:themeColor="background1"/>
                <w:sz w:val="22"/>
                <w:szCs w:val="22"/>
              </w:rPr>
            </w:pPr>
            <w:r>
              <w:rPr>
                <w:rFonts w:ascii="Arial Narrow" w:hAnsi="Arial Narrow" w:eastAsia="仿宋_GB2312" w:cs="Arial"/>
                <w:b/>
                <w:bCs/>
                <w:color w:val="ffffff" w:themeColor="background1"/>
                <w:sz w:val="22"/>
                <w:szCs w:val="22"/>
              </w:rPr>
              <w:t xml:space="preserve">金额（人民币元）</w:t>
            </w:r>
            <w:r>
              <w:rPr>
                <w:rFonts w:hint="eastAsia" w:ascii="Arial Narrow" w:hAnsi="Arial Narrow" w:eastAsia="仿宋_GB2312" w:cs="Arial"/>
                <w:b/>
                <w:bCs/>
                <w:color w:val="ffffff" w:themeColor="background1"/>
                <w:sz w:val="22"/>
                <w:szCs w:val="22"/>
              </w:rPr>
            </w:r>
            <w:r>
              <w:rPr>
                <w:rFonts w:ascii="Arial Narrow" w:hAnsi="Arial Narrow" w:eastAsia="仿宋_GB2312" w:cs="Arial"/>
                <w:b/>
                <w:bCs/>
                <w:color w:val="ffffff" w:themeColor="background1"/>
                <w:sz w:val="22"/>
                <w:szCs w:val="22"/>
              </w:rPr>
            </w:r>
          </w:p>
        </w:tc>
      </w:tr>
      <w:tr>
        <w:trPr>
          <w:trHeight w:val="363"/>
        </w:trPr>
        <w:tc>
          <w:tcPr>
            <w:shd w:val="clear" w:color="auto" w:fill="auto"/>
            <w:tcBorders>
              <w:top w:val="single" w:color="auto" w:sz="4" w:space="0"/>
              <w:left w:val="single" w:color="000000" w:sz="8" w:space="0"/>
              <w:bottom w:val="single" w:color="auto" w:sz="4" w:space="0"/>
              <w:right w:val="single" w:color="auto" w:sz="4" w:space="0"/>
            </w:tcBorders>
            <w:tcMar>
              <w:left w:w="15" w:type="dxa"/>
              <w:top w:w="15" w:type="dxa"/>
              <w:right w:w="15" w:type="dxa"/>
              <w:bottom w:w="0" w:type="dxa"/>
            </w:tcMar>
            <w:tcW w:w="2126" w:type="dxa"/>
            <w:vAlign w:val="center"/>
            <w:textDirection w:val="lrTb"/>
            <w:noWrap w:val="false"/>
          </w:tcPr>
          <w:p>
            <w:pPr>
              <w:pBdr/>
              <w:spacing/>
              <w:ind/>
              <w:rPr>
                <w:rFonts w:ascii="Arial Narrow" w:hAnsi="Arial Narrow" w:eastAsia="仿宋_GB2312" w:cs="Arial"/>
                <w:color w:val="000000"/>
                <w:sz w:val="22"/>
                <w:szCs w:val="22"/>
              </w:rPr>
            </w:pPr>
            <w:r>
              <w:rPr>
                <w:rFonts w:ascii="Arial Narrow" w:hAnsi="Arial Narrow" w:eastAsia="仿宋_GB2312" w:cs="Arial"/>
                <w:color w:val="000000"/>
                <w:sz w:val="22"/>
                <w:szCs w:val="22"/>
              </w:rPr>
              <w:t xml:space="preserve">营业收入 </w:t>
            </w:r>
            <w:r>
              <w:rPr>
                <w:rFonts w:ascii="Arial Narrow" w:hAnsi="Arial Narrow" w:eastAsia="仿宋_GB2312" w:cs="Arial"/>
                <w:color w:val="000000"/>
                <w:sz w:val="22"/>
                <w:szCs w:val="22"/>
              </w:rPr>
            </w:r>
            <w:r>
              <w:rPr>
                <w:rFonts w:ascii="Arial Narrow" w:hAnsi="Arial Narrow" w:eastAsia="仿宋_GB2312" w:cs="Arial"/>
                <w:color w:val="000000"/>
                <w:sz w:val="22"/>
                <w:szCs w:val="22"/>
              </w:rPr>
            </w:r>
          </w:p>
        </w:tc>
        <w:tc>
          <w:tcPr>
            <w:shd w:val="clear" w:color="auto" w:fill="auto"/>
            <w:tcBorders>
              <w:top w:val="single" w:color="auto" w:sz="4" w:space="0"/>
              <w:left w:val="single" w:color="auto" w:sz="4" w:space="0"/>
              <w:bottom w:val="single" w:color="auto" w:sz="4" w:space="0"/>
              <w:right w:val="single" w:color="auto" w:sz="4" w:space="0"/>
            </w:tcBorders>
            <w:tcMar>
              <w:left w:w="15" w:type="dxa"/>
              <w:top w:w="15" w:type="dxa"/>
              <w:right w:w="15" w:type="dxa"/>
              <w:bottom w:w="0" w:type="dxa"/>
            </w:tcMar>
            <w:tcW w:w="2462" w:type="dxa"/>
            <w:vAlign w:val="center"/>
            <w:textDirection w:val="lrTb"/>
            <w:noWrap w:val="false"/>
          </w:tcPr>
          <w:p>
            <w:pPr>
              <w:pBdr/>
              <w:spacing/>
              <w:ind/>
              <w:jc w:val="center"/>
              <w:rPr>
                <w:rFonts w:ascii="Arial Narrow" w:hAnsi="Arial Narrow" w:eastAsia="仿宋_GB2312" w:cs="Arial"/>
                <w:bCs/>
                <w:color w:val="000000"/>
                <w:sz w:val="22"/>
                <w:szCs w:val="22"/>
              </w:rPr>
            </w:pPr>
            <w:r>
              <w:rPr>
                <w:rFonts w:ascii="Arial Narrow" w:hAnsi="Arial Narrow" w:eastAsia="仿宋_GB2312" w:cs="Arial"/>
                <w:bCs/>
                <w:color w:val="000000"/>
                <w:sz w:val="22"/>
                <w:szCs w:val="22"/>
              </w:rPr>
              <w:t xml:space="preserve">a</w:t>
            </w:r>
            <w:r>
              <w:rPr>
                <w:rFonts w:ascii="Arial Narrow" w:hAnsi="Arial Narrow" w:eastAsia="仿宋_GB2312" w:cs="Arial"/>
                <w:bCs/>
                <w:color w:val="000000"/>
                <w:sz w:val="22"/>
                <w:szCs w:val="22"/>
              </w:rPr>
            </w:r>
          </w:p>
        </w:tc>
        <w:tc>
          <w:tcPr>
            <w:shd w:val="clear" w:color="auto" w:fill="auto"/>
            <w:tcBorders>
              <w:top w:val="single" w:color="auto" w:sz="4" w:space="0"/>
              <w:left w:val="single" w:color="auto" w:sz="4" w:space="0"/>
              <w:bottom w:val="single" w:color="auto" w:sz="4" w:space="0"/>
              <w:right w:val="single" w:color="000000" w:sz="8" w:space="0"/>
            </w:tcBorders>
            <w:tcMar>
              <w:left w:w="15" w:type="dxa"/>
              <w:top w:w="15" w:type="dxa"/>
              <w:right w:w="15" w:type="dxa"/>
              <w:bottom w:w="0" w:type="dxa"/>
            </w:tcMar>
            <w:tcW w:w="2499" w:type="dxa"/>
            <w:vAlign w:val="center"/>
            <w:textDirection w:val="lrTb"/>
            <w:noWrap w:val="false"/>
          </w:tcPr>
          <w:p>
            <w:pPr>
              <w:pBdr/>
              <w:spacing/>
              <w:ind/>
              <w:jc w:val="right"/>
              <w:rPr>
                <w:rFonts w:ascii="Arial Narrow" w:hAnsi="Arial Narrow" w:eastAsia="仿宋_GB2312" w:cs="Arial"/>
                <w:bCs/>
                <w:color w:val="000000"/>
                <w:sz w:val="22"/>
                <w:szCs w:val="22"/>
              </w:rPr>
            </w:pPr>
            <w:r>
              <w:rPr>
                <w:rFonts w:ascii="Arial Narrow" w:hAnsi="Arial Narrow" w:eastAsia="仿宋_GB2312" w:cs="Arial"/>
                <w:sz w:val="22"/>
                <w:szCs w:val="22"/>
              </w:rPr>
              <w:t xml:space="preserve">273,356,327.70</w:t>
            </w:r>
            <w:r>
              <w:rPr>
                <w:rFonts w:ascii="Arial Narrow" w:hAnsi="Arial Narrow" w:eastAsia="仿宋_GB2312" w:cs="Arial"/>
                <w:bCs/>
                <w:color w:val="000000"/>
                <w:sz w:val="22"/>
                <w:szCs w:val="22"/>
              </w:rPr>
            </w:r>
          </w:p>
        </w:tc>
      </w:tr>
      <w:tr>
        <w:trPr>
          <w:trHeight w:val="363"/>
        </w:trPr>
        <w:tc>
          <w:tcPr>
            <w:shd w:val="clear" w:color="auto" w:fill="auto"/>
            <w:tcBorders>
              <w:top w:val="single" w:color="auto" w:sz="4" w:space="0"/>
              <w:left w:val="single" w:color="000000" w:sz="8" w:space="0"/>
              <w:bottom w:val="single" w:color="auto" w:sz="4" w:space="0"/>
              <w:right w:val="single" w:color="auto" w:sz="4" w:space="0"/>
            </w:tcBorders>
            <w:tcMar>
              <w:left w:w="15" w:type="dxa"/>
              <w:top w:w="15" w:type="dxa"/>
              <w:right w:w="15" w:type="dxa"/>
              <w:bottom w:w="0" w:type="dxa"/>
            </w:tcMar>
            <w:tcW w:w="2126" w:type="dxa"/>
            <w:vAlign w:val="center"/>
            <w:textDirection w:val="lrTb"/>
            <w:noWrap w:val="false"/>
          </w:tcPr>
          <w:p>
            <w:pPr>
              <w:pBdr/>
              <w:spacing/>
              <w:ind/>
              <w:rPr>
                <w:rFonts w:ascii="Arial Narrow" w:hAnsi="Arial Narrow" w:eastAsia="仿宋_GB2312" w:cs="Arial"/>
                <w:color w:val="000000"/>
                <w:sz w:val="22"/>
                <w:szCs w:val="22"/>
              </w:rPr>
            </w:pPr>
            <w:r>
              <w:rPr>
                <w:rFonts w:ascii="Arial Narrow" w:hAnsi="Arial Narrow" w:eastAsia="仿宋_GB2312" w:cs="Arial"/>
                <w:color w:val="000000"/>
                <w:sz w:val="22"/>
                <w:szCs w:val="22"/>
              </w:rPr>
              <w:t xml:space="preserve">营业成本</w:t>
            </w:r>
            <w:r>
              <w:rPr>
                <w:rFonts w:ascii="Arial Narrow" w:hAnsi="Arial Narrow" w:eastAsia="仿宋_GB2312" w:cs="Arial"/>
                <w:color w:val="000000"/>
                <w:sz w:val="22"/>
                <w:szCs w:val="22"/>
              </w:rPr>
            </w:r>
          </w:p>
        </w:tc>
        <w:tc>
          <w:tcPr>
            <w:shd w:val="clear" w:color="auto" w:fill="auto"/>
            <w:tcBorders>
              <w:top w:val="single" w:color="auto" w:sz="4" w:space="0"/>
              <w:left w:val="single" w:color="auto" w:sz="4" w:space="0"/>
              <w:bottom w:val="single" w:color="auto" w:sz="4" w:space="0"/>
              <w:right w:val="single" w:color="auto" w:sz="4" w:space="0"/>
            </w:tcBorders>
            <w:tcMar>
              <w:left w:w="15" w:type="dxa"/>
              <w:top w:w="15" w:type="dxa"/>
              <w:right w:w="15" w:type="dxa"/>
              <w:bottom w:w="0" w:type="dxa"/>
            </w:tcMar>
            <w:tcW w:w="2462" w:type="dxa"/>
            <w:vAlign w:val="center"/>
            <w:textDirection w:val="lrTb"/>
            <w:noWrap w:val="false"/>
          </w:tcPr>
          <w:p>
            <w:pPr>
              <w:pBdr/>
              <w:spacing/>
              <w:ind/>
              <w:jc w:val="center"/>
              <w:rPr>
                <w:rFonts w:ascii="Arial Narrow" w:hAnsi="Arial Narrow" w:eastAsia="仿宋_GB2312" w:cs="Arial"/>
                <w:bCs/>
                <w:color w:val="000000"/>
                <w:sz w:val="22"/>
                <w:szCs w:val="22"/>
              </w:rPr>
            </w:pPr>
            <w:r>
              <w:rPr>
                <w:rFonts w:ascii="Arial Narrow" w:hAnsi="Arial Narrow" w:eastAsia="仿宋_GB2312" w:cs="Arial"/>
                <w:bCs/>
                <w:color w:val="000000"/>
                <w:sz w:val="22"/>
                <w:szCs w:val="22"/>
              </w:rPr>
              <w:t xml:space="preserve">b</w:t>
            </w:r>
            <w:r>
              <w:rPr>
                <w:rFonts w:ascii="Arial Narrow" w:hAnsi="Arial Narrow" w:eastAsia="仿宋_GB2312" w:cs="Arial"/>
                <w:bCs/>
                <w:color w:val="000000"/>
                <w:sz w:val="22"/>
                <w:szCs w:val="22"/>
              </w:rPr>
            </w:r>
          </w:p>
        </w:tc>
        <w:tc>
          <w:tcPr>
            <w:shd w:val="clear" w:color="auto" w:fill="auto"/>
            <w:tcBorders>
              <w:top w:val="single" w:color="auto" w:sz="4" w:space="0"/>
              <w:left w:val="single" w:color="auto" w:sz="4" w:space="0"/>
              <w:bottom w:val="single" w:color="auto" w:sz="4" w:space="0"/>
              <w:right w:val="single" w:color="000000" w:sz="8" w:space="0"/>
            </w:tcBorders>
            <w:tcMar>
              <w:left w:w="15" w:type="dxa"/>
              <w:top w:w="15" w:type="dxa"/>
              <w:right w:w="15" w:type="dxa"/>
              <w:bottom w:w="0" w:type="dxa"/>
            </w:tcMar>
            <w:tcW w:w="2499" w:type="dxa"/>
            <w:vAlign w:val="center"/>
            <w:textDirection w:val="lrTb"/>
            <w:noWrap w:val="false"/>
          </w:tcPr>
          <w:p>
            <w:pPr>
              <w:pBdr/>
              <w:spacing/>
              <w:ind/>
              <w:jc w:val="right"/>
              <w:rPr>
                <w:rFonts w:ascii="Arial Narrow" w:hAnsi="Arial Narrow" w:eastAsia="仿宋_GB2312" w:cs="Arial"/>
                <w:bCs/>
                <w:color w:val="000000"/>
                <w:sz w:val="22"/>
                <w:szCs w:val="22"/>
              </w:rPr>
            </w:pPr>
            <w:r>
              <w:rPr>
                <w:rFonts w:ascii="Arial Narrow" w:hAnsi="Arial Narrow" w:eastAsia="仿宋_GB2312" w:cs="Arial"/>
                <w:sz w:val="22"/>
                <w:szCs w:val="22"/>
              </w:rPr>
              <w:t xml:space="preserve">243,696,017.20</w:t>
            </w:r>
            <w:r>
              <w:rPr>
                <w:rFonts w:ascii="Arial Narrow" w:hAnsi="Arial Narrow" w:eastAsia="仿宋_GB2312" w:cs="Arial"/>
                <w:bCs/>
                <w:color w:val="000000"/>
                <w:sz w:val="22"/>
                <w:szCs w:val="22"/>
              </w:rPr>
            </w:r>
          </w:p>
        </w:tc>
      </w:tr>
      <w:tr>
        <w:trPr>
          <w:trHeight w:val="363"/>
        </w:trPr>
        <w:tc>
          <w:tcPr>
            <w:shd w:val="clear" w:color="auto" w:fill="auto"/>
            <w:tcBorders>
              <w:top w:val="single" w:color="auto" w:sz="4" w:space="0"/>
              <w:left w:val="single" w:color="000000" w:sz="8" w:space="0"/>
              <w:bottom w:val="single" w:color="auto" w:sz="4" w:space="0"/>
              <w:right w:val="single" w:color="auto" w:sz="4" w:space="0"/>
            </w:tcBorders>
            <w:tcMar>
              <w:left w:w="15" w:type="dxa"/>
              <w:top w:w="15" w:type="dxa"/>
              <w:right w:w="15" w:type="dxa"/>
              <w:bottom w:w="0" w:type="dxa"/>
            </w:tcMar>
            <w:tcW w:w="2126" w:type="dxa"/>
            <w:vAlign w:val="center"/>
            <w:textDirection w:val="lrTb"/>
            <w:noWrap w:val="false"/>
          </w:tcPr>
          <w:p>
            <w:pPr>
              <w:pBdr/>
              <w:spacing/>
              <w:ind/>
              <w:rPr>
                <w:rFonts w:ascii="Arial Narrow" w:hAnsi="Arial Narrow" w:eastAsia="仿宋_GB2312" w:cs="Arial"/>
                <w:color w:val="000000"/>
                <w:sz w:val="22"/>
                <w:szCs w:val="22"/>
              </w:rPr>
            </w:pPr>
            <w:r>
              <w:rPr>
                <w:rFonts w:ascii="Arial Narrow" w:hAnsi="Arial Narrow" w:eastAsia="仿宋_GB2312" w:cs="Arial"/>
                <w:color w:val="000000"/>
                <w:sz w:val="22"/>
                <w:szCs w:val="22"/>
              </w:rPr>
              <w:t xml:space="preserve">税金及附加</w:t>
            </w:r>
            <w:r>
              <w:rPr>
                <w:rFonts w:ascii="Arial Narrow" w:hAnsi="Arial Narrow" w:eastAsia="仿宋_GB2312" w:cs="Arial"/>
                <w:color w:val="000000"/>
                <w:sz w:val="22"/>
                <w:szCs w:val="22"/>
              </w:rPr>
            </w:r>
          </w:p>
        </w:tc>
        <w:tc>
          <w:tcPr>
            <w:shd w:val="clear" w:color="auto" w:fill="auto"/>
            <w:tcBorders>
              <w:top w:val="single" w:color="auto" w:sz="4" w:space="0"/>
              <w:left w:val="single" w:color="auto" w:sz="4" w:space="0"/>
              <w:bottom w:val="single" w:color="auto" w:sz="4" w:space="0"/>
              <w:right w:val="single" w:color="auto" w:sz="4" w:space="0"/>
            </w:tcBorders>
            <w:tcMar>
              <w:left w:w="15" w:type="dxa"/>
              <w:top w:w="15" w:type="dxa"/>
              <w:right w:w="15" w:type="dxa"/>
              <w:bottom w:w="0" w:type="dxa"/>
            </w:tcMar>
            <w:tcW w:w="2462" w:type="dxa"/>
            <w:vAlign w:val="center"/>
            <w:textDirection w:val="lrTb"/>
            <w:noWrap w:val="false"/>
          </w:tcPr>
          <w:p>
            <w:pPr>
              <w:pBdr/>
              <w:spacing/>
              <w:ind/>
              <w:jc w:val="center"/>
              <w:rPr>
                <w:rFonts w:ascii="Arial Narrow" w:hAnsi="Arial Narrow" w:eastAsia="仿宋_GB2312" w:cs="Arial"/>
                <w:bCs/>
                <w:color w:val="000000"/>
                <w:sz w:val="22"/>
                <w:szCs w:val="22"/>
              </w:rPr>
            </w:pPr>
            <w:r>
              <w:rPr>
                <w:rFonts w:ascii="Arial Narrow" w:hAnsi="Arial Narrow" w:eastAsia="仿宋_GB2312" w:cs="Arial"/>
                <w:bCs/>
                <w:color w:val="000000"/>
                <w:sz w:val="22"/>
                <w:szCs w:val="22"/>
              </w:rPr>
              <w:t xml:space="preserve">c</w:t>
            </w:r>
            <w:r>
              <w:rPr>
                <w:rFonts w:ascii="Arial Narrow" w:hAnsi="Arial Narrow" w:eastAsia="仿宋_GB2312" w:cs="Arial"/>
                <w:bCs/>
                <w:color w:val="000000"/>
                <w:sz w:val="22"/>
                <w:szCs w:val="22"/>
              </w:rPr>
            </w:r>
          </w:p>
        </w:tc>
        <w:tc>
          <w:tcPr>
            <w:shd w:val="clear" w:color="auto" w:fill="auto"/>
            <w:tcBorders>
              <w:top w:val="single" w:color="auto" w:sz="4" w:space="0"/>
              <w:left w:val="single" w:color="auto" w:sz="4" w:space="0"/>
              <w:bottom w:val="single" w:color="auto" w:sz="4" w:space="0"/>
              <w:right w:val="single" w:color="000000" w:sz="8" w:space="0"/>
            </w:tcBorders>
            <w:tcMar>
              <w:left w:w="15" w:type="dxa"/>
              <w:top w:w="15" w:type="dxa"/>
              <w:right w:w="15" w:type="dxa"/>
              <w:bottom w:w="0" w:type="dxa"/>
            </w:tcMar>
            <w:tcW w:w="2499" w:type="dxa"/>
            <w:vAlign w:val="center"/>
            <w:textDirection w:val="lrTb"/>
            <w:noWrap w:val="false"/>
          </w:tcPr>
          <w:p>
            <w:pPr>
              <w:pBdr/>
              <w:spacing/>
              <w:ind/>
              <w:jc w:val="right"/>
              <w:rPr>
                <w:rFonts w:ascii="Arial Narrow" w:hAnsi="Arial Narrow" w:eastAsia="仿宋_GB2312" w:cs="Arial"/>
                <w:bCs/>
                <w:color w:val="000000"/>
                <w:sz w:val="22"/>
                <w:szCs w:val="22"/>
              </w:rPr>
            </w:pPr>
            <w:r>
              <w:rPr>
                <w:rFonts w:ascii="Arial Narrow" w:hAnsi="Arial Narrow" w:eastAsia="仿宋_GB2312" w:cs="Arial"/>
                <w:sz w:val="22"/>
                <w:szCs w:val="22"/>
              </w:rPr>
              <w:t xml:space="preserve">98,278.10</w:t>
            </w:r>
            <w:r>
              <w:rPr>
                <w:rFonts w:ascii="Arial Narrow" w:hAnsi="Arial Narrow" w:eastAsia="仿宋_GB2312" w:cs="Arial"/>
                <w:bCs/>
                <w:color w:val="000000"/>
                <w:sz w:val="22"/>
                <w:szCs w:val="22"/>
              </w:rPr>
            </w:r>
          </w:p>
        </w:tc>
      </w:tr>
      <w:tr>
        <w:trPr>
          <w:trHeight w:val="363"/>
        </w:trPr>
        <w:tc>
          <w:tcPr>
            <w:shd w:val="clear" w:color="auto" w:fill="auto"/>
            <w:tcBorders>
              <w:top w:val="single" w:color="auto" w:sz="4" w:space="0"/>
              <w:left w:val="single" w:color="000000" w:sz="8" w:space="0"/>
              <w:bottom w:val="single" w:color="auto" w:sz="4" w:space="0"/>
              <w:right w:val="single" w:color="auto" w:sz="4" w:space="0"/>
            </w:tcBorders>
            <w:tcMar>
              <w:left w:w="15" w:type="dxa"/>
              <w:top w:w="15" w:type="dxa"/>
              <w:right w:w="15" w:type="dxa"/>
              <w:bottom w:w="0" w:type="dxa"/>
            </w:tcMar>
            <w:tcW w:w="2126" w:type="dxa"/>
            <w:vAlign w:val="center"/>
            <w:textDirection w:val="lrTb"/>
            <w:noWrap w:val="false"/>
          </w:tcPr>
          <w:p>
            <w:pPr>
              <w:pBdr/>
              <w:spacing/>
              <w:ind/>
              <w:rPr>
                <w:rFonts w:ascii="Arial Narrow" w:hAnsi="Arial Narrow" w:eastAsia="仿宋_GB2312" w:cs="Arial"/>
                <w:color w:val="000000"/>
                <w:sz w:val="22"/>
                <w:szCs w:val="22"/>
              </w:rPr>
            </w:pPr>
            <w:r>
              <w:rPr>
                <w:rFonts w:ascii="Arial Narrow" w:hAnsi="Arial Narrow" w:eastAsia="仿宋_GB2312" w:cs="Arial"/>
                <w:color w:val="000000"/>
                <w:sz w:val="22"/>
                <w:szCs w:val="22"/>
              </w:rPr>
              <w:t xml:space="preserve">销售费用</w:t>
            </w:r>
            <w:r>
              <w:rPr>
                <w:rFonts w:ascii="Arial Narrow" w:hAnsi="Arial Narrow" w:eastAsia="仿宋_GB2312" w:cs="Arial"/>
                <w:color w:val="000000"/>
                <w:sz w:val="22"/>
                <w:szCs w:val="22"/>
              </w:rPr>
            </w:r>
          </w:p>
        </w:tc>
        <w:tc>
          <w:tcPr>
            <w:shd w:val="clear" w:color="auto" w:fill="auto"/>
            <w:tcBorders>
              <w:top w:val="single" w:color="auto" w:sz="4" w:space="0"/>
              <w:left w:val="single" w:color="auto" w:sz="4" w:space="0"/>
              <w:bottom w:val="single" w:color="auto" w:sz="4" w:space="0"/>
              <w:right w:val="single" w:color="auto" w:sz="4" w:space="0"/>
            </w:tcBorders>
            <w:tcMar>
              <w:left w:w="15" w:type="dxa"/>
              <w:top w:w="15" w:type="dxa"/>
              <w:right w:w="15" w:type="dxa"/>
              <w:bottom w:w="0" w:type="dxa"/>
            </w:tcMar>
            <w:tcW w:w="2462" w:type="dxa"/>
            <w:vAlign w:val="center"/>
            <w:textDirection w:val="lrTb"/>
            <w:noWrap w:val="false"/>
          </w:tcPr>
          <w:p>
            <w:pPr>
              <w:pBdr/>
              <w:spacing/>
              <w:ind/>
              <w:jc w:val="center"/>
              <w:rPr>
                <w:rFonts w:ascii="Arial Narrow" w:hAnsi="Arial Narrow" w:eastAsia="仿宋_GB2312" w:cs="Arial"/>
                <w:bCs/>
                <w:color w:val="000000"/>
                <w:sz w:val="22"/>
                <w:szCs w:val="22"/>
              </w:rPr>
            </w:pPr>
            <w:r>
              <w:rPr>
                <w:rFonts w:ascii="Arial Narrow" w:hAnsi="Arial Narrow" w:eastAsia="仿宋_GB2312" w:cs="Arial"/>
                <w:bCs/>
                <w:color w:val="000000"/>
                <w:sz w:val="22"/>
                <w:szCs w:val="22"/>
              </w:rPr>
              <w:t xml:space="preserve">d</w:t>
            </w:r>
            <w:r>
              <w:rPr>
                <w:rFonts w:ascii="Arial Narrow" w:hAnsi="Arial Narrow" w:eastAsia="仿宋_GB2312" w:cs="Arial"/>
                <w:bCs/>
                <w:color w:val="000000"/>
                <w:sz w:val="22"/>
                <w:szCs w:val="22"/>
              </w:rPr>
            </w:r>
          </w:p>
        </w:tc>
        <w:tc>
          <w:tcPr>
            <w:shd w:val="clear" w:color="auto" w:fill="auto"/>
            <w:tcBorders>
              <w:top w:val="single" w:color="auto" w:sz="4" w:space="0"/>
              <w:left w:val="single" w:color="auto" w:sz="4" w:space="0"/>
              <w:bottom w:val="single" w:color="auto" w:sz="4" w:space="0"/>
              <w:right w:val="single" w:color="000000" w:sz="8" w:space="0"/>
            </w:tcBorders>
            <w:tcMar>
              <w:left w:w="15" w:type="dxa"/>
              <w:top w:w="15" w:type="dxa"/>
              <w:right w:w="15" w:type="dxa"/>
              <w:bottom w:w="0" w:type="dxa"/>
            </w:tcMar>
            <w:tcW w:w="2499" w:type="dxa"/>
            <w:vAlign w:val="center"/>
            <w:textDirection w:val="lrTb"/>
            <w:noWrap w:val="false"/>
          </w:tcPr>
          <w:p>
            <w:pPr>
              <w:pBdr/>
              <w:spacing/>
              <w:ind/>
              <w:jc w:val="right"/>
              <w:rPr>
                <w:rFonts w:ascii="Arial Narrow" w:hAnsi="Arial Narrow" w:eastAsia="仿宋_GB2312" w:cs="Arial"/>
                <w:bCs/>
                <w:color w:val="000000"/>
                <w:sz w:val="22"/>
                <w:szCs w:val="22"/>
              </w:rPr>
            </w:pPr>
            <w:r>
              <w:rPr>
                <w:rFonts w:ascii="Arial Narrow" w:hAnsi="Arial Narrow" w:eastAsia="仿宋_GB2312" w:cs="Arial"/>
                <w:bCs/>
                <w:color w:val="000000"/>
                <w:sz w:val="22"/>
                <w:szCs w:val="22"/>
              </w:rPr>
              <w:t xml:space="preserve">562,576.46</w:t>
            </w:r>
            <w:r>
              <w:rPr>
                <w:rFonts w:ascii="Arial Narrow" w:hAnsi="Arial Narrow" w:eastAsia="仿宋_GB2312" w:cs="Arial"/>
                <w:bCs/>
                <w:color w:val="000000"/>
                <w:sz w:val="22"/>
                <w:szCs w:val="22"/>
              </w:rPr>
            </w:r>
          </w:p>
        </w:tc>
      </w:tr>
      <w:tr>
        <w:trPr>
          <w:trHeight w:val="363"/>
        </w:trPr>
        <w:tc>
          <w:tcPr>
            <w:shd w:val="clear" w:color="auto" w:fill="auto"/>
            <w:tcBorders>
              <w:top w:val="single" w:color="auto" w:sz="4" w:space="0"/>
              <w:left w:val="single" w:color="000000" w:sz="8" w:space="0"/>
              <w:bottom w:val="single" w:color="auto" w:sz="4" w:space="0"/>
              <w:right w:val="single" w:color="auto" w:sz="4" w:space="0"/>
            </w:tcBorders>
            <w:tcMar>
              <w:left w:w="15" w:type="dxa"/>
              <w:top w:w="15" w:type="dxa"/>
              <w:right w:w="15" w:type="dxa"/>
              <w:bottom w:w="0" w:type="dxa"/>
            </w:tcMar>
            <w:tcW w:w="2126" w:type="dxa"/>
            <w:vAlign w:val="center"/>
            <w:textDirection w:val="lrTb"/>
            <w:noWrap w:val="false"/>
          </w:tcPr>
          <w:p>
            <w:pPr>
              <w:pBdr/>
              <w:spacing/>
              <w:ind/>
              <w:rPr>
                <w:rFonts w:ascii="Arial Narrow" w:hAnsi="Arial Narrow" w:eastAsia="仿宋_GB2312" w:cs="Arial"/>
                <w:color w:val="000000"/>
                <w:sz w:val="22"/>
                <w:szCs w:val="22"/>
              </w:rPr>
            </w:pPr>
            <w:r>
              <w:rPr>
                <w:rFonts w:ascii="Arial Narrow" w:hAnsi="Arial Narrow" w:eastAsia="仿宋_GB2312" w:cs="Arial"/>
                <w:color w:val="000000"/>
                <w:sz w:val="22"/>
                <w:szCs w:val="22"/>
              </w:rPr>
              <w:t xml:space="preserve">管理费用 </w:t>
            </w:r>
            <w:r>
              <w:rPr>
                <w:rFonts w:ascii="Arial Narrow" w:hAnsi="Arial Narrow" w:eastAsia="仿宋_GB2312" w:cs="Arial"/>
                <w:color w:val="000000"/>
                <w:sz w:val="22"/>
                <w:szCs w:val="22"/>
              </w:rPr>
            </w:r>
            <w:r>
              <w:rPr>
                <w:rFonts w:ascii="Arial Narrow" w:hAnsi="Arial Narrow" w:eastAsia="仿宋_GB2312" w:cs="Arial"/>
                <w:color w:val="000000"/>
                <w:sz w:val="22"/>
                <w:szCs w:val="22"/>
              </w:rPr>
            </w:r>
          </w:p>
        </w:tc>
        <w:tc>
          <w:tcPr>
            <w:shd w:val="clear" w:color="auto" w:fill="auto"/>
            <w:tcBorders>
              <w:top w:val="single" w:color="auto" w:sz="4" w:space="0"/>
              <w:left w:val="single" w:color="auto" w:sz="4" w:space="0"/>
              <w:bottom w:val="single" w:color="auto" w:sz="4" w:space="0"/>
              <w:right w:val="single" w:color="auto" w:sz="4" w:space="0"/>
            </w:tcBorders>
            <w:tcMar>
              <w:left w:w="15" w:type="dxa"/>
              <w:top w:w="15" w:type="dxa"/>
              <w:right w:w="15" w:type="dxa"/>
              <w:bottom w:w="0" w:type="dxa"/>
            </w:tcMar>
            <w:tcW w:w="2462" w:type="dxa"/>
            <w:vAlign w:val="center"/>
            <w:textDirection w:val="lrTb"/>
            <w:noWrap w:val="false"/>
          </w:tcPr>
          <w:p>
            <w:pPr>
              <w:pBdr/>
              <w:spacing/>
              <w:ind/>
              <w:jc w:val="center"/>
              <w:rPr>
                <w:rFonts w:ascii="Arial Narrow" w:hAnsi="Arial Narrow" w:eastAsia="仿宋_GB2312" w:cs="Arial"/>
                <w:bCs/>
                <w:color w:val="000000"/>
                <w:sz w:val="22"/>
                <w:szCs w:val="22"/>
              </w:rPr>
            </w:pPr>
            <w:r>
              <w:rPr>
                <w:rFonts w:ascii="Arial Narrow" w:hAnsi="Arial Narrow" w:eastAsia="仿宋_GB2312" w:cs="Arial"/>
                <w:bCs/>
                <w:color w:val="000000"/>
                <w:sz w:val="22"/>
                <w:szCs w:val="22"/>
              </w:rPr>
              <w:t xml:space="preserve">e</w:t>
            </w:r>
            <w:r>
              <w:rPr>
                <w:rFonts w:ascii="Arial Narrow" w:hAnsi="Arial Narrow" w:eastAsia="仿宋_GB2312" w:cs="Arial"/>
                <w:bCs/>
                <w:color w:val="000000"/>
                <w:sz w:val="22"/>
                <w:szCs w:val="22"/>
              </w:rPr>
            </w:r>
          </w:p>
        </w:tc>
        <w:tc>
          <w:tcPr>
            <w:shd w:val="clear" w:color="auto" w:fill="auto"/>
            <w:tcBorders>
              <w:top w:val="single" w:color="auto" w:sz="4" w:space="0"/>
              <w:left w:val="single" w:color="auto" w:sz="4" w:space="0"/>
              <w:bottom w:val="single" w:color="auto" w:sz="4" w:space="0"/>
              <w:right w:val="single" w:color="000000" w:sz="8" w:space="0"/>
            </w:tcBorders>
            <w:tcMar>
              <w:left w:w="15" w:type="dxa"/>
              <w:top w:w="15" w:type="dxa"/>
              <w:right w:w="15" w:type="dxa"/>
              <w:bottom w:w="0" w:type="dxa"/>
            </w:tcMar>
            <w:tcW w:w="2499" w:type="dxa"/>
            <w:vAlign w:val="center"/>
            <w:textDirection w:val="lrTb"/>
            <w:noWrap w:val="false"/>
          </w:tcPr>
          <w:p>
            <w:pPr>
              <w:pBdr/>
              <w:spacing/>
              <w:ind/>
              <w:jc w:val="right"/>
              <w:rPr>
                <w:rFonts w:ascii="Arial Narrow" w:hAnsi="Arial Narrow" w:eastAsia="仿宋_GB2312" w:cs="Arial"/>
                <w:bCs/>
                <w:color w:val="000000"/>
                <w:sz w:val="22"/>
                <w:szCs w:val="22"/>
              </w:rPr>
            </w:pPr>
            <w:r>
              <w:rPr>
                <w:rFonts w:ascii="Arial Narrow" w:hAnsi="Arial Narrow" w:eastAsia="仿宋_GB2312" w:cs="Arial"/>
                <w:sz w:val="22"/>
                <w:szCs w:val="22"/>
              </w:rPr>
              <w:t xml:space="preserve">15,362,250.31</w:t>
            </w:r>
            <w:r>
              <w:rPr>
                <w:rFonts w:ascii="Arial Narrow" w:hAnsi="Arial Narrow" w:eastAsia="仿宋_GB2312" w:cs="Arial"/>
                <w:bCs/>
                <w:color w:val="000000"/>
                <w:sz w:val="22"/>
                <w:szCs w:val="22"/>
              </w:rPr>
            </w:r>
          </w:p>
        </w:tc>
      </w:tr>
      <w:tr>
        <w:trPr>
          <w:trHeight w:val="363"/>
        </w:trPr>
        <w:tc>
          <w:tcPr>
            <w:shd w:val="clear" w:color="auto" w:fill="auto"/>
            <w:tcBorders>
              <w:top w:val="single" w:color="auto" w:sz="4" w:space="0"/>
              <w:left w:val="single" w:color="000000" w:sz="8" w:space="0"/>
              <w:bottom w:val="single" w:color="auto" w:sz="4" w:space="0"/>
              <w:right w:val="single" w:color="auto" w:sz="4" w:space="0"/>
            </w:tcBorders>
            <w:tcMar>
              <w:left w:w="15" w:type="dxa"/>
              <w:top w:w="15" w:type="dxa"/>
              <w:right w:w="15" w:type="dxa"/>
              <w:bottom w:w="0" w:type="dxa"/>
            </w:tcMar>
            <w:tcW w:w="2126" w:type="dxa"/>
            <w:vAlign w:val="center"/>
            <w:textDirection w:val="lrTb"/>
            <w:noWrap w:val="false"/>
          </w:tcPr>
          <w:p>
            <w:pPr>
              <w:pBdr/>
              <w:spacing/>
              <w:ind/>
              <w:rPr>
                <w:rFonts w:ascii="Arial Narrow" w:hAnsi="Arial Narrow" w:eastAsia="仿宋_GB2312" w:cs="Arial"/>
                <w:color w:val="000000"/>
                <w:sz w:val="22"/>
                <w:szCs w:val="22"/>
              </w:rPr>
            </w:pPr>
            <w:r>
              <w:rPr>
                <w:rFonts w:ascii="Arial Narrow" w:hAnsi="Arial Narrow" w:eastAsia="仿宋_GB2312" w:cs="Arial"/>
                <w:color w:val="000000"/>
                <w:sz w:val="22"/>
                <w:szCs w:val="22"/>
              </w:rPr>
              <w:t xml:space="preserve">总成本</w:t>
            </w:r>
            <w:r>
              <w:rPr>
                <w:rFonts w:ascii="Arial Narrow" w:hAnsi="Arial Narrow" w:eastAsia="仿宋_GB2312" w:cs="Arial"/>
                <w:color w:val="000000"/>
                <w:sz w:val="22"/>
                <w:szCs w:val="22"/>
              </w:rPr>
            </w:r>
          </w:p>
        </w:tc>
        <w:tc>
          <w:tcPr>
            <w:shd w:val="clear" w:color="auto" w:fill="auto"/>
            <w:tcBorders>
              <w:top w:val="single" w:color="auto" w:sz="4" w:space="0"/>
              <w:left w:val="single" w:color="auto" w:sz="4" w:space="0"/>
              <w:bottom w:val="single" w:color="auto" w:sz="4" w:space="0"/>
              <w:right w:val="single" w:color="auto" w:sz="4" w:space="0"/>
            </w:tcBorders>
            <w:tcMar>
              <w:left w:w="15" w:type="dxa"/>
              <w:top w:w="15" w:type="dxa"/>
              <w:right w:w="15" w:type="dxa"/>
              <w:bottom w:w="0" w:type="dxa"/>
            </w:tcMar>
            <w:tcW w:w="2462" w:type="dxa"/>
            <w:vAlign w:val="center"/>
            <w:textDirection w:val="lrTb"/>
            <w:noWrap w:val="false"/>
          </w:tcPr>
          <w:p>
            <w:pPr>
              <w:pBdr/>
              <w:spacing/>
              <w:ind/>
              <w:jc w:val="center"/>
              <w:rPr>
                <w:rFonts w:ascii="Arial Narrow" w:hAnsi="Arial Narrow" w:eastAsia="仿宋_GB2312" w:cs="Arial"/>
                <w:bCs/>
                <w:color w:val="000000"/>
                <w:sz w:val="22"/>
                <w:szCs w:val="22"/>
              </w:rPr>
            </w:pPr>
            <w:r>
              <w:rPr>
                <w:rFonts w:ascii="Arial Narrow" w:hAnsi="Arial Narrow" w:eastAsia="仿宋_GB2312" w:cs="Arial"/>
                <w:bCs/>
                <w:color w:val="000000"/>
                <w:sz w:val="22"/>
                <w:szCs w:val="22"/>
              </w:rPr>
              <w:t xml:space="preserve">f = b+c+d+e</w:t>
            </w:r>
            <w:r>
              <w:rPr>
                <w:rFonts w:ascii="Arial Narrow" w:hAnsi="Arial Narrow" w:eastAsia="仿宋_GB2312" w:cs="Arial"/>
                <w:bCs/>
                <w:color w:val="000000"/>
                <w:sz w:val="22"/>
                <w:szCs w:val="22"/>
              </w:rPr>
            </w:r>
          </w:p>
        </w:tc>
        <w:tc>
          <w:tcPr>
            <w:shd w:val="clear" w:color="auto" w:fill="auto"/>
            <w:tcBorders>
              <w:top w:val="single" w:color="auto" w:sz="4" w:space="0"/>
              <w:left w:val="single" w:color="auto" w:sz="4" w:space="0"/>
              <w:bottom w:val="single" w:color="auto" w:sz="4" w:space="0"/>
              <w:right w:val="single" w:color="000000" w:sz="8" w:space="0"/>
            </w:tcBorders>
            <w:tcMar>
              <w:left w:w="15" w:type="dxa"/>
              <w:top w:w="15" w:type="dxa"/>
              <w:right w:w="15" w:type="dxa"/>
              <w:bottom w:w="0" w:type="dxa"/>
            </w:tcMar>
            <w:tcW w:w="2499" w:type="dxa"/>
            <w:vAlign w:val="center"/>
            <w:textDirection w:val="lrTb"/>
            <w:noWrap w:val="false"/>
          </w:tcPr>
          <w:p>
            <w:pPr>
              <w:pBdr/>
              <w:spacing/>
              <w:ind/>
              <w:jc w:val="right"/>
              <w:rPr>
                <w:rFonts w:ascii="Arial Narrow" w:hAnsi="Arial Narrow" w:eastAsia="仿宋_GB2312" w:cs="Arial"/>
                <w:bCs/>
                <w:color w:val="000000"/>
                <w:sz w:val="22"/>
                <w:szCs w:val="22"/>
                <w:highlight w:val="yellow"/>
              </w:rPr>
            </w:pPr>
            <w:r>
              <w:rPr>
                <w:rFonts w:ascii="Arial Narrow" w:hAnsi="Arial Narrow" w:eastAsia="仿宋_GB2312" w:cs="Arial"/>
                <w:sz w:val="22"/>
                <w:szCs w:val="22"/>
              </w:rPr>
              <w:t xml:space="preserve">259,719,122.07 </w:t>
            </w:r>
            <w:r>
              <w:rPr>
                <w:rFonts w:ascii="Arial Narrow" w:hAnsi="Arial Narrow" w:eastAsia="仿宋_GB2312" w:cs="Arial"/>
                <w:bCs/>
                <w:color w:val="000000"/>
                <w:sz w:val="22"/>
                <w:szCs w:val="22"/>
                <w:highlight w:val="yellow"/>
              </w:rPr>
            </w:r>
          </w:p>
        </w:tc>
      </w:tr>
      <w:tr>
        <w:trPr>
          <w:trHeight w:val="363"/>
        </w:trPr>
        <w:tc>
          <w:tcPr>
            <w:shd w:val="clear" w:color="auto" w:fill="auto"/>
            <w:tcBorders>
              <w:top w:val="single" w:color="auto" w:sz="4" w:space="0"/>
              <w:left w:val="single" w:color="000000" w:sz="8" w:space="0"/>
              <w:bottom w:val="single" w:color="auto" w:sz="4" w:space="0"/>
              <w:right w:val="single" w:color="auto" w:sz="4" w:space="0"/>
            </w:tcBorders>
            <w:tcMar>
              <w:left w:w="15" w:type="dxa"/>
              <w:top w:w="15" w:type="dxa"/>
              <w:right w:w="15" w:type="dxa"/>
              <w:bottom w:w="0" w:type="dxa"/>
            </w:tcMar>
            <w:tcW w:w="2126" w:type="dxa"/>
            <w:vAlign w:val="center"/>
            <w:textDirection w:val="lrTb"/>
            <w:noWrap w:val="false"/>
          </w:tcPr>
          <w:p>
            <w:pPr>
              <w:pBdr/>
              <w:spacing/>
              <w:ind/>
              <w:rPr>
                <w:rFonts w:ascii="Arial Narrow" w:hAnsi="Arial Narrow" w:eastAsia="仿宋_GB2312" w:cs="Arial"/>
                <w:color w:val="000000"/>
                <w:sz w:val="22"/>
                <w:szCs w:val="22"/>
              </w:rPr>
            </w:pPr>
            <w:r>
              <w:rPr>
                <w:rFonts w:ascii="Arial Narrow" w:hAnsi="Arial Narrow" w:eastAsia="仿宋_GB2312" w:cs="Arial"/>
                <w:color w:val="000000"/>
                <w:sz w:val="22"/>
                <w:szCs w:val="22"/>
              </w:rPr>
              <w:t xml:space="preserve">息税前利润</w:t>
            </w:r>
            <w:r>
              <w:rPr>
                <w:rFonts w:ascii="Arial Narrow" w:hAnsi="Arial Narrow" w:eastAsia="仿宋_GB2312" w:cs="Arial"/>
                <w:color w:val="000000"/>
                <w:sz w:val="22"/>
                <w:szCs w:val="22"/>
              </w:rPr>
            </w:r>
          </w:p>
        </w:tc>
        <w:tc>
          <w:tcPr>
            <w:shd w:val="clear" w:color="auto" w:fill="auto"/>
            <w:tcBorders>
              <w:top w:val="single" w:color="auto" w:sz="4" w:space="0"/>
              <w:left w:val="single" w:color="auto" w:sz="4" w:space="0"/>
              <w:bottom w:val="single" w:color="auto" w:sz="4" w:space="0"/>
              <w:right w:val="single" w:color="auto" w:sz="4" w:space="0"/>
            </w:tcBorders>
            <w:tcMar>
              <w:left w:w="15" w:type="dxa"/>
              <w:top w:w="15" w:type="dxa"/>
              <w:right w:w="15" w:type="dxa"/>
              <w:bottom w:w="0" w:type="dxa"/>
            </w:tcMar>
            <w:tcW w:w="2462" w:type="dxa"/>
            <w:vAlign w:val="center"/>
            <w:textDirection w:val="lrTb"/>
            <w:noWrap w:val="false"/>
          </w:tcPr>
          <w:p>
            <w:pPr>
              <w:pBdr/>
              <w:spacing/>
              <w:ind/>
              <w:jc w:val="center"/>
              <w:rPr>
                <w:rFonts w:ascii="Arial Narrow" w:hAnsi="Arial Narrow" w:eastAsia="仿宋_GB2312" w:cs="Arial"/>
                <w:bCs/>
                <w:color w:val="000000"/>
                <w:sz w:val="22"/>
                <w:szCs w:val="22"/>
              </w:rPr>
            </w:pPr>
            <w:r>
              <w:rPr>
                <w:rFonts w:ascii="Arial Narrow" w:hAnsi="Arial Narrow" w:eastAsia="仿宋_GB2312" w:cs="Arial"/>
                <w:bCs/>
                <w:color w:val="000000"/>
                <w:sz w:val="22"/>
                <w:szCs w:val="22"/>
              </w:rPr>
              <w:t xml:space="preserve">g = a-f</w:t>
            </w:r>
            <w:r>
              <w:rPr>
                <w:rFonts w:ascii="Arial Narrow" w:hAnsi="Arial Narrow" w:eastAsia="仿宋_GB2312" w:cs="Arial"/>
                <w:bCs/>
                <w:color w:val="000000"/>
                <w:sz w:val="22"/>
                <w:szCs w:val="22"/>
              </w:rPr>
            </w:r>
          </w:p>
        </w:tc>
        <w:tc>
          <w:tcPr>
            <w:shd w:val="clear" w:color="auto" w:fill="auto"/>
            <w:tcBorders>
              <w:top w:val="single" w:color="auto" w:sz="4" w:space="0"/>
              <w:left w:val="single" w:color="auto" w:sz="4" w:space="0"/>
              <w:bottom w:val="single" w:color="auto" w:sz="4" w:space="0"/>
              <w:right w:val="single" w:color="000000" w:sz="8" w:space="0"/>
            </w:tcBorders>
            <w:tcMar>
              <w:left w:w="15" w:type="dxa"/>
              <w:top w:w="15" w:type="dxa"/>
              <w:right w:w="15" w:type="dxa"/>
              <w:bottom w:w="0" w:type="dxa"/>
            </w:tcMar>
            <w:tcW w:w="2499" w:type="dxa"/>
            <w:vAlign w:val="center"/>
            <w:textDirection w:val="lrTb"/>
            <w:noWrap w:val="false"/>
          </w:tcPr>
          <w:p>
            <w:pPr>
              <w:pBdr/>
              <w:spacing/>
              <w:ind/>
              <w:jc w:val="right"/>
              <w:rPr>
                <w:rFonts w:ascii="Arial Narrow" w:hAnsi="Arial Narrow" w:eastAsia="仿宋_GB2312" w:cs="Arial"/>
                <w:bCs/>
                <w:color w:val="000000"/>
                <w:sz w:val="22"/>
                <w:szCs w:val="22"/>
                <w:highlight w:val="yellow"/>
              </w:rPr>
            </w:pPr>
            <w:r>
              <w:rPr>
                <w:rFonts w:ascii="Arial Narrow" w:hAnsi="Arial Narrow" w:eastAsia="仿宋_GB2312" w:cs="Arial"/>
                <w:sz w:val="22"/>
                <w:szCs w:val="22"/>
              </w:rPr>
              <w:t xml:space="preserve">13,637,205.63 </w:t>
            </w:r>
            <w:r>
              <w:rPr>
                <w:rFonts w:ascii="Arial Narrow" w:hAnsi="Arial Narrow" w:eastAsia="仿宋_GB2312" w:cs="Arial"/>
                <w:bCs/>
                <w:color w:val="000000"/>
                <w:sz w:val="22"/>
                <w:szCs w:val="22"/>
                <w:highlight w:val="yellow"/>
              </w:rPr>
            </w:r>
          </w:p>
        </w:tc>
      </w:tr>
      <w:tr>
        <w:trPr>
          <w:trHeight w:val="363"/>
        </w:trPr>
        <w:tc>
          <w:tcPr>
            <w:shd w:val="clear" w:color="auto" w:fill="auto"/>
            <w:tcBorders>
              <w:top w:val="single" w:color="auto" w:sz="4" w:space="0"/>
              <w:left w:val="single" w:color="000000" w:sz="8" w:space="0"/>
              <w:bottom w:val="single" w:color="000000" w:sz="8" w:space="0"/>
              <w:right w:val="single" w:color="auto" w:sz="4" w:space="0"/>
            </w:tcBorders>
            <w:tcMar>
              <w:left w:w="15" w:type="dxa"/>
              <w:top w:w="15" w:type="dxa"/>
              <w:right w:w="15" w:type="dxa"/>
              <w:bottom w:w="0" w:type="dxa"/>
            </w:tcMar>
            <w:tcW w:w="2126" w:type="dxa"/>
            <w:vAlign w:val="center"/>
            <w:textDirection w:val="lrTb"/>
            <w:noWrap w:val="false"/>
          </w:tcPr>
          <w:p>
            <w:pPr>
              <w:pBdr/>
              <w:spacing/>
              <w:ind/>
              <w:rPr>
                <w:rFonts w:ascii="Arial Narrow" w:hAnsi="Arial Narrow" w:eastAsia="仿宋_GB2312" w:cs="Arial"/>
                <w:bCs/>
                <w:color w:val="000000"/>
                <w:sz w:val="22"/>
                <w:szCs w:val="22"/>
              </w:rPr>
            </w:pPr>
            <w:r>
              <w:rPr>
                <w:rFonts w:ascii="Arial Narrow" w:hAnsi="Arial Narrow" w:eastAsia="仿宋_GB2312" w:cs="Arial"/>
                <w:bCs/>
                <w:color w:val="000000"/>
                <w:sz w:val="22"/>
                <w:szCs w:val="22"/>
              </w:rPr>
              <w:t xml:space="preserve">完全成本加成率</w:t>
            </w:r>
            <w:r>
              <w:rPr>
                <w:rFonts w:ascii="Arial Narrow" w:hAnsi="Arial Narrow" w:eastAsia="仿宋_GB2312" w:cs="Arial"/>
                <w:bCs/>
                <w:color w:val="000000"/>
                <w:sz w:val="22"/>
                <w:szCs w:val="22"/>
              </w:rPr>
            </w:r>
          </w:p>
        </w:tc>
        <w:tc>
          <w:tcPr>
            <w:shd w:val="clear" w:color="auto" w:fill="auto"/>
            <w:tcBorders>
              <w:top w:val="single" w:color="auto" w:sz="4" w:space="0"/>
              <w:left w:val="single" w:color="auto" w:sz="4" w:space="0"/>
              <w:bottom w:val="single" w:color="000000" w:sz="8" w:space="0"/>
              <w:right w:val="single" w:color="auto" w:sz="4" w:space="0"/>
            </w:tcBorders>
            <w:tcMar>
              <w:left w:w="15" w:type="dxa"/>
              <w:top w:w="15" w:type="dxa"/>
              <w:right w:w="15" w:type="dxa"/>
              <w:bottom w:w="0" w:type="dxa"/>
            </w:tcMar>
            <w:tcW w:w="2462" w:type="dxa"/>
            <w:vAlign w:val="center"/>
            <w:textDirection w:val="lrTb"/>
            <w:noWrap w:val="false"/>
          </w:tcPr>
          <w:p>
            <w:pPr>
              <w:pBdr/>
              <w:spacing/>
              <w:ind/>
              <w:jc w:val="center"/>
              <w:rPr>
                <w:rFonts w:ascii="Arial Narrow" w:hAnsi="Arial Narrow" w:eastAsia="仿宋_GB2312" w:cs="Arial"/>
                <w:bCs/>
                <w:color w:val="000000"/>
                <w:sz w:val="22"/>
                <w:szCs w:val="22"/>
              </w:rPr>
            </w:pPr>
            <w:r>
              <w:rPr>
                <w:rFonts w:ascii="Arial Narrow" w:hAnsi="Arial Narrow" w:eastAsia="仿宋_GB2312" w:cs="Arial"/>
                <w:bCs/>
                <w:color w:val="000000"/>
                <w:sz w:val="22"/>
                <w:szCs w:val="22"/>
              </w:rPr>
              <w:t xml:space="preserve">h = g/f</w:t>
            </w:r>
            <w:r>
              <w:rPr>
                <w:rFonts w:ascii="Arial Narrow" w:hAnsi="Arial Narrow" w:eastAsia="仿宋_GB2312" w:cs="Arial"/>
                <w:bCs/>
                <w:color w:val="000000"/>
                <w:sz w:val="22"/>
                <w:szCs w:val="22"/>
              </w:rPr>
            </w:r>
          </w:p>
        </w:tc>
        <w:tc>
          <w:tcPr>
            <w:shd w:val="clear" w:color="auto" w:fill="auto"/>
            <w:tcBorders>
              <w:top w:val="single" w:color="auto" w:sz="4" w:space="0"/>
              <w:left w:val="single" w:color="auto" w:sz="4" w:space="0"/>
              <w:bottom w:val="single" w:color="000000" w:sz="8" w:space="0"/>
              <w:right w:val="single" w:color="000000" w:sz="8" w:space="0"/>
            </w:tcBorders>
            <w:tcMar>
              <w:left w:w="15" w:type="dxa"/>
              <w:top w:w="15" w:type="dxa"/>
              <w:right w:w="15" w:type="dxa"/>
              <w:bottom w:w="0" w:type="dxa"/>
            </w:tcMar>
            <w:tcW w:w="2499" w:type="dxa"/>
            <w:vAlign w:val="center"/>
            <w:textDirection w:val="lrTb"/>
            <w:noWrap w:val="false"/>
          </w:tcPr>
          <w:p>
            <w:pPr>
              <w:pBdr/>
              <w:spacing/>
              <w:ind/>
              <w:jc w:val="right"/>
              <w:rPr>
                <w:rFonts w:ascii="Arial Narrow" w:hAnsi="Arial Narrow" w:eastAsia="仿宋_GB2312" w:cs="Arial"/>
                <w:bCs/>
                <w:color w:val="000000"/>
                <w:sz w:val="22"/>
                <w:szCs w:val="22"/>
                <w:highlight w:val="yellow"/>
              </w:rPr>
            </w:pPr>
            <w:r>
              <w:rPr>
                <w:rFonts w:hint="eastAsia" w:ascii="Arial Narrow" w:hAnsi="Arial Narrow" w:eastAsia="仿宋_GB2312" w:cs="Arial"/>
                <w:sz w:val="22"/>
                <w:szCs w:val="22"/>
              </w:rPr>
              <w:t xml:space="preserve">5.25%</w:t>
            </w:r>
            <w:r>
              <w:rPr>
                <w:rFonts w:ascii="Arial Narrow" w:hAnsi="Arial Narrow" w:eastAsia="仿宋_GB2312" w:cs="Arial"/>
                <w:bCs/>
                <w:color w:val="000000"/>
                <w:sz w:val="22"/>
                <w:szCs w:val="22"/>
                <w:highlight w:val="yellow"/>
              </w:rPr>
            </w:r>
          </w:p>
        </w:tc>
      </w:tr>
    </w:tbl>
    <w:p>
      <w:pPr>
        <w:pBdr/>
        <w:spacing/>
        <w:ind w:left="840"/>
        <w:rPr>
          <w:rFonts w:ascii="Arial Narrow" w:hAnsi="Arial Narrow" w:eastAsia="仿宋_GB2312" w:cs="Arial"/>
          <w:i/>
          <w:iCs/>
          <w:sz w:val="16"/>
          <w:szCs w:val="16"/>
        </w:rPr>
      </w:pPr>
      <w:r>
        <w:rPr>
          <w:rFonts w:ascii="Arial Narrow" w:hAnsi="Arial Narrow" w:eastAsia="仿宋_GB2312" w:cs="Arial"/>
          <w:i/>
          <w:iCs/>
          <w:sz w:val="16"/>
          <w:szCs w:val="16"/>
        </w:rPr>
        <w:t xml:space="preserve">信息来源：松莉科技2023年度审计报告</w:t>
      </w:r>
      <w:r>
        <w:rPr>
          <w:rFonts w:ascii="Arial Narrow" w:hAnsi="Arial Narrow" w:eastAsia="仿宋_GB2312" w:cs="Arial"/>
          <w:i/>
          <w:iCs/>
          <w:sz w:val="16"/>
          <w:szCs w:val="16"/>
        </w:rPr>
      </w:r>
      <w:bookmarkEnd w:id="230"/>
      <w:r/>
      <w:bookmarkEnd w:id="231"/>
      <w:r/>
      <w:r>
        <w:rPr>
          <w:rFonts w:ascii="Arial Narrow" w:hAnsi="Arial Narrow" w:eastAsia="仿宋_GB2312" w:cs="Arial"/>
          <w:i/>
          <w:iCs/>
          <w:sz w:val="16"/>
          <w:szCs w:val="16"/>
        </w:rPr>
      </w:r>
    </w:p>
    <w:p>
      <w:pPr>
        <w:pStyle w:val="1324"/>
        <w:pBdr/>
        <w:spacing/>
        <w:ind/>
        <w:rPr>
          <w:b/>
          <w:bCs/>
        </w:rPr>
      </w:pPr>
      <w:r/>
      <w:bookmarkStart w:id="237" w:name="_Toc53229058"/>
      <w:r/>
      <w:bookmarkStart w:id="238" w:name="_Toc140505112"/>
      <w:r>
        <w:t xml:space="preserve">本年度重大变化事项</w:t>
      </w:r>
      <w:bookmarkEnd w:id="237"/>
      <w:r/>
      <w:bookmarkEnd w:id="238"/>
      <w:r/>
      <w:r>
        <w:rPr>
          <w:b/>
          <w:bCs/>
        </w:rPr>
      </w:r>
    </w:p>
    <w:p>
      <w:pPr>
        <w:pBdr/>
        <w:spacing w:after="180" w:before="180" w:line="360" w:lineRule="auto"/>
        <w:ind w:firstLine="440"/>
        <w:jc w:val="both"/>
        <w:rPr>
          <w:rFonts w:ascii="Arial Narrow" w:hAnsi="Arial Narrow" w:eastAsia="仿宋_GB2312" w:cs="Arial"/>
          <w:sz w:val="22"/>
          <w:szCs w:val="22"/>
        </w:rPr>
        <w:sectPr>
          <w:footnotePr/>
          <w:endnotePr/>
          <w:type w:val="nextPage"/>
          <w:pgSz w:h="16839" w:orient="portrait" w:w="11907"/>
          <w:pgMar w:top="1440" w:right="1800" w:bottom="1440" w:left="1800" w:header="709" w:footer="709" w:gutter="0"/>
          <w:cols w:num="1" w:sep="0" w:space="720" w:equalWidth="1"/>
        </w:sectPr>
      </w:pPr>
      <w:r>
        <w:rPr>
          <w:rFonts w:ascii="Arial Narrow" w:hAnsi="Arial Narrow" w:eastAsia="仿宋_GB2312" w:cs="Arial"/>
          <w:sz w:val="22"/>
          <w:szCs w:val="22"/>
        </w:rPr>
        <w:t xml:space="preserve">评估期间，松莉科技未发生重组和无形资产转让的情况，无重大对外投资，也无关联股权转让。企业的经营状况未受到重大影响 。</w:t>
      </w:r>
      <w:r>
        <w:rPr>
          <w:rFonts w:ascii="Arial Narrow" w:hAnsi="Arial Narrow" w:eastAsia="仿宋_GB2312" w:cs="Arial"/>
          <w:sz w:val="22"/>
          <w:szCs w:val="22"/>
        </w:rPr>
      </w:r>
      <w:bookmarkStart w:id="239" w:name="_Toc261811243"/>
      <w:r/>
      <w:bookmarkStart w:id="240" w:name="_Toc262024930"/>
      <w:r/>
      <w:bookmarkEnd w:id="232"/>
      <w:r/>
      <w:bookmarkEnd w:id="233"/>
      <w:r/>
      <w:bookmarkEnd w:id="234"/>
      <w:r>
        <w:rPr>
          <w:rFonts w:ascii="Arial Narrow" w:hAnsi="Arial Narrow" w:eastAsia="仿宋_GB2312" w:cs="Arial"/>
          <w:sz w:val="22"/>
          <w:szCs w:val="22"/>
        </w:rPr>
      </w:r>
      <w:bookmarkEnd w:id="239"/>
      <w:r/>
      <w:bookmarkEnd w:id="240"/>
      <w:r/>
      <w:r>
        <w:rPr>
          <w:rFonts w:ascii="Arial Narrow" w:hAnsi="Arial Narrow" w:eastAsia="仿宋_GB2312" w:cs="Arial"/>
          <w:sz w:val="22"/>
          <w:szCs w:val="22"/>
        </w:rPr>
      </w:r>
    </w:p>
    <w:p>
      <w:pPr>
        <w:pStyle w:val="1323"/>
        <w:pBdr/>
        <w:spacing/>
        <w:ind/>
        <w:rPr>
          <w:b/>
        </w:rPr>
      </w:pPr>
      <w:r/>
      <w:bookmarkStart w:id="241" w:name="_Toc274409435"/>
      <w:r/>
      <w:bookmarkStart w:id="242" w:name="_Toc274409330"/>
      <w:r/>
      <w:bookmarkStart w:id="243" w:name="_Toc274409649"/>
      <w:r/>
      <w:bookmarkStart w:id="244" w:name="_Toc274480764"/>
      <w:r/>
      <w:bookmarkStart w:id="245" w:name="_Toc274409647"/>
      <w:r/>
      <w:bookmarkStart w:id="246" w:name="_Toc274409331"/>
      <w:r/>
      <w:bookmarkStart w:id="247" w:name="_Toc274480766"/>
      <w:r/>
      <w:bookmarkStart w:id="248" w:name="_Toc274409436"/>
      <w:r/>
      <w:bookmarkStart w:id="249" w:name="_Toc274409755"/>
      <w:r/>
      <w:bookmarkStart w:id="250" w:name="_Toc274409648"/>
      <w:r/>
      <w:bookmarkStart w:id="251" w:name="_Toc274409113"/>
      <w:r/>
      <w:bookmarkStart w:id="252" w:name="_Toc274409329"/>
      <w:r/>
      <w:bookmarkStart w:id="253" w:name="_Toc274409111"/>
      <w:r/>
      <w:bookmarkStart w:id="254" w:name="_Toc274409756"/>
      <w:r/>
      <w:bookmarkStart w:id="255" w:name="_Toc274409437"/>
      <w:r/>
      <w:bookmarkStart w:id="256" w:name="_Toc274409757"/>
      <w:r/>
      <w:bookmarkStart w:id="257" w:name="_Toc274480765"/>
      <w:r/>
      <w:bookmarkStart w:id="258" w:name="_Toc274409112"/>
      <w:r/>
      <w:bookmarkStart w:id="259" w:name="_Toc53229059"/>
      <w:r/>
      <w:bookmarkStart w:id="260" w:name="_Toc140505113"/>
      <w:r/>
      <w:bookmarkStart w:id="261" w:name="_Toc274825225"/>
      <w:r/>
      <w:bookmarkEnd w:id="241"/>
      <w:r/>
      <w:bookmarkEnd w:id="242"/>
      <w:r/>
      <w:bookmarkEnd w:id="243"/>
      <w:r/>
      <w:bookmarkEnd w:id="244"/>
      <w:r/>
      <w:bookmarkEnd w:id="245"/>
      <w:r/>
      <w:bookmarkEnd w:id="246"/>
      <w:r/>
      <w:bookmarkEnd w:id="247"/>
      <w:r/>
      <w:bookmarkEnd w:id="248"/>
      <w:r/>
      <w:bookmarkEnd w:id="249"/>
      <w:r/>
      <w:bookmarkEnd w:id="250"/>
      <w:r/>
      <w:bookmarkEnd w:id="251"/>
      <w:r/>
      <w:bookmarkEnd w:id="252"/>
      <w:r/>
      <w:bookmarkEnd w:id="253"/>
      <w:r/>
      <w:bookmarkEnd w:id="254"/>
      <w:r/>
      <w:bookmarkEnd w:id="255"/>
      <w:r/>
      <w:bookmarkEnd w:id="256"/>
      <w:r/>
      <w:bookmarkEnd w:id="257"/>
      <w:r/>
      <w:bookmarkEnd w:id="258"/>
      <w:r>
        <w:t xml:space="preserve">行业分析</w:t>
      </w:r>
      <w:bookmarkEnd w:id="259"/>
      <w:r/>
      <w:bookmarkEnd w:id="260"/>
      <w:r/>
      <w:r>
        <w:rPr>
          <w:b/>
        </w:rPr>
      </w:r>
    </w:p>
    <w:p>
      <w:pPr>
        <w:pBdr/>
        <w:spacing w:after="180" w:before="180" w:line="360" w:lineRule="auto"/>
        <w:ind w:firstLine="440"/>
        <w:jc w:val="both"/>
        <w:rPr>
          <w:rFonts w:ascii="Arial Narrow" w:hAnsi="Arial Narrow" w:eastAsia="仿宋_GB2312" w:cs="Arial"/>
          <w:sz w:val="22"/>
          <w:szCs w:val="22"/>
        </w:rPr>
      </w:pPr>
      <w:r/>
      <w:bookmarkStart w:id="262" w:name="_Toc48317225"/>
      <w:r/>
      <w:bookmarkStart w:id="263" w:name="_Toc48317226"/>
      <w:r/>
      <w:bookmarkStart w:id="264" w:name="_Toc48317410"/>
      <w:r/>
      <w:bookmarkStart w:id="265" w:name="_Toc48317428"/>
      <w:r/>
      <w:bookmarkStart w:id="266" w:name="_Toc48399549"/>
      <w:r/>
      <w:bookmarkStart w:id="267" w:name="_Toc48582945"/>
      <w:r/>
      <w:bookmarkStart w:id="268" w:name="_Toc49961710"/>
      <w:r/>
      <w:bookmarkStart w:id="269" w:name="_Toc48582542"/>
      <w:r/>
      <w:bookmarkStart w:id="270" w:name="_Toc48399550"/>
      <w:r/>
      <w:bookmarkStart w:id="271" w:name="_Toc50477739"/>
      <w:r/>
      <w:bookmarkStart w:id="272" w:name="_Toc48582946"/>
      <w:r/>
      <w:bookmarkStart w:id="273" w:name="_Toc48582962"/>
      <w:r/>
      <w:bookmarkStart w:id="274" w:name="_Toc48582953"/>
      <w:r/>
      <w:bookmarkStart w:id="275" w:name="_Toc48582955"/>
      <w:r/>
      <w:bookmarkStart w:id="276" w:name="_Toc48317131"/>
      <w:r/>
      <w:bookmarkStart w:id="277" w:name="_Toc48399548"/>
      <w:r/>
      <w:bookmarkStart w:id="278" w:name="_Toc48317227"/>
      <w:r/>
      <w:bookmarkStart w:id="279" w:name="_Toc48317419"/>
      <w:r/>
      <w:bookmarkStart w:id="280" w:name="_Toc48582549"/>
      <w:r/>
      <w:bookmarkStart w:id="281" w:name="_Toc48582540"/>
      <w:r/>
      <w:bookmarkStart w:id="282" w:name="_Toc48317117"/>
      <w:r/>
      <w:bookmarkStart w:id="283" w:name="_Toc48399557"/>
      <w:r/>
      <w:bookmarkStart w:id="284" w:name="_Toc75432520"/>
      <w:r/>
      <w:bookmarkStart w:id="285" w:name="_Toc48317421"/>
      <w:r/>
      <w:bookmarkStart w:id="286" w:name="_Toc48582532"/>
      <w:r/>
      <w:bookmarkStart w:id="287" w:name="_Toc48399559"/>
      <w:r/>
      <w:bookmarkStart w:id="288" w:name="_Toc48582543"/>
      <w:r/>
      <w:bookmarkStart w:id="289" w:name="_Toc48317422"/>
      <w:r/>
      <w:bookmarkStart w:id="290" w:name="_Toc48399566"/>
      <w:r/>
      <w:bookmarkStart w:id="291" w:name="_Toc48582531"/>
      <w:r/>
      <w:bookmarkStart w:id="292" w:name="_Toc48582944"/>
      <w:r/>
      <w:bookmarkStart w:id="293" w:name="_Toc48317119"/>
      <w:r/>
      <w:bookmarkStart w:id="294" w:name="_Toc48582956"/>
      <w:r/>
      <w:bookmarkStart w:id="295" w:name="_Toc48317237"/>
      <w:r/>
      <w:bookmarkStart w:id="296" w:name="_Toc75191535"/>
      <w:r/>
      <w:bookmarkStart w:id="297" w:name="_Toc50038991"/>
      <w:r/>
      <w:bookmarkStart w:id="298" w:name="_Toc48317412"/>
      <w:r/>
      <w:bookmarkStart w:id="299" w:name="_Toc48317118"/>
      <w:r/>
      <w:bookmarkStart w:id="300" w:name="_Toc48317236"/>
      <w:r/>
      <w:bookmarkStart w:id="301" w:name="_Toc48317125"/>
      <w:r/>
      <w:bookmarkStart w:id="302" w:name="_Toc48317124"/>
      <w:r/>
      <w:bookmarkStart w:id="303" w:name="_Toc48399560"/>
      <w:r/>
      <w:bookmarkStart w:id="304" w:name="_Toc48317411"/>
      <w:r/>
      <w:bookmarkStart w:id="305" w:name="_Toc48317243"/>
      <w:r/>
      <w:bookmarkStart w:id="306" w:name="_Toc48582533"/>
      <w:r/>
      <w:bookmarkStart w:id="307" w:name="_Toc48317234"/>
      <w:r/>
      <w:bookmarkEnd w:id="262"/>
      <w:r/>
      <w:bookmarkEnd w:id="263"/>
      <w:r/>
      <w:bookmarkEnd w:id="264"/>
      <w:r/>
      <w:bookmarkEnd w:id="265"/>
      <w:r/>
      <w:bookmarkEnd w:id="266"/>
      <w:r/>
      <w:bookmarkEnd w:id="267"/>
      <w:r/>
      <w:bookmarkEnd w:id="268"/>
      <w:r/>
      <w:bookmarkEnd w:id="269"/>
      <w:r/>
      <w:bookmarkEnd w:id="270"/>
      <w:r/>
      <w:bookmarkEnd w:id="271"/>
      <w:r/>
      <w:bookmarkEnd w:id="272"/>
      <w:r/>
      <w:bookmarkEnd w:id="273"/>
      <w:r/>
      <w:bookmarkEnd w:id="274"/>
      <w:r/>
      <w:bookmarkEnd w:id="275"/>
      <w:r/>
      <w:bookmarkEnd w:id="276"/>
      <w:r/>
      <w:bookmarkEnd w:id="277"/>
      <w:r/>
      <w:bookmarkEnd w:id="278"/>
      <w:r/>
      <w:bookmarkEnd w:id="279"/>
      <w:r/>
      <w:bookmarkEnd w:id="280"/>
      <w:r/>
      <w:bookmarkEnd w:id="281"/>
      <w:r/>
      <w:bookmarkEnd w:id="282"/>
      <w:r/>
      <w:bookmarkEnd w:id="283"/>
      <w:r/>
      <w:bookmarkEnd w:id="284"/>
      <w:r/>
      <w:bookmarkEnd w:id="285"/>
      <w:r/>
      <w:bookmarkEnd w:id="286"/>
      <w:r/>
      <w:bookmarkEnd w:id="287"/>
      <w:r/>
      <w:bookmarkEnd w:id="288"/>
      <w:r/>
      <w:bookmarkEnd w:id="289"/>
      <w:r/>
      <w:bookmarkEnd w:id="290"/>
      <w:r/>
      <w:bookmarkEnd w:id="291"/>
      <w:r/>
      <w:bookmarkEnd w:id="292"/>
      <w:r/>
      <w:bookmarkEnd w:id="293"/>
      <w:r/>
      <w:bookmarkEnd w:id="294"/>
      <w:r/>
      <w:bookmarkEnd w:id="295"/>
      <w:r/>
      <w:bookmarkEnd w:id="296"/>
      <w:r/>
      <w:bookmarkEnd w:id="297"/>
      <w:r/>
      <w:bookmarkEnd w:id="298"/>
      <w:r/>
      <w:bookmarkEnd w:id="299"/>
      <w:r/>
      <w:bookmarkEnd w:id="300"/>
      <w:r/>
      <w:bookmarkEnd w:id="301"/>
      <w:r/>
      <w:bookmarkEnd w:id="302"/>
      <w:r/>
      <w:bookmarkEnd w:id="303"/>
      <w:r/>
      <w:bookmarkEnd w:id="304"/>
      <w:r/>
      <w:bookmarkEnd w:id="305"/>
      <w:r/>
      <w:bookmarkEnd w:id="306"/>
      <w:r/>
      <w:bookmarkEnd w:id="307"/>
      <w:r>
        <w:rPr>
          <w:rFonts w:ascii="Arial Narrow" w:hAnsi="Arial Narrow" w:eastAsia="仿宋_GB2312"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Style w:val="1377"/>
          <w:rFonts w:ascii="Arial Narrow" w:hAnsi="Arial Narrow" w:eastAsia="仿宋_GB2312" w:cs="Arial"/>
          <w:sz w:val="22"/>
          <w:szCs w:val="22"/>
        </w:rPr>
        <w:footnoteReference w:id="3"/>
      </w:r>
      <w:r>
        <w:rPr>
          <w:rFonts w:ascii="Arial Narrow" w:hAnsi="Arial Narrow" w:eastAsia="仿宋_GB2312" w:cs="Arial"/>
          <w:sz w:val="22"/>
          <w:szCs w:val="22"/>
        </w:rPr>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因此，我们将对松莉科技相关的行业领域，即化妆品行业，进行分析。分析的具体方面如下：</w:t>
      </w:r>
      <w:r>
        <w:rPr>
          <w:rFonts w:ascii="Arial Narrow" w:hAnsi="Arial Narrow" w:eastAsia="仿宋_GB2312" w:cs="Arial"/>
          <w:sz w:val="22"/>
          <w:szCs w:val="22"/>
        </w:rPr>
      </w:r>
      <w:r>
        <w:rPr>
          <w:rFonts w:ascii="Arial Narrow" w:hAnsi="Arial Narrow" w:eastAsia="仿宋_GB2312" w:cs="Arial"/>
          <w:sz w:val="22"/>
          <w:szCs w:val="22"/>
        </w:rPr>
      </w:r>
    </w:p>
    <w:p>
      <w:pPr>
        <w:pStyle w:val="1536"/>
        <w:numPr>
          <w:ilvl w:val="0"/>
          <w:numId w:val="18"/>
        </w:numPr>
        <w:pBdr/>
        <w:spacing/>
        <w:ind/>
        <w:rPr/>
      </w:pPr>
      <w:r>
        <w:t xml:space="preserve">化妆品行业分析；</w:t>
      </w:r>
      <w:r/>
    </w:p>
    <w:p>
      <w:pPr>
        <w:pStyle w:val="1536"/>
        <w:numPr>
          <w:ilvl w:val="0"/>
          <w:numId w:val="18"/>
        </w:numPr>
        <w:pBdr/>
        <w:spacing/>
        <w:ind/>
        <w:rPr/>
      </w:pPr>
      <w:r>
        <w:t xml:space="preserve">化妆品代加工行业分析；</w:t>
      </w:r>
      <w:r/>
    </w:p>
    <w:p>
      <w:pPr>
        <w:pStyle w:val="1536"/>
        <w:numPr>
          <w:ilvl w:val="0"/>
          <w:numId w:val="18"/>
        </w:numPr>
        <w:pBdr/>
        <w:spacing/>
        <w:ind/>
        <w:rPr/>
      </w:pPr>
      <w:r>
        <w:t xml:space="preserve">结论。</w:t>
      </w:r>
      <w:r/>
    </w:p>
    <w:p>
      <w:pPr>
        <w:pStyle w:val="1324"/>
        <w:pBdr/>
        <w:spacing/>
        <w:ind/>
        <w:rPr/>
      </w:pPr>
      <w:r/>
      <w:bookmarkStart w:id="308" w:name="_Toc106357747"/>
      <w:r/>
      <w:bookmarkStart w:id="309" w:name="_Toc140505114"/>
      <w:r>
        <w:t xml:space="preserve">化妆品行业分析</w:t>
      </w:r>
      <w:bookmarkEnd w:id="308"/>
      <w:r/>
      <w:bookmarkEnd w:id="309"/>
      <w:r/>
      <w:r/>
    </w:p>
    <w:p>
      <w:pPr>
        <w:pStyle w:val="1325"/>
        <w:pBdr/>
        <w:spacing/>
        <w:ind/>
        <w:rPr>
          <w:b/>
          <w:bCs/>
        </w:rPr>
      </w:pPr>
      <w:r/>
      <w:bookmarkStart w:id="310" w:name="_Toc106357748"/>
      <w:r/>
      <w:bookmarkStart w:id="311" w:name="_Toc140505115"/>
      <w:r>
        <w:t xml:space="preserve">化妆品概述</w:t>
      </w:r>
      <w:bookmarkEnd w:id="310"/>
      <w:r/>
      <w:bookmarkEnd w:id="311"/>
      <w:r/>
      <w:r>
        <w:rPr>
          <w:b/>
          <w:bCs/>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化妆品是指以涂抹、喷洒或者其他类似方法，散布于人体表面的任何部位，如皮肤、毛发、指趾甲、唇齿等，以达到清洁、保养、美容、修饰和改变外观，或者修正人体气味，保持良好状态为目的的化学工业品或精细化工产品。</w:t>
      </w:r>
      <w:r>
        <w:rPr>
          <w:rStyle w:val="1377"/>
          <w:rFonts w:ascii="Arial Narrow" w:hAnsi="Arial Narrow" w:eastAsia="仿宋_GB2312" w:cs="Arial"/>
          <w:sz w:val="22"/>
          <w:szCs w:val="22"/>
        </w:rPr>
        <w:footnoteReference w:id="4"/>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化妆品按效果分类主要可分为如下五个类别：</w:t>
      </w:r>
      <w:r>
        <w:rPr>
          <w:rFonts w:ascii="Arial Narrow" w:hAnsi="Arial Narrow" w:eastAsia="仿宋_GB2312" w:cs="Arial"/>
          <w:sz w:val="22"/>
          <w:szCs w:val="22"/>
        </w:rPr>
      </w:r>
    </w:p>
    <w:p>
      <w:pPr>
        <w:pStyle w:val="1536"/>
        <w:numPr>
          <w:ilvl w:val="0"/>
          <w:numId w:val="18"/>
        </w:numPr>
        <w:pBdr/>
        <w:spacing/>
        <w:ind/>
        <w:rPr/>
      </w:pPr>
      <w:r>
        <w:t xml:space="preserve">清洁型：用来洗净皮肤；</w:t>
      </w:r>
      <w:r/>
    </w:p>
    <w:p>
      <w:pPr>
        <w:pStyle w:val="1536"/>
        <w:numPr>
          <w:ilvl w:val="0"/>
          <w:numId w:val="18"/>
        </w:numPr>
        <w:pBdr/>
        <w:spacing/>
        <w:ind/>
        <w:rPr/>
      </w:pPr>
      <w:r>
        <w:t xml:space="preserve">护肤型：这类化妆品如清洁霜、洗面奶、浴剂、洗发护发剂、剃须膏等；</w:t>
      </w:r>
      <w:r/>
    </w:p>
    <w:p>
      <w:pPr>
        <w:pStyle w:val="1536"/>
        <w:numPr>
          <w:ilvl w:val="0"/>
          <w:numId w:val="18"/>
        </w:numPr>
        <w:pBdr/>
        <w:spacing/>
        <w:ind/>
        <w:rPr/>
      </w:pPr>
      <w:r>
        <w:t xml:space="preserve">基础型：化妆前，对面部头发的基础处理。这类化妆品如各种面霜、蜜、化妆水、面膜、发乳、发胶等定发剂；</w:t>
      </w:r>
      <w:r/>
    </w:p>
    <w:p>
      <w:pPr>
        <w:pStyle w:val="1536"/>
        <w:numPr>
          <w:ilvl w:val="0"/>
          <w:numId w:val="18"/>
        </w:numPr>
        <w:pBdr/>
        <w:spacing/>
        <w:ind/>
        <w:rPr/>
      </w:pPr>
      <w:r>
        <w:t xml:space="preserve">美容型：用于面部及头发的美化用品。这类化妆品指胭脂，口红，眼影，头发染烫、发型处理、固定等用品；</w:t>
      </w:r>
      <w:r/>
    </w:p>
    <w:p>
      <w:pPr>
        <w:pStyle w:val="1536"/>
        <w:numPr>
          <w:ilvl w:val="0"/>
          <w:numId w:val="18"/>
        </w:numPr>
        <w:pBdr/>
        <w:spacing/>
        <w:ind/>
        <w:rPr/>
      </w:pPr>
      <w:r>
        <w:t xml:space="preserve">疗效型：介于药品与化妆品之间的日化用品。这类化妆品如清凉剂、除臭剂、育毛剂、除毛剂、染毛剂、驱虫剂、橄榄精华等。</w:t>
      </w:r>
      <w:r/>
    </w:p>
    <w:p>
      <w:pPr>
        <w:pBdr/>
        <w:spacing w:after="180" w:before="180" w:line="360" w:lineRule="auto"/>
        <w:ind w:firstLine="440"/>
        <w:jc w:val="both"/>
        <w:rPr>
          <w:rFonts w:ascii="Arial Narrow" w:hAnsi="Arial Narrow" w:eastAsia="仿宋_GB2312" w:cs="Arial"/>
          <w:i/>
          <w:sz w:val="16"/>
          <w:szCs w:val="16"/>
        </w:rPr>
      </w:pPr>
      <w:r>
        <w:rPr>
          <w:rFonts w:ascii="Arial Narrow" w:hAnsi="Arial Narrow" w:eastAsia="仿宋_GB2312" w:cs="Arial"/>
          <w:sz w:val="22"/>
          <w:szCs w:val="22"/>
        </w:rPr>
        <w:t xml:space="preserve">由于化妆品与人体接触的特殊属性，化妆品的生产流程也如同可食用或能够直接接触身体的产品的生产流程一样，受到相关法律法规监管束缚。</w:t>
      </w:r>
      <w:r>
        <w:rPr>
          <w:rFonts w:ascii="Arial Narrow" w:hAnsi="Arial Narrow" w:eastAsia="仿宋_GB2312" w:cs="Arial"/>
          <w:i/>
          <w:sz w:val="16"/>
          <w:szCs w:val="16"/>
        </w:rPr>
      </w:r>
    </w:p>
    <w:p>
      <w:pPr>
        <w:pStyle w:val="1325"/>
        <w:pBdr/>
        <w:spacing/>
        <w:ind/>
        <w:rPr/>
      </w:pPr>
      <w:r/>
      <w:bookmarkStart w:id="312" w:name="_Toc106357749"/>
      <w:r/>
      <w:bookmarkStart w:id="313" w:name="_Toc140505116"/>
      <w:r>
        <w:t xml:space="preserve">全球化妆品行业分析</w:t>
      </w:r>
      <w:bookmarkEnd w:id="312"/>
      <w:r/>
      <w:bookmarkEnd w:id="313"/>
      <w: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护肤品按照使用部位不同分为面部护肤品、身体护肤品、手部护肤品和护肤套装产品，根据欧睿信息咨询公布的统计数据显示，目前全球市场规模最大的护肤产品为面部护肤品。</w:t>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hint="eastAsia" w:ascii="Arial Narrow" w:hAnsi="Arial Narrow" w:eastAsia="仿宋_GB2312" w:cs="Arial"/>
          <w:sz w:val="22"/>
          <w:szCs w:val="22"/>
        </w:rPr>
        <w:t xml:space="preserve">2010-2015年，全球经济放缓导致化妆品市场规模增速明显走低，2015年甚至出现负增长的情况，原因是欧元区需求不振及南美经济出现严重下滑。2016年以后，全球化妆品市场迎来触底反弹，扭转了此前的发展颓势。2020年，受到疫情影响，全球化妆品市场规模收缩，市场增长下降3.92%，但总体市场规模仍然保持在4800亿美元以上。2021-2023年，全球化妆品市场规模快速回升，2023年全球化妆品市场规模达到近十年最大值，为6,070.0亿美元。</w:t>
      </w:r>
      <w:r>
        <w:rPr>
          <w:rFonts w:hint="eastAsia" w:ascii="Arial Narrow" w:hAnsi="Arial Narrow" w:eastAsia="仿宋_GB2312" w:cs="Arial"/>
          <w:sz w:val="22"/>
          <w:szCs w:val="22"/>
        </w:rPr>
      </w:r>
      <w:r>
        <w:rPr>
          <w:rFonts w:ascii="Arial Narrow" w:hAnsi="Arial Narrow" w:eastAsia="仿宋_GB2312" w:cs="Arial"/>
          <w:sz w:val="22"/>
          <w:szCs w:val="22"/>
        </w:rPr>
      </w:r>
    </w:p>
    <w:p>
      <w:pPr>
        <w:pStyle w:val="1338"/>
        <w:pBdr/>
        <w:spacing/>
        <w:ind w:hanging="420" w:left="420"/>
        <w:jc w:val="center"/>
        <w:rPr>
          <w:rFonts w:ascii="Arial Narrow" w:hAnsi="Arial Narrow" w:eastAsia="仿宋_GB2312" w:cs="Arial"/>
          <w:sz w:val="22"/>
        </w:rPr>
      </w:pPr>
      <w:r>
        <w:rPr>
          <w:rFonts w:ascii="Arial Narrow" w:hAnsi="Arial Narrow" w:eastAsia="仿宋_GB2312" w:cs="Arial"/>
          <w:sz w:val="22"/>
        </w:rPr>
        <w:t xml:space="preserve">图表 7：2021-2026年全球化妆品市场规模情况（单位：亿美元）&amp;</w:t>
      </w:r>
      <w:r>
        <w:rPr>
          <w:rStyle w:val="1377"/>
          <w:rFonts w:ascii="Arial Narrow" w:hAnsi="Arial Narrow" w:eastAsia="仿宋_GB2312" w:cs="Arial"/>
          <w:sz w:val="22"/>
        </w:rPr>
        <w:footnoteReference w:id="5"/>
      </w:r>
      <w:r>
        <w:rPr>
          <w:rStyle w:val="1377"/>
          <w:rFonts w:ascii="Arial Narrow" w:hAnsi="Arial Narrow" w:eastAsia="仿宋_GB2312" w:cs="Arial"/>
          <w:sz w:val="22"/>
        </w:rPr>
        <w:footnoteReference w:id="6"/>
      </w:r>
      <w:r>
        <w:rPr>
          <w:rFonts w:ascii="Arial Narrow" w:hAnsi="Arial Narrow" w:eastAsia="仿宋_GB2312" w:cs="Arial"/>
          <w:sz w:val="22"/>
        </w:rPr>
      </w:r>
    </w:p>
    <w:p>
      <w:pPr>
        <w:pBdr/>
        <w:spacing/>
        <w:ind/>
        <w:jc w:val="center"/>
        <w:rPr>
          <w:rFonts w:ascii="Arial Narrow" w:hAnsi="Arial Narrow"/>
        </w:rPr>
      </w:pPr>
      <w:r>
        <w:rPr>
          <w:rFonts w:ascii="Arial Narrow" w:hAnsi="Arial Narrow" w:eastAsia="仿宋_GB2312" w:cs="Arial"/>
          <w:b/>
          <w:color w:val="000000" w:themeColor="text1"/>
          <w:sz w:val="22"/>
        </w:rPr>
        <w:drawing>
          <wp:inline distT="0" distB="0" distL="0" distR="0">
            <wp:extent cx="4467225" cy="2219325"/>
            <wp:effectExtent l="0" t="0" r="9525" b="9525"/>
            <wp:docPr id="6"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r>
        <w:rPr>
          <w:rFonts w:ascii="Arial Narrow" w:hAnsi="Arial Narrow"/>
        </w:rPr>
      </w:r>
    </w:p>
    <w:p>
      <w:pPr>
        <w:pBdr/>
        <w:spacing w:after="180" w:before="180" w:line="360" w:lineRule="auto"/>
        <w:ind w:firstLine="440"/>
        <w:jc w:val="both"/>
        <w:rPr>
          <w:rFonts w:ascii="Arial Narrow" w:hAnsi="Arial Narrow" w:eastAsia="仿宋_GB2312" w:cs="Arial"/>
          <w:b/>
          <w:bCs/>
          <w:sz w:val="22"/>
        </w:rPr>
      </w:pPr>
      <w:r>
        <w:rPr>
          <w:rFonts w:hint="eastAsia" w:ascii="Arial Narrow" w:hAnsi="Arial Narrow" w:eastAsia="仿宋_GB2312" w:cs="Arial"/>
          <w:sz w:val="22"/>
          <w:szCs w:val="22"/>
        </w:rPr>
        <w:t xml:space="preserve">2011-2023年，护肤类产品销售占比始终保持第一位，2023年护肤类产品市场规模占比36.9%，市场规模为2,239.83亿美元。护发用品销售占比第二，占比22.7%，市场规模为1,377.89亿美元；彩妆市场及香水市场规模占比分别为18.3%及11.9%，市场规模分别为1,110.81亿美元及722.33亿美元。</w:t>
      </w:r>
      <w:r>
        <w:rPr>
          <w:rFonts w:hint="eastAsia" w:ascii="Arial Narrow" w:hAnsi="Arial Narrow" w:eastAsia="仿宋_GB2312" w:cs="Arial"/>
          <w:sz w:val="22"/>
          <w:szCs w:val="22"/>
        </w:rPr>
      </w:r>
      <w:r>
        <w:rPr>
          <w:rFonts w:ascii="Arial Narrow" w:hAnsi="Arial Narrow" w:eastAsia="仿宋_GB2312" w:cs="Arial"/>
          <w:b/>
          <w:bCs/>
          <w:sz w:val="22"/>
        </w:rPr>
      </w:r>
    </w:p>
    <w:p>
      <w:pPr>
        <w:pBdr/>
        <w:spacing w:after="240" w:before="240"/>
        <w:ind w:firstLine="475"/>
        <w:jc w:val="center"/>
        <w:rPr>
          <w:rFonts w:ascii="Arial Narrow" w:hAnsi="Arial Narrow" w:eastAsia="仿宋_GB2312"/>
          <w:b/>
        </w:rPr>
      </w:pPr>
      <w:r>
        <w:rPr>
          <w:rFonts w:ascii="Arial Narrow" w:hAnsi="Arial Narrow" w:eastAsia="仿宋_GB2312" w:cs="Arial"/>
          <w:b/>
          <w:bCs/>
          <w:sz w:val="22"/>
        </w:rPr>
        <w:t xml:space="preserve">图表 8：2023年全球化妆品消费国市场份额</w:t>
      </w:r>
      <w:r>
        <w:rPr>
          <w:rStyle w:val="1377"/>
          <w:rFonts w:ascii="Arial Narrow" w:hAnsi="Arial Narrow" w:eastAsia="仿宋_GB2312"/>
        </w:rPr>
        <w:footnoteReference w:id="7"/>
      </w:r>
      <w:r>
        <w:rPr>
          <w:rFonts w:ascii="Arial Narrow" w:hAnsi="Arial Narrow" w:eastAsia="仿宋_GB2312"/>
          <w:b/>
        </w:rPr>
      </w:r>
    </w:p>
    <w:p>
      <w:pPr>
        <w:pBdr/>
        <w:spacing w:after="240" w:before="240"/>
        <w:ind w:firstLine="475"/>
        <w:rPr>
          <w:rFonts w:ascii="Arial Narrow" w:hAnsi="Arial Narrow" w:eastAsia="仿宋_GB2312" w:cs="Arial"/>
          <w:b/>
          <w:bCs/>
          <w:sz w:val="22"/>
        </w:rPr>
      </w:pPr>
      <w:r>
        <w:rPr>
          <w:rFonts w:ascii="Arial Narrow" w:hAnsi="Arial Narrow" w:eastAsia="仿宋_GB2312" w:cs="Arial"/>
          <w:color w:val="000000" w:themeColor="text1"/>
          <w:sz w:val="22"/>
        </w:rPr>
        <w:drawing>
          <wp:inline distT="0" distB="0" distL="0" distR="0">
            <wp:extent cx="5043170" cy="2212975"/>
            <wp:effectExtent l="4445" t="4445" r="12065" b="7620"/>
            <wp:docPr id="7" name="图表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bookmarkStart w:id="314" w:name="_Toc105453304"/>
      <w:r/>
      <w:bookmarkStart w:id="315" w:name="_Toc77264701"/>
      <w:r/>
      <w:r>
        <w:rPr>
          <w:rFonts w:ascii="Arial Narrow" w:hAnsi="Arial Narrow" w:eastAsia="仿宋_GB2312" w:cs="Arial"/>
          <w:b/>
          <w:bCs/>
          <w:sz w:val="22"/>
        </w:rPr>
      </w:r>
    </w:p>
    <w:p>
      <w:pPr>
        <w:pBdr/>
        <w:spacing w:after="240" w:before="240"/>
        <w:ind w:firstLine="475"/>
        <w:jc w:val="center"/>
        <w:rPr>
          <w:rFonts w:ascii="Arial Narrow" w:hAnsi="Arial Narrow" w:eastAsia="仿宋_GB2312"/>
          <w:b/>
        </w:rPr>
      </w:pPr>
      <w:r>
        <w:rPr>
          <w:rFonts w:ascii="Arial Narrow" w:hAnsi="Arial Narrow" w:eastAsia="仿宋_GB2312" w:cs="Arial"/>
          <w:b/>
          <w:bCs/>
          <w:sz w:val="22"/>
        </w:rPr>
        <w:t xml:space="preserve">图表 9：2023年全球化妆品产品结构</w:t>
      </w:r>
      <w:r>
        <w:rPr>
          <w:rFonts w:ascii="Arial Narrow" w:hAnsi="Arial Narrow" w:eastAsia="仿宋_GB2312" w:cs="Arial"/>
          <w:b/>
          <w:bCs/>
          <w:sz w:val="22"/>
        </w:rPr>
      </w:r>
      <w:bookmarkEnd w:id="314"/>
      <w:r/>
      <w:bookmarkEnd w:id="315"/>
      <w:r>
        <w:rPr>
          <w:rStyle w:val="1377"/>
          <w:rFonts w:ascii="Arial Narrow" w:hAnsi="Arial Narrow" w:eastAsia="仿宋_GB2312" w:cs="Arial"/>
          <w:b/>
          <w:bCs/>
          <w:sz w:val="22"/>
        </w:rPr>
        <w:footnoteReference w:id="8"/>
      </w:r>
      <w:r>
        <w:rPr>
          <w:rFonts w:ascii="Arial Narrow" w:hAnsi="Arial Narrow" w:eastAsia="仿宋_GB2312"/>
          <w:b/>
        </w:rPr>
      </w:r>
    </w:p>
    <w:p>
      <w:pPr>
        <w:pBdr/>
        <w:spacing w:after="240" w:before="240"/>
        <w:ind w:firstLine="475"/>
        <w:jc w:val="center"/>
        <w:rPr>
          <w:rFonts w:ascii="Arial Narrow" w:hAnsi="Arial Narrow" w:eastAsia="仿宋_GB2312" w:cs="Arial"/>
          <w:color w:val="000000"/>
          <w:sz w:val="22"/>
        </w:rPr>
      </w:pPr>
      <w:r>
        <w:rPr>
          <w:rFonts w:ascii="Arial Narrow" w:hAnsi="Arial Narrow" w:eastAsia="仿宋_GB2312" w:cs="Arial"/>
          <w:color w:val="000000" w:themeColor="text1"/>
          <w:sz w:val="22"/>
        </w:rPr>
        <w:drawing>
          <wp:inline distT="0" distB="0" distL="0" distR="0">
            <wp:extent cx="5029200" cy="2056765"/>
            <wp:effectExtent l="0" t="0" r="0" b="635"/>
            <wp:docPr id="8" name="图表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r>
        <w:rPr>
          <w:rFonts w:ascii="Arial Narrow" w:hAnsi="Arial Narrow" w:eastAsia="仿宋_GB2312" w:cs="Arial"/>
          <w:color w:val="000000"/>
          <w:sz w:val="22"/>
        </w:rPr>
      </w:r>
    </w:p>
    <w:p>
      <w:pPr>
        <w:pStyle w:val="1325"/>
        <w:pBdr/>
        <w:spacing/>
        <w:ind/>
        <w:rPr/>
      </w:pPr>
      <w:r/>
      <w:bookmarkStart w:id="316" w:name="_Toc106357754"/>
      <w:r/>
      <w:bookmarkStart w:id="317" w:name="_Toc106357752"/>
      <w:r/>
      <w:bookmarkStart w:id="318" w:name="_Toc106357751"/>
      <w:r/>
      <w:bookmarkStart w:id="319" w:name="_Toc106357750"/>
      <w:r/>
      <w:bookmarkStart w:id="320" w:name="_Toc106357753"/>
      <w:r/>
      <w:bookmarkStart w:id="321" w:name="_Toc106357755"/>
      <w:r/>
      <w:bookmarkStart w:id="322" w:name="_Toc106357756"/>
      <w:r/>
      <w:bookmarkStart w:id="323" w:name="_Toc140505117"/>
      <w:r/>
      <w:bookmarkEnd w:id="316"/>
      <w:r/>
      <w:bookmarkEnd w:id="317"/>
      <w:r/>
      <w:bookmarkEnd w:id="318"/>
      <w:r/>
      <w:bookmarkEnd w:id="319"/>
      <w:r/>
      <w:bookmarkEnd w:id="320"/>
      <w:r/>
      <w:bookmarkEnd w:id="321"/>
      <w:r>
        <w:t xml:space="preserve">中国化妆品行业分析</w:t>
      </w:r>
      <w:bookmarkEnd w:id="322"/>
      <w:r/>
      <w:bookmarkEnd w:id="323"/>
      <w:r/>
      <w:r/>
    </w:p>
    <w:p>
      <w:pPr>
        <w:pBdr/>
        <w:spacing w:after="180" w:before="180" w:line="360" w:lineRule="auto"/>
        <w:ind w:firstLine="440"/>
        <w:jc w:val="both"/>
        <w:rPr>
          <w:rFonts w:ascii="Arial Narrow" w:hAnsi="Arial Narrow" w:eastAsia="仿宋_GB2312" w:cs="Arial"/>
          <w:sz w:val="22"/>
          <w:szCs w:val="22"/>
        </w:rPr>
      </w:pPr>
      <w:r>
        <w:rPr>
          <w:rFonts w:hint="eastAsia" w:ascii="Arial Narrow" w:hAnsi="Arial Narrow" w:eastAsia="仿宋_GB2312" w:cs="Arial"/>
          <w:sz w:val="22"/>
          <w:szCs w:val="22"/>
        </w:rPr>
        <w:t xml:space="preserve">据国家统计局数据显示，截至2023年12月中国社会消费品零售总额为43,550亿元，同比增长7.4%。其中，除汽车以外的消费品零售额为38,131亿元，同比增长7.9%。累计方面，2023年1-12月中国社会消费品零售总额累计为471,495亿元，比上年增长7.2%。其中，除汽车以外的消费品零售额为422,881亿元，累计增长7.3%。</w:t>
      </w:r>
      <w:r>
        <w:rPr>
          <w:rFonts w:hint="eastAsia" w:ascii="Arial Narrow" w:hAnsi="Arial Narrow" w:eastAsia="仿宋_GB2312" w:cs="Arial"/>
          <w:sz w:val="22"/>
          <w:szCs w:val="22"/>
        </w:rPr>
      </w:r>
      <w:r>
        <w:rPr>
          <w:rFonts w:ascii="Arial Narrow" w:hAnsi="Arial Narrow" w:eastAsia="仿宋_GB2312" w:cs="Arial"/>
          <w:sz w:val="22"/>
          <w:szCs w:val="22"/>
        </w:rPr>
      </w:r>
    </w:p>
    <w:p>
      <w:pPr>
        <w:pBdr/>
        <w:spacing w:after="180" w:before="180" w:line="360" w:lineRule="auto"/>
        <w:ind w:firstLine="442"/>
        <w:jc w:val="center"/>
        <w:rPr>
          <w:rFonts w:ascii="Arial Narrow" w:hAnsi="Arial Narrow" w:eastAsia="仿宋_GB2312" w:cs="Arial"/>
          <w:b/>
          <w:sz w:val="22"/>
        </w:rPr>
      </w:pPr>
      <w:r/>
      <w:bookmarkStart w:id="324" w:name="_Toc105453305"/>
      <w:r>
        <w:rPr>
          <w:rFonts w:ascii="Arial Narrow" w:hAnsi="Arial Narrow" w:eastAsia="仿宋_GB2312" w:cs="Arial"/>
          <w:b/>
          <w:sz w:val="22"/>
        </w:rPr>
        <w:t xml:space="preserve">图表 10：2023年中国化妆品零售总额（单位：亿元） &amp;</w:t>
      </w:r>
      <w:r>
        <w:rPr>
          <w:rStyle w:val="1377"/>
          <w:rFonts w:hint="eastAsia" w:ascii="Arial Narrow" w:hAnsi="Arial Narrow" w:eastAsia="仿宋_GB2312" w:cs="Arial"/>
          <w:b/>
          <w:sz w:val="22"/>
        </w:rPr>
        <w:footnoteReference w:id="9"/>
      </w:r>
      <w:bookmarkEnd w:id="324"/>
      <w:r>
        <w:rPr>
          <w:rStyle w:val="1377"/>
          <w:rFonts w:hint="eastAsia" w:ascii="Arial Narrow" w:hAnsi="Arial Narrow" w:eastAsia="仿宋_GB2312" w:cs="Arial"/>
          <w:b/>
          <w:sz w:val="22"/>
        </w:rPr>
        <w:footnoteReference w:id="10"/>
      </w:r>
      <w:r>
        <w:rPr>
          <w:rFonts w:ascii="Arial Narrow" w:hAnsi="Arial Narrow" w:eastAsia="仿宋_GB2312" w:cs="Arial"/>
          <w:b/>
          <w:sz w:val="22"/>
        </w:rPr>
      </w:r>
    </w:p>
    <w:p>
      <w:pPr>
        <w:pBdr/>
        <w:spacing w:after="180" w:before="180" w:line="360" w:lineRule="auto"/>
        <w:ind w:firstLine="442"/>
        <w:jc w:val="center"/>
        <w:rPr>
          <w:rFonts w:ascii="Arial Narrow" w:hAnsi="Arial Narrow" w:eastAsia="仿宋_GB2312" w:cs="Arial"/>
          <w:b/>
          <w:color w:val="000000" w:themeColor="text1"/>
          <w:sz w:val="22"/>
        </w:rPr>
      </w:pPr>
      <w:r>
        <w:rPr>
          <w:rFonts w:ascii="Arial Narrow" w:hAnsi="Arial Narrow" w:eastAsia="仿宋_GB2312" w:cs="Arial"/>
          <w:b/>
          <w:color w:val="000000" w:themeColor="text1"/>
          <w:sz w:val="22"/>
        </w:rPr>
        <w:drawing>
          <wp:inline distT="0" distB="0" distL="0" distR="0">
            <wp:extent cx="3902075" cy="1825625"/>
            <wp:effectExtent l="5080" t="4445" r="9525" b="13970"/>
            <wp:docPr id="9"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r>
        <w:rPr>
          <w:rFonts w:ascii="Arial Narrow" w:hAnsi="Arial Narrow" w:eastAsia="仿宋_GB2312" w:cs="Arial"/>
          <w:b/>
          <w:color w:val="000000" w:themeColor="text1"/>
          <w:sz w:val="22"/>
        </w:rPr>
      </w:r>
    </w:p>
    <w:p>
      <w:pPr>
        <w:pBdr/>
        <w:spacing w:after="180" w:before="180" w:line="360" w:lineRule="auto"/>
        <w:ind w:firstLine="440"/>
        <w:jc w:val="both"/>
        <w:rPr>
          <w:rFonts w:ascii="Arial Narrow" w:hAnsi="Arial Narrow" w:eastAsia="仿宋_GB2312" w:cs="Arial"/>
          <w:b/>
          <w:color w:val="000000" w:themeColor="text1"/>
          <w:sz w:val="22"/>
        </w:rPr>
      </w:pPr>
      <w:r>
        <w:rPr>
          <w:rFonts w:hint="eastAsia" w:ascii="Arial Narrow" w:hAnsi="Arial Narrow" w:eastAsia="仿宋_GB2312" w:cs="Arial"/>
          <w:sz w:val="22"/>
          <w:szCs w:val="22"/>
        </w:rPr>
        <w:t xml:space="preserve">从化妆品零售情况来看：2022年全年中国化妆品类累计零售额达到3,936亿元，相较于2022年市场的急速下滑，2023年的累计零售额再次恢复到2022年之前的平稳增长。截至2023年12月中国化妆品类零售额为323亿元，同比增长9.1%。累计方面，2023年1-12月中国化妆品类累计零售额达到4,142亿元，累计增长5.1%。</w:t>
      </w:r>
      <w:r>
        <w:rPr>
          <w:rFonts w:hint="eastAsia" w:ascii="Arial Narrow" w:hAnsi="Arial Narrow" w:eastAsia="仿宋_GB2312" w:cs="Arial"/>
          <w:sz w:val="22"/>
          <w:szCs w:val="22"/>
        </w:rPr>
      </w:r>
      <w:r>
        <w:rPr>
          <w:rFonts w:ascii="Arial Narrow" w:hAnsi="Arial Narrow" w:eastAsia="仿宋_GB2312" w:cs="Arial"/>
          <w:b/>
          <w:color w:val="000000" w:themeColor="text1"/>
          <w:sz w:val="22"/>
        </w:rPr>
      </w:r>
    </w:p>
    <w:p>
      <w:pPr>
        <w:pBdr/>
        <w:spacing w:after="180" w:before="180" w:line="360" w:lineRule="auto"/>
        <w:ind w:firstLine="440"/>
        <w:jc w:val="both"/>
        <w:rPr>
          <w:rFonts w:ascii="Arial Narrow" w:hAnsi="Arial Narrow" w:eastAsia="仿宋_GB2312" w:cs="Arial"/>
          <w:sz w:val="22"/>
          <w:szCs w:val="22"/>
        </w:rPr>
      </w:pPr>
      <w:r>
        <w:rPr>
          <w:rFonts w:hint="eastAsia" w:ascii="Arial Narrow" w:hAnsi="Arial Narrow" w:eastAsia="仿宋_GB2312" w:cs="Arial"/>
          <w:sz w:val="22"/>
          <w:szCs w:val="22"/>
        </w:rPr>
        <w:t xml:space="preserve">2023年，全国网上零售额154,264亿元，比上年增长11.0%。其中，实物商品网上零售额130,174亿元，增长8.4%，占社会消费品零售总额的比重为27.6%；在实物商品网上零售额中，吃类、穿类、用类商品分别增长11.2%、10.8%、7.1%。从整体趋势来看，2023年6月和11月受618和双11大促影响，零售总额均达到了当时峰值，11月更是创下了全年单月最高峰值。大促月之后，化妆品零售总额均呈现断崖式下跌的趋势。</w:t>
      </w:r>
      <w:r>
        <w:rPr>
          <w:rStyle w:val="1377"/>
          <w:rFonts w:hint="eastAsia" w:ascii="Arial Narrow" w:hAnsi="Arial Narrow" w:eastAsia="仿宋_GB2312" w:cs="Arial"/>
          <w:sz w:val="22"/>
          <w:szCs w:val="22"/>
        </w:rPr>
        <w:footnoteReference w:id="11"/>
      </w:r>
      <w:r>
        <w:rPr>
          <w:rFonts w:hint="eastAsia" w:ascii="Arial Narrow" w:hAnsi="Arial Narrow" w:eastAsia="仿宋_GB2312" w:cs="Arial"/>
          <w:sz w:val="22"/>
          <w:szCs w:val="22"/>
        </w:rPr>
      </w:r>
      <w:r>
        <w:rPr>
          <w:rFonts w:ascii="Arial Narrow" w:hAnsi="Arial Narrow" w:eastAsia="仿宋_GB2312" w:cs="Arial"/>
          <w:sz w:val="22"/>
          <w:szCs w:val="22"/>
        </w:rPr>
      </w:r>
    </w:p>
    <w:p>
      <w:pPr>
        <w:pStyle w:val="1326"/>
        <w:numPr>
          <w:ilvl w:val="0"/>
          <w:numId w:val="0"/>
        </w:numPr>
        <w:pBdr/>
        <w:spacing w:after="180" w:before="180" w:line="360" w:lineRule="auto"/>
        <w:ind w:left="400"/>
        <w:rPr/>
      </w:pPr>
      <w:r>
        <w:rPr>
          <w:rFonts w:hint="eastAsia"/>
          <w:sz w:val="24"/>
        </w:rPr>
        <w:t xml:space="preserve">中国化妆品行业发展趋势如下：</w:t>
      </w:r>
      <w:r>
        <w:rPr>
          <w:rFonts w:hint="eastAsia"/>
          <w:sz w:val="24"/>
        </w:rPr>
      </w:r>
      <w:r/>
    </w:p>
    <w:p>
      <w:pPr>
        <w:pStyle w:val="1536"/>
        <w:numPr>
          <w:ilvl w:val="0"/>
          <w:numId w:val="20"/>
        </w:numPr>
        <w:pBdr/>
        <w:spacing/>
        <w:ind w:hanging="360" w:left="760"/>
        <w:rPr>
          <w:b/>
          <w:bCs/>
        </w:rPr>
      </w:pPr>
      <w:r>
        <w:rPr>
          <w:rFonts w:hint="eastAsia"/>
          <w:b/>
          <w:bCs/>
        </w:rPr>
        <w:t xml:space="preserve">市场需求增长潜力巨大</w:t>
      </w:r>
      <w:r>
        <w:rPr>
          <w:b/>
          <w:bCs/>
        </w:rPr>
      </w:r>
    </w:p>
    <w:p>
      <w:pPr>
        <w:numPr>
          <w:ilvl w:val="0"/>
          <w:numId w:val="0"/>
        </w:numPr>
        <w:pBdr/>
        <w:spacing w:after="180" w:before="180" w:line="360" w:lineRule="auto"/>
        <w:ind w:firstLine="440"/>
        <w:jc w:val="both"/>
        <w:rPr>
          <w:rFonts w:ascii="Arial Narrow" w:hAnsi="Arial Narrow" w:eastAsia="仿宋_GB2312" w:cs="Arial"/>
          <w:sz w:val="22"/>
          <w:szCs w:val="22"/>
        </w:rPr>
      </w:pPr>
      <w:r>
        <w:rPr>
          <w:rFonts w:hint="eastAsia" w:ascii="Arial Narrow" w:hAnsi="Arial Narrow" w:eastAsia="仿宋_GB2312" w:cs="Arial"/>
          <w:sz w:val="22"/>
          <w:szCs w:val="22"/>
        </w:rPr>
        <w:t xml:space="preserve">随着国民可支配消费的增长，中国化妆品市场规模在过去 20 余年间高速增长，中国已成为世界第一大化妆品消费国。但由于中国化妆品教育起步较晚，化妆和护肤的习惯尚未普及，我国的人均化妆品销售额与发达国家仍存在巨大差距。展望未来，我们认为化妆品市场仍将在以下因素的带动下进一步提升：（1）低线城市化妆品消费力提升；（2）男性悦己主义盛行；（3）化妆品品类和步骤的细化。</w:t>
      </w:r>
      <w:r>
        <w:rPr>
          <w:rFonts w:hint="eastAsia" w:ascii="Arial Narrow" w:hAnsi="Arial Narrow" w:eastAsia="仿宋_GB2312" w:cs="Arial"/>
          <w:sz w:val="22"/>
          <w:szCs w:val="22"/>
        </w:rPr>
      </w:r>
      <w:r>
        <w:rPr>
          <w:rFonts w:ascii="Arial Narrow" w:hAnsi="Arial Narrow" w:eastAsia="仿宋_GB2312" w:cs="Arial"/>
          <w:sz w:val="22"/>
          <w:szCs w:val="22"/>
        </w:rPr>
      </w:r>
    </w:p>
    <w:p>
      <w:pPr>
        <w:pStyle w:val="1536"/>
        <w:numPr>
          <w:ilvl w:val="0"/>
          <w:numId w:val="21"/>
        </w:numPr>
        <w:pBdr/>
        <w:spacing/>
        <w:ind w:hanging="360" w:left="360"/>
        <w:rPr>
          <w:b/>
          <w:bCs/>
        </w:rPr>
      </w:pPr>
      <w:r>
        <w:rPr>
          <w:rFonts w:hint="eastAsia"/>
          <w:b/>
          <w:bCs/>
        </w:rPr>
        <w:t xml:space="preserve">日趋细分化的需求推动市场规模不断提升</w:t>
      </w:r>
      <w:r>
        <w:rPr>
          <w:b/>
          <w:bCs/>
        </w:rPr>
      </w:r>
    </w:p>
    <w:p>
      <w:pPr>
        <w:numPr>
          <w:ilvl w:val="0"/>
          <w:numId w:val="0"/>
        </w:numPr>
        <w:pBdr/>
        <w:spacing w:after="180" w:before="180" w:line="360" w:lineRule="auto"/>
        <w:ind w:firstLine="440"/>
        <w:jc w:val="both"/>
        <w:rPr>
          <w:rFonts w:ascii="Arial Narrow" w:hAnsi="Arial Narrow" w:eastAsia="仿宋_GB2312" w:cs="Arial"/>
          <w:sz w:val="22"/>
          <w:szCs w:val="22"/>
        </w:rPr>
      </w:pPr>
      <w:r>
        <w:rPr>
          <w:rFonts w:hint="eastAsia" w:ascii="Arial Narrow" w:hAnsi="Arial Narrow" w:eastAsia="仿宋_GB2312" w:cs="Arial"/>
          <w:sz w:val="22"/>
          <w:szCs w:val="22"/>
        </w:rPr>
        <w:t xml:space="preserve">随着国民可支配消费的增长，中国化妆品市场规模在过去20 余年间高速增长，但我国的人均化妆品销售额与美日韩仍存在较大差距。随着女性悦己主义盛行以及下沉市场的消费力提升，未来整体市场规模有望加速增长。</w:t>
      </w:r>
      <w:r>
        <w:rPr>
          <w:rFonts w:hint="eastAsia" w:ascii="Arial Narrow" w:hAnsi="Arial Narrow" w:eastAsia="仿宋_GB2312" w:cs="Arial"/>
          <w:sz w:val="22"/>
          <w:szCs w:val="22"/>
        </w:rPr>
      </w:r>
      <w:r>
        <w:rPr>
          <w:rFonts w:ascii="Arial Narrow" w:hAnsi="Arial Narrow" w:eastAsia="仿宋_GB2312" w:cs="Arial"/>
          <w:sz w:val="22"/>
          <w:szCs w:val="22"/>
        </w:rPr>
      </w:r>
    </w:p>
    <w:p>
      <w:pPr>
        <w:pStyle w:val="1536"/>
        <w:numPr>
          <w:ilvl w:val="0"/>
          <w:numId w:val="22"/>
        </w:numPr>
        <w:pBdr/>
        <w:spacing/>
        <w:ind w:hanging="360" w:left="360"/>
        <w:rPr>
          <w:b/>
          <w:bCs/>
        </w:rPr>
      </w:pPr>
      <w:r>
        <w:rPr>
          <w:rFonts w:hint="eastAsia"/>
          <w:b/>
          <w:bCs/>
        </w:rPr>
        <w:t xml:space="preserve">功能护肤类产品市场持续增长</w:t>
      </w:r>
      <w:r>
        <w:rPr>
          <w:b/>
          <w:bCs/>
        </w:rPr>
      </w:r>
    </w:p>
    <w:p>
      <w:pPr>
        <w:pBdr/>
        <w:spacing w:after="180" w:before="180" w:line="360" w:lineRule="auto"/>
        <w:ind w:firstLine="440"/>
        <w:jc w:val="both"/>
        <w:rPr>
          <w:rFonts w:ascii="Arial Narrow" w:hAnsi="Arial Narrow" w:eastAsia="仿宋_GB2312" w:cs="Arial"/>
          <w:sz w:val="22"/>
          <w:szCs w:val="22"/>
        </w:rPr>
      </w:pPr>
      <w:r>
        <w:rPr>
          <w:rFonts w:hint="eastAsia" w:ascii="Arial Narrow" w:hAnsi="Arial Narrow" w:eastAsia="仿宋_GB2312" w:cs="Arial"/>
          <w:sz w:val="22"/>
          <w:szCs w:val="22"/>
        </w:rPr>
        <w:t xml:space="preserve">消费者需求对行业趋势的发展起着决定性作用。当今，以95后和高知女性为代表的成分党群体正在崛起。不同于一般化妆品领域消费者对品牌信任度极高，新一代消费者群体越来越多地关注护肤品的功能效用，产品力和研发力影响正逐渐强于品牌力。随着消费者对高品质产品的需求以及化妆品制造工业的革新，使用专业皮肤护理产品逐渐成为市场新趋势。基于安全和功效双重需求，皮肤修复及护肤概念盛行，相应产品凭借适用性广、安全性高及功效性强等优势备受消费者青睐。</w:t>
      </w:r>
      <w:r>
        <w:rPr>
          <w:rFonts w:hint="eastAsia" w:ascii="Arial Narrow" w:hAnsi="Arial Narrow" w:eastAsia="仿宋_GB2312" w:cs="Arial"/>
          <w:sz w:val="22"/>
          <w:szCs w:val="22"/>
        </w:rPr>
      </w:r>
      <w:r>
        <w:rPr>
          <w:rFonts w:ascii="Arial Narrow" w:hAnsi="Arial Narrow" w:eastAsia="仿宋_GB2312" w:cs="Arial"/>
          <w:sz w:val="22"/>
          <w:szCs w:val="22"/>
        </w:rPr>
      </w:r>
    </w:p>
    <w:p>
      <w:pPr>
        <w:pStyle w:val="1536"/>
        <w:numPr>
          <w:ilvl w:val="0"/>
          <w:numId w:val="23"/>
        </w:numPr>
        <w:pBdr/>
        <w:spacing/>
        <w:ind w:left="760"/>
        <w:rPr>
          <w:b/>
          <w:bCs/>
        </w:rPr>
      </w:pPr>
      <w:r>
        <w:rPr>
          <w:rFonts w:hint="eastAsia"/>
          <w:b/>
          <w:bCs/>
        </w:rPr>
        <w:t xml:space="preserve">政策环境规范化：</w:t>
      </w:r>
      <w:r>
        <w:rPr>
          <w:b/>
          <w:bCs/>
        </w:rPr>
      </w:r>
    </w:p>
    <w:p>
      <w:pPr>
        <w:pBdr/>
        <w:spacing w:after="180" w:before="180" w:line="360" w:lineRule="auto"/>
        <w:ind w:firstLine="440"/>
        <w:jc w:val="both"/>
        <w:rPr>
          <w:rFonts w:ascii="Arial Narrow" w:hAnsi="Arial Narrow" w:eastAsia="仿宋_GB2312" w:cs="Arial"/>
          <w:sz w:val="22"/>
          <w:szCs w:val="22"/>
        </w:rPr>
      </w:pPr>
      <w:r>
        <w:rPr>
          <w:rFonts w:hint="eastAsia" w:ascii="Arial Narrow" w:hAnsi="Arial Narrow" w:eastAsia="仿宋_GB2312" w:cs="Arial"/>
          <w:sz w:val="22"/>
          <w:szCs w:val="22"/>
        </w:rPr>
        <w:t xml:space="preserve">化妆品强</w:t>
      </w:r>
      <w:r>
        <w:rPr>
          <w:rFonts w:hint="eastAsia" w:ascii="Arial Narrow" w:hAnsi="Arial Narrow" w:eastAsia="仿宋_GB2312" w:cs="Arial"/>
          <w:sz w:val="22"/>
          <w:szCs w:val="22"/>
        </w:rPr>
        <w:t xml:space="preserve">监管时代启幕，相关政策日趋严格，驱动化妆品行业往规范化的方向发展，加快规模较小的企业出清，行业集中度有望提升，为高质量发展提供支持。为保障居民切身利益，规范行业健康发展，国家先后出台了《化妆品风险监测工作规程》《化妆品功效宣称评价指导原则》等多项政策来加强行业监管，涉及了化妆品行业生产、卫生、广告、备案、进出口等各方面标准，推动行业不断向规范化的方向发展。国家对化妆品产品的严格监管提高了行业门槛，令部分不达标的小型企业被逐渐淘汰，而具备品牌优势、产品性能稳定的企业则能够在规范的环境中得到不断发展壮大的机会。</w:t>
      </w:r>
      <w:r>
        <w:rPr>
          <w:rFonts w:hint="eastAsia" w:ascii="Arial Narrow" w:hAnsi="Arial Narrow" w:eastAsia="仿宋_GB2312" w:cs="Arial"/>
          <w:sz w:val="22"/>
          <w:szCs w:val="22"/>
        </w:rPr>
      </w:r>
      <w:r>
        <w:rPr>
          <w:rFonts w:ascii="Arial Narrow" w:hAnsi="Arial Narrow" w:eastAsia="仿宋_GB2312" w:cs="Arial"/>
          <w:sz w:val="22"/>
          <w:szCs w:val="22"/>
        </w:rPr>
      </w:r>
    </w:p>
    <w:p>
      <w:pPr>
        <w:pStyle w:val="1536"/>
        <w:numPr>
          <w:ilvl w:val="0"/>
          <w:numId w:val="24"/>
        </w:numPr>
        <w:pBdr/>
        <w:spacing/>
        <w:ind w:left="760"/>
        <w:rPr>
          <w:b/>
          <w:bCs/>
        </w:rPr>
      </w:pPr>
      <w:r>
        <w:rPr>
          <w:rFonts w:hint="eastAsia"/>
          <w:b/>
          <w:bCs/>
        </w:rPr>
        <w:t xml:space="preserve">消零售渠道的迅速发展</w:t>
      </w:r>
      <w:r>
        <w:rPr>
          <w:b/>
          <w:bCs/>
        </w:rPr>
      </w:r>
    </w:p>
    <w:p>
      <w:pPr>
        <w:pBdr/>
        <w:spacing w:after="180" w:before="180" w:line="360" w:lineRule="auto"/>
        <w:ind w:firstLine="440"/>
        <w:jc w:val="both"/>
        <w:rPr>
          <w:rFonts w:ascii="Arial Narrow" w:hAnsi="Arial Narrow" w:eastAsia="仿宋_GB2312" w:cs="Arial"/>
          <w:sz w:val="22"/>
          <w:szCs w:val="22"/>
        </w:rPr>
      </w:pPr>
      <w:r>
        <w:rPr>
          <w:rFonts w:hint="eastAsia" w:ascii="Arial Narrow" w:hAnsi="Arial Narrow" w:eastAsia="仿宋_GB2312" w:cs="Arial"/>
          <w:sz w:val="22"/>
          <w:szCs w:val="22"/>
          <w:lang w:val="en-GB"/>
        </w:rPr>
        <w:t xml:space="preserve">中国零售业的</w:t>
      </w:r>
      <w:r>
        <w:rPr>
          <w:rFonts w:hint="eastAsia" w:ascii="Arial Narrow" w:hAnsi="Arial Narrow" w:eastAsia="仿宋_GB2312" w:cs="Arial"/>
          <w:sz w:val="22"/>
          <w:szCs w:val="22"/>
          <w:lang w:val="en-GB"/>
        </w:rPr>
        <w:t xml:space="preserve">蓬勃发展为化妆品行业的发展提供了良好的平台和坚实的渠道支持。在化妆品消费尚未普及的阶段，一二线城市的高端百货商场是化妆品销售的主要场所，覆盖的区域相对有限，无法面向三四线城市居民提供产品。随着行业的发展，化妆品消费意识的不断普及，位于三四线城市及其它低线城市的消费者对化妆品的消费需求日益增加，化妆品开始进入大型的超市卖场，化妆品专卖店渠道迅速发展，促进了化妆品的不断普及。近年来，电商渠道的崛起，进一步丰富了消费者采购化妆品的方式，为消费者采购化妆品提供了更为便捷、经济的途径，提升了化妆品产品的整体消费规模。</w:t>
      </w:r>
      <w:r>
        <w:rPr>
          <w:rFonts w:ascii="Arial Narrow" w:hAnsi="Arial Narrow" w:eastAsia="仿宋_GB2312" w:cs="Arial"/>
          <w:sz w:val="22"/>
          <w:szCs w:val="22"/>
        </w:rPr>
      </w:r>
    </w:p>
    <w:p>
      <w:pPr>
        <w:pStyle w:val="1325"/>
        <w:pBdr/>
        <w:spacing/>
        <w:ind/>
        <w:rPr>
          <w:b/>
          <w:bCs/>
        </w:rPr>
      </w:pPr>
      <w:r/>
      <w:bookmarkStart w:id="325" w:name="_Toc106357757"/>
      <w:r/>
      <w:bookmarkStart w:id="326" w:name="_Toc140505118"/>
      <w:r>
        <w:t xml:space="preserve">中国化妆品行业存在问题分析</w:t>
      </w:r>
      <w:bookmarkEnd w:id="325"/>
      <w:r>
        <w:rPr>
          <w:rStyle w:val="1377"/>
          <w:sz w:val="22"/>
        </w:rPr>
        <w:footnoteReference w:id="12"/>
      </w:r>
      <w:bookmarkEnd w:id="326"/>
      <w:r/>
      <w:r>
        <w:rPr>
          <w:b/>
          <w:bCs/>
        </w:rPr>
      </w:r>
    </w:p>
    <w:p>
      <w:pPr>
        <w:pStyle w:val="1536"/>
        <w:numPr>
          <w:ilvl w:val="0"/>
          <w:numId w:val="25"/>
        </w:numPr>
        <w:pBdr/>
        <w:spacing/>
        <w:ind/>
        <w:rPr/>
      </w:pPr>
      <w:r>
        <w:rPr>
          <w:rFonts w:hint="eastAsia"/>
          <w:b/>
          <w:bCs/>
          <w:lang w:val="en-US"/>
        </w:rPr>
        <w:t xml:space="preserve">从业者之间竞争激烈，市场集中度低</w:t>
      </w:r>
      <w:r/>
    </w:p>
    <w:p>
      <w:pPr>
        <w:pBdr/>
        <w:spacing w:after="180" w:before="180" w:line="360" w:lineRule="auto"/>
        <w:ind w:firstLine="440"/>
        <w:jc w:val="both"/>
        <w:rPr>
          <w:rFonts w:ascii="Arial Narrow" w:hAnsi="Arial Narrow" w:eastAsia="仿宋_GB2312" w:cs="Arial"/>
          <w:sz w:val="22"/>
          <w:szCs w:val="22"/>
        </w:rPr>
      </w:pPr>
      <w:r>
        <w:rPr>
          <w:rFonts w:hint="eastAsia" w:ascii="Arial Narrow" w:hAnsi="Arial Narrow" w:eastAsia="仿宋_GB2312" w:cs="Arial"/>
          <w:sz w:val="22"/>
          <w:szCs w:val="22"/>
        </w:rPr>
        <w:t xml:space="preserve">在中国化妆品市场不断成熟的过程中，外国品牌进入市场、中国品牌的崛起都带动市场中竞争者不断增加。2022年中国护肤品市场和彩妆市场前三名的总份额分别仅为 30%和 48%，低于其他消费子行业，也远低于发达国家水平。</w:t>
      </w:r>
      <w:r>
        <w:rPr>
          <w:rFonts w:hint="eastAsia" w:ascii="Arial Narrow" w:hAnsi="Arial Narrow" w:eastAsia="仿宋_GB2312" w:cs="Arial"/>
          <w:sz w:val="22"/>
          <w:szCs w:val="22"/>
        </w:rPr>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hint="eastAsia" w:ascii="Arial Narrow" w:hAnsi="Arial Narrow" w:eastAsia="仿宋_GB2312" w:cs="Arial"/>
          <w:sz w:val="22"/>
          <w:szCs w:val="22"/>
        </w:rPr>
        <w:t xml:space="preserve">在竞争激烈的市场中，较为分散的市场格局加剧了化妆品从业者之间的竞争。在竞争初期，许多企业在线上竞争中通过价格战以及大量的市场营销，以望快速抢占消费者心智，挤出竞争者。但从市占率数据上来看，想要从大众市场中突出重围，困难重重。</w:t>
      </w:r>
      <w:r>
        <w:rPr>
          <w:rFonts w:hint="eastAsia" w:ascii="Arial Narrow" w:hAnsi="Arial Narrow" w:eastAsia="仿宋_GB2312" w:cs="Arial"/>
          <w:sz w:val="22"/>
          <w:szCs w:val="22"/>
        </w:rPr>
      </w:r>
      <w:r>
        <w:rPr>
          <w:rFonts w:ascii="Arial Narrow" w:hAnsi="Arial Narrow" w:eastAsia="仿宋_GB2312" w:cs="Arial"/>
          <w:sz w:val="22"/>
          <w:szCs w:val="22"/>
        </w:rPr>
      </w:r>
    </w:p>
    <w:p>
      <w:pPr>
        <w:pStyle w:val="1536"/>
        <w:numPr>
          <w:ilvl w:val="0"/>
          <w:numId w:val="26"/>
        </w:numPr>
        <w:pBdr/>
        <w:spacing/>
        <w:ind/>
        <w:rPr/>
      </w:pPr>
      <w:r>
        <w:rPr>
          <w:rFonts w:hint="eastAsia"/>
          <w:b/>
          <w:bCs/>
          <w:lang w:val="en-US"/>
        </w:rPr>
        <w:t xml:space="preserve">上游议价能力低</w:t>
      </w:r>
      <w:r/>
    </w:p>
    <w:p>
      <w:pPr>
        <w:pBdr/>
        <w:spacing w:after="180" w:before="180" w:line="360" w:lineRule="auto"/>
        <w:ind w:firstLine="440"/>
        <w:jc w:val="both"/>
        <w:rPr>
          <w:rFonts w:ascii="Arial Narrow" w:hAnsi="Arial Narrow" w:eastAsia="仿宋_GB2312" w:cs="Arial"/>
          <w:sz w:val="22"/>
          <w:szCs w:val="22"/>
          <w:lang w:val="en-GB"/>
        </w:rPr>
      </w:pPr>
      <w:r>
        <w:rPr>
          <w:rFonts w:hint="eastAsia" w:ascii="Arial Narrow" w:hAnsi="Arial Narrow" w:eastAsia="仿宋_GB2312" w:cs="Arial"/>
          <w:sz w:val="22"/>
          <w:szCs w:val="22"/>
          <w:lang w:val="en-GB"/>
        </w:rPr>
        <w:t xml:space="preserve">化妆品企业在面对供应商时，在包材方面的议价能力相对更强，主要是由于包材企业的规模较小造成包材行业内竞争激烈。但在化妆品原材料方面，由于研发、技术以及生产壁垒的缘故，化妆品原材料厂商具备更强的议价能力。</w:t>
      </w:r>
      <w:r>
        <w:rPr>
          <w:rFonts w:ascii="Arial Narrow" w:hAnsi="Arial Narrow" w:eastAsia="仿宋_GB2312" w:cs="Arial"/>
          <w:sz w:val="22"/>
          <w:szCs w:val="22"/>
          <w:lang w:val="en-GB"/>
        </w:rPr>
      </w:r>
    </w:p>
    <w:p>
      <w:pPr>
        <w:pBdr/>
        <w:spacing w:after="180" w:before="180" w:line="360" w:lineRule="auto"/>
        <w:ind w:firstLine="440"/>
        <w:jc w:val="both"/>
        <w:rPr>
          <w:rFonts w:ascii="Arial Narrow" w:hAnsi="Arial Narrow" w:eastAsia="仿宋_GB2312" w:cs="Arial"/>
          <w:sz w:val="22"/>
          <w:szCs w:val="22"/>
          <w:lang w:val="en-GB"/>
        </w:rPr>
      </w:pPr>
      <w:r>
        <w:rPr>
          <w:rFonts w:hint="eastAsia" w:ascii="Arial Narrow" w:hAnsi="Arial Narrow" w:eastAsia="仿宋_GB2312" w:cs="Arial"/>
          <w:sz w:val="22"/>
          <w:szCs w:val="22"/>
          <w:lang w:val="en-GB"/>
        </w:rPr>
        <w:t xml:space="preserve">在化妆品新规的影响下，化妆品企业更加关注原材料生产和研发，这也让业内国产大企业通过与原材料厂商合作发展，或自建工厂和研发团队进行核心原材料生产，使他们在与供应商议价时的能力提升</w:t>
      </w:r>
      <w:r>
        <w:rPr>
          <w:rFonts w:ascii="Arial Narrow" w:hAnsi="Arial Narrow" w:eastAsia="仿宋_GB2312" w:cs="Arial"/>
          <w:sz w:val="22"/>
          <w:szCs w:val="22"/>
          <w:lang w:val="en-GB"/>
        </w:rPr>
      </w:r>
    </w:p>
    <w:p>
      <w:pPr>
        <w:pStyle w:val="1536"/>
        <w:numPr>
          <w:ilvl w:val="0"/>
          <w:numId w:val="27"/>
        </w:numPr>
        <w:pBdr/>
        <w:spacing/>
        <w:ind/>
        <w:rPr>
          <w:b/>
          <w:bCs/>
        </w:rPr>
      </w:pPr>
      <w:r>
        <w:rPr>
          <w:rFonts w:hint="eastAsia"/>
          <w:b/>
          <w:bCs/>
        </w:rPr>
        <w:t xml:space="preserve">产打造高端品牌形象方面，国货品牌也缺乏经验</w:t>
      </w:r>
      <w:r>
        <w:rPr>
          <w:b/>
          <w:bCs/>
        </w:rPr>
      </w:r>
    </w:p>
    <w:p>
      <w:pPr>
        <w:pBdr/>
        <w:spacing w:after="180" w:before="180" w:line="360" w:lineRule="auto"/>
        <w:ind w:firstLine="440"/>
        <w:jc w:val="both"/>
        <w:rPr>
          <w:rFonts w:ascii="Arial Narrow" w:hAnsi="Arial Narrow" w:eastAsia="仿宋_GB2312" w:cs="Arial"/>
          <w:sz w:val="22"/>
          <w:szCs w:val="22"/>
          <w:lang w:val="en-GB"/>
        </w:rPr>
      </w:pPr>
      <w:r>
        <w:rPr>
          <w:rFonts w:hint="eastAsia" w:ascii="Arial Narrow" w:hAnsi="Arial Narrow" w:eastAsia="仿宋_GB2312" w:cs="Arial"/>
          <w:sz w:val="22"/>
          <w:szCs w:val="22"/>
          <w:lang w:val="en-GB"/>
        </w:rPr>
        <w:t xml:space="preserve">在打造高端品牌方面，美国品牌善借用高科技，欧洲品牌善借用贵族文化，这方面国货品牌还处于集体落后的阶段。</w:t>
      </w:r>
      <w:r>
        <w:rPr>
          <w:rFonts w:ascii="Arial Narrow" w:hAnsi="Arial Narrow" w:eastAsia="仿宋_GB2312" w:cs="Arial"/>
          <w:sz w:val="22"/>
          <w:szCs w:val="22"/>
          <w:lang w:val="en-GB"/>
        </w:rPr>
      </w:r>
    </w:p>
    <w:p>
      <w:pPr>
        <w:pBdr/>
        <w:spacing w:after="180" w:before="180" w:line="360" w:lineRule="auto"/>
        <w:ind w:firstLine="440"/>
        <w:jc w:val="both"/>
        <w:rPr>
          <w:rFonts w:ascii="Arial Narrow" w:hAnsi="Arial Narrow" w:eastAsia="仿宋_GB2312" w:cs="Arial"/>
          <w:sz w:val="22"/>
          <w:szCs w:val="22"/>
          <w:lang w:val="en-GB"/>
        </w:rPr>
      </w:pPr>
      <w:r>
        <w:rPr>
          <w:rFonts w:ascii="Arial Narrow" w:hAnsi="Arial Narrow" w:eastAsia="仿宋_GB2312" w:cs="Arial"/>
          <w:sz w:val="22"/>
          <w:szCs w:val="22"/>
          <w:lang w:val="en-GB"/>
        </w:rPr>
        <w:t xml:space="preserve">中国的美妆品牌，尚处于夯实技术底座的时代，正沿着技术升级慢慢向上进军。相比医药、IT等技术驱动型行业，化妆品行业仍然是营销驱动的。但化妆品行业之前的技术占比太低，未来一段时间将是“技术补课”的阶段，技术升级会是未来数年的行业主流关键词。所以国货品牌的机会仍然还在技术升级方面，目前的头部企业也都是从科技端崛起的。</w:t>
      </w:r>
      <w:r>
        <w:rPr>
          <w:rFonts w:ascii="Arial Narrow" w:hAnsi="Arial Narrow" w:eastAsia="仿宋_GB2312" w:cs="Arial"/>
          <w:sz w:val="22"/>
          <w:szCs w:val="22"/>
          <w:lang w:val="en-GB"/>
        </w:rPr>
      </w:r>
      <w:r>
        <w:rPr>
          <w:rFonts w:ascii="Arial Narrow" w:hAnsi="Arial Narrow" w:eastAsia="仿宋_GB2312" w:cs="Arial"/>
          <w:sz w:val="22"/>
          <w:szCs w:val="22"/>
          <w:lang w:val="en-GB"/>
        </w:rPr>
      </w:r>
    </w:p>
    <w:p>
      <w:pPr>
        <w:pStyle w:val="1324"/>
        <w:pBdr/>
        <w:spacing/>
        <w:ind/>
        <w:rPr/>
      </w:pPr>
      <w:r/>
      <w:bookmarkStart w:id="327" w:name="_Toc106357758"/>
      <w:r/>
      <w:bookmarkStart w:id="328" w:name="_Toc106106111"/>
      <w:r/>
      <w:bookmarkStart w:id="329" w:name="_Toc106106289"/>
      <w:r/>
      <w:bookmarkStart w:id="330" w:name="_Toc140505119"/>
      <w:r/>
      <w:bookmarkStart w:id="331" w:name="_Toc106357760"/>
      <w:r/>
      <w:bookmarkEnd w:id="327"/>
      <w:r/>
      <w:bookmarkEnd w:id="328"/>
      <w:r/>
      <w:bookmarkEnd w:id="329"/>
      <w:r>
        <w:rPr>
          <w:rFonts w:hint="eastAsia"/>
        </w:rPr>
        <w:t xml:space="preserve">结论</w:t>
      </w:r>
      <w:bookmarkEnd w:id="330"/>
      <w:r/>
      <w:bookmarkEnd w:id="331"/>
      <w: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综上所述，随着2023年的经济复苏，中国整体化妆品行业也从低谷中恢复。在消费者信心增强和市场需求逐渐回暖的背景下，中国化妆品行业不仅实现了销量的稳步增长，还在产品创新和品牌建设方面取得了显著进展。企业通过采用更加精细化的市场分析和针对性的营销策略，成功地吸引了更广泛的消费群体。同时，行业内部也加大了对研发的投入，推动了一系列符合现代消费者期待的新产品和技术的诞生。</w:t>
      </w:r>
      <w:r>
        <w:rPr>
          <w:rFonts w:hint="eastAsia" w:ascii="Arial Narrow" w:hAnsi="Arial Narrow" w:eastAsia="仿宋_GB2312" w:cs="Arial"/>
          <w:sz w:val="22"/>
          <w:szCs w:val="22"/>
        </w:rPr>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hint="eastAsia" w:ascii="Arial Narrow" w:hAnsi="Arial Narrow" w:eastAsia="仿宋_GB2312" w:cs="Arial"/>
          <w:sz w:val="22"/>
          <w:szCs w:val="22"/>
        </w:rPr>
        <w:t xml:space="preserve">此外，随着全球经济环境的改善和国际市场的逐步开放，中国化妆品品牌不断扩展海外市场，加强与国际品牌的合作与竞争。这不仅增强了品牌的国际影响力，也为企业带来了更多的发展机遇。</w:t>
      </w:r>
      <w:bookmarkStart w:id="332" w:name="_Toc106357774"/>
      <w:r/>
      <w:bookmarkStart w:id="333" w:name="_Toc106106305"/>
      <w:r/>
      <w:bookmarkStart w:id="334" w:name="_Toc106106127"/>
      <w:r/>
      <w:bookmarkEnd w:id="332"/>
      <w:r/>
      <w:bookmarkEnd w:id="333"/>
      <w:r/>
      <w:bookmarkEnd w:id="334"/>
      <w:r/>
      <w:r>
        <w:rPr>
          <w:rFonts w:ascii="Arial Narrow" w:hAnsi="Arial Narrow" w:eastAsia="仿宋_GB2312" w:cs="Arial"/>
          <w:sz w:val="22"/>
          <w:szCs w:val="22"/>
        </w:rPr>
      </w:r>
    </w:p>
    <w:p>
      <w:pPr>
        <w:pStyle w:val="1323"/>
        <w:pBdr/>
        <w:spacing/>
        <w:ind/>
        <w:rPr>
          <w:b/>
        </w:rPr>
      </w:pPr>
      <w:r/>
      <w:bookmarkStart w:id="335" w:name="_Toc85557627"/>
      <w:r/>
      <w:bookmarkStart w:id="336" w:name="_Toc85622861"/>
      <w:r/>
      <w:bookmarkStart w:id="337" w:name="_Toc489951810"/>
      <w:r/>
      <w:bookmarkStart w:id="338" w:name="_Toc85557494"/>
      <w:r/>
      <w:bookmarkStart w:id="339" w:name="_Toc53229066"/>
      <w:r/>
      <w:bookmarkStart w:id="340" w:name="_Toc140505120"/>
      <w:r/>
      <w:bookmarkEnd w:id="335"/>
      <w:r/>
      <w:bookmarkEnd w:id="336"/>
      <w:r/>
      <w:bookmarkEnd w:id="337"/>
      <w:r/>
      <w:bookmarkEnd w:id="338"/>
      <w:r>
        <w:t xml:space="preserve">关联交易</w:t>
      </w:r>
      <w:bookmarkEnd w:id="339"/>
      <w:r/>
      <w:bookmarkEnd w:id="340"/>
      <w:r/>
      <w:r>
        <w:rPr>
          <w:b/>
        </w:rPr>
      </w:r>
    </w:p>
    <w:p>
      <w:pPr>
        <w:pStyle w:val="1324"/>
        <w:pBdr/>
        <w:spacing/>
        <w:ind/>
        <w:rPr>
          <w:b/>
        </w:rPr>
      </w:pPr>
      <w:r/>
      <w:bookmarkStart w:id="341" w:name="_Toc53229067"/>
      <w:r/>
      <w:bookmarkStart w:id="342" w:name="_Toc140505121"/>
      <w:r>
        <w:t xml:space="preserve">关联方信息</w:t>
      </w:r>
      <w:bookmarkEnd w:id="341"/>
      <w:r/>
      <w:bookmarkEnd w:id="342"/>
      <w:r/>
      <w:r>
        <w:rPr>
          <w:b/>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松莉科技2023年度主要关联方的基本信息如下所示：</w:t>
      </w:r>
      <w:r>
        <w:rPr>
          <w:rFonts w:ascii="Arial Narrow" w:hAnsi="Arial Narrow" w:eastAsia="仿宋_GB2312" w:cs="Arial"/>
          <w:sz w:val="22"/>
          <w:szCs w:val="22"/>
        </w:rPr>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1）松莉科技的母公司情况</w:t>
      </w:r>
      <w:r>
        <w:rPr>
          <w:rFonts w:ascii="Arial Narrow" w:hAnsi="Arial Narrow" w:eastAsia="仿宋_GB2312" w:cs="Arial"/>
          <w:sz w:val="22"/>
          <w:szCs w:val="22"/>
        </w:rPr>
      </w:r>
      <w:r>
        <w:rPr>
          <w:rFonts w:ascii="Arial Narrow" w:hAnsi="Arial Narrow" w:eastAsia="仿宋_GB2312" w:cs="Arial"/>
          <w:sz w:val="22"/>
          <w:szCs w:val="22"/>
        </w:rPr>
      </w:r>
    </w:p>
    <w:p>
      <w:pPr>
        <w:pStyle w:val="1338"/>
        <w:pBdr/>
        <w:spacing/>
        <w:ind w:hanging="420" w:left="420"/>
        <w:jc w:val="center"/>
        <w:rPr>
          <w:rFonts w:ascii="Arial Narrow" w:hAnsi="Arial Narrow" w:eastAsia="仿宋_GB2312" w:cs="Arial"/>
          <w:sz w:val="22"/>
        </w:rPr>
      </w:pPr>
      <w:r>
        <w:rPr>
          <w:rFonts w:ascii="Arial Narrow" w:hAnsi="Arial Narrow" w:eastAsia="仿宋_GB2312" w:cs="Arial"/>
          <w:sz w:val="22"/>
        </w:rPr>
        <w:t xml:space="preserve">图表 7：本公司的母公司基本信息</w:t>
      </w:r>
      <w:r>
        <w:rPr>
          <w:rFonts w:ascii="Arial Narrow" w:hAnsi="Arial Narrow" w:eastAsia="仿宋_GB2312" w:cs="Arial"/>
          <w:sz w:val="22"/>
        </w:rPr>
        <w:fldChar w:fldCharType="begin"/>
      </w:r>
      <w:r>
        <w:rPr>
          <w:rFonts w:ascii="Arial Narrow" w:hAnsi="Arial Narrow" w:eastAsia="仿宋_GB2312" w:cs="Arial"/>
          <w:sz w:val="22"/>
        </w:rPr>
        <w:instrText xml:space="preserve"> SEQ </w:instrText>
      </w:r>
      <w:r>
        <w:rPr>
          <w:rFonts w:ascii="Arial Narrow" w:hAnsi="Arial Narrow" w:eastAsia="仿宋_GB2312" w:cs="Arial"/>
          <w:sz w:val="22"/>
        </w:rPr>
        <w:instrText xml:space="preserve">图表</w:instrText>
      </w:r>
      <w:r>
        <w:rPr>
          <w:rFonts w:ascii="Arial Narrow" w:hAnsi="Arial Narrow" w:eastAsia="仿宋_GB2312" w:cs="Arial"/>
          <w:sz w:val="22"/>
        </w:rPr>
        <w:instrText xml:space="preserve"> \* ARABIC </w:instrText>
      </w:r>
      <w:r>
        <w:rPr>
          <w:rFonts w:ascii="Arial Narrow" w:hAnsi="Arial Narrow" w:eastAsia="仿宋_GB2312" w:cs="Arial"/>
          <w:sz w:val="22"/>
        </w:rPr>
        <w:fldChar w:fldCharType="separate"/>
      </w:r>
      <w:r>
        <w:rPr>
          <w:rFonts w:ascii="Arial Narrow" w:hAnsi="Arial Narrow" w:eastAsia="仿宋_GB2312" w:cs="Arial"/>
          <w:sz w:val="22"/>
        </w:rPr>
        <w:fldChar w:fldCharType="end"/>
      </w:r>
      <w:r>
        <w:rPr>
          <w:rFonts w:ascii="Arial Narrow" w:hAnsi="Arial Narrow" w:eastAsia="仿宋_GB2312" w:cs="Arial"/>
          <w:sz w:val="22"/>
        </w:rPr>
      </w:r>
      <w:r>
        <w:rPr>
          <w:rFonts w:ascii="Arial Narrow" w:hAnsi="Arial Narrow" w:eastAsia="仿宋_GB2312" w:cs="Arial"/>
          <w:sz w:val="22"/>
        </w:rPr>
      </w:r>
    </w:p>
    <w:tbl>
      <w:tblPr>
        <w:tblW w:w="82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834"/>
        <w:gridCol w:w="1318"/>
        <w:gridCol w:w="3070"/>
      </w:tblGrid>
      <w:tr>
        <w:trPr>
          <w:jc w:val="center"/>
          <w:trHeight w:val="454"/>
        </w:trPr>
        <w:tc>
          <w:tcPr>
            <w:shd w:val="clear" w:color="auto" w:fill="002060"/>
            <w:tcBorders/>
            <w:tcW w:w="3834" w:type="dxa"/>
            <w:vAlign w:val="center"/>
            <w:textDirection w:val="lrTb"/>
            <w:noWrap w:val="false"/>
          </w:tcPr>
          <w:p>
            <w:pPr>
              <w:pBdr/>
              <w:spacing/>
              <w:ind/>
              <w:jc w:val="center"/>
              <w:rPr>
                <w:rFonts w:ascii="Arial Narrow" w:hAnsi="Arial Narrow" w:eastAsia="仿宋_GB2312" w:cs="Arial"/>
                <w:b/>
                <w:bCs/>
                <w:color w:val="ffffff" w:themeColor="background1"/>
                <w:sz w:val="22"/>
                <w:szCs w:val="22"/>
              </w:rPr>
            </w:pPr>
            <w:r>
              <w:rPr>
                <w:rFonts w:ascii="Arial Narrow" w:hAnsi="Arial Narrow" w:eastAsia="仿宋_GB2312" w:cs="Arial"/>
                <w:b/>
                <w:color w:val="ffffff" w:themeColor="background1"/>
                <w:sz w:val="22"/>
                <w:szCs w:val="22"/>
              </w:rPr>
              <w:t xml:space="preserve">公司名称</w:t>
            </w:r>
            <w:r>
              <w:rPr>
                <w:rFonts w:ascii="Arial Narrow" w:hAnsi="Arial Narrow" w:eastAsia="仿宋_GB2312" w:cs="Arial"/>
                <w:b/>
                <w:bCs/>
                <w:color w:val="ffffff" w:themeColor="background1"/>
                <w:sz w:val="22"/>
                <w:szCs w:val="22"/>
              </w:rPr>
            </w:r>
          </w:p>
        </w:tc>
        <w:tc>
          <w:tcPr>
            <w:shd w:val="clear" w:color="auto" w:fill="002060"/>
            <w:tcBorders/>
            <w:tcW w:w="1318" w:type="dxa"/>
            <w:vAlign w:val="center"/>
            <w:textDirection w:val="lrTb"/>
            <w:noWrap w:val="false"/>
          </w:tcPr>
          <w:p>
            <w:pPr>
              <w:pBdr/>
              <w:spacing/>
              <w:ind/>
              <w:jc w:val="center"/>
              <w:rPr>
                <w:rFonts w:ascii="Arial Narrow" w:hAnsi="Arial Narrow" w:eastAsia="仿宋_GB2312" w:cs="Arial"/>
                <w:b/>
                <w:bCs/>
                <w:color w:val="ffffff" w:themeColor="background1"/>
                <w:sz w:val="22"/>
                <w:szCs w:val="22"/>
              </w:rPr>
            </w:pPr>
            <w:r>
              <w:rPr>
                <w:rFonts w:ascii="Arial Narrow" w:hAnsi="Arial Narrow" w:eastAsia="仿宋_GB2312" w:cs="Arial"/>
                <w:b/>
                <w:color w:val="ffffff" w:themeColor="background1"/>
                <w:sz w:val="22"/>
                <w:szCs w:val="22"/>
              </w:rPr>
              <w:t xml:space="preserve">地区/国家</w:t>
            </w:r>
            <w:r>
              <w:rPr>
                <w:rFonts w:ascii="Arial Narrow" w:hAnsi="Arial Narrow" w:eastAsia="仿宋_GB2312" w:cs="Arial"/>
                <w:b/>
                <w:color w:val="ffffff" w:themeColor="background1"/>
                <w:sz w:val="22"/>
                <w:szCs w:val="22"/>
              </w:rPr>
            </w:r>
            <w:r>
              <w:rPr>
                <w:rFonts w:ascii="Arial Narrow" w:hAnsi="Arial Narrow" w:eastAsia="仿宋_GB2312" w:cs="Arial"/>
                <w:b/>
                <w:bCs/>
                <w:color w:val="ffffff" w:themeColor="background1"/>
                <w:sz w:val="22"/>
                <w:szCs w:val="22"/>
              </w:rPr>
            </w:r>
          </w:p>
        </w:tc>
        <w:tc>
          <w:tcPr>
            <w:shd w:val="clear" w:color="auto" w:fill="002060"/>
            <w:tcBorders/>
            <w:tcW w:w="3070" w:type="dxa"/>
            <w:vAlign w:val="center"/>
            <w:textDirection w:val="lrTb"/>
            <w:noWrap w:val="false"/>
          </w:tcPr>
          <w:p>
            <w:pPr>
              <w:pBdr/>
              <w:spacing/>
              <w:ind/>
              <w:jc w:val="center"/>
              <w:rPr>
                <w:rFonts w:ascii="Arial Narrow" w:hAnsi="Arial Narrow" w:eastAsia="仿宋_GB2312" w:cs="Arial"/>
                <w:b/>
                <w:color w:val="ffffff" w:themeColor="background1"/>
                <w:sz w:val="22"/>
                <w:szCs w:val="22"/>
              </w:rPr>
            </w:pPr>
            <w:r>
              <w:rPr>
                <w:rFonts w:ascii="Arial Narrow" w:hAnsi="Arial Narrow" w:eastAsia="仿宋_GB2312" w:cs="Arial"/>
                <w:b/>
                <w:color w:val="ffffff" w:themeColor="background1"/>
                <w:sz w:val="22"/>
                <w:szCs w:val="22"/>
              </w:rPr>
              <w:t xml:space="preserve">与本公司关系</w:t>
            </w:r>
            <w:r>
              <w:rPr>
                <w:rFonts w:ascii="Arial Narrow" w:hAnsi="Arial Narrow" w:eastAsia="仿宋_GB2312" w:cs="Arial"/>
                <w:b/>
                <w:color w:val="ffffff" w:themeColor="background1"/>
                <w:sz w:val="22"/>
                <w:szCs w:val="22"/>
              </w:rPr>
            </w:r>
          </w:p>
        </w:tc>
      </w:tr>
      <w:tr>
        <w:trPr>
          <w:jc w:val="center"/>
          <w:trHeight w:val="454"/>
        </w:trPr>
        <w:tc>
          <w:tcPr>
            <w:tcBorders/>
            <w:tcW w:w="3834" w:type="dxa"/>
            <w:vAlign w:val="center"/>
            <w:textDirection w:val="lrTb"/>
            <w:noWrap w:val="false"/>
          </w:tcPr>
          <w:p>
            <w:pPr>
              <w:pBdr/>
              <w:spacing/>
              <w:ind/>
              <w:jc w:val="center"/>
              <w:rPr>
                <w:rFonts w:ascii="Arial Narrow" w:hAnsi="Arial Narrow" w:eastAsia="仿宋_GB2312" w:cs="Arial"/>
                <w:sz w:val="22"/>
                <w:szCs w:val="22"/>
                <w:highlight w:val="yellow"/>
              </w:rPr>
            </w:pPr>
            <w:r>
              <w:rPr>
                <w:rFonts w:ascii="Arial Narrow" w:hAnsi="Arial Narrow" w:eastAsia="仿宋_GB2312" w:cs="Arial"/>
                <w:sz w:val="22"/>
                <w:szCs w:val="22"/>
              </w:rPr>
              <w:t xml:space="preserve">Markwins International Corporation Limited</w:t>
            </w:r>
            <w:r>
              <w:rPr>
                <w:rFonts w:ascii="Arial Narrow" w:hAnsi="Arial Narrow" w:eastAsia="仿宋_GB2312" w:cs="Arial"/>
                <w:sz w:val="22"/>
                <w:szCs w:val="22"/>
                <w:highlight w:val="yellow"/>
              </w:rPr>
            </w:r>
          </w:p>
        </w:tc>
        <w:tc>
          <w:tcPr>
            <w:tcBorders/>
            <w:tcW w:w="1318" w:type="dxa"/>
            <w:vAlign w:val="center"/>
            <w:textDirection w:val="lrTb"/>
            <w:noWrap w:val="false"/>
          </w:tcPr>
          <w:p>
            <w:pPr>
              <w:pBdr/>
              <w:spacing/>
              <w:ind/>
              <w:jc w:val="center"/>
              <w:rPr>
                <w:rFonts w:ascii="Arial Narrow" w:hAnsi="Arial Narrow" w:eastAsia="仿宋_GB2312" w:cs="Arial"/>
                <w:sz w:val="22"/>
                <w:szCs w:val="22"/>
                <w:highlight w:val="yellow"/>
              </w:rPr>
            </w:pPr>
            <w:r>
              <w:rPr>
                <w:rFonts w:ascii="Arial Narrow" w:hAnsi="Arial Narrow" w:eastAsia="仿宋_GB2312" w:cs="Arial"/>
                <w:sz w:val="22"/>
                <w:szCs w:val="22"/>
              </w:rPr>
              <w:t xml:space="preserve">中国香港</w:t>
            </w:r>
            <w:r>
              <w:rPr>
                <w:rFonts w:ascii="Arial Narrow" w:hAnsi="Arial Narrow" w:eastAsia="仿宋_GB2312" w:cs="Arial"/>
                <w:sz w:val="22"/>
                <w:szCs w:val="22"/>
                <w:highlight w:val="yellow"/>
              </w:rPr>
            </w:r>
          </w:p>
        </w:tc>
        <w:tc>
          <w:tcPr>
            <w:tcBorders/>
            <w:tcW w:w="3070" w:type="dxa"/>
            <w:vAlign w:val="center"/>
            <w:textDirection w:val="lrTb"/>
            <w:noWrap w:val="false"/>
          </w:tcPr>
          <w:p>
            <w:pPr>
              <w:pBdr/>
              <w:spacing/>
              <w:ind/>
              <w:jc w:val="center"/>
              <w:rPr>
                <w:rFonts w:ascii="Arial Narrow" w:hAnsi="Arial Narrow" w:eastAsia="仿宋_GB2312" w:cs="Arial"/>
                <w:sz w:val="22"/>
                <w:szCs w:val="22"/>
                <w:highlight w:val="yellow"/>
              </w:rPr>
            </w:pPr>
            <w:r>
              <w:rPr>
                <w:rFonts w:ascii="Arial Narrow" w:hAnsi="Arial Narrow" w:eastAsia="仿宋_GB2312" w:cs="Arial"/>
                <w:sz w:val="22"/>
                <w:szCs w:val="22"/>
              </w:rPr>
              <w:t xml:space="preserve">投资方</w:t>
            </w:r>
            <w:r>
              <w:rPr>
                <w:rFonts w:ascii="Arial Narrow" w:hAnsi="Arial Narrow" w:eastAsia="仿宋_GB2312" w:cs="Arial"/>
                <w:sz w:val="22"/>
                <w:szCs w:val="22"/>
                <w:highlight w:val="yellow"/>
              </w:rPr>
            </w:r>
          </w:p>
        </w:tc>
      </w:tr>
    </w:tbl>
    <w:p>
      <w:pPr>
        <w:pBdr/>
        <w:spacing/>
        <w:ind/>
        <w:rPr>
          <w:rFonts w:ascii="Arial Narrow" w:hAnsi="Arial Narrow" w:eastAsia="仿宋_GB2312" w:cs="Arial"/>
          <w:i/>
          <w:iCs/>
          <w:sz w:val="16"/>
          <w:szCs w:val="16"/>
        </w:rPr>
      </w:pPr>
      <w:r>
        <w:rPr>
          <w:rFonts w:ascii="Arial Narrow" w:hAnsi="Arial Narrow" w:eastAsia="仿宋_GB2312" w:cs="Arial"/>
          <w:i/>
          <w:iCs/>
          <w:sz w:val="16"/>
          <w:szCs w:val="16"/>
        </w:rPr>
        <w:t xml:space="preserve">信息来源：由松莉科技提供</w:t>
      </w:r>
      <w:r>
        <w:rPr>
          <w:rFonts w:ascii="Arial Narrow" w:hAnsi="Arial Narrow" w:eastAsia="仿宋_GB2312" w:cs="Arial"/>
          <w:i/>
          <w:iCs/>
          <w:sz w:val="16"/>
          <w:szCs w:val="16"/>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母公司Markwins International Corporation Limited（以下简称“Markwins HK”）对本公司的持股比例为100%，所持本公司的表决权比例为100%。</w:t>
      </w:r>
      <w:r>
        <w:rPr>
          <w:rFonts w:ascii="Arial Narrow" w:hAnsi="Arial Narrow" w:eastAsia="仿宋_GB2312" w:cs="Arial"/>
          <w:sz w:val="22"/>
          <w:szCs w:val="22"/>
        </w:rPr>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2）松莉科技的其他关联方情况如下：</w:t>
      </w:r>
      <w:r>
        <w:rPr>
          <w:rFonts w:ascii="Arial Narrow" w:hAnsi="Arial Narrow" w:eastAsia="仿宋_GB2312" w:cs="Arial"/>
          <w:sz w:val="22"/>
          <w:szCs w:val="22"/>
        </w:rPr>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在 2023年度，没有个人关联方直接或间接持有松莉科技的股份(如：个人持有最终母公司超过25%的股份)或与松莉科技发生关联交易。</w:t>
      </w:r>
      <w:r>
        <w:rPr>
          <w:rFonts w:ascii="Arial Narrow" w:hAnsi="Arial Narrow" w:eastAsia="仿宋_GB2312" w:cs="Arial"/>
          <w:sz w:val="22"/>
          <w:szCs w:val="22"/>
        </w:rPr>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rPr>
      </w:pPr>
      <w:r>
        <w:rPr>
          <w:rFonts w:ascii="Arial Narrow" w:hAnsi="Arial Narrow" w:eastAsia="仿宋_GB2312" w:cs="Arial"/>
          <w:sz w:val="22"/>
          <w:szCs w:val="22"/>
        </w:rPr>
        <w:t xml:space="preserve">松莉科技的其他关联方基本信息如下：</w:t>
      </w:r>
      <w:r>
        <w:rPr>
          <w:rFonts w:ascii="Arial Narrow" w:hAnsi="Arial Narrow" w:eastAsia="仿宋_GB2312" w:cs="Arial"/>
        </w:rPr>
      </w:r>
    </w:p>
    <w:p>
      <w:pPr>
        <w:pStyle w:val="1338"/>
        <w:pBdr/>
        <w:spacing/>
        <w:ind w:hanging="420" w:left="420"/>
        <w:jc w:val="center"/>
        <w:rPr>
          <w:rFonts w:ascii="Arial Narrow" w:hAnsi="Arial Narrow" w:eastAsia="仿宋_GB2312" w:cs="Arial"/>
          <w:sz w:val="22"/>
        </w:rPr>
      </w:pPr>
      <w:r/>
      <w:bookmarkStart w:id="343" w:name="_Toc48317136"/>
      <w:r/>
      <w:bookmarkStart w:id="344" w:name="_Toc48317433"/>
      <w:r>
        <w:rPr>
          <w:rFonts w:ascii="Arial Narrow" w:hAnsi="Arial Narrow" w:eastAsia="仿宋_GB2312" w:cs="Arial"/>
          <w:sz w:val="22"/>
        </w:rPr>
        <w:t xml:space="preserve">图表 8：本公司的其他关联方的基本信息</w:t>
      </w:r>
      <w:r>
        <w:rPr>
          <w:rFonts w:ascii="Arial Narrow" w:hAnsi="Arial Narrow" w:eastAsia="仿宋_GB2312" w:cs="Arial"/>
          <w:sz w:val="22"/>
        </w:rPr>
        <w:fldChar w:fldCharType="begin"/>
      </w:r>
      <w:r>
        <w:rPr>
          <w:rFonts w:ascii="Arial Narrow" w:hAnsi="Arial Narrow" w:eastAsia="仿宋_GB2312" w:cs="Arial"/>
          <w:sz w:val="22"/>
        </w:rPr>
        <w:instrText xml:space="preserve"> SEQ </w:instrText>
      </w:r>
      <w:r>
        <w:rPr>
          <w:rFonts w:ascii="Arial Narrow" w:hAnsi="Arial Narrow" w:eastAsia="仿宋_GB2312" w:cs="Arial"/>
          <w:sz w:val="22"/>
        </w:rPr>
        <w:instrText xml:space="preserve">图表</w:instrText>
      </w:r>
      <w:r>
        <w:rPr>
          <w:rFonts w:ascii="Arial Narrow" w:hAnsi="Arial Narrow" w:eastAsia="仿宋_GB2312" w:cs="Arial"/>
          <w:sz w:val="22"/>
        </w:rPr>
        <w:instrText xml:space="preserve"> \* ARABIC </w:instrText>
      </w:r>
      <w:r>
        <w:rPr>
          <w:rFonts w:ascii="Arial Narrow" w:hAnsi="Arial Narrow" w:eastAsia="仿宋_GB2312" w:cs="Arial"/>
          <w:sz w:val="22"/>
        </w:rPr>
        <w:fldChar w:fldCharType="separate"/>
      </w:r>
      <w:r>
        <w:rPr>
          <w:rFonts w:ascii="Arial Narrow" w:hAnsi="Arial Narrow" w:eastAsia="仿宋_GB2312" w:cs="Arial"/>
          <w:sz w:val="22"/>
        </w:rPr>
        <w:fldChar w:fldCharType="end"/>
      </w:r>
      <w:r>
        <w:rPr>
          <w:rFonts w:ascii="Arial Narrow" w:hAnsi="Arial Narrow" w:eastAsia="仿宋_GB2312" w:cs="Arial"/>
          <w:sz w:val="22"/>
        </w:rPr>
      </w:r>
      <w:r>
        <w:rPr>
          <w:rFonts w:ascii="Arial Narrow" w:hAnsi="Arial Narrow" w:eastAsia="仿宋_GB2312" w:cs="Arial"/>
          <w:sz w:val="22"/>
        </w:rPr>
      </w:r>
    </w:p>
    <w:tbl>
      <w:tblPr>
        <w:tblW w:w="94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964"/>
        <w:gridCol w:w="1276"/>
        <w:gridCol w:w="3119"/>
        <w:gridCol w:w="1134"/>
      </w:tblGrid>
      <w:tr>
        <w:trPr>
          <w:jc w:val="center"/>
          <w:trHeight w:val="454"/>
          <w:tblHeader/>
        </w:trPr>
        <w:tc>
          <w:tcPr>
            <w:shd w:val="clear" w:color="auto" w:fill="002060"/>
            <w:tcBorders/>
            <w:tcW w:w="3964" w:type="dxa"/>
            <w:vAlign w:val="center"/>
            <w:textDirection w:val="lrTb"/>
            <w:noWrap w:val="false"/>
          </w:tcPr>
          <w:p>
            <w:pPr>
              <w:pBdr/>
              <w:spacing/>
              <w:ind/>
              <w:jc w:val="center"/>
              <w:rPr>
                <w:rFonts w:ascii="Arial Narrow" w:hAnsi="Arial Narrow" w:eastAsia="仿宋_GB2312" w:cs="Arial"/>
                <w:b/>
                <w:color w:val="ffffff" w:themeColor="background1"/>
                <w:sz w:val="22"/>
                <w:szCs w:val="22"/>
              </w:rPr>
            </w:pPr>
            <w:r>
              <w:rPr>
                <w:rFonts w:ascii="Arial Narrow" w:hAnsi="Arial Narrow" w:eastAsia="仿宋_GB2312" w:cs="Arial"/>
                <w:b/>
                <w:color w:val="ffffff" w:themeColor="background1"/>
                <w:sz w:val="22"/>
                <w:szCs w:val="22"/>
              </w:rPr>
              <w:t xml:space="preserve">关联方名称</w:t>
            </w:r>
            <w:r>
              <w:rPr>
                <w:rFonts w:ascii="Arial Narrow" w:hAnsi="Arial Narrow" w:eastAsia="仿宋_GB2312" w:cs="Arial"/>
                <w:b/>
                <w:color w:val="ffffff" w:themeColor="background1"/>
                <w:sz w:val="22"/>
                <w:szCs w:val="22"/>
              </w:rPr>
            </w:r>
          </w:p>
        </w:tc>
        <w:tc>
          <w:tcPr>
            <w:shd w:val="clear" w:color="auto" w:fill="002060"/>
            <w:tcBorders/>
            <w:tcW w:w="1276" w:type="dxa"/>
            <w:vAlign w:val="center"/>
            <w:textDirection w:val="lrTb"/>
            <w:noWrap w:val="false"/>
          </w:tcPr>
          <w:p>
            <w:pPr>
              <w:pBdr/>
              <w:spacing/>
              <w:ind/>
              <w:jc w:val="center"/>
              <w:rPr>
                <w:rFonts w:ascii="Arial Narrow" w:hAnsi="Arial Narrow" w:eastAsia="仿宋_GB2312" w:cs="Arial"/>
                <w:b/>
                <w:color w:val="ffffff" w:themeColor="background1"/>
                <w:sz w:val="22"/>
                <w:szCs w:val="22"/>
              </w:rPr>
            </w:pPr>
            <w:r>
              <w:rPr>
                <w:rFonts w:ascii="Arial Narrow" w:hAnsi="Arial Narrow" w:eastAsia="仿宋_GB2312" w:cs="Arial"/>
                <w:b/>
                <w:color w:val="ffffff" w:themeColor="background1"/>
                <w:sz w:val="22"/>
                <w:szCs w:val="22"/>
              </w:rPr>
              <w:t xml:space="preserve">地区/国家</w:t>
            </w:r>
            <w:r>
              <w:rPr>
                <w:rFonts w:ascii="Arial Narrow" w:hAnsi="Arial Narrow" w:eastAsia="仿宋_GB2312" w:cs="Arial"/>
                <w:b/>
                <w:color w:val="ffffff" w:themeColor="background1"/>
                <w:sz w:val="22"/>
                <w:szCs w:val="22"/>
              </w:rPr>
            </w:r>
            <w:r>
              <w:rPr>
                <w:rFonts w:ascii="Arial Narrow" w:hAnsi="Arial Narrow" w:eastAsia="仿宋_GB2312" w:cs="Arial"/>
                <w:b/>
                <w:color w:val="ffffff" w:themeColor="background1"/>
                <w:sz w:val="22"/>
                <w:szCs w:val="22"/>
              </w:rPr>
            </w:r>
          </w:p>
        </w:tc>
        <w:tc>
          <w:tcPr>
            <w:shd w:val="clear" w:color="auto" w:fill="002060"/>
            <w:tcBorders/>
            <w:tcW w:w="3119" w:type="dxa"/>
            <w:vAlign w:val="center"/>
            <w:textDirection w:val="lrTb"/>
            <w:noWrap w:val="false"/>
          </w:tcPr>
          <w:p>
            <w:pPr>
              <w:pBdr/>
              <w:spacing/>
              <w:ind/>
              <w:jc w:val="center"/>
              <w:rPr>
                <w:rFonts w:ascii="Arial Narrow" w:hAnsi="Arial Narrow" w:eastAsia="仿宋_GB2312" w:cs="Arial"/>
                <w:b/>
                <w:color w:val="ffffff" w:themeColor="background1"/>
                <w:sz w:val="22"/>
                <w:szCs w:val="22"/>
              </w:rPr>
            </w:pPr>
            <w:r>
              <w:rPr>
                <w:rFonts w:ascii="Arial Narrow" w:hAnsi="Arial Narrow" w:eastAsia="仿宋_GB2312" w:cs="Arial"/>
                <w:b/>
                <w:color w:val="ffffff" w:themeColor="background1"/>
                <w:sz w:val="22"/>
                <w:szCs w:val="22"/>
              </w:rPr>
              <w:t xml:space="preserve">与本公司关系</w:t>
            </w:r>
            <w:r>
              <w:rPr>
                <w:rFonts w:ascii="Arial Narrow" w:hAnsi="Arial Narrow" w:eastAsia="仿宋_GB2312" w:cs="Arial"/>
                <w:b/>
                <w:color w:val="ffffff" w:themeColor="background1"/>
                <w:sz w:val="22"/>
                <w:szCs w:val="22"/>
              </w:rPr>
            </w:r>
          </w:p>
        </w:tc>
        <w:tc>
          <w:tcPr>
            <w:shd w:val="clear" w:color="auto" w:fill="002060"/>
            <w:tcBorders/>
            <w:tcW w:w="1134" w:type="dxa"/>
            <w:vAlign w:val="center"/>
            <w:textDirection w:val="lrTb"/>
            <w:noWrap w:val="false"/>
          </w:tcPr>
          <w:p>
            <w:pPr>
              <w:pBdr/>
              <w:spacing/>
              <w:ind/>
              <w:jc w:val="center"/>
              <w:rPr>
                <w:rFonts w:ascii="Arial Narrow" w:hAnsi="Arial Narrow" w:eastAsia="仿宋_GB2312" w:cs="Arial"/>
                <w:b/>
                <w:color w:val="ffffff" w:themeColor="background1"/>
                <w:sz w:val="22"/>
                <w:szCs w:val="22"/>
              </w:rPr>
            </w:pPr>
            <w:r>
              <w:rPr>
                <w:rFonts w:ascii="Arial Narrow" w:hAnsi="Arial Narrow" w:eastAsia="仿宋_GB2312" w:cs="Arial"/>
                <w:b/>
                <w:color w:val="ffffff" w:themeColor="background1"/>
                <w:sz w:val="22"/>
                <w:szCs w:val="22"/>
              </w:rPr>
              <w:t xml:space="preserve">适用税率</w:t>
            </w:r>
            <w:r>
              <w:rPr>
                <w:rFonts w:ascii="Arial Narrow" w:hAnsi="Arial Narrow" w:eastAsia="仿宋_GB2312" w:cs="Arial"/>
                <w:b/>
                <w:color w:val="ffffff" w:themeColor="background1"/>
                <w:sz w:val="22"/>
                <w:szCs w:val="22"/>
              </w:rPr>
            </w:r>
          </w:p>
        </w:tc>
      </w:tr>
      <w:tr>
        <w:trPr>
          <w:jc w:val="center"/>
          <w:trHeight w:val="454"/>
        </w:trPr>
        <w:tc>
          <w:tcPr>
            <w:shd w:val="clear" w:color="auto" w:fill="auto"/>
            <w:tcBorders/>
            <w:tcW w:w="3964" w:type="dxa"/>
            <w:vAlign w:val="center"/>
            <w:textDirection w:val="lrTb"/>
            <w:noWrap w:val="false"/>
          </w:tcPr>
          <w:p>
            <w:pPr>
              <w:pBdr/>
              <w:spacing/>
              <w:ind/>
              <w:jc w:val="center"/>
              <w:rPr>
                <w:rFonts w:ascii="Arial Narrow" w:hAnsi="Arial Narrow" w:eastAsia="仿宋_GB2312" w:cs="Arial"/>
                <w:sz w:val="22"/>
                <w:szCs w:val="22"/>
              </w:rPr>
            </w:pPr>
            <w:r>
              <w:rPr>
                <w:rFonts w:ascii="Arial Narrow" w:hAnsi="Arial Narrow" w:eastAsia="仿宋_GB2312" w:cs="Arial"/>
                <w:sz w:val="22"/>
                <w:szCs w:val="22"/>
              </w:rPr>
              <w:t xml:space="preserve">Markwins International Corporation Limited</w:t>
            </w:r>
            <w:r>
              <w:rPr>
                <w:rFonts w:ascii="Arial Narrow" w:hAnsi="Arial Narrow" w:eastAsia="仿宋_GB2312" w:cs="Arial"/>
                <w:sz w:val="22"/>
                <w:szCs w:val="22"/>
              </w:rPr>
            </w:r>
          </w:p>
        </w:tc>
        <w:tc>
          <w:tcPr>
            <w:tcBorders/>
            <w:tcW w:w="1276" w:type="dxa"/>
            <w:vAlign w:val="center"/>
            <w:textDirection w:val="lrTb"/>
            <w:noWrap w:val="false"/>
          </w:tcPr>
          <w:p>
            <w:pPr>
              <w:pBdr/>
              <w:spacing/>
              <w:ind/>
              <w:jc w:val="center"/>
              <w:rPr>
                <w:rFonts w:ascii="Arial Narrow" w:hAnsi="Arial Narrow" w:eastAsia="仿宋_GB2312" w:cs="Arial"/>
                <w:sz w:val="22"/>
                <w:szCs w:val="22"/>
              </w:rPr>
            </w:pPr>
            <w:r>
              <w:rPr>
                <w:rFonts w:ascii="Arial Narrow" w:hAnsi="Arial Narrow" w:eastAsia="仿宋_GB2312" w:cs="Arial"/>
                <w:sz w:val="22"/>
                <w:szCs w:val="22"/>
              </w:rPr>
              <w:t xml:space="preserve">中国香港</w:t>
            </w:r>
            <w:r>
              <w:rPr>
                <w:rFonts w:ascii="Arial Narrow" w:hAnsi="Arial Narrow" w:eastAsia="仿宋_GB2312" w:cs="Arial"/>
                <w:sz w:val="22"/>
                <w:szCs w:val="22"/>
              </w:rPr>
            </w:r>
          </w:p>
        </w:tc>
        <w:tc>
          <w:tcPr>
            <w:tcBorders/>
            <w:tcW w:w="3119" w:type="dxa"/>
            <w:vAlign w:val="center"/>
            <w:textDirection w:val="lrTb"/>
            <w:noWrap w:val="false"/>
          </w:tcPr>
          <w:p>
            <w:pPr>
              <w:pBdr/>
              <w:spacing/>
              <w:ind/>
              <w:jc w:val="center"/>
              <w:rPr>
                <w:rFonts w:ascii="Arial Narrow" w:hAnsi="Arial Narrow" w:eastAsia="仿宋_GB2312" w:cs="Arial"/>
                <w:sz w:val="22"/>
                <w:szCs w:val="22"/>
              </w:rPr>
            </w:pPr>
            <w:r>
              <w:rPr>
                <w:rFonts w:ascii="Arial Narrow" w:hAnsi="Arial Narrow" w:eastAsia="仿宋_GB2312" w:cs="Arial"/>
                <w:sz w:val="22"/>
                <w:szCs w:val="22"/>
              </w:rPr>
              <w:t xml:space="preserve">母公司</w:t>
            </w:r>
            <w:r>
              <w:rPr>
                <w:rFonts w:ascii="Arial Narrow" w:hAnsi="Arial Narrow" w:eastAsia="仿宋_GB2312" w:cs="Arial"/>
                <w:sz w:val="22"/>
                <w:szCs w:val="22"/>
              </w:rPr>
            </w:r>
          </w:p>
        </w:tc>
        <w:tc>
          <w:tcPr>
            <w:tcBorders/>
            <w:tcW w:w="1134" w:type="dxa"/>
            <w:vAlign w:val="center"/>
            <w:textDirection w:val="lrTb"/>
            <w:noWrap w:val="false"/>
          </w:tcPr>
          <w:p>
            <w:pPr>
              <w:pBdr/>
              <w:spacing/>
              <w:ind/>
              <w:jc w:val="center"/>
              <w:rPr>
                <w:rFonts w:ascii="Arial Narrow" w:hAnsi="Arial Narrow" w:eastAsia="仿宋_GB2312" w:cs="Arial"/>
                <w:sz w:val="22"/>
                <w:szCs w:val="22"/>
              </w:rPr>
            </w:pPr>
            <w:r>
              <w:rPr>
                <w:rFonts w:ascii="Arial Narrow" w:hAnsi="Arial Narrow" w:eastAsia="仿宋_GB2312" w:cs="Arial"/>
                <w:sz w:val="22"/>
                <w:szCs w:val="22"/>
              </w:rPr>
              <w:t xml:space="preserve">16.5%</w:t>
            </w:r>
            <w:r>
              <w:rPr>
                <w:rFonts w:ascii="Arial Narrow" w:hAnsi="Arial Narrow" w:eastAsia="仿宋_GB2312" w:cs="Arial"/>
                <w:sz w:val="22"/>
                <w:szCs w:val="22"/>
              </w:rPr>
            </w:r>
          </w:p>
        </w:tc>
      </w:tr>
      <w:tr>
        <w:trPr>
          <w:jc w:val="center"/>
          <w:trHeight w:val="454"/>
        </w:trPr>
        <w:tc>
          <w:tcPr>
            <w:shd w:val="clear" w:color="auto" w:fill="auto"/>
            <w:tcBorders/>
            <w:tcW w:w="3964" w:type="dxa"/>
            <w:vAlign w:val="center"/>
            <w:textDirection w:val="lrTb"/>
            <w:noWrap w:val="false"/>
          </w:tcPr>
          <w:p>
            <w:pPr>
              <w:pBdr/>
              <w:spacing/>
              <w:ind/>
              <w:jc w:val="center"/>
              <w:rPr>
                <w:rFonts w:ascii="Arial Narrow" w:hAnsi="Arial Narrow" w:eastAsia="仿宋_GB2312" w:cs="Arial"/>
                <w:sz w:val="22"/>
                <w:szCs w:val="22"/>
              </w:rPr>
            </w:pPr>
            <w:r>
              <w:rPr>
                <w:rFonts w:ascii="Arial Narrow" w:hAnsi="Arial Narrow" w:eastAsia="仿宋_GB2312" w:cs="Arial"/>
                <w:sz w:val="22"/>
                <w:szCs w:val="22"/>
              </w:rPr>
              <w:t xml:space="preserve">Pro Art Cosmetics Limited</w:t>
            </w:r>
            <w:r>
              <w:rPr>
                <w:rFonts w:ascii="Arial Narrow" w:hAnsi="Arial Narrow" w:eastAsia="仿宋_GB2312" w:cs="Arial"/>
                <w:sz w:val="22"/>
                <w:szCs w:val="22"/>
              </w:rPr>
            </w:r>
          </w:p>
        </w:tc>
        <w:tc>
          <w:tcPr>
            <w:tcBorders/>
            <w:tcW w:w="1276" w:type="dxa"/>
            <w:vAlign w:val="center"/>
            <w:textDirection w:val="lrTb"/>
            <w:noWrap w:val="false"/>
          </w:tcPr>
          <w:p>
            <w:pPr>
              <w:pBdr/>
              <w:spacing/>
              <w:ind/>
              <w:jc w:val="center"/>
              <w:rPr>
                <w:rFonts w:ascii="Arial Narrow" w:hAnsi="Arial Narrow" w:eastAsia="仿宋_GB2312" w:cs="Arial"/>
                <w:sz w:val="22"/>
                <w:szCs w:val="22"/>
              </w:rPr>
            </w:pPr>
            <w:r>
              <w:rPr>
                <w:rFonts w:ascii="Arial Narrow" w:hAnsi="Arial Narrow" w:eastAsia="仿宋_GB2312" w:cs="Arial"/>
                <w:sz w:val="22"/>
                <w:szCs w:val="22"/>
              </w:rPr>
              <w:t xml:space="preserve">中国香港</w:t>
            </w:r>
            <w:r>
              <w:rPr>
                <w:rFonts w:ascii="Arial Narrow" w:hAnsi="Arial Narrow" w:eastAsia="仿宋_GB2312" w:cs="Arial"/>
                <w:sz w:val="22"/>
                <w:szCs w:val="22"/>
              </w:rPr>
            </w:r>
          </w:p>
        </w:tc>
        <w:tc>
          <w:tcPr>
            <w:shd w:val="clear" w:color="auto" w:fill="auto"/>
            <w:tcBorders/>
            <w:tcW w:w="3119" w:type="dxa"/>
            <w:vAlign w:val="center"/>
            <w:textDirection w:val="lrTb"/>
            <w:noWrap w:val="false"/>
          </w:tcPr>
          <w:p>
            <w:pPr>
              <w:pBdr/>
              <w:spacing/>
              <w:ind/>
              <w:jc w:val="center"/>
              <w:rPr>
                <w:rFonts w:ascii="Arial Narrow" w:hAnsi="Arial Narrow" w:eastAsia="仿宋_GB2312" w:cs="Arial"/>
                <w:sz w:val="22"/>
                <w:szCs w:val="22"/>
              </w:rPr>
            </w:pPr>
            <w:r>
              <w:rPr>
                <w:rFonts w:ascii="Arial Narrow" w:hAnsi="Arial Narrow" w:eastAsia="仿宋_GB2312" w:cs="Arial"/>
                <w:sz w:val="22"/>
                <w:szCs w:val="22"/>
              </w:rPr>
              <w:t xml:space="preserve">同受最终控股公司的控制公司</w:t>
            </w:r>
            <w:r>
              <w:rPr>
                <w:rFonts w:ascii="Arial Narrow" w:hAnsi="Arial Narrow" w:eastAsia="仿宋_GB2312" w:cs="Arial"/>
                <w:sz w:val="22"/>
                <w:szCs w:val="22"/>
              </w:rPr>
            </w:r>
          </w:p>
        </w:tc>
        <w:tc>
          <w:tcPr>
            <w:tcBorders/>
            <w:tcW w:w="1134" w:type="dxa"/>
            <w:vAlign w:val="center"/>
            <w:textDirection w:val="lrTb"/>
            <w:noWrap w:val="false"/>
          </w:tcPr>
          <w:p>
            <w:pPr>
              <w:pBdr/>
              <w:spacing/>
              <w:ind/>
              <w:jc w:val="center"/>
              <w:rPr>
                <w:rFonts w:ascii="Arial Narrow" w:hAnsi="Arial Narrow" w:eastAsia="仿宋_GB2312" w:cs="Arial"/>
                <w:sz w:val="22"/>
                <w:szCs w:val="22"/>
              </w:rPr>
            </w:pPr>
            <w:r>
              <w:rPr>
                <w:rFonts w:ascii="Arial Narrow" w:hAnsi="Arial Narrow" w:eastAsia="仿宋_GB2312" w:cs="Arial"/>
                <w:sz w:val="22"/>
                <w:szCs w:val="22"/>
              </w:rPr>
              <w:t xml:space="preserve">16.5%</w:t>
            </w:r>
            <w:r>
              <w:rPr>
                <w:rFonts w:ascii="Arial Narrow" w:hAnsi="Arial Narrow" w:eastAsia="仿宋_GB2312" w:cs="Arial"/>
                <w:sz w:val="22"/>
                <w:szCs w:val="22"/>
              </w:rPr>
            </w:r>
          </w:p>
        </w:tc>
      </w:tr>
      <w:tr>
        <w:trPr>
          <w:jc w:val="center"/>
          <w:trHeight w:val="454"/>
        </w:trPr>
        <w:tc>
          <w:tcPr>
            <w:shd w:val="clear" w:color="auto" w:fill="auto"/>
            <w:tcBorders/>
            <w:tcW w:w="3964" w:type="dxa"/>
            <w:vAlign w:val="center"/>
            <w:textDirection w:val="lrTb"/>
            <w:noWrap w:val="false"/>
          </w:tcPr>
          <w:p>
            <w:pPr>
              <w:pBdr/>
              <w:spacing/>
              <w:ind/>
              <w:jc w:val="center"/>
              <w:rPr>
                <w:rFonts w:ascii="Arial Narrow" w:hAnsi="Arial Narrow" w:eastAsia="仿宋_GB2312" w:cs="Arial"/>
                <w:sz w:val="22"/>
                <w:szCs w:val="22"/>
              </w:rPr>
            </w:pPr>
            <w:r>
              <w:rPr>
                <w:rFonts w:hint="eastAsia" w:ascii="Arial Narrow" w:hAnsi="Arial Narrow" w:eastAsia="仿宋_GB2312" w:cs="Arial"/>
                <w:sz w:val="22"/>
                <w:szCs w:val="22"/>
              </w:rPr>
              <w:t xml:space="preserve">美缤纷品牌管理（上海）有限公司</w:t>
            </w:r>
            <w:r>
              <w:rPr>
                <w:rFonts w:ascii="Arial Narrow" w:hAnsi="Arial Narrow" w:eastAsia="仿宋_GB2312" w:cs="Arial"/>
                <w:sz w:val="22"/>
                <w:szCs w:val="22"/>
              </w:rPr>
            </w:r>
          </w:p>
        </w:tc>
        <w:tc>
          <w:tcPr>
            <w:tcBorders/>
            <w:tcW w:w="1276" w:type="dxa"/>
            <w:vAlign w:val="center"/>
            <w:textDirection w:val="lrTb"/>
            <w:noWrap w:val="false"/>
          </w:tcPr>
          <w:p>
            <w:pPr>
              <w:pBdr/>
              <w:spacing/>
              <w:ind/>
              <w:jc w:val="center"/>
              <w:rPr>
                <w:rFonts w:ascii="Arial Narrow" w:hAnsi="Arial Narrow" w:eastAsia="仿宋_GB2312" w:cs="Arial"/>
                <w:sz w:val="22"/>
                <w:szCs w:val="22"/>
              </w:rPr>
            </w:pPr>
            <w:r>
              <w:rPr>
                <w:rFonts w:ascii="Arial Narrow" w:hAnsi="Arial Narrow" w:eastAsia="仿宋_GB2312" w:cs="Arial"/>
                <w:sz w:val="22"/>
                <w:szCs w:val="22"/>
              </w:rPr>
              <w:t xml:space="preserve">中国</w:t>
            </w:r>
            <w:r>
              <w:rPr>
                <w:rFonts w:ascii="Arial Narrow" w:hAnsi="Arial Narrow" w:eastAsia="仿宋_GB2312" w:cs="Arial"/>
                <w:sz w:val="22"/>
                <w:szCs w:val="22"/>
              </w:rPr>
            </w:r>
          </w:p>
        </w:tc>
        <w:tc>
          <w:tcPr>
            <w:shd w:val="clear" w:color="auto" w:fill="auto"/>
            <w:tcBorders/>
            <w:tcW w:w="3119" w:type="dxa"/>
            <w:vAlign w:val="center"/>
            <w:textDirection w:val="lrTb"/>
            <w:noWrap w:val="false"/>
          </w:tcPr>
          <w:p>
            <w:pPr>
              <w:pBdr/>
              <w:spacing/>
              <w:ind/>
              <w:jc w:val="center"/>
              <w:rPr>
                <w:rFonts w:ascii="Arial Narrow" w:hAnsi="Arial Narrow" w:eastAsia="仿宋_GB2312" w:cs="Arial"/>
                <w:sz w:val="22"/>
                <w:szCs w:val="22"/>
              </w:rPr>
            </w:pPr>
            <w:r>
              <w:rPr>
                <w:rFonts w:hint="eastAsia" w:ascii="Arial Narrow" w:hAnsi="Arial Narrow" w:eastAsia="仿宋_GB2312" w:cs="Arial"/>
                <w:sz w:val="22"/>
                <w:szCs w:val="22"/>
              </w:rPr>
              <w:t xml:space="preserve">子公司</w:t>
            </w:r>
            <w:r>
              <w:rPr>
                <w:rFonts w:ascii="Arial Narrow" w:hAnsi="Arial Narrow" w:eastAsia="仿宋_GB2312" w:cs="Arial"/>
                <w:sz w:val="22"/>
                <w:szCs w:val="22"/>
              </w:rPr>
            </w:r>
            <w:r>
              <w:rPr>
                <w:rFonts w:ascii="Arial Narrow" w:hAnsi="Arial Narrow" w:eastAsia="仿宋_GB2312" w:cs="Arial"/>
                <w:sz w:val="22"/>
                <w:szCs w:val="22"/>
              </w:rPr>
            </w:r>
          </w:p>
        </w:tc>
        <w:tc>
          <w:tcPr>
            <w:tcBorders/>
            <w:tcW w:w="1134" w:type="dxa"/>
            <w:vAlign w:val="center"/>
            <w:textDirection w:val="lrTb"/>
            <w:noWrap w:val="false"/>
          </w:tcPr>
          <w:p>
            <w:pPr>
              <w:pBdr/>
              <w:spacing/>
              <w:ind/>
              <w:jc w:val="center"/>
              <w:rPr>
                <w:rFonts w:ascii="Arial Narrow" w:hAnsi="Arial Narrow" w:eastAsia="仿宋_GB2312" w:cs="Arial"/>
                <w:sz w:val="22"/>
                <w:szCs w:val="22"/>
              </w:rPr>
            </w:pPr>
            <w:r>
              <w:rPr>
                <w:rFonts w:ascii="Arial Narrow" w:hAnsi="Arial Narrow" w:eastAsia="仿宋_GB2312" w:cs="Arial"/>
                <w:sz w:val="22"/>
                <w:szCs w:val="22"/>
              </w:rPr>
              <w:t xml:space="preserve">25%</w:t>
            </w:r>
            <w:r>
              <w:rPr>
                <w:rFonts w:ascii="Arial Narrow" w:hAnsi="Arial Narrow" w:eastAsia="仿宋_GB2312" w:cs="Arial"/>
                <w:sz w:val="22"/>
                <w:szCs w:val="22"/>
              </w:rPr>
            </w:r>
          </w:p>
        </w:tc>
      </w:tr>
    </w:tbl>
    <w:p>
      <w:pPr>
        <w:pBdr/>
        <w:spacing/>
        <w:ind/>
        <w:rPr>
          <w:rFonts w:ascii="Arial Narrow" w:hAnsi="Arial Narrow" w:eastAsia="仿宋_GB2312" w:cs="Arial"/>
          <w:sz w:val="22"/>
          <w:szCs w:val="22"/>
        </w:rPr>
      </w:pPr>
      <w:r>
        <w:rPr>
          <w:rFonts w:ascii="Arial Narrow" w:hAnsi="Arial Narrow" w:eastAsia="仿宋_GB2312" w:cs="Arial"/>
          <w:i/>
          <w:iCs/>
          <w:sz w:val="16"/>
          <w:szCs w:val="16"/>
        </w:rPr>
        <w:t xml:space="preserve">信息来源：由松莉科技提供</w:t>
      </w:r>
      <w:bookmarkEnd w:id="343"/>
      <w:r/>
      <w:bookmarkEnd w:id="344"/>
      <w:r/>
      <w:r>
        <w:rPr>
          <w:rFonts w:ascii="Arial Narrow" w:hAnsi="Arial Narrow" w:eastAsia="仿宋_GB2312" w:cs="Arial"/>
          <w:sz w:val="22"/>
          <w:szCs w:val="22"/>
        </w:rPr>
      </w:r>
    </w:p>
    <w:p>
      <w:pPr>
        <w:pStyle w:val="1324"/>
        <w:pBdr/>
        <w:spacing/>
        <w:ind/>
        <w:rPr>
          <w:b/>
          <w:bCs/>
        </w:rPr>
      </w:pPr>
      <w:r/>
      <w:bookmarkStart w:id="345" w:name="_Toc140505122"/>
      <w:r/>
      <w:bookmarkStart w:id="346" w:name="_Toc53229068"/>
      <w:r>
        <w:t xml:space="preserve">主要关联交易</w:t>
      </w:r>
      <w:bookmarkEnd w:id="345"/>
      <w:r/>
      <w:bookmarkEnd w:id="346"/>
      <w:r/>
      <w:r>
        <w:rPr>
          <w:b/>
          <w:bCs/>
        </w:rPr>
      </w:r>
    </w:p>
    <w:p>
      <w:pPr>
        <w:pBdr/>
        <w:spacing w:after="180" w:before="180" w:line="360" w:lineRule="auto"/>
        <w:ind w:firstLine="440"/>
        <w:jc w:val="both"/>
        <w:rPr>
          <w:rFonts w:ascii="Arial Narrow" w:hAnsi="Arial Narrow" w:eastAsia="仿宋_GB2312" w:cs="Arial"/>
          <w:sz w:val="22"/>
          <w:szCs w:val="22"/>
        </w:rPr>
      </w:pPr>
      <w:r/>
      <w:bookmarkStart w:id="347" w:name="_Toc466642567"/>
      <w:r/>
      <w:bookmarkStart w:id="348" w:name="_Toc48317137"/>
      <w:r/>
      <w:bookmarkStart w:id="349" w:name="_Toc520786966"/>
      <w:r/>
      <w:bookmarkStart w:id="350" w:name="_Toc48317434"/>
      <w:r>
        <w:rPr>
          <w:rFonts w:ascii="Arial Narrow" w:hAnsi="Arial Narrow" w:eastAsia="仿宋_GB2312" w:cs="Arial"/>
          <w:sz w:val="22"/>
          <w:szCs w:val="22"/>
        </w:rPr>
        <w:t xml:space="preserve">评估期间，松莉科技的关联交易主要涉及关联购销，关联交易金额及类型如下图所示：</w:t>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r>
      <w:r>
        <w:rPr>
          <w:rFonts w:ascii="Arial Narrow" w:hAnsi="Arial Narrow" w:eastAsia="仿宋_GB2312" w:cs="Arial"/>
          <w:sz w:val="22"/>
          <w:szCs w:val="22"/>
        </w:rPr>
      </w:r>
    </w:p>
    <w:p>
      <w:pPr>
        <w:pStyle w:val="1338"/>
        <w:pBdr/>
        <w:spacing/>
        <w:ind w:hanging="420" w:left="420"/>
        <w:jc w:val="center"/>
        <w:rPr>
          <w:rFonts w:ascii="Arial Narrow" w:hAnsi="Arial Narrow" w:eastAsia="仿宋_GB2312" w:cs="Arial"/>
          <w:sz w:val="22"/>
        </w:rPr>
      </w:pPr>
      <w:r>
        <w:rPr>
          <w:rFonts w:hint="eastAsia" w:ascii="Arial Narrow" w:hAnsi="Arial Narrow" w:eastAsia="仿宋_GB2312" w:cs="Arial"/>
          <w:sz w:val="22"/>
        </w:rPr>
        <w:t xml:space="preserve">图表 9：关联交易汇总情况表</w:t>
      </w:r>
      <w:r>
        <w:rPr>
          <w:rFonts w:ascii="Arial Narrow" w:hAnsi="Arial Narrow" w:eastAsia="仿宋_GB2312" w:cs="Arial"/>
          <w:sz w:val="22"/>
        </w:rPr>
        <w:fldChar w:fldCharType="begin"/>
      </w:r>
      <w:r>
        <w:rPr>
          <w:rFonts w:ascii="Arial Narrow" w:hAnsi="Arial Narrow" w:eastAsia="仿宋_GB2312" w:cs="Arial"/>
          <w:sz w:val="22"/>
        </w:rPr>
        <w:instrText xml:space="preserve"> SEQ </w:instrText>
      </w:r>
      <w:r>
        <w:rPr>
          <w:rFonts w:hint="eastAsia" w:ascii="Arial Narrow" w:hAnsi="Arial Narrow" w:eastAsia="仿宋_GB2312" w:cs="Arial"/>
          <w:sz w:val="22"/>
        </w:rPr>
        <w:instrText xml:space="preserve">图表</w:instrText>
      </w:r>
      <w:r>
        <w:rPr>
          <w:rFonts w:ascii="Arial Narrow" w:hAnsi="Arial Narrow" w:eastAsia="仿宋_GB2312" w:cs="Arial"/>
          <w:sz w:val="22"/>
        </w:rPr>
        <w:instrText xml:space="preserve"> \* ARABIC </w:instrText>
      </w:r>
      <w:r>
        <w:rPr>
          <w:rFonts w:ascii="Arial Narrow" w:hAnsi="Arial Narrow" w:eastAsia="仿宋_GB2312" w:cs="Arial"/>
          <w:sz w:val="22"/>
        </w:rPr>
        <w:fldChar w:fldCharType="separate"/>
      </w:r>
      <w:r>
        <w:rPr>
          <w:rFonts w:ascii="Arial Narrow" w:hAnsi="Arial Narrow" w:eastAsia="仿宋_GB2312" w:cs="Arial"/>
          <w:sz w:val="22"/>
        </w:rPr>
        <w:fldChar w:fldCharType="end"/>
      </w:r>
      <w:r>
        <w:rPr>
          <w:rFonts w:hint="eastAsia" w:ascii="Arial Narrow" w:hAnsi="Arial Narrow" w:eastAsia="仿宋_GB2312" w:cs="Arial"/>
          <w:sz w:val="22"/>
        </w:rPr>
      </w:r>
      <w:r>
        <w:rPr>
          <w:rFonts w:ascii="Arial Narrow" w:hAnsi="Arial Narrow" w:eastAsia="仿宋_GB2312" w:cs="Arial"/>
          <w:sz w:val="22"/>
        </w:rPr>
      </w:r>
    </w:p>
    <w:tbl>
      <w:tblPr>
        <w:tblStyle w:val="1496"/>
        <w:tblW w:w="497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208"/>
        <w:gridCol w:w="2071"/>
        <w:gridCol w:w="1932"/>
        <w:gridCol w:w="2040"/>
      </w:tblGrid>
      <w:tr>
        <w:trPr>
          <w:trHeight w:val="693"/>
        </w:trPr>
        <w:tc>
          <w:tcPr>
            <w:shd w:val="clear" w:color="auto" w:fill="002060"/>
            <w:tcBorders/>
            <w:tcW w:w="1338" w:type="pct"/>
            <w:vAlign w:val="center"/>
            <w:textDirection w:val="lrTb"/>
            <w:noWrap w:val="false"/>
          </w:tcPr>
          <w:p>
            <w:pPr>
              <w:pBdr/>
              <w:spacing/>
              <w:ind/>
              <w:jc w:val="center"/>
              <w:rPr>
                <w:rFonts w:ascii="Arial Narrow" w:hAnsi="Arial Narrow" w:eastAsia="仿宋_GB2312" w:cs="Arial"/>
                <w:sz w:val="22"/>
                <w:szCs w:val="22"/>
              </w:rPr>
            </w:pPr>
            <w:r>
              <w:rPr>
                <w:rFonts w:ascii="Arial Narrow" w:hAnsi="Arial Narrow" w:eastAsia="仿宋_GB2312" w:cs="Arial"/>
                <w:sz w:val="22"/>
                <w:szCs w:val="22"/>
              </w:rPr>
              <w:t xml:space="preserve">关联交易类型</w:t>
            </w:r>
            <w:r>
              <w:rPr>
                <w:rFonts w:ascii="Arial Narrow" w:hAnsi="Arial Narrow" w:eastAsia="仿宋_GB2312" w:cs="Arial"/>
                <w:sz w:val="22"/>
                <w:szCs w:val="22"/>
              </w:rPr>
            </w:r>
          </w:p>
        </w:tc>
        <w:tc>
          <w:tcPr>
            <w:shd w:val="clear" w:color="auto" w:fill="002060"/>
            <w:tcBorders/>
            <w:tcW w:w="1255" w:type="pct"/>
            <w:vAlign w:val="center"/>
            <w:textDirection w:val="lrTb"/>
            <w:noWrap w:val="false"/>
          </w:tcPr>
          <w:p>
            <w:pPr>
              <w:pBdr/>
              <w:spacing/>
              <w:ind/>
              <w:jc w:val="center"/>
              <w:rPr>
                <w:rFonts w:ascii="Arial Narrow" w:hAnsi="Arial Narrow" w:eastAsia="仿宋_GB2312" w:cs="Arial"/>
                <w:sz w:val="22"/>
                <w:szCs w:val="22"/>
              </w:rPr>
            </w:pPr>
            <w:r>
              <w:rPr>
                <w:rFonts w:ascii="Arial Narrow" w:hAnsi="Arial Narrow" w:eastAsia="仿宋_GB2312" w:cs="Arial"/>
                <w:sz w:val="22"/>
                <w:szCs w:val="22"/>
              </w:rPr>
              <w:t xml:space="preserve">境外交易金额</w:t>
            </w:r>
            <w:r>
              <w:rPr>
                <w:rFonts w:ascii="Arial Narrow" w:hAnsi="Arial Narrow" w:eastAsia="仿宋_GB2312" w:cs="Arial"/>
                <w:sz w:val="22"/>
                <w:szCs w:val="22"/>
              </w:rPr>
            </w:r>
          </w:p>
          <w:p>
            <w:pPr>
              <w:pBdr/>
              <w:spacing/>
              <w:ind/>
              <w:jc w:val="center"/>
              <w:rPr>
                <w:rFonts w:ascii="Arial Narrow" w:hAnsi="Arial Narrow" w:eastAsia="仿宋_GB2312" w:cs="Arial"/>
                <w:sz w:val="22"/>
                <w:szCs w:val="22"/>
              </w:rPr>
            </w:pPr>
            <w:r>
              <w:rPr>
                <w:rFonts w:ascii="Arial Narrow" w:hAnsi="Arial Narrow" w:eastAsia="仿宋_GB2312" w:cs="Arial"/>
                <w:sz w:val="22"/>
                <w:szCs w:val="22"/>
              </w:rPr>
              <w:t xml:space="preserve">A</w:t>
            </w:r>
            <w:r>
              <w:rPr>
                <w:rFonts w:ascii="Arial Narrow" w:hAnsi="Arial Narrow" w:eastAsia="仿宋_GB2312" w:cs="Arial"/>
                <w:sz w:val="22"/>
                <w:szCs w:val="22"/>
              </w:rPr>
            </w:r>
          </w:p>
        </w:tc>
        <w:tc>
          <w:tcPr>
            <w:shd w:val="clear" w:color="auto" w:fill="002060"/>
            <w:tcBorders/>
            <w:tcW w:w="1171" w:type="pct"/>
            <w:vAlign w:val="center"/>
            <w:textDirection w:val="lrTb"/>
            <w:noWrap w:val="false"/>
          </w:tcPr>
          <w:p>
            <w:pPr>
              <w:pBdr/>
              <w:spacing/>
              <w:ind/>
              <w:jc w:val="center"/>
              <w:rPr>
                <w:rFonts w:ascii="Arial Narrow" w:hAnsi="Arial Narrow" w:eastAsia="仿宋_GB2312" w:cs="Arial"/>
                <w:sz w:val="22"/>
                <w:szCs w:val="22"/>
              </w:rPr>
            </w:pPr>
            <w:r>
              <w:rPr>
                <w:rFonts w:ascii="Arial Narrow" w:hAnsi="Arial Narrow" w:eastAsia="仿宋_GB2312" w:cs="Arial"/>
                <w:sz w:val="22"/>
                <w:szCs w:val="22"/>
              </w:rPr>
              <w:t xml:space="preserve">境内交易金额</w:t>
            </w:r>
            <w:r>
              <w:rPr>
                <w:rFonts w:ascii="Arial Narrow" w:hAnsi="Arial Narrow" w:eastAsia="仿宋_GB2312" w:cs="Arial"/>
                <w:sz w:val="22"/>
                <w:szCs w:val="22"/>
              </w:rPr>
            </w:r>
          </w:p>
          <w:p>
            <w:pPr>
              <w:pBdr/>
              <w:spacing/>
              <w:ind/>
              <w:jc w:val="center"/>
              <w:rPr>
                <w:rFonts w:ascii="Arial Narrow" w:hAnsi="Arial Narrow" w:eastAsia="仿宋_GB2312" w:cs="Arial"/>
                <w:sz w:val="22"/>
                <w:szCs w:val="22"/>
              </w:rPr>
            </w:pPr>
            <w:r>
              <w:rPr>
                <w:rFonts w:ascii="Arial Narrow" w:hAnsi="Arial Narrow" w:eastAsia="仿宋_GB2312" w:cs="Arial"/>
                <w:sz w:val="22"/>
                <w:szCs w:val="22"/>
              </w:rPr>
              <w:t xml:space="preserve">B</w:t>
            </w:r>
            <w:r>
              <w:rPr>
                <w:rFonts w:ascii="Arial Narrow" w:hAnsi="Arial Narrow" w:eastAsia="仿宋_GB2312" w:cs="Arial"/>
                <w:sz w:val="22"/>
                <w:szCs w:val="22"/>
              </w:rPr>
            </w:r>
          </w:p>
        </w:tc>
        <w:tc>
          <w:tcPr>
            <w:shd w:val="clear" w:color="auto" w:fill="002060"/>
            <w:tcBorders/>
            <w:tcW w:w="1236" w:type="pct"/>
            <w:vAlign w:val="center"/>
            <w:textDirection w:val="lrTb"/>
            <w:noWrap w:val="false"/>
          </w:tcPr>
          <w:p>
            <w:pPr>
              <w:pBdr/>
              <w:spacing/>
              <w:ind/>
              <w:jc w:val="center"/>
              <w:rPr>
                <w:rFonts w:ascii="Arial Narrow" w:hAnsi="Arial Narrow" w:eastAsia="仿宋_GB2312" w:cs="Arial"/>
                <w:sz w:val="22"/>
                <w:szCs w:val="22"/>
              </w:rPr>
            </w:pPr>
            <w:r>
              <w:rPr>
                <w:rFonts w:ascii="Arial Narrow" w:hAnsi="Arial Narrow" w:eastAsia="仿宋_GB2312" w:cs="Arial"/>
                <w:sz w:val="22"/>
                <w:szCs w:val="22"/>
              </w:rPr>
              <w:t xml:space="preserve">交易总额</w:t>
            </w:r>
            <w:r>
              <w:rPr>
                <w:rFonts w:ascii="Arial Narrow" w:hAnsi="Arial Narrow" w:eastAsia="仿宋_GB2312" w:cs="Arial"/>
                <w:sz w:val="22"/>
                <w:szCs w:val="22"/>
              </w:rPr>
            </w:r>
          </w:p>
          <w:p>
            <w:pPr>
              <w:pBdr/>
              <w:spacing/>
              <w:ind/>
              <w:jc w:val="center"/>
              <w:rPr>
                <w:rFonts w:ascii="Arial Narrow" w:hAnsi="Arial Narrow" w:eastAsia="仿宋_GB2312" w:cs="Arial"/>
                <w:sz w:val="22"/>
                <w:szCs w:val="22"/>
              </w:rPr>
            </w:pPr>
            <w:r>
              <w:rPr>
                <w:rFonts w:ascii="Arial Narrow" w:hAnsi="Arial Narrow" w:eastAsia="仿宋_GB2312" w:cs="Arial"/>
                <w:sz w:val="22"/>
                <w:szCs w:val="22"/>
              </w:rPr>
              <w:t xml:space="preserve">C=A+B</w:t>
            </w:r>
            <w:r>
              <w:rPr>
                <w:rFonts w:ascii="Arial Narrow" w:hAnsi="Arial Narrow" w:eastAsia="仿宋_GB2312" w:cs="Arial"/>
                <w:sz w:val="22"/>
                <w:szCs w:val="22"/>
              </w:rPr>
            </w:r>
          </w:p>
        </w:tc>
      </w:tr>
      <w:tr>
        <w:trPr>
          <w:trHeight w:val="433"/>
        </w:trPr>
        <w:tc>
          <w:tcPr>
            <w:shd w:val="clear" w:color="auto" w:fill="auto"/>
            <w:tcBorders/>
            <w:tcW w:w="1338" w:type="pct"/>
            <w:vAlign w:val="center"/>
            <w:textDirection w:val="lrTb"/>
            <w:noWrap w:val="false"/>
          </w:tcPr>
          <w:p>
            <w:pPr>
              <w:pBdr/>
              <w:spacing/>
              <w:ind/>
              <w:jc w:val="center"/>
              <w:rPr>
                <w:rFonts w:ascii="Arial Narrow" w:hAnsi="Arial Narrow" w:eastAsia="仿宋_GB2312" w:cs="Arial"/>
                <w:sz w:val="22"/>
                <w:szCs w:val="22"/>
              </w:rPr>
            </w:pPr>
            <w:r>
              <w:rPr>
                <w:rFonts w:ascii="Arial Narrow" w:hAnsi="Arial Narrow" w:eastAsia="仿宋_GB2312" w:cs="Arial"/>
                <w:b w:val="0"/>
                <w:sz w:val="22"/>
                <w:szCs w:val="22"/>
              </w:rPr>
              <w:t xml:space="preserve">关联采购</w:t>
            </w:r>
            <w:r>
              <w:rPr>
                <w:rFonts w:ascii="Arial Narrow" w:hAnsi="Arial Narrow" w:eastAsia="仿宋_GB2312" w:cs="Arial"/>
                <w:sz w:val="22"/>
                <w:szCs w:val="22"/>
              </w:rPr>
            </w:r>
          </w:p>
        </w:tc>
        <w:tc>
          <w:tcPr>
            <w:shd w:val="clear" w:color="auto" w:fill="auto"/>
            <w:tcBorders/>
            <w:tcW w:w="1255" w:type="pct"/>
            <w:vAlign w:val="center"/>
            <w:textDirection w:val="lrTb"/>
            <w:noWrap w:val="false"/>
          </w:tcPr>
          <w:p>
            <w:pPr>
              <w:pBdr/>
              <w:spacing/>
              <w:ind/>
              <w:jc w:val="right"/>
              <w:rPr>
                <w:rFonts w:ascii="Arial Narrow" w:hAnsi="Arial Narrow" w:eastAsia="仿宋_GB2312" w:cs="Arial"/>
                <w:sz w:val="22"/>
                <w:szCs w:val="22"/>
              </w:rPr>
            </w:pPr>
            <w:r>
              <w:rPr>
                <w:rFonts w:ascii="Arial Narrow" w:hAnsi="Arial Narrow" w:eastAsia="仿宋_GB2312" w:cs="Arial"/>
                <w:sz w:val="22"/>
                <w:szCs w:val="22"/>
              </w:rPr>
              <w:t xml:space="preserve">22,699,647.89</w:t>
            </w:r>
            <w:r>
              <w:rPr>
                <w:rFonts w:ascii="Arial Narrow" w:hAnsi="Arial Narrow" w:eastAsia="仿宋_GB2312" w:cs="Arial"/>
                <w:sz w:val="22"/>
                <w:szCs w:val="22"/>
              </w:rPr>
            </w:r>
          </w:p>
        </w:tc>
        <w:tc>
          <w:tcPr>
            <w:shd w:val="clear" w:color="auto" w:fill="auto"/>
            <w:tcBorders/>
            <w:tcW w:w="1171" w:type="pct"/>
            <w:vAlign w:val="center"/>
            <w:textDirection w:val="lrTb"/>
            <w:noWrap w:val="false"/>
          </w:tcPr>
          <w:p>
            <w:pPr>
              <w:pBdr/>
              <w:spacing/>
              <w:ind/>
              <w:jc w:val="right"/>
              <w:rPr>
                <w:rFonts w:ascii="Arial Narrow" w:hAnsi="Arial Narrow" w:eastAsia="仿宋_GB2312" w:cs="Arial"/>
                <w:sz w:val="22"/>
                <w:szCs w:val="22"/>
              </w:rPr>
            </w:pPr>
            <w:r>
              <w:rPr>
                <w:rFonts w:hint="eastAsia" w:ascii="Arial Narrow" w:hAnsi="Arial Narrow" w:eastAsia="仿宋_GB2312" w:cs="Arial"/>
                <w:sz w:val="22"/>
                <w:szCs w:val="22"/>
              </w:rPr>
              <w:t xml:space="preserve">0.00</w:t>
            </w:r>
            <w:r>
              <w:rPr>
                <w:rFonts w:ascii="Arial Narrow" w:hAnsi="Arial Narrow" w:eastAsia="仿宋_GB2312" w:cs="Arial"/>
                <w:sz w:val="22"/>
                <w:szCs w:val="22"/>
              </w:rPr>
            </w:r>
          </w:p>
        </w:tc>
        <w:tc>
          <w:tcPr>
            <w:shd w:val="clear" w:color="auto" w:fill="auto"/>
            <w:tcBorders/>
            <w:tcW w:w="1236" w:type="pct"/>
            <w:vAlign w:val="center"/>
            <w:textDirection w:val="lrTb"/>
            <w:noWrap w:val="false"/>
          </w:tcPr>
          <w:p>
            <w:pPr>
              <w:pBdr/>
              <w:spacing/>
              <w:ind/>
              <w:jc w:val="right"/>
              <w:rPr>
                <w:rFonts w:ascii="Arial Narrow" w:hAnsi="Arial Narrow" w:eastAsia="仿宋_GB2312" w:cs="Arial"/>
                <w:sz w:val="22"/>
                <w:szCs w:val="22"/>
              </w:rPr>
            </w:pPr>
            <w:r>
              <w:rPr>
                <w:rFonts w:ascii="Arial Narrow" w:hAnsi="Arial Narrow" w:eastAsia="仿宋_GB2312" w:cs="Arial"/>
                <w:sz w:val="22"/>
                <w:szCs w:val="22"/>
              </w:rPr>
              <w:t xml:space="preserve">22,699,647.89</w:t>
            </w:r>
            <w:r>
              <w:rPr>
                <w:rFonts w:ascii="Arial Narrow" w:hAnsi="Arial Narrow" w:eastAsia="仿宋_GB2312" w:cs="Arial"/>
                <w:sz w:val="22"/>
                <w:szCs w:val="22"/>
              </w:rPr>
            </w:r>
          </w:p>
        </w:tc>
      </w:tr>
      <w:tr>
        <w:trPr>
          <w:trHeight w:val="433"/>
        </w:trPr>
        <w:tc>
          <w:tcPr>
            <w:shd w:val="clear" w:color="auto" w:fill="auto"/>
            <w:tcBorders/>
            <w:tcW w:w="1338" w:type="pct"/>
            <w:vAlign w:val="center"/>
            <w:textDirection w:val="lrTb"/>
            <w:noWrap w:val="false"/>
          </w:tcPr>
          <w:p>
            <w:pPr>
              <w:pBdr/>
              <w:spacing/>
              <w:ind/>
              <w:jc w:val="center"/>
              <w:rPr>
                <w:rFonts w:ascii="Arial Narrow" w:hAnsi="Arial Narrow" w:eastAsia="仿宋_GB2312" w:cs="Arial"/>
                <w:b w:val="0"/>
                <w:sz w:val="22"/>
                <w:szCs w:val="22"/>
              </w:rPr>
            </w:pPr>
            <w:r>
              <w:rPr>
                <w:rFonts w:ascii="Arial Narrow" w:hAnsi="Arial Narrow" w:eastAsia="仿宋_GB2312" w:cs="Arial"/>
                <w:b w:val="0"/>
                <w:sz w:val="22"/>
                <w:szCs w:val="22"/>
              </w:rPr>
              <w:t xml:space="preserve">关联销售</w:t>
            </w:r>
            <w:r>
              <w:rPr>
                <w:rFonts w:ascii="Arial Narrow" w:hAnsi="Arial Narrow" w:eastAsia="仿宋_GB2312" w:cs="Arial"/>
                <w:b w:val="0"/>
                <w:sz w:val="22"/>
                <w:szCs w:val="22"/>
              </w:rPr>
            </w:r>
          </w:p>
        </w:tc>
        <w:tc>
          <w:tcPr>
            <w:shd w:val="clear" w:color="auto" w:fill="auto"/>
            <w:tcBorders/>
            <w:tcW w:w="1255" w:type="pct"/>
            <w:vAlign w:val="center"/>
            <w:textDirection w:val="lrTb"/>
            <w:noWrap w:val="false"/>
          </w:tcPr>
          <w:p>
            <w:pPr>
              <w:pBdr/>
              <w:spacing/>
              <w:ind/>
              <w:jc w:val="right"/>
              <w:rPr>
                <w:rFonts w:ascii="Arial Narrow" w:hAnsi="Arial Narrow" w:eastAsia="仿宋_GB2312" w:cs="Arial"/>
                <w:sz w:val="22"/>
                <w:szCs w:val="22"/>
              </w:rPr>
            </w:pPr>
            <w:r>
              <w:rPr>
                <w:rFonts w:ascii="Arial Narrow" w:hAnsi="Arial Narrow" w:eastAsia="仿宋_GB2312" w:cs="Arial"/>
                <w:sz w:val="22"/>
                <w:szCs w:val="22"/>
              </w:rPr>
              <w:t xml:space="preserve"> {{　　　　其中：主营业务收入}} </w:t>
            </w:r>
            <w:r>
              <w:rPr>
                <w:rFonts w:ascii="Arial Narrow" w:hAnsi="Arial Narrow" w:eastAsia="仿宋_GB2312" w:cs="Arial"/>
                <w:sz w:val="22"/>
                <w:szCs w:val="22"/>
              </w:rPr>
            </w:r>
            <w:r>
              <w:rPr>
                <w:rFonts w:ascii="Arial Narrow" w:hAnsi="Arial Narrow" w:eastAsia="仿宋_GB2312" w:cs="Arial"/>
                <w:sz w:val="22"/>
                <w:szCs w:val="22"/>
              </w:rPr>
            </w:r>
          </w:p>
        </w:tc>
        <w:tc>
          <w:tcPr>
            <w:shd w:val="clear" w:color="auto" w:fill="auto"/>
            <w:tcBorders/>
            <w:tcW w:w="1171" w:type="pct"/>
            <w:vAlign w:val="center"/>
            <w:textDirection w:val="lrTb"/>
            <w:noWrap w:val="false"/>
          </w:tcPr>
          <w:p>
            <w:pPr>
              <w:pBdr/>
              <w:spacing/>
              <w:ind/>
              <w:jc w:val="right"/>
              <w:rPr>
                <w:rFonts w:ascii="Arial Narrow" w:hAnsi="Arial Narrow" w:eastAsia="仿宋_GB2312" w:cs="Arial"/>
                <w:sz w:val="22"/>
                <w:szCs w:val="22"/>
              </w:rPr>
            </w:pPr>
            <w:r>
              <w:rPr>
                <w:rFonts w:ascii="Arial Narrow" w:hAnsi="Arial Narrow" w:eastAsia="仿宋_GB2312" w:cs="Arial"/>
                <w:sz w:val="22"/>
                <w:szCs w:val="22"/>
              </w:rPr>
              <w:t xml:space="preserve"> 12,953,423.52 </w:t>
            </w:r>
            <w:r>
              <w:rPr>
                <w:rFonts w:ascii="Arial Narrow" w:hAnsi="Arial Narrow" w:eastAsia="仿宋_GB2312" w:cs="Arial"/>
                <w:sz w:val="22"/>
                <w:szCs w:val="22"/>
              </w:rPr>
            </w:r>
            <w:r>
              <w:rPr>
                <w:rFonts w:ascii="Arial Narrow" w:hAnsi="Arial Narrow" w:eastAsia="仿宋_GB2312" w:cs="Arial"/>
                <w:sz w:val="22"/>
                <w:szCs w:val="22"/>
              </w:rPr>
            </w:r>
          </w:p>
        </w:tc>
        <w:tc>
          <w:tcPr>
            <w:shd w:val="clear" w:color="auto" w:fill="auto"/>
            <w:tcBorders/>
            <w:tcW w:w="1236" w:type="pct"/>
            <w:vAlign w:val="center"/>
            <w:textDirection w:val="lrTb"/>
            <w:noWrap w:val="false"/>
          </w:tcPr>
          <w:p>
            <w:pPr>
              <w:pBdr/>
              <w:spacing/>
              <w:ind/>
              <w:jc w:val="right"/>
              <w:rPr>
                <w:rFonts w:ascii="Arial Narrow" w:hAnsi="Arial Narrow" w:eastAsia="仿宋_GB2312" w:cs="Arial"/>
                <w:sz w:val="22"/>
                <w:szCs w:val="22"/>
              </w:rPr>
            </w:pPr>
            <w:r>
              <w:rPr>
                <w:rFonts w:ascii="Arial Narrow" w:hAnsi="Arial Narrow" w:eastAsia="仿宋_GB2312" w:cs="Arial"/>
                <w:sz w:val="22"/>
                <w:szCs w:val="22"/>
              </w:rPr>
              <w:t xml:space="preserve"> 272,727,966.18 </w:t>
            </w:r>
            <w:r>
              <w:rPr>
                <w:rFonts w:ascii="Arial Narrow" w:hAnsi="Arial Narrow" w:eastAsia="仿宋_GB2312" w:cs="Arial"/>
                <w:sz w:val="22"/>
                <w:szCs w:val="22"/>
              </w:rPr>
            </w:r>
            <w:r>
              <w:rPr>
                <w:rFonts w:ascii="Arial Narrow" w:hAnsi="Arial Narrow" w:eastAsia="仿宋_GB2312" w:cs="Arial"/>
                <w:sz w:val="22"/>
                <w:szCs w:val="22"/>
              </w:rPr>
            </w:r>
          </w:p>
        </w:tc>
      </w:tr>
      <w:tr>
        <w:trPr>
          <w:trHeight w:val="433"/>
        </w:trPr>
        <w:tc>
          <w:tcPr>
            <w:shd w:val="clear" w:color="auto" w:fill="auto"/>
            <w:tcBorders/>
            <w:tcW w:w="1338" w:type="pct"/>
            <w:vAlign w:val="center"/>
            <w:textDirection w:val="lrTb"/>
            <w:noWrap w:val="false"/>
          </w:tcPr>
          <w:p>
            <w:pPr>
              <w:pBdr/>
              <w:spacing/>
              <w:ind/>
              <w:jc w:val="center"/>
              <w:rPr>
                <w:rFonts w:ascii="Arial Narrow" w:hAnsi="Arial Narrow" w:eastAsia="仿宋_GB2312" w:cs="Arial"/>
                <w:sz w:val="22"/>
                <w:szCs w:val="22"/>
              </w:rPr>
            </w:pPr>
            <w:r>
              <w:rPr>
                <w:rFonts w:ascii="Arial Narrow" w:hAnsi="Arial Narrow" w:eastAsia="仿宋_GB2312" w:cs="Arial"/>
                <w:sz w:val="22"/>
                <w:szCs w:val="22"/>
              </w:rPr>
              <w:t xml:space="preserve">总计</w:t>
            </w:r>
            <w:r>
              <w:rPr>
                <w:rFonts w:ascii="Arial Narrow" w:hAnsi="Arial Narrow" w:eastAsia="仿宋_GB2312" w:cs="Arial"/>
                <w:sz w:val="22"/>
                <w:szCs w:val="22"/>
              </w:rPr>
            </w:r>
          </w:p>
        </w:tc>
        <w:tc>
          <w:tcPr>
            <w:shd w:val="clear" w:color="auto" w:fill="auto"/>
            <w:tcBorders/>
            <w:tcW w:w="1255" w:type="pct"/>
            <w:vAlign w:val="center"/>
            <w:textDirection w:val="lrTb"/>
            <w:noWrap w:val="false"/>
          </w:tcPr>
          <w:p>
            <w:pPr>
              <w:pBdr/>
              <w:spacing/>
              <w:ind/>
              <w:jc w:val="right"/>
              <w:rPr>
                <w:rFonts w:ascii="Arial Narrow" w:hAnsi="Arial Narrow" w:cs="Arial"/>
                <w:b/>
                <w:sz w:val="22"/>
                <w:szCs w:val="22"/>
              </w:rPr>
            </w:pPr>
            <w:r>
              <w:rPr>
                <w:rFonts w:hint="eastAsia" w:ascii="Arial Narrow" w:hAnsi="Arial Narrow" w:eastAsia="仿宋_GB2312" w:cs="Arial"/>
                <w:b/>
                <w:sz w:val="22"/>
                <w:szCs w:val="22"/>
              </w:rPr>
              <w:t xml:space="preserve">282,474,190.55</w:t>
            </w:r>
            <w:r>
              <w:rPr>
                <w:rFonts w:ascii="Arial Narrow" w:hAnsi="Arial Narrow" w:cs="Arial"/>
                <w:b/>
                <w:sz w:val="22"/>
                <w:szCs w:val="22"/>
              </w:rPr>
            </w:r>
          </w:p>
        </w:tc>
        <w:tc>
          <w:tcPr>
            <w:shd w:val="clear" w:color="auto" w:fill="auto"/>
            <w:tcBorders/>
            <w:tcW w:w="1171" w:type="pct"/>
            <w:vAlign w:val="center"/>
            <w:textDirection w:val="lrTb"/>
            <w:noWrap w:val="false"/>
          </w:tcPr>
          <w:p>
            <w:pPr>
              <w:pBdr/>
              <w:spacing/>
              <w:ind/>
              <w:jc w:val="right"/>
              <w:rPr>
                <w:rFonts w:ascii="Arial Narrow" w:hAnsi="Arial Narrow" w:eastAsia="仿宋_GB2312" w:cs="Arial"/>
                <w:b/>
                <w:sz w:val="22"/>
                <w:szCs w:val="22"/>
              </w:rPr>
            </w:pPr>
            <w:r>
              <w:rPr>
                <w:rFonts w:ascii="Arial Narrow" w:hAnsi="Arial Narrow" w:eastAsia="仿宋_GB2312" w:cs="Arial"/>
                <w:b/>
                <w:sz w:val="22"/>
                <w:szCs w:val="22"/>
              </w:rPr>
              <w:t xml:space="preserve"> 12,953,423.52</w:t>
            </w:r>
            <w:r>
              <w:rPr>
                <w:rFonts w:hint="eastAsia" w:ascii="Arial Narrow" w:hAnsi="Arial Narrow" w:eastAsia="仿宋_GB2312" w:cs="Arial"/>
                <w:b/>
                <w:sz w:val="22"/>
                <w:szCs w:val="22"/>
              </w:rPr>
            </w:r>
            <w:r>
              <w:rPr>
                <w:rFonts w:ascii="Arial Narrow" w:hAnsi="Arial Narrow" w:eastAsia="仿宋_GB2312" w:cs="Arial"/>
                <w:b/>
                <w:sz w:val="22"/>
                <w:szCs w:val="22"/>
              </w:rPr>
            </w:r>
          </w:p>
        </w:tc>
        <w:tc>
          <w:tcPr>
            <w:shd w:val="clear" w:color="auto" w:fill="auto"/>
            <w:tcBorders/>
            <w:tcW w:w="1236" w:type="pct"/>
            <w:vAlign w:val="center"/>
            <w:textDirection w:val="lrTb"/>
            <w:noWrap w:val="false"/>
          </w:tcPr>
          <w:p>
            <w:pPr>
              <w:pBdr/>
              <w:spacing/>
              <w:ind/>
              <w:jc w:val="right"/>
              <w:rPr>
                <w:rFonts w:ascii="Arial Narrow" w:hAnsi="Arial Narrow" w:eastAsia="仿宋_GB2312" w:cs="Arial"/>
                <w:b/>
                <w:sz w:val="22"/>
                <w:szCs w:val="22"/>
              </w:rPr>
            </w:pPr>
            <w:r>
              <w:rPr>
                <w:rFonts w:hint="eastAsia" w:ascii="Arial Narrow" w:hAnsi="Arial Narrow" w:eastAsia="仿宋_GB2312" w:cs="Arial"/>
                <w:b/>
                <w:sz w:val="22"/>
                <w:szCs w:val="22"/>
              </w:rPr>
              <w:t xml:space="preserve">295,427,614.07</w:t>
            </w:r>
            <w:r>
              <w:rPr>
                <w:rFonts w:ascii="Arial Narrow" w:hAnsi="Arial Narrow" w:eastAsia="仿宋_GB2312" w:cs="Arial"/>
                <w:b/>
                <w:sz w:val="22"/>
                <w:szCs w:val="22"/>
              </w:rPr>
            </w:r>
          </w:p>
        </w:tc>
      </w:tr>
    </w:tbl>
    <w:p>
      <w:pPr>
        <w:pBdr/>
        <w:spacing/>
        <w:ind/>
        <w:rPr>
          <w:rFonts w:ascii="Arial Narrow" w:hAnsi="Arial Narrow" w:eastAsia="仿宋_GB2312" w:cs="Arial"/>
          <w:sz w:val="22"/>
          <w:szCs w:val="22"/>
        </w:rPr>
      </w:pPr>
      <w:r>
        <w:rPr>
          <w:rFonts w:ascii="Arial Narrow" w:hAnsi="Arial Narrow" w:eastAsia="仿宋_GB2312" w:cs="Arial"/>
          <w:i/>
          <w:iCs/>
          <w:sz w:val="16"/>
          <w:szCs w:val="16"/>
        </w:rPr>
        <w:t xml:space="preserve">信息来源：由松莉科技提供</w:t>
      </w:r>
      <w:bookmarkEnd w:id="347"/>
      <w:r/>
      <w:bookmarkEnd w:id="348"/>
      <w:r/>
      <w:bookmarkEnd w:id="349"/>
      <w:r/>
      <w:bookmarkEnd w:id="350"/>
      <w:r/>
      <w:r>
        <w:rPr>
          <w:rFonts w:ascii="Arial Narrow" w:hAnsi="Arial Narrow" w:eastAsia="仿宋_GB2312" w:cs="Arial"/>
          <w:sz w:val="22"/>
          <w:szCs w:val="22"/>
        </w:rPr>
      </w:r>
    </w:p>
    <w:p>
      <w:pPr>
        <w:pStyle w:val="1324"/>
        <w:pBdr/>
        <w:spacing/>
        <w:ind/>
        <w:rPr>
          <w:b/>
          <w:bCs/>
        </w:rPr>
      </w:pPr>
      <w:r/>
      <w:bookmarkStart w:id="351" w:name="_Toc53229069"/>
      <w:r/>
      <w:bookmarkStart w:id="352" w:name="_Toc140505123"/>
      <w:r>
        <w:t xml:space="preserve">关联购销</w:t>
      </w:r>
      <w:bookmarkEnd w:id="351"/>
      <w:r/>
      <w:bookmarkEnd w:id="352"/>
      <w:r/>
      <w:r>
        <w:rPr>
          <w:b/>
          <w:bCs/>
        </w:rPr>
      </w:r>
    </w:p>
    <w:p>
      <w:pPr>
        <w:pStyle w:val="1325"/>
        <w:pBdr/>
        <w:spacing/>
        <w:ind/>
        <w:rPr>
          <w:b/>
          <w:bCs/>
        </w:rPr>
      </w:pPr>
      <w:r/>
      <w:bookmarkStart w:id="353" w:name="_Toc140505124"/>
      <w:r/>
      <w:bookmarkStart w:id="354" w:name="_Toc53229070"/>
      <w:r>
        <w:t xml:space="preserve">交易流程</w:t>
      </w:r>
      <w:bookmarkEnd w:id="353"/>
      <w:r/>
      <w:bookmarkEnd w:id="354"/>
      <w:r/>
      <w:r>
        <w:rPr>
          <w:b/>
          <w:bCs/>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评估期间，松莉科技从境外关联方采购原材料、半成品共计人民币22,699,647.89元，向境外关联方销售成品共计人民币 {{　　　　其中：主营业务收入}}元，向境内关联方销售成品共计人民币12,953,423.52 元。</w:t>
      </w:r>
      <w:r>
        <w:rPr>
          <w:rFonts w:ascii="Arial Narrow" w:hAnsi="Arial Narrow" w:eastAsia="仿宋_GB2312" w:cs="Arial"/>
          <w:sz w:val="22"/>
          <w:szCs w:val="22"/>
        </w:rPr>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松莉科技与关联方的关联购销交易流程如下图所示：</w:t>
      </w:r>
      <w:r>
        <w:rPr>
          <w:rFonts w:ascii="Arial Narrow" w:hAnsi="Arial Narrow" w:eastAsia="仿宋_GB2312" w:cs="Arial"/>
          <w:sz w:val="22"/>
          <w:szCs w:val="22"/>
        </w:rPr>
      </w:r>
    </w:p>
    <w:p>
      <w:pPr>
        <w:pBdr/>
        <w:spacing w:after="240" w:before="240"/>
        <w:ind w:firstLine="475"/>
        <w:jc w:val="center"/>
        <w:rPr>
          <w:rFonts w:ascii="Arial Narrow" w:hAnsi="Arial Narrow" w:eastAsia="仿宋_GB2312" w:cs="Arial"/>
          <w:b/>
          <w:bCs/>
          <w:sz w:val="22"/>
        </w:rPr>
      </w:pPr>
      <w:r>
        <w:rPr>
          <w:rFonts w:ascii="Arial Narrow" w:hAnsi="Arial Narrow" w:eastAsia="仿宋_GB2312" w:cs="Arial"/>
          <w:b/>
          <w:sz w:val="22"/>
        </w:rPr>
        <w:t xml:space="preserve">图表 10：关联购销交易流程图</w:t>
      </w:r>
      <w:r>
        <w:rPr>
          <w:rFonts w:ascii="Arial Narrow" w:hAnsi="Arial Narrow" w:eastAsia="仿宋_GB2312" w:cs="Arial"/>
          <w:b/>
          <w:sz w:val="22"/>
        </w:rPr>
        <w:fldChar w:fldCharType="begin"/>
      </w:r>
      <w:r>
        <w:rPr>
          <w:rFonts w:ascii="Arial Narrow" w:hAnsi="Arial Narrow" w:eastAsia="仿宋_GB2312" w:cs="Arial"/>
          <w:b/>
          <w:sz w:val="22"/>
        </w:rPr>
        <w:instrText xml:space="preserve"> SEQ </w:instrText>
      </w:r>
      <w:r>
        <w:rPr>
          <w:rFonts w:ascii="Arial Narrow" w:hAnsi="Arial Narrow" w:eastAsia="仿宋_GB2312" w:cs="Arial"/>
          <w:b/>
          <w:sz w:val="22"/>
        </w:rPr>
        <w:instrText xml:space="preserve">图表</w:instrText>
      </w:r>
      <w:r>
        <w:rPr>
          <w:rFonts w:ascii="Arial Narrow" w:hAnsi="Arial Narrow" w:eastAsia="仿宋_GB2312" w:cs="Arial"/>
          <w:b/>
          <w:sz w:val="22"/>
        </w:rPr>
        <w:instrText xml:space="preserve"> \* ARABIC </w:instrText>
      </w:r>
      <w:r>
        <w:rPr>
          <w:rFonts w:ascii="Arial Narrow" w:hAnsi="Arial Narrow" w:eastAsia="仿宋_GB2312" w:cs="Arial"/>
          <w:b/>
          <w:sz w:val="22"/>
        </w:rPr>
        <w:fldChar w:fldCharType="separate"/>
      </w:r>
      <w:r>
        <w:rPr>
          <w:rFonts w:ascii="Arial Narrow" w:hAnsi="Arial Narrow" w:eastAsia="仿宋_GB2312" w:cs="Arial"/>
          <w:b/>
          <w:sz w:val="22"/>
        </w:rPr>
        <w:fldChar w:fldCharType="end"/>
      </w:r>
      <w:r>
        <w:rPr>
          <w:rFonts w:ascii="Arial Narrow" w:hAnsi="Arial Narrow" w:eastAsia="仿宋_GB2312" w:cs="Arial"/>
          <w:b/>
          <w:bCs/>
          <w:sz w:val="22"/>
        </w:rPr>
      </w:r>
      <w:r>
        <w:rPr>
          <w:rFonts w:ascii="Arial Narrow" w:hAnsi="Arial Narrow" w:eastAsia="仿宋_GB2312" w:cs="Arial"/>
          <w:b/>
          <w:bCs/>
          <w:sz w:val="22"/>
        </w:rPr>
      </w:r>
    </w:p>
    <w:p>
      <w:pPr>
        <w:pBdr/>
        <w:spacing w:after="240" w:before="240"/>
        <w:ind w:firstLine="475"/>
        <w:jc w:val="center"/>
        <w:rPr>
          <w:rFonts w:ascii="Arial Narrow" w:hAnsi="Arial Narrow" w:eastAsia="仿宋_GB2312" w:cs="Arial"/>
          <w:b/>
          <w:bCs/>
          <w:sz w:val="22"/>
        </w:rPr>
      </w:pPr>
      <w:r>
        <mc:AlternateContent>
          <mc:Choice Requires="wpg">
            <w:drawing>
              <wp:inline xmlns:wp="http://schemas.openxmlformats.org/drawingml/2006/wordprocessingDrawing" distT="0" distB="0" distL="0" distR="0">
                <wp:extent cx="5532755" cy="2164715"/>
                <wp:effectExtent l="0" t="0" r="14604" b="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
                        <pic:cNvPicPr>
                          <a:picLocks noChangeAspect="1"/>
                        </pic:cNvPicPr>
                        <pic:nvPr/>
                      </pic:nvPicPr>
                      <pic:blipFill>
                        <a:blip r:embed="rId36"/>
                        <a:stretch/>
                      </pic:blipFill>
                      <pic:spPr bwMode="auto">
                        <a:xfrm>
                          <a:off x="0" y="0"/>
                          <a:ext cx="5532755" cy="216471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35.65pt;height:170.45pt;mso-wrap-distance-left:0.00pt;mso-wrap-distance-top:0.00pt;mso-wrap-distance-right:0.00pt;mso-wrap-distance-bottom:0.00pt;z-index:1;" stroked="f">
                <v:imagedata r:id="rId36" o:title=""/>
                <o:lock v:ext="edit" rotation="t"/>
              </v:shape>
            </w:pict>
          </mc:Fallback>
        </mc:AlternateContent>
      </w:r>
      <w:r>
        <w:rPr>
          <w:rFonts w:ascii="Arial Narrow" w:hAnsi="Arial Narrow" w:eastAsia="仿宋_GB2312" w:cs="Arial"/>
          <w:b/>
          <w:bCs/>
          <w:sz w:val="22"/>
        </w:rPr>
      </w:r>
    </w:p>
    <w:p>
      <w:pPr>
        <w:pBdr/>
        <w:spacing/>
        <w:ind/>
        <w:rPr>
          <w:rFonts w:ascii="Arial Narrow" w:hAnsi="Arial Narrow" w:eastAsia="仿宋_GB2312" w:cs="Arial"/>
          <w:sz w:val="22"/>
          <w:szCs w:val="22"/>
        </w:rPr>
      </w:pPr>
      <w:r>
        <w:rPr>
          <w:rFonts w:ascii="Arial Narrow" w:hAnsi="Arial Narrow" w:eastAsia="仿宋_GB2312" w:cs="Arial"/>
          <w:i/>
          <w:iCs/>
          <w:sz w:val="16"/>
          <w:szCs w:val="16"/>
        </w:rPr>
        <w:t xml:space="preserve">信息来源：由松莉科技提供</w:t>
      </w:r>
      <w:r>
        <w:rPr>
          <w:rFonts w:ascii="Arial Narrow" w:hAnsi="Arial Narrow" w:eastAsia="仿宋_GB2312" w:cs="Arial"/>
          <w:sz w:val="22"/>
          <w:szCs w:val="22"/>
        </w:rPr>
      </w:r>
    </w:p>
    <w:p>
      <w:pPr>
        <w:pStyle w:val="1325"/>
        <w:pBdr/>
        <w:spacing/>
        <w:ind/>
        <w:rPr>
          <w:b/>
          <w:bCs/>
        </w:rPr>
      </w:pPr>
      <w:r/>
      <w:bookmarkStart w:id="355" w:name="_Toc53067913"/>
      <w:r/>
      <w:bookmarkStart w:id="356" w:name="_Toc53047075"/>
      <w:r/>
      <w:bookmarkStart w:id="357" w:name="_Toc53068720"/>
      <w:r/>
      <w:bookmarkStart w:id="358" w:name="_Toc53068056"/>
      <w:r/>
      <w:bookmarkStart w:id="359" w:name="_Toc53046609"/>
      <w:r/>
      <w:bookmarkStart w:id="360" w:name="_Toc53046608"/>
      <w:r/>
      <w:bookmarkStart w:id="361" w:name="_Toc53068233"/>
      <w:r/>
      <w:bookmarkStart w:id="362" w:name="_Toc53047073"/>
      <w:r/>
      <w:bookmarkStart w:id="363" w:name="_Toc53068441"/>
      <w:r/>
      <w:bookmarkStart w:id="364" w:name="_Toc53068580"/>
      <w:r/>
      <w:bookmarkStart w:id="365" w:name="_Toc53068054"/>
      <w:r/>
      <w:bookmarkStart w:id="366" w:name="_Toc53046758"/>
      <w:r/>
      <w:bookmarkStart w:id="367" w:name="_Toc53068234"/>
      <w:r/>
      <w:bookmarkStart w:id="368" w:name="_Toc53068579"/>
      <w:r/>
      <w:bookmarkStart w:id="369" w:name="_Toc53068581"/>
      <w:r/>
      <w:bookmarkStart w:id="370" w:name="_Toc53068719"/>
      <w:r/>
      <w:bookmarkStart w:id="371" w:name="_Toc53046760"/>
      <w:r/>
      <w:bookmarkStart w:id="372" w:name="_Toc53068439"/>
      <w:r/>
      <w:bookmarkStart w:id="373" w:name="_Toc53068055"/>
      <w:r/>
      <w:bookmarkStart w:id="374" w:name="_Toc53046607"/>
      <w:r/>
      <w:bookmarkStart w:id="375" w:name="_Toc53067912"/>
      <w:r/>
      <w:bookmarkStart w:id="376" w:name="_Toc53046759"/>
      <w:r/>
      <w:bookmarkStart w:id="377" w:name="_Toc53068232"/>
      <w:r/>
      <w:bookmarkStart w:id="378" w:name="_Toc53068440"/>
      <w:r/>
      <w:bookmarkStart w:id="379" w:name="_Toc53067914"/>
      <w:r/>
      <w:bookmarkStart w:id="380" w:name="_Toc53068718"/>
      <w:r/>
      <w:bookmarkStart w:id="381" w:name="_Toc53047074"/>
      <w:r/>
      <w:bookmarkStart w:id="382" w:name="_Toc53229071"/>
      <w:r/>
      <w:bookmarkStart w:id="383" w:name="_Toc140505125"/>
      <w:r/>
      <w:bookmarkEnd w:id="355"/>
      <w:r/>
      <w:bookmarkEnd w:id="356"/>
      <w:r/>
      <w:bookmarkEnd w:id="357"/>
      <w:r/>
      <w:bookmarkEnd w:id="358"/>
      <w:r/>
      <w:bookmarkEnd w:id="359"/>
      <w:r/>
      <w:bookmarkEnd w:id="360"/>
      <w:r/>
      <w:bookmarkEnd w:id="361"/>
      <w:r/>
      <w:bookmarkEnd w:id="362"/>
      <w:r/>
      <w:bookmarkEnd w:id="363"/>
      <w:r/>
      <w:bookmarkEnd w:id="364"/>
      <w:r/>
      <w:bookmarkEnd w:id="365"/>
      <w:r/>
      <w:bookmarkEnd w:id="366"/>
      <w:r/>
      <w:bookmarkEnd w:id="367"/>
      <w:r/>
      <w:bookmarkEnd w:id="368"/>
      <w:r/>
      <w:bookmarkEnd w:id="369"/>
      <w:r/>
      <w:bookmarkEnd w:id="370"/>
      <w:r/>
      <w:bookmarkEnd w:id="371"/>
      <w:r/>
      <w:bookmarkEnd w:id="372"/>
      <w:r/>
      <w:bookmarkEnd w:id="373"/>
      <w:r/>
      <w:bookmarkEnd w:id="374"/>
      <w:r/>
      <w:bookmarkEnd w:id="375"/>
      <w:r/>
      <w:bookmarkEnd w:id="376"/>
      <w:r/>
      <w:bookmarkEnd w:id="377"/>
      <w:r/>
      <w:bookmarkEnd w:id="378"/>
      <w:r/>
      <w:bookmarkEnd w:id="379"/>
      <w:r/>
      <w:bookmarkEnd w:id="380"/>
      <w:r/>
      <w:bookmarkEnd w:id="381"/>
      <w:r>
        <w:t xml:space="preserve">交易明细</w:t>
      </w:r>
      <w:bookmarkEnd w:id="382"/>
      <w:r/>
      <w:bookmarkEnd w:id="383"/>
      <w:r/>
      <w:r>
        <w:rPr>
          <w:b/>
          <w:bCs/>
        </w:rPr>
      </w:r>
    </w:p>
    <w:p>
      <w:pPr>
        <w:pBdr/>
        <w:spacing w:after="180" w:before="180" w:line="360" w:lineRule="auto"/>
        <w:ind w:firstLine="440"/>
        <w:jc w:val="both"/>
        <w:rPr>
          <w:rFonts w:ascii="Arial Narrow" w:hAnsi="Arial Narrow" w:eastAsia="仿宋_GB2312" w:cs="Arial"/>
          <w:sz w:val="22"/>
          <w:szCs w:val="22"/>
        </w:rPr>
      </w:pPr>
      <w:r/>
      <w:bookmarkStart w:id="384" w:name="_Toc50039003"/>
      <w:r/>
      <w:bookmarkStart w:id="385" w:name="_Toc50039000"/>
      <w:r/>
      <w:bookmarkStart w:id="386" w:name="_Toc49961739"/>
      <w:r/>
      <w:bookmarkStart w:id="387" w:name="_Toc49961722"/>
      <w:r/>
      <w:bookmarkStart w:id="388" w:name="_Toc50477773"/>
      <w:r/>
      <w:bookmarkStart w:id="389" w:name="_Toc50477752"/>
      <w:r/>
      <w:bookmarkStart w:id="390" w:name="_Toc50477749"/>
      <w:r/>
      <w:bookmarkStart w:id="391" w:name="_Toc50039004"/>
      <w:r/>
      <w:bookmarkStart w:id="392" w:name="_Toc50477751"/>
      <w:r/>
      <w:bookmarkStart w:id="393" w:name="_Toc50039020"/>
      <w:r/>
      <w:bookmarkStart w:id="394" w:name="_Toc50039035"/>
      <w:r/>
      <w:bookmarkStart w:id="395" w:name="_Toc49961734"/>
      <w:r/>
      <w:bookmarkStart w:id="396" w:name="_Toc50477763"/>
      <w:r/>
      <w:bookmarkStart w:id="397" w:name="_Toc50039040"/>
      <w:r/>
      <w:bookmarkStart w:id="398" w:name="_Toc50477788"/>
      <w:r/>
      <w:bookmarkStart w:id="399" w:name="_Toc50477778"/>
      <w:r/>
      <w:bookmarkStart w:id="400" w:name="_Toc50477768"/>
      <w:r/>
      <w:bookmarkStart w:id="401" w:name="_Toc50477750"/>
      <w:r/>
      <w:bookmarkStart w:id="402" w:name="_Toc49961721"/>
      <w:r/>
      <w:bookmarkStart w:id="403" w:name="_Toc50039002"/>
      <w:r/>
      <w:bookmarkStart w:id="404" w:name="_Toc50039001"/>
      <w:r/>
      <w:bookmarkStart w:id="405" w:name="_Toc49961719"/>
      <w:r/>
      <w:bookmarkStart w:id="406" w:name="_Toc49961720"/>
      <w:r/>
      <w:bookmarkStart w:id="407" w:name="_Toc50039015"/>
      <w:r/>
      <w:bookmarkStart w:id="408" w:name="_Toc49961744"/>
      <w:r/>
      <w:bookmarkStart w:id="409" w:name="_Toc49961754"/>
      <w:r/>
      <w:bookmarkStart w:id="410" w:name="_Toc50039025"/>
      <w:r/>
      <w:bookmarkStart w:id="411" w:name="_Toc50477748"/>
      <w:r/>
      <w:bookmarkStart w:id="412" w:name="_Toc50477783"/>
      <w:r/>
      <w:bookmarkStart w:id="413" w:name="_Toc50039030"/>
      <w:r/>
      <w:bookmarkStart w:id="414" w:name="_Toc49961759"/>
      <w:r/>
      <w:bookmarkStart w:id="415" w:name="_Toc49961749"/>
      <w:r/>
      <w:bookmarkStart w:id="416" w:name="_Toc49961773"/>
      <w:r/>
      <w:bookmarkStart w:id="417" w:name="_Toc50477802"/>
      <w:r/>
      <w:bookmarkStart w:id="418" w:name="_Toc50039054"/>
      <w:r/>
      <w:bookmarkStart w:id="419" w:name="_Toc49961723"/>
      <w:r/>
      <w:bookmarkStart w:id="420" w:name="_Toc48317437"/>
      <w:r/>
      <w:bookmarkEnd w:id="384"/>
      <w:r/>
      <w:bookmarkEnd w:id="385"/>
      <w:r/>
      <w:bookmarkEnd w:id="386"/>
      <w:r/>
      <w:bookmarkEnd w:id="387"/>
      <w:r/>
      <w:bookmarkEnd w:id="388"/>
      <w:r/>
      <w:bookmarkEnd w:id="389"/>
      <w:r/>
      <w:bookmarkEnd w:id="390"/>
      <w:r/>
      <w:bookmarkEnd w:id="391"/>
      <w:r/>
      <w:bookmarkEnd w:id="392"/>
      <w:r/>
      <w:bookmarkEnd w:id="393"/>
      <w:r/>
      <w:bookmarkEnd w:id="394"/>
      <w:r/>
      <w:bookmarkEnd w:id="395"/>
      <w:r/>
      <w:bookmarkEnd w:id="396"/>
      <w:r/>
      <w:bookmarkEnd w:id="397"/>
      <w:r/>
      <w:bookmarkEnd w:id="398"/>
      <w:r/>
      <w:bookmarkEnd w:id="399"/>
      <w:r/>
      <w:bookmarkEnd w:id="400"/>
      <w:r/>
      <w:bookmarkEnd w:id="401"/>
      <w:r/>
      <w:bookmarkEnd w:id="402"/>
      <w:r/>
      <w:bookmarkEnd w:id="403"/>
      <w:r/>
      <w:bookmarkEnd w:id="404"/>
      <w:r/>
      <w:bookmarkEnd w:id="405"/>
      <w:r/>
      <w:bookmarkEnd w:id="406"/>
      <w:r/>
      <w:bookmarkEnd w:id="407"/>
      <w:r/>
      <w:bookmarkEnd w:id="408"/>
      <w:r/>
      <w:bookmarkEnd w:id="409"/>
      <w:r/>
      <w:bookmarkEnd w:id="410"/>
      <w:r/>
      <w:bookmarkEnd w:id="411"/>
      <w:r/>
      <w:bookmarkEnd w:id="412"/>
      <w:r/>
      <w:bookmarkEnd w:id="413"/>
      <w:r/>
      <w:bookmarkEnd w:id="414"/>
      <w:r/>
      <w:bookmarkEnd w:id="415"/>
      <w:r/>
      <w:bookmarkEnd w:id="416"/>
      <w:r/>
      <w:bookmarkEnd w:id="417"/>
      <w:r/>
      <w:bookmarkEnd w:id="418"/>
      <w:r/>
      <w:bookmarkEnd w:id="419"/>
      <w:r>
        <w:rPr>
          <w:rFonts w:ascii="Arial Narrow" w:hAnsi="Arial Narrow" w:eastAsia="仿宋_GB2312" w:cs="Arial"/>
          <w:sz w:val="22"/>
          <w:szCs w:val="22"/>
        </w:rPr>
        <w:t xml:space="preserve">评估期间，松莉科技关联购销的关联方和交易金额如下表所示：</w:t>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r>
      <w:r>
        <w:rPr>
          <w:rFonts w:ascii="Arial Narrow" w:hAnsi="Arial Narrow" w:eastAsia="仿宋_GB2312" w:cs="Arial"/>
          <w:sz w:val="22"/>
          <w:szCs w:val="22"/>
        </w:rPr>
      </w:r>
    </w:p>
    <w:p>
      <w:pPr>
        <w:pStyle w:val="1338"/>
        <w:pBdr/>
        <w:spacing/>
        <w:ind w:hanging="420" w:left="420"/>
        <w:jc w:val="center"/>
        <w:rPr>
          <w:rFonts w:ascii="Arial Narrow" w:hAnsi="Arial Narrow" w:eastAsia="仿宋_GB2312" w:cs="Arial"/>
          <w:sz w:val="22"/>
        </w:rPr>
      </w:pPr>
      <w:r>
        <w:rPr>
          <w:rFonts w:hint="eastAsia" w:ascii="Arial Narrow" w:hAnsi="Arial Narrow" w:eastAsia="仿宋_GB2312" w:cs="Arial"/>
          <w:sz w:val="22"/>
        </w:rPr>
        <w:t xml:space="preserve">图表 11：2023年度关联购销明细表</w:t>
      </w:r>
      <w:r>
        <w:rPr>
          <w:rFonts w:ascii="Arial Narrow" w:hAnsi="Arial Narrow" w:eastAsia="仿宋_GB2312" w:cs="Arial"/>
          <w:sz w:val="22"/>
        </w:rPr>
        <w:fldChar w:fldCharType="begin"/>
      </w:r>
      <w:r>
        <w:rPr>
          <w:rFonts w:ascii="Arial Narrow" w:hAnsi="Arial Narrow" w:eastAsia="仿宋_GB2312" w:cs="Arial"/>
          <w:sz w:val="22"/>
        </w:rPr>
        <w:instrText xml:space="preserve"> SEQ </w:instrText>
      </w:r>
      <w:r>
        <w:rPr>
          <w:rFonts w:hint="eastAsia" w:ascii="Arial Narrow" w:hAnsi="Arial Narrow" w:eastAsia="仿宋_GB2312" w:cs="Arial"/>
          <w:sz w:val="22"/>
        </w:rPr>
        <w:instrText xml:space="preserve">图表</w:instrText>
      </w:r>
      <w:r>
        <w:rPr>
          <w:rFonts w:ascii="Arial Narrow" w:hAnsi="Arial Narrow" w:eastAsia="仿宋_GB2312" w:cs="Arial"/>
          <w:sz w:val="22"/>
        </w:rPr>
        <w:instrText xml:space="preserve"> \* ARABIC </w:instrText>
      </w:r>
      <w:r>
        <w:rPr>
          <w:rFonts w:ascii="Arial Narrow" w:hAnsi="Arial Narrow" w:eastAsia="仿宋_GB2312" w:cs="Arial"/>
          <w:sz w:val="22"/>
        </w:rPr>
        <w:fldChar w:fldCharType="separate"/>
      </w:r>
      <w:r>
        <w:rPr>
          <w:rFonts w:ascii="Arial Narrow" w:hAnsi="Arial Narrow" w:eastAsia="仿宋_GB2312" w:cs="Arial"/>
          <w:sz w:val="22"/>
        </w:rPr>
        <w:fldChar w:fldCharType="end"/>
      </w:r>
      <w:r>
        <w:rPr>
          <w:rFonts w:hint="eastAsia" w:ascii="Arial Narrow" w:hAnsi="Arial Narrow" w:eastAsia="仿宋_GB2312" w:cs="Arial"/>
          <w:sz w:val="22"/>
        </w:rPr>
      </w:r>
      <w:r>
        <w:rPr>
          <w:rFonts w:ascii="Arial Narrow" w:hAnsi="Arial Narrow" w:eastAsia="仿宋_GB2312" w:cs="Arial"/>
          <w:sz w:val="22"/>
        </w:rPr>
      </w:r>
    </w:p>
    <w:tbl>
      <w:tblPr>
        <w:tblW w:w="8495" w:type="dxa"/>
        <w:tblBorders/>
        <w:tblLayout w:type="fixed"/>
        <w:tblLook w:val="04A0" w:firstRow="1" w:lastRow="0" w:firstColumn="1" w:lastColumn="0" w:noHBand="0" w:noVBand="1"/>
      </w:tblPr>
      <w:tblGrid>
        <w:gridCol w:w="699"/>
        <w:gridCol w:w="3969"/>
        <w:gridCol w:w="2200"/>
        <w:gridCol w:w="1627"/>
      </w:tblGrid>
      <w:tr>
        <w:trPr>
          <w:trHeight w:val="615"/>
          <w:tblHeader/>
        </w:trPr>
        <w:tc>
          <w:tcPr>
            <w:gridSpan w:val="2"/>
            <w:shd w:val="clear" w:color="auto" w:fill="002060"/>
            <w:tcBorders>
              <w:top w:val="single" w:color="auto" w:sz="8" w:space="0"/>
              <w:left w:val="single" w:color="auto" w:sz="8" w:space="0"/>
              <w:bottom w:val="single" w:color="auto" w:sz="8" w:space="0"/>
              <w:right w:val="single" w:color="auto" w:sz="8" w:space="0"/>
            </w:tcBorders>
            <w:tcW w:w="4668" w:type="dxa"/>
            <w:vAlign w:val="center"/>
            <w:textDirection w:val="lrTb"/>
            <w:noWrap w:val="false"/>
          </w:tcPr>
          <w:p>
            <w:pPr>
              <w:pBdr/>
              <w:spacing/>
              <w:ind/>
              <w:jc w:val="center"/>
              <w:rPr>
                <w:rFonts w:ascii="Arial Narrow" w:hAnsi="Arial Narrow" w:eastAsia="仿宋_GB2312" w:cs="Arial"/>
                <w:b/>
                <w:bCs/>
                <w:color w:val="ffffff"/>
                <w:sz w:val="22"/>
                <w:szCs w:val="22"/>
              </w:rPr>
            </w:pPr>
            <w:r>
              <w:rPr>
                <w:rFonts w:ascii="Arial Narrow" w:hAnsi="Arial Narrow" w:eastAsia="仿宋_GB2312" w:cs="Arial"/>
                <w:b/>
                <w:bCs/>
                <w:color w:val="ffffff"/>
                <w:sz w:val="22"/>
                <w:szCs w:val="22"/>
              </w:rPr>
              <w:t xml:space="preserve">关联方名称</w:t>
            </w:r>
            <w:r>
              <w:rPr>
                <w:rFonts w:ascii="Arial Narrow" w:hAnsi="Arial Narrow" w:eastAsia="仿宋_GB2312" w:cs="Arial"/>
                <w:b/>
                <w:bCs/>
                <w:color w:val="ffffff"/>
                <w:sz w:val="22"/>
                <w:szCs w:val="22"/>
              </w:rPr>
            </w:r>
          </w:p>
        </w:tc>
        <w:tc>
          <w:tcPr>
            <w:shd w:val="clear" w:color="auto" w:fill="002060"/>
            <w:tcBorders>
              <w:top w:val="single" w:color="auto" w:sz="8" w:space="0"/>
              <w:left w:val="single" w:color="auto" w:sz="8" w:space="0"/>
              <w:bottom w:val="single" w:color="auto" w:sz="8" w:space="0"/>
              <w:right w:val="single" w:color="auto" w:sz="8" w:space="0"/>
            </w:tcBorders>
            <w:tcW w:w="2200" w:type="dxa"/>
            <w:vAlign w:val="center"/>
            <w:textDirection w:val="lrTb"/>
            <w:noWrap w:val="false"/>
          </w:tcPr>
          <w:p>
            <w:pPr>
              <w:pBdr/>
              <w:spacing/>
              <w:ind/>
              <w:jc w:val="center"/>
              <w:rPr>
                <w:rFonts w:ascii="Arial Narrow" w:hAnsi="Arial Narrow" w:eastAsia="仿宋_GB2312" w:cs="Arial"/>
                <w:b/>
                <w:bCs/>
                <w:color w:val="ffffff"/>
                <w:sz w:val="22"/>
                <w:szCs w:val="22"/>
              </w:rPr>
            </w:pPr>
            <w:r>
              <w:rPr>
                <w:rFonts w:ascii="Arial Narrow" w:hAnsi="Arial Narrow" w:eastAsia="仿宋_GB2312" w:cs="Arial"/>
                <w:b/>
                <w:bCs/>
                <w:color w:val="ffffff"/>
                <w:sz w:val="22"/>
                <w:szCs w:val="22"/>
              </w:rPr>
              <w:t xml:space="preserve">交易金额</w:t>
            </w:r>
            <w:r>
              <w:rPr>
                <w:rFonts w:ascii="Arial Narrow" w:hAnsi="Arial Narrow" w:eastAsia="仿宋_GB2312" w:cs="Arial"/>
                <w:b/>
                <w:bCs/>
                <w:color w:val="ffffff"/>
                <w:sz w:val="22"/>
                <w:szCs w:val="22"/>
              </w:rPr>
            </w:r>
          </w:p>
        </w:tc>
        <w:tc>
          <w:tcPr>
            <w:shd w:val="clear" w:color="auto" w:fill="002060"/>
            <w:tcBorders>
              <w:top w:val="single" w:color="auto" w:sz="8" w:space="0"/>
              <w:left w:val="single" w:color="auto" w:sz="8" w:space="0"/>
              <w:bottom w:val="single" w:color="auto" w:sz="8" w:space="0"/>
              <w:right w:val="single" w:color="auto" w:sz="8" w:space="0"/>
            </w:tcBorders>
            <w:tcW w:w="1627" w:type="dxa"/>
            <w:vAlign w:val="center"/>
            <w:textDirection w:val="lrTb"/>
            <w:noWrap w:val="false"/>
          </w:tcPr>
          <w:p>
            <w:pPr>
              <w:pBdr/>
              <w:spacing/>
              <w:ind/>
              <w:jc w:val="center"/>
              <w:rPr>
                <w:rFonts w:ascii="Arial Narrow" w:hAnsi="Arial Narrow" w:eastAsia="仿宋_GB2312" w:cs="Arial"/>
                <w:b/>
                <w:bCs/>
                <w:color w:val="ffffff"/>
                <w:sz w:val="22"/>
                <w:szCs w:val="22"/>
              </w:rPr>
            </w:pPr>
            <w:r>
              <w:rPr>
                <w:rFonts w:ascii="Arial Narrow" w:hAnsi="Arial Narrow" w:eastAsia="仿宋_GB2312" w:cs="Arial"/>
                <w:b/>
                <w:bCs/>
                <w:color w:val="ffffff"/>
                <w:sz w:val="22"/>
                <w:szCs w:val="22"/>
              </w:rPr>
              <w:t xml:space="preserve">占采购、销售总额比例(%)</w:t>
            </w:r>
            <w:r>
              <w:rPr>
                <w:rFonts w:ascii="Arial Narrow" w:hAnsi="Arial Narrow" w:eastAsia="仿宋_GB2312" w:cs="Arial"/>
                <w:b/>
                <w:bCs/>
                <w:color w:val="ffffff"/>
                <w:sz w:val="22"/>
                <w:szCs w:val="22"/>
              </w:rPr>
            </w:r>
            <w:r>
              <w:rPr>
                <w:rFonts w:ascii="Arial Narrow" w:hAnsi="Arial Narrow" w:eastAsia="仿宋_GB2312" w:cs="Arial"/>
                <w:b/>
                <w:bCs/>
                <w:color w:val="ffffff"/>
                <w:sz w:val="22"/>
                <w:szCs w:val="22"/>
              </w:rPr>
            </w:r>
          </w:p>
        </w:tc>
      </w:tr>
      <w:tr>
        <w:trPr>
          <w:trHeight w:val="340"/>
        </w:trPr>
        <w:tc>
          <w:tcPr>
            <w:shd w:val="clear" w:color="auto" w:fill="auto"/>
            <w:tcBorders>
              <w:top w:val="none" w:color="000000" w:sz="4" w:space="0"/>
              <w:left w:val="single" w:color="auto" w:sz="8" w:space="0"/>
              <w:right w:val="single" w:color="auto" w:sz="8" w:space="0"/>
            </w:tcBorders>
            <w:tcW w:w="699" w:type="dxa"/>
            <w:vAlign w:val="center"/>
            <w:vMerge w:val="restart"/>
            <w:textDirection w:val="lrTb"/>
            <w:noWrap w:val="false"/>
          </w:tcPr>
          <w:p>
            <w:pPr>
              <w:pBdr/>
              <w:spacing/>
              <w:ind/>
              <w:jc w:val="center"/>
              <w:rPr>
                <w:rFonts w:ascii="Arial Narrow" w:hAnsi="Arial Narrow" w:eastAsia="仿宋_GB2312" w:cs="Arial"/>
                <w:color w:val="000000"/>
                <w:sz w:val="22"/>
                <w:szCs w:val="22"/>
              </w:rPr>
            </w:pPr>
            <w:r>
              <w:rPr>
                <w:rFonts w:ascii="Arial Narrow" w:hAnsi="Arial Narrow" w:eastAsia="仿宋_GB2312" w:cs="Arial"/>
                <w:color w:val="000000"/>
                <w:sz w:val="22"/>
                <w:szCs w:val="22"/>
              </w:rPr>
              <w:t xml:space="preserve">关联</w:t>
            </w:r>
            <w:r>
              <w:rPr>
                <w:rFonts w:ascii="Arial Narrow" w:hAnsi="Arial Narrow" w:eastAsia="仿宋_GB2312" w:cs="Arial"/>
                <w:color w:val="000000"/>
                <w:sz w:val="22"/>
                <w:szCs w:val="22"/>
              </w:rPr>
            </w:r>
          </w:p>
          <w:p>
            <w:pPr>
              <w:pBdr/>
              <w:spacing/>
              <w:ind/>
              <w:jc w:val="center"/>
              <w:rPr>
                <w:rFonts w:ascii="Arial Narrow" w:hAnsi="Arial Narrow" w:eastAsia="仿宋_GB2312" w:cs="Arial"/>
                <w:color w:val="000000"/>
                <w:sz w:val="22"/>
                <w:szCs w:val="22"/>
              </w:rPr>
            </w:pPr>
            <w:r>
              <w:rPr>
                <w:rFonts w:ascii="Arial Narrow" w:hAnsi="Arial Narrow" w:eastAsia="仿宋_GB2312" w:cs="Arial"/>
                <w:color w:val="000000"/>
                <w:sz w:val="22"/>
                <w:szCs w:val="22"/>
              </w:rPr>
              <w:t xml:space="preserve">采购</w:t>
            </w:r>
            <w:r>
              <w:rPr>
                <w:rFonts w:ascii="Arial Narrow" w:hAnsi="Arial Narrow" w:eastAsia="仿宋_GB2312" w:cs="Arial"/>
                <w:color w:val="000000"/>
                <w:sz w:val="22"/>
                <w:szCs w:val="22"/>
              </w:rPr>
            </w:r>
          </w:p>
        </w:tc>
        <w:tc>
          <w:tcPr>
            <w:shd w:val="clear" w:color="auto" w:fill="auto"/>
            <w:tcBorders>
              <w:top w:val="single" w:color="auto" w:sz="8" w:space="0"/>
              <w:left w:val="single" w:color="auto" w:sz="4" w:space="0"/>
              <w:bottom w:val="single" w:color="auto" w:sz="8" w:space="0"/>
              <w:right w:val="single" w:color="auto" w:sz="8" w:space="0"/>
            </w:tcBorders>
            <w:tcW w:w="3969" w:type="dxa"/>
            <w:vAlign w:val="center"/>
            <w:textDirection w:val="lrTb"/>
            <w:noWrap w:val="false"/>
          </w:tcPr>
          <w:p>
            <w:pPr>
              <w:pBdr/>
              <w:spacing/>
              <w:ind/>
              <w:jc w:val="both"/>
              <w:rPr>
                <w:rFonts w:ascii="Arial Narrow" w:hAnsi="Arial Narrow" w:eastAsia="仿宋_GB2312" w:cs="Arial"/>
                <w:color w:val="000000"/>
                <w:sz w:val="22"/>
                <w:szCs w:val="22"/>
              </w:rPr>
            </w:pPr>
            <w:r>
              <w:rPr>
                <w:rFonts w:ascii="Arial Narrow" w:hAnsi="Arial Narrow" w:eastAsia="仿宋_GB2312" w:cs="Arial"/>
                <w:color w:val="000000"/>
                <w:sz w:val="22"/>
                <w:szCs w:val="22"/>
              </w:rPr>
              <w:t xml:space="preserve">Markwins International Corporation Limited</w:t>
            </w:r>
            <w:r>
              <w:rPr>
                <w:rFonts w:ascii="Arial Narrow" w:hAnsi="Arial Narrow" w:eastAsia="仿宋_GB2312" w:cs="Arial"/>
                <w:color w:val="000000"/>
                <w:sz w:val="22"/>
                <w:szCs w:val="22"/>
              </w:rPr>
            </w:r>
          </w:p>
        </w:tc>
        <w:tc>
          <w:tcPr>
            <w:shd w:val="clear" w:color="auto" w:fill="auto"/>
            <w:tcBorders>
              <w:top w:val="single" w:color="auto" w:sz="8" w:space="0"/>
              <w:left w:val="single" w:color="auto" w:sz="8" w:space="0"/>
              <w:bottom w:val="single" w:color="auto" w:sz="8" w:space="0"/>
              <w:right w:val="single" w:color="auto" w:sz="8" w:space="0"/>
            </w:tcBorders>
            <w:tcW w:w="2200" w:type="dxa"/>
            <w:vAlign w:val="center"/>
            <w:textDirection w:val="lrTb"/>
            <w:noWrap w:val="false"/>
          </w:tcPr>
          <w:p>
            <w:pPr>
              <w:pBdr/>
              <w:spacing/>
              <w:ind/>
              <w:jc w:val="right"/>
              <w:rPr>
                <w:rFonts w:ascii="Arial Narrow" w:hAnsi="Arial Narrow" w:eastAsia="仿宋_GB2312" w:cs="Arial"/>
                <w:color w:val="000000"/>
                <w:sz w:val="22"/>
                <w:szCs w:val="22"/>
              </w:rPr>
            </w:pPr>
            <w:r>
              <w:rPr>
                <w:rFonts w:ascii="Arial Narrow" w:hAnsi="Arial Narrow" w:eastAsia="仿宋_GB2312" w:cs="Arial"/>
                <w:color w:val="000000"/>
                <w:sz w:val="22"/>
                <w:szCs w:val="22"/>
              </w:rPr>
              <w:t xml:space="preserve">19,022,714.40</w:t>
            </w:r>
            <w:r>
              <w:rPr>
                <w:rFonts w:ascii="Arial Narrow" w:hAnsi="Arial Narrow" w:eastAsia="仿宋_GB2312" w:cs="Arial"/>
                <w:color w:val="000000"/>
                <w:sz w:val="22"/>
                <w:szCs w:val="22"/>
              </w:rPr>
            </w:r>
          </w:p>
        </w:tc>
        <w:tc>
          <w:tcPr>
            <w:shd w:val="clear" w:color="auto" w:fill="auto"/>
            <w:tcBorders>
              <w:top w:val="single" w:color="auto" w:sz="8" w:space="0"/>
              <w:left w:val="single" w:color="auto" w:sz="8" w:space="0"/>
              <w:bottom w:val="single" w:color="auto" w:sz="8" w:space="0"/>
              <w:right w:val="single" w:color="auto" w:sz="8" w:space="0"/>
            </w:tcBorders>
            <w:tcW w:w="1627" w:type="dxa"/>
            <w:vAlign w:val="center"/>
            <w:textDirection w:val="lrTb"/>
            <w:noWrap w:val="false"/>
          </w:tcPr>
          <w:p>
            <w:pPr>
              <w:pBdr/>
              <w:spacing/>
              <w:ind/>
              <w:jc w:val="right"/>
              <w:rPr>
                <w:rFonts w:ascii="Arial Narrow" w:hAnsi="Arial Narrow" w:eastAsia="仿宋_GB2312" w:cs="Arial"/>
                <w:color w:val="000000"/>
                <w:sz w:val="22"/>
                <w:szCs w:val="22"/>
              </w:rPr>
            </w:pPr>
            <w:r>
              <w:rPr>
                <w:rFonts w:hint="eastAsia" w:ascii="Arial Narrow" w:hAnsi="Arial Narrow" w:eastAsia="仿宋_GB2312" w:cs="Arial"/>
                <w:color w:val="000000"/>
                <w:sz w:val="22"/>
                <w:szCs w:val="22"/>
              </w:rPr>
              <w:t xml:space="preserve">6.44%</w:t>
            </w:r>
            <w:r>
              <w:rPr>
                <w:rFonts w:ascii="Arial Narrow" w:hAnsi="Arial Narrow" w:eastAsia="仿宋_GB2312" w:cs="Arial"/>
                <w:color w:val="000000"/>
                <w:sz w:val="22"/>
                <w:szCs w:val="22"/>
              </w:rPr>
            </w:r>
          </w:p>
        </w:tc>
      </w:tr>
      <w:tr>
        <w:trPr>
          <w:trHeight w:val="340"/>
        </w:trPr>
        <w:tc>
          <w:tcPr>
            <w:shd w:val="clear" w:color="auto" w:fill="auto"/>
            <w:tcBorders>
              <w:left w:val="single" w:color="auto" w:sz="8" w:space="0"/>
              <w:bottom w:val="single" w:color="000000" w:sz="8" w:space="0"/>
              <w:right w:val="single" w:color="auto" w:sz="8" w:space="0"/>
            </w:tcBorders>
            <w:tcW w:w="699" w:type="dxa"/>
            <w:vAlign w:val="center"/>
            <w:vMerge w:val="continue"/>
            <w:textDirection w:val="lrTb"/>
            <w:noWrap w:val="false"/>
          </w:tcPr>
          <w:p>
            <w:pPr>
              <w:pBdr/>
              <w:spacing/>
              <w:ind/>
              <w:rPr>
                <w:rFonts w:ascii="Arial Narrow" w:hAnsi="Arial Narrow" w:eastAsia="仿宋_GB2312" w:cs="Arial"/>
                <w:color w:val="000000"/>
                <w:sz w:val="22"/>
                <w:szCs w:val="22"/>
              </w:rPr>
            </w:pPr>
            <w:r>
              <w:rPr>
                <w:rFonts w:ascii="Arial Narrow" w:hAnsi="Arial Narrow" w:eastAsia="仿宋_GB2312" w:cs="Arial"/>
                <w:color w:val="000000"/>
                <w:sz w:val="22"/>
                <w:szCs w:val="22"/>
              </w:rPr>
            </w:r>
            <w:r>
              <w:rPr>
                <w:rFonts w:ascii="Arial Narrow" w:hAnsi="Arial Narrow" w:eastAsia="仿宋_GB2312" w:cs="Arial"/>
                <w:color w:val="000000"/>
                <w:sz w:val="22"/>
                <w:szCs w:val="22"/>
              </w:rPr>
            </w:r>
          </w:p>
        </w:tc>
        <w:tc>
          <w:tcPr>
            <w:shd w:val="clear" w:color="auto" w:fill="auto"/>
            <w:tcBorders>
              <w:top w:val="single" w:color="auto" w:sz="8" w:space="0"/>
              <w:left w:val="single" w:color="auto" w:sz="4" w:space="0"/>
              <w:bottom w:val="single" w:color="auto" w:sz="8" w:space="0"/>
              <w:right w:val="single" w:color="auto" w:sz="8" w:space="0"/>
            </w:tcBorders>
            <w:tcW w:w="3969" w:type="dxa"/>
            <w:vAlign w:val="center"/>
            <w:textDirection w:val="lrTb"/>
            <w:noWrap w:val="false"/>
          </w:tcPr>
          <w:p>
            <w:pPr>
              <w:pBdr/>
              <w:spacing/>
              <w:ind/>
              <w:jc w:val="both"/>
              <w:rPr>
                <w:rFonts w:ascii="Arial Narrow" w:hAnsi="Arial Narrow" w:eastAsia="仿宋_GB2312" w:cs="Arial"/>
                <w:color w:val="000000"/>
                <w:sz w:val="22"/>
                <w:szCs w:val="22"/>
              </w:rPr>
            </w:pPr>
            <w:r>
              <w:rPr>
                <w:rFonts w:ascii="Arial Narrow" w:hAnsi="Arial Narrow" w:eastAsia="仿宋_GB2312" w:cs="Arial"/>
                <w:color w:val="000000"/>
                <w:sz w:val="22"/>
                <w:szCs w:val="22"/>
              </w:rPr>
              <w:t xml:space="preserve">Pro Art Cosmetics Limited</w:t>
            </w:r>
            <w:r>
              <w:rPr>
                <w:rFonts w:ascii="Arial Narrow" w:hAnsi="Arial Narrow" w:eastAsia="仿宋_GB2312" w:cs="Arial"/>
                <w:color w:val="000000"/>
                <w:sz w:val="22"/>
                <w:szCs w:val="22"/>
              </w:rPr>
            </w:r>
          </w:p>
        </w:tc>
        <w:tc>
          <w:tcPr>
            <w:shd w:val="clear" w:color="auto" w:fill="auto"/>
            <w:tcBorders>
              <w:top w:val="single" w:color="auto" w:sz="8" w:space="0"/>
              <w:left w:val="single" w:color="auto" w:sz="8" w:space="0"/>
              <w:bottom w:val="single" w:color="auto" w:sz="8" w:space="0"/>
              <w:right w:val="single" w:color="auto" w:sz="8" w:space="0"/>
            </w:tcBorders>
            <w:tcW w:w="2200" w:type="dxa"/>
            <w:vAlign w:val="center"/>
            <w:textDirection w:val="lrTb"/>
            <w:noWrap w:val="false"/>
          </w:tcPr>
          <w:p>
            <w:pPr>
              <w:pBdr/>
              <w:spacing/>
              <w:ind/>
              <w:jc w:val="right"/>
              <w:rPr>
                <w:rFonts w:ascii="Arial Narrow" w:hAnsi="Arial Narrow" w:eastAsia="仿宋_GB2312" w:cs="Arial"/>
                <w:color w:val="000000"/>
                <w:sz w:val="22"/>
                <w:szCs w:val="22"/>
              </w:rPr>
            </w:pPr>
            <w:r>
              <w:rPr>
                <w:rFonts w:ascii="Arial Narrow" w:hAnsi="Arial Narrow" w:eastAsia="仿宋_GB2312" w:cs="Arial"/>
                <w:color w:val="000000"/>
                <w:sz w:val="22"/>
                <w:szCs w:val="22"/>
              </w:rPr>
              <w:t xml:space="preserve">3,676,933.49</w:t>
            </w:r>
            <w:r>
              <w:rPr>
                <w:rFonts w:ascii="Arial Narrow" w:hAnsi="Arial Narrow" w:eastAsia="仿宋_GB2312" w:cs="Arial"/>
                <w:color w:val="000000"/>
                <w:sz w:val="22"/>
                <w:szCs w:val="22"/>
              </w:rPr>
            </w:r>
          </w:p>
        </w:tc>
        <w:tc>
          <w:tcPr>
            <w:shd w:val="clear" w:color="auto" w:fill="auto"/>
            <w:tcBorders>
              <w:top w:val="single" w:color="auto" w:sz="8" w:space="0"/>
              <w:left w:val="single" w:color="auto" w:sz="8" w:space="0"/>
              <w:bottom w:val="single" w:color="auto" w:sz="8" w:space="0"/>
              <w:right w:val="single" w:color="auto" w:sz="8" w:space="0"/>
            </w:tcBorders>
            <w:tcW w:w="1627" w:type="dxa"/>
            <w:vAlign w:val="center"/>
            <w:textDirection w:val="lrTb"/>
            <w:noWrap w:val="false"/>
          </w:tcPr>
          <w:p>
            <w:pPr>
              <w:pBdr/>
              <w:spacing/>
              <w:ind/>
              <w:jc w:val="right"/>
              <w:rPr>
                <w:rFonts w:ascii="Arial Narrow" w:hAnsi="Arial Narrow" w:eastAsia="仿宋_GB2312" w:cs="Arial"/>
                <w:color w:val="000000"/>
                <w:sz w:val="22"/>
                <w:szCs w:val="22"/>
              </w:rPr>
            </w:pPr>
            <w:r>
              <w:rPr>
                <w:rFonts w:hint="eastAsia" w:ascii="Arial Narrow" w:hAnsi="Arial Narrow" w:eastAsia="仿宋_GB2312" w:cs="Arial"/>
                <w:color w:val="000000"/>
                <w:sz w:val="22"/>
                <w:szCs w:val="22"/>
              </w:rPr>
              <w:t xml:space="preserve">1.24%</w:t>
            </w:r>
            <w:r>
              <w:rPr>
                <w:rFonts w:ascii="Arial Narrow" w:hAnsi="Arial Narrow" w:eastAsia="仿宋_GB2312" w:cs="Arial"/>
                <w:color w:val="000000"/>
                <w:sz w:val="22"/>
                <w:szCs w:val="22"/>
              </w:rPr>
            </w:r>
          </w:p>
        </w:tc>
      </w:tr>
      <w:tr>
        <w:trPr>
          <w:trHeight w:val="340"/>
        </w:trPr>
        <w:tc>
          <w:tcPr>
            <w:gridSpan w:val="2"/>
            <w:tcBorders>
              <w:top w:val="none" w:color="000000" w:sz="4" w:space="0"/>
              <w:left w:val="single" w:color="auto" w:sz="8" w:space="0"/>
              <w:bottom w:val="single" w:color="000000" w:sz="8" w:space="0"/>
              <w:right w:val="single" w:color="auto" w:sz="8" w:space="0"/>
            </w:tcBorders>
            <w:tcW w:w="4668" w:type="dxa"/>
            <w:vAlign w:val="center"/>
            <w:textDirection w:val="lrTb"/>
            <w:noWrap w:val="false"/>
          </w:tcPr>
          <w:p>
            <w:pPr>
              <w:pBdr/>
              <w:spacing/>
              <w:ind/>
              <w:jc w:val="both"/>
              <w:rPr>
                <w:rFonts w:ascii="Arial Narrow" w:hAnsi="Arial Narrow" w:eastAsia="仿宋_GB2312" w:cs="Arial"/>
                <w:color w:val="000000"/>
                <w:sz w:val="22"/>
                <w:szCs w:val="22"/>
              </w:rPr>
            </w:pPr>
            <w:r>
              <w:rPr>
                <w:rFonts w:ascii="Arial Narrow" w:hAnsi="Arial Narrow" w:eastAsia="仿宋_GB2312" w:cs="Arial"/>
                <w:b/>
                <w:bCs/>
                <w:color w:val="000000"/>
                <w:sz w:val="22"/>
                <w:szCs w:val="22"/>
              </w:rPr>
              <w:t xml:space="preserve">关联采购总计</w:t>
            </w:r>
            <w:r>
              <w:rPr>
                <w:rFonts w:ascii="Arial Narrow" w:hAnsi="Arial Narrow" w:eastAsia="仿宋_GB2312" w:cs="Arial"/>
                <w:color w:val="000000"/>
                <w:sz w:val="22"/>
                <w:szCs w:val="22"/>
              </w:rPr>
            </w:r>
          </w:p>
        </w:tc>
        <w:tc>
          <w:tcPr>
            <w:shd w:val="clear" w:color="auto" w:fill="auto"/>
            <w:tcBorders>
              <w:top w:val="single" w:color="auto" w:sz="8" w:space="0"/>
              <w:left w:val="none" w:color="000000" w:sz="4" w:space="0"/>
              <w:bottom w:val="single" w:color="auto" w:sz="8" w:space="0"/>
              <w:right w:val="single" w:color="auto" w:sz="8" w:space="0"/>
            </w:tcBorders>
            <w:tcW w:w="2200" w:type="dxa"/>
            <w:vAlign w:val="center"/>
            <w:textDirection w:val="lrTb"/>
            <w:noWrap w:val="false"/>
          </w:tcPr>
          <w:p>
            <w:pPr>
              <w:pBdr/>
              <w:spacing/>
              <w:ind/>
              <w:jc w:val="right"/>
              <w:rPr>
                <w:rFonts w:ascii="Arial Narrow" w:hAnsi="Arial Narrow" w:eastAsia="仿宋_GB2312" w:cs="Arial"/>
                <w:b/>
                <w:bCs/>
                <w:color w:val="000000"/>
                <w:sz w:val="22"/>
                <w:szCs w:val="22"/>
              </w:rPr>
            </w:pPr>
            <w:r>
              <w:rPr>
                <w:rFonts w:ascii="Arial Narrow" w:hAnsi="Arial Narrow" w:eastAsia="仿宋_GB2312" w:cs="Arial"/>
                <w:b/>
                <w:bCs/>
                <w:color w:val="000000"/>
                <w:sz w:val="22"/>
                <w:szCs w:val="22"/>
              </w:rPr>
              <w:t xml:space="preserve">22,699,647.89</w:t>
            </w:r>
            <w:r>
              <w:rPr>
                <w:rFonts w:ascii="Arial Narrow" w:hAnsi="Arial Narrow" w:eastAsia="仿宋_GB2312" w:cs="Arial"/>
                <w:b/>
                <w:bCs/>
                <w:color w:val="000000"/>
                <w:sz w:val="22"/>
                <w:szCs w:val="22"/>
              </w:rPr>
            </w:r>
          </w:p>
        </w:tc>
        <w:tc>
          <w:tcPr>
            <w:shd w:val="clear" w:color="auto" w:fill="auto"/>
            <w:tcBorders>
              <w:top w:val="single" w:color="auto" w:sz="8" w:space="0"/>
              <w:left w:val="none" w:color="000000" w:sz="4" w:space="0"/>
              <w:bottom w:val="single" w:color="auto" w:sz="8" w:space="0"/>
              <w:right w:val="single" w:color="auto" w:sz="8" w:space="0"/>
            </w:tcBorders>
            <w:tcW w:w="1627" w:type="dxa"/>
            <w:vAlign w:val="center"/>
            <w:textDirection w:val="lrTb"/>
            <w:noWrap w:val="false"/>
          </w:tcPr>
          <w:p>
            <w:pPr>
              <w:pBdr/>
              <w:spacing/>
              <w:ind/>
              <w:jc w:val="right"/>
              <w:rPr>
                <w:rFonts w:ascii="Arial Narrow" w:hAnsi="Arial Narrow" w:eastAsia="仿宋_GB2312" w:cs="Arial"/>
                <w:b/>
                <w:color w:val="000000"/>
                <w:sz w:val="22"/>
                <w:szCs w:val="22"/>
              </w:rPr>
            </w:pPr>
            <w:r>
              <w:rPr>
                <w:rFonts w:hint="eastAsia" w:ascii="Arial Narrow" w:hAnsi="Arial Narrow" w:eastAsia="仿宋_GB2312" w:cs="Arial"/>
                <w:b/>
                <w:bCs/>
                <w:color w:val="000000"/>
                <w:sz w:val="22"/>
                <w:szCs w:val="22"/>
              </w:rPr>
              <w:t xml:space="preserve">7.68%</w:t>
            </w:r>
            <w:r>
              <w:rPr>
                <w:rFonts w:ascii="Arial Narrow" w:hAnsi="Arial Narrow" w:eastAsia="仿宋_GB2312" w:cs="Arial"/>
                <w:b/>
                <w:color w:val="000000"/>
                <w:sz w:val="22"/>
                <w:szCs w:val="22"/>
              </w:rPr>
            </w:r>
          </w:p>
        </w:tc>
      </w:tr>
      <w:tr>
        <w:trPr>
          <w:trHeight w:val="340"/>
        </w:trPr>
        <w:tc>
          <w:tcPr>
            <w:shd w:val="clear" w:color="auto" w:fill="auto"/>
            <w:tcBorders>
              <w:top w:val="none" w:color="000000" w:sz="4" w:space="0"/>
              <w:left w:val="single" w:color="auto" w:sz="8" w:space="0"/>
              <w:right w:val="single" w:color="auto" w:sz="8" w:space="0"/>
            </w:tcBorders>
            <w:tcW w:w="699" w:type="dxa"/>
            <w:vAlign w:val="center"/>
            <w:vMerge w:val="restart"/>
            <w:textDirection w:val="lrTb"/>
            <w:noWrap w:val="false"/>
          </w:tcPr>
          <w:p>
            <w:pPr>
              <w:pBdr/>
              <w:spacing/>
              <w:ind/>
              <w:jc w:val="center"/>
              <w:rPr>
                <w:rFonts w:ascii="Arial Narrow" w:hAnsi="Arial Narrow" w:eastAsia="仿宋_GB2312" w:cs="Arial"/>
                <w:color w:val="000000"/>
                <w:sz w:val="22"/>
                <w:szCs w:val="22"/>
              </w:rPr>
            </w:pPr>
            <w:r>
              <w:rPr>
                <w:rFonts w:ascii="Arial Narrow" w:hAnsi="Arial Narrow" w:eastAsia="仿宋_GB2312" w:cs="Arial"/>
                <w:color w:val="000000"/>
                <w:sz w:val="22"/>
                <w:szCs w:val="22"/>
              </w:rPr>
              <w:t xml:space="preserve">关联</w:t>
            </w:r>
            <w:r>
              <w:rPr>
                <w:rFonts w:ascii="Arial Narrow" w:hAnsi="Arial Narrow" w:eastAsia="仿宋_GB2312" w:cs="Arial"/>
                <w:color w:val="000000"/>
                <w:sz w:val="22"/>
                <w:szCs w:val="22"/>
              </w:rPr>
            </w:r>
          </w:p>
          <w:p>
            <w:pPr>
              <w:pBdr/>
              <w:spacing/>
              <w:ind/>
              <w:jc w:val="center"/>
              <w:rPr>
                <w:rFonts w:ascii="Arial Narrow" w:hAnsi="Arial Narrow" w:eastAsia="仿宋_GB2312" w:cs="Arial"/>
                <w:color w:val="000000"/>
                <w:sz w:val="22"/>
                <w:szCs w:val="22"/>
              </w:rPr>
            </w:pPr>
            <w:r>
              <w:rPr>
                <w:rFonts w:ascii="Arial Narrow" w:hAnsi="Arial Narrow" w:eastAsia="仿宋_GB2312" w:cs="Arial"/>
                <w:color w:val="000000"/>
                <w:sz w:val="22"/>
                <w:szCs w:val="22"/>
              </w:rPr>
              <w:t xml:space="preserve">销售</w:t>
            </w:r>
            <w:r>
              <w:rPr>
                <w:rFonts w:ascii="Arial Narrow" w:hAnsi="Arial Narrow" w:eastAsia="仿宋_GB2312" w:cs="Arial"/>
                <w:color w:val="000000"/>
                <w:sz w:val="22"/>
                <w:szCs w:val="22"/>
              </w:rPr>
            </w:r>
          </w:p>
        </w:tc>
        <w:tc>
          <w:tcPr>
            <w:shd w:val="clear" w:color="auto" w:fill="auto"/>
            <w:tcBorders>
              <w:top w:val="single" w:color="auto" w:sz="8" w:space="0"/>
              <w:left w:val="single" w:color="auto" w:sz="4" w:space="0"/>
              <w:bottom w:val="single" w:color="auto" w:sz="8" w:space="0"/>
              <w:right w:val="single" w:color="auto" w:sz="8" w:space="0"/>
            </w:tcBorders>
            <w:tcW w:w="3969" w:type="dxa"/>
            <w:vAlign w:val="center"/>
            <w:textDirection w:val="lrTb"/>
            <w:noWrap w:val="false"/>
          </w:tcPr>
          <w:p>
            <w:pPr>
              <w:pBdr/>
              <w:spacing/>
              <w:ind/>
              <w:jc w:val="both"/>
              <w:rPr>
                <w:rFonts w:ascii="Arial Narrow" w:hAnsi="Arial Narrow" w:eastAsia="仿宋_GB2312" w:cs="Arial"/>
                <w:color w:val="000000"/>
                <w:sz w:val="22"/>
                <w:szCs w:val="22"/>
              </w:rPr>
            </w:pPr>
            <w:r>
              <w:rPr>
                <w:rFonts w:ascii="Arial Narrow" w:hAnsi="Arial Narrow" w:eastAsia="仿宋_GB2312" w:cs="Arial"/>
                <w:color w:val="000000"/>
                <w:sz w:val="22"/>
                <w:szCs w:val="22"/>
              </w:rPr>
              <w:t xml:space="preserve">Markwins International Corporation Limited</w:t>
            </w:r>
            <w:r>
              <w:rPr>
                <w:rFonts w:ascii="Arial Narrow" w:hAnsi="Arial Narrow" w:eastAsia="仿宋_GB2312" w:cs="Arial"/>
                <w:color w:val="000000"/>
                <w:sz w:val="22"/>
                <w:szCs w:val="22"/>
              </w:rPr>
            </w:r>
          </w:p>
        </w:tc>
        <w:tc>
          <w:tcPr>
            <w:shd w:val="clear" w:color="auto" w:fill="auto"/>
            <w:tcBorders>
              <w:top w:val="single" w:color="auto" w:sz="8" w:space="0"/>
              <w:left w:val="single" w:color="auto" w:sz="8" w:space="0"/>
              <w:bottom w:val="single" w:color="auto" w:sz="8" w:space="0"/>
              <w:right w:val="single" w:color="auto" w:sz="8" w:space="0"/>
            </w:tcBorders>
            <w:tcW w:w="2200" w:type="dxa"/>
            <w:vAlign w:val="center"/>
            <w:textDirection w:val="lrTb"/>
            <w:noWrap w:val="false"/>
          </w:tcPr>
          <w:p>
            <w:pPr>
              <w:pBdr/>
              <w:spacing/>
              <w:ind/>
              <w:jc w:val="right"/>
              <w:rPr>
                <w:rFonts w:ascii="Arial Narrow" w:hAnsi="Arial Narrow" w:eastAsia="仿宋_GB2312" w:cs="Arial"/>
                <w:color w:val="000000"/>
                <w:sz w:val="22"/>
                <w:szCs w:val="22"/>
              </w:rPr>
            </w:pPr>
            <w:r>
              <w:rPr>
                <w:rFonts w:ascii="Arial Narrow" w:hAnsi="Arial Narrow" w:eastAsia="仿宋_GB2312" w:cs="Arial"/>
                <w:color w:val="000000"/>
                <w:sz w:val="22"/>
                <w:szCs w:val="22"/>
              </w:rPr>
              <w:t xml:space="preserve"> 178,594,871.60 </w:t>
            </w:r>
            <w:r>
              <w:rPr>
                <w:rFonts w:ascii="Arial Narrow" w:hAnsi="Arial Narrow" w:eastAsia="仿宋_GB2312" w:cs="Arial"/>
                <w:color w:val="000000"/>
                <w:sz w:val="22"/>
                <w:szCs w:val="22"/>
              </w:rPr>
            </w:r>
            <w:r>
              <w:rPr>
                <w:rFonts w:ascii="Arial Narrow" w:hAnsi="Arial Narrow" w:eastAsia="仿宋_GB2312" w:cs="Arial"/>
                <w:color w:val="000000"/>
                <w:sz w:val="22"/>
                <w:szCs w:val="22"/>
              </w:rPr>
            </w:r>
          </w:p>
        </w:tc>
        <w:tc>
          <w:tcPr>
            <w:shd w:val="clear" w:color="auto" w:fill="auto"/>
            <w:tcBorders>
              <w:top w:val="single" w:color="auto" w:sz="8" w:space="0"/>
              <w:left w:val="single" w:color="auto" w:sz="8" w:space="0"/>
              <w:bottom w:val="single" w:color="auto" w:sz="8" w:space="0"/>
              <w:right w:val="single" w:color="auto" w:sz="8" w:space="0"/>
            </w:tcBorders>
            <w:tcW w:w="1627" w:type="dxa"/>
            <w:vAlign w:val="center"/>
            <w:textDirection w:val="lrTb"/>
            <w:noWrap w:val="false"/>
          </w:tcPr>
          <w:p>
            <w:pPr>
              <w:pBdr/>
              <w:spacing/>
              <w:ind/>
              <w:jc w:val="right"/>
              <w:rPr>
                <w:rFonts w:ascii="Arial Narrow" w:hAnsi="Arial Narrow" w:eastAsia="仿宋_GB2312" w:cs="Arial"/>
                <w:color w:val="000000"/>
                <w:sz w:val="22"/>
                <w:szCs w:val="22"/>
              </w:rPr>
            </w:pPr>
            <w:r>
              <w:rPr>
                <w:rFonts w:hint="eastAsia" w:ascii="Arial Narrow" w:hAnsi="Arial Narrow" w:eastAsia="仿宋_GB2312" w:cs="Arial"/>
                <w:color w:val="000000"/>
                <w:sz w:val="22"/>
                <w:szCs w:val="22"/>
              </w:rPr>
              <w:t xml:space="preserve">60.45%</w:t>
            </w:r>
            <w:r>
              <w:rPr>
                <w:rFonts w:ascii="Arial Narrow" w:hAnsi="Arial Narrow" w:eastAsia="仿宋_GB2312" w:cs="Arial"/>
                <w:color w:val="000000"/>
                <w:sz w:val="22"/>
                <w:szCs w:val="22"/>
              </w:rPr>
            </w:r>
          </w:p>
        </w:tc>
      </w:tr>
      <w:tr>
        <w:trPr>
          <w:trHeight w:val="340"/>
        </w:trPr>
        <w:tc>
          <w:tcPr>
            <w:shd w:val="clear" w:color="auto" w:fill="auto"/>
            <w:tcBorders>
              <w:left w:val="single" w:color="auto" w:sz="8" w:space="0"/>
              <w:right w:val="single" w:color="auto" w:sz="8" w:space="0"/>
            </w:tcBorders>
            <w:tcW w:w="699" w:type="dxa"/>
            <w:vAlign w:val="center"/>
            <w:vMerge w:val="continue"/>
            <w:textDirection w:val="lrTb"/>
            <w:noWrap w:val="false"/>
          </w:tcPr>
          <w:p>
            <w:pPr>
              <w:pBdr/>
              <w:spacing/>
              <w:ind/>
              <w:rPr>
                <w:rFonts w:ascii="Arial Narrow" w:hAnsi="Arial Narrow" w:eastAsia="仿宋_GB2312" w:cs="Arial"/>
                <w:color w:val="000000"/>
                <w:sz w:val="22"/>
                <w:szCs w:val="22"/>
              </w:rPr>
            </w:pPr>
            <w:r>
              <w:rPr>
                <w:rFonts w:ascii="Arial Narrow" w:hAnsi="Arial Narrow" w:eastAsia="仿宋_GB2312" w:cs="Arial"/>
                <w:color w:val="000000"/>
                <w:sz w:val="22"/>
                <w:szCs w:val="22"/>
              </w:rPr>
            </w:r>
            <w:r>
              <w:rPr>
                <w:rFonts w:ascii="Arial Narrow" w:hAnsi="Arial Narrow" w:eastAsia="仿宋_GB2312" w:cs="Arial"/>
                <w:color w:val="000000"/>
                <w:sz w:val="22"/>
                <w:szCs w:val="22"/>
              </w:rPr>
            </w:r>
          </w:p>
        </w:tc>
        <w:tc>
          <w:tcPr>
            <w:shd w:val="clear" w:color="auto" w:fill="auto"/>
            <w:tcBorders>
              <w:top w:val="single" w:color="auto" w:sz="8" w:space="0"/>
              <w:left w:val="single" w:color="auto" w:sz="4" w:space="0"/>
              <w:bottom w:val="single" w:color="auto" w:sz="8" w:space="0"/>
              <w:right w:val="single" w:color="auto" w:sz="8" w:space="0"/>
            </w:tcBorders>
            <w:tcW w:w="3969" w:type="dxa"/>
            <w:vAlign w:val="center"/>
            <w:textDirection w:val="lrTb"/>
            <w:noWrap w:val="false"/>
          </w:tcPr>
          <w:p>
            <w:pPr>
              <w:pBdr/>
              <w:spacing/>
              <w:ind/>
              <w:jc w:val="both"/>
              <w:rPr>
                <w:rFonts w:ascii="Arial Narrow" w:hAnsi="Arial Narrow" w:eastAsia="仿宋_GB2312" w:cs="Arial"/>
                <w:color w:val="000000"/>
                <w:sz w:val="22"/>
                <w:szCs w:val="22"/>
              </w:rPr>
            </w:pPr>
            <w:r>
              <w:rPr>
                <w:rFonts w:ascii="Arial Narrow" w:hAnsi="Arial Narrow" w:eastAsia="仿宋_GB2312" w:cs="Arial"/>
                <w:color w:val="000000"/>
                <w:sz w:val="22"/>
                <w:szCs w:val="22"/>
              </w:rPr>
              <w:t xml:space="preserve">Pro Art Cosmetics Limited</w:t>
            </w:r>
            <w:r>
              <w:rPr>
                <w:rFonts w:ascii="Arial Narrow" w:hAnsi="Arial Narrow" w:eastAsia="仿宋_GB2312" w:cs="Arial"/>
                <w:color w:val="000000"/>
                <w:sz w:val="22"/>
                <w:szCs w:val="22"/>
              </w:rPr>
            </w:r>
          </w:p>
        </w:tc>
        <w:tc>
          <w:tcPr>
            <w:shd w:val="clear" w:color="auto" w:fill="auto"/>
            <w:tcBorders>
              <w:top w:val="single" w:color="auto" w:sz="8" w:space="0"/>
              <w:left w:val="single" w:color="auto" w:sz="8" w:space="0"/>
              <w:bottom w:val="single" w:color="auto" w:sz="8" w:space="0"/>
              <w:right w:val="single" w:color="auto" w:sz="8" w:space="0"/>
            </w:tcBorders>
            <w:tcW w:w="2200" w:type="dxa"/>
            <w:vAlign w:val="center"/>
            <w:textDirection w:val="lrTb"/>
            <w:noWrap w:val="false"/>
          </w:tcPr>
          <w:p>
            <w:pPr>
              <w:pBdr/>
              <w:spacing/>
              <w:ind/>
              <w:jc w:val="right"/>
              <w:rPr>
                <w:rFonts w:ascii="Arial Narrow" w:hAnsi="Arial Narrow" w:eastAsia="仿宋_GB2312" w:cs="Arial"/>
                <w:color w:val="000000"/>
                <w:sz w:val="22"/>
                <w:szCs w:val="22"/>
              </w:rPr>
            </w:pPr>
            <w:r>
              <w:rPr>
                <w:rFonts w:ascii="Arial Narrow" w:hAnsi="Arial Narrow" w:eastAsia="仿宋_GB2312" w:cs="Arial"/>
                <w:color w:val="000000"/>
                <w:sz w:val="22"/>
                <w:szCs w:val="22"/>
              </w:rPr>
              <w:t xml:space="preserve"> 81,179,671.06 </w:t>
            </w:r>
            <w:r>
              <w:rPr>
                <w:rFonts w:ascii="Arial Narrow" w:hAnsi="Arial Narrow" w:eastAsia="仿宋_GB2312" w:cs="Arial"/>
                <w:color w:val="000000"/>
                <w:sz w:val="22"/>
                <w:szCs w:val="22"/>
              </w:rPr>
            </w:r>
          </w:p>
        </w:tc>
        <w:tc>
          <w:tcPr>
            <w:shd w:val="clear" w:color="auto" w:fill="auto"/>
            <w:tcBorders>
              <w:top w:val="single" w:color="auto" w:sz="8" w:space="0"/>
              <w:left w:val="single" w:color="auto" w:sz="8" w:space="0"/>
              <w:bottom w:val="single" w:color="auto" w:sz="8" w:space="0"/>
              <w:right w:val="single" w:color="auto" w:sz="8" w:space="0"/>
            </w:tcBorders>
            <w:tcW w:w="1627" w:type="dxa"/>
            <w:vAlign w:val="center"/>
            <w:textDirection w:val="lrTb"/>
            <w:noWrap w:val="false"/>
          </w:tcPr>
          <w:p>
            <w:pPr>
              <w:pBdr/>
              <w:spacing/>
              <w:ind/>
              <w:jc w:val="right"/>
              <w:rPr>
                <w:rFonts w:ascii="Arial Narrow" w:hAnsi="Arial Narrow" w:eastAsia="仿宋_GB2312" w:cs="Arial"/>
                <w:color w:val="000000"/>
                <w:sz w:val="22"/>
                <w:szCs w:val="22"/>
              </w:rPr>
            </w:pPr>
            <w:r>
              <w:rPr>
                <w:rFonts w:hint="eastAsia" w:ascii="Arial Narrow" w:hAnsi="Arial Narrow" w:eastAsia="仿宋_GB2312" w:cs="Arial"/>
                <w:color w:val="000000"/>
                <w:sz w:val="22"/>
                <w:szCs w:val="22"/>
              </w:rPr>
              <w:t xml:space="preserve">27.48%</w:t>
            </w:r>
            <w:r>
              <w:rPr>
                <w:rFonts w:ascii="Arial Narrow" w:hAnsi="Arial Narrow" w:eastAsia="仿宋_GB2312" w:cs="Arial"/>
                <w:color w:val="000000"/>
                <w:sz w:val="22"/>
                <w:szCs w:val="22"/>
              </w:rPr>
            </w:r>
          </w:p>
        </w:tc>
      </w:tr>
      <w:tr>
        <w:trPr>
          <w:trHeight w:val="340"/>
        </w:trPr>
        <w:tc>
          <w:tcPr>
            <w:shd w:val="clear" w:color="auto" w:fill="auto"/>
            <w:tcBorders>
              <w:left w:val="single" w:color="auto" w:sz="8" w:space="0"/>
              <w:right w:val="single" w:color="auto" w:sz="8" w:space="0"/>
            </w:tcBorders>
            <w:tcW w:w="699" w:type="dxa"/>
            <w:vAlign w:val="center"/>
            <w:vMerge w:val="continue"/>
            <w:textDirection w:val="lrTb"/>
            <w:noWrap w:val="false"/>
          </w:tcPr>
          <w:p>
            <w:pPr>
              <w:pBdr/>
              <w:spacing/>
              <w:ind/>
              <w:rPr>
                <w:rFonts w:ascii="Arial Narrow" w:hAnsi="Arial Narrow" w:eastAsia="仿宋_GB2312" w:cs="Arial"/>
                <w:color w:val="000000"/>
                <w:sz w:val="22"/>
                <w:szCs w:val="22"/>
              </w:rPr>
            </w:pPr>
            <w:r>
              <w:rPr>
                <w:rFonts w:ascii="Arial Narrow" w:hAnsi="Arial Narrow" w:eastAsia="仿宋_GB2312" w:cs="Arial"/>
                <w:color w:val="000000"/>
                <w:sz w:val="22"/>
                <w:szCs w:val="22"/>
              </w:rPr>
            </w:r>
            <w:r>
              <w:rPr>
                <w:rFonts w:ascii="Arial Narrow" w:hAnsi="Arial Narrow" w:eastAsia="仿宋_GB2312" w:cs="Arial"/>
                <w:color w:val="000000"/>
                <w:sz w:val="22"/>
                <w:szCs w:val="22"/>
              </w:rPr>
            </w:r>
          </w:p>
        </w:tc>
        <w:tc>
          <w:tcPr>
            <w:shd w:val="clear" w:color="auto" w:fill="auto"/>
            <w:tcBorders>
              <w:top w:val="single" w:color="auto" w:sz="8" w:space="0"/>
              <w:left w:val="single" w:color="auto" w:sz="4" w:space="0"/>
              <w:bottom w:val="single" w:color="auto" w:sz="8" w:space="0"/>
              <w:right w:val="single" w:color="auto" w:sz="8" w:space="0"/>
            </w:tcBorders>
            <w:tcW w:w="3969" w:type="dxa"/>
            <w:vAlign w:val="center"/>
            <w:textDirection w:val="lrTb"/>
            <w:noWrap w:val="false"/>
          </w:tcPr>
          <w:p>
            <w:pPr>
              <w:pBdr/>
              <w:spacing/>
              <w:ind/>
              <w:jc w:val="both"/>
              <w:rPr>
                <w:rFonts w:ascii="Arial Narrow" w:hAnsi="Arial Narrow" w:eastAsia="仿宋_GB2312" w:cs="Arial"/>
                <w:color w:val="000000"/>
                <w:sz w:val="22"/>
                <w:szCs w:val="22"/>
              </w:rPr>
            </w:pPr>
            <w:r>
              <w:rPr>
                <w:rFonts w:hint="eastAsia" w:ascii="Arial Narrow" w:hAnsi="Arial Narrow" w:eastAsia="仿宋_GB2312" w:cs="Arial"/>
                <w:color w:val="000000"/>
                <w:sz w:val="22"/>
                <w:szCs w:val="22"/>
              </w:rPr>
              <w:t xml:space="preserve">美缤纷品牌管理（上海）有限公司</w:t>
            </w:r>
            <w:r>
              <w:rPr>
                <w:rFonts w:ascii="Arial Narrow" w:hAnsi="Arial Narrow" w:eastAsia="仿宋_GB2312" w:cs="Arial"/>
                <w:color w:val="000000"/>
                <w:sz w:val="22"/>
                <w:szCs w:val="22"/>
              </w:rPr>
            </w:r>
          </w:p>
        </w:tc>
        <w:tc>
          <w:tcPr>
            <w:shd w:val="clear" w:color="auto" w:fill="auto"/>
            <w:tcBorders>
              <w:top w:val="single" w:color="auto" w:sz="8" w:space="0"/>
              <w:left w:val="single" w:color="auto" w:sz="8" w:space="0"/>
              <w:bottom w:val="single" w:color="auto" w:sz="8" w:space="0"/>
              <w:right w:val="single" w:color="auto" w:sz="8" w:space="0"/>
            </w:tcBorders>
            <w:tcW w:w="2200" w:type="dxa"/>
            <w:vAlign w:val="center"/>
            <w:textDirection w:val="lrTb"/>
            <w:noWrap/>
          </w:tcPr>
          <w:p>
            <w:pPr>
              <w:pBdr/>
              <w:spacing/>
              <w:ind/>
              <w:jc w:val="right"/>
              <w:rPr>
                <w:rFonts w:ascii="Arial Narrow" w:hAnsi="Arial Narrow" w:eastAsia="仿宋_GB2312" w:cs="Arial"/>
                <w:color w:val="000000"/>
                <w:sz w:val="22"/>
                <w:szCs w:val="22"/>
              </w:rPr>
            </w:pPr>
            <w:r>
              <w:rPr>
                <w:rFonts w:ascii="Arial Narrow" w:hAnsi="Arial Narrow" w:eastAsia="仿宋_GB2312" w:cs="Arial"/>
                <w:color w:val="000000"/>
                <w:sz w:val="22"/>
                <w:szCs w:val="22"/>
              </w:rPr>
              <w:t xml:space="preserve"> 12,953,423.52 </w:t>
            </w:r>
            <w:r>
              <w:rPr>
                <w:rFonts w:ascii="Arial Narrow" w:hAnsi="Arial Narrow" w:eastAsia="仿宋_GB2312" w:cs="Arial"/>
                <w:color w:val="000000"/>
                <w:sz w:val="22"/>
                <w:szCs w:val="22"/>
              </w:rPr>
            </w:r>
            <w:r>
              <w:rPr>
                <w:rFonts w:ascii="Arial Narrow" w:hAnsi="Arial Narrow" w:eastAsia="仿宋_GB2312" w:cs="Arial"/>
                <w:color w:val="000000"/>
                <w:sz w:val="22"/>
                <w:szCs w:val="22"/>
              </w:rPr>
            </w:r>
          </w:p>
        </w:tc>
        <w:tc>
          <w:tcPr>
            <w:shd w:val="clear" w:color="auto" w:fill="auto"/>
            <w:tcBorders>
              <w:top w:val="single" w:color="auto" w:sz="8" w:space="0"/>
              <w:left w:val="single" w:color="auto" w:sz="8" w:space="0"/>
              <w:bottom w:val="single" w:color="auto" w:sz="8" w:space="0"/>
              <w:right w:val="single" w:color="auto" w:sz="8" w:space="0"/>
            </w:tcBorders>
            <w:tcW w:w="1627" w:type="dxa"/>
            <w:vAlign w:val="center"/>
            <w:textDirection w:val="lrTb"/>
            <w:noWrap w:val="false"/>
          </w:tcPr>
          <w:p>
            <w:pPr>
              <w:pBdr/>
              <w:spacing/>
              <w:ind/>
              <w:jc w:val="right"/>
              <w:rPr>
                <w:rFonts w:ascii="Arial Narrow" w:hAnsi="Arial Narrow" w:eastAsia="仿宋_GB2312" w:cs="Arial"/>
                <w:color w:val="000000"/>
                <w:sz w:val="22"/>
                <w:szCs w:val="22"/>
              </w:rPr>
            </w:pPr>
            <w:r>
              <w:rPr>
                <w:rFonts w:hint="eastAsia" w:ascii="Arial Narrow" w:hAnsi="Arial Narrow" w:eastAsia="仿宋_GB2312" w:cs="Arial"/>
                <w:color w:val="000000"/>
                <w:sz w:val="22"/>
                <w:szCs w:val="22"/>
              </w:rPr>
              <w:t xml:space="preserve">4.38%</w:t>
            </w:r>
            <w:r>
              <w:rPr>
                <w:rFonts w:ascii="Arial Narrow" w:hAnsi="Arial Narrow" w:eastAsia="仿宋_GB2312" w:cs="Arial"/>
                <w:color w:val="000000"/>
                <w:sz w:val="22"/>
                <w:szCs w:val="22"/>
              </w:rPr>
            </w:r>
          </w:p>
        </w:tc>
      </w:tr>
      <w:tr>
        <w:trPr>
          <w:trHeight w:val="340"/>
        </w:trPr>
        <w:tc>
          <w:tcPr>
            <w:gridSpan w:val="2"/>
            <w:shd w:val="clear" w:color="auto" w:fill="auto"/>
            <w:tcBorders>
              <w:top w:val="single" w:color="auto" w:sz="8" w:space="0"/>
              <w:left w:val="single" w:color="auto" w:sz="8" w:space="0"/>
              <w:bottom w:val="single" w:color="auto" w:sz="8" w:space="0"/>
              <w:right w:val="single" w:color="auto" w:sz="8" w:space="0"/>
            </w:tcBorders>
            <w:tcW w:w="4668" w:type="dxa"/>
            <w:vAlign w:val="center"/>
            <w:textDirection w:val="lrTb"/>
            <w:noWrap w:val="false"/>
          </w:tcPr>
          <w:p>
            <w:pPr>
              <w:pBdr/>
              <w:spacing/>
              <w:ind/>
              <w:rPr>
                <w:rFonts w:ascii="Arial Narrow" w:hAnsi="Arial Narrow" w:eastAsia="仿宋_GB2312" w:cs="Arial"/>
                <w:b/>
                <w:bCs/>
                <w:color w:val="000000"/>
                <w:sz w:val="22"/>
                <w:szCs w:val="22"/>
              </w:rPr>
            </w:pPr>
            <w:r>
              <w:rPr>
                <w:rFonts w:ascii="Arial Narrow" w:hAnsi="Arial Narrow" w:eastAsia="仿宋_GB2312" w:cs="Arial"/>
                <w:b/>
                <w:bCs/>
                <w:color w:val="000000"/>
                <w:sz w:val="22"/>
                <w:szCs w:val="22"/>
              </w:rPr>
              <w:t xml:space="preserve">关联销售总计 </w:t>
            </w:r>
            <w:r>
              <w:rPr>
                <w:rFonts w:ascii="Arial Narrow" w:hAnsi="Arial Narrow" w:eastAsia="仿宋_GB2312" w:cs="Arial"/>
                <w:b/>
                <w:bCs/>
                <w:color w:val="000000"/>
                <w:sz w:val="22"/>
                <w:szCs w:val="22"/>
              </w:rPr>
            </w:r>
            <w:r>
              <w:rPr>
                <w:rFonts w:ascii="Arial Narrow" w:hAnsi="Arial Narrow" w:eastAsia="仿宋_GB2312" w:cs="Arial"/>
                <w:b/>
                <w:bCs/>
                <w:color w:val="000000"/>
                <w:sz w:val="22"/>
                <w:szCs w:val="22"/>
              </w:rPr>
            </w:r>
          </w:p>
        </w:tc>
        <w:tc>
          <w:tcPr>
            <w:shd w:val="clear" w:color="auto" w:fill="auto"/>
            <w:tcBorders>
              <w:top w:val="single" w:color="auto" w:sz="8" w:space="0"/>
              <w:left w:val="single" w:color="auto" w:sz="8" w:space="0"/>
              <w:bottom w:val="single" w:color="auto" w:sz="8" w:space="0"/>
              <w:right w:val="single" w:color="auto" w:sz="8" w:space="0"/>
            </w:tcBorders>
            <w:tcW w:w="2200" w:type="dxa"/>
            <w:vAlign w:val="center"/>
            <w:textDirection w:val="lrTb"/>
            <w:noWrap w:val="false"/>
          </w:tcPr>
          <w:p>
            <w:pPr>
              <w:pBdr/>
              <w:spacing/>
              <w:ind/>
              <w:jc w:val="right"/>
              <w:rPr>
                <w:rFonts w:ascii="Arial Narrow" w:hAnsi="Arial Narrow" w:eastAsia="仿宋_GB2312" w:cs="Arial"/>
                <w:b/>
                <w:bCs/>
                <w:color w:val="000000"/>
                <w:sz w:val="22"/>
                <w:szCs w:val="22"/>
              </w:rPr>
            </w:pPr>
            <w:r>
              <w:rPr>
                <w:rFonts w:ascii="Arial Narrow" w:hAnsi="Arial Narrow" w:eastAsia="仿宋_GB2312" w:cs="Arial"/>
                <w:b/>
                <w:color w:val="000000"/>
                <w:sz w:val="22"/>
                <w:szCs w:val="22"/>
              </w:rPr>
              <w:t xml:space="preserve"> 272,727,966.18 </w:t>
            </w:r>
            <w:r>
              <w:rPr>
                <w:rFonts w:ascii="Arial Narrow" w:hAnsi="Arial Narrow" w:eastAsia="仿宋_GB2312" w:cs="Arial"/>
                <w:b/>
                <w:color w:val="000000"/>
                <w:sz w:val="22"/>
                <w:szCs w:val="22"/>
              </w:rPr>
            </w:r>
            <w:r>
              <w:rPr>
                <w:rFonts w:ascii="Arial Narrow" w:hAnsi="Arial Narrow" w:eastAsia="仿宋_GB2312" w:cs="Arial"/>
                <w:b/>
                <w:bCs/>
                <w:color w:val="000000"/>
                <w:sz w:val="22"/>
                <w:szCs w:val="22"/>
              </w:rPr>
            </w:r>
          </w:p>
        </w:tc>
        <w:tc>
          <w:tcPr>
            <w:shd w:val="clear" w:color="auto" w:fill="auto"/>
            <w:tcBorders>
              <w:top w:val="single" w:color="auto" w:sz="8" w:space="0"/>
              <w:left w:val="single" w:color="auto" w:sz="8" w:space="0"/>
              <w:bottom w:val="single" w:color="auto" w:sz="8" w:space="0"/>
              <w:right w:val="single" w:color="auto" w:sz="8" w:space="0"/>
            </w:tcBorders>
            <w:tcW w:w="1627" w:type="dxa"/>
            <w:vAlign w:val="center"/>
            <w:textDirection w:val="lrTb"/>
            <w:noWrap w:val="false"/>
          </w:tcPr>
          <w:p>
            <w:pPr>
              <w:pBdr/>
              <w:spacing/>
              <w:ind/>
              <w:jc w:val="right"/>
              <w:rPr>
                <w:rFonts w:ascii="Arial Narrow" w:hAnsi="Arial Narrow" w:eastAsia="仿宋_GB2312" w:cs="Arial"/>
                <w:b/>
                <w:color w:val="000000"/>
                <w:sz w:val="22"/>
                <w:szCs w:val="22"/>
              </w:rPr>
            </w:pPr>
            <w:r>
              <w:rPr>
                <w:rFonts w:hint="eastAsia" w:ascii="Arial Narrow" w:hAnsi="Arial Narrow" w:eastAsia="仿宋_GB2312" w:cs="Arial"/>
                <w:b/>
                <w:color w:val="000000"/>
                <w:sz w:val="22"/>
                <w:szCs w:val="22"/>
              </w:rPr>
              <w:t xml:space="preserve">92.32%</w:t>
            </w:r>
            <w:r>
              <w:rPr>
                <w:rFonts w:ascii="Arial Narrow" w:hAnsi="Arial Narrow" w:eastAsia="仿宋_GB2312" w:cs="Arial"/>
                <w:b/>
                <w:color w:val="000000"/>
                <w:sz w:val="22"/>
                <w:szCs w:val="22"/>
              </w:rPr>
            </w:r>
          </w:p>
        </w:tc>
      </w:tr>
    </w:tbl>
    <w:p>
      <w:pPr>
        <w:pBdr/>
        <w:spacing/>
        <w:ind/>
        <w:rPr>
          <w:rFonts w:ascii="Arial Narrow" w:hAnsi="Arial Narrow" w:eastAsia="仿宋_GB2312" w:cs="Arial"/>
          <w:i/>
          <w:iCs/>
          <w:sz w:val="16"/>
          <w:szCs w:val="16"/>
        </w:rPr>
      </w:pPr>
      <w:r>
        <w:rPr>
          <w:rFonts w:ascii="Arial Narrow" w:hAnsi="Arial Narrow" w:eastAsia="仿宋_GB2312" w:cs="Arial"/>
          <w:i/>
          <w:iCs/>
          <w:sz w:val="16"/>
          <w:szCs w:val="16"/>
        </w:rPr>
        <w:t xml:space="preserve">信息来源：由松莉科技提供</w:t>
      </w:r>
      <w:bookmarkEnd w:id="420"/>
      <w:r/>
      <w:r>
        <w:rPr>
          <w:rFonts w:ascii="Arial Narrow" w:hAnsi="Arial Narrow" w:eastAsia="仿宋_GB2312" w:cs="Arial"/>
          <w:i/>
          <w:iCs/>
          <w:sz w:val="16"/>
          <w:szCs w:val="16"/>
        </w:rPr>
      </w:r>
    </w:p>
    <w:p>
      <w:pPr>
        <w:pStyle w:val="1325"/>
        <w:pBdr/>
        <w:spacing/>
        <w:ind/>
        <w:rPr>
          <w:b/>
          <w:bCs/>
        </w:rPr>
      </w:pPr>
      <w:r/>
      <w:bookmarkStart w:id="421" w:name="_Toc140505126"/>
      <w:r/>
      <w:bookmarkStart w:id="422" w:name="_Toc53229072"/>
      <w:r>
        <w:t xml:space="preserve">交易定价政策</w:t>
      </w:r>
      <w:bookmarkEnd w:id="421"/>
      <w:r/>
      <w:bookmarkEnd w:id="422"/>
      <w:r/>
      <w:r>
        <w:rPr>
          <w:b/>
          <w:bCs/>
        </w:rPr>
      </w:r>
    </w:p>
    <w:p>
      <w:pPr>
        <w:pBdr/>
        <w:spacing w:after="180" w:before="180" w:line="360" w:lineRule="auto"/>
        <w:ind w:firstLine="440"/>
        <w:jc w:val="both"/>
        <w:rPr>
          <w:rFonts w:ascii="Arial Narrow" w:hAnsi="Arial Narrow" w:eastAsia="仿宋_GB2312" w:cs="Arial"/>
          <w:sz w:val="22"/>
          <w:szCs w:val="22"/>
        </w:rPr>
      </w:pPr>
      <w:r/>
      <w:bookmarkStart w:id="423" w:name="_Toc48317443"/>
      <w:r/>
      <w:bookmarkStart w:id="424" w:name="_Toc48317139"/>
      <w:r>
        <w:rPr>
          <w:rFonts w:ascii="Arial Narrow" w:hAnsi="Arial Narrow" w:eastAsia="仿宋_GB2312" w:cs="Arial"/>
          <w:sz w:val="22"/>
          <w:szCs w:val="22"/>
        </w:rPr>
        <w:t xml:space="preserve">对于关联采购价格，松莉科技与境外关联方参考市场价格制定；对于关联销售价格，松莉科技参考标准生产成本加上一定利润率的方式以及产品市场价格进行综合制定。松莉科技与境内关联方的关联购销交易以人民币结算，与境外关联方的关联购销以外币进行结算。</w:t>
      </w:r>
      <w:r>
        <w:rPr>
          <w:rFonts w:ascii="Arial Narrow" w:hAnsi="Arial Narrow" w:eastAsia="仿宋_GB2312" w:cs="Arial"/>
          <w:sz w:val="22"/>
          <w:szCs w:val="22"/>
        </w:rPr>
      </w:r>
      <w:bookmarkEnd w:id="423"/>
      <w:r/>
      <w:bookmarkEnd w:id="424"/>
      <w:r/>
      <w:r>
        <w:rPr>
          <w:rFonts w:ascii="Arial Narrow" w:hAnsi="Arial Narrow" w:eastAsia="仿宋_GB2312" w:cs="Arial"/>
          <w:sz w:val="22"/>
          <w:szCs w:val="22"/>
        </w:rPr>
      </w:r>
    </w:p>
    <w:p>
      <w:pPr>
        <w:pStyle w:val="1324"/>
        <w:pBdr/>
        <w:spacing/>
        <w:ind/>
        <w:rPr>
          <w:b/>
        </w:rPr>
      </w:pPr>
      <w:r/>
      <w:bookmarkStart w:id="425" w:name="_Toc53067917"/>
      <w:r/>
      <w:bookmarkStart w:id="426" w:name="_Toc53067926"/>
      <w:r/>
      <w:bookmarkStart w:id="427" w:name="_Toc53068592"/>
      <w:r/>
      <w:bookmarkStart w:id="428" w:name="_Toc53046621"/>
      <w:r/>
      <w:bookmarkStart w:id="429" w:name="_Toc53068127"/>
      <w:r/>
      <w:bookmarkStart w:id="430" w:name="_Toc53068594"/>
      <w:r/>
      <w:bookmarkStart w:id="431" w:name="_Toc85042556"/>
      <w:r/>
      <w:bookmarkStart w:id="432" w:name="_Toc85042551"/>
      <w:r/>
      <w:bookmarkStart w:id="433" w:name="_Toc53068733"/>
      <w:r/>
      <w:bookmarkStart w:id="434" w:name="_Toc85042549"/>
      <w:r/>
      <w:bookmarkStart w:id="435" w:name="_Toc85557551"/>
      <w:r/>
      <w:bookmarkStart w:id="436" w:name="_Toc53067924"/>
      <w:r/>
      <w:bookmarkStart w:id="437" w:name="_Toc85622921"/>
      <w:r/>
      <w:bookmarkStart w:id="438" w:name="_Toc85557507"/>
      <w:r/>
      <w:bookmarkStart w:id="439" w:name="_Toc75432537"/>
      <w:r/>
      <w:bookmarkStart w:id="440" w:name="_Toc53067987"/>
      <w:r/>
      <w:bookmarkStart w:id="441" w:name="_Toc85557508"/>
      <w:r/>
      <w:bookmarkStart w:id="442" w:name="_Toc85042553"/>
      <w:r/>
      <w:bookmarkStart w:id="443" w:name="_Toc85622870"/>
      <w:r/>
      <w:bookmarkStart w:id="444" w:name="_Toc53067927"/>
      <w:r/>
      <w:bookmarkStart w:id="445" w:name="_Toc85622872"/>
      <w:r/>
      <w:bookmarkStart w:id="446" w:name="_Toc53068444"/>
      <w:r/>
      <w:bookmarkStart w:id="447" w:name="_Toc85622918"/>
      <w:r/>
      <w:bookmarkStart w:id="448" w:name="_Toc85557639"/>
      <w:r/>
      <w:bookmarkStart w:id="449" w:name="_Toc53068246"/>
      <w:r/>
      <w:bookmarkStart w:id="450" w:name="_Toc53068452"/>
      <w:r/>
      <w:bookmarkStart w:id="451" w:name="_Toc85557688"/>
      <w:r/>
      <w:bookmarkStart w:id="452" w:name="_Toc53068308"/>
      <w:r/>
      <w:bookmarkStart w:id="453" w:name="_Toc85042547"/>
      <w:r/>
      <w:bookmarkStart w:id="454" w:name="_Toc53068454"/>
      <w:r/>
      <w:bookmarkStart w:id="455" w:name="_Toc53068584"/>
      <w:r/>
      <w:bookmarkStart w:id="456" w:name="_Toc53068732"/>
      <w:r/>
      <w:bookmarkStart w:id="457" w:name="_Toc53068244"/>
      <w:r/>
      <w:bookmarkStart w:id="458" w:name="_Toc53046773"/>
      <w:r/>
      <w:bookmarkStart w:id="459" w:name="_Toc53068453"/>
      <w:r/>
      <w:bookmarkStart w:id="460" w:name="_Toc53068451"/>
      <w:r/>
      <w:bookmarkStart w:id="461" w:name="_Toc85622871"/>
      <w:r/>
      <w:bookmarkStart w:id="462" w:name="_Toc53046763"/>
      <w:r/>
      <w:bookmarkStart w:id="463" w:name="_Toc85622927"/>
      <w:r/>
      <w:bookmarkStart w:id="464" w:name="_Toc85557510"/>
      <w:r/>
      <w:bookmarkStart w:id="465" w:name="_Toc53068655"/>
      <w:r/>
      <w:bookmarkStart w:id="466" w:name="_Toc85557556"/>
      <w:r/>
      <w:bookmarkStart w:id="467" w:name="_Toc85557693"/>
      <w:r/>
      <w:bookmarkStart w:id="468" w:name="_Toc85557684"/>
      <w:r/>
      <w:bookmarkStart w:id="469" w:name="_Toc85622875"/>
      <w:r/>
      <w:bookmarkStart w:id="470" w:name="_Toc85557504"/>
      <w:r/>
      <w:bookmarkStart w:id="471" w:name="_Toc85622926"/>
      <w:r/>
      <w:bookmarkStart w:id="472" w:name="_Toc53067985"/>
      <w:r/>
      <w:bookmarkStart w:id="473" w:name="_Toc85557690"/>
      <w:r/>
      <w:bookmarkStart w:id="474" w:name="_Toc85622923"/>
      <w:r/>
      <w:bookmarkStart w:id="475" w:name="_Toc85042554"/>
      <w:r/>
      <w:bookmarkStart w:id="476" w:name="_Toc85042552"/>
      <w:r/>
      <w:bookmarkStart w:id="477" w:name="_Toc53046612"/>
      <w:r/>
      <w:bookmarkStart w:id="478" w:name="_Toc85557503"/>
      <w:r/>
      <w:bookmarkStart w:id="479" w:name="_Toc85622919"/>
      <w:r/>
      <w:bookmarkStart w:id="480" w:name="_Toc85557555"/>
      <w:r/>
      <w:bookmarkStart w:id="481" w:name="_Toc53047078"/>
      <w:r/>
      <w:bookmarkStart w:id="482" w:name="_Toc85042501"/>
      <w:r/>
      <w:bookmarkStart w:id="483" w:name="_Toc85042499"/>
      <w:r/>
      <w:bookmarkStart w:id="484" w:name="_Toc85622924"/>
      <w:r/>
      <w:bookmarkStart w:id="485" w:name="_Toc53068059"/>
      <w:r/>
      <w:bookmarkStart w:id="486" w:name="_Toc85557553"/>
      <w:r/>
      <w:bookmarkStart w:id="487" w:name="_Toc53068237"/>
      <w:r/>
      <w:bookmarkStart w:id="488" w:name="_Toc53068247"/>
      <w:r/>
      <w:bookmarkStart w:id="489" w:name="_Toc85557560"/>
      <w:r/>
      <w:bookmarkStart w:id="490" w:name="_Toc53068791"/>
      <w:r/>
      <w:bookmarkStart w:id="491" w:name="_Toc75432538"/>
      <w:r/>
      <w:bookmarkStart w:id="492" w:name="_Toc85557642"/>
      <w:r/>
      <w:bookmarkStart w:id="493" w:name="_Toc85042500"/>
      <w:r/>
      <w:bookmarkStart w:id="494" w:name="_Toc85042504"/>
      <w:r/>
      <w:bookmarkStart w:id="495" w:name="_Toc53067925"/>
      <w:r/>
      <w:bookmarkStart w:id="496" w:name="_Toc85622876"/>
      <w:r/>
      <w:bookmarkStart w:id="497" w:name="_Toc53067988"/>
      <w:r/>
      <w:bookmarkStart w:id="498" w:name="_Toc85622873"/>
      <w:r/>
      <w:bookmarkStart w:id="499" w:name="_Toc53068066"/>
      <w:r/>
      <w:bookmarkStart w:id="500" w:name="_Toc85557506"/>
      <w:r/>
      <w:bookmarkStart w:id="501" w:name="_Toc85557636"/>
      <w:r/>
      <w:bookmarkStart w:id="502" w:name="_Toc53068730"/>
      <w:r/>
      <w:bookmarkStart w:id="503" w:name="_Toc53046772"/>
      <w:r/>
      <w:bookmarkStart w:id="504" w:name="_Toc53068512"/>
      <w:r/>
      <w:bookmarkStart w:id="505" w:name="_Toc85042505"/>
      <w:r/>
      <w:bookmarkStart w:id="506" w:name="_Toc85622877"/>
      <w:r/>
      <w:bookmarkStart w:id="507" w:name="_Toc53068794"/>
      <w:r/>
      <w:bookmarkStart w:id="508" w:name="_Toc85622869"/>
      <w:r/>
      <w:bookmarkStart w:id="509" w:name="_Toc85557685"/>
      <w:r/>
      <w:bookmarkStart w:id="510" w:name="_Toc85042502"/>
      <w:r/>
      <w:bookmarkStart w:id="511" w:name="_Toc53068068"/>
      <w:r/>
      <w:bookmarkStart w:id="512" w:name="_Toc53068731"/>
      <w:r/>
      <w:bookmarkStart w:id="513" w:name="_Toc53068130"/>
      <w:r/>
      <w:bookmarkStart w:id="514" w:name="_Toc53068248"/>
      <w:r/>
      <w:bookmarkStart w:id="515" w:name="_Toc522205786"/>
      <w:r/>
      <w:bookmarkStart w:id="516" w:name="_Toc53068305"/>
      <w:r/>
      <w:bookmarkStart w:id="517" w:name="_Toc85557554"/>
      <w:r/>
      <w:bookmarkStart w:id="518" w:name="_Toc85042550"/>
      <w:r/>
      <w:bookmarkStart w:id="519" w:name="_Toc85622920"/>
      <w:r/>
      <w:bookmarkStart w:id="520" w:name="_Toc85622925"/>
      <w:r/>
      <w:bookmarkStart w:id="521" w:name="_Toc85557643"/>
      <w:r/>
      <w:bookmarkStart w:id="522" w:name="_Toc85557558"/>
      <w:r/>
      <w:bookmarkStart w:id="523" w:name="_Toc85557637"/>
      <w:r/>
      <w:bookmarkStart w:id="524" w:name="_Toc85557552"/>
      <w:r/>
      <w:bookmarkStart w:id="525" w:name="_Toc53068245"/>
      <w:r/>
      <w:bookmarkStart w:id="526" w:name="_Toc53068455"/>
      <w:r/>
      <w:bookmarkStart w:id="527" w:name="_Toc53067928"/>
      <w:r/>
      <w:bookmarkStart w:id="528" w:name="_Toc85042555"/>
      <w:r/>
      <w:bookmarkStart w:id="529" w:name="_Toc53068654"/>
      <w:r/>
      <w:bookmarkStart w:id="530" w:name="_Toc85557686"/>
      <w:r/>
      <w:bookmarkStart w:id="531" w:name="_Toc53046622"/>
      <w:r/>
      <w:bookmarkStart w:id="532" w:name="_Toc53068129"/>
      <w:r/>
      <w:bookmarkStart w:id="533" w:name="_Toc85557691"/>
      <w:r/>
      <w:bookmarkStart w:id="534" w:name="_Toc85557557"/>
      <w:r/>
      <w:bookmarkStart w:id="535" w:name="_Toc53068593"/>
      <w:r/>
      <w:bookmarkStart w:id="536" w:name="_Toc85557559"/>
      <w:r/>
      <w:bookmarkStart w:id="537" w:name="_Toc53068591"/>
      <w:r/>
      <w:bookmarkStart w:id="538" w:name="_Toc85557505"/>
      <w:r/>
      <w:bookmarkStart w:id="539" w:name="_Toc85557640"/>
      <w:r/>
      <w:bookmarkStart w:id="540" w:name="_Toc85557687"/>
      <w:r/>
      <w:bookmarkStart w:id="541" w:name="_Toc85557635"/>
      <w:r/>
      <w:bookmarkStart w:id="542" w:name="_Toc85042498"/>
      <w:r/>
      <w:bookmarkStart w:id="543" w:name="_Toc53068515"/>
      <w:r/>
      <w:bookmarkStart w:id="544" w:name="_Toc53047088"/>
      <w:r/>
      <w:bookmarkStart w:id="545" w:name="_Toc53068652"/>
      <w:r/>
      <w:bookmarkStart w:id="546" w:name="_Toc85557692"/>
      <w:r/>
      <w:bookmarkStart w:id="547" w:name="_Toc85557509"/>
      <w:r/>
      <w:bookmarkStart w:id="548" w:name="_Toc85042548"/>
      <w:r/>
      <w:bookmarkStart w:id="549" w:name="_Toc75432539"/>
      <w:r/>
      <w:bookmarkStart w:id="550" w:name="_Toc53068723"/>
      <w:r/>
      <w:bookmarkStart w:id="551" w:name="_Toc53068307"/>
      <w:r/>
      <w:bookmarkStart w:id="552" w:name="_Toc85042503"/>
      <w:r/>
      <w:bookmarkStart w:id="553" w:name="_Toc85622874"/>
      <w:r/>
      <w:bookmarkStart w:id="554" w:name="_Toc75432540"/>
      <w:r/>
      <w:bookmarkStart w:id="555" w:name="_Toc85557638"/>
      <w:r/>
      <w:bookmarkStart w:id="556" w:name="_Toc85557689"/>
      <w:r/>
      <w:bookmarkStart w:id="557" w:name="_Toc53068069"/>
      <w:r/>
      <w:bookmarkStart w:id="558" w:name="_Toc85557641"/>
      <w:r/>
      <w:bookmarkStart w:id="559" w:name="_Toc53068793"/>
      <w:r/>
      <w:bookmarkStart w:id="560" w:name="_Toc75432536"/>
      <w:r/>
      <w:bookmarkStart w:id="561" w:name="_Toc85622922"/>
      <w:r/>
      <w:bookmarkStart w:id="562" w:name="_Toc75432535"/>
      <w:r/>
      <w:bookmarkStart w:id="563" w:name="_Toc53047087"/>
      <w:r/>
      <w:bookmarkStart w:id="564" w:name="_Toc85557502"/>
      <w:r/>
      <w:bookmarkStart w:id="565" w:name="_Toc53068067"/>
      <w:r/>
      <w:bookmarkStart w:id="566" w:name="_Toc85042506"/>
      <w:r/>
      <w:bookmarkStart w:id="567" w:name="_Toc53068595"/>
      <w:r/>
      <w:bookmarkStart w:id="568" w:name="_Toc75432541"/>
      <w:r/>
      <w:bookmarkStart w:id="569" w:name="_Toc53068734"/>
      <w:r/>
      <w:bookmarkStart w:id="570" w:name="_Toc53068070"/>
      <w:r/>
      <w:bookmarkStart w:id="571" w:name="_Toc53068514"/>
      <w:r/>
      <w:bookmarkStart w:id="572" w:name="_Toc53229080"/>
      <w:r/>
      <w:bookmarkStart w:id="573" w:name="_Toc140505127"/>
      <w:r/>
      <w:bookmarkEnd w:id="425"/>
      <w:r/>
      <w:bookmarkEnd w:id="426"/>
      <w:r/>
      <w:bookmarkEnd w:id="427"/>
      <w:r/>
      <w:bookmarkEnd w:id="428"/>
      <w:r/>
      <w:bookmarkEnd w:id="429"/>
      <w:r/>
      <w:bookmarkEnd w:id="430"/>
      <w:r/>
      <w:bookmarkEnd w:id="431"/>
      <w:r/>
      <w:bookmarkEnd w:id="432"/>
      <w:r/>
      <w:bookmarkEnd w:id="433"/>
      <w:r/>
      <w:bookmarkEnd w:id="434"/>
      <w:r/>
      <w:bookmarkEnd w:id="435"/>
      <w:r/>
      <w:bookmarkEnd w:id="436"/>
      <w:r/>
      <w:bookmarkEnd w:id="437"/>
      <w:r/>
      <w:bookmarkEnd w:id="438"/>
      <w:r/>
      <w:bookmarkEnd w:id="439"/>
      <w:r/>
      <w:bookmarkEnd w:id="440"/>
      <w:r/>
      <w:bookmarkEnd w:id="441"/>
      <w:r/>
      <w:bookmarkEnd w:id="442"/>
      <w:r/>
      <w:bookmarkEnd w:id="443"/>
      <w:r/>
      <w:bookmarkEnd w:id="444"/>
      <w:r/>
      <w:bookmarkEnd w:id="445"/>
      <w:r/>
      <w:bookmarkEnd w:id="446"/>
      <w:r/>
      <w:bookmarkEnd w:id="447"/>
      <w:r/>
      <w:bookmarkEnd w:id="448"/>
      <w:r/>
      <w:bookmarkEnd w:id="449"/>
      <w:r/>
      <w:bookmarkEnd w:id="450"/>
      <w:r/>
      <w:bookmarkEnd w:id="451"/>
      <w:r/>
      <w:bookmarkEnd w:id="452"/>
      <w:r/>
      <w:bookmarkEnd w:id="453"/>
      <w:r/>
      <w:bookmarkEnd w:id="454"/>
      <w:r/>
      <w:bookmarkEnd w:id="455"/>
      <w:r/>
      <w:bookmarkEnd w:id="456"/>
      <w:r/>
      <w:bookmarkEnd w:id="457"/>
      <w:r/>
      <w:bookmarkEnd w:id="458"/>
      <w:r/>
      <w:bookmarkEnd w:id="459"/>
      <w:r/>
      <w:bookmarkEnd w:id="460"/>
      <w:r/>
      <w:bookmarkEnd w:id="461"/>
      <w:r/>
      <w:bookmarkEnd w:id="462"/>
      <w:r/>
      <w:bookmarkEnd w:id="463"/>
      <w:r/>
      <w:bookmarkEnd w:id="464"/>
      <w:r/>
      <w:bookmarkEnd w:id="465"/>
      <w:r/>
      <w:bookmarkEnd w:id="466"/>
      <w:r/>
      <w:bookmarkEnd w:id="467"/>
      <w:r/>
      <w:bookmarkEnd w:id="468"/>
      <w:r/>
      <w:bookmarkEnd w:id="469"/>
      <w:r/>
      <w:bookmarkEnd w:id="470"/>
      <w:r/>
      <w:bookmarkEnd w:id="471"/>
      <w:r/>
      <w:bookmarkEnd w:id="472"/>
      <w:r/>
      <w:bookmarkEnd w:id="473"/>
      <w:r/>
      <w:bookmarkEnd w:id="474"/>
      <w:r/>
      <w:bookmarkEnd w:id="475"/>
      <w:r/>
      <w:bookmarkEnd w:id="476"/>
      <w:r/>
      <w:bookmarkEnd w:id="477"/>
      <w:r/>
      <w:bookmarkEnd w:id="478"/>
      <w:r/>
      <w:bookmarkEnd w:id="479"/>
      <w:r/>
      <w:bookmarkEnd w:id="480"/>
      <w:r/>
      <w:bookmarkEnd w:id="481"/>
      <w:r/>
      <w:bookmarkEnd w:id="482"/>
      <w:r/>
      <w:bookmarkEnd w:id="483"/>
      <w:r/>
      <w:bookmarkEnd w:id="484"/>
      <w:r/>
      <w:bookmarkEnd w:id="485"/>
      <w:r/>
      <w:bookmarkEnd w:id="486"/>
      <w:r/>
      <w:bookmarkEnd w:id="487"/>
      <w:r/>
      <w:bookmarkEnd w:id="488"/>
      <w:r/>
      <w:bookmarkEnd w:id="489"/>
      <w:r/>
      <w:bookmarkEnd w:id="490"/>
      <w:r/>
      <w:bookmarkEnd w:id="491"/>
      <w:r/>
      <w:bookmarkEnd w:id="492"/>
      <w:r/>
      <w:bookmarkEnd w:id="493"/>
      <w:r/>
      <w:bookmarkEnd w:id="494"/>
      <w:r/>
      <w:bookmarkEnd w:id="495"/>
      <w:r/>
      <w:bookmarkEnd w:id="496"/>
      <w:r/>
      <w:bookmarkEnd w:id="497"/>
      <w:r/>
      <w:bookmarkEnd w:id="498"/>
      <w:r/>
      <w:bookmarkEnd w:id="499"/>
      <w:r/>
      <w:bookmarkEnd w:id="500"/>
      <w:r/>
      <w:bookmarkEnd w:id="501"/>
      <w:r/>
      <w:bookmarkEnd w:id="502"/>
      <w:r/>
      <w:bookmarkEnd w:id="503"/>
      <w:r/>
      <w:bookmarkEnd w:id="504"/>
      <w:r/>
      <w:bookmarkEnd w:id="505"/>
      <w:r/>
      <w:bookmarkEnd w:id="506"/>
      <w:r/>
      <w:bookmarkEnd w:id="507"/>
      <w:r/>
      <w:bookmarkEnd w:id="508"/>
      <w:r/>
      <w:bookmarkEnd w:id="509"/>
      <w:r/>
      <w:bookmarkEnd w:id="510"/>
      <w:r/>
      <w:bookmarkEnd w:id="511"/>
      <w:r/>
      <w:bookmarkEnd w:id="512"/>
      <w:r/>
      <w:bookmarkEnd w:id="513"/>
      <w:r/>
      <w:bookmarkEnd w:id="514"/>
      <w:r/>
      <w:bookmarkEnd w:id="515"/>
      <w:r/>
      <w:bookmarkEnd w:id="516"/>
      <w:r/>
      <w:bookmarkEnd w:id="517"/>
      <w:r/>
      <w:bookmarkEnd w:id="518"/>
      <w:r/>
      <w:bookmarkEnd w:id="519"/>
      <w:r/>
      <w:bookmarkEnd w:id="520"/>
      <w:r/>
      <w:bookmarkEnd w:id="521"/>
      <w:r/>
      <w:bookmarkEnd w:id="522"/>
      <w:r/>
      <w:bookmarkEnd w:id="523"/>
      <w:r/>
      <w:bookmarkEnd w:id="524"/>
      <w:r/>
      <w:bookmarkEnd w:id="525"/>
      <w:r/>
      <w:bookmarkEnd w:id="526"/>
      <w:r/>
      <w:bookmarkEnd w:id="527"/>
      <w:r/>
      <w:bookmarkEnd w:id="528"/>
      <w:r/>
      <w:bookmarkEnd w:id="529"/>
      <w:r/>
      <w:bookmarkEnd w:id="530"/>
      <w:r/>
      <w:bookmarkEnd w:id="531"/>
      <w:r/>
      <w:bookmarkEnd w:id="532"/>
      <w:r/>
      <w:bookmarkEnd w:id="533"/>
      <w:r/>
      <w:bookmarkEnd w:id="534"/>
      <w:r/>
      <w:bookmarkEnd w:id="535"/>
      <w:r/>
      <w:bookmarkEnd w:id="536"/>
      <w:r/>
      <w:bookmarkEnd w:id="537"/>
      <w:r/>
      <w:bookmarkEnd w:id="538"/>
      <w:r/>
      <w:bookmarkEnd w:id="539"/>
      <w:r/>
      <w:bookmarkEnd w:id="540"/>
      <w:r/>
      <w:bookmarkEnd w:id="541"/>
      <w:r/>
      <w:bookmarkEnd w:id="542"/>
      <w:r/>
      <w:bookmarkEnd w:id="543"/>
      <w:r/>
      <w:bookmarkEnd w:id="544"/>
      <w:r/>
      <w:bookmarkEnd w:id="545"/>
      <w:r/>
      <w:bookmarkEnd w:id="546"/>
      <w:r/>
      <w:bookmarkEnd w:id="547"/>
      <w:r/>
      <w:bookmarkEnd w:id="548"/>
      <w:r/>
      <w:bookmarkEnd w:id="549"/>
      <w:r/>
      <w:bookmarkEnd w:id="550"/>
      <w:r/>
      <w:bookmarkEnd w:id="551"/>
      <w:r/>
      <w:bookmarkEnd w:id="552"/>
      <w:r/>
      <w:bookmarkEnd w:id="553"/>
      <w:r/>
      <w:bookmarkEnd w:id="554"/>
      <w:r/>
      <w:bookmarkEnd w:id="555"/>
      <w:r/>
      <w:bookmarkEnd w:id="556"/>
      <w:r/>
      <w:bookmarkEnd w:id="557"/>
      <w:r/>
      <w:bookmarkEnd w:id="558"/>
      <w:r/>
      <w:bookmarkEnd w:id="559"/>
      <w:r/>
      <w:bookmarkEnd w:id="560"/>
      <w:r/>
      <w:bookmarkEnd w:id="561"/>
      <w:r/>
      <w:bookmarkEnd w:id="562"/>
      <w:r/>
      <w:bookmarkEnd w:id="563"/>
      <w:r/>
      <w:bookmarkEnd w:id="564"/>
      <w:r/>
      <w:bookmarkEnd w:id="565"/>
      <w:r/>
      <w:bookmarkEnd w:id="566"/>
      <w:r/>
      <w:bookmarkEnd w:id="567"/>
      <w:r/>
      <w:bookmarkEnd w:id="568"/>
      <w:r/>
      <w:bookmarkEnd w:id="569"/>
      <w:r/>
      <w:bookmarkEnd w:id="570"/>
      <w:r/>
      <w:bookmarkEnd w:id="571"/>
      <w:r>
        <w:t xml:space="preserve">关联交易合同及执行汇总</w:t>
      </w:r>
      <w:bookmarkEnd w:id="572"/>
      <w:r/>
      <w:bookmarkEnd w:id="573"/>
      <w:r/>
      <w:r>
        <w:rPr>
          <w:b/>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评估期间，松莉科技与关联方均依据协议中的条款和约定履行各自的责任和义务。</w:t>
      </w:r>
      <w:r>
        <w:rPr>
          <w:rFonts w:ascii="Arial Narrow" w:hAnsi="Arial Narrow" w:eastAsia="仿宋_GB2312" w:cs="Arial"/>
          <w:sz w:val="22"/>
          <w:szCs w:val="22"/>
        </w:rPr>
      </w:r>
    </w:p>
    <w:p>
      <w:pPr>
        <w:pStyle w:val="1324"/>
        <w:pBdr/>
        <w:spacing/>
        <w:ind/>
        <w:rPr/>
      </w:pPr>
      <w:r/>
      <w:bookmarkStart w:id="574" w:name="_Toc140505128"/>
      <w:r/>
      <w:bookmarkStart w:id="575" w:name="_Toc53229081"/>
      <w:r>
        <w:t xml:space="preserve">与企业关联交易直接相关的预约定价安排和其他税收裁定</w:t>
      </w:r>
      <w:bookmarkEnd w:id="574"/>
      <w:r/>
      <w:bookmarkEnd w:id="575"/>
      <w:r/>
      <w:r/>
    </w:p>
    <w:p>
      <w:pPr>
        <w:pBdr/>
        <w:spacing w:after="180" w:before="180" w:line="360" w:lineRule="auto"/>
        <w:ind w:firstLine="440"/>
        <w:jc w:val="both"/>
        <w:rPr>
          <w:rFonts w:ascii="Arial Narrow" w:hAnsi="Arial Narrow" w:eastAsia="仿宋_GB2312" w:cs="Arial"/>
          <w:sz w:val="22"/>
          <w:szCs w:val="22"/>
        </w:rPr>
      </w:pPr>
      <w:r/>
      <w:bookmarkStart w:id="576" w:name="_Toc489951927"/>
      <w:r/>
      <w:bookmarkStart w:id="577" w:name="_Toc489951925"/>
      <w:r/>
      <w:bookmarkStart w:id="578" w:name="_Toc522205789"/>
      <w:r/>
      <w:bookmarkStart w:id="579" w:name="_Toc522205790"/>
      <w:r/>
      <w:bookmarkStart w:id="580" w:name="_Toc489951924"/>
      <w:r/>
      <w:bookmarkEnd w:id="576"/>
      <w:r/>
      <w:bookmarkEnd w:id="577"/>
      <w:r/>
      <w:bookmarkEnd w:id="578"/>
      <w:r/>
      <w:bookmarkEnd w:id="579"/>
      <w:r/>
      <w:bookmarkEnd w:id="580"/>
      <w:r>
        <w:rPr>
          <w:rFonts w:ascii="Arial Narrow" w:hAnsi="Arial Narrow" w:eastAsia="仿宋_GB2312" w:cs="Arial"/>
          <w:sz w:val="22"/>
          <w:szCs w:val="22"/>
        </w:rPr>
        <w:t xml:space="preserve">评估期间，松莉科技无与企业关联交易直接相关的预约定价安排和作出的其他税收裁定。</w:t>
      </w:r>
      <w:r>
        <w:rPr>
          <w:rFonts w:ascii="Arial Narrow" w:hAnsi="Arial Narrow" w:eastAsia="仿宋_GB2312" w:cs="Arial"/>
          <w:sz w:val="22"/>
          <w:szCs w:val="22"/>
        </w:rPr>
      </w:r>
    </w:p>
    <w:p>
      <w:pPr>
        <w:pStyle w:val="1324"/>
        <w:pBdr/>
        <w:spacing/>
        <w:ind/>
        <w:rPr/>
      </w:pPr>
      <w:r/>
      <w:bookmarkStart w:id="581" w:name="_Toc140505129"/>
      <w:r/>
      <w:bookmarkStart w:id="582" w:name="_Toc53229082"/>
      <w:r>
        <w:t xml:space="preserve">关联交易财务状况</w:t>
      </w:r>
      <w:bookmarkEnd w:id="581"/>
      <w:r/>
      <w:bookmarkEnd w:id="582"/>
      <w: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松莉科技按照客户类型进行收入划分，即根据客户是否是境内公司将销售收入明确划分成境内关联交易收入和境外关联交易收入。具体拆分数据详见附件2《企业年度关联交易财务状况分析表》。</w:t>
      </w:r>
      <w:r>
        <w:rPr>
          <w:rFonts w:ascii="Arial Narrow" w:hAnsi="Arial Narrow" w:eastAsia="仿宋_GB2312" w:cs="Arial"/>
          <w:sz w:val="22"/>
          <w:szCs w:val="22"/>
        </w:rPr>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松莉科技原则上根据实际情况在不同的交易类型中归集、划分成本和费用，对于不能按照实际情况划分的成本和费用，松莉科技按照合理比例进行划分。</w:t>
      </w:r>
      <w:r>
        <w:rPr>
          <w:rFonts w:ascii="Arial Narrow" w:hAnsi="Arial Narrow" w:eastAsia="仿宋_GB2312" w:cs="Arial"/>
          <w:sz w:val="22"/>
          <w:szCs w:val="22"/>
        </w:rPr>
      </w:r>
    </w:p>
    <w:p>
      <w:pPr>
        <w:pStyle w:val="1324"/>
        <w:pBdr/>
        <w:spacing/>
        <w:ind/>
        <w:rPr>
          <w:b/>
        </w:rPr>
      </w:pPr>
      <w:r/>
      <w:bookmarkStart w:id="583" w:name="_Toc141178826"/>
      <w:r>
        <w:rPr>
          <w:rFonts w:hint="eastAsia"/>
        </w:rPr>
        <w:t xml:space="preserve">对外投资</w:t>
      </w:r>
      <w:bookmarkEnd w:id="583"/>
      <w:r/>
      <w:r>
        <w:rPr>
          <w:b/>
        </w:rPr>
      </w:r>
    </w:p>
    <w:p>
      <w:pPr>
        <w:pBdr/>
        <w:spacing w:after="180" w:before="180" w:line="360" w:lineRule="auto"/>
        <w:ind w:firstLine="440"/>
        <w:jc w:val="both"/>
        <w:rPr>
          <w:rFonts w:ascii="Arial Narrow" w:hAnsi="Arial Narrow" w:eastAsia="仿宋_GB2312" w:cs="Arial"/>
          <w:sz w:val="22"/>
          <w:szCs w:val="22"/>
        </w:rPr>
      </w:pPr>
      <w:r>
        <w:rPr>
          <w:rFonts w:hint="eastAsia" w:ascii="Arial Narrow" w:hAnsi="Arial Narrow" w:eastAsia="仿宋_GB2312" w:cs="Arial"/>
          <w:sz w:val="22"/>
          <w:szCs w:val="22"/>
        </w:rPr>
        <w:t xml:space="preserve">评估期间，松莉科技无对境外投资。松莉科技拥有境内子公司美缤纷品牌管理（上海）有限公司，持股比例100%。</w:t>
      </w:r>
      <w:r>
        <w:rPr>
          <w:rFonts w:hint="eastAsia" w:ascii="Arial Narrow" w:hAnsi="Arial Narrow" w:eastAsia="仿宋_GB2312" w:cs="Arial"/>
          <w:sz w:val="22"/>
          <w:szCs w:val="22"/>
        </w:rPr>
      </w:r>
      <w:r>
        <w:rPr>
          <w:rFonts w:ascii="Arial Narrow" w:hAnsi="Arial Narrow" w:eastAsia="仿宋_GB2312" w:cs="Arial"/>
          <w:sz w:val="22"/>
          <w:szCs w:val="22"/>
        </w:rPr>
      </w:r>
    </w:p>
    <w:p>
      <w:pPr>
        <w:pStyle w:val="1324"/>
        <w:pBdr/>
        <w:spacing/>
        <w:ind/>
        <w:rPr>
          <w:b/>
        </w:rPr>
      </w:pPr>
      <w:r/>
      <w:bookmarkStart w:id="584" w:name="_Toc53229083"/>
      <w:r/>
      <w:bookmarkStart w:id="585" w:name="_Toc140505130"/>
      <w:r>
        <w:t xml:space="preserve">结论</w:t>
      </w:r>
      <w:bookmarkEnd w:id="584"/>
      <w:r/>
      <w:bookmarkEnd w:id="585"/>
      <w:r/>
      <w:r>
        <w:rPr>
          <w:b/>
        </w:rPr>
      </w:r>
    </w:p>
    <w:p>
      <w:pPr>
        <w:pBdr/>
        <w:spacing w:after="180" w:before="180" w:line="360" w:lineRule="auto"/>
        <w:ind w:firstLine="440"/>
        <w:jc w:val="both"/>
        <w:rPr>
          <w:rStyle w:val="1377"/>
          <w:rFonts w:ascii="Arial Narrow" w:hAnsi="Arial Narrow" w:eastAsia="仿宋_GB2312" w:cs="Arial"/>
        </w:rPr>
      </w:pPr>
      <w:r>
        <w:rPr>
          <w:rFonts w:ascii="Arial Narrow" w:hAnsi="Arial Narrow" w:eastAsia="仿宋_GB2312" w:cs="Arial"/>
          <w:sz w:val="22"/>
          <w:szCs w:val="22"/>
        </w:rPr>
        <w:t xml:space="preserve">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1377"/>
          <w:rFonts w:ascii="Arial Narrow" w:hAnsi="Arial Narrow" w:eastAsia="仿宋_GB2312" w:cs="Arial"/>
          <w:sz w:val="22"/>
          <w:szCs w:val="22"/>
        </w:rPr>
        <w:footnoteReference w:id="13"/>
      </w:r>
      <w:r>
        <w:rPr>
          <w:rStyle w:val="1377"/>
          <w:rFonts w:ascii="Arial Narrow" w:hAnsi="Arial Narrow" w:eastAsia="仿宋_GB2312" w:cs="Arial"/>
        </w:rPr>
      </w:r>
    </w:p>
    <w:p>
      <w:pPr>
        <w:pBdr/>
        <w:spacing w:after="180" w:before="180" w:line="360" w:lineRule="auto"/>
        <w:ind w:firstLine="440"/>
        <w:jc w:val="both"/>
        <w:rPr>
          <w:rFonts w:ascii="Arial Narrow" w:hAnsi="Arial Narrow" w:eastAsia="仿宋_GB2312" w:cs="Arial"/>
          <w:b/>
          <w:sz w:val="36"/>
          <w:szCs w:val="36"/>
        </w:rPr>
      </w:pPr>
      <w:r>
        <w:rPr>
          <w:rFonts w:ascii="Arial Narrow" w:hAnsi="Arial Narrow" w:eastAsia="仿宋_GB2312" w:cs="Arial"/>
          <w:sz w:val="22"/>
          <w:szCs w:val="22"/>
        </w:rPr>
        <w:t xml:space="preserve">评估期间，松莉科技主要从事生产经营化妆品产品，其关联交易主要涉及关联购销，共计人民币295,427,614.07元。除此以外，评估期间，松莉科技不涉及其他关联交易，我们将对松莉科技的整体财务数据进行分析。</w:t>
      </w:r>
      <w:r>
        <w:rPr>
          <w:rFonts w:ascii="Arial Narrow" w:hAnsi="Arial Narrow" w:eastAsia="仿宋_GB2312" w:cs="Arial"/>
        </w:rPr>
        <w:br w:type="page" w:clear="all"/>
      </w:r>
      <w:r>
        <w:rPr>
          <w:rFonts w:ascii="Arial Narrow" w:hAnsi="Arial Narrow" w:eastAsia="仿宋_GB2312" w:cs="Arial"/>
          <w:b/>
          <w:sz w:val="36"/>
          <w:szCs w:val="36"/>
        </w:rPr>
      </w:r>
    </w:p>
    <w:p>
      <w:pPr>
        <w:pStyle w:val="1323"/>
        <w:pBdr/>
        <w:spacing/>
        <w:ind/>
        <w:rPr>
          <w:b/>
        </w:rPr>
      </w:pPr>
      <w:r/>
      <w:bookmarkStart w:id="586" w:name="_Toc140505131"/>
      <w:r/>
      <w:bookmarkStart w:id="587" w:name="_Toc53229084"/>
      <w:r>
        <w:t xml:space="preserve">功能和风险分析</w:t>
      </w:r>
      <w:bookmarkEnd w:id="586"/>
      <w:r/>
      <w:bookmarkEnd w:id="587"/>
      <w:r/>
      <w:r>
        <w:rPr>
          <w:b/>
        </w:rPr>
      </w:r>
    </w:p>
    <w:p>
      <w:pPr>
        <w:pStyle w:val="1324"/>
        <w:pBdr/>
        <w:spacing/>
        <w:ind/>
        <w:rPr/>
      </w:pPr>
      <w:r/>
      <w:bookmarkStart w:id="588" w:name="_Toc140505132"/>
      <w:r/>
      <w:bookmarkStart w:id="589" w:name="_Toc53229085"/>
      <w:r>
        <w:t xml:space="preserve">简介</w:t>
      </w:r>
      <w:bookmarkEnd w:id="588"/>
      <w:r/>
      <w:bookmarkEnd w:id="589"/>
      <w:r/>
      <w:r/>
    </w:p>
    <w:p>
      <w:pPr>
        <w:pBdr/>
        <w:spacing w:after="180" w:before="180" w:line="360" w:lineRule="auto"/>
        <w:ind w:firstLine="440"/>
        <w:jc w:val="both"/>
        <w:rPr>
          <w:rFonts w:ascii="Arial Narrow" w:hAnsi="Arial Narrow" w:eastAsia="仿宋_GB2312" w:cs="Arial"/>
        </w:rPr>
      </w:pPr>
      <w:r/>
      <w:bookmarkStart w:id="590" w:name="_Toc48582988"/>
      <w:r/>
      <w:bookmarkStart w:id="591" w:name="_Toc48317267"/>
      <w:r/>
      <w:bookmarkStart w:id="592" w:name="_Toc48317265"/>
      <w:r/>
      <w:bookmarkStart w:id="593" w:name="_Toc48317149"/>
      <w:r/>
      <w:bookmarkStart w:id="594" w:name="_Toc48317150"/>
      <w:r/>
      <w:bookmarkStart w:id="595" w:name="_Toc48317266"/>
      <w:r/>
      <w:bookmarkStart w:id="596" w:name="_Toc48317269"/>
      <w:r/>
      <w:bookmarkStart w:id="597" w:name="_Toc48317451"/>
      <w:r/>
      <w:bookmarkStart w:id="598" w:name="_Toc48317268"/>
      <w:r/>
      <w:bookmarkStart w:id="599" w:name="_Toc48582985"/>
      <w:r/>
      <w:bookmarkStart w:id="600" w:name="_Toc48399589"/>
      <w:r/>
      <w:bookmarkStart w:id="601" w:name="_Toc48582574"/>
      <w:r/>
      <w:bookmarkStart w:id="602" w:name="_Toc48317450"/>
      <w:r/>
      <w:bookmarkStart w:id="603" w:name="_Toc48582986"/>
      <w:r/>
      <w:bookmarkStart w:id="604" w:name="_Toc48317454"/>
      <w:r/>
      <w:bookmarkStart w:id="605" w:name="_Toc48582572"/>
      <w:r/>
      <w:bookmarkStart w:id="606" w:name="_Toc48582575"/>
      <w:r/>
      <w:bookmarkStart w:id="607" w:name="_Toc48317452"/>
      <w:r/>
      <w:bookmarkStart w:id="608" w:name="_Toc48399592"/>
      <w:r/>
      <w:bookmarkStart w:id="609" w:name="_Toc48317147"/>
      <w:r/>
      <w:bookmarkStart w:id="610" w:name="_Toc48582573"/>
      <w:r/>
      <w:bookmarkStart w:id="611" w:name="_Toc48582984"/>
      <w:r/>
      <w:bookmarkStart w:id="612" w:name="_Toc48582571"/>
      <w:r/>
      <w:bookmarkStart w:id="613" w:name="_Toc48317453"/>
      <w:r/>
      <w:bookmarkStart w:id="614" w:name="_Toc48399588"/>
      <w:r/>
      <w:bookmarkStart w:id="615" w:name="_Toc48399591"/>
      <w:r/>
      <w:bookmarkStart w:id="616" w:name="_Toc48317148"/>
      <w:r/>
      <w:bookmarkStart w:id="617" w:name="_Toc48582987"/>
      <w:r/>
      <w:bookmarkStart w:id="618" w:name="_Toc48399590"/>
      <w:r/>
      <w:bookmarkStart w:id="619" w:name="_Toc48317146"/>
      <w:r/>
      <w:bookmarkStart w:id="620" w:name="_Toc48317151"/>
      <w:r/>
      <w:bookmarkStart w:id="621" w:name="_Toc48317455"/>
      <w:r/>
      <w:bookmarkEnd w:id="590"/>
      <w:r/>
      <w:bookmarkEnd w:id="591"/>
      <w:r/>
      <w:bookmarkEnd w:id="592"/>
      <w:r/>
      <w:bookmarkEnd w:id="593"/>
      <w:r/>
      <w:bookmarkEnd w:id="594"/>
      <w:r/>
      <w:bookmarkEnd w:id="595"/>
      <w:r/>
      <w:bookmarkEnd w:id="596"/>
      <w:r/>
      <w:bookmarkEnd w:id="597"/>
      <w:r/>
      <w:bookmarkEnd w:id="598"/>
      <w:r/>
      <w:bookmarkEnd w:id="599"/>
      <w:r/>
      <w:bookmarkEnd w:id="600"/>
      <w:r/>
      <w:bookmarkEnd w:id="601"/>
      <w:r/>
      <w:bookmarkEnd w:id="602"/>
      <w:r/>
      <w:bookmarkEnd w:id="603"/>
      <w:r/>
      <w:bookmarkEnd w:id="604"/>
      <w:r/>
      <w:bookmarkEnd w:id="605"/>
      <w:r/>
      <w:bookmarkEnd w:id="606"/>
      <w:r/>
      <w:bookmarkEnd w:id="607"/>
      <w:r/>
      <w:bookmarkEnd w:id="608"/>
      <w:r/>
      <w:bookmarkEnd w:id="609"/>
      <w:r/>
      <w:bookmarkEnd w:id="610"/>
      <w:r/>
      <w:bookmarkEnd w:id="611"/>
      <w:r/>
      <w:bookmarkEnd w:id="612"/>
      <w:r/>
      <w:bookmarkEnd w:id="613"/>
      <w:r/>
      <w:bookmarkEnd w:id="614"/>
      <w:r/>
      <w:bookmarkEnd w:id="615"/>
      <w:r/>
      <w:bookmarkEnd w:id="616"/>
      <w:r/>
      <w:bookmarkEnd w:id="617"/>
      <w:r/>
      <w:bookmarkEnd w:id="618"/>
      <w:r/>
      <w:bookmarkEnd w:id="619"/>
      <w:r>
        <w:rPr>
          <w:rFonts w:ascii="Arial Narrow" w:hAnsi="Arial Narrow" w:eastAsia="仿宋_GB2312" w:cs="Arial"/>
          <w:sz w:val="22"/>
          <w:szCs w:val="22"/>
        </w:rPr>
        <w:t xml:space="preserve">功能和风险分析有助于理解和验证相关的转让定价安排，也是中国转让定价法规规定必须进行的分析。功能和风险分析部分所收集的信息，将被用来分析评估期间的以下问题：</w:t>
      </w:r>
      <w:r>
        <w:rPr>
          <w:rFonts w:ascii="Arial Narrow" w:hAnsi="Arial Narrow" w:eastAsia="仿宋_GB2312" w:cs="Arial"/>
        </w:rPr>
      </w:r>
    </w:p>
    <w:p>
      <w:pPr>
        <w:pStyle w:val="1443"/>
        <w:numPr>
          <w:ilvl w:val="0"/>
          <w:numId w:val="18"/>
        </w:numPr>
        <w:pBdr/>
        <w:spacing w:after="180" w:before="180" w:line="360" w:lineRule="auto"/>
        <w:ind/>
        <w:jc w:val="both"/>
        <w:rPr>
          <w:rFonts w:ascii="Arial Narrow" w:hAnsi="Arial Narrow" w:eastAsia="仿宋_GB2312" w:cs="Arial"/>
        </w:rPr>
      </w:pPr>
      <w:r>
        <w:rPr>
          <w:rFonts w:ascii="Arial Narrow" w:hAnsi="Arial Narrow" w:eastAsia="仿宋_GB2312" w:cs="Arial"/>
        </w:rPr>
        <w:t xml:space="preserve">企业及其关联方执行的主要功能（包括种类和频繁程度）；</w:t>
      </w:r>
      <w:r>
        <w:rPr>
          <w:rFonts w:ascii="Arial Narrow" w:hAnsi="Arial Narrow" w:eastAsia="仿宋_GB2312" w:cs="Arial"/>
        </w:rPr>
      </w:r>
    </w:p>
    <w:p>
      <w:pPr>
        <w:pStyle w:val="1443"/>
        <w:numPr>
          <w:ilvl w:val="0"/>
          <w:numId w:val="18"/>
        </w:numPr>
        <w:pBdr/>
        <w:spacing w:after="180" w:before="180" w:line="360" w:lineRule="auto"/>
        <w:ind/>
        <w:jc w:val="both"/>
        <w:rPr>
          <w:rFonts w:ascii="Arial Narrow" w:hAnsi="Arial Narrow" w:eastAsia="仿宋_GB2312" w:cs="Arial"/>
        </w:rPr>
      </w:pPr>
      <w:r>
        <w:rPr>
          <w:rFonts w:ascii="Arial Narrow" w:hAnsi="Arial Narrow" w:eastAsia="仿宋_GB2312" w:cs="Arial"/>
        </w:rPr>
        <w:t xml:space="preserve">企业及其关联方所承担的风险； </w:t>
      </w:r>
      <w:r>
        <w:rPr>
          <w:rFonts w:ascii="Arial Narrow" w:hAnsi="Arial Narrow" w:eastAsia="仿宋_GB2312" w:cs="Arial"/>
        </w:rPr>
      </w:r>
      <w:r>
        <w:rPr>
          <w:rFonts w:ascii="Arial Narrow" w:hAnsi="Arial Narrow" w:eastAsia="仿宋_GB2312" w:cs="Arial"/>
        </w:rPr>
      </w:r>
    </w:p>
    <w:p>
      <w:pPr>
        <w:pStyle w:val="1443"/>
        <w:numPr>
          <w:ilvl w:val="0"/>
          <w:numId w:val="18"/>
        </w:numPr>
        <w:pBdr/>
        <w:spacing w:after="180" w:before="180" w:line="360" w:lineRule="auto"/>
        <w:ind/>
        <w:jc w:val="both"/>
        <w:rPr>
          <w:rFonts w:ascii="Arial Narrow" w:hAnsi="Arial Narrow" w:eastAsia="仿宋_GB2312" w:cs="Arial"/>
        </w:rPr>
      </w:pPr>
      <w:r>
        <w:rPr>
          <w:rFonts w:ascii="Arial Narrow" w:hAnsi="Arial Narrow" w:eastAsia="仿宋_GB2312" w:cs="Arial"/>
        </w:rPr>
        <w:t xml:space="preserve">企业及其关联方所使用的资产（包括有形资产和无形资产）。</w:t>
      </w:r>
      <w:r>
        <w:rPr>
          <w:rFonts w:ascii="Arial Narrow" w:hAnsi="Arial Narrow" w:eastAsia="仿宋_GB2312" w:cs="Arial"/>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在本报告的功能和风险分析部分，我们将对松莉科技在受测关联交易中与其关联方之间形成的经济关系进行分析和评估。</w:t>
      </w:r>
      <w:r>
        <w:rPr>
          <w:rFonts w:ascii="Arial Narrow" w:hAnsi="Arial Narrow" w:eastAsia="仿宋_GB2312" w:cs="Arial"/>
          <w:sz w:val="22"/>
          <w:szCs w:val="22"/>
        </w:rPr>
      </w:r>
    </w:p>
    <w:p>
      <w:pPr>
        <w:pStyle w:val="1324"/>
        <w:pBdr/>
        <w:spacing/>
        <w:ind/>
        <w:rPr/>
      </w:pPr>
      <w:r/>
      <w:bookmarkStart w:id="622" w:name="_Toc53229086"/>
      <w:r/>
      <w:bookmarkStart w:id="623" w:name="_Toc140505133"/>
      <w:r>
        <w:t xml:space="preserve">功能及风险分析</w:t>
      </w:r>
      <w:bookmarkEnd w:id="620"/>
      <w:r/>
      <w:bookmarkEnd w:id="621"/>
      <w:r/>
      <w:bookmarkEnd w:id="622"/>
      <w:r/>
      <w:bookmarkEnd w:id="623"/>
      <w:r/>
      <w:r/>
    </w:p>
    <w:p>
      <w:pPr>
        <w:pStyle w:val="1325"/>
        <w:pBdr/>
        <w:spacing/>
        <w:ind/>
        <w:rPr/>
      </w:pPr>
      <w:r/>
      <w:bookmarkStart w:id="624" w:name="_Toc48317456"/>
      <w:r/>
      <w:bookmarkStart w:id="625" w:name="_Toc140505134"/>
      <w:r/>
      <w:bookmarkStart w:id="626" w:name="_Toc53229087"/>
      <w:r>
        <w:t xml:space="preserve">功能分析</w:t>
      </w:r>
      <w:bookmarkEnd w:id="624"/>
      <w:r/>
      <w:bookmarkEnd w:id="625"/>
      <w:r/>
      <w:bookmarkEnd w:id="626"/>
      <w: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此处我们将主要分析松莉科技及其关联方各个业务部门在关联交易中所从事的业务活动，以及关联交易的各个参与方所执行的功能。</w:t>
      </w:r>
      <w:r>
        <w:rPr>
          <w:rFonts w:ascii="Arial Narrow" w:hAnsi="Arial Narrow" w:eastAsia="仿宋_GB2312" w:cs="Arial"/>
          <w:sz w:val="22"/>
          <w:szCs w:val="22"/>
        </w:rPr>
      </w:r>
    </w:p>
    <w:p>
      <w:pPr>
        <w:pStyle w:val="1326"/>
        <w:pBdr/>
        <w:spacing/>
        <w:ind/>
        <w:rPr>
          <w:b/>
          <w:bCs/>
        </w:rPr>
      </w:pPr>
      <w:r>
        <w:t xml:space="preserve">研发功能</w:t>
      </w:r>
      <w:r>
        <w:rPr>
          <w:b/>
          <w:bCs/>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研发功能包括研发活动的决策与实施、新产品的开发、现有产品的改进升级、生产工艺的开发或改进等活动。</w:t>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松莉科技主要从事打样及针对原材料和产品质量方面进行改良，并没有从事实质的研发活动。Markwins集团的研发活动主要发生在Markwins集团母公司，各研发中心或团队都有相应的管理人员负责研发的发展战略、分配研发资源、监督研发运营并与商业运营联络。</w:t>
      </w:r>
      <w:r>
        <w:rPr>
          <w:rFonts w:ascii="Arial Narrow" w:hAnsi="Arial Narrow" w:eastAsia="仿宋_GB2312" w:cs="Arial"/>
          <w:sz w:val="22"/>
          <w:szCs w:val="22"/>
        </w:rPr>
      </w:r>
      <w:r>
        <w:rPr>
          <w:rFonts w:ascii="Arial Narrow" w:hAnsi="Arial Narrow" w:eastAsia="仿宋_GB2312" w:cs="Arial"/>
          <w:sz w:val="22"/>
          <w:szCs w:val="22"/>
        </w:rPr>
      </w:r>
    </w:p>
    <w:p>
      <w:pPr>
        <w:pBdr/>
        <w:spacing w:after="180" w:before="180" w:line="360" w:lineRule="auto"/>
        <w:ind w:firstLine="440"/>
        <w:rPr>
          <w:rFonts w:ascii="Arial Narrow" w:hAnsi="Arial Narrow" w:eastAsia="仿宋_GB2312" w:cs="Arial"/>
          <w:sz w:val="22"/>
          <w:szCs w:val="22"/>
        </w:rPr>
      </w:pPr>
      <w:r>
        <w:rPr>
          <w:rFonts w:ascii="Arial Narrow" w:hAnsi="Arial Narrow" w:eastAsia="仿宋_GB2312" w:cs="Arial"/>
          <w:sz w:val="22"/>
          <w:szCs w:val="22"/>
        </w:rPr>
        <w:t xml:space="preserve">因此，松莉科技在评估期间承担有限的研发功能。</w:t>
      </w:r>
      <w:r>
        <w:rPr>
          <w:rFonts w:ascii="Arial Narrow" w:hAnsi="Arial Narrow" w:eastAsia="仿宋_GB2312" w:cs="Arial"/>
          <w:sz w:val="22"/>
          <w:szCs w:val="22"/>
        </w:rPr>
      </w:r>
      <w:r>
        <w:rPr>
          <w:rFonts w:ascii="Arial Narrow" w:hAnsi="Arial Narrow" w:eastAsia="仿宋_GB2312" w:cs="Arial"/>
          <w:sz w:val="22"/>
          <w:szCs w:val="22"/>
        </w:rPr>
      </w:r>
    </w:p>
    <w:p>
      <w:pPr>
        <w:pStyle w:val="1326"/>
        <w:pBdr/>
        <w:spacing/>
        <w:ind/>
        <w:rPr>
          <w:b/>
          <w:bCs/>
        </w:rPr>
      </w:pPr>
      <w:r>
        <w:t xml:space="preserve">采购功能</w:t>
      </w:r>
      <w:r>
        <w:rPr>
          <w:b/>
          <w:bCs/>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采购功能是指采购在生产过程中所需原材料和其他材料的活动。</w:t>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hint="eastAsia" w:ascii="Arial Narrow" w:hAnsi="Arial Narrow" w:eastAsia="仿宋_GB2312" w:cs="Arial"/>
          <w:sz w:val="22"/>
          <w:szCs w:val="22"/>
        </w:rPr>
        <w:t xml:space="preserve">评估期间，松莉科技的原材料大多是从境内第三方采购。松莉科技负责对第三方供应商进行评估和选择。一般而言，公司在接到订单之后，将根据订单制定物料需求计划，然后根据物料需求计划，寻找适合的供应商并进行询价，经公司的各级部门主管核价后与供应商签订采购单。</w:t>
      </w:r>
      <w:r>
        <w:rPr>
          <w:rFonts w:ascii="Arial Narrow" w:hAnsi="Arial Narrow" w:eastAsia="仿宋_GB2312" w:cs="Arial"/>
          <w:sz w:val="22"/>
          <w:szCs w:val="22"/>
        </w:rPr>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对于境外采购，境外供应商多数为大型化工企业，由Markwins US统一询价以期获得较低的价格。境外关联方Markwins HK和Markwins Pro Art从Markwins US选择的供应商中购入原材料后，以其实际采购价格平价卖给松莉科技。由于这部分原材料的通用性较强，因此松莉科技一般可根据销售预测购入。</w:t>
      </w:r>
      <w:r>
        <w:rPr>
          <w:rFonts w:ascii="Arial Narrow" w:hAnsi="Arial Narrow" w:eastAsia="仿宋_GB2312" w:cs="Arial"/>
          <w:sz w:val="22"/>
          <w:szCs w:val="22"/>
        </w:rPr>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对于所采购的原材料，松莉科技负责抽样检验的工作，以确保其质量和规格符合既定的标准。因此，松莉科技在评估期间执行采购功能。</w:t>
      </w:r>
      <w:r>
        <w:rPr>
          <w:rFonts w:ascii="Arial Narrow" w:hAnsi="Arial Narrow" w:eastAsia="仿宋_GB2312" w:cs="Arial"/>
          <w:sz w:val="22"/>
          <w:szCs w:val="22"/>
        </w:rPr>
      </w:r>
    </w:p>
    <w:p>
      <w:pPr>
        <w:pStyle w:val="1326"/>
        <w:pBdr/>
        <w:spacing/>
        <w:ind/>
        <w:rPr>
          <w:b/>
          <w:bCs/>
        </w:rPr>
      </w:pPr>
      <w:r>
        <w:t xml:space="preserve">生产功能</w:t>
      </w:r>
      <w:r>
        <w:rPr>
          <w:b/>
          <w:bCs/>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生产功能包括生产设备的采购、生产计划的制订、生产流程以及产品的制造和装配等活动。设备购置功能指选购合适的生产设备以用于产品的生产、储存和运输等。生产计划功能是指根据客户的交货要求（包括时间和数量要求）制订生产计划的活动。</w:t>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hint="eastAsia" w:ascii="Arial Narrow" w:hAnsi="Arial Narrow" w:eastAsia="仿宋_GB2312" w:cs="Arial"/>
          <w:sz w:val="22"/>
          <w:szCs w:val="22"/>
        </w:rPr>
        <w:t xml:space="preserve">评估期间，松莉科技根据来自Markwins HK和Markwins Pro Art的订单安排生产计划。Markwins HK和Markwins Pro Art负责监督和控制生产进度，与客户沟通以调整出货时间，并帮助松莉科技合理安排生产计划。</w:t>
      </w:r>
      <w:r>
        <w:rPr>
          <w:rFonts w:ascii="Arial Narrow" w:hAnsi="Arial Narrow" w:eastAsia="仿宋_GB2312" w:cs="Arial"/>
          <w:sz w:val="22"/>
          <w:szCs w:val="22"/>
        </w:rPr>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hint="eastAsia" w:ascii="Arial Narrow" w:hAnsi="Arial Narrow" w:eastAsia="仿宋_GB2312" w:cs="Arial"/>
          <w:sz w:val="22"/>
          <w:szCs w:val="22"/>
        </w:rPr>
        <w:t xml:space="preserve">松莉科技单支化妆品及化妆品礼盒主要工艺流程概括如下：</w:t>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r>
      <w:r>
        <w:rPr>
          <w:rFonts w:ascii="Arial Narrow" w:hAnsi="Arial Narrow" w:eastAsia="仿宋_GB2312" w:cs="Arial"/>
          <w:sz w:val="22"/>
          <w:szCs w:val="22"/>
        </w:rPr>
      </w:r>
    </w:p>
    <w:p>
      <w:pPr>
        <w:pStyle w:val="1338"/>
        <w:pBdr/>
        <w:spacing/>
        <w:ind w:hanging="420" w:left="420"/>
        <w:jc w:val="center"/>
        <w:rPr>
          <w:rFonts w:ascii="Arial Narrow" w:hAnsi="Arial Narrow" w:eastAsia="仿宋_GB2312" w:cs="Arial"/>
          <w:sz w:val="22"/>
        </w:rPr>
      </w:pPr>
      <w:r>
        <w:rPr>
          <w:rFonts w:hint="eastAsia" w:ascii="Arial Narrow" w:hAnsi="Arial Narrow" w:eastAsia="仿宋_GB2312" w:cs="Arial"/>
          <w:sz w:val="22"/>
        </w:rPr>
        <w:t xml:space="preserve">图表16：松莉科技主要产品工艺流程图</w:t>
      </w:r>
      <w:r>
        <w:rPr>
          <w:rFonts w:hint="eastAsia" w:ascii="Arial Narrow" w:hAnsi="Arial Narrow" w:eastAsia="仿宋_GB2312" w:cs="Arial"/>
          <w:sz w:val="22"/>
        </w:rPr>
      </w:r>
      <w:r>
        <w:rPr>
          <w:rFonts w:ascii="Arial Narrow" w:hAnsi="Arial Narrow" w:eastAsia="仿宋_GB2312" w:cs="Arial"/>
          <w:sz w:val="22"/>
        </w:rPr>
      </w:r>
    </w:p>
    <w:p>
      <w:pPr>
        <w:pBdr/>
        <w:spacing w:after="180" w:before="180" w:line="360" w:lineRule="auto"/>
        <w:ind w:firstLine="440"/>
        <w:jc w:val="center"/>
        <w:rPr>
          <w:rFonts w:ascii="Arial Narrow" w:hAnsi="Arial Narrow" w:eastAsia="仿宋_GB2312" w:cs="Arial"/>
          <w:sz w:val="22"/>
          <w:szCs w:val="22"/>
        </w:rPr>
      </w:pPr>
      <w:r>
        <w:rPr>
          <w:rFonts w:ascii="Arial Narrow" w:hAnsi="Arial Narrow" w:eastAsia="仿宋_GB2312" w:cs="Arial"/>
          <w:sz w:val="22"/>
          <w:szCs w:val="22"/>
        </w:rPr>
        <mc:AlternateContent>
          <mc:Choice Requires="wpg">
            <w:drawing>
              <wp:inline xmlns:wp="http://schemas.openxmlformats.org/drawingml/2006/wordprocessingDrawing" distT="0" distB="0" distL="0" distR="0">
                <wp:extent cx="4234815" cy="3455035"/>
                <wp:effectExtent l="0" t="0" r="1905" b="4445"/>
                <wp:docPr id="11" name="图片 12" descr="微信截图_20240614105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微信截图_20240614105653"/>
                        <pic:cNvPicPr>
                          <a:picLocks noChangeAspect="1"/>
                        </pic:cNvPicPr>
                        <pic:nvPr/>
                      </pic:nvPicPr>
                      <pic:blipFill>
                        <a:blip r:embed="rId37"/>
                        <a:stretch/>
                      </pic:blipFill>
                      <pic:spPr bwMode="auto">
                        <a:xfrm>
                          <a:off x="0" y="0"/>
                          <a:ext cx="4234815" cy="34550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33.45pt;height:272.05pt;mso-wrap-distance-left:0.00pt;mso-wrap-distance-top:0.00pt;mso-wrap-distance-right:0.00pt;mso-wrap-distance-bottom:0.00pt;z-index:1;" stroked="false">
                <v:imagedata r:id="rId37" o:title=""/>
                <o:lock v:ext="edit" rotation="t"/>
              </v:shape>
            </w:pict>
          </mc:Fallback>
        </mc:AlternateContent>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在实际生产中，松莉科技一般直接将产成品运送出库，因此产成品的库存量较少。</w:t>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因此，松莉科技在评估期间执行生产功能。</w:t>
      </w:r>
      <w:r>
        <w:rPr>
          <w:rFonts w:ascii="Arial Narrow" w:hAnsi="Arial Narrow" w:eastAsia="仿宋_GB2312" w:cs="Arial"/>
          <w:sz w:val="22"/>
          <w:szCs w:val="22"/>
        </w:rPr>
      </w:r>
    </w:p>
    <w:p>
      <w:pPr>
        <w:pStyle w:val="1326"/>
        <w:pBdr/>
        <w:spacing/>
        <w:ind/>
        <w:rPr/>
      </w:pPr>
      <w:r>
        <w:t xml:space="preserve">质量控制功能</w:t>
      </w: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质量控制功能是指制订和实施产品质量标准的活动，包括对采购的原材料及辅助材料、在制品和产成品进行分析和检测等。</w:t>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松莉科技根据国家制定的质量、安全和环保标准，以及ISO9001和ISO14001的标准制定产品和生产质量控制标准和质量控制流程。松莉科技对原材料、产成品等均配有专门的检测设备和检测程序进行品质检测，以保证产品能符合相应的质量标准。 </w:t>
      </w:r>
      <w:r>
        <w:rPr>
          <w:rFonts w:ascii="Arial Narrow" w:hAnsi="Arial Narrow" w:eastAsia="仿宋_GB2312" w:cs="Arial"/>
          <w:sz w:val="22"/>
          <w:szCs w:val="22"/>
        </w:rPr>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在收到原材料后，松莉科技会对原材料数量、品质进行检验，验收合格方进入仓库，不合格的原材料会与供应商商谈，并退货。在生产过程中，公司根据特定的要求、标准以及程序，对员工操作的合规性以及产品下线检查做出严格要求，对产成品的品质、性能进行检验。</w:t>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因此，松莉科技在评估期间执行质量控制功能。</w:t>
      </w:r>
      <w:r>
        <w:rPr>
          <w:rFonts w:ascii="Arial Narrow" w:hAnsi="Arial Narrow" w:eastAsia="仿宋_GB2312" w:cs="Arial"/>
          <w:sz w:val="22"/>
          <w:szCs w:val="22"/>
        </w:rPr>
      </w:r>
    </w:p>
    <w:p>
      <w:pPr>
        <w:pStyle w:val="1326"/>
        <w:pBdr/>
        <w:spacing/>
        <w:ind/>
        <w:rPr>
          <w:b/>
          <w:bCs/>
        </w:rPr>
      </w:pPr>
      <w:r>
        <w:t xml:space="preserve">库存管理功能</w:t>
      </w:r>
      <w:r>
        <w:rPr>
          <w:b/>
          <w:bCs/>
        </w:rPr>
      </w:r>
    </w:p>
    <w:p>
      <w:pPr>
        <w:pBdr/>
        <w:spacing w:after="180" w:before="180" w:line="360" w:lineRule="auto"/>
        <w:ind w:firstLine="440"/>
        <w:jc w:val="both"/>
        <w:rPr>
          <w:rFonts w:ascii="Arial Narrow" w:hAnsi="Arial Narrow" w:eastAsia="仿宋_GB2312" w:cs="Arial"/>
          <w:sz w:val="22"/>
          <w:szCs w:val="22"/>
        </w:rPr>
      </w:pPr>
      <w:r/>
      <w:bookmarkStart w:id="627" w:name="_Toc489951948"/>
      <w:r/>
      <w:bookmarkStart w:id="628" w:name="_Toc49961788"/>
      <w:r/>
      <w:bookmarkStart w:id="629" w:name="_Toc49961799"/>
      <w:r/>
      <w:bookmarkStart w:id="630" w:name="_Toc50039086"/>
      <w:r/>
      <w:bookmarkStart w:id="631" w:name="_Toc50039067"/>
      <w:r/>
      <w:bookmarkStart w:id="632" w:name="_Toc50477823"/>
      <w:r/>
      <w:bookmarkStart w:id="633" w:name="_Toc50039076"/>
      <w:r/>
      <w:bookmarkStart w:id="634" w:name="_Toc50039075"/>
      <w:r/>
      <w:bookmarkStart w:id="635" w:name="_Toc50477830"/>
      <w:r/>
      <w:bookmarkStart w:id="636" w:name="_Toc49961804"/>
      <w:r/>
      <w:bookmarkStart w:id="637" w:name="_Toc50477824"/>
      <w:r/>
      <w:bookmarkStart w:id="638" w:name="_Toc49961802"/>
      <w:r/>
      <w:bookmarkStart w:id="639" w:name="_Toc49961810"/>
      <w:r/>
      <w:bookmarkStart w:id="640" w:name="_Toc50039085"/>
      <w:r/>
      <w:bookmarkStart w:id="641" w:name="_Toc50477815"/>
      <w:r/>
      <w:bookmarkStart w:id="642" w:name="_Toc50039068"/>
      <w:r/>
      <w:bookmarkStart w:id="643" w:name="_Toc50477825"/>
      <w:r/>
      <w:bookmarkStart w:id="644" w:name="_Toc49961791"/>
      <w:r/>
      <w:bookmarkStart w:id="645" w:name="_Toc50477832"/>
      <w:r/>
      <w:bookmarkStart w:id="646" w:name="_Toc50039079"/>
      <w:r/>
      <w:bookmarkStart w:id="647" w:name="_Toc50477819"/>
      <w:r/>
      <w:bookmarkStart w:id="648" w:name="_Toc50039088"/>
      <w:r/>
      <w:bookmarkStart w:id="649" w:name="_Toc50477820"/>
      <w:r/>
      <w:bookmarkStart w:id="650" w:name="_Toc50039083"/>
      <w:r/>
      <w:bookmarkStart w:id="651" w:name="_Toc49961793"/>
      <w:r/>
      <w:bookmarkStart w:id="652" w:name="_Toc49961809"/>
      <w:r/>
      <w:bookmarkStart w:id="653" w:name="_Toc49961794"/>
      <w:r/>
      <w:bookmarkStart w:id="654" w:name="_Toc50039090"/>
      <w:r/>
      <w:bookmarkStart w:id="655" w:name="_Toc489951950"/>
      <w:r/>
      <w:bookmarkStart w:id="656" w:name="_Toc49961808"/>
      <w:r/>
      <w:bookmarkStart w:id="657" w:name="_Toc49961792"/>
      <w:r/>
      <w:bookmarkStart w:id="658" w:name="_Toc49961805"/>
      <w:r/>
      <w:bookmarkStart w:id="659" w:name="_Toc50477827"/>
      <w:r/>
      <w:bookmarkStart w:id="660" w:name="_Toc50477831"/>
      <w:r/>
      <w:bookmarkStart w:id="661" w:name="_Toc50039081"/>
      <w:r/>
      <w:bookmarkStart w:id="662" w:name="_Toc50039084"/>
      <w:r/>
      <w:bookmarkStart w:id="663" w:name="_Toc49961790"/>
      <w:r/>
      <w:bookmarkStart w:id="664" w:name="_Toc50039082"/>
      <w:r/>
      <w:bookmarkStart w:id="665" w:name="_Toc49961800"/>
      <w:r/>
      <w:bookmarkStart w:id="666" w:name="_Toc49961786"/>
      <w:r/>
      <w:bookmarkStart w:id="667" w:name="_Toc50477836"/>
      <w:r/>
      <w:bookmarkStart w:id="668" w:name="_Toc50039091"/>
      <w:r/>
      <w:bookmarkStart w:id="669" w:name="_Toc489951955"/>
      <w:r/>
      <w:bookmarkStart w:id="670" w:name="_Toc50477829"/>
      <w:r/>
      <w:bookmarkStart w:id="671" w:name="_Toc50477834"/>
      <w:r/>
      <w:bookmarkStart w:id="672" w:name="_Toc50477816"/>
      <w:r/>
      <w:bookmarkStart w:id="673" w:name="_Toc50477835"/>
      <w:r/>
      <w:bookmarkStart w:id="674" w:name="_Toc50477838"/>
      <w:r/>
      <w:bookmarkStart w:id="675" w:name="_Toc49961787"/>
      <w:r/>
      <w:bookmarkStart w:id="676" w:name="_Toc50039070"/>
      <w:r/>
      <w:bookmarkStart w:id="677" w:name="_Toc50039074"/>
      <w:r/>
      <w:bookmarkStart w:id="678" w:name="_Toc49961806"/>
      <w:r/>
      <w:bookmarkStart w:id="679" w:name="_Toc50477818"/>
      <w:r/>
      <w:bookmarkStart w:id="680" w:name="_Toc50477837"/>
      <w:r/>
      <w:bookmarkStart w:id="681" w:name="_Toc50477839"/>
      <w:r/>
      <w:bookmarkStart w:id="682" w:name="_Toc50477833"/>
      <w:r/>
      <w:bookmarkStart w:id="683" w:name="_Toc49961795"/>
      <w:r/>
      <w:bookmarkStart w:id="684" w:name="_Toc49961798"/>
      <w:r/>
      <w:bookmarkStart w:id="685" w:name="_Toc489951939"/>
      <w:r/>
      <w:bookmarkStart w:id="686" w:name="_Toc49961789"/>
      <w:r/>
      <w:bookmarkStart w:id="687" w:name="_Toc50039089"/>
      <w:r/>
      <w:bookmarkStart w:id="688" w:name="_Toc49961785"/>
      <w:r/>
      <w:bookmarkStart w:id="689" w:name="_Toc49961801"/>
      <w:r/>
      <w:bookmarkStart w:id="690" w:name="_Toc50477817"/>
      <w:r/>
      <w:bookmarkStart w:id="691" w:name="_Toc50477814"/>
      <w:r/>
      <w:bookmarkStart w:id="692" w:name="_Toc50477828"/>
      <w:r/>
      <w:bookmarkStart w:id="693" w:name="_Toc50039066"/>
      <w:r/>
      <w:bookmarkStart w:id="694" w:name="_Toc49961797"/>
      <w:r/>
      <w:bookmarkStart w:id="695" w:name="_Toc50039087"/>
      <w:r/>
      <w:bookmarkStart w:id="696" w:name="_Toc49961807"/>
      <w:r/>
      <w:bookmarkStart w:id="697" w:name="_Toc489951951"/>
      <w:r/>
      <w:bookmarkStart w:id="698" w:name="_Toc50477821"/>
      <w:r/>
      <w:bookmarkStart w:id="699" w:name="_Toc49961803"/>
      <w:r/>
      <w:bookmarkStart w:id="700" w:name="_Toc50039080"/>
      <w:r/>
      <w:bookmarkStart w:id="701" w:name="_Toc50039069"/>
      <w:r/>
      <w:bookmarkStart w:id="702" w:name="_Toc50039071"/>
      <w:r/>
      <w:bookmarkStart w:id="703" w:name="_Toc49961796"/>
      <w:r/>
      <w:bookmarkStart w:id="704" w:name="_Toc50039072"/>
      <w:r/>
      <w:bookmarkStart w:id="705" w:name="_Toc50477826"/>
      <w:r/>
      <w:bookmarkStart w:id="706" w:name="_Toc489951938"/>
      <w:r/>
      <w:bookmarkStart w:id="707" w:name="_Toc50039077"/>
      <w:r/>
      <w:bookmarkStart w:id="708" w:name="_Toc489951949"/>
      <w:r/>
      <w:bookmarkStart w:id="709" w:name="_Toc50039078"/>
      <w:r/>
      <w:bookmarkStart w:id="710" w:name="_Toc50039073"/>
      <w:r/>
      <w:bookmarkStart w:id="711" w:name="_Toc50477822"/>
      <w:r/>
      <w:bookmarkStart w:id="712" w:name="_Toc48317457"/>
      <w:r/>
      <w:bookmarkEnd w:id="627"/>
      <w:r/>
      <w:bookmarkEnd w:id="628"/>
      <w:r/>
      <w:bookmarkEnd w:id="629"/>
      <w:r/>
      <w:bookmarkEnd w:id="630"/>
      <w:r/>
      <w:bookmarkEnd w:id="631"/>
      <w:r/>
      <w:bookmarkEnd w:id="632"/>
      <w:r/>
      <w:bookmarkEnd w:id="633"/>
      <w:r/>
      <w:bookmarkEnd w:id="634"/>
      <w:r/>
      <w:bookmarkEnd w:id="635"/>
      <w:r/>
      <w:bookmarkEnd w:id="636"/>
      <w:r/>
      <w:bookmarkEnd w:id="637"/>
      <w:r/>
      <w:bookmarkEnd w:id="638"/>
      <w:r/>
      <w:bookmarkEnd w:id="639"/>
      <w:r/>
      <w:bookmarkEnd w:id="640"/>
      <w:r/>
      <w:bookmarkEnd w:id="641"/>
      <w:r/>
      <w:bookmarkEnd w:id="642"/>
      <w:r/>
      <w:bookmarkEnd w:id="643"/>
      <w:r/>
      <w:bookmarkEnd w:id="644"/>
      <w:r/>
      <w:bookmarkEnd w:id="645"/>
      <w:r/>
      <w:bookmarkEnd w:id="646"/>
      <w:r/>
      <w:bookmarkEnd w:id="647"/>
      <w:r/>
      <w:bookmarkEnd w:id="648"/>
      <w:r/>
      <w:bookmarkEnd w:id="649"/>
      <w:r/>
      <w:bookmarkEnd w:id="650"/>
      <w:r/>
      <w:bookmarkEnd w:id="651"/>
      <w:r/>
      <w:bookmarkEnd w:id="652"/>
      <w:r/>
      <w:bookmarkEnd w:id="653"/>
      <w:r/>
      <w:bookmarkEnd w:id="654"/>
      <w:r/>
      <w:bookmarkEnd w:id="655"/>
      <w:r/>
      <w:bookmarkEnd w:id="656"/>
      <w:r/>
      <w:bookmarkEnd w:id="657"/>
      <w:r/>
      <w:bookmarkEnd w:id="658"/>
      <w:r/>
      <w:bookmarkEnd w:id="659"/>
      <w:r/>
      <w:bookmarkEnd w:id="660"/>
      <w:r/>
      <w:bookmarkEnd w:id="661"/>
      <w:r/>
      <w:bookmarkEnd w:id="662"/>
      <w:r/>
      <w:bookmarkEnd w:id="663"/>
      <w:r/>
      <w:bookmarkEnd w:id="664"/>
      <w:r/>
      <w:bookmarkEnd w:id="665"/>
      <w:r/>
      <w:bookmarkEnd w:id="666"/>
      <w:r/>
      <w:bookmarkEnd w:id="667"/>
      <w:r/>
      <w:bookmarkEnd w:id="668"/>
      <w:r/>
      <w:bookmarkEnd w:id="669"/>
      <w:r/>
      <w:bookmarkEnd w:id="670"/>
      <w:r/>
      <w:bookmarkEnd w:id="671"/>
      <w:r/>
      <w:bookmarkEnd w:id="672"/>
      <w:r/>
      <w:bookmarkEnd w:id="673"/>
      <w:r/>
      <w:bookmarkEnd w:id="674"/>
      <w:r/>
      <w:bookmarkEnd w:id="675"/>
      <w:r/>
      <w:bookmarkEnd w:id="676"/>
      <w:r/>
      <w:bookmarkEnd w:id="677"/>
      <w:r/>
      <w:bookmarkEnd w:id="678"/>
      <w:r/>
      <w:bookmarkEnd w:id="679"/>
      <w:r/>
      <w:bookmarkEnd w:id="680"/>
      <w:r/>
      <w:bookmarkEnd w:id="681"/>
      <w:r/>
      <w:bookmarkEnd w:id="682"/>
      <w:r/>
      <w:bookmarkEnd w:id="683"/>
      <w:r/>
      <w:bookmarkEnd w:id="684"/>
      <w:r/>
      <w:bookmarkEnd w:id="685"/>
      <w:r/>
      <w:bookmarkEnd w:id="686"/>
      <w:r/>
      <w:bookmarkEnd w:id="687"/>
      <w:r/>
      <w:bookmarkEnd w:id="688"/>
      <w:r/>
      <w:bookmarkEnd w:id="689"/>
      <w:r/>
      <w:bookmarkEnd w:id="690"/>
      <w:r/>
      <w:bookmarkEnd w:id="691"/>
      <w:r/>
      <w:bookmarkEnd w:id="692"/>
      <w:r/>
      <w:bookmarkEnd w:id="693"/>
      <w:r/>
      <w:bookmarkEnd w:id="694"/>
      <w:r/>
      <w:bookmarkEnd w:id="695"/>
      <w:r/>
      <w:bookmarkEnd w:id="696"/>
      <w:r/>
      <w:bookmarkEnd w:id="697"/>
      <w:r/>
      <w:bookmarkEnd w:id="698"/>
      <w:r/>
      <w:bookmarkEnd w:id="699"/>
      <w:r/>
      <w:bookmarkEnd w:id="700"/>
      <w:r/>
      <w:bookmarkEnd w:id="701"/>
      <w:r/>
      <w:bookmarkEnd w:id="702"/>
      <w:r/>
      <w:bookmarkEnd w:id="703"/>
      <w:r/>
      <w:bookmarkEnd w:id="704"/>
      <w:r/>
      <w:bookmarkEnd w:id="705"/>
      <w:r/>
      <w:bookmarkEnd w:id="706"/>
      <w:r/>
      <w:bookmarkEnd w:id="707"/>
      <w:r/>
      <w:bookmarkEnd w:id="708"/>
      <w:r/>
      <w:bookmarkEnd w:id="709"/>
      <w:r/>
      <w:bookmarkEnd w:id="710"/>
      <w:r/>
      <w:bookmarkEnd w:id="711"/>
      <w:r>
        <w:rPr>
          <w:rFonts w:ascii="Arial Narrow" w:hAnsi="Arial Narrow" w:eastAsia="仿宋_GB2312" w:cs="Arial"/>
          <w:sz w:val="22"/>
          <w:szCs w:val="22"/>
        </w:rPr>
        <w:t xml:space="preserve">库存管理功能是指对存货水平（包括原材料、半成品和产成品）进行管理和控制，以降低存货成本并提高生产经营效率的活动。</w:t>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松莉科技负责对原材料和产成品的存货进行管理。在原材料方面，大部分原材料是根据订单情况进行采购。就生产所需的化学原料，由于其有较强的通用性，因此，这部分原材料的存货风险较小。但对于品牌产品的包装材料，由于已经印上了商标，几乎没有再包装或销售价值，存在一定的存货风险。 在产成品方面，由于松莉科技按照销售订单进行生产，产成品会在较短时间内运往客户，所以松莉科技的产成品存货量较少。</w:t>
      </w:r>
      <w:r>
        <w:rPr>
          <w:rFonts w:ascii="Arial Narrow" w:hAnsi="Arial Narrow" w:eastAsia="仿宋_GB2312" w:cs="Arial"/>
          <w:sz w:val="22"/>
          <w:szCs w:val="22"/>
        </w:rPr>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因此，松莉科技在评估期间执行库存管理功能。</w:t>
      </w:r>
      <w:r>
        <w:rPr>
          <w:rFonts w:ascii="Arial Narrow" w:hAnsi="Arial Narrow" w:eastAsia="仿宋_GB2312" w:cs="Arial"/>
          <w:sz w:val="22"/>
          <w:szCs w:val="22"/>
        </w:rPr>
      </w:r>
    </w:p>
    <w:p>
      <w:pPr>
        <w:pStyle w:val="1326"/>
        <w:pBdr/>
        <w:spacing/>
        <w:ind/>
        <w:rPr>
          <w:b/>
          <w:bCs/>
        </w:rPr>
      </w:pPr>
      <w:r>
        <w:t xml:space="preserve">物流功能</w:t>
      </w:r>
      <w:r>
        <w:rPr>
          <w:b/>
          <w:bCs/>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物流功能分为与采购相关的物流功能和与销售相关的物流功能。与采购相关的物流功能是指对从供应商采购的货物进行管理的活动。与销售相关的物流功能是指对发往收货方的货物进行管理和控制的活动。</w:t>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松莉科技通过关联方或第三方供应商所采购的原材料。一般情况下，由原材料的供应商负责把原材料运输至松莉科技，并由其安排运输计划。国外采购物料通常由松莉科技承担运输费用，而国内采购物料则由供应商承担运输费用。</w:t>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松莉科技的产成品90%以上销售给Markwins HK和Markwins Pro Art，并由松莉科技协助安排船运，运输费用由Markwins HK和Markwins Pro Art承担。境内关联销售的采取自提的形式。</w:t>
      </w:r>
      <w:r>
        <w:rPr>
          <w:rFonts w:ascii="Arial Narrow" w:hAnsi="Arial Narrow" w:eastAsia="仿宋_GB2312" w:cs="Arial"/>
          <w:sz w:val="22"/>
          <w:szCs w:val="22"/>
        </w:rPr>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因此，松莉科技在评估期间执行物流功能。</w:t>
      </w:r>
      <w:r>
        <w:rPr>
          <w:rFonts w:ascii="Arial Narrow" w:hAnsi="Arial Narrow" w:eastAsia="仿宋_GB2312" w:cs="Arial"/>
          <w:sz w:val="22"/>
          <w:szCs w:val="22"/>
        </w:rPr>
      </w:r>
    </w:p>
    <w:p>
      <w:pPr>
        <w:pStyle w:val="1326"/>
        <w:pBdr/>
        <w:spacing/>
        <w:ind/>
        <w:rPr>
          <w:b/>
          <w:bCs/>
        </w:rPr>
      </w:pPr>
      <w:r>
        <w:t xml:space="preserve">市场营销功能</w:t>
      </w:r>
      <w:r>
        <w:rPr>
          <w:b/>
          <w:bCs/>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市场营销功能是指在变化的市场环境中，旨在满足消费需要、吸引客户、实现企业目标的商务活动，具体包括市场调研、选择目标市场、产品开发、产品促销等经营活动。营销活动可能包括制定新产品或服务的发布和定位计划，或针对公司利润潜力最大的特定市场细分制定计划。</w:t>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松莉科技的境外关联方承担主要的市场营销功能。Markwins集团的市场营销方式主要为在杂志，报纸传单，相关出版物和社交媒体上刊登广告。此外，Markwins 集团还通过提供优惠券、赞助娱乐活动，并让影视名人为其系列化妆品代言的方式进行营销。Markwins 集团将其营销活动的重点放在一年中的特殊时段，例如在返校期间进行青年产品促销活动和冬季节日期间提供季节性礼品。</w:t>
      </w:r>
      <w:r>
        <w:rPr>
          <w:rFonts w:ascii="Arial Narrow" w:hAnsi="Arial Narrow" w:eastAsia="仿宋_GB2312" w:cs="Arial"/>
          <w:sz w:val="22"/>
          <w:szCs w:val="22"/>
        </w:rPr>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松莉科技在评估期间不执行市场营销功能。</w:t>
      </w:r>
      <w:r>
        <w:rPr>
          <w:rFonts w:ascii="Arial Narrow" w:hAnsi="Arial Narrow" w:eastAsia="仿宋_GB2312" w:cs="Arial"/>
          <w:sz w:val="22"/>
          <w:szCs w:val="22"/>
        </w:rPr>
      </w:r>
      <w:r>
        <w:rPr>
          <w:rFonts w:ascii="Arial Narrow" w:hAnsi="Arial Narrow" w:eastAsia="仿宋_GB2312" w:cs="Arial"/>
          <w:sz w:val="22"/>
          <w:szCs w:val="22"/>
        </w:rPr>
      </w:r>
    </w:p>
    <w:p>
      <w:pPr>
        <w:pStyle w:val="1326"/>
        <w:pBdr/>
        <w:spacing/>
        <w:ind/>
        <w:rPr>
          <w:b/>
          <w:bCs/>
        </w:rPr>
      </w:pPr>
      <w:r>
        <w:t xml:space="preserve">销售功能</w:t>
      </w:r>
      <w:r>
        <w:rPr>
          <w:b/>
          <w:bCs/>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销售功能是指与客户进行协商，签订合同并将产品卖给该客户的行为。</w:t>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少量境内的非关联客户，由松莉科技负责开拓和维护；其他境内及境外客户的销售在关联方的主导和松莉科技的参与下共同完成。松莉科技的境外关联方负责主要的客户沟通和洽谈，而松莉科技则会向境外关联方提供产品的生产成本单价等信息，为销售提供价格方面的支持信息，参与部分销售价格协商。</w:t>
      </w:r>
      <w:r>
        <w:rPr>
          <w:rFonts w:hint="eastAsia" w:ascii="Arial Narrow" w:hAnsi="Arial Narrow" w:eastAsia="仿宋_GB2312" w:cs="Arial"/>
          <w:sz w:val="22"/>
          <w:szCs w:val="22"/>
        </w:rPr>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因此，松莉科技在评估期间执行有限的销售功能。</w:t>
      </w:r>
      <w:r>
        <w:rPr>
          <w:rFonts w:ascii="Arial Narrow" w:hAnsi="Arial Narrow" w:eastAsia="仿宋_GB2312" w:cs="Arial"/>
          <w:sz w:val="22"/>
          <w:szCs w:val="22"/>
        </w:rPr>
      </w:r>
    </w:p>
    <w:p>
      <w:pPr>
        <w:pStyle w:val="1326"/>
        <w:pBdr/>
        <w:spacing/>
        <w:ind/>
        <w:rPr/>
      </w:pPr>
      <w:r>
        <w:t xml:space="preserve">售后服务功能</w:t>
      </w: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售后服务功能包括指导客户进行产品的保养和维修和提供技术支持和产品售后服务等。</w:t>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在评估期间，松莉科技作为的生产商，并不直接面向终端客户。松莉科技将生产的成品销售给关联分销商，并由上述分销商进行售后服务。</w:t>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松莉科技仅在极少量非关联销售中承担售后服务功能。</w:t>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因此，松莉科技实际执行有限的售后服务功能。</w:t>
      </w:r>
      <w:r>
        <w:rPr>
          <w:rFonts w:ascii="Arial Narrow" w:hAnsi="Arial Narrow" w:eastAsia="仿宋_GB2312" w:cs="Arial"/>
          <w:sz w:val="22"/>
          <w:szCs w:val="22"/>
        </w:rPr>
      </w:r>
    </w:p>
    <w:p>
      <w:pPr>
        <w:pStyle w:val="1326"/>
        <w:pBdr/>
        <w:spacing/>
        <w:ind/>
        <w:rPr>
          <w:b/>
          <w:bCs/>
        </w:rPr>
      </w:pPr>
      <w:r>
        <w:t xml:space="preserve">一般行政管理功能</w:t>
      </w:r>
      <w:r>
        <w:rPr>
          <w:b/>
          <w:bCs/>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行政管理指企业日常的经营管理活动（如人事、信息系统等）。</w:t>
      </w:r>
      <w:r>
        <w:rPr>
          <w:rFonts w:ascii="Arial Narrow" w:hAnsi="Arial Narrow" w:eastAsia="仿宋_GB2312" w:cs="Arial"/>
          <w:sz w:val="22"/>
          <w:szCs w:val="22"/>
        </w:rPr>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松莉科技负责管理自身的日常职能，包括会计，财务，预算和计划，税务申报和人力资源。</w:t>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因此，松莉科技在评估期间执行一般行政功能。</w:t>
      </w:r>
      <w:bookmarkEnd w:id="712"/>
      <w:r/>
      <w:r>
        <w:rPr>
          <w:rFonts w:ascii="Arial Narrow" w:hAnsi="Arial Narrow" w:eastAsia="仿宋_GB2312" w:cs="Arial"/>
          <w:sz w:val="22"/>
          <w:szCs w:val="22"/>
        </w:rPr>
      </w:r>
    </w:p>
    <w:p>
      <w:pPr>
        <w:pStyle w:val="1325"/>
        <w:pBdr/>
        <w:spacing/>
        <w:ind/>
        <w:rPr>
          <w:b/>
          <w:bCs/>
        </w:rPr>
      </w:pPr>
      <w:r/>
      <w:bookmarkStart w:id="713" w:name="_Toc53229088"/>
      <w:r/>
      <w:bookmarkStart w:id="714" w:name="_Toc140505135"/>
      <w:r>
        <w:t xml:space="preserve">风险分析</w:t>
      </w:r>
      <w:bookmarkEnd w:id="713"/>
      <w:r/>
      <w:bookmarkEnd w:id="714"/>
      <w:r/>
      <w:r>
        <w:rPr>
          <w:b/>
          <w:bCs/>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企业在生产经营过程中的各项活动所产生的结果具有不确定性，这意味着企业在关联交易中所承担的功能可能会给它带来相应的风险。因此，企业在取得收益的同时，也需要承担相应的风险。本节描述了松莉科技和其关联方在受测关联交易中所承担的风险。</w:t>
      </w:r>
      <w:r>
        <w:rPr>
          <w:rFonts w:ascii="Arial Narrow" w:hAnsi="Arial Narrow" w:eastAsia="仿宋_GB2312" w:cs="Arial"/>
          <w:sz w:val="22"/>
          <w:szCs w:val="22"/>
        </w:rPr>
      </w:r>
    </w:p>
    <w:p>
      <w:pPr>
        <w:pStyle w:val="1326"/>
        <w:pBdr/>
        <w:spacing/>
        <w:ind/>
        <w:rPr>
          <w:b/>
          <w:bCs/>
        </w:rPr>
      </w:pPr>
      <w:r>
        <w:t xml:space="preserve">研发风险</w:t>
      </w:r>
      <w:r>
        <w:rPr>
          <w:b/>
          <w:bCs/>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评估期间，松莉科技并不从事实质的产品研发活动，因此松莉科技几乎不承担研发方面的风险。</w:t>
      </w:r>
      <w:r>
        <w:rPr>
          <w:rFonts w:ascii="Arial Narrow" w:hAnsi="Arial Narrow" w:eastAsia="仿宋_GB2312" w:cs="Arial"/>
          <w:sz w:val="22"/>
          <w:szCs w:val="22"/>
        </w:rPr>
      </w:r>
      <w:r>
        <w:rPr>
          <w:rFonts w:ascii="Arial Narrow" w:hAnsi="Arial Narrow" w:eastAsia="仿宋_GB2312" w:cs="Arial"/>
          <w:sz w:val="22"/>
          <w:szCs w:val="22"/>
        </w:rPr>
      </w:r>
    </w:p>
    <w:p>
      <w:pPr>
        <w:pStyle w:val="1326"/>
        <w:pBdr/>
        <w:spacing/>
        <w:ind/>
        <w:rPr/>
      </w:pPr>
      <w:r/>
      <w:bookmarkStart w:id="715" w:name="_Hlk50650070"/>
      <w:r>
        <w:t xml:space="preserve">生产风险</w:t>
      </w:r>
      <w:bookmarkEnd w:id="715"/>
      <w:r/>
      <w:r/>
    </w:p>
    <w:p>
      <w:pPr>
        <w:pBdr/>
        <w:spacing w:after="180" w:before="180" w:line="360" w:lineRule="auto"/>
        <w:ind w:firstLine="440"/>
        <w:jc w:val="both"/>
        <w:rPr>
          <w:rFonts w:ascii="Arial Narrow" w:hAnsi="Arial Narrow" w:eastAsia="仿宋_GB2312" w:cs="Arial"/>
          <w:sz w:val="22"/>
          <w:szCs w:val="22"/>
        </w:rPr>
      </w:pPr>
      <w:r/>
      <w:bookmarkStart w:id="716" w:name="_Hlk50650011"/>
      <w:r>
        <w:rPr>
          <w:rFonts w:ascii="Arial Narrow" w:hAnsi="Arial Narrow" w:eastAsia="仿宋_GB2312" w:cs="Arial"/>
          <w:sz w:val="22"/>
          <w:szCs w:val="22"/>
        </w:rPr>
        <w:t xml:space="preserve">生产风险是指当生产成本（例如，原材料成本、劳动力成本波动，产能利用率等）或是生产过程中因技术应用不当或者设备故障导致的生产停滞或者产品质量下降带来的相关风险。</w:t>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评估期间，由于在交易中所有生产功能由松莉科技执行，松莉科技承担原材料成本、劳动力成本波动以及产能利用率低等生产风险。</w:t>
      </w:r>
      <w:bookmarkEnd w:id="716"/>
      <w:r/>
      <w:r>
        <w:rPr>
          <w:rFonts w:ascii="Arial Narrow" w:hAnsi="Arial Narrow" w:eastAsia="仿宋_GB2312" w:cs="Arial"/>
          <w:sz w:val="22"/>
          <w:szCs w:val="22"/>
        </w:rPr>
      </w:r>
    </w:p>
    <w:p>
      <w:pPr>
        <w:pStyle w:val="1326"/>
        <w:pBdr/>
        <w:spacing/>
        <w:ind/>
        <w:rPr/>
      </w:pPr>
      <w:r>
        <w:t xml:space="preserve">存货风险</w:t>
      </w:r>
      <w:r/>
    </w:p>
    <w:p>
      <w:pPr>
        <w:pBdr/>
        <w:spacing w:after="180" w:before="180" w:line="360" w:lineRule="auto"/>
        <w:ind w:firstLine="440"/>
        <w:jc w:val="both"/>
        <w:rPr>
          <w:rFonts w:ascii="Arial Narrow" w:hAnsi="Arial Narrow" w:eastAsia="仿宋_GB2312" w:cs="Arial"/>
          <w:sz w:val="22"/>
          <w:szCs w:val="22"/>
        </w:rPr>
      </w:pPr>
      <w:r/>
      <w:bookmarkStart w:id="717" w:name="_Hlk50650018"/>
      <w:r>
        <w:rPr>
          <w:rFonts w:ascii="Arial Narrow" w:hAnsi="Arial Narrow" w:eastAsia="仿宋_GB2312" w:cs="Arial"/>
          <w:sz w:val="22"/>
          <w:szCs w:val="22"/>
        </w:rPr>
        <w:t xml:space="preserve">存货风险指存货过多或过少而造成的损失，以及存货毁损而无法正常使用风险。损失包括存货报废、缩水，或由于市场低迷造成产品亏本销售。</w:t>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一般而言，国内采购的原材料存货风险主要由松莉科技承担，国外进口的原材料存货风险则由关联方/供应商承担。松莉科技主要根据境外关联方订单情况进行采购，且生产中所需的化学原料通用性较强，因此这部分原材料的存货风险较小。对于品牌产品的包装材料，由于包装材料上一般会印有品牌的标识，再包装或销售价值较低，因此存在一定的存货风险。</w:t>
      </w:r>
      <w:r>
        <w:rPr>
          <w:rFonts w:ascii="Arial Narrow" w:hAnsi="Arial Narrow" w:eastAsia="仿宋_GB2312" w:cs="Arial"/>
          <w:sz w:val="22"/>
          <w:szCs w:val="22"/>
        </w:rPr>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产成品与半成品方面，由于松莉科技的产品主要销售给关联方，并根据销售订单进行生产，因此基本不会出现大量产成品积压的情况。松莉科技在评估期间承担原材料存货风险和一定的产成品的存货风险。</w:t>
      </w:r>
      <w:r>
        <w:rPr>
          <w:rFonts w:ascii="Arial Narrow" w:hAnsi="Arial Narrow" w:eastAsia="仿宋_GB2312" w:cs="Arial"/>
          <w:sz w:val="22"/>
          <w:szCs w:val="22"/>
        </w:rPr>
      </w:r>
      <w:bookmarkEnd w:id="717"/>
      <w:r/>
      <w:r>
        <w:rPr>
          <w:rFonts w:ascii="Arial Narrow" w:hAnsi="Arial Narrow" w:eastAsia="仿宋_GB2312" w:cs="Arial"/>
          <w:sz w:val="22"/>
          <w:szCs w:val="22"/>
        </w:rPr>
      </w:r>
    </w:p>
    <w:p>
      <w:pPr>
        <w:pStyle w:val="1326"/>
        <w:pBdr/>
        <w:spacing/>
        <w:ind/>
        <w:rPr/>
      </w:pPr>
      <w:r>
        <w:t xml:space="preserve">产品责任风险</w:t>
      </w:r>
      <w:r/>
    </w:p>
    <w:p>
      <w:pPr>
        <w:pBdr/>
        <w:spacing w:after="180" w:before="180" w:line="360" w:lineRule="auto"/>
        <w:ind w:firstLine="440"/>
        <w:jc w:val="both"/>
        <w:rPr>
          <w:rFonts w:ascii="Arial Narrow" w:hAnsi="Arial Narrow" w:eastAsia="仿宋_GB2312" w:cs="Arial"/>
          <w:sz w:val="22"/>
          <w:szCs w:val="22"/>
        </w:rPr>
      </w:pPr>
      <w:r/>
      <w:bookmarkStart w:id="718" w:name="_Toc489952497"/>
      <w:r/>
      <w:bookmarkStart w:id="719" w:name="_Toc489952388"/>
      <w:r/>
      <w:bookmarkStart w:id="720" w:name="_Toc489952496"/>
      <w:r/>
      <w:bookmarkStart w:id="721" w:name="_Toc489952389"/>
      <w:r/>
      <w:bookmarkStart w:id="722" w:name="_Toc489952386"/>
      <w:r/>
      <w:bookmarkStart w:id="723" w:name="_Toc489952387"/>
      <w:r/>
      <w:bookmarkStart w:id="724" w:name="_Toc489952495"/>
      <w:r/>
      <w:bookmarkStart w:id="725" w:name="_Toc489952393"/>
      <w:r/>
      <w:bookmarkStart w:id="726" w:name="_Toc489952501"/>
      <w:r/>
      <w:bookmarkStart w:id="727" w:name="_Toc48317152"/>
      <w:r/>
      <w:bookmarkStart w:id="728" w:name="_Toc48317458"/>
      <w:r/>
      <w:bookmarkEnd w:id="718"/>
      <w:r/>
      <w:bookmarkEnd w:id="719"/>
      <w:r/>
      <w:bookmarkEnd w:id="720"/>
      <w:r/>
      <w:bookmarkEnd w:id="721"/>
      <w:r/>
      <w:bookmarkEnd w:id="722"/>
      <w:r/>
      <w:bookmarkEnd w:id="723"/>
      <w:r/>
      <w:bookmarkEnd w:id="724"/>
      <w:r/>
      <w:bookmarkEnd w:id="725"/>
      <w:r/>
      <w:bookmarkEnd w:id="726"/>
      <w:r>
        <w:rPr>
          <w:rFonts w:ascii="Arial Narrow" w:hAnsi="Arial Narrow" w:eastAsia="仿宋_GB2312" w:cs="Arial"/>
          <w:sz w:val="22"/>
          <w:szCs w:val="22"/>
        </w:rPr>
        <w:t xml:space="preserve">产品责任风险是指一个公司的产品未达到预期标准，而相应承担的赔偿责任或名誉受损的风险。</w:t>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评估期间，如果松莉科技所生产销售的产品出现质量问题，松莉科技需要承担相应责任并支付与此相关的费用。在实际生产经营中，松莉科技对产品实行严格的质量检测与控制，产品的不良品率较低，因为松莉科技在评估期间承担一定的产品责任风险。</w:t>
      </w:r>
      <w:r>
        <w:rPr>
          <w:rFonts w:ascii="Arial Narrow" w:hAnsi="Arial Narrow" w:eastAsia="仿宋_GB2312" w:cs="Arial"/>
          <w:sz w:val="22"/>
          <w:szCs w:val="22"/>
        </w:rPr>
      </w:r>
    </w:p>
    <w:p>
      <w:pPr>
        <w:pStyle w:val="1326"/>
        <w:pBdr/>
        <w:spacing/>
        <w:ind/>
        <w:rPr/>
      </w:pPr>
      <w:r>
        <w:t xml:space="preserve">市场风险</w:t>
      </w: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市场风险是指由于市场竞争加剧、市场需求状况不利、无法开发市场或无法定位产品以服务目标客户而面临不利的销售状况。</w:t>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松莉科技根据关联方的订单进行生产活动，如果市场上对相关的产品需求量下降，松莉科技的订单数量会相应减少。这将可能导致松莉科技的固定成本比如租金、折旧、其他行政管理费用无法得到补偿。这部分闲置成本将由松莉科技自行承担。</w:t>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因此，评估期间，松莉科技承担一定的市场风险。</w:t>
      </w:r>
      <w:r>
        <w:rPr>
          <w:rFonts w:ascii="Arial Narrow" w:hAnsi="Arial Narrow" w:eastAsia="仿宋_GB2312" w:cs="Arial"/>
          <w:sz w:val="22"/>
          <w:szCs w:val="22"/>
        </w:rPr>
      </w:r>
    </w:p>
    <w:p>
      <w:pPr>
        <w:pStyle w:val="1326"/>
        <w:pBdr/>
        <w:spacing/>
        <w:ind/>
        <w:rPr/>
      </w:pPr>
      <w:r>
        <w:t xml:space="preserve">信用风险</w:t>
      </w: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信用风险指在先交货（或先提供劳务）后付款的情况下，销售方（或劳务提供方）在未来有可能不能如期或全额收到货款，相应的风险便是信用风险。其主要取决于两个因素：客户的信用度和应收账款的数额。</w:t>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评估期间，松莉科技的产成品90%以上销售给关联方，因此不承担信用风险；在向非关联方销售产品时，会承担全部信用风险。</w:t>
      </w:r>
      <w:r>
        <w:rPr>
          <w:rFonts w:ascii="Arial Narrow" w:hAnsi="Arial Narrow" w:eastAsia="仿宋_GB2312" w:cs="Arial"/>
          <w:sz w:val="22"/>
          <w:szCs w:val="22"/>
        </w:rPr>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因此，评估期间，松莉科技承担有限的信用风险。</w:t>
      </w:r>
      <w:r>
        <w:rPr>
          <w:rFonts w:ascii="Arial Narrow" w:hAnsi="Arial Narrow" w:eastAsia="仿宋_GB2312" w:cs="Arial"/>
          <w:sz w:val="22"/>
          <w:szCs w:val="22"/>
        </w:rPr>
      </w:r>
    </w:p>
    <w:p>
      <w:pPr>
        <w:pStyle w:val="1326"/>
        <w:pBdr/>
        <w:spacing/>
        <w:ind/>
        <w:rPr/>
      </w:pPr>
      <w:r>
        <w:t xml:space="preserve">汇率风险</w:t>
      </w: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公司在使用非本位币进行国际交易结算时，由于汇率的变化可能遭受的损失即为汇率风险。</w:t>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松莉科技的部分原材料采购为境外采购，采购款以外币结算，而记账本位币是人民币。</w:t>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因此，评估期间，松莉科技实际承担外汇风险。</w:t>
      </w:r>
      <w:r>
        <w:rPr>
          <w:rFonts w:ascii="Arial Narrow" w:hAnsi="Arial Narrow" w:eastAsia="仿宋_GB2312" w:cs="Arial"/>
          <w:sz w:val="22"/>
          <w:szCs w:val="22"/>
        </w:rPr>
      </w:r>
      <w:r>
        <w:rPr>
          <w:rFonts w:ascii="Arial Narrow" w:hAnsi="Arial Narrow" w:eastAsia="仿宋_GB2312" w:cs="Arial"/>
          <w:sz w:val="22"/>
          <w:szCs w:val="22"/>
        </w:rPr>
      </w:r>
    </w:p>
    <w:p>
      <w:pPr>
        <w:pStyle w:val="1324"/>
        <w:pBdr/>
        <w:spacing/>
        <w:ind/>
        <w:rPr/>
      </w:pPr>
      <w:r/>
      <w:bookmarkStart w:id="729" w:name="_Toc140505136"/>
      <w:r/>
      <w:bookmarkStart w:id="730" w:name="_Toc53229089"/>
      <w:r>
        <w:t xml:space="preserve">资产分析</w:t>
      </w:r>
      <w:bookmarkEnd w:id="727"/>
      <w:r/>
      <w:bookmarkEnd w:id="728"/>
      <w:r/>
      <w:bookmarkEnd w:id="729"/>
      <w:r/>
      <w:bookmarkEnd w:id="730"/>
      <w:r/>
      <w:r/>
    </w:p>
    <w:p>
      <w:pPr>
        <w:pBdr/>
        <w:spacing w:after="180" w:before="180" w:line="360" w:lineRule="auto"/>
        <w:ind w:firstLine="440"/>
        <w:jc w:val="both"/>
        <w:rPr>
          <w:rFonts w:ascii="Arial Narrow" w:hAnsi="Arial Narrow" w:eastAsia="仿宋_GB2312" w:cs="Arial"/>
          <w:sz w:val="22"/>
          <w:szCs w:val="22"/>
        </w:rPr>
      </w:pPr>
      <w:r/>
      <w:bookmarkStart w:id="731" w:name="_Toc48317459"/>
      <w:r>
        <w:rPr>
          <w:rFonts w:ascii="Arial Narrow" w:hAnsi="Arial Narrow" w:eastAsia="仿宋_GB2312" w:cs="Arial"/>
          <w:sz w:val="22"/>
          <w:szCs w:val="22"/>
        </w:rPr>
        <w:t xml:space="preserve">本节描述了评估期间，松莉科技及其关联方在受测关联交易中所使用的资产。</w:t>
      </w:r>
      <w:bookmarkEnd w:id="731"/>
      <w:r/>
      <w:r>
        <w:rPr>
          <w:rFonts w:ascii="Arial Narrow" w:hAnsi="Arial Narrow" w:eastAsia="仿宋_GB2312" w:cs="Arial"/>
          <w:sz w:val="22"/>
          <w:szCs w:val="22"/>
        </w:rPr>
      </w:r>
    </w:p>
    <w:p>
      <w:pPr>
        <w:pStyle w:val="1325"/>
        <w:pBdr/>
        <w:spacing/>
        <w:ind/>
        <w:rPr>
          <w:b/>
          <w:bCs/>
        </w:rPr>
      </w:pPr>
      <w:r/>
      <w:bookmarkStart w:id="732" w:name="_Toc53229090"/>
      <w:r/>
      <w:bookmarkStart w:id="733" w:name="_Toc140505137"/>
      <w:r>
        <w:t xml:space="preserve">有形资产</w:t>
      </w:r>
      <w:bookmarkEnd w:id="732"/>
      <w:r/>
      <w:bookmarkEnd w:id="733"/>
      <w:r/>
      <w:r>
        <w:rPr>
          <w:b/>
          <w:bCs/>
        </w:rPr>
      </w:r>
    </w:p>
    <w:p>
      <w:pPr>
        <w:pBdr/>
        <w:spacing w:after="180" w:before="180" w:line="360" w:lineRule="auto"/>
        <w:ind w:firstLine="440"/>
        <w:jc w:val="both"/>
        <w:rPr>
          <w:rFonts w:ascii="Arial Narrow" w:hAnsi="Arial Narrow" w:eastAsia="仿宋_GB2312" w:cs="Arial"/>
          <w:sz w:val="22"/>
          <w:szCs w:val="22"/>
        </w:rPr>
      </w:pPr>
      <w:r/>
      <w:bookmarkStart w:id="734" w:name="_Hlk50650154"/>
      <w:r>
        <w:rPr>
          <w:rFonts w:ascii="Arial Narrow" w:hAnsi="Arial Narrow" w:eastAsia="仿宋_GB2312" w:cs="Arial"/>
          <w:sz w:val="22"/>
          <w:szCs w:val="22"/>
        </w:rPr>
        <w:t xml:space="preserve">松莉科技拥有生产和测试所需的机器设备、运输设备、电子设备、办公及其他设备和生产工具等有形资产所有权。与同行业的其他公司相比，松莉科技拥有的有形资产水平没有显著差异。</w:t>
      </w:r>
      <w:bookmarkEnd w:id="734"/>
      <w:r/>
      <w:r>
        <w:rPr>
          <w:rFonts w:ascii="Arial Narrow" w:hAnsi="Arial Narrow" w:eastAsia="仿宋_GB2312" w:cs="Arial"/>
          <w:sz w:val="22"/>
          <w:szCs w:val="22"/>
        </w:rPr>
      </w:r>
    </w:p>
    <w:p>
      <w:pPr>
        <w:pStyle w:val="1325"/>
        <w:pBdr/>
        <w:spacing/>
        <w:ind/>
        <w:rPr>
          <w:b/>
          <w:bCs/>
        </w:rPr>
      </w:pPr>
      <w:r/>
      <w:bookmarkStart w:id="735" w:name="_Toc53229091"/>
      <w:r/>
      <w:bookmarkStart w:id="736" w:name="_Toc140505138"/>
      <w:r>
        <w:t xml:space="preserve">无形资产 </w:t>
      </w:r>
      <w:bookmarkEnd w:id="735"/>
      <w:r/>
      <w:bookmarkEnd w:id="736"/>
      <w:r/>
      <w:r>
        <w:rPr>
          <w:b/>
          <w:bCs/>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松莉科技不拥有任何非常规的无形资产。</w:t>
      </w:r>
      <w:r>
        <w:rPr>
          <w:rFonts w:ascii="Arial Narrow" w:hAnsi="Arial Narrow" w:eastAsia="仿宋_GB2312" w:cs="Arial"/>
          <w:sz w:val="22"/>
          <w:szCs w:val="22"/>
        </w:rPr>
      </w:r>
      <w:r>
        <w:rPr>
          <w:rFonts w:ascii="Arial Narrow" w:hAnsi="Arial Narrow" w:eastAsia="仿宋_GB2312" w:cs="Arial"/>
          <w:sz w:val="22"/>
          <w:szCs w:val="22"/>
        </w:rPr>
      </w:r>
    </w:p>
    <w:p>
      <w:pPr>
        <w:pStyle w:val="1324"/>
        <w:pBdr/>
        <w:spacing/>
        <w:ind/>
        <w:rPr>
          <w:b/>
          <w:bCs/>
        </w:rPr>
      </w:pPr>
      <w:r/>
      <w:bookmarkStart w:id="737" w:name="_Toc154394529"/>
      <w:r/>
      <w:bookmarkStart w:id="738" w:name="_Toc154394611"/>
      <w:r/>
      <w:bookmarkStart w:id="739" w:name="_Toc85042571"/>
      <w:r/>
      <w:bookmarkStart w:id="740" w:name="_Toc154394609"/>
      <w:r/>
      <w:bookmarkStart w:id="741" w:name="_Toc85557706"/>
      <w:r/>
      <w:bookmarkStart w:id="742" w:name="_Toc85042574"/>
      <w:r/>
      <w:bookmarkStart w:id="743" w:name="_Toc85557708"/>
      <w:r/>
      <w:bookmarkStart w:id="744" w:name="_Toc85622940"/>
      <w:r/>
      <w:bookmarkStart w:id="745" w:name="_Toc85042573"/>
      <w:r/>
      <w:bookmarkStart w:id="746" w:name="_Toc154394537"/>
      <w:r/>
      <w:bookmarkStart w:id="747" w:name="_Toc154394604"/>
      <w:r/>
      <w:bookmarkStart w:id="748" w:name="_Toc85557711"/>
      <w:r/>
      <w:bookmarkStart w:id="749" w:name="_Toc489952546"/>
      <w:r/>
      <w:bookmarkStart w:id="750" w:name="_Toc154394601"/>
      <w:r/>
      <w:bookmarkStart w:id="751" w:name="_Toc85042570"/>
      <w:r/>
      <w:bookmarkStart w:id="752" w:name="_Toc154394612"/>
      <w:r/>
      <w:bookmarkStart w:id="753" w:name="_Toc85557707"/>
      <w:r/>
      <w:bookmarkStart w:id="754" w:name="_Toc85557576"/>
      <w:r/>
      <w:bookmarkStart w:id="755" w:name="_Toc154394549"/>
      <w:r/>
      <w:bookmarkStart w:id="756" w:name="_Toc154394540"/>
      <w:r/>
      <w:bookmarkStart w:id="757" w:name="_Toc85042572"/>
      <w:r/>
      <w:bookmarkStart w:id="758" w:name="_Toc154394539"/>
      <w:r/>
      <w:bookmarkStart w:id="759" w:name="_Toc85557577"/>
      <w:r/>
      <w:bookmarkStart w:id="760" w:name="_Toc154394602"/>
      <w:r/>
      <w:bookmarkStart w:id="761" w:name="_Toc85557710"/>
      <w:r/>
      <w:bookmarkStart w:id="762" w:name="_Toc85042569"/>
      <w:r/>
      <w:bookmarkStart w:id="763" w:name="_Toc85557574"/>
      <w:r/>
      <w:bookmarkStart w:id="764" w:name="_Toc154394621"/>
      <w:r/>
      <w:bookmarkStart w:id="765" w:name="_Toc85622942"/>
      <w:r/>
      <w:bookmarkStart w:id="766" w:name="_Toc85557578"/>
      <w:r/>
      <w:bookmarkStart w:id="767" w:name="_Toc85622945"/>
      <w:r/>
      <w:bookmarkStart w:id="768" w:name="_Toc85622941"/>
      <w:r/>
      <w:bookmarkStart w:id="769" w:name="_Toc85557709"/>
      <w:r/>
      <w:bookmarkStart w:id="770" w:name="_Toc85622944"/>
      <w:r/>
      <w:bookmarkStart w:id="771" w:name="_Toc154394600"/>
      <w:r/>
      <w:bookmarkStart w:id="772" w:name="_Toc85557573"/>
      <w:r/>
      <w:bookmarkStart w:id="773" w:name="_Toc85622943"/>
      <w:r/>
      <w:bookmarkStart w:id="774" w:name="_Toc154394528"/>
      <w:r/>
      <w:bookmarkStart w:id="775" w:name="_Toc154394530"/>
      <w:r/>
      <w:bookmarkStart w:id="776" w:name="_Toc85557575"/>
      <w:r/>
      <w:bookmarkStart w:id="777" w:name="_Toc154394532"/>
      <w:r/>
      <w:bookmarkStart w:id="778" w:name="_Toc140505139"/>
      <w:r/>
      <w:bookmarkStart w:id="779" w:name="_Toc53229092"/>
      <w:r/>
      <w:bookmarkEnd w:id="737"/>
      <w:r/>
      <w:bookmarkEnd w:id="738"/>
      <w:r/>
      <w:bookmarkEnd w:id="739"/>
      <w:r/>
      <w:bookmarkEnd w:id="740"/>
      <w:r/>
      <w:bookmarkEnd w:id="741"/>
      <w:r/>
      <w:bookmarkEnd w:id="742"/>
      <w:r/>
      <w:bookmarkEnd w:id="743"/>
      <w:r/>
      <w:bookmarkEnd w:id="744"/>
      <w:r/>
      <w:bookmarkEnd w:id="745"/>
      <w:r/>
      <w:bookmarkEnd w:id="746"/>
      <w:r/>
      <w:bookmarkEnd w:id="747"/>
      <w:r/>
      <w:bookmarkEnd w:id="748"/>
      <w:r/>
      <w:bookmarkEnd w:id="749"/>
      <w:r/>
      <w:bookmarkEnd w:id="750"/>
      <w:r/>
      <w:bookmarkEnd w:id="751"/>
      <w:r/>
      <w:bookmarkEnd w:id="752"/>
      <w:r/>
      <w:bookmarkEnd w:id="753"/>
      <w:r/>
      <w:bookmarkEnd w:id="754"/>
      <w:r/>
      <w:bookmarkEnd w:id="755"/>
      <w:r/>
      <w:bookmarkEnd w:id="756"/>
      <w:r/>
      <w:bookmarkEnd w:id="757"/>
      <w:r/>
      <w:bookmarkEnd w:id="758"/>
      <w:r/>
      <w:bookmarkEnd w:id="759"/>
      <w:r/>
      <w:bookmarkEnd w:id="760"/>
      <w:r/>
      <w:bookmarkEnd w:id="761"/>
      <w:r/>
      <w:bookmarkEnd w:id="762"/>
      <w:r/>
      <w:bookmarkEnd w:id="763"/>
      <w:r/>
      <w:bookmarkEnd w:id="764"/>
      <w:r/>
      <w:bookmarkEnd w:id="765"/>
      <w:r/>
      <w:bookmarkEnd w:id="766"/>
      <w:r/>
      <w:bookmarkEnd w:id="767"/>
      <w:r/>
      <w:bookmarkEnd w:id="768"/>
      <w:r/>
      <w:bookmarkEnd w:id="769"/>
      <w:r/>
      <w:bookmarkEnd w:id="770"/>
      <w:r/>
      <w:bookmarkEnd w:id="771"/>
      <w:r/>
      <w:bookmarkEnd w:id="772"/>
      <w:r/>
      <w:bookmarkEnd w:id="773"/>
      <w:r/>
      <w:bookmarkEnd w:id="774"/>
      <w:r/>
      <w:bookmarkEnd w:id="775"/>
      <w:r/>
      <w:bookmarkEnd w:id="776"/>
      <w:r/>
      <w:bookmarkEnd w:id="777"/>
      <w:r>
        <w:t xml:space="preserve">小结</w:t>
      </w:r>
      <w:bookmarkEnd w:id="261"/>
      <w:r/>
      <w:bookmarkEnd w:id="778"/>
      <w:r/>
      <w:bookmarkEnd w:id="779"/>
      <w:r/>
      <w:r>
        <w:rPr>
          <w:b/>
          <w:bCs/>
        </w:rPr>
      </w:r>
    </w:p>
    <w:p>
      <w:pPr>
        <w:pBdr/>
        <w:spacing w:after="240" w:before="240"/>
        <w:ind w:firstLine="475"/>
        <w:jc w:val="both"/>
        <w:rPr>
          <w:rFonts w:ascii="Arial Narrow" w:hAnsi="Arial Narrow" w:eastAsia="仿宋_GB2312" w:cs="Arial"/>
          <w:sz w:val="22"/>
          <w:szCs w:val="22"/>
        </w:rPr>
      </w:pPr>
      <w:r>
        <w:rPr>
          <w:rFonts w:ascii="Arial Narrow" w:hAnsi="Arial Narrow" w:eastAsia="仿宋_GB2312" w:cs="Arial"/>
          <w:sz w:val="22"/>
          <w:szCs w:val="22"/>
        </w:rPr>
        <w:t xml:space="preserve">评估期间，松莉科技承担的主要功能和风险，以及拥有的资产总结如下：</w:t>
      </w:r>
      <w:r>
        <w:rPr>
          <w:rFonts w:ascii="Arial Narrow" w:hAnsi="Arial Narrow" w:eastAsia="仿宋_GB2312" w:cs="Arial"/>
          <w:sz w:val="22"/>
          <w:szCs w:val="22"/>
        </w:rPr>
      </w:r>
    </w:p>
    <w:p>
      <w:pPr>
        <w:pStyle w:val="1443"/>
        <w:numPr>
          <w:ilvl w:val="0"/>
          <w:numId w:val="28"/>
        </w:numPr>
        <w:pBdr/>
        <w:spacing w:after="180" w:before="180" w:line="360" w:lineRule="auto"/>
        <w:ind w:right="113"/>
        <w:contextualSpacing w:val="false"/>
        <w:jc w:val="both"/>
        <w:rPr>
          <w:rFonts w:ascii="Arial Narrow" w:hAnsi="Arial Narrow" w:eastAsia="仿宋_GB2312" w:cs="Arial"/>
        </w:rPr>
      </w:pPr>
      <w:r>
        <w:rPr>
          <w:rFonts w:ascii="Arial Narrow" w:hAnsi="Arial Narrow" w:eastAsia="仿宋_GB2312" w:cs="Arial"/>
        </w:rPr>
        <w:t xml:space="preserve">松莉科技执行有限的研发、生产、采购、质量控制、库存管理、物流、有限的销售、有限的售后服务和一般行政管理的功能；松莉科技主要承担生产风险、存货风险、市场风险、有限的信用风险、汇率风险；从功能和风险分析应归为承担一定功能及风险的合约生产制造商。</w:t>
      </w:r>
      <w:r>
        <w:rPr>
          <w:rFonts w:ascii="Arial Narrow" w:hAnsi="Arial Narrow" w:eastAsia="仿宋_GB2312" w:cs="Arial"/>
        </w:rPr>
      </w:r>
      <w:r>
        <w:rPr>
          <w:rFonts w:ascii="Arial Narrow" w:hAnsi="Arial Narrow" w:eastAsia="仿宋_GB2312" w:cs="Arial"/>
        </w:rPr>
      </w:r>
    </w:p>
    <w:p>
      <w:pPr>
        <w:pStyle w:val="1443"/>
        <w:numPr>
          <w:ilvl w:val="0"/>
          <w:numId w:val="28"/>
        </w:numPr>
        <w:pBdr/>
        <w:spacing w:after="180" w:before="180" w:line="360" w:lineRule="auto"/>
        <w:ind w:right="113"/>
        <w:contextualSpacing w:val="false"/>
        <w:jc w:val="both"/>
        <w:rPr>
          <w:rFonts w:ascii="Arial Narrow" w:hAnsi="Arial Narrow" w:eastAsia="仿宋_GB2312" w:cs="Arial"/>
        </w:rPr>
      </w:pPr>
      <w:r>
        <w:rPr>
          <w:rFonts w:ascii="Arial Narrow" w:hAnsi="Arial Narrow" w:eastAsia="仿宋_GB2312" w:cs="Arial"/>
        </w:rPr>
        <w:t xml:space="preserve">此外，松莉科技拥有全部的生产和测试所需的有形资产，不拥有技术专利及品牌等有价值的无形资产。</w:t>
      </w:r>
      <w:bookmarkEnd w:id="235"/>
      <w:r/>
      <w:bookmarkEnd w:id="236"/>
      <w:r/>
      <w:r>
        <w:rPr>
          <w:rFonts w:ascii="Arial Narrow" w:hAnsi="Arial Narrow" w:eastAsia="仿宋_GB2312" w:cs="Arial"/>
        </w:rPr>
      </w:r>
    </w:p>
    <w:p>
      <w:pPr>
        <w:pBdr/>
        <w:spacing w:after="240" w:before="240"/>
        <w:ind/>
        <w:jc w:val="both"/>
        <w:rPr>
          <w:rFonts w:ascii="Arial Narrow" w:hAnsi="Arial Narrow" w:eastAsia="仿宋_GB2312" w:cs="Arial"/>
          <w:sz w:val="22"/>
          <w:szCs w:val="22"/>
          <w:lang w:val="en-GB"/>
        </w:rPr>
        <w:sectPr>
          <w:headerReference w:type="even" r:id="rId16"/>
          <w:headerReference w:type="first" r:id="rId17"/>
          <w:footnotePr/>
          <w:endnotePr/>
          <w:type w:val="nextPage"/>
          <w:pgSz w:h="16839" w:orient="portrait" w:w="11907"/>
          <w:pgMar w:top="1440" w:right="1800" w:bottom="1440" w:left="1800" w:header="709" w:footer="709" w:gutter="0"/>
          <w:cols w:num="1" w:sep="0" w:space="720" w:equalWidth="1"/>
        </w:sectPr>
      </w:pPr>
      <w:r>
        <w:rPr>
          <w:rFonts w:ascii="Arial Narrow" w:hAnsi="Arial Narrow" w:eastAsia="仿宋_GB2312" w:cs="Arial"/>
          <w:sz w:val="22"/>
          <w:szCs w:val="22"/>
          <w:lang w:val="en-GB"/>
        </w:rPr>
      </w:r>
      <w:r>
        <w:rPr>
          <w:rFonts w:ascii="Arial Narrow" w:hAnsi="Arial Narrow" w:eastAsia="仿宋_GB2312" w:cs="Arial"/>
          <w:sz w:val="22"/>
          <w:szCs w:val="22"/>
          <w:lang w:val="en-GB"/>
        </w:rPr>
      </w:r>
    </w:p>
    <w:p>
      <w:pPr>
        <w:pStyle w:val="1323"/>
        <w:pBdr/>
        <w:spacing/>
        <w:ind/>
        <w:rPr>
          <w:b/>
        </w:rPr>
      </w:pPr>
      <w:r/>
      <w:bookmarkStart w:id="780" w:name="_Toc140505140"/>
      <w:r/>
      <w:bookmarkStart w:id="781" w:name="_Toc53229093"/>
      <w:r/>
      <w:bookmarkStart w:id="782" w:name="_Toc274825238"/>
      <w:r>
        <w:t xml:space="preserve">价值链分析</w:t>
      </w:r>
      <w:bookmarkEnd w:id="780"/>
      <w:r/>
      <w:bookmarkEnd w:id="781"/>
      <w:r/>
      <w:r>
        <w:rPr>
          <w:b/>
        </w:rPr>
      </w:r>
    </w:p>
    <w:p>
      <w:pPr>
        <w:pBdr/>
        <w:spacing w:after="156" w:before="156" w:line="360" w:lineRule="auto"/>
        <w:ind w:firstLine="440"/>
        <w:jc w:val="both"/>
        <w:rPr>
          <w:rFonts w:ascii="Arial Narrow" w:hAnsi="Arial Narrow" w:eastAsia="仿宋_GB2312" w:cs="Arial"/>
          <w:sz w:val="22"/>
          <w:szCs w:val="22"/>
        </w:rPr>
      </w:pPr>
      <w:r/>
      <w:bookmarkStart w:id="783" w:name="_Toc522205826"/>
      <w:r/>
      <w:bookmarkStart w:id="784" w:name="_Toc48582998"/>
      <w:r/>
      <w:bookmarkStart w:id="785" w:name="_Toc489952573"/>
      <w:r/>
      <w:bookmarkStart w:id="786" w:name="_Toc489952567"/>
      <w:r/>
      <w:bookmarkStart w:id="787" w:name="_Toc522205827"/>
      <w:r/>
      <w:bookmarkStart w:id="788" w:name="_Toc48582585"/>
      <w:r/>
      <w:bookmarkStart w:id="789" w:name="_Toc489952561"/>
      <w:r/>
      <w:bookmarkStart w:id="790" w:name="_Toc522205825"/>
      <w:r/>
      <w:bookmarkStart w:id="791" w:name="_Toc489952569"/>
      <w:r/>
      <w:bookmarkStart w:id="792" w:name="_Toc15995719"/>
      <w:r/>
      <w:bookmarkStart w:id="793" w:name="_Toc48317464"/>
      <w:r/>
      <w:bookmarkStart w:id="794" w:name="_Toc48317156"/>
      <w:r/>
      <w:bookmarkEnd w:id="783"/>
      <w:r/>
      <w:bookmarkEnd w:id="784"/>
      <w:r/>
      <w:bookmarkEnd w:id="785"/>
      <w:r/>
      <w:bookmarkEnd w:id="786"/>
      <w:r/>
      <w:bookmarkEnd w:id="787"/>
      <w:r/>
      <w:bookmarkEnd w:id="788"/>
      <w:r/>
      <w:bookmarkEnd w:id="789"/>
      <w:r/>
      <w:bookmarkEnd w:id="790"/>
      <w:r/>
      <w:bookmarkEnd w:id="791"/>
      <w:r>
        <w:rPr>
          <w:rFonts w:ascii="Arial Narrow" w:hAnsi="Arial Narrow" w:eastAsia="仿宋_GB2312" w:cs="Arial"/>
          <w:sz w:val="22"/>
          <w:szCs w:val="22"/>
        </w:rPr>
        <w:t xml:space="preserve">根据[2016]42号公告的相关规定，在分析关联交易是否符合独立交易原则的过程中应当对集团价值链进行分析。因此，本节将阐述Markwins 集团价值链情况。</w:t>
      </w:r>
      <w:r>
        <w:rPr>
          <w:rFonts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价值链分析能够提供以下与经营活动相关的有效信息：</w:t>
      </w:r>
      <w:r>
        <w:rPr>
          <w:rFonts w:ascii="Arial Narrow" w:hAnsi="Arial Narrow" w:eastAsia="仿宋_GB2312" w:cs="Arial"/>
          <w:sz w:val="22"/>
          <w:szCs w:val="22"/>
        </w:rPr>
      </w:r>
    </w:p>
    <w:p>
      <w:pPr>
        <w:pStyle w:val="1443"/>
        <w:numPr>
          <w:ilvl w:val="0"/>
          <w:numId w:val="29"/>
        </w:numPr>
        <w:pBdr/>
        <w:spacing w:after="156" w:before="156" w:line="360" w:lineRule="auto"/>
        <w:ind w:right="113"/>
        <w:contextualSpacing w:val="false"/>
        <w:jc w:val="both"/>
        <w:rPr>
          <w:rFonts w:ascii="Arial Narrow" w:hAnsi="Arial Narrow" w:eastAsia="仿宋_GB2312" w:cs="Arial"/>
        </w:rPr>
      </w:pPr>
      <w:r>
        <w:rPr>
          <w:rFonts w:ascii="Arial Narrow" w:hAnsi="Arial Narrow" w:eastAsia="仿宋_GB2312" w:cs="Arial"/>
        </w:rPr>
        <w:t xml:space="preserve">与交易有关的关键价值驱动因素，其中包括各相关方是如何使其自身区别于同业竞争者进而赢取市场的；</w:t>
      </w:r>
      <w:r>
        <w:rPr>
          <w:rFonts w:ascii="Arial Narrow" w:hAnsi="Arial Narrow" w:eastAsia="仿宋_GB2312" w:cs="Arial"/>
        </w:rPr>
      </w:r>
    </w:p>
    <w:p>
      <w:pPr>
        <w:pStyle w:val="1443"/>
        <w:numPr>
          <w:ilvl w:val="0"/>
          <w:numId w:val="29"/>
        </w:numPr>
        <w:pBdr/>
        <w:spacing w:after="156" w:before="156" w:line="360" w:lineRule="auto"/>
        <w:ind w:right="113"/>
        <w:contextualSpacing w:val="false"/>
        <w:jc w:val="both"/>
        <w:rPr>
          <w:rFonts w:ascii="Arial Narrow" w:hAnsi="Arial Narrow" w:eastAsia="仿宋_GB2312" w:cs="Arial"/>
        </w:rPr>
      </w:pPr>
      <w:r>
        <w:rPr>
          <w:rFonts w:ascii="Arial Narrow" w:hAnsi="Arial Narrow" w:eastAsia="仿宋_GB2312" w:cs="Arial"/>
        </w:rPr>
        <w:t xml:space="preserve">相关企业在资产、功能及风险方面对价值驱动的贡献，包括哪些贡献是独特且有价值的；</w:t>
      </w:r>
      <w:r>
        <w:rPr>
          <w:rFonts w:ascii="Arial Narrow" w:hAnsi="Arial Narrow" w:eastAsia="仿宋_GB2312" w:cs="Arial"/>
        </w:rPr>
      </w:r>
    </w:p>
    <w:p>
      <w:pPr>
        <w:pStyle w:val="1443"/>
        <w:numPr>
          <w:ilvl w:val="0"/>
          <w:numId w:val="29"/>
        </w:numPr>
        <w:pBdr/>
        <w:spacing w:after="156" w:before="156" w:line="360" w:lineRule="auto"/>
        <w:ind w:right="113"/>
        <w:contextualSpacing w:val="false"/>
        <w:jc w:val="both"/>
        <w:rPr>
          <w:rFonts w:ascii="Arial Narrow" w:hAnsi="Arial Narrow" w:eastAsia="仿宋_GB2312" w:cs="Arial"/>
        </w:rPr>
      </w:pPr>
      <w:r>
        <w:rPr>
          <w:rFonts w:ascii="Arial Narrow" w:hAnsi="Arial Narrow" w:eastAsia="仿宋_GB2312" w:cs="Arial"/>
        </w:rPr>
        <w:t xml:space="preserve">企业集团内业务流、物流和资金流，包括商品、劳务或者其他交易标的从设计、开发、生产制造、营销、销售、交货、结算、消费、售后服务、循环利用等各环节及其参与方；</w:t>
      </w:r>
      <w:r>
        <w:rPr>
          <w:rFonts w:ascii="Arial Narrow" w:hAnsi="Arial Narrow" w:eastAsia="仿宋_GB2312" w:cs="Arial"/>
        </w:rPr>
      </w:r>
    </w:p>
    <w:p>
      <w:pPr>
        <w:pStyle w:val="1443"/>
        <w:numPr>
          <w:ilvl w:val="0"/>
          <w:numId w:val="29"/>
        </w:numPr>
        <w:pBdr/>
        <w:spacing w:after="156" w:before="156" w:line="360" w:lineRule="auto"/>
        <w:ind w:right="113"/>
        <w:contextualSpacing w:val="false"/>
        <w:jc w:val="both"/>
        <w:rPr>
          <w:rFonts w:ascii="Arial Narrow" w:hAnsi="Arial Narrow" w:eastAsia="仿宋_GB2312" w:cs="Arial"/>
        </w:rPr>
      </w:pPr>
      <w:r>
        <w:rPr>
          <w:rFonts w:ascii="Arial Narrow" w:hAnsi="Arial Narrow" w:eastAsia="仿宋_GB2312" w:cs="Arial"/>
        </w:rPr>
        <w:t xml:space="preserve">各相关方在价值链中是如何协同运作，以及是如何分配功能和资产的。</w:t>
      </w:r>
      <w:r>
        <w:rPr>
          <w:rFonts w:ascii="Arial Narrow" w:hAnsi="Arial Narrow" w:eastAsia="仿宋_GB2312" w:cs="Arial"/>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r>
        <w:rPr>
          <w:rFonts w:ascii="Arial Narrow" w:hAnsi="Arial Narrow" w:eastAsia="仿宋_GB2312" w:cs="Arial"/>
          <w:sz w:val="22"/>
          <w:szCs w:val="22"/>
        </w:rPr>
      </w:r>
    </w:p>
    <w:p>
      <w:pPr>
        <w:pStyle w:val="1324"/>
        <w:pBdr/>
        <w:spacing/>
        <w:ind/>
        <w:rPr/>
      </w:pPr>
      <w:r/>
      <w:bookmarkStart w:id="795" w:name="_Toc140505141"/>
      <w:r/>
      <w:bookmarkStart w:id="796" w:name="_Toc53229094"/>
      <w:r>
        <w:t xml:space="preserve">确定关键价值驱动因素</w:t>
      </w:r>
      <w:bookmarkEnd w:id="792"/>
      <w:r/>
      <w:bookmarkEnd w:id="793"/>
      <w:r/>
      <w:bookmarkEnd w:id="794"/>
      <w:r/>
      <w:bookmarkEnd w:id="795"/>
      <w:r/>
      <w:bookmarkEnd w:id="796"/>
      <w: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在化妆品行业中竞争十分激烈，Markwins集团的利润水平主要由专注细分市场、集中采购和分销网络、营销技术经验和有效产品推广和客户关系等因素决定。</w:t>
      </w:r>
      <w:r>
        <w:rPr>
          <w:rFonts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（1）专注细分市场</w:t>
      </w:r>
      <w:r>
        <w:rPr>
          <w:rFonts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Markwins 集团的策略是专注于较便宜的产品。随着消费者对小众市场越来越感兴趣，Markwins 集团通过满足所有年龄组别和人群的成年人、青少年品牌，为所有年龄段的消费者提供经济适用型美容产品，从而填补了小众市场这一重大空白。</w:t>
      </w:r>
      <w:r>
        <w:rPr>
          <w:rFonts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（2）集中采购和分销网络</w:t>
      </w:r>
      <w:r>
        <w:rPr>
          <w:rFonts w:hint="eastAsia"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Markwins 集团通过集中采购，能够利用规模经济，发挥市场支配力，以较低成本创造更好的产品，而结构较分散的企业则难以望其项背。</w:t>
      </w:r>
      <w:r>
        <w:rPr>
          <w:rFonts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通过多年来的多次收购，Markwins 集团已经成为一个拥有广泛的分销网络垂直整合的化妆品产品供应商。Markwins 集团还通过内部开发和战略收购拥有专利配方和产品，如修容粉饼、散粉、润唇膏和指甲油。这些配方的专利性质使得 Markwins 集团能够有效地创造独特的产品，从而获得与对手竞争的战略优势。</w:t>
      </w:r>
      <w:r>
        <w:rPr>
          <w:rFonts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（3）营销技术经验和有效产品推广</w:t>
      </w:r>
      <w:r>
        <w:rPr>
          <w:rFonts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Markwins 集团专注于成为一个平均销售价格比市场平均零售价格低 40％的品牌。如何在适当的时间、适当的地点以适当的价格、适当的信息沟通和促销渠道，向适当的消费者提供市场的产品和服务是营销的关键，Markwins 集团通过针对性的方案持续的进行产品的营销。</w:t>
      </w:r>
      <w:r>
        <w:rPr>
          <w:rFonts w:hint="eastAsia"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 （4）客户关系</w:t>
      </w:r>
      <w:r>
        <w:rPr>
          <w:rFonts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通过其作为低价化妆品供应商的地位，Markwins 集团已经与主要的大型和折扣零售商建立了稳固的合作关系。Markwins 集团的客户主要为大型连锁超市和药店，包括Walmart, Target,  CVS, Walgreens., Dollar General。</w:t>
      </w:r>
      <w:r>
        <w:rPr>
          <w:rFonts w:ascii="Arial Narrow" w:hAnsi="Arial Narrow" w:eastAsia="仿宋_GB2312" w:cs="Arial"/>
          <w:sz w:val="22"/>
          <w:szCs w:val="22"/>
        </w:rPr>
      </w:r>
      <w:r>
        <w:rPr>
          <w:rFonts w:ascii="Arial Narrow" w:hAnsi="Arial Narrow" w:eastAsia="仿宋_GB2312" w:cs="Arial"/>
          <w:sz w:val="22"/>
          <w:szCs w:val="22"/>
        </w:rPr>
      </w:r>
    </w:p>
    <w:p>
      <w:pPr>
        <w:pStyle w:val="1324"/>
        <w:pBdr/>
        <w:spacing/>
        <w:ind/>
        <w:rPr>
          <w:b/>
        </w:rPr>
      </w:pPr>
      <w:r/>
      <w:bookmarkStart w:id="797" w:name="_Toc85557582"/>
      <w:r/>
      <w:bookmarkStart w:id="798" w:name="_Toc85042578"/>
      <w:r/>
      <w:bookmarkStart w:id="799" w:name="_Toc85622949"/>
      <w:r/>
      <w:bookmarkStart w:id="800" w:name="_Toc85557715"/>
      <w:r/>
      <w:bookmarkStart w:id="801" w:name="_Toc140505142"/>
      <w:r/>
      <w:bookmarkStart w:id="802" w:name="_Toc53229095"/>
      <w:r/>
      <w:bookmarkEnd w:id="797"/>
      <w:r/>
      <w:bookmarkEnd w:id="798"/>
      <w:r/>
      <w:bookmarkEnd w:id="799"/>
      <w:r/>
      <w:bookmarkEnd w:id="800"/>
      <w:r>
        <w:t xml:space="preserve">集团价值链</w:t>
      </w:r>
      <w:bookmarkEnd w:id="801"/>
      <w:r/>
      <w:bookmarkEnd w:id="802"/>
      <w:r/>
      <w:r>
        <w:rPr>
          <w:b/>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评估期间，Markwins集团的价值链以及松莉科技在其中所处的位置如下图所示：</w:t>
      </w:r>
      <w:r>
        <w:rPr>
          <w:rFonts w:ascii="Arial Narrow" w:hAnsi="Arial Narrow" w:eastAsia="仿宋_GB2312" w:cs="Arial"/>
          <w:sz w:val="22"/>
          <w:szCs w:val="22"/>
        </w:rPr>
      </w:r>
      <w:r>
        <w:rPr>
          <w:rFonts w:ascii="Arial Narrow" w:hAnsi="Arial Narrow" w:eastAsia="仿宋_GB2312" w:cs="Arial"/>
          <w:sz w:val="22"/>
          <w:szCs w:val="22"/>
        </w:rPr>
      </w:r>
    </w:p>
    <w:p>
      <w:pPr>
        <w:pBdr/>
        <w:spacing/>
        <w:ind/>
        <w:jc w:val="center"/>
        <w:rPr>
          <w:rFonts w:ascii="Arial Narrow" w:hAnsi="Arial Narrow" w:eastAsia="仿宋_GB2312" w:cs="Arial"/>
          <w:b/>
          <w:sz w:val="22"/>
        </w:rPr>
      </w:pPr>
      <w:r>
        <w:rPr>
          <w:rFonts w:ascii="Arial Narrow" w:hAnsi="Arial Narrow" w:eastAsia="仿宋_GB2312" w:cs="Arial"/>
          <w:b/>
          <w:sz w:val="22"/>
        </w:rPr>
      </w:r>
      <w:r>
        <w:rPr>
          <w:rFonts w:ascii="Arial Narrow" w:hAnsi="Arial Narrow" w:eastAsia="仿宋_GB2312" w:cs="Arial"/>
          <w:b/>
          <w:sz w:val="22"/>
        </w:rPr>
      </w:r>
    </w:p>
    <w:p>
      <w:pPr>
        <w:pBdr/>
        <w:spacing/>
        <w:ind/>
        <w:jc w:val="center"/>
        <w:rPr>
          <w:rFonts w:ascii="Arial Narrow" w:hAnsi="Arial Narrow" w:eastAsia="仿宋_GB2312" w:cs="Arial"/>
          <w:b/>
          <w:sz w:val="22"/>
        </w:rPr>
      </w:pPr>
      <w:r>
        <w:rPr>
          <w:rFonts w:ascii="Arial Narrow" w:hAnsi="Arial Narrow" w:eastAsia="仿宋_GB2312" w:cs="Arial"/>
          <w:b/>
          <w:sz w:val="22"/>
        </w:rPr>
      </w:r>
      <w:r>
        <w:rPr>
          <w:rFonts w:ascii="Arial Narrow" w:hAnsi="Arial Narrow" w:eastAsia="仿宋_GB2312" w:cs="Arial"/>
          <w:b/>
          <w:sz w:val="22"/>
        </w:rPr>
      </w:r>
    </w:p>
    <w:p>
      <w:pPr>
        <w:pBdr/>
        <w:spacing/>
        <w:ind/>
        <w:jc w:val="center"/>
        <w:rPr>
          <w:rFonts w:ascii="Arial Narrow" w:hAnsi="Arial Narrow" w:eastAsia="仿宋_GB2312" w:cs="Arial"/>
          <w:b/>
          <w:sz w:val="22"/>
        </w:rPr>
      </w:pPr>
      <w:r>
        <w:rPr>
          <w:rFonts w:ascii="Arial Narrow" w:hAnsi="Arial Narrow" w:eastAsia="仿宋_GB2312" w:cs="Arial"/>
          <w:b/>
          <w:sz w:val="22"/>
        </w:rPr>
      </w:r>
      <w:r>
        <w:rPr>
          <w:rFonts w:ascii="Arial Narrow" w:hAnsi="Arial Narrow" w:eastAsia="仿宋_GB2312" w:cs="Arial"/>
          <w:b/>
          <w:sz w:val="22"/>
        </w:rPr>
      </w:r>
    </w:p>
    <w:p>
      <w:pPr>
        <w:pBdr/>
        <w:spacing/>
        <w:ind/>
        <w:jc w:val="center"/>
        <w:rPr>
          <w:rFonts w:ascii="Arial Narrow" w:hAnsi="Arial Narrow" w:eastAsia="仿宋_GB2312" w:cs="Arial"/>
          <w:b/>
          <w:sz w:val="22"/>
        </w:rPr>
      </w:pPr>
      <w:r>
        <w:rPr>
          <w:rFonts w:ascii="Arial Narrow" w:hAnsi="Arial Narrow" w:eastAsia="仿宋_GB2312" w:cs="Arial"/>
          <w:b/>
          <w:sz w:val="22"/>
        </w:rPr>
      </w:r>
      <w:r>
        <w:rPr>
          <w:rFonts w:ascii="Arial Narrow" w:hAnsi="Arial Narrow" w:eastAsia="仿宋_GB2312" w:cs="Arial"/>
          <w:b/>
          <w:sz w:val="22"/>
        </w:rPr>
      </w:r>
    </w:p>
    <w:p>
      <w:pPr>
        <w:pBdr/>
        <w:spacing/>
        <w:ind/>
        <w:jc w:val="center"/>
        <w:rPr>
          <w:rFonts w:ascii="Arial Narrow" w:hAnsi="Arial Narrow" w:eastAsia="仿宋_GB2312" w:cs="Arial"/>
          <w:b/>
          <w:sz w:val="22"/>
        </w:rPr>
      </w:pPr>
      <w:r>
        <w:rPr>
          <w:rFonts w:ascii="Arial Narrow" w:hAnsi="Arial Narrow" w:eastAsia="仿宋_GB2312" w:cs="Arial"/>
          <w:b/>
          <w:sz w:val="22"/>
        </w:rPr>
      </w:r>
      <w:r>
        <w:rPr>
          <w:rFonts w:ascii="Arial Narrow" w:hAnsi="Arial Narrow" w:eastAsia="仿宋_GB2312" w:cs="Arial"/>
          <w:b/>
          <w:sz w:val="22"/>
        </w:rPr>
      </w:r>
    </w:p>
    <w:p>
      <w:pPr>
        <w:pBdr/>
        <w:spacing/>
        <w:ind/>
        <w:jc w:val="center"/>
        <w:rPr>
          <w:rFonts w:ascii="Arial Narrow" w:hAnsi="Arial Narrow" w:eastAsia="仿宋_GB2312" w:cs="Arial"/>
          <w:b/>
          <w:sz w:val="22"/>
        </w:rPr>
      </w:pPr>
      <w:r>
        <w:rPr>
          <w:rFonts w:ascii="Arial Narrow" w:hAnsi="Arial Narrow" w:eastAsia="仿宋_GB2312" w:cs="Arial"/>
          <w:b/>
          <w:sz w:val="22"/>
        </w:rPr>
      </w:r>
      <w:r>
        <w:rPr>
          <w:rFonts w:ascii="Arial Narrow" w:hAnsi="Arial Narrow" w:eastAsia="仿宋_GB2312" w:cs="Arial"/>
          <w:b/>
          <w:sz w:val="22"/>
        </w:rPr>
      </w:r>
    </w:p>
    <w:p>
      <w:pPr>
        <w:pBdr/>
        <w:spacing/>
        <w:ind/>
        <w:jc w:val="center"/>
        <w:rPr>
          <w:rFonts w:ascii="Arial Narrow" w:hAnsi="Arial Narrow" w:eastAsia="仿宋_GB2312" w:cs="Arial"/>
          <w:b/>
          <w:sz w:val="22"/>
        </w:rPr>
      </w:pPr>
      <w:r>
        <w:rPr>
          <w:rFonts w:ascii="Arial Narrow" w:hAnsi="Arial Narrow" w:eastAsia="仿宋_GB2312" w:cs="Arial"/>
          <w:b/>
          <w:sz w:val="22"/>
        </w:rPr>
      </w:r>
      <w:r>
        <w:rPr>
          <w:rFonts w:ascii="Arial Narrow" w:hAnsi="Arial Narrow" w:eastAsia="仿宋_GB2312" w:cs="Arial"/>
          <w:b/>
          <w:sz w:val="22"/>
        </w:rPr>
      </w:r>
    </w:p>
    <w:p>
      <w:pPr>
        <w:pBdr/>
        <w:spacing/>
        <w:ind/>
        <w:jc w:val="center"/>
        <w:rPr>
          <w:rFonts w:ascii="Arial Narrow" w:hAnsi="Arial Narrow" w:eastAsia="仿宋_GB2312" w:cs="Arial"/>
          <w:b/>
          <w:sz w:val="22"/>
        </w:rPr>
      </w:pPr>
      <w:r>
        <w:rPr>
          <w:rFonts w:ascii="Arial Narrow" w:hAnsi="Arial Narrow" w:eastAsia="仿宋_GB2312" w:cs="Arial"/>
          <w:b/>
          <w:sz w:val="22"/>
        </w:rPr>
      </w:r>
      <w:r>
        <w:rPr>
          <w:rFonts w:ascii="Arial Narrow" w:hAnsi="Arial Narrow" w:eastAsia="仿宋_GB2312" w:cs="Arial"/>
          <w:b/>
          <w:sz w:val="22"/>
        </w:rPr>
      </w:r>
    </w:p>
    <w:p>
      <w:pPr>
        <w:pBdr/>
        <w:spacing/>
        <w:ind/>
        <w:jc w:val="center"/>
        <w:rPr>
          <w:rFonts w:ascii="Arial Narrow" w:hAnsi="Arial Narrow" w:eastAsia="仿宋_GB2312" w:cs="Arial"/>
          <w:b/>
          <w:sz w:val="22"/>
        </w:rPr>
      </w:pPr>
      <w:r>
        <w:rPr>
          <w:rFonts w:ascii="Arial Narrow" w:hAnsi="Arial Narrow" w:eastAsia="仿宋_GB2312" w:cs="Arial"/>
          <w:b/>
          <w:sz w:val="22"/>
        </w:rPr>
      </w:r>
      <w:r>
        <w:rPr>
          <w:rFonts w:ascii="Arial Narrow" w:hAnsi="Arial Narrow" w:eastAsia="仿宋_GB2312" w:cs="Arial"/>
          <w:b/>
          <w:sz w:val="22"/>
        </w:rPr>
      </w:r>
    </w:p>
    <w:p>
      <w:pPr>
        <w:pBdr/>
        <w:spacing/>
        <w:ind/>
        <w:jc w:val="center"/>
        <w:rPr>
          <w:rFonts w:ascii="Arial Narrow" w:hAnsi="Arial Narrow" w:eastAsia="仿宋_GB2312" w:cs="Arial"/>
          <w:b/>
          <w:sz w:val="22"/>
        </w:rPr>
      </w:pPr>
      <w:r>
        <w:rPr>
          <w:rFonts w:ascii="Arial Narrow" w:hAnsi="Arial Narrow" w:eastAsia="仿宋_GB2312" w:cs="Arial"/>
          <w:b/>
          <w:sz w:val="22"/>
        </w:rPr>
      </w:r>
      <w:r>
        <w:rPr>
          <w:rFonts w:ascii="Arial Narrow" w:hAnsi="Arial Narrow" w:eastAsia="仿宋_GB2312" w:cs="Arial"/>
          <w:b/>
          <w:sz w:val="22"/>
        </w:rPr>
      </w:r>
    </w:p>
    <w:p>
      <w:pPr>
        <w:pBdr/>
        <w:spacing/>
        <w:ind/>
        <w:jc w:val="center"/>
        <w:rPr>
          <w:rFonts w:ascii="Arial Narrow" w:hAnsi="Arial Narrow" w:eastAsia="仿宋_GB2312" w:cs="Arial"/>
          <w:b/>
          <w:sz w:val="22"/>
        </w:rPr>
      </w:pPr>
      <w:r>
        <w:rPr>
          <w:rFonts w:ascii="Arial Narrow" w:hAnsi="Arial Narrow" w:eastAsia="仿宋_GB2312" w:cs="Arial"/>
          <w:b/>
          <w:sz w:val="22"/>
        </w:rPr>
      </w:r>
      <w:r>
        <w:rPr>
          <w:rFonts w:ascii="Arial Narrow" w:hAnsi="Arial Narrow" w:eastAsia="仿宋_GB2312" w:cs="Arial"/>
          <w:b/>
          <w:sz w:val="22"/>
        </w:rPr>
      </w:r>
    </w:p>
    <w:p>
      <w:pPr>
        <w:pBdr/>
        <w:spacing/>
        <w:ind/>
        <w:jc w:val="center"/>
        <w:rPr>
          <w:rFonts w:ascii="Arial Narrow" w:hAnsi="Arial Narrow" w:eastAsia="仿宋_GB2312" w:cs="Arial"/>
          <w:b/>
          <w:sz w:val="22"/>
        </w:rPr>
      </w:pPr>
      <w:r>
        <w:rPr>
          <w:rFonts w:ascii="Arial Narrow" w:hAnsi="Arial Narrow" w:eastAsia="仿宋_GB2312" w:cs="Arial"/>
          <w:b/>
          <w:sz w:val="22"/>
        </w:rPr>
      </w:r>
      <w:r>
        <w:rPr>
          <w:rFonts w:ascii="Arial Narrow" w:hAnsi="Arial Narrow" w:eastAsia="仿宋_GB2312" w:cs="Arial"/>
          <w:b/>
          <w:sz w:val="22"/>
        </w:rPr>
      </w:r>
    </w:p>
    <w:p>
      <w:pPr>
        <w:pBdr/>
        <w:spacing/>
        <w:ind/>
        <w:jc w:val="center"/>
        <w:rPr>
          <w:rFonts w:ascii="Arial Narrow" w:hAnsi="Arial Narrow" w:eastAsia="仿宋_GB2312" w:cs="Arial"/>
          <w:b/>
          <w:sz w:val="22"/>
        </w:rPr>
      </w:pPr>
      <w:r>
        <w:rPr>
          <w:rFonts w:ascii="Arial Narrow" w:hAnsi="Arial Narrow" w:eastAsia="仿宋_GB2312" w:cs="Arial"/>
          <w:b/>
          <w:sz w:val="22"/>
        </w:rPr>
      </w:r>
      <w:r>
        <w:rPr>
          <w:rFonts w:ascii="Arial Narrow" w:hAnsi="Arial Narrow" w:eastAsia="仿宋_GB2312" w:cs="Arial"/>
          <w:b/>
          <w:sz w:val="22"/>
        </w:rPr>
      </w:r>
    </w:p>
    <w:p>
      <w:pPr>
        <w:pBdr/>
        <w:spacing/>
        <w:ind/>
        <w:jc w:val="center"/>
        <w:rPr>
          <w:rFonts w:ascii="Arial Narrow" w:hAnsi="Arial Narrow" w:eastAsia="仿宋_GB2312" w:cs="Arial"/>
          <w:b/>
          <w:sz w:val="22"/>
        </w:rPr>
      </w:pPr>
      <w:r>
        <w:rPr>
          <w:rFonts w:ascii="Arial Narrow" w:hAnsi="Arial Narrow" w:eastAsia="仿宋_GB2312" w:cs="Arial"/>
          <w:b/>
          <w:sz w:val="22"/>
        </w:rPr>
      </w:r>
      <w:r>
        <w:rPr>
          <w:rFonts w:ascii="Arial Narrow" w:hAnsi="Arial Narrow" w:eastAsia="仿宋_GB2312" w:cs="Arial"/>
          <w:b/>
          <w:sz w:val="22"/>
        </w:rPr>
      </w:r>
    </w:p>
    <w:p>
      <w:pPr>
        <w:pBdr/>
        <w:spacing/>
        <w:ind/>
        <w:jc w:val="center"/>
        <w:rPr>
          <w:rFonts w:ascii="Arial Narrow" w:hAnsi="Arial Narrow" w:eastAsia="仿宋_GB2312" w:cs="Arial"/>
          <w:b/>
          <w:bCs/>
          <w:sz w:val="22"/>
        </w:rPr>
      </w:pPr>
      <w:r>
        <w:rPr>
          <w:rFonts w:ascii="Arial Narrow" w:hAnsi="Arial Narrow" w:eastAsia="仿宋_GB2312" w:cs="Arial"/>
          <w:b/>
          <w:sz w:val="22"/>
        </w:rPr>
        <w:t xml:space="preserve">图表 12：集团价值链</w:t>
      </w:r>
      <w:r>
        <w:rPr>
          <w:rFonts w:ascii="Arial Narrow" w:hAnsi="Arial Narrow" w:eastAsia="仿宋_GB2312" w:cs="Arial"/>
          <w:b/>
          <w:sz w:val="22"/>
        </w:rPr>
        <w:fldChar w:fldCharType="begin"/>
      </w:r>
      <w:r>
        <w:rPr>
          <w:rFonts w:ascii="Arial Narrow" w:hAnsi="Arial Narrow" w:eastAsia="仿宋_GB2312" w:cs="Arial"/>
          <w:b/>
          <w:sz w:val="22"/>
        </w:rPr>
        <w:instrText xml:space="preserve"> SEQ </w:instrText>
      </w:r>
      <w:r>
        <w:rPr>
          <w:rFonts w:ascii="Arial Narrow" w:hAnsi="Arial Narrow" w:eastAsia="仿宋_GB2312" w:cs="Arial"/>
          <w:b/>
          <w:sz w:val="22"/>
        </w:rPr>
        <w:instrText xml:space="preserve">图表</w:instrText>
      </w:r>
      <w:r>
        <w:rPr>
          <w:rFonts w:ascii="Arial Narrow" w:hAnsi="Arial Narrow" w:eastAsia="仿宋_GB2312" w:cs="Arial"/>
          <w:b/>
          <w:sz w:val="22"/>
        </w:rPr>
        <w:instrText xml:space="preserve"> \* ARABIC </w:instrText>
      </w:r>
      <w:r>
        <w:rPr>
          <w:rFonts w:ascii="Arial Narrow" w:hAnsi="Arial Narrow" w:eastAsia="仿宋_GB2312" w:cs="Arial"/>
          <w:b/>
          <w:sz w:val="22"/>
        </w:rPr>
        <w:fldChar w:fldCharType="separate"/>
      </w:r>
      <w:r>
        <w:rPr>
          <w:rFonts w:ascii="Arial Narrow" w:hAnsi="Arial Narrow" w:eastAsia="仿宋_GB2312" w:cs="Arial"/>
          <w:b/>
          <w:sz w:val="22"/>
        </w:rPr>
        <w:fldChar w:fldCharType="end"/>
      </w:r>
      <w:r>
        <w:rPr>
          <w:rFonts w:hint="eastAsia" w:ascii="Arial Narrow" w:hAnsi="Arial Narrow" w:eastAsia="仿宋_GB2312" w:cs="Arial"/>
          <w:b/>
          <w:bCs/>
          <w:sz w:val="22"/>
        </w:rPr>
      </w:r>
      <w:r>
        <w:rPr>
          <w:rFonts w:ascii="Arial Narrow" w:hAnsi="Arial Narrow" w:eastAsia="仿宋_GB2312" w:cs="Arial"/>
          <w:b/>
          <w:bCs/>
          <w:sz w:val="22"/>
        </w:rPr>
      </w:r>
    </w:p>
    <w:p>
      <w:pPr>
        <w:pBdr/>
        <w:spacing/>
        <w:ind/>
        <w:jc w:val="center"/>
        <w:rPr>
          <w:b/>
          <w:bCs/>
        </w:rPr>
      </w:pPr>
      <w:r>
        <w:rPr>
          <w:rFonts w:ascii="Arial Narrow" w:hAnsi="Arial Narrow" w:eastAsia="仿宋_GB2312" w:cs="Arial"/>
          <w:b/>
          <w:bCs/>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3794270</wp:posOffset>
                </wp:positionH>
                <wp:positionV relativeFrom="paragraph">
                  <wp:posOffset>668969</wp:posOffset>
                </wp:positionV>
                <wp:extent cx="946150" cy="400050"/>
                <wp:effectExtent l="0" t="0" r="0" b="0"/>
                <wp:wrapNone/>
                <wp:docPr id="12" name="TextBox 89"/>
                <wp:cNvGraphicFramePr/>
                <a:graphic xmlns:a="http://schemas.openxmlformats.org/drawingml/2006/main">
                  <a:graphicData uri="http://schemas.microsoft.com/office/word/2010/wordprocessingShape">
                    <wps:wsp>
                      <wps:cNvPr id="0" name=""/>
                      <wps:cNvSpPr txBox="1"/>
                      <wps:spPr bwMode="auto">
                        <a:xfrm rot="3772197">
                          <a:off x="0" y="0"/>
                          <a:ext cx="946150" cy="400050"/>
                        </a:xfrm>
                        <a:prstGeom prst="rect">
                          <a:avLst/>
                        </a:prstGeom>
                        <a:noFill/>
                      </wps:spPr>
                      <wps:txbx>
                        <w:txbxContent>
                          <w:p>
                            <w:pPr>
                              <w:pStyle w:val="1367"/>
                              <w:pBdr/>
                              <w:spacing w:after="0" w:afterAutospacing="0" w:before="0"/>
                              <w:ind/>
                              <w:jc w:val="center"/>
                              <w:rPr>
                                <w:rFonts w:ascii="仿宋_GB2312" w:hAnsi="仿宋" w:eastAsia="仿宋_GB2312"/>
                                <w:color w:val="ffffff" w:themeColor="background1"/>
                                <w:sz w:val="22"/>
                                <w:szCs w:val="22"/>
                              </w:rPr>
                            </w:pPr>
                            <w:r>
                              <w:rPr>
                                <w:rFonts w:hint="eastAsia" w:ascii="仿宋_GB2312" w:hAnsi="仿宋" w:eastAsia="仿宋_GB2312" w:cstheme="minorBidi"/>
                                <w:b/>
                                <w:bCs/>
                                <w:color w:val="ffffff" w:themeColor="background1"/>
                                <w:sz w:val="22"/>
                                <w:szCs w:val="22"/>
                              </w:rPr>
                              <w:t xml:space="preserve">利润</w:t>
                            </w:r>
                            <w:r>
                              <w:rPr>
                                <w:rFonts w:ascii="仿宋_GB2312" w:hAnsi="仿宋" w:eastAsia="仿宋_GB2312"/>
                                <w:color w:val="ffffff" w:themeColor="background1"/>
                                <w:sz w:val="22"/>
                                <w:szCs w:val="22"/>
                              </w:rPr>
                            </w:r>
                          </w:p>
                        </w:txbxContent>
                      </wps:txbx>
                      <wps:bodyPr wrap="none" rtlCol="0" anchor="ctr">
                        <a:spAutoFit/>
                      </wps:bodyPr>
                    </wps:wsp>
                  </a:graphicData>
                </a:graphic>
              </wp:anchor>
            </w:drawing>
          </mc:Choice>
          <mc:Fallback>
            <w:pict>
              <v:shape id="shape 7" o:spid="_x0000_s7" o:spt="202" type="#_x0000_t202" style="position:absolute;z-index:251660288;o:allowoverlap:true;o:allowincell:true;mso-position-horizontal-relative:text;margin-left:298.76pt;mso-position-horizontal:absolute;mso-position-vertical-relative:text;margin-top:52.67pt;mso-position-vertical:absolute;width:74.50pt;height:31.50pt;mso-wrap-distance-left:9.00pt;mso-wrap-distance-top:0.00pt;mso-wrap-distance-right:9.00pt;mso-wrap-distance-bottom:0.00pt;rotation:62;v-text-anchor:middle;visibility:visible;" filled="f">
                <v:textbox inset="0,0,0,0">
                  <w:txbxContent>
                    <w:p>
                      <w:pPr>
                        <w:pStyle w:val="1367"/>
                        <w:pBdr/>
                        <w:spacing w:after="0" w:afterAutospacing="0" w:before="0"/>
                        <w:ind/>
                        <w:jc w:val="center"/>
                        <w:rPr>
                          <w:rFonts w:ascii="仿宋_GB2312" w:hAnsi="仿宋" w:eastAsia="仿宋_GB2312"/>
                          <w:color w:val="ffffff" w:themeColor="background1"/>
                          <w:sz w:val="22"/>
                          <w:szCs w:val="22"/>
                        </w:rPr>
                      </w:pPr>
                      <w:r>
                        <w:rPr>
                          <w:rFonts w:hint="eastAsia" w:ascii="仿宋_GB2312" w:hAnsi="仿宋" w:eastAsia="仿宋_GB2312" w:cstheme="minorBidi"/>
                          <w:b/>
                          <w:bCs/>
                          <w:color w:val="ffffff" w:themeColor="background1"/>
                          <w:sz w:val="22"/>
                          <w:szCs w:val="22"/>
                        </w:rPr>
                        <w:t xml:space="preserve">利润</w:t>
                      </w:r>
                      <w:r>
                        <w:rPr>
                          <w:rFonts w:ascii="仿宋_GB2312" w:hAnsi="仿宋" w:eastAsia="仿宋_GB2312"/>
                          <w:color w:val="ffffff" w:themeColor="background1"/>
                          <w:sz w:val="22"/>
                          <w:szCs w:val="22"/>
                        </w:rPr>
                      </w:r>
                    </w:p>
                  </w:txbxContent>
                </v:textbox>
              </v:shape>
            </w:pict>
          </mc:Fallback>
        </mc:AlternateContent>
      </w:r>
      <w:r>
        <mc:AlternateContent>
          <mc:Choice Requires="wpg">
            <w:drawing>
              <wp:inline xmlns:wp="http://schemas.openxmlformats.org/drawingml/2006/wordprocessingDrawing" distT="0" distB="0" distL="0" distR="0">
                <wp:extent cx="4134485" cy="2794635"/>
                <wp:effectExtent l="0" t="0" r="10795" b="952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3"/>
                        <pic:cNvPicPr>
                          <a:picLocks noChangeAspect="1"/>
                        </pic:cNvPicPr>
                        <pic:nvPr/>
                      </pic:nvPicPr>
                      <pic:blipFill>
                        <a:blip r:embed="rId38"/>
                        <a:stretch/>
                      </pic:blipFill>
                      <pic:spPr bwMode="auto">
                        <a:xfrm>
                          <a:off x="0" y="0"/>
                          <a:ext cx="4134485" cy="279463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25.55pt;height:220.05pt;mso-wrap-distance-left:0.00pt;mso-wrap-distance-top:0.00pt;mso-wrap-distance-right:0.00pt;mso-wrap-distance-bottom:0.00pt;z-index:1;" stroked="f">
                <v:imagedata r:id="rId38" o:title=""/>
                <o:lock v:ext="edit" rotation="t"/>
              </v:shape>
            </w:pict>
          </mc:Fallback>
        </mc:AlternateContent>
      </w:r>
      <w:r>
        <w:rPr>
          <w:b/>
          <w:bCs/>
        </w:rPr>
      </w:r>
    </w:p>
    <w:p>
      <w:pPr>
        <w:pStyle w:val="1338"/>
        <w:pBdr/>
        <w:spacing/>
        <w:ind/>
        <w:rPr>
          <w:rFonts w:ascii="Arial Narrow" w:hAnsi="Arial Narrow" w:eastAsia="仿宋_GB2312" w:cs="Arial"/>
          <w:b w:val="0"/>
          <w:bCs w:val="0"/>
          <w:sz w:val="18"/>
          <w:szCs w:val="18"/>
        </w:rPr>
      </w:pPr>
      <w:r>
        <w:rPr>
          <w:rFonts w:ascii="Arial Narrow" w:hAnsi="Arial Narrow" w:eastAsia="仿宋_GB2312" w:cs="Arial"/>
          <w:b w:val="0"/>
          <w:bCs w:val="0"/>
          <w:i/>
          <w:iCs/>
          <w:sz w:val="16"/>
          <w:szCs w:val="16"/>
        </w:rPr>
        <w:t xml:space="preserve">信息来源：由松莉科技提供</w:t>
      </w:r>
      <w:r>
        <w:rPr>
          <w:rFonts w:ascii="Arial Narrow" w:hAnsi="Arial Narrow" w:eastAsia="仿宋_GB2312" w:cs="Arial"/>
          <w:b w:val="0"/>
          <w:bCs w:val="0"/>
          <w:sz w:val="18"/>
          <w:szCs w:val="18"/>
        </w:rPr>
      </w:r>
    </w:p>
    <w:p>
      <w:pPr>
        <w:pBdr/>
        <w:spacing w:after="156" w:before="156" w:line="360" w:lineRule="auto"/>
        <w:ind w:firstLine="440"/>
        <w:jc w:val="both"/>
        <w:rPr>
          <w:rFonts w:ascii="Arial Narrow" w:hAnsi="Arial Narrow" w:eastAsia="仿宋_GB2312" w:cs="Arial"/>
          <w:sz w:val="22"/>
          <w:szCs w:val="22"/>
        </w:rPr>
      </w:pPr>
      <w:r/>
      <w:bookmarkStart w:id="803" w:name="_Toc48317466"/>
      <w:r/>
      <w:bookmarkStart w:id="804" w:name="_Toc48317158"/>
      <w:r>
        <w:rPr>
          <w:rFonts w:ascii="Arial Narrow" w:hAnsi="Arial Narrow" w:eastAsia="仿宋_GB2312" w:cs="Arial"/>
          <w:sz w:val="22"/>
          <w:szCs w:val="22"/>
        </w:rPr>
        <w:t xml:space="preserve">结合松莉科技承担的功能以及风险，松莉科技在集团价值链中主要承担采购及常规生产环节的工作，是集团整体业务链条的常规组成部分，对整体利润做出常规贡献。</w:t>
      </w:r>
      <w:r>
        <w:rPr>
          <w:rFonts w:ascii="Arial Narrow" w:hAnsi="Arial Narrow" w:eastAsia="仿宋_GB2312" w:cs="Arial"/>
          <w:sz w:val="22"/>
          <w:szCs w:val="22"/>
        </w:rPr>
      </w:r>
    </w:p>
    <w:p>
      <w:pPr>
        <w:pStyle w:val="1324"/>
        <w:pBdr/>
        <w:spacing/>
        <w:ind/>
        <w:rPr>
          <w:b/>
        </w:rPr>
      </w:pPr>
      <w:r/>
      <w:bookmarkStart w:id="805" w:name="_Toc53229096"/>
      <w:r/>
      <w:bookmarkStart w:id="806" w:name="_Toc140505143"/>
      <w:r>
        <w:t xml:space="preserve">交易定价影响要素</w:t>
      </w:r>
      <w:bookmarkEnd w:id="803"/>
      <w:r/>
      <w:bookmarkEnd w:id="804"/>
      <w:r/>
      <w:bookmarkEnd w:id="805"/>
      <w:r/>
      <w:bookmarkEnd w:id="806"/>
      <w:r/>
      <w:r>
        <w:rPr>
          <w:b/>
        </w:rPr>
      </w:r>
    </w:p>
    <w:p>
      <w:pPr>
        <w:pBdr/>
        <w:spacing w:after="156" w:before="156" w:line="360" w:lineRule="auto"/>
        <w:ind w:firstLine="440"/>
        <w:jc w:val="both"/>
        <w:rPr>
          <w:rFonts w:ascii="Arial Narrow" w:hAnsi="Arial Narrow" w:eastAsia="仿宋_GB2312" w:cs="Arial"/>
          <w:sz w:val="22"/>
          <w:szCs w:val="22"/>
        </w:rPr>
      </w:pPr>
      <w:r/>
      <w:bookmarkStart w:id="807" w:name="_Toc48583005"/>
      <w:r/>
      <w:bookmarkStart w:id="808" w:name="_Toc48583003"/>
      <w:r/>
      <w:bookmarkStart w:id="809" w:name="_Toc48399606"/>
      <w:r/>
      <w:bookmarkStart w:id="810" w:name="_Toc48583004"/>
      <w:r/>
      <w:bookmarkStart w:id="811" w:name="_Toc15995723"/>
      <w:r/>
      <w:bookmarkStart w:id="812" w:name="_Toc48399605"/>
      <w:r/>
      <w:bookmarkStart w:id="813" w:name="_Toc48317284"/>
      <w:r/>
      <w:bookmarkStart w:id="814" w:name="_Toc48317511"/>
      <w:r/>
      <w:bookmarkStart w:id="815" w:name="_Toc15995726"/>
      <w:r/>
      <w:bookmarkStart w:id="816" w:name="_Toc48582634"/>
      <w:r/>
      <w:bookmarkStart w:id="817" w:name="_Toc15995725"/>
      <w:r/>
      <w:bookmarkStart w:id="818" w:name="_Toc48317283"/>
      <w:r/>
      <w:bookmarkStart w:id="819" w:name="_Toc48582590"/>
      <w:r/>
      <w:bookmarkStart w:id="820" w:name="_Toc48582591"/>
      <w:r/>
      <w:bookmarkStart w:id="821" w:name="_Toc15995728"/>
      <w:r/>
      <w:bookmarkStart w:id="822" w:name="_Toc48317469"/>
      <w:r/>
      <w:bookmarkStart w:id="823" w:name="_Toc15995727"/>
      <w:r/>
      <w:bookmarkStart w:id="824" w:name="_Toc48317282"/>
      <w:r/>
      <w:bookmarkStart w:id="825" w:name="_Toc15995730"/>
      <w:r/>
      <w:bookmarkStart w:id="826" w:name="_Toc48583047"/>
      <w:r/>
      <w:bookmarkStart w:id="827" w:name="_Toc15995724"/>
      <w:r/>
      <w:bookmarkStart w:id="828" w:name="_Toc48317467"/>
      <w:r/>
      <w:bookmarkStart w:id="829" w:name="_Toc48399607"/>
      <w:r/>
      <w:bookmarkStart w:id="830" w:name="_Toc48582592"/>
      <w:r/>
      <w:bookmarkStart w:id="831" w:name="_Toc48317468"/>
      <w:r/>
      <w:bookmarkStart w:id="832" w:name="_Toc48399649"/>
      <w:r/>
      <w:bookmarkStart w:id="833" w:name="_Toc15995721"/>
      <w:r/>
      <w:bookmarkStart w:id="834" w:name="_Toc15995729"/>
      <w:r/>
      <w:bookmarkStart w:id="835" w:name="_Toc15995722"/>
      <w:r/>
      <w:bookmarkStart w:id="836" w:name="_Toc48317326"/>
      <w:r/>
      <w:bookmarkStart w:id="837" w:name="_Toc48317512"/>
      <w:r/>
      <w:bookmarkEnd w:id="807"/>
      <w:r/>
      <w:bookmarkEnd w:id="808"/>
      <w:r/>
      <w:bookmarkEnd w:id="809"/>
      <w:r/>
      <w:bookmarkEnd w:id="810"/>
      <w:r/>
      <w:bookmarkEnd w:id="811"/>
      <w:r/>
      <w:bookmarkEnd w:id="812"/>
      <w:r/>
      <w:bookmarkEnd w:id="813"/>
      <w:r/>
      <w:bookmarkEnd w:id="814"/>
      <w:r/>
      <w:bookmarkEnd w:id="815"/>
      <w:r/>
      <w:bookmarkEnd w:id="816"/>
      <w:r/>
      <w:bookmarkEnd w:id="817"/>
      <w:r/>
      <w:bookmarkEnd w:id="818"/>
      <w:r/>
      <w:bookmarkEnd w:id="819"/>
      <w:r/>
      <w:bookmarkEnd w:id="820"/>
      <w:r/>
      <w:bookmarkEnd w:id="821"/>
      <w:r/>
      <w:bookmarkEnd w:id="822"/>
      <w:r/>
      <w:bookmarkEnd w:id="823"/>
      <w:r/>
      <w:bookmarkEnd w:id="824"/>
      <w:r/>
      <w:bookmarkEnd w:id="825"/>
      <w:r/>
      <w:bookmarkEnd w:id="826"/>
      <w:r/>
      <w:bookmarkEnd w:id="827"/>
      <w:r/>
      <w:bookmarkEnd w:id="828"/>
      <w:r/>
      <w:bookmarkEnd w:id="829"/>
      <w:r/>
      <w:bookmarkEnd w:id="830"/>
      <w:r/>
      <w:bookmarkEnd w:id="831"/>
      <w:r/>
      <w:bookmarkEnd w:id="832"/>
      <w:r/>
      <w:bookmarkEnd w:id="833"/>
      <w:r/>
      <w:bookmarkEnd w:id="834"/>
      <w:r/>
      <w:bookmarkEnd w:id="835"/>
      <w:r/>
      <w:bookmarkEnd w:id="836"/>
      <w:r>
        <w:rPr>
          <w:rFonts w:ascii="Arial Narrow" w:hAnsi="Arial Narrow" w:eastAsia="仿宋_GB2312" w:cs="Arial"/>
          <w:sz w:val="22"/>
          <w:szCs w:val="22"/>
        </w:rPr>
        <w:t xml:space="preserve">中国国家税务总局首次在发布的《联合国转让定价操作手册》（“《手册》”）中正式提出地域特殊因素的概念。《手册》指出：“贸易和经济全球化引发了‘成本节约’、‘市场溢价’等概念，统称为‘地域特殊优势’。” </w:t>
      </w:r>
      <w:r>
        <w:rPr>
          <w:rFonts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手册》中进一步阐述了选址节约和市场溢价的定义，第10.3.3.2节和第10.3.3.3节指出：“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第10.3.3.2节）</w:t>
      </w:r>
      <w:r>
        <w:rPr>
          <w:rFonts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“市场溢价指跨国企业将经营活动安排在有独特特质的地区而获得的额外利润，这些地区的特质会对一项服务或产品的销售和需求造成影响。”（第10.3.3.3节）</w:t>
      </w:r>
      <w:r>
        <w:rPr>
          <w:rFonts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[2016]42号公告进一步指出，地域特殊因素应从劳动力成本、环境成本、市场规模、市场竞争程度、消费者购买力、商品或者劳务的可替代性、政府管制等方面进行分析。</w:t>
      </w:r>
      <w:r>
        <w:rPr>
          <w:rFonts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经济合作发展组织（“OECD”）在税基侵蚀和利润转移第8-10项行动计划的最终报告中，修订了OECD转让定价指南第一章独立交易原则的内容，新增了一节选址节约和其他本地市场特征的内容。</w:t>
      </w:r>
      <w:r>
        <w:rPr>
          <w:rFonts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新的OECD转让定价指南指出：“在评估是否需要对本地市场特征进行可比性调整时，最可靠的方法为参照对应地域市场中执行类似功能、承担类似风险并使用类似资产的独立企业间的可比非受控交易数据。这些交易的市场条件和受控交易一致，因此，当可以找到本地市场的可比交易时，无需对本地市场特征进行特殊调整。” </w:t>
      </w:r>
      <w:r>
        <w:rPr>
          <w:rFonts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新的OECD转</w:t>
      </w:r>
      <w:r>
        <w:rPr>
          <w:rFonts w:ascii="Arial Narrow" w:hAnsi="Arial Narrow" w:eastAsia="仿宋_GB2312" w:cs="Arial"/>
          <w:sz w:val="22"/>
          <w:szCs w:val="22"/>
        </w:rPr>
        <w:t xml:space="preserve">让定价指南指出：“当无法找到可靠的本地市场可比对象时，对本地市场特征进行可比性调整需要考虑所有相关的实施和情况。与选址节约的分析相同，在无法找到可靠的本地市场可比企业的情况下，需要考虑（1）是否存在市场优势或劣势；（2）与其他市场中找到的可比对象相比，本地市场优势或劣势带来的收入、成本或利润的增加或减少的金额；（3）本地市场特征带来的利益或损失在何种程度上转嫁给独立的客户或供应商；（4）当存在由本地市场特征带来的利益或损失且未完全转嫁给独立的客户或供应商时，独立企业在相似运营条件下回保留多少净收益或损失。”</w:t>
      </w:r>
      <w:r>
        <w:rPr>
          <w:rFonts w:ascii="Arial Narrow" w:hAnsi="Arial Narrow" w:eastAsia="仿宋_GB2312" w:cs="Arial"/>
          <w:sz w:val="22"/>
          <w:szCs w:val="22"/>
        </w:rPr>
      </w:r>
      <w:bookmarkEnd w:id="837"/>
      <w:r/>
      <w:r>
        <w:rPr>
          <w:rFonts w:ascii="Arial Narrow" w:hAnsi="Arial Narrow" w:eastAsia="仿宋_GB2312" w:cs="Arial"/>
          <w:sz w:val="22"/>
          <w:szCs w:val="22"/>
        </w:rPr>
      </w:r>
    </w:p>
    <w:p>
      <w:pPr>
        <w:pStyle w:val="1325"/>
        <w:pBdr/>
        <w:spacing/>
        <w:ind/>
        <w:rPr/>
      </w:pPr>
      <w:r/>
      <w:bookmarkStart w:id="838" w:name="_Toc140505144"/>
      <w:r/>
      <w:bookmarkStart w:id="839" w:name="_Toc53229097"/>
      <w:r>
        <w:t xml:space="preserve">地域成本节约</w:t>
      </w:r>
      <w:bookmarkEnd w:id="838"/>
      <w:r/>
      <w:bookmarkEnd w:id="839"/>
      <w:r/>
      <w:r/>
    </w:p>
    <w:p>
      <w:pPr>
        <w:pBdr/>
        <w:spacing w:after="156" w:before="156" w:line="360" w:lineRule="auto"/>
        <w:ind w:firstLine="440"/>
        <w:jc w:val="both"/>
        <w:rPr>
          <w:rFonts w:ascii="Arial Narrow" w:hAnsi="Arial Narrow" w:eastAsia="仿宋_GB2312" w:cs="Arial"/>
          <w:sz w:val="22"/>
          <w:szCs w:val="22"/>
        </w:rPr>
      </w:pPr>
      <w:r/>
      <w:bookmarkStart w:id="840" w:name="_Toc48317513"/>
      <w:r>
        <w:rPr>
          <w:rFonts w:ascii="Arial Narrow" w:hAnsi="Arial Narrow" w:eastAsia="仿宋_GB2312" w:cs="Arial"/>
          <w:sz w:val="22"/>
          <w:szCs w:val="22"/>
        </w:rPr>
        <w:t xml:space="preserve">作为制造公司，松莉科技的主要经营成本为人力成本和原材料成本。</w:t>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随着中国人口老龄化、结婚率以及生育率下降，近几年中国的劳动力成本加速上升、劳动力供给增长的速度在放缓。2018年度的《中国与全球制造业竞争力》报告指出，中国制造业竞争力相对优势下滑，劳动力成本上升是主因。反映为单位劳动力成本值与全球平均水平差距的缩小，其中名义劳动力成本的大幅上升是主要原因。</w:t>
      </w:r>
      <w:r>
        <w:rPr>
          <w:rFonts w:ascii="Arial Narrow" w:hAnsi="Arial Narrow" w:eastAsia="仿宋_GB2312" w:cs="Arial"/>
          <w:sz w:val="22"/>
          <w:szCs w:val="22"/>
        </w:rPr>
      </w:r>
      <w:r>
        <w:rPr>
          <w:rFonts w:ascii="Arial Narrow" w:hAnsi="Arial Narrow" w:eastAsia="仿宋_GB2312" w:cs="Arial"/>
          <w:sz w:val="22"/>
          <w:szCs w:val="22"/>
        </w:rPr>
      </w:r>
    </w:p>
    <w:p>
      <w:pPr>
        <w:pBdr/>
        <w:spacing w:after="240" w:before="240" w:line="360" w:lineRule="auto"/>
        <w:ind w:firstLine="475"/>
        <w:rPr>
          <w:rFonts w:ascii="Arial Narrow" w:hAnsi="Arial Narrow" w:eastAsia="仿宋_GB2312" w:cs="Arial"/>
          <w:iCs/>
          <w:sz w:val="22"/>
          <w:szCs w:val="22"/>
        </w:rPr>
      </w:pPr>
      <w:r>
        <w:rPr>
          <w:rFonts w:hint="eastAsia" w:ascii="Arial Narrow" w:hAnsi="Arial Narrow" w:eastAsia="仿宋_GB2312" w:cs="Arial Narrow"/>
          <w:sz w:val="22"/>
        </w:rPr>
        <w:t xml:space="preserve">截至目前，第一档月最低工资标准超过2000元省市共有19个，分别是北京、天津、河北、上海、江苏、浙江、安徽、福建、山东、湖北、广东、深圳、河南、四川、重庆、福建等。其中，上海最高为2690元，江苏及浙江2490元位列第二，北京2420位列第三。2017年到2023年中国平均工资变化的趋势如下图。</w:t>
      </w:r>
      <w:r>
        <w:rPr>
          <w:rStyle w:val="1377"/>
          <w:rFonts w:ascii="Arial Narrow" w:hAnsi="Arial Narrow" w:eastAsia="仿宋_GB2312" w:cs="Arial Narrow"/>
          <w:sz w:val="22"/>
          <w:szCs w:val="22"/>
        </w:rPr>
        <w:footnoteReference w:id="14"/>
      </w:r>
      <w:r>
        <w:rPr>
          <w:rFonts w:ascii="Arial Narrow" w:hAnsi="Arial Narrow" w:eastAsia="仿宋_GB2312" w:cs="Arial"/>
          <w:iCs/>
          <w:sz w:val="22"/>
          <w:szCs w:val="22"/>
        </w:rPr>
      </w:r>
      <w:r>
        <w:rPr>
          <w:rFonts w:ascii="Arial Narrow" w:hAnsi="Arial Narrow" w:eastAsia="仿宋_GB2312" w:cs="Arial"/>
          <w:iCs/>
          <w:sz w:val="22"/>
          <w:szCs w:val="22"/>
        </w:rPr>
      </w:r>
    </w:p>
    <w:p>
      <w:pPr>
        <w:pBdr/>
        <w:spacing w:after="240" w:before="240" w:line="360" w:lineRule="auto"/>
        <w:ind w:firstLine="475"/>
        <w:rPr>
          <w:rFonts w:ascii="Arial Narrow" w:hAnsi="Arial Narrow" w:eastAsia="仿宋_GB2312" w:cs="Arial"/>
          <w:iCs/>
          <w:sz w:val="22"/>
          <w:szCs w:val="22"/>
        </w:rPr>
      </w:pPr>
      <w:r>
        <w:rPr>
          <w:rFonts w:ascii="Arial Narrow" w:hAnsi="Arial Narrow" w:eastAsia="仿宋_GB2312" w:cs="Arial"/>
          <w:iCs/>
          <w:sz w:val="22"/>
          <w:szCs w:val="22"/>
        </w:rPr>
      </w:r>
      <w:r>
        <w:rPr>
          <w:rFonts w:ascii="Arial Narrow" w:hAnsi="Arial Narrow" w:eastAsia="仿宋_GB2312" w:cs="Arial"/>
          <w:iCs/>
          <w:sz w:val="22"/>
          <w:szCs w:val="22"/>
        </w:rPr>
      </w:r>
    </w:p>
    <w:p>
      <w:pPr>
        <w:pStyle w:val="1338"/>
        <w:pBdr/>
        <w:spacing/>
        <w:ind/>
        <w:jc w:val="center"/>
        <w:rPr>
          <w:rFonts w:ascii="Arial Narrow" w:hAnsi="Arial Narrow" w:eastAsia="仿宋_GB2312" w:cs="Arial"/>
          <w:sz w:val="22"/>
          <w:szCs w:val="22"/>
          <w:lang w:val="en-GB"/>
        </w:rPr>
      </w:pPr>
      <w:r/>
      <w:bookmarkStart w:id="841" w:name="_Toc46935051"/>
      <w:r/>
      <w:bookmarkStart w:id="842" w:name="_Toc76039352"/>
      <w:r/>
      <w:bookmarkStart w:id="843" w:name="_Toc75452036"/>
      <w:r>
        <w:rPr>
          <w:rFonts w:ascii="Arial Narrow" w:hAnsi="Arial Narrow" w:eastAsia="仿宋_GB2312" w:cs="Arial"/>
          <w:sz w:val="22"/>
        </w:rPr>
        <w:t xml:space="preserve">图表 13：2017年到2023年中国平均工资</w:t>
      </w:r>
      <w:r>
        <w:rPr>
          <w:rFonts w:ascii="Arial Narrow" w:hAnsi="Arial Narrow" w:eastAsia="仿宋_GB2312" w:cs="Arial"/>
          <w:sz w:val="22"/>
        </w:rPr>
        <w:fldChar w:fldCharType="begin"/>
      </w:r>
      <w:r>
        <w:rPr>
          <w:rFonts w:ascii="Arial Narrow" w:hAnsi="Arial Narrow" w:eastAsia="仿宋_GB2312" w:cs="Arial"/>
          <w:sz w:val="22"/>
        </w:rPr>
        <w:instrText xml:space="preserve"> SEQ </w:instrText>
      </w:r>
      <w:r>
        <w:rPr>
          <w:rFonts w:ascii="Arial Narrow" w:hAnsi="Arial Narrow" w:eastAsia="仿宋_GB2312" w:cs="Arial"/>
          <w:sz w:val="22"/>
        </w:rPr>
        <w:instrText xml:space="preserve">图表</w:instrText>
      </w:r>
      <w:r>
        <w:rPr>
          <w:rFonts w:ascii="Arial Narrow" w:hAnsi="Arial Narrow" w:eastAsia="仿宋_GB2312" w:cs="Arial"/>
          <w:sz w:val="22"/>
        </w:rPr>
        <w:instrText xml:space="preserve"> \* ARABIC </w:instrText>
      </w:r>
      <w:r>
        <w:rPr>
          <w:rFonts w:ascii="Arial Narrow" w:hAnsi="Arial Narrow" w:eastAsia="仿宋_GB2312" w:cs="Arial"/>
          <w:sz w:val="22"/>
        </w:rPr>
        <w:fldChar w:fldCharType="separate"/>
      </w:r>
      <w:r>
        <w:rPr>
          <w:rFonts w:ascii="Arial Narrow" w:hAnsi="Arial Narrow" w:eastAsia="仿宋_GB2312" w:cs="Arial"/>
          <w:sz w:val="22"/>
        </w:rPr>
        <w:fldChar w:fldCharType="end"/>
      </w:r>
      <w:r>
        <w:rPr>
          <w:rStyle w:val="1377"/>
          <w:rFonts w:ascii="Arial Narrow" w:hAnsi="Arial Narrow" w:eastAsia="仿宋_GB2312" w:cs="Arial"/>
          <w:sz w:val="22"/>
          <w:szCs w:val="22"/>
        </w:rPr>
        <w:footnoteReference w:id="15"/>
      </w:r>
      <w:bookmarkEnd w:id="841"/>
      <w:r/>
      <w:r>
        <w:rPr>
          <w:rFonts w:ascii="Arial Narrow" w:hAnsi="Arial Narrow" w:eastAsia="仿宋_GB2312" w:cs="Arial"/>
          <w:sz w:val="22"/>
          <w:szCs w:val="22"/>
          <w:lang w:val="en-GB"/>
        </w:rPr>
      </w:r>
    </w:p>
    <w:p>
      <w:pPr>
        <w:pStyle w:val="1338"/>
        <w:pBdr/>
        <w:spacing/>
        <w:ind/>
        <w:jc w:val="center"/>
        <w:rPr>
          <w:rFonts w:ascii="Arial Narrow" w:hAnsi="Arial Narrow" w:eastAsia="仿宋_GB2312"/>
        </w:rPr>
      </w:pPr>
      <w:r>
        <w:rPr>
          <w:rFonts w:ascii="Arial Narrow" w:hAnsi="Arial Narrow" w:eastAsia="仿宋_GB2312" w:cs="Arial"/>
          <w:sz w:val="22"/>
          <w:szCs w:val="22"/>
        </w:rPr>
        <w:drawing>
          <wp:inline distT="0" distB="0" distL="0" distR="0">
            <wp:extent cx="4493260" cy="2131695"/>
            <wp:effectExtent l="4445" t="4445" r="13335" b="12700"/>
            <wp:docPr id="14" name="图表 8"/>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bookmarkEnd w:id="842"/>
      <w:bookmarkEnd w:id="843"/>
      <w:r>
        <w:rPr>
          <w:rFonts w:ascii="Arial Narrow" w:hAnsi="Arial Narrow" w:eastAsia="仿宋_GB2312"/>
        </w:rPr>
      </w:r>
    </w:p>
    <w:p>
      <w:pPr>
        <w:pBdr/>
        <w:spacing w:after="156" w:before="156" w:line="360" w:lineRule="auto"/>
        <w:ind w:firstLine="440"/>
        <w:jc w:val="both"/>
        <w:rPr>
          <w:rFonts w:ascii="Arial Narrow" w:hAnsi="Arial Narrow" w:eastAsia="仿宋_GB2312" w:cs="Arial"/>
          <w:sz w:val="22"/>
          <w:szCs w:val="22"/>
        </w:rPr>
      </w:pPr>
      <w:r>
        <w:rPr>
          <w:rFonts w:hint="eastAsia" w:ascii="Arial Narrow" w:hAnsi="Arial Narrow" w:eastAsia="仿宋_GB2312" w:cs="Arial"/>
          <w:sz w:val="22"/>
          <w:szCs w:val="22"/>
        </w:rPr>
        <w:t xml:space="preserve">同时，随着劳动力成本逐年上升，松莉科技并没有从劳动力成本中收益。</w:t>
      </w:r>
      <w:r>
        <w:rPr>
          <w:rFonts w:ascii="Arial Narrow" w:hAnsi="Arial Narrow" w:eastAsia="仿宋_GB2312" w:cs="Arial"/>
          <w:sz w:val="22"/>
          <w:szCs w:val="22"/>
        </w:rPr>
      </w:r>
    </w:p>
    <w:p>
      <w:pPr>
        <w:pStyle w:val="1325"/>
        <w:pBdr/>
        <w:spacing/>
        <w:ind/>
        <w:rPr/>
      </w:pPr>
      <w:r/>
      <w:bookmarkStart w:id="844" w:name="_Toc140505145"/>
      <w:r/>
      <w:bookmarkStart w:id="845" w:name="_Toc53229098"/>
      <w:r>
        <w:t xml:space="preserve">市场溢价</w:t>
      </w:r>
      <w:bookmarkEnd w:id="840"/>
      <w:r/>
      <w:bookmarkEnd w:id="844"/>
      <w:r/>
      <w:bookmarkEnd w:id="845"/>
      <w:r/>
      <w:r/>
    </w:p>
    <w:p>
      <w:pPr>
        <w:pBdr/>
        <w:spacing w:after="156" w:before="156" w:line="360" w:lineRule="auto"/>
        <w:ind w:firstLine="440"/>
        <w:jc w:val="both"/>
        <w:rPr>
          <w:rFonts w:ascii="Arial Narrow" w:hAnsi="Arial Narrow" w:eastAsia="仿宋_GB2312" w:cs="Arial"/>
          <w:sz w:val="22"/>
          <w:szCs w:val="22"/>
        </w:rPr>
      </w:pPr>
      <w:r/>
      <w:bookmarkStart w:id="846" w:name="_Toc48317330"/>
      <w:r/>
      <w:bookmarkStart w:id="847" w:name="_Toc48317515"/>
      <w:r/>
      <w:bookmarkStart w:id="848" w:name="_Toc48317159"/>
      <w:r/>
      <w:bookmarkStart w:id="849" w:name="_Toc49961823"/>
      <w:r/>
      <w:bookmarkStart w:id="850" w:name="_Toc48317160"/>
      <w:r/>
      <w:bookmarkStart w:id="851" w:name="_Toc48582637"/>
      <w:r/>
      <w:bookmarkStart w:id="852" w:name="_Toc48582638"/>
      <w:r/>
      <w:bookmarkStart w:id="853" w:name="_Toc48317329"/>
      <w:r/>
      <w:bookmarkStart w:id="854" w:name="_Toc50039104"/>
      <w:r/>
      <w:bookmarkStart w:id="855" w:name="_Toc48317514"/>
      <w:r/>
      <w:bookmarkStart w:id="856" w:name="_Toc48399653"/>
      <w:r/>
      <w:bookmarkStart w:id="857" w:name="_Toc48399652"/>
      <w:r/>
      <w:bookmarkStart w:id="858" w:name="_Toc48583051"/>
      <w:r/>
      <w:bookmarkStart w:id="859" w:name="_Toc48583050"/>
      <w:r/>
      <w:bookmarkStart w:id="860" w:name="_Toc50477851"/>
      <w:r/>
      <w:bookmarkStart w:id="861" w:name="_Toc489952578"/>
      <w:r/>
      <w:bookmarkStart w:id="862" w:name="_Toc49961822"/>
      <w:r/>
      <w:bookmarkStart w:id="863" w:name="_Toc50039103"/>
      <w:r/>
      <w:bookmarkStart w:id="864" w:name="_Toc50477852"/>
      <w:r/>
      <w:bookmarkStart w:id="865" w:name="_Toc48317516"/>
      <w:r/>
      <w:bookmarkStart w:id="866" w:name="_Toc48317161"/>
      <w:r/>
      <w:bookmarkEnd w:id="846"/>
      <w:r/>
      <w:bookmarkEnd w:id="847"/>
      <w:r/>
      <w:bookmarkEnd w:id="848"/>
      <w:r/>
      <w:bookmarkEnd w:id="849"/>
      <w:r/>
      <w:bookmarkEnd w:id="850"/>
      <w:r/>
      <w:bookmarkEnd w:id="851"/>
      <w:r/>
      <w:bookmarkEnd w:id="852"/>
      <w:r/>
      <w:bookmarkEnd w:id="853"/>
      <w:r/>
      <w:bookmarkEnd w:id="854"/>
      <w:r/>
      <w:bookmarkEnd w:id="855"/>
      <w:r/>
      <w:bookmarkEnd w:id="856"/>
      <w:r/>
      <w:bookmarkEnd w:id="857"/>
      <w:r/>
      <w:bookmarkEnd w:id="858"/>
      <w:r/>
      <w:bookmarkEnd w:id="859"/>
      <w:r/>
      <w:bookmarkEnd w:id="860"/>
      <w:r/>
      <w:bookmarkEnd w:id="861"/>
      <w:r/>
      <w:bookmarkEnd w:id="862"/>
      <w:r/>
      <w:bookmarkEnd w:id="863"/>
      <w:r/>
      <w:bookmarkEnd w:id="864"/>
      <w:r>
        <w:rPr>
          <w:rFonts w:ascii="Arial Narrow" w:hAnsi="Arial Narrow" w:eastAsia="仿宋_GB2312" w:cs="Arial"/>
          <w:sz w:val="22"/>
          <w:szCs w:val="22"/>
        </w:rPr>
        <w:t xml:space="preserve">市场溢价，是指跨国企业将经营活动安排在有独特特质的地区而获得的额外利润，这些地区的特质会对一项服务或产品的销售和需求造成影响。</w:t>
      </w:r>
      <w:r>
        <w:rPr>
          <w:rStyle w:val="1377"/>
          <w:rFonts w:ascii="Arial Narrow" w:hAnsi="Arial Narrow" w:eastAsia="仿宋_GB2312" w:cs="Arial"/>
          <w:sz w:val="22"/>
          <w:szCs w:val="22"/>
        </w:rPr>
        <w:footnoteReference w:id="16"/>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松莉科技所生产的产品主要进行出口销售，不受中国市场消费者的偏好、需求以及收入水平变动的影响。松莉科技出口的产品主要针对的市场为价格较低的化妆品领域，该领域的化妆品主要采用开架销售的模式，价格竞争激烈。因此，松莉科技的产品不存在市场溢价。</w:t>
      </w:r>
      <w:r>
        <w:rPr>
          <w:rFonts w:ascii="Arial Narrow" w:hAnsi="Arial Narrow" w:eastAsia="仿宋_GB2312" w:cs="Arial"/>
          <w:sz w:val="22"/>
          <w:szCs w:val="22"/>
        </w:rPr>
      </w:r>
      <w:r>
        <w:rPr>
          <w:rFonts w:ascii="Arial Narrow" w:hAnsi="Arial Narrow" w:eastAsia="仿宋_GB2312" w:cs="Arial"/>
          <w:sz w:val="22"/>
          <w:szCs w:val="22"/>
        </w:rPr>
      </w:r>
    </w:p>
    <w:p>
      <w:pPr>
        <w:pStyle w:val="1324"/>
        <w:pBdr/>
        <w:spacing/>
        <w:ind/>
        <w:rPr/>
      </w:pPr>
      <w:r/>
      <w:bookmarkStart w:id="867" w:name="_Toc85557587"/>
      <w:r/>
      <w:bookmarkStart w:id="868" w:name="_Toc85622954"/>
      <w:r/>
      <w:bookmarkStart w:id="869" w:name="_Toc53229099"/>
      <w:r/>
      <w:bookmarkStart w:id="870" w:name="_Toc85042583"/>
      <w:r/>
      <w:bookmarkStart w:id="871" w:name="_Toc85557720"/>
      <w:r/>
      <w:bookmarkStart w:id="872" w:name="_Toc140505146"/>
      <w:r/>
      <w:bookmarkStart w:id="873" w:name="_Toc53229100"/>
      <w:r/>
      <w:bookmarkEnd w:id="867"/>
      <w:r/>
      <w:bookmarkEnd w:id="868"/>
      <w:r/>
      <w:bookmarkEnd w:id="869"/>
      <w:r/>
      <w:bookmarkEnd w:id="870"/>
      <w:r/>
      <w:bookmarkEnd w:id="871"/>
      <w:r>
        <w:t xml:space="preserve">价值链各参与方财务报表</w:t>
      </w:r>
      <w:bookmarkEnd w:id="58"/>
      <w:r/>
      <w:bookmarkEnd w:id="59"/>
      <w:r/>
      <w:bookmarkEnd w:id="60"/>
      <w:r/>
      <w:bookmarkEnd w:id="782"/>
      <w:r/>
      <w:bookmarkEnd w:id="865"/>
      <w:r/>
      <w:bookmarkEnd w:id="866"/>
      <w:r/>
      <w:bookmarkEnd w:id="872"/>
      <w:r/>
      <w:bookmarkEnd w:id="873"/>
      <w: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在本报告编制时，基于以下几点原因，价值链上其他关联方2023年的财务数据和信息获取存在难度，在报告完成时尚无法获得：（1）这些关联方的财务数据均属于非公开信息；（2）该关联方（可能）并非仅与松莉科技发生交易往来；（3）集团内企业都有独立的业绩考核指标，各关联方之间存在一定的竞争关系。如有要求，可在本公司征求关联方同意之后提供该数据。</w:t>
      </w:r>
      <w:r>
        <w:rPr>
          <w:rFonts w:ascii="Arial Narrow" w:hAnsi="Arial Narrow" w:eastAsia="仿宋_GB2312" w:cs="Arial"/>
          <w:sz w:val="22"/>
          <w:szCs w:val="22"/>
        </w:rPr>
      </w:r>
      <w:r>
        <w:rPr>
          <w:rFonts w:ascii="Arial Narrow" w:hAnsi="Arial Narrow" w:eastAsia="仿宋_GB2312" w:cs="Arial"/>
          <w:sz w:val="22"/>
          <w:szCs w:val="22"/>
        </w:rPr>
      </w:r>
    </w:p>
    <w:p>
      <w:pPr>
        <w:pBdr/>
        <w:spacing w:after="120" w:before="120"/>
        <w:ind/>
        <w:jc w:val="both"/>
        <w:rPr>
          <w:rFonts w:ascii="Arial Narrow" w:hAnsi="Arial Narrow" w:eastAsia="仿宋_GB2312" w:cs="Arial"/>
          <w:b/>
          <w:sz w:val="36"/>
          <w:szCs w:val="36"/>
        </w:rPr>
      </w:pPr>
      <w:r>
        <w:rPr>
          <w:rFonts w:ascii="Arial Narrow" w:hAnsi="Arial Narrow" w:eastAsia="仿宋_GB2312" w:cs="Arial"/>
          <w:sz w:val="21"/>
          <w:szCs w:val="22"/>
        </w:rPr>
        <w:br w:type="page" w:clear="all"/>
      </w:r>
      <w:bookmarkEnd w:id="61"/>
      <w:r/>
      <w:bookmarkEnd w:id="62"/>
      <w:r/>
      <w:bookmarkEnd w:id="63"/>
      <w:r/>
      <w:bookmarkEnd w:id="64"/>
      <w:r/>
      <w:bookmarkEnd w:id="65"/>
      <w:r/>
      <w:r>
        <w:rPr>
          <w:rFonts w:ascii="Arial Narrow" w:hAnsi="Arial Narrow" w:eastAsia="仿宋_GB2312" w:cs="Arial"/>
          <w:b/>
          <w:sz w:val="36"/>
          <w:szCs w:val="36"/>
        </w:rPr>
      </w:r>
    </w:p>
    <w:p>
      <w:pPr>
        <w:pStyle w:val="1323"/>
        <w:pBdr/>
        <w:spacing/>
        <w:ind/>
        <w:rPr>
          <w:b/>
        </w:rPr>
      </w:pPr>
      <w:r/>
      <w:bookmarkStart w:id="874" w:name="_Toc522205842"/>
      <w:r/>
      <w:bookmarkStart w:id="875" w:name="_Toc522205839"/>
      <w:r/>
      <w:bookmarkStart w:id="876" w:name="_Toc522205841"/>
      <w:r/>
      <w:bookmarkStart w:id="877" w:name="_Toc522205840"/>
      <w:r/>
      <w:bookmarkStart w:id="878" w:name="_Toc53229101"/>
      <w:r/>
      <w:bookmarkStart w:id="879" w:name="_Toc48317517"/>
      <w:r/>
      <w:bookmarkStart w:id="880" w:name="_Toc140505147"/>
      <w:r/>
      <w:bookmarkStart w:id="881" w:name="_Toc48317162"/>
      <w:r/>
      <w:bookmarkEnd w:id="874"/>
      <w:r/>
      <w:bookmarkEnd w:id="875"/>
      <w:r/>
      <w:bookmarkEnd w:id="876"/>
      <w:r/>
      <w:bookmarkEnd w:id="877"/>
      <w:r>
        <w:t xml:space="preserve">可比性分析</w:t>
      </w:r>
      <w:bookmarkEnd w:id="878"/>
      <w:r/>
      <w:bookmarkEnd w:id="879"/>
      <w:r/>
      <w:bookmarkEnd w:id="880"/>
      <w:r/>
      <w:bookmarkEnd w:id="881"/>
      <w:r/>
      <w:r>
        <w:rPr>
          <w:b/>
        </w:rPr>
      </w:r>
    </w:p>
    <w:p>
      <w:pPr>
        <w:pStyle w:val="1324"/>
        <w:pBdr/>
        <w:spacing/>
        <w:ind/>
        <w:rPr/>
      </w:pPr>
      <w:r/>
      <w:bookmarkStart w:id="882" w:name="_Toc48583054"/>
      <w:r/>
      <w:bookmarkStart w:id="883" w:name="_Toc48317333"/>
      <w:r/>
      <w:bookmarkStart w:id="884" w:name="_Toc48317163"/>
      <w:r/>
      <w:bookmarkStart w:id="885" w:name="_Toc48317518"/>
      <w:r/>
      <w:bookmarkStart w:id="886" w:name="_Toc48399656"/>
      <w:r/>
      <w:bookmarkStart w:id="887" w:name="_Toc48582641"/>
      <w:r/>
      <w:bookmarkStart w:id="888" w:name="_Toc53229102"/>
      <w:r/>
      <w:bookmarkStart w:id="889" w:name="_Toc48317519"/>
      <w:r/>
      <w:bookmarkStart w:id="890" w:name="_Toc140505148"/>
      <w:r/>
      <w:bookmarkStart w:id="891" w:name="_Toc48317164"/>
      <w:r/>
      <w:bookmarkEnd w:id="882"/>
      <w:r/>
      <w:bookmarkEnd w:id="883"/>
      <w:r/>
      <w:bookmarkEnd w:id="884"/>
      <w:r/>
      <w:bookmarkEnd w:id="885"/>
      <w:r/>
      <w:bookmarkEnd w:id="886"/>
      <w:r/>
      <w:bookmarkEnd w:id="887"/>
      <w:r>
        <w:t xml:space="preserve">简介</w:t>
      </w:r>
      <w:bookmarkEnd w:id="888"/>
      <w:r/>
      <w:bookmarkEnd w:id="889"/>
      <w:r/>
      <w:bookmarkEnd w:id="890"/>
      <w:r/>
      <w:bookmarkEnd w:id="891"/>
      <w:r/>
      <w:r/>
    </w:p>
    <w:p>
      <w:pPr>
        <w:pBdr/>
        <w:spacing w:after="156" w:before="156" w:line="360" w:lineRule="auto"/>
        <w:ind w:firstLine="440"/>
        <w:jc w:val="both"/>
        <w:rPr>
          <w:rFonts w:ascii="Arial Narrow" w:hAnsi="Arial Narrow" w:eastAsia="仿宋_GB2312" w:cs="Arial"/>
          <w:sz w:val="22"/>
          <w:szCs w:val="22"/>
        </w:rPr>
      </w:pPr>
      <w:r/>
      <w:bookmarkStart w:id="892" w:name="_Toc489952584"/>
      <w:r/>
      <w:bookmarkStart w:id="893" w:name="_Toc522205845"/>
      <w:r/>
      <w:bookmarkStart w:id="894" w:name="_Toc48317520"/>
      <w:r/>
      <w:bookmarkStart w:id="895" w:name="_Toc48317165"/>
      <w:r/>
      <w:bookmarkEnd w:id="892"/>
      <w:r/>
      <w:bookmarkEnd w:id="893"/>
      <w:r>
        <w:rPr>
          <w:rFonts w:ascii="Arial Narrow" w:hAnsi="Arial Narrow" w:eastAsia="仿宋_GB2312" w:cs="Arial"/>
          <w:sz w:val="22"/>
          <w:szCs w:val="22"/>
        </w:rPr>
        <w:t xml:space="preserve">《中华人民共和国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OECD所认可的指导原则。</w:t>
      </w:r>
      <w:r>
        <w:rPr>
          <w:rFonts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方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r>
        <w:rPr>
          <w:rFonts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对以上各种方法的详细描述，请见附件1。</w:t>
      </w:r>
      <w:r>
        <w:rPr>
          <w:rFonts w:ascii="Arial Narrow" w:hAnsi="Arial Narrow" w:eastAsia="仿宋_GB2312" w:cs="Arial"/>
          <w:sz w:val="22"/>
          <w:szCs w:val="22"/>
        </w:rPr>
      </w:r>
      <w:r>
        <w:rPr>
          <w:rFonts w:ascii="Arial Narrow" w:hAnsi="Arial Narrow" w:eastAsia="仿宋_GB2312" w:cs="Arial"/>
          <w:sz w:val="22"/>
          <w:szCs w:val="22"/>
        </w:rPr>
      </w:r>
    </w:p>
    <w:p>
      <w:pPr>
        <w:pStyle w:val="1324"/>
        <w:pBdr/>
        <w:spacing/>
        <w:ind/>
        <w:rPr/>
      </w:pPr>
      <w:r/>
      <w:bookmarkStart w:id="896" w:name="_Toc140505149"/>
      <w:r/>
      <w:bookmarkStart w:id="897" w:name="_Toc53229103"/>
      <w:r>
        <w:t xml:space="preserve">转让定价方法的选择</w:t>
      </w:r>
      <w:bookmarkEnd w:id="894"/>
      <w:r/>
      <w:bookmarkEnd w:id="895"/>
      <w:r/>
      <w:bookmarkEnd w:id="896"/>
      <w:r/>
      <w:bookmarkEnd w:id="897"/>
      <w:r/>
      <w:r/>
    </w:p>
    <w:p>
      <w:pPr>
        <w:pBdr/>
        <w:spacing w:after="156" w:before="156" w:line="360" w:lineRule="auto"/>
        <w:ind w:firstLine="440"/>
        <w:jc w:val="both"/>
        <w:rPr>
          <w:rFonts w:ascii="Arial Narrow" w:hAnsi="Arial Narrow" w:eastAsia="仿宋_GB2312" w:cs="Arial"/>
          <w:sz w:val="22"/>
          <w:szCs w:val="22"/>
        </w:rPr>
      </w:pPr>
      <w:r/>
      <w:bookmarkStart w:id="898" w:name="_Toc48582650"/>
      <w:r/>
      <w:bookmarkStart w:id="899" w:name="_Toc48582644"/>
      <w:r/>
      <w:bookmarkStart w:id="900" w:name="_Toc48399659"/>
      <w:r/>
      <w:bookmarkStart w:id="901" w:name="_Toc48317171"/>
      <w:r/>
      <w:bookmarkStart w:id="902" w:name="_Toc48317336"/>
      <w:r/>
      <w:bookmarkStart w:id="903" w:name="_Toc48583061"/>
      <w:r/>
      <w:bookmarkStart w:id="904" w:name="_Toc48317167"/>
      <w:r/>
      <w:bookmarkStart w:id="905" w:name="_Toc48582647"/>
      <w:r/>
      <w:bookmarkStart w:id="906" w:name="_Toc48583060"/>
      <w:r/>
      <w:bookmarkStart w:id="907" w:name="_Toc48399663"/>
      <w:r/>
      <w:bookmarkStart w:id="908" w:name="_Toc48399664"/>
      <w:r/>
      <w:bookmarkStart w:id="909" w:name="_Toc48317170"/>
      <w:r/>
      <w:bookmarkStart w:id="910" w:name="_Toc48582645"/>
      <w:r/>
      <w:bookmarkStart w:id="911" w:name="_Toc48583059"/>
      <w:r/>
      <w:bookmarkStart w:id="912" w:name="_Toc48583058"/>
      <w:r/>
      <w:bookmarkStart w:id="913" w:name="_Toc48317169"/>
      <w:r/>
      <w:bookmarkStart w:id="914" w:name="_Toc48317166"/>
      <w:r/>
      <w:bookmarkStart w:id="915" w:name="_Toc48317521"/>
      <w:r/>
      <w:bookmarkStart w:id="916" w:name="_Toc48317522"/>
      <w:r/>
      <w:bookmarkStart w:id="917" w:name="_Toc48317525"/>
      <w:r/>
      <w:bookmarkStart w:id="918" w:name="_Toc48399662"/>
      <w:r/>
      <w:bookmarkStart w:id="919" w:name="_Toc48582649"/>
      <w:r/>
      <w:bookmarkStart w:id="920" w:name="_Toc48317526"/>
      <w:r/>
      <w:bookmarkStart w:id="921" w:name="_Toc48317168"/>
      <w:r/>
      <w:bookmarkStart w:id="922" w:name="_Toc489952586"/>
      <w:r/>
      <w:bookmarkStart w:id="923" w:name="_Toc48317342"/>
      <w:r/>
      <w:bookmarkStart w:id="924" w:name="_Toc48399661"/>
      <w:r/>
      <w:bookmarkStart w:id="925" w:name="_Toc48317172"/>
      <w:r/>
      <w:bookmarkStart w:id="926" w:name="_Toc48583057"/>
      <w:r/>
      <w:bookmarkStart w:id="927" w:name="_Toc48583063"/>
      <w:r/>
      <w:bookmarkStart w:id="928" w:name="_Toc48317527"/>
      <w:r/>
      <w:bookmarkStart w:id="929" w:name="_Toc48317524"/>
      <w:r/>
      <w:bookmarkStart w:id="930" w:name="_Toc48583062"/>
      <w:r/>
      <w:bookmarkStart w:id="931" w:name="_Toc48582646"/>
      <w:r/>
      <w:bookmarkStart w:id="932" w:name="_Toc48317337"/>
      <w:r/>
      <w:bookmarkStart w:id="933" w:name="_Toc48317340"/>
      <w:r/>
      <w:bookmarkStart w:id="934" w:name="_Toc48582648"/>
      <w:r/>
      <w:bookmarkStart w:id="935" w:name="_Toc48914087"/>
      <w:r/>
      <w:bookmarkStart w:id="936" w:name="_Toc48399665"/>
      <w:r/>
      <w:bookmarkStart w:id="937" w:name="_Toc48317338"/>
      <w:r/>
      <w:bookmarkStart w:id="938" w:name="_Toc48317341"/>
      <w:r/>
      <w:bookmarkStart w:id="939" w:name="_Toc48317339"/>
      <w:r/>
      <w:bookmarkStart w:id="940" w:name="_Toc48399660"/>
      <w:r/>
      <w:bookmarkStart w:id="941" w:name="_Toc48317523"/>
      <w:r/>
      <w:bookmarkStart w:id="942" w:name="_Toc48317173"/>
      <w:r/>
      <w:bookmarkStart w:id="943" w:name="_Toc48317528"/>
      <w:r/>
      <w:bookmarkEnd w:id="898"/>
      <w:r/>
      <w:bookmarkEnd w:id="899"/>
      <w:r/>
      <w:bookmarkEnd w:id="900"/>
      <w:r/>
      <w:bookmarkEnd w:id="901"/>
      <w:r/>
      <w:bookmarkEnd w:id="902"/>
      <w:r/>
      <w:bookmarkEnd w:id="903"/>
      <w:r/>
      <w:bookmarkEnd w:id="904"/>
      <w:r/>
      <w:bookmarkEnd w:id="905"/>
      <w:r/>
      <w:bookmarkEnd w:id="906"/>
      <w:r/>
      <w:bookmarkEnd w:id="907"/>
      <w:r/>
      <w:bookmarkEnd w:id="908"/>
      <w:r/>
      <w:bookmarkEnd w:id="909"/>
      <w:r/>
      <w:bookmarkEnd w:id="910"/>
      <w:r/>
      <w:bookmarkEnd w:id="911"/>
      <w:r/>
      <w:bookmarkEnd w:id="912"/>
      <w:r/>
      <w:bookmarkEnd w:id="913"/>
      <w:r/>
      <w:bookmarkEnd w:id="914"/>
      <w:r/>
      <w:bookmarkEnd w:id="915"/>
      <w:r/>
      <w:bookmarkEnd w:id="916"/>
      <w:r/>
      <w:bookmarkEnd w:id="917"/>
      <w:r/>
      <w:bookmarkEnd w:id="918"/>
      <w:r/>
      <w:bookmarkEnd w:id="919"/>
      <w:r/>
      <w:bookmarkEnd w:id="920"/>
      <w:r/>
      <w:bookmarkEnd w:id="921"/>
      <w:r/>
      <w:bookmarkEnd w:id="922"/>
      <w:r/>
      <w:bookmarkEnd w:id="923"/>
      <w:r/>
      <w:bookmarkEnd w:id="924"/>
      <w:r/>
      <w:bookmarkEnd w:id="925"/>
      <w:r/>
      <w:bookmarkEnd w:id="926"/>
      <w:r/>
      <w:bookmarkEnd w:id="927"/>
      <w:r/>
      <w:bookmarkEnd w:id="928"/>
      <w:r/>
      <w:bookmarkEnd w:id="929"/>
      <w:r/>
      <w:bookmarkEnd w:id="930"/>
      <w:r/>
      <w:bookmarkEnd w:id="931"/>
      <w:r/>
      <w:bookmarkEnd w:id="932"/>
      <w:r/>
      <w:bookmarkEnd w:id="933"/>
      <w:r/>
      <w:bookmarkEnd w:id="934"/>
      <w:r/>
      <w:bookmarkEnd w:id="935"/>
      <w:r/>
      <w:bookmarkEnd w:id="936"/>
      <w:r/>
      <w:bookmarkEnd w:id="937"/>
      <w:r/>
      <w:bookmarkEnd w:id="938"/>
      <w:r/>
      <w:bookmarkEnd w:id="939"/>
      <w:r/>
      <w:bookmarkEnd w:id="940"/>
      <w:r/>
      <w:bookmarkEnd w:id="941"/>
      <w:r>
        <w:rPr>
          <w:rFonts w:ascii="Arial Narrow" w:hAnsi="Arial Narrow" w:eastAsia="仿宋_GB2312" w:cs="Arial"/>
          <w:sz w:val="22"/>
          <w:szCs w:val="22"/>
        </w:rPr>
        <w:t xml:space="preserve">[2016] 42号公告第14条规定，可比性分析考虑的因素，包括交易资产或者劳务特性，交易各方功能、风险和资产，合同条款，经济环境，经营策略等。</w:t>
      </w:r>
      <w:r>
        <w:rPr>
          <w:rFonts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然而，中国的</w:t>
      </w:r>
      <w:r>
        <w:rPr>
          <w:rFonts w:ascii="Arial Narrow" w:hAnsi="Arial Narrow" w:eastAsia="仿宋_GB2312" w:cs="Arial"/>
          <w:sz w:val="22"/>
          <w:szCs w:val="22"/>
        </w:rPr>
        <w:t xml:space="preserve">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Narrow" w:hAnsi="Arial Narrow" w:eastAsia="仿宋_GB2312" w:cs="Arial"/>
          <w:sz w:val="22"/>
          <w:szCs w:val="22"/>
          <w:vertAlign w:val="superscript"/>
        </w:rPr>
        <w:footnoteReference w:id="17"/>
      </w:r>
      <w:r>
        <w:rPr>
          <w:rFonts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以下图表总结了转让定价方法的选择过程。</w:t>
      </w:r>
      <w:r>
        <w:rPr>
          <w:rFonts w:ascii="Arial Narrow" w:hAnsi="Arial Narrow" w:eastAsia="仿宋_GB2312" w:cs="Arial"/>
          <w:sz w:val="22"/>
          <w:szCs w:val="22"/>
        </w:rPr>
      </w:r>
    </w:p>
    <w:p>
      <w:pPr>
        <w:pStyle w:val="1338"/>
        <w:pBdr/>
        <w:spacing/>
        <w:ind w:hanging="420" w:left="420"/>
        <w:jc w:val="center"/>
        <w:rPr>
          <w:rFonts w:ascii="Arial Narrow" w:hAnsi="Arial Narrow" w:eastAsia="仿宋_GB2312" w:cs="Arial"/>
          <w:sz w:val="22"/>
        </w:rPr>
      </w:pPr>
      <w:r>
        <w:rPr>
          <w:rFonts w:ascii="Arial Narrow" w:hAnsi="Arial Narrow" w:eastAsia="仿宋_GB2312" w:cs="Arial"/>
          <w:sz w:val="22"/>
        </w:rPr>
        <w:t xml:space="preserve">图表 19：合适转让定价方法的选择</w:t>
      </w:r>
      <w:r>
        <w:rPr>
          <w:rFonts w:ascii="Arial Narrow" w:hAnsi="Arial Narrow" w:eastAsia="仿宋_GB2312" w:cs="Arial"/>
          <w:sz w:val="22"/>
        </w:rPr>
      </w:r>
      <w:r>
        <w:rPr>
          <w:rFonts w:ascii="Arial Narrow" w:hAnsi="Arial Narrow" w:eastAsia="仿宋_GB2312" w:cs="Arial"/>
          <w:sz w:val="22"/>
        </w:rPr>
      </w:r>
    </w:p>
    <w:tbl>
      <w:tblPr>
        <w:tblW w:w="81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980"/>
        <w:gridCol w:w="2835"/>
        <w:gridCol w:w="3370"/>
      </w:tblGrid>
      <w:tr>
        <w:trPr>
          <w:jc w:val="center"/>
          <w:trHeight w:val="550"/>
          <w:tblHeader/>
        </w:trPr>
        <w:tc>
          <w:tcPr>
            <w:shd w:val="clear" w:color="auto" w:fill="002060"/>
            <w:tcBorders/>
            <w:tcW w:w="1980" w:type="dxa"/>
            <w:vAlign w:val="center"/>
            <w:textDirection w:val="lrTb"/>
            <w:noWrap w:val="false"/>
          </w:tcPr>
          <w:p>
            <w:pPr>
              <w:pBdr/>
              <w:spacing/>
              <w:ind/>
              <w:jc w:val="center"/>
              <w:rPr>
                <w:rFonts w:ascii="Arial Narrow" w:hAnsi="Arial Narrow" w:eastAsia="仿宋_GB2312" w:cs="Arial"/>
                <w:b/>
                <w:color w:val="ffffff" w:themeColor="background1"/>
                <w:sz w:val="22"/>
                <w:szCs w:val="22"/>
              </w:rPr>
            </w:pPr>
            <w:r>
              <w:rPr>
                <w:rFonts w:ascii="Arial Narrow" w:hAnsi="Arial Narrow" w:eastAsia="仿宋_GB2312" w:cs="Arial"/>
                <w:b/>
                <w:color w:val="ffffff" w:themeColor="background1"/>
                <w:sz w:val="22"/>
                <w:szCs w:val="22"/>
              </w:rPr>
              <w:t xml:space="preserve">转让定价的方法</w:t>
            </w:r>
            <w:r>
              <w:rPr>
                <w:rFonts w:ascii="Arial Narrow" w:hAnsi="Arial Narrow" w:eastAsia="仿宋_GB2312" w:cs="Arial"/>
                <w:b/>
                <w:color w:val="ffffff" w:themeColor="background1"/>
                <w:sz w:val="22"/>
                <w:szCs w:val="22"/>
              </w:rPr>
            </w:r>
          </w:p>
        </w:tc>
        <w:tc>
          <w:tcPr>
            <w:shd w:val="clear" w:color="auto" w:fill="002060"/>
            <w:tcBorders/>
            <w:tcW w:w="2835" w:type="dxa"/>
            <w:vAlign w:val="center"/>
            <w:textDirection w:val="lrTb"/>
            <w:noWrap w:val="false"/>
          </w:tcPr>
          <w:p>
            <w:pPr>
              <w:pBdr/>
              <w:spacing/>
              <w:ind/>
              <w:jc w:val="center"/>
              <w:rPr>
                <w:rFonts w:ascii="Arial Narrow" w:hAnsi="Arial Narrow" w:eastAsia="仿宋_GB2312" w:cs="Arial"/>
                <w:b/>
                <w:color w:val="ffffff" w:themeColor="background1"/>
                <w:sz w:val="22"/>
                <w:szCs w:val="22"/>
              </w:rPr>
            </w:pPr>
            <w:r>
              <w:rPr>
                <w:rFonts w:ascii="Arial Narrow" w:hAnsi="Arial Narrow" w:eastAsia="仿宋_GB2312" w:cs="Arial"/>
                <w:b/>
                <w:color w:val="ffffff" w:themeColor="background1"/>
                <w:sz w:val="22"/>
                <w:szCs w:val="22"/>
              </w:rPr>
              <w:t xml:space="preserve">适用情形</w:t>
            </w:r>
            <w:r>
              <w:rPr>
                <w:rFonts w:ascii="Arial Narrow" w:hAnsi="Arial Narrow" w:eastAsia="仿宋_GB2312" w:cs="Arial"/>
                <w:b/>
                <w:color w:val="ffffff" w:themeColor="background1"/>
                <w:sz w:val="22"/>
                <w:szCs w:val="22"/>
              </w:rPr>
            </w:r>
          </w:p>
        </w:tc>
        <w:tc>
          <w:tcPr>
            <w:shd w:val="clear" w:color="auto" w:fill="002060"/>
            <w:tcBorders/>
            <w:tcW w:w="3370" w:type="dxa"/>
            <w:vAlign w:val="center"/>
            <w:textDirection w:val="lrTb"/>
            <w:noWrap w:val="false"/>
          </w:tcPr>
          <w:p>
            <w:pPr>
              <w:pBdr/>
              <w:spacing/>
              <w:ind/>
              <w:jc w:val="center"/>
              <w:rPr>
                <w:rFonts w:ascii="Arial Narrow" w:hAnsi="Arial Narrow" w:eastAsia="仿宋_GB2312" w:cs="Arial"/>
                <w:b/>
                <w:color w:val="ffffff" w:themeColor="background1"/>
                <w:sz w:val="22"/>
                <w:szCs w:val="22"/>
              </w:rPr>
            </w:pPr>
            <w:r>
              <w:rPr>
                <w:rFonts w:ascii="Arial Narrow" w:hAnsi="Arial Narrow" w:eastAsia="仿宋_GB2312" w:cs="Arial"/>
                <w:b/>
                <w:color w:val="ffffff" w:themeColor="background1"/>
                <w:sz w:val="22"/>
                <w:szCs w:val="22"/>
              </w:rPr>
              <w:t xml:space="preserve">选择/排除的原因</w:t>
            </w:r>
            <w:r>
              <w:rPr>
                <w:rFonts w:ascii="Arial Narrow" w:hAnsi="Arial Narrow" w:eastAsia="仿宋_GB2312" w:cs="Arial"/>
                <w:b/>
                <w:color w:val="ffffff" w:themeColor="background1"/>
                <w:sz w:val="22"/>
                <w:szCs w:val="22"/>
              </w:rPr>
            </w:r>
            <w:r>
              <w:rPr>
                <w:rFonts w:ascii="Arial Narrow" w:hAnsi="Arial Narrow" w:eastAsia="仿宋_GB2312" w:cs="Arial"/>
                <w:b/>
                <w:color w:val="ffffff" w:themeColor="background1"/>
                <w:sz w:val="22"/>
                <w:szCs w:val="22"/>
              </w:rPr>
            </w:r>
          </w:p>
        </w:tc>
      </w:tr>
      <w:tr>
        <w:trPr>
          <w:jc w:val="center"/>
          <w:trHeight w:val="2070"/>
        </w:trPr>
        <w:tc>
          <w:tcPr>
            <w:tcBorders/>
            <w:tcW w:w="1980" w:type="dxa"/>
            <w:vAlign w:val="center"/>
            <w:textDirection w:val="lrTb"/>
            <w:noWrap w:val="false"/>
          </w:tcPr>
          <w:p>
            <w:pPr>
              <w:pBdr/>
              <w:spacing/>
              <w:ind/>
              <w:rPr>
                <w:rFonts w:ascii="Arial Narrow" w:hAnsi="Arial Narrow" w:eastAsia="仿宋_GB2312" w:cs="Arial"/>
                <w:sz w:val="22"/>
                <w:szCs w:val="22"/>
              </w:rPr>
            </w:pPr>
            <w:r>
              <w:rPr>
                <w:rFonts w:ascii="Arial Narrow" w:hAnsi="Arial Narrow" w:eastAsia="仿宋_GB2312" w:cs="Arial"/>
                <w:sz w:val="22"/>
                <w:szCs w:val="22"/>
              </w:rPr>
              <w:t xml:space="preserve">可比非受控价格法</w:t>
            </w:r>
            <w:r>
              <w:rPr>
                <w:rFonts w:ascii="Arial Narrow" w:hAnsi="Arial Narrow" w:eastAsia="仿宋_GB2312" w:cs="Arial"/>
                <w:sz w:val="22"/>
                <w:szCs w:val="22"/>
              </w:rPr>
            </w:r>
          </w:p>
        </w:tc>
        <w:tc>
          <w:tcPr>
            <w:tcBorders/>
            <w:tcW w:w="2835" w:type="dxa"/>
            <w:vAlign w:val="center"/>
            <w:textDirection w:val="lrTb"/>
            <w:noWrap w:val="false"/>
          </w:tcPr>
          <w:p>
            <w:pPr>
              <w:pBdr/>
              <w:spacing/>
              <w:ind/>
              <w:rPr>
                <w:rFonts w:ascii="Arial Narrow" w:hAnsi="Arial Narrow" w:eastAsia="仿宋_GB2312" w:cs="Arial"/>
                <w:sz w:val="22"/>
                <w:szCs w:val="22"/>
              </w:rPr>
            </w:pPr>
            <w:r>
              <w:rPr>
                <w:rFonts w:ascii="Arial Narrow" w:hAnsi="Arial Narrow" w:eastAsia="仿宋_GB2312" w:cs="Arial"/>
                <w:sz w:val="22"/>
                <w:szCs w:val="22"/>
              </w:rPr>
              <w:t xml:space="preserve">适用于高度相似交易条件下同一产品或服务既存在关联方之间又在非关联方之间交易的情况。</w:t>
            </w:r>
            <w:r>
              <w:rPr>
                <w:rFonts w:ascii="Arial Narrow" w:hAnsi="Arial Narrow" w:eastAsia="仿宋_GB2312" w:cs="Arial"/>
                <w:sz w:val="22"/>
                <w:szCs w:val="22"/>
              </w:rPr>
            </w:r>
          </w:p>
        </w:tc>
        <w:tc>
          <w:tcPr>
            <w:tcBorders/>
            <w:tcW w:w="3370" w:type="dxa"/>
            <w:vAlign w:val="center"/>
            <w:textDirection w:val="lrTb"/>
            <w:noWrap w:val="false"/>
          </w:tcPr>
          <w:p>
            <w:pPr>
              <w:pBdr/>
              <w:spacing/>
              <w:ind/>
              <w:rPr>
                <w:rFonts w:ascii="Arial Narrow" w:hAnsi="Arial Narrow" w:eastAsia="仿宋_GB2312" w:cs="Arial"/>
                <w:sz w:val="22"/>
                <w:szCs w:val="22"/>
              </w:rPr>
            </w:pPr>
            <w:r>
              <w:rPr>
                <w:rFonts w:ascii="Arial Narrow" w:hAnsi="Arial Narrow" w:eastAsia="仿宋_GB2312" w:cs="Arial"/>
                <w:sz w:val="22"/>
                <w:szCs w:val="22"/>
              </w:rPr>
              <w:t xml:space="preserve">松莉科技2023年主要关联交易为关联购销，未与非关联方发生交易条件类似的交易。无法获得可辨认的内部可比交易或外部可比交易的价格作为关联交易的独立交易价格。因此，对于松莉科技，该方法不适用。</w:t>
            </w:r>
            <w:r>
              <w:rPr>
                <w:rFonts w:ascii="Arial Narrow" w:hAnsi="Arial Narrow" w:eastAsia="仿宋_GB2312" w:cs="Arial"/>
                <w:sz w:val="22"/>
                <w:szCs w:val="22"/>
              </w:rPr>
            </w:r>
            <w:r>
              <w:rPr>
                <w:rFonts w:ascii="Arial Narrow" w:hAnsi="Arial Narrow" w:eastAsia="仿宋_GB2312" w:cs="Arial"/>
                <w:sz w:val="22"/>
                <w:szCs w:val="22"/>
              </w:rPr>
            </w:r>
          </w:p>
        </w:tc>
      </w:tr>
      <w:tr>
        <w:trPr>
          <w:jc w:val="center"/>
        </w:trPr>
        <w:tc>
          <w:tcPr>
            <w:tcBorders/>
            <w:tcW w:w="1980" w:type="dxa"/>
            <w:vAlign w:val="center"/>
            <w:textDirection w:val="lrTb"/>
            <w:noWrap w:val="false"/>
          </w:tcPr>
          <w:p>
            <w:pPr>
              <w:pBdr/>
              <w:spacing/>
              <w:ind/>
              <w:rPr>
                <w:rFonts w:ascii="Arial Narrow" w:hAnsi="Arial Narrow" w:eastAsia="仿宋_GB2312" w:cs="Arial"/>
                <w:sz w:val="22"/>
                <w:szCs w:val="22"/>
              </w:rPr>
            </w:pPr>
            <w:r>
              <w:rPr>
                <w:rFonts w:ascii="Arial Narrow" w:hAnsi="Arial Narrow" w:eastAsia="仿宋_GB2312" w:cs="Arial"/>
                <w:sz w:val="22"/>
                <w:szCs w:val="22"/>
              </w:rPr>
              <w:t xml:space="preserve">再销售价格法</w:t>
            </w:r>
            <w:r>
              <w:rPr>
                <w:rFonts w:ascii="Arial Narrow" w:hAnsi="Arial Narrow" w:eastAsia="仿宋_GB2312" w:cs="Arial"/>
                <w:sz w:val="22"/>
                <w:szCs w:val="22"/>
              </w:rPr>
            </w:r>
          </w:p>
        </w:tc>
        <w:tc>
          <w:tcPr>
            <w:tcBorders/>
            <w:tcW w:w="2835" w:type="dxa"/>
            <w:vAlign w:val="center"/>
            <w:textDirection w:val="lrTb"/>
            <w:noWrap w:val="false"/>
          </w:tcPr>
          <w:p>
            <w:pPr>
              <w:pBdr/>
              <w:spacing/>
              <w:ind/>
              <w:rPr>
                <w:rFonts w:ascii="Arial Narrow" w:hAnsi="Arial Narrow" w:eastAsia="仿宋_GB2312" w:cs="Arial"/>
                <w:sz w:val="22"/>
                <w:szCs w:val="22"/>
              </w:rPr>
            </w:pPr>
            <w:r>
              <w:rPr>
                <w:rFonts w:ascii="Arial Narrow" w:hAnsi="Arial Narrow" w:eastAsia="仿宋_GB2312" w:cs="Arial"/>
                <w:sz w:val="22"/>
                <w:szCs w:val="22"/>
              </w:rPr>
              <w:t xml:space="preserve">适用于再销售者未对商品进行改变外型、性能、结构或更换商标等实质性增值加工的简单加工或单纯购销业务。</w:t>
            </w:r>
            <w:r>
              <w:rPr>
                <w:rFonts w:ascii="Arial Narrow" w:hAnsi="Arial Narrow" w:eastAsia="仿宋_GB2312" w:cs="Arial"/>
                <w:sz w:val="22"/>
                <w:szCs w:val="22"/>
              </w:rPr>
            </w:r>
          </w:p>
        </w:tc>
        <w:tc>
          <w:tcPr>
            <w:tcBorders/>
            <w:tcW w:w="3370" w:type="dxa"/>
            <w:vAlign w:val="center"/>
            <w:textDirection w:val="lrTb"/>
            <w:noWrap w:val="false"/>
          </w:tcPr>
          <w:p>
            <w:pPr>
              <w:pBdr/>
              <w:spacing/>
              <w:ind/>
              <w:rPr>
                <w:rFonts w:ascii="Arial Narrow" w:hAnsi="Arial Narrow" w:eastAsia="仿宋_GB2312" w:cs="Arial"/>
                <w:sz w:val="22"/>
                <w:szCs w:val="22"/>
              </w:rPr>
            </w:pPr>
            <w:r>
              <w:rPr>
                <w:rFonts w:ascii="Arial Narrow" w:hAnsi="Arial Narrow" w:eastAsia="仿宋_GB2312" w:cs="Arial"/>
                <w:sz w:val="22"/>
                <w:szCs w:val="22"/>
              </w:rPr>
              <w:t xml:space="preserve">由于该方法对外部可比交易成本数据的可比性要求较高。因此，对于松莉科技，该方法不适用。</w:t>
            </w:r>
            <w:r>
              <w:rPr>
                <w:rFonts w:ascii="Arial Narrow" w:hAnsi="Arial Narrow" w:eastAsia="仿宋_GB2312" w:cs="Arial"/>
                <w:sz w:val="22"/>
                <w:szCs w:val="22"/>
              </w:rPr>
            </w:r>
          </w:p>
        </w:tc>
      </w:tr>
      <w:tr>
        <w:trPr>
          <w:jc w:val="center"/>
        </w:trPr>
        <w:tc>
          <w:tcPr>
            <w:tcBorders/>
            <w:tcW w:w="1980" w:type="dxa"/>
            <w:vAlign w:val="center"/>
            <w:textDirection w:val="lrTb"/>
            <w:noWrap w:val="false"/>
          </w:tcPr>
          <w:p>
            <w:pPr>
              <w:pBdr/>
              <w:spacing/>
              <w:ind/>
              <w:rPr>
                <w:rFonts w:ascii="Arial Narrow" w:hAnsi="Arial Narrow" w:eastAsia="仿宋_GB2312" w:cs="Arial"/>
                <w:sz w:val="22"/>
                <w:szCs w:val="22"/>
              </w:rPr>
            </w:pPr>
            <w:r>
              <w:rPr>
                <w:rFonts w:ascii="Arial Narrow" w:hAnsi="Arial Narrow" w:eastAsia="仿宋_GB2312" w:cs="Arial"/>
                <w:sz w:val="22"/>
                <w:szCs w:val="22"/>
              </w:rPr>
              <w:t xml:space="preserve">成本加成法</w:t>
            </w:r>
            <w:r>
              <w:rPr>
                <w:rFonts w:ascii="Arial Narrow" w:hAnsi="Arial Narrow" w:eastAsia="仿宋_GB2312" w:cs="Arial"/>
                <w:sz w:val="22"/>
                <w:szCs w:val="22"/>
              </w:rPr>
            </w:r>
          </w:p>
        </w:tc>
        <w:tc>
          <w:tcPr>
            <w:tcBorders/>
            <w:tcW w:w="2835" w:type="dxa"/>
            <w:vAlign w:val="center"/>
            <w:textDirection w:val="lrTb"/>
            <w:noWrap w:val="false"/>
          </w:tcPr>
          <w:p>
            <w:pPr>
              <w:pBdr/>
              <w:spacing/>
              <w:ind/>
              <w:rPr>
                <w:rFonts w:ascii="Arial Narrow" w:hAnsi="Arial Narrow" w:eastAsia="仿宋_GB2312" w:cs="Arial"/>
                <w:sz w:val="22"/>
                <w:szCs w:val="22"/>
              </w:rPr>
            </w:pPr>
            <w:r>
              <w:rPr>
                <w:rFonts w:ascii="Arial Narrow" w:hAnsi="Arial Narrow" w:eastAsia="仿宋_GB2312" w:cs="Arial"/>
                <w:sz w:val="22"/>
                <w:szCs w:val="22"/>
              </w:rPr>
              <w:t xml:space="preserve">成本加成法通常适用于涉及有形资产购销、转让和使用、劳务提供或资金融通的关联交易。</w:t>
            </w:r>
            <w:r>
              <w:rPr>
                <w:rFonts w:ascii="Arial Narrow" w:hAnsi="Arial Narrow" w:eastAsia="仿宋_GB2312" w:cs="Arial"/>
                <w:sz w:val="22"/>
                <w:szCs w:val="22"/>
              </w:rPr>
            </w:r>
          </w:p>
        </w:tc>
        <w:tc>
          <w:tcPr>
            <w:tcBorders/>
            <w:tcW w:w="3370" w:type="dxa"/>
            <w:vAlign w:val="center"/>
            <w:textDirection w:val="lrTb"/>
            <w:noWrap w:val="false"/>
          </w:tcPr>
          <w:p>
            <w:pPr>
              <w:pBdr/>
              <w:spacing/>
              <w:ind/>
              <w:rPr>
                <w:rFonts w:ascii="Arial Narrow" w:hAnsi="Arial Narrow" w:eastAsia="仿宋_GB2312" w:cs="Arial"/>
                <w:sz w:val="22"/>
                <w:szCs w:val="22"/>
              </w:rPr>
            </w:pPr>
            <w:r>
              <w:rPr>
                <w:rFonts w:ascii="Arial Narrow" w:hAnsi="Arial Narrow" w:eastAsia="仿宋_GB2312" w:cs="Arial"/>
                <w:sz w:val="22"/>
                <w:szCs w:val="22"/>
              </w:rPr>
              <w:t xml:space="preserve">由于成本加成法通常适用于成本数据详尽的涉及劳务或有形产品生产或组装的关联交易，尽管松莉科技向关联方提供相似的有形产品生产及劳务，但有形产品生产及劳务提供的市场环境不同，且也难以获取可以适用成本加成法的外部可比交易成本数据，因此该方法不适用。</w:t>
            </w:r>
            <w:r>
              <w:rPr>
                <w:rFonts w:ascii="Arial Narrow" w:hAnsi="Arial Narrow" w:eastAsia="仿宋_GB2312" w:cs="Arial"/>
                <w:sz w:val="22"/>
                <w:szCs w:val="22"/>
              </w:rPr>
            </w:r>
          </w:p>
        </w:tc>
      </w:tr>
      <w:tr>
        <w:trPr>
          <w:jc w:val="center"/>
        </w:trPr>
        <w:tc>
          <w:tcPr>
            <w:tcBorders/>
            <w:tcW w:w="1980" w:type="dxa"/>
            <w:vAlign w:val="center"/>
            <w:textDirection w:val="lrTb"/>
            <w:noWrap w:val="false"/>
          </w:tcPr>
          <w:p>
            <w:pPr>
              <w:pBdr/>
              <w:spacing/>
              <w:ind/>
              <w:rPr>
                <w:rFonts w:ascii="Arial Narrow" w:hAnsi="Arial Narrow" w:eastAsia="仿宋_GB2312" w:cs="Arial"/>
                <w:sz w:val="22"/>
                <w:szCs w:val="22"/>
              </w:rPr>
            </w:pPr>
            <w:r>
              <w:rPr>
                <w:rFonts w:ascii="Arial Narrow" w:hAnsi="Arial Narrow" w:eastAsia="仿宋_GB2312" w:cs="Arial"/>
                <w:sz w:val="22"/>
                <w:szCs w:val="22"/>
              </w:rPr>
              <w:t xml:space="preserve">交易净利润法</w:t>
            </w:r>
            <w:r>
              <w:rPr>
                <w:rFonts w:ascii="Arial Narrow" w:hAnsi="Arial Narrow" w:eastAsia="仿宋_GB2312" w:cs="Arial"/>
                <w:sz w:val="22"/>
                <w:szCs w:val="22"/>
              </w:rPr>
            </w:r>
          </w:p>
        </w:tc>
        <w:tc>
          <w:tcPr>
            <w:tcBorders/>
            <w:tcW w:w="2835" w:type="dxa"/>
            <w:vAlign w:val="center"/>
            <w:textDirection w:val="lrTb"/>
            <w:noWrap w:val="false"/>
          </w:tcPr>
          <w:p>
            <w:pPr>
              <w:pBdr/>
              <w:spacing/>
              <w:ind/>
              <w:rPr>
                <w:rFonts w:ascii="Arial Narrow" w:hAnsi="Arial Narrow" w:eastAsia="仿宋_GB2312" w:cs="Arial"/>
                <w:sz w:val="22"/>
                <w:szCs w:val="22"/>
              </w:rPr>
            </w:pPr>
            <w:r>
              <w:rPr>
                <w:rFonts w:ascii="Arial Narrow" w:hAnsi="Arial Narrow" w:eastAsia="仿宋_GB2312" w:cs="Arial"/>
                <w:sz w:val="22"/>
                <w:szCs w:val="22"/>
              </w:rPr>
              <w:t xml:space="preserve">交易净利润法一般适用于涉及有形资产购销、转让和使用、无形资产的转让和使用以及劳务提供等关联交易。由于该方法的应用基于对净利润指标的分析，因此该方法受功能或会计处理方法差异的影响较小。</w:t>
            </w:r>
            <w:r>
              <w:rPr>
                <w:rFonts w:ascii="Arial Narrow" w:hAnsi="Arial Narrow" w:eastAsia="仿宋_GB2312" w:cs="Arial"/>
                <w:sz w:val="22"/>
                <w:szCs w:val="22"/>
              </w:rPr>
            </w:r>
          </w:p>
        </w:tc>
        <w:tc>
          <w:tcPr>
            <w:tcBorders/>
            <w:tcW w:w="3370" w:type="dxa"/>
            <w:vAlign w:val="center"/>
            <w:textDirection w:val="lrTb"/>
            <w:noWrap w:val="false"/>
          </w:tcPr>
          <w:p>
            <w:pPr>
              <w:pBdr/>
              <w:spacing/>
              <w:ind/>
              <w:rPr>
                <w:rFonts w:ascii="Arial Narrow" w:hAnsi="Arial Narrow" w:eastAsia="仿宋_GB2312" w:cs="Arial"/>
                <w:sz w:val="22"/>
                <w:szCs w:val="22"/>
              </w:rPr>
            </w:pPr>
            <w:r>
              <w:rPr>
                <w:rFonts w:ascii="Arial Narrow" w:hAnsi="Arial Narrow" w:eastAsia="仿宋_GB2312" w:cs="Arial"/>
                <w:sz w:val="22"/>
                <w:szCs w:val="22"/>
              </w:rPr>
              <w:t xml:space="preserve">由于应用交易净利润法所需要的信息数据可以获得，因此选择该方法为评估受测关联交易是否符合独立交易原则的最合适的方法。因此，我们选择交易净利润法作为分析关联交易的转让定价方法。</w:t>
            </w:r>
            <w:r>
              <w:rPr>
                <w:rFonts w:ascii="Arial Narrow" w:hAnsi="Arial Narrow" w:eastAsia="仿宋_GB2312" w:cs="Arial"/>
                <w:sz w:val="22"/>
                <w:szCs w:val="22"/>
              </w:rPr>
            </w:r>
          </w:p>
        </w:tc>
      </w:tr>
      <w:tr>
        <w:trPr>
          <w:jc w:val="center"/>
        </w:trPr>
        <w:tc>
          <w:tcPr>
            <w:tcBorders/>
            <w:tcW w:w="1980" w:type="dxa"/>
            <w:vAlign w:val="center"/>
            <w:textDirection w:val="lrTb"/>
            <w:noWrap w:val="false"/>
          </w:tcPr>
          <w:p>
            <w:pPr>
              <w:pBdr/>
              <w:spacing/>
              <w:ind/>
              <w:rPr>
                <w:rFonts w:ascii="Arial Narrow" w:hAnsi="Arial Narrow" w:eastAsia="仿宋_GB2312" w:cs="Arial"/>
                <w:sz w:val="22"/>
                <w:szCs w:val="22"/>
              </w:rPr>
            </w:pPr>
            <w:r>
              <w:rPr>
                <w:rFonts w:ascii="Arial Narrow" w:hAnsi="Arial Narrow" w:eastAsia="仿宋_GB2312" w:cs="Arial"/>
                <w:sz w:val="22"/>
                <w:szCs w:val="22"/>
              </w:rPr>
              <w:t xml:space="preserve">利润分割法</w:t>
            </w:r>
            <w:r>
              <w:rPr>
                <w:rFonts w:ascii="Arial Narrow" w:hAnsi="Arial Narrow" w:eastAsia="仿宋_GB2312" w:cs="Arial"/>
                <w:sz w:val="22"/>
                <w:szCs w:val="22"/>
              </w:rPr>
            </w:r>
          </w:p>
        </w:tc>
        <w:tc>
          <w:tcPr>
            <w:tcBorders/>
            <w:tcW w:w="2835" w:type="dxa"/>
            <w:vAlign w:val="center"/>
            <w:textDirection w:val="lrTb"/>
            <w:noWrap w:val="false"/>
          </w:tcPr>
          <w:p>
            <w:pPr>
              <w:pBdr/>
              <w:spacing/>
              <w:ind/>
              <w:rPr>
                <w:rFonts w:ascii="Arial Narrow" w:hAnsi="Arial Narrow" w:eastAsia="仿宋_GB2312" w:cs="Arial"/>
                <w:sz w:val="22"/>
                <w:szCs w:val="22"/>
              </w:rPr>
            </w:pPr>
            <w:r>
              <w:rPr>
                <w:rFonts w:ascii="Arial Narrow" w:hAnsi="Arial Narrow" w:eastAsia="仿宋_GB2312" w:cs="Arial"/>
                <w:sz w:val="22"/>
                <w:szCs w:val="22"/>
              </w:rPr>
              <w:t xml:space="preserve">利润分割法适用于各参与方关联交易高度整合且难以单独评估各方交易结果的情况。该方法也适用于交易各方拥有或贡献独特无形资产的情形。</w:t>
            </w:r>
            <w:r>
              <w:rPr>
                <w:rFonts w:ascii="Arial Narrow" w:hAnsi="Arial Narrow" w:eastAsia="仿宋_GB2312" w:cs="Arial"/>
                <w:sz w:val="22"/>
                <w:szCs w:val="22"/>
              </w:rPr>
            </w:r>
          </w:p>
        </w:tc>
        <w:tc>
          <w:tcPr>
            <w:tcBorders/>
            <w:tcW w:w="3370" w:type="dxa"/>
            <w:vAlign w:val="center"/>
            <w:textDirection w:val="lrTb"/>
            <w:noWrap w:val="false"/>
          </w:tcPr>
          <w:p>
            <w:pPr>
              <w:pBdr/>
              <w:spacing/>
              <w:ind/>
              <w:rPr>
                <w:rFonts w:ascii="Arial Narrow" w:hAnsi="Arial Narrow" w:eastAsia="仿宋_GB2312" w:cs="Arial"/>
                <w:sz w:val="22"/>
                <w:szCs w:val="22"/>
              </w:rPr>
            </w:pPr>
            <w:r>
              <w:rPr>
                <w:rFonts w:ascii="Arial Narrow" w:hAnsi="Arial Narrow" w:eastAsia="仿宋_GB2312" w:cs="Arial"/>
                <w:sz w:val="22"/>
                <w:szCs w:val="22"/>
              </w:rPr>
              <w:t xml:space="preserve">利润分割法为根据企业与其关联方对关联交易合并利润的贡献计算各自应该分配的利润额，适用于关联交易双方高度整合的情况。松莉科技的关联交易不存在上述情况，因此该方法不适用。</w:t>
            </w:r>
            <w:r>
              <w:rPr>
                <w:rFonts w:hint="eastAsia" w:ascii="Arial Narrow" w:hAnsi="Arial Narrow" w:eastAsia="仿宋_GB2312" w:cs="Arial"/>
                <w:sz w:val="22"/>
                <w:szCs w:val="22"/>
              </w:rPr>
            </w:r>
            <w:r>
              <w:rPr>
                <w:rFonts w:ascii="Arial Narrow" w:hAnsi="Arial Narrow" w:eastAsia="仿宋_GB2312" w:cs="Arial"/>
                <w:sz w:val="22"/>
                <w:szCs w:val="22"/>
              </w:rPr>
            </w:r>
          </w:p>
        </w:tc>
      </w:tr>
    </w:tbl>
    <w:p>
      <w:pPr>
        <w:pStyle w:val="1324"/>
        <w:pBdr/>
        <w:spacing/>
        <w:ind/>
        <w:rPr/>
      </w:pPr>
      <w:r/>
      <w:bookmarkStart w:id="944" w:name="_Toc53229104"/>
      <w:r/>
      <w:bookmarkStart w:id="945" w:name="_Toc140505150"/>
      <w:r>
        <w:t xml:space="preserve">验证对象的选择</w:t>
      </w:r>
      <w:bookmarkEnd w:id="942"/>
      <w:r/>
      <w:bookmarkEnd w:id="943"/>
      <w:r/>
      <w:bookmarkEnd w:id="944"/>
      <w:r/>
      <w:bookmarkEnd w:id="945"/>
      <w:r/>
      <w:r/>
    </w:p>
    <w:p>
      <w:pPr>
        <w:pBdr/>
        <w:spacing w:after="156" w:before="156" w:line="360" w:lineRule="auto"/>
        <w:ind w:firstLine="440"/>
        <w:jc w:val="both"/>
        <w:rPr>
          <w:rFonts w:ascii="Arial Narrow" w:hAnsi="Arial Narrow" w:eastAsia="仿宋_GB2312" w:cs="Arial"/>
          <w:sz w:val="22"/>
          <w:szCs w:val="22"/>
        </w:rPr>
      </w:pPr>
      <w:r/>
      <w:bookmarkStart w:id="946" w:name="_Toc48317529"/>
      <w:r/>
      <w:bookmarkStart w:id="947" w:name="_Toc48317174"/>
      <w:r/>
      <w:bookmarkStart w:id="948" w:name="_Toc274480832"/>
      <w:r>
        <w:rPr>
          <w:rFonts w:ascii="Arial Narrow" w:hAnsi="Arial Narrow" w:eastAsia="仿宋_GB2312" w:cs="Arial"/>
          <w:sz w:val="22"/>
          <w:szCs w:val="22"/>
        </w:rPr>
        <w:t xml:space="preserve">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r>
        <w:rPr>
          <w:rFonts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hint="eastAsia" w:ascii="Arial Narrow" w:hAnsi="Arial Narrow" w:eastAsia="仿宋_GB2312" w:cs="Arial"/>
          <w:sz w:val="22"/>
          <w:szCs w:val="22"/>
        </w:rPr>
        <w:t xml:space="preserve">松莉科技执行有限的研发、生产、采购、质量控制、库存管理、物流、有限的销售、有限的售后服务和一般行政管理的功能；松莉科技主要承担生产风险、存货风险、市场风险、有限的信用风险、汇率风险；从功能和风险分析应归为承担一定功能及风险的合约生产制造商。此外，松莉科技拥有全部的生产和测试所需的有形资产，不拥有技术专利及品牌等有价值的无形资产。</w:t>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综上所述，在关联交易中，松莉科技为承担一定功能和风险的合约生产商，且其在关联交易中的利润水平可以有效的确定。因此。我们选择松莉科技作为受测关联交易的验证对象。</w:t>
      </w:r>
      <w:r>
        <w:rPr>
          <w:rFonts w:ascii="Arial Narrow" w:hAnsi="Arial Narrow" w:eastAsia="仿宋_GB2312" w:cs="Arial"/>
          <w:sz w:val="22"/>
          <w:szCs w:val="22"/>
        </w:rPr>
      </w:r>
      <w:r>
        <w:rPr>
          <w:rFonts w:ascii="Arial Narrow" w:hAnsi="Arial Narrow" w:eastAsia="仿宋_GB2312" w:cs="Arial"/>
          <w:sz w:val="22"/>
          <w:szCs w:val="22"/>
        </w:rPr>
      </w:r>
    </w:p>
    <w:p>
      <w:pPr>
        <w:pStyle w:val="1324"/>
        <w:pBdr/>
        <w:spacing/>
        <w:ind/>
        <w:rPr/>
      </w:pPr>
      <w:r/>
      <w:bookmarkStart w:id="949" w:name="_Toc140505158"/>
      <w:r/>
      <w:bookmarkStart w:id="950" w:name="_Toc140505152"/>
      <w:r/>
      <w:bookmarkStart w:id="951" w:name="_Toc140505155"/>
      <w:r/>
      <w:bookmarkStart w:id="952" w:name="_Toc140505167"/>
      <w:r/>
      <w:bookmarkStart w:id="953" w:name="_Toc140505151"/>
      <w:r/>
      <w:bookmarkStart w:id="954" w:name="_Toc140505157"/>
      <w:r/>
      <w:bookmarkStart w:id="955" w:name="_Toc140505161"/>
      <w:r/>
      <w:bookmarkStart w:id="956" w:name="_Toc140505154"/>
      <w:r/>
      <w:bookmarkStart w:id="957" w:name="_Toc140505162"/>
      <w:r/>
      <w:bookmarkStart w:id="958" w:name="_Toc140505166"/>
      <w:r/>
      <w:bookmarkStart w:id="959" w:name="_Toc140505164"/>
      <w:r/>
      <w:bookmarkStart w:id="960" w:name="_Toc140505156"/>
      <w:r/>
      <w:bookmarkStart w:id="961" w:name="_Toc140505159"/>
      <w:r/>
      <w:bookmarkStart w:id="962" w:name="_Toc140505160"/>
      <w:r/>
      <w:bookmarkStart w:id="963" w:name="_Toc140505165"/>
      <w:r/>
      <w:bookmarkStart w:id="964" w:name="_Toc140505153"/>
      <w:r/>
      <w:bookmarkStart w:id="965" w:name="_Toc140505163"/>
      <w:r/>
      <w:bookmarkStart w:id="966" w:name="_Toc140505168"/>
      <w:r/>
      <w:bookmarkStart w:id="967" w:name="_Toc53229105"/>
      <w:r/>
      <w:bookmarkEnd w:id="949"/>
      <w:r/>
      <w:bookmarkEnd w:id="950"/>
      <w:r/>
      <w:bookmarkEnd w:id="951"/>
      <w:r/>
      <w:bookmarkEnd w:id="952"/>
      <w:r/>
      <w:bookmarkEnd w:id="953"/>
      <w:r/>
      <w:bookmarkEnd w:id="954"/>
      <w:r/>
      <w:bookmarkEnd w:id="955"/>
      <w:r/>
      <w:bookmarkEnd w:id="956"/>
      <w:r/>
      <w:bookmarkEnd w:id="957"/>
      <w:r/>
      <w:bookmarkEnd w:id="958"/>
      <w:r/>
      <w:bookmarkEnd w:id="959"/>
      <w:r/>
      <w:bookmarkEnd w:id="960"/>
      <w:r/>
      <w:bookmarkEnd w:id="961"/>
      <w:r/>
      <w:bookmarkEnd w:id="962"/>
      <w:r/>
      <w:bookmarkEnd w:id="963"/>
      <w:r/>
      <w:bookmarkEnd w:id="964"/>
      <w:r/>
      <w:bookmarkEnd w:id="965"/>
      <w:r>
        <w:t xml:space="preserve">转让定价方法的应用</w:t>
      </w:r>
      <w:bookmarkEnd w:id="946"/>
      <w:r/>
      <w:bookmarkEnd w:id="947"/>
      <w:r/>
      <w:bookmarkEnd w:id="966"/>
      <w:r/>
      <w:bookmarkEnd w:id="967"/>
      <w:r/>
      <w:r/>
    </w:p>
    <w:p>
      <w:pPr>
        <w:pStyle w:val="1325"/>
        <w:pBdr/>
        <w:spacing/>
        <w:ind/>
        <w:rPr/>
      </w:pPr>
      <w:r/>
      <w:bookmarkStart w:id="968" w:name="_Toc140505169"/>
      <w:r/>
      <w:bookmarkStart w:id="969" w:name="_Toc53229106"/>
      <w:r>
        <w:t xml:space="preserve">概述</w:t>
      </w:r>
      <w:bookmarkEnd w:id="948"/>
      <w:r/>
      <w:bookmarkEnd w:id="968"/>
      <w:r/>
      <w:bookmarkEnd w:id="969"/>
      <w:r/>
      <w:r/>
    </w:p>
    <w:p>
      <w:pPr>
        <w:pBdr/>
        <w:spacing w:after="156" w:before="156" w:line="360" w:lineRule="auto"/>
        <w:ind w:firstLine="440"/>
        <w:jc w:val="both"/>
        <w:rPr>
          <w:rFonts w:ascii="Arial Narrow" w:hAnsi="Arial Narrow" w:eastAsia="仿宋_GB2312" w:cs="Arial"/>
          <w:sz w:val="22"/>
          <w:szCs w:val="22"/>
        </w:rPr>
      </w:pPr>
      <w:r/>
      <w:bookmarkStart w:id="970" w:name="_Toc48317347"/>
      <w:r/>
      <w:bookmarkStart w:id="971" w:name="_Toc48582675"/>
      <w:r/>
      <w:bookmarkStart w:id="972" w:name="_Toc48399669"/>
      <w:r/>
      <w:bookmarkStart w:id="973" w:name="_Toc48317348"/>
      <w:r/>
      <w:bookmarkStart w:id="974" w:name="_Toc48399675"/>
      <w:r/>
      <w:bookmarkStart w:id="975" w:name="_Toc48582671"/>
      <w:r/>
      <w:bookmarkStart w:id="976" w:name="_Toc48582656"/>
      <w:r/>
      <w:bookmarkStart w:id="977" w:name="_Toc522205849"/>
      <w:r/>
      <w:bookmarkStart w:id="978" w:name="_Toc48317535"/>
      <w:r/>
      <w:bookmarkStart w:id="979" w:name="_Toc48317352"/>
      <w:r/>
      <w:bookmarkStart w:id="980" w:name="_Toc48583071"/>
      <w:r/>
      <w:bookmarkStart w:id="981" w:name="_Toc48583092"/>
      <w:r/>
      <w:bookmarkStart w:id="982" w:name="_Toc48582655"/>
      <w:r/>
      <w:bookmarkStart w:id="983" w:name="_Toc48583073"/>
      <w:r/>
      <w:bookmarkStart w:id="984" w:name="_Toc48583068"/>
      <w:r/>
      <w:bookmarkStart w:id="985" w:name="_Toc48583084"/>
      <w:r/>
      <w:bookmarkStart w:id="986" w:name="_Toc48317532"/>
      <w:r/>
      <w:bookmarkStart w:id="987" w:name="_Toc48399692"/>
      <w:r/>
      <w:bookmarkStart w:id="988" w:name="_Toc48582658"/>
      <w:r/>
      <w:bookmarkStart w:id="989" w:name="_Toc48399670"/>
      <w:r/>
      <w:bookmarkStart w:id="990" w:name="_Toc48583069"/>
      <w:r/>
      <w:bookmarkStart w:id="991" w:name="_Toc48399671"/>
      <w:r/>
      <w:bookmarkStart w:id="992" w:name="_Toc48583088"/>
      <w:r/>
      <w:bookmarkStart w:id="993" w:name="_Toc489952591"/>
      <w:r/>
      <w:bookmarkStart w:id="994" w:name="_Toc522205850"/>
      <w:r/>
      <w:bookmarkStart w:id="995" w:name="_Toc48582679"/>
      <w:r/>
      <w:bookmarkStart w:id="996" w:name="_Toc48317346"/>
      <w:r/>
      <w:bookmarkStart w:id="997" w:name="_Toc48317533"/>
      <w:r/>
      <w:bookmarkStart w:id="998" w:name="_Toc48582654"/>
      <w:r/>
      <w:bookmarkStart w:id="999" w:name="_Toc48317350"/>
      <w:r/>
      <w:bookmarkStart w:id="1000" w:name="_Toc48317531"/>
      <w:r/>
      <w:bookmarkStart w:id="1001" w:name="_Toc48317554"/>
      <w:r/>
      <w:bookmarkStart w:id="1002" w:name="_Toc48582660"/>
      <w:r/>
      <w:bookmarkStart w:id="1003" w:name="_Toc48399673"/>
      <w:r/>
      <w:bookmarkStart w:id="1004" w:name="_Toc48583067"/>
      <w:r/>
      <w:bookmarkStart w:id="1005" w:name="_Toc48317537"/>
      <w:r/>
      <w:bookmarkStart w:id="1006" w:name="_Toc522205851"/>
      <w:r/>
      <w:bookmarkStart w:id="1007" w:name="_Toc48317369"/>
      <w:r/>
      <w:bookmarkStart w:id="1008" w:name="_Toc48317555"/>
      <w:r/>
      <w:bookmarkEnd w:id="970"/>
      <w:r/>
      <w:bookmarkEnd w:id="971"/>
      <w:r/>
      <w:bookmarkEnd w:id="972"/>
      <w:r/>
      <w:bookmarkEnd w:id="973"/>
      <w:r/>
      <w:bookmarkEnd w:id="974"/>
      <w:r/>
      <w:bookmarkEnd w:id="975"/>
      <w:r/>
      <w:bookmarkEnd w:id="976"/>
      <w:r/>
      <w:bookmarkEnd w:id="977"/>
      <w:r/>
      <w:bookmarkEnd w:id="978"/>
      <w:r/>
      <w:bookmarkEnd w:id="979"/>
      <w:r/>
      <w:bookmarkEnd w:id="980"/>
      <w:r/>
      <w:bookmarkEnd w:id="981"/>
      <w:r/>
      <w:bookmarkEnd w:id="982"/>
      <w:r/>
      <w:bookmarkEnd w:id="983"/>
      <w:r/>
      <w:bookmarkEnd w:id="984"/>
      <w:r/>
      <w:bookmarkEnd w:id="985"/>
      <w:r/>
      <w:bookmarkEnd w:id="986"/>
      <w:r/>
      <w:bookmarkEnd w:id="987"/>
      <w:r/>
      <w:bookmarkEnd w:id="988"/>
      <w:r/>
      <w:bookmarkEnd w:id="989"/>
      <w:r/>
      <w:bookmarkEnd w:id="990"/>
      <w:r/>
      <w:bookmarkEnd w:id="991"/>
      <w:r/>
      <w:bookmarkEnd w:id="992"/>
      <w:r/>
      <w:bookmarkEnd w:id="993"/>
      <w:r/>
      <w:bookmarkEnd w:id="994"/>
      <w:r/>
      <w:bookmarkEnd w:id="995"/>
      <w:r/>
      <w:bookmarkEnd w:id="996"/>
      <w:r/>
      <w:bookmarkEnd w:id="997"/>
      <w:r/>
      <w:bookmarkEnd w:id="998"/>
      <w:r/>
      <w:bookmarkEnd w:id="999"/>
      <w:r/>
      <w:bookmarkEnd w:id="1000"/>
      <w:r/>
      <w:bookmarkEnd w:id="1001"/>
      <w:r/>
      <w:bookmarkEnd w:id="1002"/>
      <w:r/>
      <w:bookmarkEnd w:id="1003"/>
      <w:r/>
      <w:bookmarkEnd w:id="1004"/>
      <w:r/>
      <w:bookmarkEnd w:id="1005"/>
      <w:r/>
      <w:bookmarkEnd w:id="1006"/>
      <w:r/>
      <w:bookmarkEnd w:id="1007"/>
      <w:r>
        <w:rPr>
          <w:rFonts w:ascii="Arial Narrow" w:hAnsi="Arial Narrow" w:eastAsia="仿宋_GB2312" w:cs="Arial"/>
          <w:sz w:val="22"/>
          <w:szCs w:val="22"/>
        </w:rPr>
        <w:t xml:space="preserve">[2016]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Narrow" w:hAnsi="Arial Narrow" w:eastAsia="仿宋_GB2312" w:cs="Arial"/>
          <w:sz w:val="22"/>
          <w:szCs w:val="22"/>
          <w:vertAlign w:val="superscript"/>
        </w:rPr>
        <w:footnoteReference w:id="18"/>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下面我们将应用交易净利润法进行可比分析。</w:t>
      </w:r>
      <w:r>
        <w:rPr>
          <w:rFonts w:ascii="Arial Narrow" w:hAnsi="Arial Narrow" w:eastAsia="仿宋_GB2312" w:cs="Arial"/>
          <w:sz w:val="22"/>
          <w:szCs w:val="22"/>
        </w:rPr>
      </w:r>
    </w:p>
    <w:p>
      <w:pPr>
        <w:pStyle w:val="1325"/>
        <w:pBdr/>
        <w:spacing/>
        <w:ind/>
        <w:rPr/>
      </w:pPr>
      <w:r/>
      <w:bookmarkStart w:id="1009" w:name="_Toc140505170"/>
      <w:r/>
      <w:bookmarkStart w:id="1010" w:name="_Toc53229107"/>
      <w:r>
        <w:t xml:space="preserve">确定与受测关联交易相关的财务数据</w:t>
      </w:r>
      <w:bookmarkStart w:id="1011" w:name="_Hlk43068633"/>
      <w:r/>
      <w:bookmarkEnd w:id="1011"/>
      <w:r/>
      <w:bookmarkEnd w:id="1008"/>
      <w:r/>
      <w:bookmarkEnd w:id="1009"/>
      <w:r/>
      <w:bookmarkEnd w:id="1010"/>
      <w: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我们选择松莉科技作为受测关联交易的验证对象，鉴于松莉科技2023年主营化妆品的生产业务，因此本报告将对松莉科技的生产业务是否符合独立交易原则进行分析和验证。</w:t>
      </w:r>
      <w:r>
        <w:rPr>
          <w:rFonts w:ascii="Arial Narrow" w:hAnsi="Arial Narrow" w:eastAsia="仿宋_GB2312" w:cs="Arial"/>
          <w:sz w:val="22"/>
          <w:szCs w:val="22"/>
        </w:rPr>
      </w:r>
      <w:r>
        <w:rPr>
          <w:rFonts w:ascii="Arial Narrow" w:hAnsi="Arial Narrow" w:eastAsia="仿宋_GB2312" w:cs="Arial"/>
          <w:sz w:val="22"/>
          <w:szCs w:val="22"/>
        </w:rPr>
      </w:r>
    </w:p>
    <w:p>
      <w:pPr>
        <w:pStyle w:val="1338"/>
        <w:pBdr/>
        <w:spacing/>
        <w:ind w:hanging="420" w:left="420"/>
        <w:jc w:val="center"/>
        <w:rPr>
          <w:rFonts w:ascii="Arial Narrow" w:hAnsi="Arial Narrow" w:eastAsia="仿宋_GB2312" w:cs="Arial"/>
          <w:sz w:val="22"/>
        </w:rPr>
      </w:pPr>
      <w:r>
        <w:rPr>
          <w:rFonts w:ascii="Arial Narrow" w:hAnsi="Arial Narrow" w:eastAsia="仿宋_GB2312" w:cs="Arial"/>
          <w:sz w:val="22"/>
        </w:rPr>
        <w:t xml:space="preserve">图表 20：松莉科技2023年度生产业务财务数据</w:t>
      </w:r>
      <w:r>
        <w:rPr>
          <w:rFonts w:ascii="Arial Narrow" w:hAnsi="Arial Narrow" w:eastAsia="仿宋_GB2312" w:cs="Arial"/>
          <w:sz w:val="22"/>
        </w:rPr>
      </w:r>
      <w:r>
        <w:rPr>
          <w:rFonts w:ascii="Arial Narrow" w:hAnsi="Arial Narrow" w:eastAsia="仿宋_GB2312" w:cs="Arial"/>
          <w:sz w:val="22"/>
        </w:rPr>
      </w:r>
    </w:p>
    <w:tbl>
      <w:tblPr>
        <w:tblStyle w:val="149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67"/>
        <w:gridCol w:w="2040"/>
        <w:gridCol w:w="2603"/>
      </w:tblGrid>
      <w:tr>
        <w:trPr>
          <w:jc w:val="center"/>
          <w:tblHeader/>
        </w:trPr>
        <w:tc>
          <w:tcPr>
            <w:shd w:val="clear" w:color="auto" w:fill="002060"/>
            <w:tcBorders/>
            <w:tcW w:w="2667" w:type="dxa"/>
            <w:vAlign w:val="center"/>
            <w:textDirection w:val="lrTb"/>
            <w:noWrap w:val="false"/>
          </w:tcPr>
          <w:p>
            <w:pPr>
              <w:pBdr/>
              <w:spacing w:after="60" w:before="60"/>
              <w:ind/>
              <w:jc w:val="center"/>
              <w:rPr>
                <w:rFonts w:ascii="Arial Narrow" w:hAnsi="Arial Narrow" w:eastAsia="仿宋_GB2312" w:cs="Arial"/>
                <w:b w:val="0"/>
                <w:bCs w:val="0"/>
                <w:sz w:val="22"/>
                <w:szCs w:val="22"/>
              </w:rPr>
            </w:pPr>
            <w:r>
              <w:rPr>
                <w:rFonts w:ascii="Arial Narrow" w:hAnsi="Arial Narrow" w:eastAsia="仿宋_GB2312" w:cs="Arial"/>
                <w:sz w:val="22"/>
                <w:szCs w:val="22"/>
              </w:rPr>
              <w:t xml:space="preserve">项目</w:t>
            </w:r>
            <w:r>
              <w:rPr>
                <w:rFonts w:ascii="Arial Narrow" w:hAnsi="Arial Narrow" w:eastAsia="仿宋_GB2312" w:cs="Arial"/>
                <w:b w:val="0"/>
                <w:bCs w:val="0"/>
                <w:sz w:val="22"/>
                <w:szCs w:val="22"/>
              </w:rPr>
            </w:r>
          </w:p>
        </w:tc>
        <w:tc>
          <w:tcPr>
            <w:shd w:val="clear" w:color="auto" w:fill="002060"/>
            <w:tcBorders/>
            <w:tcW w:w="2040" w:type="dxa"/>
            <w:vAlign w:val="center"/>
            <w:textDirection w:val="lrTb"/>
            <w:noWrap w:val="false"/>
          </w:tcPr>
          <w:p>
            <w:pPr>
              <w:pBdr/>
              <w:spacing/>
              <w:ind/>
              <w:jc w:val="center"/>
              <w:rPr>
                <w:rFonts w:ascii="Arial Narrow" w:hAnsi="Arial Narrow" w:eastAsia="仿宋_GB2312" w:cs="Arial"/>
                <w:bCs w:val="0"/>
                <w:sz w:val="22"/>
                <w:szCs w:val="22"/>
              </w:rPr>
            </w:pPr>
            <w:r>
              <w:rPr>
                <w:rFonts w:ascii="Arial Narrow" w:hAnsi="Arial Narrow" w:eastAsia="仿宋_GB2312" w:cs="Arial"/>
                <w:sz w:val="22"/>
                <w:szCs w:val="22"/>
              </w:rPr>
              <w:t xml:space="preserve">公式</w:t>
            </w:r>
            <w:r>
              <w:rPr>
                <w:rFonts w:ascii="Arial Narrow" w:hAnsi="Arial Narrow" w:eastAsia="仿宋_GB2312" w:cs="Arial"/>
                <w:bCs w:val="0"/>
                <w:sz w:val="22"/>
                <w:szCs w:val="22"/>
              </w:rPr>
            </w:r>
          </w:p>
        </w:tc>
        <w:tc>
          <w:tcPr>
            <w:shd w:val="clear" w:color="auto" w:fill="002060"/>
            <w:tcBorders/>
            <w:tcW w:w="2603" w:type="dxa"/>
            <w:vAlign w:val="center"/>
            <w:textDirection w:val="lrTb"/>
            <w:noWrap w:val="false"/>
          </w:tcPr>
          <w:p>
            <w:pPr>
              <w:pBdr/>
              <w:spacing/>
              <w:ind/>
              <w:jc w:val="center"/>
              <w:rPr>
                <w:rFonts w:ascii="Arial Narrow" w:hAnsi="Arial Narrow" w:eastAsia="仿宋_GB2312" w:cs="Arial"/>
                <w:sz w:val="22"/>
                <w:szCs w:val="22"/>
              </w:rPr>
            </w:pPr>
            <w:r>
              <w:rPr>
                <w:rFonts w:ascii="Arial Narrow" w:hAnsi="Arial Narrow" w:eastAsia="仿宋_GB2312" w:cs="Arial"/>
                <w:sz w:val="22"/>
                <w:szCs w:val="22"/>
              </w:rPr>
              <w:t xml:space="preserve">金额</w:t>
            </w:r>
            <w:r>
              <w:rPr>
                <w:rFonts w:ascii="Arial Narrow" w:hAnsi="Arial Narrow" w:eastAsia="仿宋_GB2312" w:cs="Arial"/>
                <w:sz w:val="22"/>
                <w:szCs w:val="22"/>
              </w:rPr>
            </w:r>
          </w:p>
          <w:p>
            <w:pPr>
              <w:pBdr/>
              <w:spacing/>
              <w:ind/>
              <w:jc w:val="center"/>
              <w:rPr>
                <w:rFonts w:ascii="Arial Narrow" w:hAnsi="Arial Narrow" w:eastAsia="仿宋_GB2312" w:cs="Arial"/>
                <w:sz w:val="22"/>
                <w:szCs w:val="22"/>
              </w:rPr>
            </w:pPr>
            <w:r>
              <w:rPr>
                <w:rFonts w:ascii="Arial Narrow" w:hAnsi="Arial Narrow" w:eastAsia="仿宋_GB2312" w:cs="Arial"/>
                <w:sz w:val="22"/>
                <w:szCs w:val="22"/>
              </w:rPr>
              <w:t xml:space="preserve">人民币元</w:t>
            </w:r>
            <w:r>
              <w:rPr>
                <w:rFonts w:ascii="Arial Narrow" w:hAnsi="Arial Narrow" w:eastAsia="仿宋_GB2312" w:cs="Arial"/>
                <w:sz w:val="22"/>
                <w:szCs w:val="22"/>
              </w:rPr>
            </w:r>
          </w:p>
        </w:tc>
      </w:tr>
      <w:tr>
        <w:trPr>
          <w:jc w:val="center"/>
        </w:trPr>
        <w:tc>
          <w:tcPr>
            <w:shd w:val="clear" w:color="auto" w:fill="auto"/>
            <w:tcBorders/>
            <w:tcW w:w="2667" w:type="dxa"/>
            <w:vAlign w:val="center"/>
            <w:textDirection w:val="lrTb"/>
            <w:noWrap w:val="false"/>
          </w:tcPr>
          <w:p>
            <w:pPr>
              <w:pBdr/>
              <w:spacing w:after="60" w:before="60"/>
              <w:ind/>
              <w:rPr>
                <w:rFonts w:ascii="Arial Narrow" w:hAnsi="Arial Narrow" w:eastAsia="仿宋_GB2312" w:cs="Arial"/>
                <w:b w:val="0"/>
                <w:sz w:val="22"/>
                <w:szCs w:val="22"/>
              </w:rPr>
            </w:pPr>
            <w:r>
              <w:rPr>
                <w:rFonts w:ascii="Arial Narrow" w:hAnsi="Arial Narrow" w:eastAsia="仿宋_GB2312" w:cs="Arial"/>
                <w:b w:val="0"/>
                <w:color w:val="000000"/>
                <w:sz w:val="22"/>
                <w:szCs w:val="22"/>
              </w:rPr>
              <w:t xml:space="preserve">营业收入</w:t>
            </w:r>
            <w:r>
              <w:rPr>
                <w:rFonts w:ascii="Arial Narrow" w:hAnsi="Arial Narrow" w:eastAsia="仿宋_GB2312" w:cs="Arial"/>
                <w:b w:val="0"/>
                <w:sz w:val="22"/>
                <w:szCs w:val="22"/>
              </w:rPr>
            </w:r>
          </w:p>
        </w:tc>
        <w:tc>
          <w:tcPr>
            <w:shd w:val="clear" w:color="auto" w:fill="auto"/>
            <w:tcBorders/>
            <w:tcW w:w="2040" w:type="dxa"/>
            <w:vAlign w:val="center"/>
            <w:textDirection w:val="lrTb"/>
            <w:noWrap w:val="false"/>
          </w:tcPr>
          <w:p>
            <w:pPr>
              <w:pBdr/>
              <w:spacing w:after="60" w:before="60"/>
              <w:ind/>
              <w:jc w:val="center"/>
              <w:rPr>
                <w:rFonts w:ascii="Arial Narrow" w:hAnsi="Arial Narrow" w:eastAsia="仿宋_GB2312" w:cs="Arial"/>
                <w:b/>
                <w:sz w:val="22"/>
                <w:szCs w:val="22"/>
              </w:rPr>
            </w:pPr>
            <w:r>
              <w:rPr>
                <w:rFonts w:ascii="Arial Narrow" w:hAnsi="Arial Narrow" w:eastAsia="仿宋_GB2312" w:cs="Arial"/>
                <w:color w:val="000000"/>
                <w:sz w:val="22"/>
                <w:szCs w:val="22"/>
              </w:rPr>
              <w:t xml:space="preserve">a</w:t>
            </w:r>
            <w:r>
              <w:rPr>
                <w:rFonts w:ascii="Arial Narrow" w:hAnsi="Arial Narrow" w:eastAsia="仿宋_GB2312" w:cs="Arial"/>
                <w:b/>
                <w:sz w:val="22"/>
                <w:szCs w:val="22"/>
              </w:rPr>
            </w:r>
          </w:p>
        </w:tc>
        <w:tc>
          <w:tcPr>
            <w:shd w:val="clear" w:color="auto" w:fill="auto"/>
            <w:tcBorders/>
            <w:tcW w:w="2603" w:type="dxa"/>
            <w:vAlign w:val="center"/>
            <w:textDirection w:val="lrTb"/>
            <w:noWrap w:val="false"/>
          </w:tcPr>
          <w:p>
            <w:pPr>
              <w:pBdr/>
              <w:spacing/>
              <w:ind/>
              <w:jc w:val="right"/>
              <w:rPr>
                <w:rFonts w:ascii="Arial Narrow" w:hAnsi="Arial Narrow" w:eastAsia="仿宋_GB2312" w:cs="Arial"/>
                <w:bCs/>
                <w:color w:val="000000"/>
                <w:sz w:val="22"/>
                <w:szCs w:val="22"/>
              </w:rPr>
            </w:pPr>
            <w:r>
              <w:rPr>
                <w:rFonts w:hint="eastAsia" w:ascii="Arial Narrow" w:hAnsi="Arial Narrow" w:eastAsia="仿宋_GB2312" w:cs="Arial"/>
                <w:sz w:val="22"/>
                <w:szCs w:val="22"/>
              </w:rPr>
              <w:t xml:space="preserve">273,356,327.70</w:t>
            </w:r>
            <w:r>
              <w:rPr>
                <w:rFonts w:ascii="Arial Narrow" w:hAnsi="Arial Narrow" w:eastAsia="仿宋_GB2312" w:cs="Arial"/>
                <w:bCs/>
                <w:color w:val="000000"/>
                <w:sz w:val="22"/>
                <w:szCs w:val="22"/>
              </w:rPr>
            </w:r>
          </w:p>
        </w:tc>
      </w:tr>
      <w:tr>
        <w:trPr>
          <w:jc w:val="center"/>
        </w:trPr>
        <w:tc>
          <w:tcPr>
            <w:shd w:val="clear" w:color="auto" w:fill="auto"/>
            <w:tcBorders/>
            <w:tcW w:w="2667" w:type="dxa"/>
            <w:vAlign w:val="center"/>
            <w:textDirection w:val="lrTb"/>
            <w:noWrap w:val="false"/>
          </w:tcPr>
          <w:p>
            <w:pPr>
              <w:pBdr/>
              <w:spacing w:after="60" w:before="60"/>
              <w:ind/>
              <w:rPr>
                <w:rFonts w:ascii="Arial Narrow" w:hAnsi="Arial Narrow" w:eastAsia="仿宋_GB2312" w:cs="Arial"/>
                <w:b w:val="0"/>
                <w:sz w:val="22"/>
                <w:szCs w:val="22"/>
              </w:rPr>
            </w:pPr>
            <w:r>
              <w:rPr>
                <w:rFonts w:ascii="Arial Narrow" w:hAnsi="Arial Narrow" w:eastAsia="仿宋_GB2312" w:cs="Arial"/>
                <w:b w:val="0"/>
                <w:sz w:val="22"/>
                <w:szCs w:val="22"/>
              </w:rPr>
              <w:t xml:space="preserve">减：营业成本</w:t>
            </w:r>
            <w:r>
              <w:rPr>
                <w:rFonts w:ascii="Arial Narrow" w:hAnsi="Arial Narrow" w:eastAsia="仿宋_GB2312" w:cs="Arial"/>
                <w:b w:val="0"/>
                <w:color w:val="000000"/>
                <w:sz w:val="22"/>
                <w:szCs w:val="22"/>
              </w:rPr>
            </w:r>
            <w:r>
              <w:rPr>
                <w:rFonts w:ascii="Arial Narrow" w:hAnsi="Arial Narrow" w:eastAsia="仿宋_GB2312" w:cs="Arial"/>
                <w:b w:val="0"/>
                <w:sz w:val="22"/>
                <w:szCs w:val="22"/>
              </w:rPr>
            </w:r>
          </w:p>
        </w:tc>
        <w:tc>
          <w:tcPr>
            <w:shd w:val="clear" w:color="auto" w:fill="auto"/>
            <w:tcBorders/>
            <w:tcW w:w="2040" w:type="dxa"/>
            <w:vAlign w:val="center"/>
            <w:textDirection w:val="lrTb"/>
            <w:noWrap w:val="false"/>
          </w:tcPr>
          <w:p>
            <w:pPr>
              <w:pBdr/>
              <w:spacing w:after="60" w:before="60"/>
              <w:ind/>
              <w:jc w:val="center"/>
              <w:rPr>
                <w:rFonts w:ascii="Arial Narrow" w:hAnsi="Arial Narrow" w:eastAsia="仿宋_GB2312" w:cs="Arial"/>
                <w:sz w:val="22"/>
                <w:szCs w:val="22"/>
              </w:rPr>
            </w:pPr>
            <w:r>
              <w:rPr>
                <w:rFonts w:ascii="Arial Narrow" w:hAnsi="Arial Narrow" w:eastAsia="仿宋_GB2312" w:cs="Arial"/>
                <w:color w:val="000000"/>
                <w:sz w:val="22"/>
                <w:szCs w:val="22"/>
              </w:rPr>
              <w:t xml:space="preserve">b</w:t>
            </w:r>
            <w:r>
              <w:rPr>
                <w:rFonts w:ascii="Arial Narrow" w:hAnsi="Arial Narrow" w:eastAsia="仿宋_GB2312" w:cs="Arial"/>
                <w:sz w:val="22"/>
                <w:szCs w:val="22"/>
              </w:rPr>
            </w:r>
          </w:p>
        </w:tc>
        <w:tc>
          <w:tcPr>
            <w:shd w:val="clear" w:color="auto" w:fill="auto"/>
            <w:tcBorders/>
            <w:tcW w:w="2603" w:type="dxa"/>
            <w:vAlign w:val="center"/>
            <w:textDirection w:val="lrTb"/>
            <w:noWrap w:val="false"/>
          </w:tcPr>
          <w:p>
            <w:pPr>
              <w:pBdr/>
              <w:spacing/>
              <w:ind/>
              <w:jc w:val="right"/>
              <w:rPr>
                <w:rFonts w:ascii="Arial Narrow" w:hAnsi="Arial Narrow" w:eastAsia="仿宋_GB2312" w:cs="Arial"/>
                <w:bCs/>
                <w:color w:val="000000"/>
                <w:sz w:val="22"/>
                <w:szCs w:val="22"/>
              </w:rPr>
            </w:pPr>
            <w:r>
              <w:rPr>
                <w:rFonts w:hint="eastAsia" w:ascii="Arial Narrow" w:hAnsi="Arial Narrow" w:eastAsia="仿宋_GB2312" w:cs="Arial"/>
                <w:sz w:val="22"/>
                <w:szCs w:val="22"/>
              </w:rPr>
              <w:t xml:space="preserve">243,696,017.20</w:t>
            </w:r>
            <w:r>
              <w:rPr>
                <w:rFonts w:ascii="Arial Narrow" w:hAnsi="Arial Narrow" w:eastAsia="仿宋_GB2312" w:cs="Arial"/>
                <w:bCs/>
                <w:color w:val="000000"/>
                <w:sz w:val="22"/>
                <w:szCs w:val="22"/>
              </w:rPr>
            </w:r>
          </w:p>
        </w:tc>
      </w:tr>
      <w:tr>
        <w:trPr>
          <w:jc w:val="center"/>
        </w:trPr>
        <w:tc>
          <w:tcPr>
            <w:shd w:val="clear" w:color="auto" w:fill="auto"/>
            <w:tcBorders/>
            <w:tcW w:w="2667" w:type="dxa"/>
            <w:vAlign w:val="center"/>
            <w:textDirection w:val="lrTb"/>
            <w:noWrap w:val="false"/>
          </w:tcPr>
          <w:p>
            <w:pPr>
              <w:pBdr/>
              <w:spacing w:after="60" w:before="60"/>
              <w:ind w:firstLine="440"/>
              <w:rPr>
                <w:rFonts w:ascii="Arial Narrow" w:hAnsi="Arial Narrow" w:eastAsia="仿宋_GB2312" w:cs="Arial"/>
                <w:b w:val="0"/>
                <w:sz w:val="22"/>
                <w:szCs w:val="22"/>
              </w:rPr>
            </w:pPr>
            <w:r>
              <w:rPr>
                <w:rFonts w:ascii="Arial Narrow" w:hAnsi="Arial Narrow" w:eastAsia="仿宋_GB2312" w:cs="Arial"/>
                <w:b w:val="0"/>
                <w:color w:val="000000"/>
                <w:sz w:val="22"/>
                <w:szCs w:val="22"/>
              </w:rPr>
              <w:t xml:space="preserve">税金及附加</w:t>
            </w:r>
            <w:r>
              <w:rPr>
                <w:rFonts w:ascii="Arial Narrow" w:hAnsi="Arial Narrow" w:eastAsia="仿宋_GB2312" w:cs="Arial"/>
                <w:b w:val="0"/>
                <w:sz w:val="22"/>
                <w:szCs w:val="22"/>
              </w:rPr>
            </w:r>
          </w:p>
        </w:tc>
        <w:tc>
          <w:tcPr>
            <w:shd w:val="clear" w:color="auto" w:fill="auto"/>
            <w:tcBorders/>
            <w:tcW w:w="2040" w:type="dxa"/>
            <w:vAlign w:val="center"/>
            <w:textDirection w:val="lrTb"/>
            <w:noWrap w:val="false"/>
          </w:tcPr>
          <w:p>
            <w:pPr>
              <w:pBdr/>
              <w:spacing w:after="60" w:before="60"/>
              <w:ind/>
              <w:jc w:val="center"/>
              <w:rPr>
                <w:rFonts w:ascii="Arial Narrow" w:hAnsi="Arial Narrow" w:eastAsia="仿宋_GB2312" w:cs="Arial"/>
                <w:sz w:val="22"/>
                <w:szCs w:val="22"/>
              </w:rPr>
            </w:pPr>
            <w:r>
              <w:rPr>
                <w:rFonts w:ascii="Arial Narrow" w:hAnsi="Arial Narrow" w:eastAsia="仿宋_GB2312" w:cs="Arial"/>
                <w:color w:val="000000"/>
                <w:sz w:val="22"/>
                <w:szCs w:val="22"/>
              </w:rPr>
              <w:t xml:space="preserve">c</w:t>
            </w:r>
            <w:r>
              <w:rPr>
                <w:rFonts w:ascii="Arial Narrow" w:hAnsi="Arial Narrow" w:eastAsia="仿宋_GB2312" w:cs="Arial"/>
                <w:sz w:val="22"/>
                <w:szCs w:val="22"/>
              </w:rPr>
            </w:r>
          </w:p>
        </w:tc>
        <w:tc>
          <w:tcPr>
            <w:shd w:val="clear" w:color="auto" w:fill="auto"/>
            <w:tcBorders/>
            <w:tcW w:w="2603" w:type="dxa"/>
            <w:vAlign w:val="center"/>
            <w:textDirection w:val="lrTb"/>
            <w:noWrap w:val="false"/>
          </w:tcPr>
          <w:p>
            <w:pPr>
              <w:pBdr/>
              <w:spacing/>
              <w:ind/>
              <w:jc w:val="right"/>
              <w:rPr>
                <w:rFonts w:ascii="Arial Narrow" w:hAnsi="Arial Narrow" w:eastAsia="仿宋_GB2312" w:cs="Arial"/>
                <w:bCs/>
                <w:color w:val="000000"/>
                <w:sz w:val="22"/>
                <w:szCs w:val="22"/>
              </w:rPr>
            </w:pPr>
            <w:r>
              <w:rPr>
                <w:rFonts w:hint="eastAsia" w:ascii="Arial Narrow" w:hAnsi="Arial Narrow" w:eastAsia="仿宋_GB2312" w:cs="Arial"/>
                <w:sz w:val="22"/>
                <w:szCs w:val="22"/>
              </w:rPr>
              <w:t xml:space="preserve">98,278.10</w:t>
            </w:r>
            <w:r>
              <w:rPr>
                <w:rFonts w:ascii="Arial Narrow" w:hAnsi="Arial Narrow" w:eastAsia="仿宋_GB2312" w:cs="Arial"/>
                <w:bCs/>
                <w:color w:val="000000"/>
                <w:sz w:val="22"/>
                <w:szCs w:val="22"/>
              </w:rPr>
            </w:r>
          </w:p>
        </w:tc>
      </w:tr>
      <w:tr>
        <w:trPr>
          <w:jc w:val="center"/>
        </w:trPr>
        <w:tc>
          <w:tcPr>
            <w:shd w:val="clear" w:color="auto" w:fill="auto"/>
            <w:tcBorders/>
            <w:tcW w:w="2667" w:type="dxa"/>
            <w:vAlign w:val="center"/>
            <w:textDirection w:val="lrTb"/>
            <w:noWrap w:val="false"/>
          </w:tcPr>
          <w:p>
            <w:pPr>
              <w:pBdr/>
              <w:spacing w:after="60" w:before="60"/>
              <w:ind w:firstLine="440"/>
              <w:rPr>
                <w:rFonts w:ascii="Arial Narrow" w:hAnsi="Arial Narrow" w:eastAsia="仿宋_GB2312" w:cs="Arial"/>
                <w:b w:val="0"/>
                <w:sz w:val="22"/>
                <w:szCs w:val="22"/>
              </w:rPr>
            </w:pPr>
            <w:r>
              <w:rPr>
                <w:rFonts w:ascii="Arial Narrow" w:hAnsi="Arial Narrow" w:eastAsia="仿宋_GB2312" w:cs="Arial"/>
                <w:b w:val="0"/>
                <w:sz w:val="22"/>
                <w:szCs w:val="22"/>
              </w:rPr>
              <w:t xml:space="preserve">销售费用</w:t>
            </w:r>
            <w:r>
              <w:rPr>
                <w:rFonts w:ascii="Arial Narrow" w:hAnsi="Arial Narrow" w:eastAsia="仿宋_GB2312" w:cs="Arial"/>
                <w:b w:val="0"/>
                <w:sz w:val="22"/>
                <w:szCs w:val="22"/>
              </w:rPr>
            </w:r>
          </w:p>
        </w:tc>
        <w:tc>
          <w:tcPr>
            <w:shd w:val="clear" w:color="auto" w:fill="auto"/>
            <w:tcBorders/>
            <w:tcW w:w="2040" w:type="dxa"/>
            <w:vAlign w:val="center"/>
            <w:textDirection w:val="lrTb"/>
            <w:noWrap w:val="false"/>
          </w:tcPr>
          <w:p>
            <w:pPr>
              <w:pBdr/>
              <w:spacing w:after="60" w:before="60"/>
              <w:ind/>
              <w:jc w:val="center"/>
              <w:rPr>
                <w:rFonts w:ascii="Arial Narrow" w:hAnsi="Arial Narrow" w:eastAsia="仿宋_GB2312" w:cs="Arial"/>
                <w:sz w:val="22"/>
                <w:szCs w:val="22"/>
              </w:rPr>
            </w:pPr>
            <w:r>
              <w:rPr>
                <w:rFonts w:hint="eastAsia" w:ascii="Arial Narrow" w:hAnsi="Arial Narrow" w:eastAsia="仿宋_GB2312" w:cs="Arial"/>
                <w:color w:val="000000"/>
                <w:sz w:val="22"/>
                <w:szCs w:val="22"/>
              </w:rPr>
              <w:t xml:space="preserve">d</w:t>
            </w:r>
            <w:r>
              <w:rPr>
                <w:rFonts w:ascii="Arial Narrow" w:hAnsi="Arial Narrow" w:eastAsia="仿宋_GB2312" w:cs="Arial"/>
                <w:sz w:val="22"/>
                <w:szCs w:val="22"/>
              </w:rPr>
            </w:r>
          </w:p>
        </w:tc>
        <w:tc>
          <w:tcPr>
            <w:shd w:val="clear" w:color="auto" w:fill="auto"/>
            <w:tcBorders/>
            <w:tcW w:w="2603" w:type="dxa"/>
            <w:vAlign w:val="center"/>
            <w:textDirection w:val="lrTb"/>
            <w:noWrap w:val="false"/>
          </w:tcPr>
          <w:p>
            <w:pPr>
              <w:pBdr/>
              <w:spacing/>
              <w:ind/>
              <w:jc w:val="right"/>
              <w:rPr>
                <w:rFonts w:ascii="Arial Narrow" w:hAnsi="Arial Narrow" w:eastAsia="仿宋_GB2312" w:cs="Arial"/>
                <w:bCs/>
                <w:color w:val="000000"/>
                <w:sz w:val="22"/>
                <w:szCs w:val="22"/>
              </w:rPr>
            </w:pPr>
            <w:r>
              <w:rPr>
                <w:rFonts w:hint="eastAsia" w:ascii="Arial Narrow" w:hAnsi="Arial Narrow" w:eastAsia="仿宋_GB2312" w:cs="Arial"/>
                <w:bCs/>
                <w:color w:val="000000"/>
                <w:sz w:val="22"/>
                <w:szCs w:val="22"/>
              </w:rPr>
              <w:t xml:space="preserve">562,576.46</w:t>
            </w:r>
            <w:r>
              <w:rPr>
                <w:rFonts w:ascii="Arial Narrow" w:hAnsi="Arial Narrow" w:eastAsia="仿宋_GB2312" w:cs="Arial"/>
                <w:bCs/>
                <w:color w:val="000000"/>
                <w:sz w:val="22"/>
                <w:szCs w:val="22"/>
              </w:rPr>
            </w:r>
          </w:p>
        </w:tc>
      </w:tr>
      <w:tr>
        <w:trPr>
          <w:jc w:val="center"/>
        </w:trPr>
        <w:tc>
          <w:tcPr>
            <w:shd w:val="clear" w:color="auto" w:fill="auto"/>
            <w:tcBorders/>
            <w:tcW w:w="2667" w:type="dxa"/>
            <w:vAlign w:val="center"/>
            <w:textDirection w:val="lrTb"/>
            <w:noWrap w:val="false"/>
          </w:tcPr>
          <w:p>
            <w:pPr>
              <w:pBdr/>
              <w:spacing w:after="60" w:before="60"/>
              <w:ind w:firstLine="440"/>
              <w:rPr>
                <w:rFonts w:ascii="Arial Narrow" w:hAnsi="Arial Narrow" w:eastAsia="仿宋_GB2312" w:cs="Arial"/>
                <w:b w:val="0"/>
                <w:sz w:val="22"/>
                <w:szCs w:val="22"/>
              </w:rPr>
            </w:pPr>
            <w:r>
              <w:rPr>
                <w:rFonts w:ascii="Arial Narrow" w:hAnsi="Arial Narrow" w:eastAsia="仿宋_GB2312" w:cs="Arial"/>
                <w:b w:val="0"/>
                <w:color w:val="000000"/>
                <w:sz w:val="22"/>
                <w:szCs w:val="22"/>
              </w:rPr>
              <w:t xml:space="preserve">管理费用</w:t>
            </w:r>
            <w:r>
              <w:rPr>
                <w:rFonts w:ascii="Arial Narrow" w:hAnsi="Arial Narrow" w:eastAsia="仿宋_GB2312" w:cs="Arial"/>
                <w:b w:val="0"/>
                <w:sz w:val="22"/>
                <w:szCs w:val="22"/>
              </w:rPr>
            </w:r>
          </w:p>
        </w:tc>
        <w:tc>
          <w:tcPr>
            <w:shd w:val="clear" w:color="auto" w:fill="auto"/>
            <w:tcBorders/>
            <w:tcW w:w="2040" w:type="dxa"/>
            <w:vAlign w:val="center"/>
            <w:textDirection w:val="lrTb"/>
            <w:noWrap w:val="false"/>
          </w:tcPr>
          <w:p>
            <w:pPr>
              <w:pBdr/>
              <w:spacing w:after="60" w:before="60"/>
              <w:ind/>
              <w:jc w:val="center"/>
              <w:rPr>
                <w:rFonts w:ascii="Arial Narrow" w:hAnsi="Arial Narrow" w:eastAsia="仿宋_GB2312" w:cs="Arial"/>
                <w:sz w:val="22"/>
                <w:szCs w:val="22"/>
              </w:rPr>
            </w:pPr>
            <w:r>
              <w:rPr>
                <w:rFonts w:hint="eastAsia" w:ascii="Arial Narrow" w:hAnsi="Arial Narrow" w:eastAsia="仿宋_GB2312" w:cs="Arial"/>
                <w:color w:val="000000"/>
                <w:sz w:val="22"/>
                <w:szCs w:val="22"/>
              </w:rPr>
              <w:t xml:space="preserve">e</w:t>
            </w:r>
            <w:r>
              <w:rPr>
                <w:rFonts w:ascii="Arial Narrow" w:hAnsi="Arial Narrow" w:eastAsia="仿宋_GB2312" w:cs="Arial"/>
                <w:sz w:val="22"/>
                <w:szCs w:val="22"/>
              </w:rPr>
            </w:r>
          </w:p>
        </w:tc>
        <w:tc>
          <w:tcPr>
            <w:shd w:val="clear" w:color="auto" w:fill="auto"/>
            <w:tcBorders/>
            <w:tcW w:w="2603" w:type="dxa"/>
            <w:vAlign w:val="center"/>
            <w:textDirection w:val="lrTb"/>
            <w:noWrap w:val="false"/>
          </w:tcPr>
          <w:p>
            <w:pPr>
              <w:pBdr/>
              <w:spacing/>
              <w:ind/>
              <w:jc w:val="right"/>
              <w:rPr>
                <w:rFonts w:ascii="Arial Narrow" w:hAnsi="Arial Narrow" w:eastAsia="仿宋_GB2312" w:cs="Arial"/>
                <w:bCs/>
                <w:color w:val="000000"/>
                <w:sz w:val="22"/>
                <w:szCs w:val="22"/>
              </w:rPr>
            </w:pPr>
            <w:r>
              <w:rPr>
                <w:rFonts w:hint="eastAsia" w:ascii="Arial Narrow" w:hAnsi="Arial Narrow" w:eastAsia="仿宋_GB2312" w:cs="Arial"/>
                <w:sz w:val="22"/>
                <w:szCs w:val="22"/>
              </w:rPr>
              <w:t xml:space="preserve">15,362,250.31</w:t>
            </w:r>
            <w:r>
              <w:rPr>
                <w:rFonts w:ascii="Arial Narrow" w:hAnsi="Arial Narrow" w:eastAsia="仿宋_GB2312" w:cs="Arial"/>
                <w:bCs/>
                <w:color w:val="000000"/>
                <w:sz w:val="22"/>
                <w:szCs w:val="22"/>
              </w:rPr>
            </w:r>
          </w:p>
        </w:tc>
      </w:tr>
      <w:tr>
        <w:trPr>
          <w:jc w:val="center"/>
        </w:trPr>
        <w:tc>
          <w:tcPr>
            <w:shd w:val="clear" w:color="auto" w:fill="auto"/>
            <w:tcBorders/>
            <w:tcW w:w="2667" w:type="dxa"/>
            <w:vAlign w:val="center"/>
            <w:textDirection w:val="lrTb"/>
            <w:noWrap w:val="false"/>
          </w:tcPr>
          <w:p>
            <w:pPr>
              <w:pBdr/>
              <w:spacing w:after="60" w:before="60"/>
              <w:ind/>
              <w:rPr>
                <w:rFonts w:ascii="Arial Narrow" w:hAnsi="Arial Narrow" w:eastAsia="仿宋_GB2312" w:cs="Arial"/>
                <w:b w:val="0"/>
                <w:sz w:val="22"/>
                <w:szCs w:val="22"/>
              </w:rPr>
            </w:pPr>
            <w:r>
              <w:rPr>
                <w:rFonts w:ascii="Arial Narrow" w:hAnsi="Arial Narrow" w:eastAsia="仿宋_GB2312" w:cs="Arial"/>
                <w:b w:val="0"/>
                <w:sz w:val="22"/>
                <w:szCs w:val="22"/>
              </w:rPr>
              <w:t xml:space="preserve">息税前利润</w:t>
            </w:r>
            <w:r>
              <w:rPr>
                <w:rFonts w:ascii="Arial Narrow" w:hAnsi="Arial Narrow" w:eastAsia="仿宋_GB2312" w:cs="Arial"/>
                <w:b w:val="0"/>
                <w:sz w:val="22"/>
                <w:szCs w:val="22"/>
              </w:rPr>
            </w:r>
          </w:p>
        </w:tc>
        <w:tc>
          <w:tcPr>
            <w:shd w:val="clear" w:color="auto" w:fill="auto"/>
            <w:tcBorders/>
            <w:tcW w:w="2040" w:type="dxa"/>
            <w:vAlign w:val="center"/>
            <w:textDirection w:val="lrTb"/>
            <w:noWrap w:val="false"/>
          </w:tcPr>
          <w:p>
            <w:pPr>
              <w:pBdr/>
              <w:spacing w:after="60" w:before="60"/>
              <w:ind/>
              <w:jc w:val="center"/>
              <w:rPr>
                <w:rFonts w:ascii="Arial Narrow" w:hAnsi="Arial Narrow" w:eastAsia="仿宋_GB2312" w:cs="Arial"/>
                <w:sz w:val="22"/>
                <w:szCs w:val="22"/>
              </w:rPr>
            </w:pPr>
            <w:r>
              <w:rPr>
                <w:rFonts w:ascii="Arial Narrow" w:hAnsi="Arial Narrow" w:eastAsia="仿宋_GB2312" w:cs="Arial"/>
                <w:sz w:val="22"/>
                <w:szCs w:val="22"/>
              </w:rPr>
              <w:t xml:space="preserve">f = a-b-c-d-e</w:t>
            </w:r>
            <w:r>
              <w:rPr>
                <w:rFonts w:ascii="Arial Narrow" w:hAnsi="Arial Narrow" w:eastAsia="仿宋_GB2312" w:cs="Arial"/>
                <w:sz w:val="22"/>
                <w:szCs w:val="22"/>
              </w:rPr>
            </w:r>
            <w:r>
              <w:rPr>
                <w:rFonts w:ascii="Arial Narrow" w:hAnsi="Arial Narrow" w:eastAsia="仿宋_GB2312" w:cs="Arial"/>
                <w:sz w:val="22"/>
                <w:szCs w:val="22"/>
              </w:rPr>
            </w:r>
          </w:p>
        </w:tc>
        <w:tc>
          <w:tcPr>
            <w:shd w:val="clear" w:color="auto" w:fill="auto"/>
            <w:tcBorders/>
            <w:tcW w:w="2603" w:type="dxa"/>
            <w:vAlign w:val="center"/>
            <w:textDirection w:val="lrTb"/>
            <w:noWrap w:val="false"/>
          </w:tcPr>
          <w:p>
            <w:pPr>
              <w:pBdr/>
              <w:spacing/>
              <w:ind/>
              <w:jc w:val="right"/>
              <w:rPr>
                <w:rFonts w:ascii="Arial Narrow" w:hAnsi="Arial Narrow" w:eastAsia="仿宋_GB2312" w:cs="Arial"/>
                <w:bCs/>
                <w:color w:val="000000"/>
                <w:sz w:val="22"/>
                <w:szCs w:val="22"/>
                <w:highlight w:val="yellow"/>
              </w:rPr>
            </w:pPr>
            <w:r>
              <w:rPr>
                <w:rFonts w:hint="eastAsia" w:ascii="Arial Narrow" w:hAnsi="Arial Narrow" w:eastAsia="仿宋_GB2312" w:cs="Arial"/>
                <w:sz w:val="22"/>
                <w:szCs w:val="22"/>
              </w:rPr>
              <w:t xml:space="preserve">259,719,122.07 </w:t>
            </w:r>
            <w:r>
              <w:rPr>
                <w:rFonts w:ascii="Arial Narrow" w:hAnsi="Arial Narrow" w:eastAsia="仿宋_GB2312" w:cs="Arial"/>
                <w:bCs/>
                <w:color w:val="000000"/>
                <w:sz w:val="22"/>
                <w:szCs w:val="22"/>
                <w:highlight w:val="yellow"/>
              </w:rPr>
            </w:r>
          </w:p>
        </w:tc>
      </w:tr>
      <w:tr>
        <w:trPr>
          <w:jc w:val="center"/>
        </w:trPr>
        <w:tc>
          <w:tcPr>
            <w:shd w:val="clear" w:color="auto" w:fill="auto"/>
            <w:tcBorders/>
            <w:tcW w:w="2667" w:type="dxa"/>
            <w:vAlign w:val="center"/>
            <w:textDirection w:val="lrTb"/>
            <w:noWrap w:val="false"/>
          </w:tcPr>
          <w:p>
            <w:pPr>
              <w:pBdr/>
              <w:spacing w:after="60" w:before="60"/>
              <w:ind/>
              <w:rPr>
                <w:rFonts w:ascii="Arial Narrow" w:hAnsi="Arial Narrow" w:eastAsia="仿宋_GB2312" w:cs="Arial"/>
                <w:b w:val="0"/>
                <w:sz w:val="22"/>
                <w:szCs w:val="22"/>
              </w:rPr>
            </w:pPr>
            <w:r>
              <w:rPr>
                <w:rFonts w:ascii="Arial Narrow" w:hAnsi="Arial Narrow" w:eastAsia="仿宋_GB2312" w:cs="Arial"/>
                <w:b w:val="0"/>
                <w:sz w:val="22"/>
                <w:szCs w:val="22"/>
              </w:rPr>
              <w:t xml:space="preserve">营业成本及费用</w:t>
            </w:r>
            <w:r>
              <w:rPr>
                <w:rFonts w:ascii="Arial Narrow" w:hAnsi="Arial Narrow" w:eastAsia="仿宋_GB2312" w:cs="Arial"/>
                <w:b w:val="0"/>
                <w:sz w:val="22"/>
                <w:szCs w:val="22"/>
              </w:rPr>
            </w:r>
          </w:p>
        </w:tc>
        <w:tc>
          <w:tcPr>
            <w:shd w:val="clear" w:color="auto" w:fill="auto"/>
            <w:tcBorders/>
            <w:tcW w:w="2040" w:type="dxa"/>
            <w:vAlign w:val="center"/>
            <w:textDirection w:val="lrTb"/>
            <w:noWrap w:val="false"/>
          </w:tcPr>
          <w:p>
            <w:pPr>
              <w:pBdr/>
              <w:spacing w:after="60" w:before="60"/>
              <w:ind/>
              <w:jc w:val="center"/>
              <w:rPr>
                <w:rFonts w:ascii="Arial Narrow" w:hAnsi="Arial Narrow" w:eastAsia="仿宋_GB2312" w:cs="Arial"/>
                <w:sz w:val="22"/>
                <w:szCs w:val="22"/>
              </w:rPr>
            </w:pPr>
            <w:r>
              <w:rPr>
                <w:rFonts w:ascii="Arial Narrow" w:hAnsi="Arial Narrow" w:eastAsia="仿宋_GB2312" w:cs="Arial"/>
                <w:sz w:val="22"/>
                <w:szCs w:val="22"/>
              </w:rPr>
              <w:t xml:space="preserve">g = b+c+d+e</w:t>
            </w:r>
            <w:r>
              <w:rPr>
                <w:rFonts w:ascii="Arial Narrow" w:hAnsi="Arial Narrow" w:eastAsia="仿宋_GB2312" w:cs="Arial"/>
                <w:sz w:val="22"/>
                <w:szCs w:val="22"/>
              </w:rPr>
            </w:r>
          </w:p>
        </w:tc>
        <w:tc>
          <w:tcPr>
            <w:shd w:val="clear" w:color="auto" w:fill="auto"/>
            <w:tcBorders/>
            <w:tcW w:w="2603" w:type="dxa"/>
            <w:vAlign w:val="center"/>
            <w:textDirection w:val="lrTb"/>
            <w:noWrap w:val="false"/>
          </w:tcPr>
          <w:p>
            <w:pPr>
              <w:pBdr/>
              <w:spacing/>
              <w:ind/>
              <w:jc w:val="right"/>
              <w:rPr>
                <w:rFonts w:ascii="Arial Narrow" w:hAnsi="Arial Narrow" w:eastAsia="仿宋_GB2312" w:cs="Arial"/>
                <w:bCs/>
                <w:color w:val="000000"/>
                <w:sz w:val="22"/>
                <w:szCs w:val="22"/>
                <w:highlight w:val="yellow"/>
              </w:rPr>
            </w:pPr>
            <w:r>
              <w:rPr>
                <w:rFonts w:hint="eastAsia" w:ascii="Arial Narrow" w:hAnsi="Arial Narrow" w:eastAsia="仿宋_GB2312" w:cs="Arial"/>
                <w:sz w:val="22"/>
                <w:szCs w:val="22"/>
              </w:rPr>
              <w:t xml:space="preserve">13,637,205.63 </w:t>
            </w:r>
            <w:r>
              <w:rPr>
                <w:rFonts w:ascii="Arial Narrow" w:hAnsi="Arial Narrow" w:eastAsia="仿宋_GB2312" w:cs="Arial"/>
                <w:bCs/>
                <w:color w:val="000000"/>
                <w:sz w:val="22"/>
                <w:szCs w:val="22"/>
                <w:highlight w:val="yellow"/>
              </w:rPr>
            </w:r>
          </w:p>
        </w:tc>
      </w:tr>
      <w:tr>
        <w:trPr>
          <w:jc w:val="center"/>
        </w:trPr>
        <w:tc>
          <w:tcPr>
            <w:shd w:val="clear" w:color="auto" w:fill="auto"/>
            <w:tcBorders/>
            <w:tcW w:w="2667" w:type="dxa"/>
            <w:vAlign w:val="center"/>
            <w:textDirection w:val="lrTb"/>
            <w:noWrap w:val="false"/>
          </w:tcPr>
          <w:p>
            <w:pPr>
              <w:pBdr/>
              <w:spacing w:after="60" w:before="60"/>
              <w:ind/>
              <w:rPr>
                <w:rFonts w:ascii="Arial Narrow" w:hAnsi="Arial Narrow" w:eastAsia="仿宋_GB2312" w:cs="Arial"/>
                <w:b w:val="0"/>
                <w:sz w:val="22"/>
                <w:szCs w:val="22"/>
              </w:rPr>
            </w:pPr>
            <w:r>
              <w:rPr>
                <w:rFonts w:ascii="Arial Narrow" w:hAnsi="Arial Narrow" w:eastAsia="仿宋_GB2312" w:cs="Arial"/>
                <w:b w:val="0"/>
                <w:sz w:val="22"/>
                <w:szCs w:val="22"/>
              </w:rPr>
              <w:t xml:space="preserve">完全成本加成率</w:t>
            </w:r>
            <w:r>
              <w:rPr>
                <w:rFonts w:ascii="Arial Narrow" w:hAnsi="Arial Narrow" w:eastAsia="仿宋_GB2312" w:cs="Arial"/>
                <w:b w:val="0"/>
                <w:sz w:val="22"/>
                <w:szCs w:val="22"/>
              </w:rPr>
            </w:r>
          </w:p>
        </w:tc>
        <w:tc>
          <w:tcPr>
            <w:shd w:val="clear" w:color="auto" w:fill="auto"/>
            <w:tcBorders/>
            <w:tcW w:w="2040" w:type="dxa"/>
            <w:vAlign w:val="center"/>
            <w:textDirection w:val="lrTb"/>
            <w:noWrap w:val="false"/>
          </w:tcPr>
          <w:p>
            <w:pPr>
              <w:pBdr/>
              <w:spacing w:after="60" w:before="60"/>
              <w:ind/>
              <w:jc w:val="center"/>
              <w:rPr>
                <w:rFonts w:ascii="Arial Narrow" w:hAnsi="Arial Narrow" w:eastAsia="仿宋_GB2312" w:cs="Arial"/>
                <w:sz w:val="22"/>
                <w:szCs w:val="22"/>
              </w:rPr>
            </w:pPr>
            <w:r>
              <w:rPr>
                <w:rFonts w:hint="eastAsia" w:ascii="Arial Narrow" w:hAnsi="Arial Narrow" w:eastAsia="仿宋_GB2312" w:cs="Arial"/>
                <w:sz w:val="22"/>
                <w:szCs w:val="22"/>
              </w:rPr>
              <w:t xml:space="preserve">h= f/g</w:t>
            </w:r>
            <w:r>
              <w:rPr>
                <w:rFonts w:ascii="Arial Narrow" w:hAnsi="Arial Narrow" w:eastAsia="仿宋_GB2312" w:cs="Arial"/>
                <w:sz w:val="22"/>
                <w:szCs w:val="22"/>
              </w:rPr>
            </w:r>
            <w:r>
              <w:rPr>
                <w:rFonts w:ascii="Arial Narrow" w:hAnsi="Arial Narrow" w:eastAsia="仿宋_GB2312" w:cs="Arial"/>
                <w:sz w:val="22"/>
                <w:szCs w:val="22"/>
              </w:rPr>
            </w:r>
          </w:p>
        </w:tc>
        <w:tc>
          <w:tcPr>
            <w:shd w:val="clear" w:color="auto" w:fill="auto"/>
            <w:tcBorders/>
            <w:tcW w:w="2603" w:type="dxa"/>
            <w:vAlign w:val="center"/>
            <w:textDirection w:val="lrTb"/>
            <w:noWrap w:val="false"/>
          </w:tcPr>
          <w:p>
            <w:pPr>
              <w:pBdr/>
              <w:spacing/>
              <w:ind/>
              <w:jc w:val="right"/>
              <w:rPr>
                <w:rFonts w:ascii="Arial Narrow" w:hAnsi="Arial Narrow" w:eastAsia="仿宋_GB2312" w:cs="Arial"/>
                <w:bCs/>
                <w:color w:val="000000"/>
                <w:sz w:val="22"/>
                <w:szCs w:val="22"/>
                <w:highlight w:val="yellow"/>
              </w:rPr>
            </w:pPr>
            <w:r>
              <w:rPr>
                <w:rFonts w:hint="eastAsia" w:ascii="Arial Narrow" w:hAnsi="Arial Narrow" w:eastAsia="仿宋_GB2312" w:cs="Arial"/>
                <w:sz w:val="22"/>
                <w:szCs w:val="22"/>
              </w:rPr>
              <w:t xml:space="preserve">5.25%</w:t>
            </w:r>
            <w:r>
              <w:rPr>
                <w:rFonts w:ascii="Arial Narrow" w:hAnsi="Arial Narrow" w:eastAsia="仿宋_GB2312" w:cs="Arial"/>
                <w:bCs/>
                <w:color w:val="000000"/>
                <w:sz w:val="22"/>
                <w:szCs w:val="22"/>
                <w:highlight w:val="yellow"/>
              </w:rPr>
            </w:r>
          </w:p>
        </w:tc>
      </w:tr>
    </w:tbl>
    <w:p>
      <w:pPr>
        <w:pBdr/>
        <w:spacing/>
        <w:ind w:firstLine="480"/>
        <w:rPr>
          <w:rFonts w:ascii="Arial Narrow" w:hAnsi="Arial Narrow" w:eastAsia="仿宋_GB2312" w:cs="Arial"/>
          <w:i/>
          <w:iCs/>
          <w:sz w:val="16"/>
          <w:szCs w:val="16"/>
        </w:rPr>
      </w:pPr>
      <w:r>
        <w:rPr>
          <w:rFonts w:ascii="Arial Narrow" w:hAnsi="Arial Narrow" w:eastAsia="仿宋_GB2312" w:cs="Arial"/>
          <w:i/>
          <w:iCs/>
          <w:sz w:val="16"/>
          <w:szCs w:val="16"/>
        </w:rPr>
        <w:t xml:space="preserve">信息来源：由松莉科技提供</w:t>
      </w:r>
      <w:r>
        <w:rPr>
          <w:rFonts w:ascii="Arial Narrow" w:hAnsi="Arial Narrow" w:eastAsia="仿宋_GB2312" w:cs="Arial"/>
          <w:i/>
          <w:iCs/>
          <w:sz w:val="16"/>
          <w:szCs w:val="16"/>
        </w:rPr>
      </w:r>
    </w:p>
    <w:p>
      <w:pPr>
        <w:pStyle w:val="1325"/>
        <w:pBdr/>
        <w:spacing/>
        <w:ind/>
        <w:rPr/>
      </w:pPr>
      <w:r/>
      <w:bookmarkStart w:id="1012" w:name="_Toc53046872"/>
      <w:r/>
      <w:bookmarkStart w:id="1013" w:name="_Toc53047116"/>
      <w:r/>
      <w:bookmarkStart w:id="1014" w:name="_Toc53046652"/>
      <w:r/>
      <w:bookmarkStart w:id="1015" w:name="_Toc140505172"/>
      <w:r/>
      <w:bookmarkStart w:id="1016" w:name="_Toc53047122"/>
      <w:r/>
      <w:bookmarkStart w:id="1017" w:name="_Toc53047120"/>
      <w:r/>
      <w:bookmarkStart w:id="1018" w:name="_Toc53046805"/>
      <w:r/>
      <w:bookmarkStart w:id="1019" w:name="_Toc53046804"/>
      <w:r/>
      <w:bookmarkStart w:id="1020" w:name="_Toc53046653"/>
      <w:r/>
      <w:bookmarkStart w:id="1021" w:name="_Toc53046657"/>
      <w:r/>
      <w:bookmarkStart w:id="1022" w:name="_Toc53047119"/>
      <w:r/>
      <w:bookmarkStart w:id="1023" w:name="_Toc53047123"/>
      <w:r/>
      <w:bookmarkStart w:id="1024" w:name="_Toc53046808"/>
      <w:r/>
      <w:bookmarkStart w:id="1025" w:name="_Toc53046656"/>
      <w:r/>
      <w:bookmarkStart w:id="1026" w:name="_Toc53047118"/>
      <w:r/>
      <w:bookmarkStart w:id="1027" w:name="_Toc53047187"/>
      <w:r/>
      <w:bookmarkStart w:id="1028" w:name="_Toc53046654"/>
      <w:r/>
      <w:bookmarkStart w:id="1029" w:name="_Toc53046807"/>
      <w:r/>
      <w:bookmarkStart w:id="1030" w:name="_Toc53046721"/>
      <w:r/>
      <w:bookmarkStart w:id="1031" w:name="_Toc53046655"/>
      <w:r/>
      <w:bookmarkStart w:id="1032" w:name="_Toc53047121"/>
      <w:r/>
      <w:bookmarkStart w:id="1033" w:name="_Toc53046803"/>
      <w:r/>
      <w:bookmarkStart w:id="1034" w:name="_Toc53046801"/>
      <w:r/>
      <w:bookmarkStart w:id="1035" w:name="_Toc53046806"/>
      <w:r/>
      <w:bookmarkStart w:id="1036" w:name="_Toc53046650"/>
      <w:r/>
      <w:bookmarkStart w:id="1037" w:name="_Toc140505173"/>
      <w:r/>
      <w:bookmarkStart w:id="1038" w:name="_Toc274480835"/>
      <w:r/>
      <w:bookmarkStart w:id="1039" w:name="_Toc53229108"/>
      <w:r/>
      <w:bookmarkStart w:id="1040" w:name="_Toc48317556"/>
      <w:r/>
      <w:bookmarkEnd w:id="1012"/>
      <w:r/>
      <w:bookmarkEnd w:id="1013"/>
      <w:r/>
      <w:bookmarkEnd w:id="1014"/>
      <w:r/>
      <w:bookmarkEnd w:id="1015"/>
      <w:r/>
      <w:bookmarkEnd w:id="1016"/>
      <w:r/>
      <w:bookmarkEnd w:id="1017"/>
      <w:r/>
      <w:bookmarkEnd w:id="1018"/>
      <w:r/>
      <w:bookmarkEnd w:id="1019"/>
      <w:r/>
      <w:bookmarkEnd w:id="1020"/>
      <w:r/>
      <w:bookmarkEnd w:id="1021"/>
      <w:r/>
      <w:bookmarkEnd w:id="1022"/>
      <w:r/>
      <w:bookmarkEnd w:id="1023"/>
      <w:r/>
      <w:bookmarkEnd w:id="1024"/>
      <w:r/>
      <w:bookmarkEnd w:id="1025"/>
      <w:r/>
      <w:bookmarkEnd w:id="1026"/>
      <w:r/>
      <w:bookmarkEnd w:id="1027"/>
      <w:r/>
      <w:bookmarkEnd w:id="1028"/>
      <w:r/>
      <w:bookmarkEnd w:id="1029"/>
      <w:r/>
      <w:bookmarkEnd w:id="1030"/>
      <w:r/>
      <w:bookmarkEnd w:id="1031"/>
      <w:r/>
      <w:bookmarkEnd w:id="1032"/>
      <w:r/>
      <w:bookmarkEnd w:id="1033"/>
      <w:r/>
      <w:bookmarkEnd w:id="1034"/>
      <w:r/>
      <w:bookmarkEnd w:id="1035"/>
      <w:r/>
      <w:bookmarkEnd w:id="1036"/>
      <w:r>
        <w:t xml:space="preserve">搜寻外部可比公司</w:t>
      </w:r>
      <w:bookmarkEnd w:id="1037"/>
      <w:r/>
      <w:bookmarkEnd w:id="1038"/>
      <w:r/>
      <w:bookmarkEnd w:id="1039"/>
      <w:r/>
      <w:bookmarkEnd w:id="1040"/>
      <w:r/>
      <w:r/>
    </w:p>
    <w:p>
      <w:pPr>
        <w:pStyle w:val="1326"/>
        <w:pBdr/>
        <w:spacing/>
        <w:ind/>
        <w:rPr/>
      </w:pPr>
      <w:r>
        <w:t xml:space="preserve">数据库</w:t>
      </w: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为了对外部可比公司（即所执行的功能与松莉科技的活动宽泛可比的独立企业）进行一次基准搜索，我们使用了由Bureau van Dijk Electronic发布的TP Catalyst数据库（2023年版）。</w:t>
      </w:r>
      <w:r>
        <w:rPr>
          <w:rFonts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TP Catalyst数据库提供逾190个国家的私人企业及全球上市公司（包括银行、保险公司等）的财务数据、所有者信息、评级数据、预期收益、股票信息和相关新闻。</w:t>
      </w:r>
      <w:r>
        <w:rPr>
          <w:rFonts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r>
        <w:rPr>
          <w:rFonts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r>
        <w:rPr>
          <w:rFonts w:ascii="Arial Narrow" w:hAnsi="Arial Narrow" w:eastAsia="仿宋_GB2312" w:cs="Arial"/>
          <w:sz w:val="22"/>
          <w:szCs w:val="22"/>
        </w:rPr>
      </w:r>
      <w:r>
        <w:rPr>
          <w:rFonts w:ascii="Arial Narrow" w:hAnsi="Arial Narrow" w:eastAsia="仿宋_GB2312" w:cs="Arial"/>
          <w:sz w:val="22"/>
          <w:szCs w:val="22"/>
        </w:rPr>
      </w:r>
    </w:p>
    <w:p>
      <w:pPr>
        <w:pStyle w:val="1326"/>
        <w:pBdr/>
        <w:spacing/>
        <w:ind/>
        <w:rPr/>
      </w:pPr>
      <w:r>
        <w:t xml:space="preserve">SIC编码及地区的选择</w:t>
      </w: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r>
        <w:rPr>
          <w:rFonts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我们对美国SIC编码列表进行了全面查阅，并选择了最合适的SIC编码（见下图表）来搜寻与松莉科技的关联方在制造活动中承担的职能宽泛可比的潜在可比公司。</w:t>
      </w:r>
      <w:r>
        <w:rPr>
          <w:rFonts w:ascii="Arial Narrow" w:hAnsi="Arial Narrow" w:eastAsia="仿宋_GB2312" w:cs="Arial"/>
          <w:sz w:val="22"/>
          <w:szCs w:val="22"/>
        </w:rPr>
      </w:r>
      <w:r>
        <w:rPr>
          <w:rFonts w:ascii="Arial Narrow" w:hAnsi="Arial Narrow" w:eastAsia="仿宋_GB2312" w:cs="Arial"/>
          <w:sz w:val="22"/>
          <w:szCs w:val="22"/>
        </w:rPr>
      </w:r>
    </w:p>
    <w:p>
      <w:pPr>
        <w:pBdr/>
        <w:spacing/>
        <w:ind/>
        <w:rPr>
          <w:rFonts w:ascii="Arial Narrow" w:hAnsi="Arial Narrow" w:eastAsia="仿宋_GB2312" w:cs="Arial"/>
          <w:sz w:val="22"/>
          <w:szCs w:val="22"/>
        </w:rPr>
      </w:pPr>
      <w:r>
        <w:rPr>
          <w:rFonts w:ascii="Arial Narrow" w:hAnsi="Arial Narrow" w:eastAsia="仿宋_GB2312" w:cs="Arial"/>
          <w:sz w:val="22"/>
          <w:szCs w:val="22"/>
        </w:rPr>
        <w:br w:type="page" w:clear="all"/>
      </w:r>
      <w:r>
        <w:rPr>
          <w:rFonts w:ascii="Arial Narrow" w:hAnsi="Arial Narrow" w:eastAsia="仿宋_GB2312" w:cs="Arial"/>
          <w:sz w:val="22"/>
          <w:szCs w:val="22"/>
        </w:rPr>
      </w:r>
    </w:p>
    <w:p>
      <w:pPr>
        <w:pStyle w:val="1338"/>
        <w:pBdr/>
        <w:spacing/>
        <w:ind w:hanging="420" w:left="420"/>
        <w:jc w:val="center"/>
        <w:rPr>
          <w:rFonts w:ascii="Arial Narrow" w:hAnsi="Arial Narrow" w:eastAsia="仿宋_GB2312" w:cs="Arial"/>
          <w:sz w:val="22"/>
        </w:rPr>
      </w:pPr>
      <w:r>
        <w:rPr>
          <w:rFonts w:ascii="Arial Narrow" w:hAnsi="Arial Narrow" w:eastAsia="仿宋_GB2312" w:cs="Arial"/>
          <w:sz w:val="22"/>
        </w:rPr>
        <w:t xml:space="preserve">图表 14：SIC编码的选择</w:t>
      </w:r>
      <w:r>
        <w:rPr>
          <w:rFonts w:ascii="Arial Narrow" w:hAnsi="Arial Narrow" w:eastAsia="仿宋_GB2312" w:cs="Arial"/>
          <w:sz w:val="22"/>
        </w:rPr>
        <w:fldChar w:fldCharType="begin"/>
      </w:r>
      <w:r>
        <w:rPr>
          <w:rFonts w:ascii="Arial Narrow" w:hAnsi="Arial Narrow" w:eastAsia="仿宋_GB2312" w:cs="Arial"/>
          <w:sz w:val="22"/>
        </w:rPr>
        <w:instrText xml:space="preserve"> SEQ </w:instrText>
      </w:r>
      <w:r>
        <w:rPr>
          <w:rFonts w:ascii="Arial Narrow" w:hAnsi="Arial Narrow" w:eastAsia="仿宋_GB2312" w:cs="Arial"/>
          <w:sz w:val="22"/>
        </w:rPr>
        <w:instrText xml:space="preserve">图表</w:instrText>
      </w:r>
      <w:r>
        <w:rPr>
          <w:rFonts w:ascii="Arial Narrow" w:hAnsi="Arial Narrow" w:eastAsia="仿宋_GB2312" w:cs="Arial"/>
          <w:sz w:val="22"/>
        </w:rPr>
        <w:instrText xml:space="preserve"> \* ARABIC </w:instrText>
      </w:r>
      <w:r>
        <w:rPr>
          <w:rFonts w:ascii="Arial Narrow" w:hAnsi="Arial Narrow" w:eastAsia="仿宋_GB2312" w:cs="Arial"/>
          <w:sz w:val="22"/>
        </w:rPr>
        <w:fldChar w:fldCharType="separate"/>
      </w:r>
      <w:r>
        <w:rPr>
          <w:rFonts w:ascii="Arial Narrow" w:hAnsi="Arial Narrow" w:eastAsia="仿宋_GB2312" w:cs="Arial"/>
          <w:sz w:val="22"/>
        </w:rPr>
        <w:fldChar w:fldCharType="end"/>
      </w:r>
      <w:r>
        <w:rPr>
          <w:rFonts w:ascii="Arial Narrow" w:hAnsi="Arial Narrow" w:eastAsia="仿宋_GB2312" w:cs="Arial"/>
          <w:sz w:val="22"/>
        </w:rPr>
      </w:r>
      <w:r>
        <w:rPr>
          <w:rFonts w:ascii="Arial Narrow" w:hAnsi="Arial Narrow" w:eastAsia="仿宋_GB2312" w:cs="Arial"/>
          <w:sz w:val="22"/>
        </w:rPr>
      </w:r>
    </w:p>
    <w:tbl>
      <w:tblPr>
        <w:tblW w:w="6521" w:type="dxa"/>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560"/>
        <w:gridCol w:w="4961"/>
      </w:tblGrid>
      <w:tr>
        <w:trPr>
          <w:trHeight w:val="505"/>
        </w:trPr>
        <w:tc>
          <w:tcPr>
            <w:shd w:val="clear" w:color="auto" w:fill="002060"/>
            <w:tcBorders/>
            <w:tcW w:w="1560" w:type="dxa"/>
            <w:vAlign w:val="center"/>
            <w:textDirection w:val="lrTb"/>
            <w:noWrap w:val="false"/>
          </w:tcPr>
          <w:p>
            <w:pPr>
              <w:pBdr/>
              <w:spacing/>
              <w:ind/>
              <w:jc w:val="center"/>
              <w:rPr>
                <w:rStyle w:val="1376"/>
                <w:rFonts w:ascii="Arial Narrow" w:hAnsi="Arial Narrow" w:eastAsia="仿宋_GB2312" w:cs="Arial"/>
                <w:b/>
                <w:color w:val="ffffff" w:themeColor="background1"/>
                <w:sz w:val="22"/>
                <w:szCs w:val="24"/>
              </w:rPr>
            </w:pPr>
            <w:r>
              <w:rPr>
                <w:rFonts w:ascii="Arial Narrow" w:hAnsi="Arial Narrow" w:eastAsia="仿宋_GB2312" w:cs="Arial"/>
                <w:b/>
                <w:color w:val="ffffff" w:themeColor="background1"/>
                <w:sz w:val="22"/>
              </w:rPr>
              <w:t xml:space="preserve">SIC编码</w:t>
            </w:r>
            <w:r>
              <w:rPr>
                <w:rFonts w:ascii="Arial Narrow" w:hAnsi="Arial Narrow" w:eastAsia="仿宋_GB2312" w:cs="Arial"/>
                <w:b/>
                <w:color w:val="ffffff" w:themeColor="background1"/>
                <w:sz w:val="22"/>
              </w:rPr>
            </w:r>
            <w:r>
              <w:rPr>
                <w:rStyle w:val="1376"/>
                <w:rFonts w:ascii="Arial Narrow" w:hAnsi="Arial Narrow" w:eastAsia="仿宋_GB2312" w:cs="Arial"/>
                <w:b/>
                <w:color w:val="ffffff" w:themeColor="background1"/>
                <w:sz w:val="22"/>
                <w:szCs w:val="24"/>
              </w:rPr>
            </w:r>
          </w:p>
        </w:tc>
        <w:tc>
          <w:tcPr>
            <w:shd w:val="clear" w:color="auto" w:fill="002060"/>
            <w:tcBorders/>
            <w:tcW w:w="4961" w:type="dxa"/>
            <w:vAlign w:val="center"/>
            <w:textDirection w:val="lrTb"/>
            <w:noWrap w:val="false"/>
          </w:tcPr>
          <w:p>
            <w:pPr>
              <w:pBdr/>
              <w:spacing/>
              <w:ind/>
              <w:jc w:val="center"/>
              <w:rPr>
                <w:rStyle w:val="1376"/>
                <w:rFonts w:ascii="Arial Narrow" w:hAnsi="Arial Narrow" w:eastAsia="仿宋_GB2312" w:cs="Arial"/>
                <w:b/>
                <w:color w:val="ffffff" w:themeColor="background1"/>
                <w:sz w:val="22"/>
                <w:szCs w:val="24"/>
              </w:rPr>
            </w:pPr>
            <w:r>
              <w:rPr>
                <w:rStyle w:val="1376"/>
                <w:rFonts w:ascii="Arial Narrow" w:hAnsi="Arial Narrow" w:eastAsia="仿宋_GB2312" w:cs="Arial"/>
                <w:b/>
                <w:color w:val="ffffff" w:themeColor="background1"/>
                <w:sz w:val="22"/>
                <w:szCs w:val="24"/>
              </w:rPr>
              <w:t xml:space="preserve">描述</w:t>
            </w:r>
            <w:r>
              <w:rPr>
                <w:rStyle w:val="1376"/>
                <w:rFonts w:ascii="Arial Narrow" w:hAnsi="Arial Narrow" w:eastAsia="仿宋_GB2312" w:cs="Arial"/>
                <w:b/>
                <w:color w:val="ffffff" w:themeColor="background1"/>
                <w:sz w:val="22"/>
                <w:szCs w:val="24"/>
              </w:rPr>
            </w:r>
          </w:p>
        </w:tc>
      </w:tr>
      <w:tr>
        <w:trPr>
          <w:trHeight w:val="505"/>
        </w:trPr>
        <w:tc>
          <w:tcPr>
            <w:tcBorders/>
            <w:tcW w:w="1560" w:type="dxa"/>
            <w:vAlign w:val="center"/>
            <w:textDirection w:val="lrTb"/>
            <w:noWrap w:val="false"/>
          </w:tcPr>
          <w:p>
            <w:pPr>
              <w:pBdr/>
              <w:spacing/>
              <w:ind/>
              <w:jc w:val="center"/>
              <w:rPr>
                <w:rFonts w:ascii="Arial Narrow" w:hAnsi="Arial Narrow" w:eastAsia="仿宋_GB2312" w:cs="Arial"/>
                <w:sz w:val="22"/>
                <w:szCs w:val="22"/>
              </w:rPr>
            </w:pPr>
            <w:r>
              <w:rPr>
                <w:rFonts w:ascii="Arial Narrow" w:hAnsi="Arial Narrow" w:eastAsia="仿宋_GB2312" w:cs="Arial"/>
                <w:sz w:val="22"/>
                <w:szCs w:val="22"/>
              </w:rPr>
              <w:t xml:space="preserve">2841</w:t>
            </w:r>
            <w:r>
              <w:rPr>
                <w:rFonts w:ascii="Arial Narrow" w:hAnsi="Arial Narrow" w:eastAsia="仿宋_GB2312" w:cs="Arial"/>
                <w:sz w:val="22"/>
                <w:szCs w:val="22"/>
              </w:rPr>
            </w:r>
          </w:p>
        </w:tc>
        <w:tc>
          <w:tcPr>
            <w:tcBorders/>
            <w:tcW w:w="4961" w:type="dxa"/>
            <w:vAlign w:val="center"/>
            <w:textDirection w:val="lrTb"/>
            <w:noWrap w:val="false"/>
          </w:tcPr>
          <w:p>
            <w:pPr>
              <w:pBdr/>
              <w:spacing/>
              <w:ind/>
              <w:rPr>
                <w:rFonts w:ascii="Arial Narrow" w:hAnsi="Arial Narrow" w:eastAsia="仿宋_GB2312" w:cs="Arial"/>
                <w:sz w:val="22"/>
              </w:rPr>
            </w:pPr>
            <w:r>
              <w:rPr>
                <w:rFonts w:ascii="Arial Narrow" w:hAnsi="Arial Narrow" w:eastAsia="仿宋_GB2312" w:cs="Arial"/>
                <w:sz w:val="22"/>
                <w:szCs w:val="22"/>
              </w:rPr>
              <w:t xml:space="preserve">肥皂和其他清洁剂，除特殊清洁产品</w:t>
            </w:r>
            <w:r>
              <w:rPr>
                <w:rFonts w:ascii="Arial Narrow" w:hAnsi="Arial Narrow" w:eastAsia="仿宋_GB2312" w:cs="Arial"/>
                <w:sz w:val="22"/>
              </w:rPr>
            </w:r>
          </w:p>
        </w:tc>
      </w:tr>
      <w:tr>
        <w:trPr>
          <w:trHeight w:val="505"/>
        </w:trPr>
        <w:tc>
          <w:tcPr>
            <w:tcBorders/>
            <w:tcW w:w="1560" w:type="dxa"/>
            <w:vAlign w:val="center"/>
            <w:textDirection w:val="lrTb"/>
            <w:noWrap w:val="false"/>
          </w:tcPr>
          <w:p>
            <w:pPr>
              <w:pBdr/>
              <w:spacing/>
              <w:ind/>
              <w:jc w:val="center"/>
              <w:rPr>
                <w:rFonts w:ascii="Arial Narrow" w:hAnsi="Arial Narrow" w:eastAsia="仿宋_GB2312" w:cs="Arial"/>
                <w:sz w:val="22"/>
                <w:szCs w:val="22"/>
              </w:rPr>
            </w:pPr>
            <w:r>
              <w:rPr>
                <w:rFonts w:ascii="Arial Narrow" w:hAnsi="Arial Narrow" w:eastAsia="仿宋_GB2312" w:cs="Arial"/>
                <w:sz w:val="22"/>
                <w:szCs w:val="22"/>
              </w:rPr>
              <w:t xml:space="preserve">2842</w:t>
            </w:r>
            <w:r>
              <w:rPr>
                <w:rFonts w:ascii="Arial Narrow" w:hAnsi="Arial Narrow" w:eastAsia="仿宋_GB2312" w:cs="Arial"/>
                <w:sz w:val="22"/>
                <w:szCs w:val="22"/>
              </w:rPr>
            </w:r>
          </w:p>
        </w:tc>
        <w:tc>
          <w:tcPr>
            <w:tcBorders/>
            <w:tcW w:w="4961" w:type="dxa"/>
            <w:vAlign w:val="center"/>
            <w:textDirection w:val="lrTb"/>
            <w:noWrap w:val="false"/>
          </w:tcPr>
          <w:p>
            <w:pPr>
              <w:pBdr/>
              <w:spacing/>
              <w:ind/>
              <w:rPr>
                <w:rFonts w:ascii="Arial Narrow" w:hAnsi="Arial Narrow" w:eastAsia="仿宋_GB2312" w:cs="Arial"/>
                <w:sz w:val="22"/>
              </w:rPr>
            </w:pPr>
            <w:r>
              <w:rPr>
                <w:rFonts w:ascii="Arial Narrow" w:hAnsi="Arial Narrow" w:eastAsia="仿宋_GB2312" w:cs="Arial"/>
                <w:sz w:val="22"/>
                <w:szCs w:val="22"/>
              </w:rPr>
              <w:t xml:space="preserve">特殊清洁产品、抛光和卫生设施清洁</w:t>
            </w:r>
            <w:r>
              <w:rPr>
                <w:rFonts w:ascii="Arial Narrow" w:hAnsi="Arial Narrow" w:eastAsia="仿宋_GB2312" w:cs="Arial"/>
                <w:sz w:val="22"/>
              </w:rPr>
            </w:r>
          </w:p>
        </w:tc>
      </w:tr>
      <w:tr>
        <w:trPr>
          <w:trHeight w:val="505"/>
        </w:trPr>
        <w:tc>
          <w:tcPr>
            <w:tcBorders/>
            <w:tcW w:w="1560" w:type="dxa"/>
            <w:vAlign w:val="center"/>
            <w:textDirection w:val="lrTb"/>
            <w:noWrap w:val="false"/>
          </w:tcPr>
          <w:p>
            <w:pPr>
              <w:pBdr/>
              <w:spacing/>
              <w:ind/>
              <w:jc w:val="center"/>
              <w:rPr>
                <w:rFonts w:ascii="Arial Narrow" w:hAnsi="Arial Narrow" w:eastAsia="仿宋_GB2312" w:cs="Arial"/>
                <w:sz w:val="22"/>
                <w:szCs w:val="22"/>
              </w:rPr>
            </w:pPr>
            <w:r>
              <w:rPr>
                <w:rFonts w:ascii="Arial Narrow" w:hAnsi="Arial Narrow" w:eastAsia="仿宋_GB2312" w:cs="Arial"/>
                <w:sz w:val="22"/>
                <w:szCs w:val="22"/>
              </w:rPr>
              <w:t xml:space="preserve">2843</w:t>
            </w:r>
            <w:r>
              <w:rPr>
                <w:rFonts w:ascii="Arial Narrow" w:hAnsi="Arial Narrow" w:eastAsia="仿宋_GB2312" w:cs="Arial"/>
                <w:sz w:val="22"/>
                <w:szCs w:val="22"/>
              </w:rPr>
            </w:r>
          </w:p>
        </w:tc>
        <w:tc>
          <w:tcPr>
            <w:tcBorders/>
            <w:tcW w:w="4961" w:type="dxa"/>
            <w:vAlign w:val="center"/>
            <w:textDirection w:val="lrTb"/>
            <w:noWrap w:val="false"/>
          </w:tcPr>
          <w:p>
            <w:pPr>
              <w:pBdr/>
              <w:spacing/>
              <w:ind/>
              <w:rPr>
                <w:rFonts w:ascii="Arial Narrow" w:hAnsi="Arial Narrow" w:eastAsia="仿宋_GB2312" w:cs="Arial"/>
                <w:sz w:val="22"/>
              </w:rPr>
            </w:pPr>
            <w:r>
              <w:rPr>
                <w:rFonts w:ascii="Arial Narrow" w:hAnsi="Arial Narrow" w:eastAsia="仿宋_GB2312" w:cs="Arial"/>
                <w:sz w:val="22"/>
                <w:szCs w:val="22"/>
              </w:rPr>
              <w:t xml:space="preserve">生产表面活性剂、溶剂等</w:t>
            </w:r>
            <w:r>
              <w:rPr>
                <w:rFonts w:ascii="Arial Narrow" w:hAnsi="Arial Narrow" w:eastAsia="仿宋_GB2312" w:cs="Arial"/>
                <w:sz w:val="22"/>
              </w:rPr>
            </w:r>
          </w:p>
        </w:tc>
      </w:tr>
      <w:tr>
        <w:trPr>
          <w:trHeight w:val="505"/>
        </w:trPr>
        <w:tc>
          <w:tcPr>
            <w:tcBorders/>
            <w:tcW w:w="1560" w:type="dxa"/>
            <w:vAlign w:val="center"/>
            <w:textDirection w:val="lrTb"/>
            <w:noWrap w:val="false"/>
          </w:tcPr>
          <w:p>
            <w:pPr>
              <w:pBdr/>
              <w:spacing/>
              <w:ind/>
              <w:jc w:val="center"/>
              <w:rPr>
                <w:rFonts w:ascii="Arial Narrow" w:hAnsi="Arial Narrow" w:eastAsia="仿宋_GB2312" w:cs="Arial"/>
                <w:sz w:val="22"/>
                <w:szCs w:val="22"/>
              </w:rPr>
            </w:pPr>
            <w:r>
              <w:rPr>
                <w:rFonts w:ascii="Arial Narrow" w:hAnsi="Arial Narrow" w:eastAsia="仿宋_GB2312" w:cs="Arial"/>
                <w:sz w:val="22"/>
                <w:szCs w:val="22"/>
              </w:rPr>
              <w:t xml:space="preserve">2844</w:t>
            </w:r>
            <w:r>
              <w:rPr>
                <w:rFonts w:ascii="Arial Narrow" w:hAnsi="Arial Narrow" w:eastAsia="仿宋_GB2312" w:cs="Arial"/>
                <w:sz w:val="22"/>
                <w:szCs w:val="22"/>
              </w:rPr>
            </w:r>
          </w:p>
        </w:tc>
        <w:tc>
          <w:tcPr>
            <w:tcBorders/>
            <w:tcW w:w="4961" w:type="dxa"/>
            <w:vAlign w:val="center"/>
            <w:textDirection w:val="lrTb"/>
            <w:noWrap w:val="false"/>
          </w:tcPr>
          <w:p>
            <w:pPr>
              <w:pBdr/>
              <w:spacing/>
              <w:ind/>
              <w:rPr>
                <w:rFonts w:ascii="Arial Narrow" w:hAnsi="Arial Narrow" w:eastAsia="仿宋_GB2312" w:cs="Arial"/>
                <w:sz w:val="22"/>
              </w:rPr>
            </w:pPr>
            <w:r>
              <w:rPr>
                <w:rFonts w:ascii="Arial Narrow" w:hAnsi="Arial Narrow" w:eastAsia="仿宋_GB2312" w:cs="Arial"/>
                <w:sz w:val="22"/>
                <w:szCs w:val="22"/>
              </w:rPr>
              <w:t xml:space="preserve">香水、化妆品和其他洁厕用品</w:t>
            </w:r>
            <w:r>
              <w:rPr>
                <w:rFonts w:ascii="Arial Narrow" w:hAnsi="Arial Narrow" w:eastAsia="仿宋_GB2312" w:cs="Arial"/>
                <w:sz w:val="22"/>
              </w:rPr>
            </w:r>
          </w:p>
        </w:tc>
      </w:tr>
    </w:tbl>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通过以上图表中所选定的SIC编码，我们在TP Catalyst数据库中进行了初步搜索，通过这种SIC编码的筛选，我们得到了一部分潜在的可比公司。</w:t>
      </w:r>
      <w:r>
        <w:rPr>
          <w:rFonts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通过对松莉科技地理位置及商业描述的分析，我们将搜索范围确定在亚太地区，包括：</w:t>
      </w:r>
      <w:r>
        <w:rPr>
          <w:rFonts w:ascii="Arial Narrow" w:hAnsi="Arial Narrow" w:eastAsia="仿宋_GB2312" w:cs="Arial"/>
          <w:sz w:val="22"/>
          <w:szCs w:val="22"/>
        </w:rPr>
      </w:r>
    </w:p>
    <w:tbl>
      <w:tblPr>
        <w:tblStyle w:val="1531"/>
        <w:tblW w:w="8081" w:type="dxa"/>
        <w:tblInd w:w="284" w:type="dxa"/>
        <w:tblBorders/>
        <w:tblLayout w:type="fixed"/>
        <w:tblLook w:val="04A0" w:firstRow="1" w:lastRow="0" w:firstColumn="1" w:lastColumn="0" w:noHBand="0" w:noVBand="1"/>
      </w:tblPr>
      <w:tblGrid>
        <w:gridCol w:w="1134"/>
        <w:gridCol w:w="1701"/>
        <w:gridCol w:w="1900"/>
        <w:gridCol w:w="1673"/>
        <w:gridCol w:w="1673"/>
      </w:tblGrid>
      <w:tr>
        <w:trPr>
          <w:trHeight w:val="505" w:hRule="exact"/>
        </w:trPr>
        <w:tc>
          <w:tcPr>
            <w:tcBorders/>
            <w:tcW w:w="1134" w:type="dxa"/>
            <w:textDirection w:val="lrTb"/>
            <w:noWrap w:val="false"/>
          </w:tcPr>
          <w:p>
            <w:pPr>
              <w:pStyle w:val="1525"/>
              <w:pBdr/>
              <w:spacing w:before="35"/>
              <w:ind w:left="50"/>
              <w:rPr>
                <w:rFonts w:ascii="Arial Narrow" w:hAnsi="Arial Narrow" w:eastAsia="仿宋_GB2312" w:cs="Arial"/>
              </w:rPr>
            </w:pPr>
            <w:r>
              <w:rPr>
                <w:rFonts w:ascii="Arial Narrow" w:hAnsi="Arial Narrow" w:eastAsia="仿宋_GB2312" w:cs="Arial"/>
              </w:rPr>
              <w:t xml:space="preserve">阿富汗</w:t>
            </w:r>
            <w:r>
              <w:rPr>
                <w:rFonts w:ascii="Arial Narrow" w:hAnsi="Arial Narrow" w:eastAsia="仿宋_GB2312" w:cs="Arial"/>
              </w:rPr>
            </w:r>
          </w:p>
        </w:tc>
        <w:tc>
          <w:tcPr>
            <w:tcBorders/>
            <w:tcW w:w="1701" w:type="dxa"/>
            <w:textDirection w:val="lrTb"/>
            <w:noWrap w:val="false"/>
          </w:tcPr>
          <w:p>
            <w:pPr>
              <w:pStyle w:val="1525"/>
              <w:pBdr/>
              <w:spacing w:before="35"/>
              <w:ind w:left="328"/>
              <w:rPr>
                <w:rFonts w:ascii="Arial Narrow" w:hAnsi="Arial Narrow" w:eastAsia="仿宋_GB2312" w:cs="Arial"/>
              </w:rPr>
            </w:pPr>
            <w:r>
              <w:rPr>
                <w:rFonts w:ascii="Arial Narrow" w:hAnsi="Arial Narrow" w:eastAsia="仿宋_GB2312" w:cs="Arial"/>
              </w:rPr>
              <w:t xml:space="preserve">亚美尼亚</w:t>
            </w:r>
            <w:r>
              <w:rPr>
                <w:rFonts w:ascii="Arial Narrow" w:hAnsi="Arial Narrow" w:eastAsia="仿宋_GB2312" w:cs="Arial"/>
              </w:rPr>
            </w:r>
          </w:p>
        </w:tc>
        <w:tc>
          <w:tcPr>
            <w:tcBorders/>
            <w:tcW w:w="1900" w:type="dxa"/>
            <w:textDirection w:val="lrTb"/>
            <w:noWrap w:val="false"/>
          </w:tcPr>
          <w:p>
            <w:pPr>
              <w:pStyle w:val="1525"/>
              <w:pBdr/>
              <w:spacing w:before="35"/>
              <w:ind w:left="374"/>
              <w:rPr>
                <w:rFonts w:ascii="Arial Narrow" w:hAnsi="Arial Narrow" w:eastAsia="仿宋_GB2312" w:cs="Arial"/>
              </w:rPr>
            </w:pPr>
            <w:r>
              <w:rPr>
                <w:rFonts w:ascii="Arial Narrow" w:hAnsi="Arial Narrow" w:eastAsia="仿宋_GB2312" w:cs="Arial"/>
              </w:rPr>
              <w:t xml:space="preserve">阿塞拜疆</w:t>
            </w:r>
            <w:r>
              <w:rPr>
                <w:rFonts w:ascii="Arial Narrow" w:hAnsi="Arial Narrow" w:eastAsia="仿宋_GB2312" w:cs="Arial"/>
              </w:rPr>
            </w:r>
          </w:p>
        </w:tc>
        <w:tc>
          <w:tcPr>
            <w:tcBorders/>
            <w:tcW w:w="1673" w:type="dxa"/>
            <w:textDirection w:val="lrTb"/>
            <w:noWrap w:val="false"/>
          </w:tcPr>
          <w:p>
            <w:pPr>
              <w:pStyle w:val="1525"/>
              <w:pBdr/>
              <w:spacing w:before="35"/>
              <w:ind w:left="388"/>
              <w:rPr>
                <w:rFonts w:ascii="Arial Narrow" w:hAnsi="Arial Narrow" w:eastAsia="仿宋_GB2312" w:cs="Arial"/>
              </w:rPr>
            </w:pPr>
            <w:r>
              <w:rPr>
                <w:rFonts w:ascii="Arial Narrow" w:hAnsi="Arial Narrow" w:eastAsia="仿宋_GB2312" w:cs="Arial"/>
              </w:rPr>
              <w:t xml:space="preserve">孟加拉国</w:t>
            </w:r>
            <w:r>
              <w:rPr>
                <w:rFonts w:ascii="Arial Narrow" w:hAnsi="Arial Narrow" w:eastAsia="仿宋_GB2312" w:cs="Arial"/>
              </w:rPr>
            </w:r>
          </w:p>
        </w:tc>
        <w:tc>
          <w:tcPr>
            <w:tcBorders/>
            <w:tcW w:w="1673" w:type="dxa"/>
            <w:textDirection w:val="lrTb"/>
            <w:noWrap w:val="false"/>
          </w:tcPr>
          <w:p>
            <w:pPr>
              <w:pStyle w:val="1525"/>
              <w:pBdr/>
              <w:spacing w:before="35"/>
              <w:ind w:left="307"/>
              <w:rPr>
                <w:rFonts w:ascii="Arial Narrow" w:hAnsi="Arial Narrow" w:eastAsia="仿宋_GB2312" w:cs="Arial"/>
              </w:rPr>
            </w:pPr>
            <w:r>
              <w:rPr>
                <w:rFonts w:ascii="Arial Narrow" w:hAnsi="Arial Narrow" w:eastAsia="仿宋_GB2312" w:cs="Arial"/>
              </w:rPr>
              <w:t xml:space="preserve">不丹</w:t>
            </w:r>
            <w:r>
              <w:rPr>
                <w:rFonts w:ascii="Arial Narrow" w:hAnsi="Arial Narrow" w:eastAsia="仿宋_GB2312" w:cs="Arial"/>
              </w:rPr>
            </w:r>
          </w:p>
        </w:tc>
      </w:tr>
      <w:tr>
        <w:trPr>
          <w:trHeight w:val="505" w:hRule="exact"/>
        </w:trPr>
        <w:tc>
          <w:tcPr>
            <w:tcBorders/>
            <w:tcW w:w="1134" w:type="dxa"/>
            <w:textDirection w:val="lrTb"/>
            <w:noWrap w:val="false"/>
          </w:tcPr>
          <w:p>
            <w:pPr>
              <w:pStyle w:val="1525"/>
              <w:pBdr/>
              <w:spacing w:before="35"/>
              <w:ind w:left="50"/>
              <w:rPr>
                <w:rFonts w:ascii="Arial Narrow" w:hAnsi="Arial Narrow" w:eastAsia="仿宋_GB2312" w:cs="Arial"/>
              </w:rPr>
            </w:pPr>
            <w:r>
              <w:rPr>
                <w:rFonts w:ascii="Arial Narrow" w:hAnsi="Arial Narrow" w:eastAsia="仿宋_GB2312" w:cs="Arial"/>
              </w:rPr>
              <w:t xml:space="preserve">文莱</w:t>
            </w:r>
            <w:r>
              <w:rPr>
                <w:rFonts w:ascii="Arial Narrow" w:hAnsi="Arial Narrow" w:eastAsia="仿宋_GB2312" w:cs="Arial"/>
              </w:rPr>
            </w:r>
          </w:p>
        </w:tc>
        <w:tc>
          <w:tcPr>
            <w:tcBorders/>
            <w:tcW w:w="1701" w:type="dxa"/>
            <w:textDirection w:val="lrTb"/>
            <w:noWrap w:val="false"/>
          </w:tcPr>
          <w:p>
            <w:pPr>
              <w:pStyle w:val="1525"/>
              <w:pBdr/>
              <w:spacing w:before="35"/>
              <w:ind w:left="328"/>
              <w:rPr>
                <w:rFonts w:ascii="Arial Narrow" w:hAnsi="Arial Narrow" w:eastAsia="仿宋_GB2312" w:cs="Arial"/>
              </w:rPr>
            </w:pPr>
            <w:r>
              <w:rPr>
                <w:rFonts w:ascii="Arial Narrow" w:hAnsi="Arial Narrow" w:eastAsia="仿宋_GB2312" w:cs="Arial"/>
              </w:rPr>
              <w:t xml:space="preserve">柬埔寨</w:t>
            </w:r>
            <w:r>
              <w:rPr>
                <w:rFonts w:ascii="Arial Narrow" w:hAnsi="Arial Narrow" w:eastAsia="仿宋_GB2312" w:cs="Arial"/>
              </w:rPr>
            </w:r>
          </w:p>
        </w:tc>
        <w:tc>
          <w:tcPr>
            <w:tcBorders/>
            <w:tcW w:w="1900" w:type="dxa"/>
            <w:textDirection w:val="lrTb"/>
            <w:noWrap w:val="false"/>
          </w:tcPr>
          <w:p>
            <w:pPr>
              <w:pStyle w:val="1525"/>
              <w:pBdr/>
              <w:spacing w:before="35"/>
              <w:ind w:left="374"/>
              <w:rPr>
                <w:rFonts w:ascii="Arial Narrow" w:hAnsi="Arial Narrow" w:eastAsia="仿宋_GB2312" w:cs="Arial"/>
              </w:rPr>
            </w:pPr>
            <w:r>
              <w:rPr>
                <w:rFonts w:ascii="Arial Narrow" w:hAnsi="Arial Narrow" w:eastAsia="仿宋_GB2312" w:cs="Arial"/>
              </w:rPr>
              <w:t xml:space="preserve">中国</w:t>
            </w:r>
            <w:r>
              <w:rPr>
                <w:rFonts w:ascii="Arial Narrow" w:hAnsi="Arial Narrow" w:eastAsia="仿宋_GB2312" w:cs="Arial"/>
              </w:rPr>
            </w:r>
          </w:p>
        </w:tc>
        <w:tc>
          <w:tcPr>
            <w:tcBorders/>
            <w:tcW w:w="1673" w:type="dxa"/>
            <w:textDirection w:val="lrTb"/>
            <w:noWrap w:val="false"/>
          </w:tcPr>
          <w:p>
            <w:pPr>
              <w:pStyle w:val="1525"/>
              <w:pBdr/>
              <w:spacing w:before="35"/>
              <w:ind w:left="388"/>
              <w:rPr>
                <w:rFonts w:ascii="Arial Narrow" w:hAnsi="Arial Narrow" w:eastAsia="仿宋_GB2312" w:cs="Arial"/>
              </w:rPr>
            </w:pPr>
            <w:r>
              <w:rPr>
                <w:rFonts w:ascii="Arial Narrow" w:hAnsi="Arial Narrow" w:eastAsia="仿宋_GB2312" w:cs="Arial"/>
              </w:rPr>
              <w:t xml:space="preserve">格鲁吉亚</w:t>
            </w:r>
            <w:r>
              <w:rPr>
                <w:rFonts w:ascii="Arial Narrow" w:hAnsi="Arial Narrow" w:eastAsia="仿宋_GB2312" w:cs="Arial"/>
              </w:rPr>
            </w:r>
          </w:p>
        </w:tc>
        <w:tc>
          <w:tcPr>
            <w:tcBorders/>
            <w:tcW w:w="1673" w:type="dxa"/>
            <w:textDirection w:val="lrTb"/>
            <w:noWrap w:val="false"/>
          </w:tcPr>
          <w:p>
            <w:pPr>
              <w:pStyle w:val="1525"/>
              <w:pBdr/>
              <w:spacing w:before="35"/>
              <w:ind w:left="307"/>
              <w:rPr>
                <w:rFonts w:ascii="Arial Narrow" w:hAnsi="Arial Narrow" w:eastAsia="仿宋_GB2312" w:cs="Arial"/>
              </w:rPr>
            </w:pPr>
            <w:r>
              <w:rPr>
                <w:rFonts w:ascii="Arial Narrow" w:hAnsi="Arial Narrow" w:eastAsia="仿宋_GB2312" w:cs="Arial"/>
              </w:rPr>
              <w:t xml:space="preserve">香港</w:t>
            </w:r>
            <w:r>
              <w:rPr>
                <w:rFonts w:ascii="Arial Narrow" w:hAnsi="Arial Narrow" w:eastAsia="仿宋_GB2312" w:cs="Arial"/>
              </w:rPr>
            </w:r>
          </w:p>
        </w:tc>
      </w:tr>
      <w:tr>
        <w:trPr>
          <w:trHeight w:val="505" w:hRule="exact"/>
        </w:trPr>
        <w:tc>
          <w:tcPr>
            <w:tcBorders/>
            <w:tcW w:w="1134" w:type="dxa"/>
            <w:textDirection w:val="lrTb"/>
            <w:noWrap w:val="false"/>
          </w:tcPr>
          <w:p>
            <w:pPr>
              <w:pStyle w:val="1525"/>
              <w:pBdr/>
              <w:spacing w:before="37"/>
              <w:ind w:left="50"/>
              <w:rPr>
                <w:rFonts w:ascii="Arial Narrow" w:hAnsi="Arial Narrow" w:eastAsia="仿宋_GB2312" w:cs="Arial"/>
              </w:rPr>
            </w:pPr>
            <w:r>
              <w:rPr>
                <w:rFonts w:ascii="Arial Narrow" w:hAnsi="Arial Narrow" w:eastAsia="仿宋_GB2312" w:cs="Arial"/>
              </w:rPr>
              <w:t xml:space="preserve">印度</w:t>
            </w:r>
            <w:r>
              <w:rPr>
                <w:rFonts w:ascii="Arial Narrow" w:hAnsi="Arial Narrow" w:eastAsia="仿宋_GB2312" w:cs="Arial"/>
              </w:rPr>
            </w:r>
          </w:p>
        </w:tc>
        <w:tc>
          <w:tcPr>
            <w:tcBorders/>
            <w:tcW w:w="1701" w:type="dxa"/>
            <w:textDirection w:val="lrTb"/>
            <w:noWrap w:val="false"/>
          </w:tcPr>
          <w:p>
            <w:pPr>
              <w:pStyle w:val="1525"/>
              <w:pBdr/>
              <w:spacing w:before="37"/>
              <w:ind w:left="328"/>
              <w:rPr>
                <w:rFonts w:ascii="Arial Narrow" w:hAnsi="Arial Narrow" w:eastAsia="仿宋_GB2312" w:cs="Arial"/>
              </w:rPr>
            </w:pPr>
            <w:r>
              <w:rPr>
                <w:rFonts w:ascii="Arial Narrow" w:hAnsi="Arial Narrow" w:eastAsia="仿宋_GB2312" w:cs="Arial"/>
              </w:rPr>
              <w:t xml:space="preserve">印度尼西亚</w:t>
            </w:r>
            <w:r>
              <w:rPr>
                <w:rFonts w:ascii="Arial Narrow" w:hAnsi="Arial Narrow" w:eastAsia="仿宋_GB2312" w:cs="Arial"/>
              </w:rPr>
            </w:r>
          </w:p>
        </w:tc>
        <w:tc>
          <w:tcPr>
            <w:tcBorders/>
            <w:tcW w:w="1900" w:type="dxa"/>
            <w:textDirection w:val="lrTb"/>
            <w:noWrap w:val="false"/>
          </w:tcPr>
          <w:p>
            <w:pPr>
              <w:pStyle w:val="1525"/>
              <w:pBdr/>
              <w:spacing w:before="37"/>
              <w:ind w:left="374"/>
              <w:rPr>
                <w:rFonts w:ascii="Arial Narrow" w:hAnsi="Arial Narrow" w:eastAsia="仿宋_GB2312" w:cs="Arial"/>
              </w:rPr>
            </w:pPr>
            <w:r>
              <w:rPr>
                <w:rFonts w:ascii="Arial Narrow" w:hAnsi="Arial Narrow" w:eastAsia="仿宋_GB2312" w:cs="Arial"/>
              </w:rPr>
              <w:t xml:space="preserve">日本</w:t>
            </w:r>
            <w:r>
              <w:rPr>
                <w:rFonts w:ascii="Arial Narrow" w:hAnsi="Arial Narrow" w:eastAsia="仿宋_GB2312" w:cs="Arial"/>
              </w:rPr>
            </w:r>
          </w:p>
        </w:tc>
        <w:tc>
          <w:tcPr>
            <w:tcBorders/>
            <w:tcW w:w="1673" w:type="dxa"/>
            <w:textDirection w:val="lrTb"/>
            <w:noWrap w:val="false"/>
          </w:tcPr>
          <w:p>
            <w:pPr>
              <w:pStyle w:val="1525"/>
              <w:pBdr/>
              <w:spacing w:before="37"/>
              <w:ind w:left="388"/>
              <w:rPr>
                <w:rFonts w:ascii="Arial Narrow" w:hAnsi="Arial Narrow" w:eastAsia="仿宋_GB2312" w:cs="Arial"/>
              </w:rPr>
            </w:pPr>
            <w:r>
              <w:rPr>
                <w:rFonts w:ascii="Arial Narrow" w:hAnsi="Arial Narrow" w:eastAsia="仿宋_GB2312" w:cs="Arial"/>
              </w:rPr>
              <w:t xml:space="preserve">哈萨克斯坦</w:t>
            </w:r>
            <w:r>
              <w:rPr>
                <w:rFonts w:ascii="Arial Narrow" w:hAnsi="Arial Narrow" w:eastAsia="仿宋_GB2312" w:cs="Arial"/>
              </w:rPr>
            </w:r>
          </w:p>
        </w:tc>
        <w:tc>
          <w:tcPr>
            <w:tcBorders/>
            <w:tcW w:w="1673" w:type="dxa"/>
            <w:textDirection w:val="lrTb"/>
            <w:noWrap w:val="false"/>
          </w:tcPr>
          <w:p>
            <w:pPr>
              <w:pStyle w:val="1525"/>
              <w:pBdr/>
              <w:spacing w:before="37"/>
              <w:ind w:left="307"/>
              <w:rPr>
                <w:rFonts w:ascii="Arial Narrow" w:hAnsi="Arial Narrow" w:eastAsia="仿宋_GB2312" w:cs="Arial"/>
              </w:rPr>
            </w:pPr>
            <w:r>
              <w:rPr>
                <w:rFonts w:ascii="Arial Narrow" w:hAnsi="Arial Narrow" w:eastAsia="仿宋_GB2312" w:cs="Arial"/>
              </w:rPr>
              <w:t xml:space="preserve">朝鲜</w:t>
            </w:r>
            <w:r>
              <w:rPr>
                <w:rFonts w:ascii="Arial Narrow" w:hAnsi="Arial Narrow" w:eastAsia="仿宋_GB2312" w:cs="Arial"/>
              </w:rPr>
            </w:r>
          </w:p>
        </w:tc>
      </w:tr>
      <w:tr>
        <w:trPr>
          <w:trHeight w:val="505" w:hRule="exact"/>
        </w:trPr>
        <w:tc>
          <w:tcPr>
            <w:tcBorders/>
            <w:tcW w:w="1134" w:type="dxa"/>
            <w:textDirection w:val="lrTb"/>
            <w:noWrap w:val="false"/>
          </w:tcPr>
          <w:p>
            <w:pPr>
              <w:pStyle w:val="1525"/>
              <w:pBdr/>
              <w:spacing w:before="35"/>
              <w:ind w:left="50"/>
              <w:rPr>
                <w:rFonts w:ascii="Arial Narrow" w:hAnsi="Arial Narrow" w:eastAsia="仿宋_GB2312" w:cs="Arial"/>
              </w:rPr>
            </w:pPr>
            <w:r>
              <w:rPr>
                <w:rFonts w:ascii="Arial Narrow" w:hAnsi="Arial Narrow" w:eastAsia="仿宋_GB2312" w:cs="Arial"/>
              </w:rPr>
              <w:t xml:space="preserve">韩国</w:t>
            </w:r>
            <w:r>
              <w:rPr>
                <w:rFonts w:ascii="Arial Narrow" w:hAnsi="Arial Narrow" w:eastAsia="仿宋_GB2312" w:cs="Arial"/>
              </w:rPr>
            </w:r>
          </w:p>
        </w:tc>
        <w:tc>
          <w:tcPr>
            <w:tcBorders/>
            <w:tcW w:w="1701" w:type="dxa"/>
            <w:textDirection w:val="lrTb"/>
            <w:noWrap w:val="false"/>
          </w:tcPr>
          <w:p>
            <w:pPr>
              <w:pStyle w:val="1525"/>
              <w:pBdr/>
              <w:spacing w:before="35"/>
              <w:ind w:left="328"/>
              <w:rPr>
                <w:rFonts w:ascii="Arial Narrow" w:hAnsi="Arial Narrow" w:eastAsia="仿宋_GB2312" w:cs="Arial"/>
              </w:rPr>
            </w:pPr>
            <w:r>
              <w:rPr>
                <w:rFonts w:ascii="Arial Narrow" w:hAnsi="Arial Narrow" w:eastAsia="仿宋_GB2312" w:cs="Arial"/>
              </w:rPr>
              <w:t xml:space="preserve">吉尔吉斯斯坦</w:t>
            </w:r>
            <w:r>
              <w:rPr>
                <w:rFonts w:ascii="Arial Narrow" w:hAnsi="Arial Narrow" w:eastAsia="仿宋_GB2312" w:cs="Arial"/>
              </w:rPr>
            </w:r>
          </w:p>
        </w:tc>
        <w:tc>
          <w:tcPr>
            <w:tcBorders/>
            <w:tcW w:w="1900" w:type="dxa"/>
            <w:textDirection w:val="lrTb"/>
            <w:noWrap w:val="false"/>
          </w:tcPr>
          <w:p>
            <w:pPr>
              <w:pStyle w:val="1525"/>
              <w:pBdr/>
              <w:spacing w:before="35"/>
              <w:ind w:left="374"/>
              <w:rPr>
                <w:rFonts w:ascii="Arial Narrow" w:hAnsi="Arial Narrow" w:eastAsia="仿宋_GB2312" w:cs="Arial"/>
              </w:rPr>
            </w:pPr>
            <w:r>
              <w:rPr>
                <w:rFonts w:ascii="Arial Narrow" w:hAnsi="Arial Narrow" w:eastAsia="仿宋_GB2312" w:cs="Arial"/>
              </w:rPr>
              <w:t xml:space="preserve">老挝</w:t>
            </w:r>
            <w:r>
              <w:rPr>
                <w:rFonts w:ascii="Arial Narrow" w:hAnsi="Arial Narrow" w:eastAsia="仿宋_GB2312" w:cs="Arial"/>
              </w:rPr>
            </w:r>
          </w:p>
        </w:tc>
        <w:tc>
          <w:tcPr>
            <w:tcBorders/>
            <w:tcW w:w="1673" w:type="dxa"/>
            <w:textDirection w:val="lrTb"/>
            <w:noWrap w:val="false"/>
          </w:tcPr>
          <w:p>
            <w:pPr>
              <w:pStyle w:val="1525"/>
              <w:pBdr/>
              <w:spacing w:before="35"/>
              <w:ind w:left="388"/>
              <w:rPr>
                <w:rFonts w:ascii="Arial Narrow" w:hAnsi="Arial Narrow" w:eastAsia="仿宋_GB2312" w:cs="Arial"/>
              </w:rPr>
            </w:pPr>
            <w:r>
              <w:rPr>
                <w:rFonts w:ascii="Arial Narrow" w:hAnsi="Arial Narrow" w:eastAsia="仿宋_GB2312" w:cs="Arial"/>
              </w:rPr>
              <w:t xml:space="preserve">澳门</w:t>
            </w:r>
            <w:r>
              <w:rPr>
                <w:rFonts w:ascii="Arial Narrow" w:hAnsi="Arial Narrow" w:eastAsia="仿宋_GB2312" w:cs="Arial"/>
              </w:rPr>
            </w:r>
          </w:p>
        </w:tc>
        <w:tc>
          <w:tcPr>
            <w:tcBorders/>
            <w:tcW w:w="1673" w:type="dxa"/>
            <w:textDirection w:val="lrTb"/>
            <w:noWrap w:val="false"/>
          </w:tcPr>
          <w:p>
            <w:pPr>
              <w:pStyle w:val="1525"/>
              <w:pBdr/>
              <w:spacing w:before="35"/>
              <w:ind w:left="307"/>
              <w:rPr>
                <w:rFonts w:ascii="Arial Narrow" w:hAnsi="Arial Narrow" w:eastAsia="仿宋_GB2312" w:cs="Arial"/>
              </w:rPr>
            </w:pPr>
            <w:r>
              <w:rPr>
                <w:rFonts w:ascii="Arial Narrow" w:hAnsi="Arial Narrow" w:eastAsia="仿宋_GB2312" w:cs="Arial"/>
              </w:rPr>
              <w:t xml:space="preserve">马来西亚</w:t>
            </w:r>
            <w:r>
              <w:rPr>
                <w:rFonts w:ascii="Arial Narrow" w:hAnsi="Arial Narrow" w:eastAsia="仿宋_GB2312" w:cs="Arial"/>
              </w:rPr>
            </w:r>
          </w:p>
        </w:tc>
      </w:tr>
      <w:tr>
        <w:trPr>
          <w:trHeight w:val="505" w:hRule="exact"/>
        </w:trPr>
        <w:tc>
          <w:tcPr>
            <w:tcBorders/>
            <w:tcW w:w="1134" w:type="dxa"/>
            <w:textDirection w:val="lrTb"/>
            <w:noWrap w:val="false"/>
          </w:tcPr>
          <w:p>
            <w:pPr>
              <w:pStyle w:val="1525"/>
              <w:pBdr/>
              <w:spacing w:before="37"/>
              <w:ind w:left="50"/>
              <w:rPr>
                <w:rFonts w:ascii="Arial Narrow" w:hAnsi="Arial Narrow" w:eastAsia="仿宋_GB2312" w:cs="Arial"/>
              </w:rPr>
            </w:pPr>
            <w:r>
              <w:rPr>
                <w:rFonts w:ascii="Arial Narrow" w:hAnsi="Arial Narrow" w:eastAsia="仿宋_GB2312" w:cs="Arial"/>
              </w:rPr>
              <w:t xml:space="preserve">马尔代夫</w:t>
            </w:r>
            <w:r>
              <w:rPr>
                <w:rFonts w:ascii="Arial Narrow" w:hAnsi="Arial Narrow" w:eastAsia="仿宋_GB2312" w:cs="Arial"/>
              </w:rPr>
            </w:r>
          </w:p>
        </w:tc>
        <w:tc>
          <w:tcPr>
            <w:tcBorders/>
            <w:tcW w:w="1701" w:type="dxa"/>
            <w:textDirection w:val="lrTb"/>
            <w:noWrap w:val="false"/>
          </w:tcPr>
          <w:p>
            <w:pPr>
              <w:pStyle w:val="1525"/>
              <w:pBdr/>
              <w:spacing w:before="37"/>
              <w:ind w:left="328"/>
              <w:rPr>
                <w:rFonts w:ascii="Arial Narrow" w:hAnsi="Arial Narrow" w:eastAsia="仿宋_GB2312" w:cs="Arial"/>
              </w:rPr>
            </w:pPr>
            <w:r>
              <w:rPr>
                <w:rFonts w:ascii="Arial Narrow" w:hAnsi="Arial Narrow" w:eastAsia="仿宋_GB2312" w:cs="Arial"/>
              </w:rPr>
              <w:t xml:space="preserve">蒙古</w:t>
            </w:r>
            <w:r>
              <w:rPr>
                <w:rFonts w:ascii="Arial Narrow" w:hAnsi="Arial Narrow" w:eastAsia="仿宋_GB2312" w:cs="Arial"/>
              </w:rPr>
            </w:r>
          </w:p>
        </w:tc>
        <w:tc>
          <w:tcPr>
            <w:tcBorders/>
            <w:tcW w:w="1900" w:type="dxa"/>
            <w:textDirection w:val="lrTb"/>
            <w:noWrap w:val="false"/>
          </w:tcPr>
          <w:p>
            <w:pPr>
              <w:pStyle w:val="1525"/>
              <w:pBdr/>
              <w:spacing w:before="37"/>
              <w:ind w:left="374"/>
              <w:rPr>
                <w:rFonts w:ascii="Arial Narrow" w:hAnsi="Arial Narrow" w:eastAsia="仿宋_GB2312" w:cs="Arial"/>
              </w:rPr>
            </w:pPr>
            <w:r>
              <w:rPr>
                <w:rFonts w:ascii="Arial Narrow" w:hAnsi="Arial Narrow" w:eastAsia="仿宋_GB2312" w:cs="Arial"/>
              </w:rPr>
              <w:t xml:space="preserve">缅甸</w:t>
            </w:r>
            <w:r>
              <w:rPr>
                <w:rFonts w:ascii="Arial Narrow" w:hAnsi="Arial Narrow" w:eastAsia="仿宋_GB2312" w:cs="Arial"/>
              </w:rPr>
            </w:r>
          </w:p>
        </w:tc>
        <w:tc>
          <w:tcPr>
            <w:tcBorders/>
            <w:tcW w:w="1673" w:type="dxa"/>
            <w:textDirection w:val="lrTb"/>
            <w:noWrap w:val="false"/>
          </w:tcPr>
          <w:p>
            <w:pPr>
              <w:pStyle w:val="1525"/>
              <w:pBdr/>
              <w:spacing w:before="37"/>
              <w:ind w:left="388"/>
              <w:rPr>
                <w:rFonts w:ascii="Arial Narrow" w:hAnsi="Arial Narrow" w:eastAsia="仿宋_GB2312" w:cs="Arial"/>
              </w:rPr>
            </w:pPr>
            <w:r>
              <w:rPr>
                <w:rFonts w:ascii="Arial Narrow" w:hAnsi="Arial Narrow" w:eastAsia="仿宋_GB2312" w:cs="Arial"/>
              </w:rPr>
              <w:t xml:space="preserve">尼泊尔</w:t>
            </w:r>
            <w:r>
              <w:rPr>
                <w:rFonts w:ascii="Arial Narrow" w:hAnsi="Arial Narrow" w:eastAsia="仿宋_GB2312" w:cs="Arial"/>
              </w:rPr>
            </w:r>
          </w:p>
        </w:tc>
        <w:tc>
          <w:tcPr>
            <w:tcBorders/>
            <w:tcW w:w="1673" w:type="dxa"/>
            <w:textDirection w:val="lrTb"/>
            <w:noWrap w:val="false"/>
          </w:tcPr>
          <w:p>
            <w:pPr>
              <w:pStyle w:val="1525"/>
              <w:pBdr/>
              <w:spacing w:before="37"/>
              <w:ind w:left="307"/>
              <w:rPr>
                <w:rFonts w:ascii="Arial Narrow" w:hAnsi="Arial Narrow" w:eastAsia="仿宋_GB2312" w:cs="Arial"/>
              </w:rPr>
            </w:pPr>
            <w:r>
              <w:rPr>
                <w:rFonts w:ascii="Arial Narrow" w:hAnsi="Arial Narrow" w:eastAsia="仿宋_GB2312" w:cs="Arial"/>
              </w:rPr>
              <w:t xml:space="preserve">巴基斯坦</w:t>
            </w:r>
            <w:r>
              <w:rPr>
                <w:rFonts w:ascii="Arial Narrow" w:hAnsi="Arial Narrow" w:eastAsia="仿宋_GB2312" w:cs="Arial"/>
              </w:rPr>
            </w:r>
          </w:p>
        </w:tc>
      </w:tr>
      <w:tr>
        <w:trPr>
          <w:trHeight w:val="505" w:hRule="exact"/>
        </w:trPr>
        <w:tc>
          <w:tcPr>
            <w:tcBorders/>
            <w:tcW w:w="1134" w:type="dxa"/>
            <w:textDirection w:val="lrTb"/>
            <w:noWrap w:val="false"/>
          </w:tcPr>
          <w:p>
            <w:pPr>
              <w:pStyle w:val="1525"/>
              <w:pBdr/>
              <w:spacing w:before="35"/>
              <w:ind w:left="50"/>
              <w:rPr>
                <w:rFonts w:ascii="Arial Narrow" w:hAnsi="Arial Narrow" w:eastAsia="仿宋_GB2312" w:cs="Arial"/>
              </w:rPr>
            </w:pPr>
            <w:r>
              <w:rPr>
                <w:rFonts w:ascii="Arial Narrow" w:hAnsi="Arial Narrow" w:eastAsia="仿宋_GB2312" w:cs="Arial"/>
              </w:rPr>
              <w:t xml:space="preserve">菲律宾</w:t>
            </w:r>
            <w:r>
              <w:rPr>
                <w:rFonts w:ascii="Arial Narrow" w:hAnsi="Arial Narrow" w:eastAsia="仿宋_GB2312" w:cs="Arial"/>
              </w:rPr>
            </w:r>
          </w:p>
        </w:tc>
        <w:tc>
          <w:tcPr>
            <w:tcBorders/>
            <w:tcW w:w="1701" w:type="dxa"/>
            <w:textDirection w:val="lrTb"/>
            <w:noWrap w:val="false"/>
          </w:tcPr>
          <w:p>
            <w:pPr>
              <w:pStyle w:val="1525"/>
              <w:pBdr/>
              <w:spacing w:before="35"/>
              <w:ind w:left="328"/>
              <w:rPr>
                <w:rFonts w:ascii="Arial Narrow" w:hAnsi="Arial Narrow" w:eastAsia="仿宋_GB2312" w:cs="Arial"/>
              </w:rPr>
            </w:pPr>
            <w:r>
              <w:rPr>
                <w:rFonts w:ascii="Arial Narrow" w:hAnsi="Arial Narrow" w:eastAsia="仿宋_GB2312" w:cs="Arial"/>
              </w:rPr>
              <w:t xml:space="preserve">新加坡</w:t>
            </w:r>
            <w:r>
              <w:rPr>
                <w:rFonts w:ascii="Arial Narrow" w:hAnsi="Arial Narrow" w:eastAsia="仿宋_GB2312" w:cs="Arial"/>
              </w:rPr>
            </w:r>
          </w:p>
        </w:tc>
        <w:tc>
          <w:tcPr>
            <w:tcBorders/>
            <w:tcW w:w="1900" w:type="dxa"/>
            <w:textDirection w:val="lrTb"/>
            <w:noWrap w:val="false"/>
          </w:tcPr>
          <w:p>
            <w:pPr>
              <w:pStyle w:val="1525"/>
              <w:pBdr/>
              <w:spacing w:before="35"/>
              <w:ind w:left="374"/>
              <w:rPr>
                <w:rFonts w:ascii="Arial Narrow" w:hAnsi="Arial Narrow" w:eastAsia="仿宋_GB2312" w:cs="Arial"/>
              </w:rPr>
            </w:pPr>
            <w:r>
              <w:rPr>
                <w:rFonts w:ascii="Arial Narrow" w:hAnsi="Arial Narrow" w:eastAsia="仿宋_GB2312" w:cs="Arial"/>
              </w:rPr>
              <w:t xml:space="preserve">斯里兰卡</w:t>
            </w:r>
            <w:r>
              <w:rPr>
                <w:rFonts w:ascii="Arial Narrow" w:hAnsi="Arial Narrow" w:eastAsia="仿宋_GB2312" w:cs="Arial"/>
              </w:rPr>
            </w:r>
          </w:p>
        </w:tc>
        <w:tc>
          <w:tcPr>
            <w:tcBorders/>
            <w:tcW w:w="1673" w:type="dxa"/>
            <w:textDirection w:val="lrTb"/>
            <w:noWrap w:val="false"/>
          </w:tcPr>
          <w:p>
            <w:pPr>
              <w:pStyle w:val="1525"/>
              <w:pBdr/>
              <w:spacing w:before="35"/>
              <w:ind w:left="388"/>
              <w:rPr>
                <w:rFonts w:ascii="Arial Narrow" w:hAnsi="Arial Narrow" w:eastAsia="仿宋_GB2312" w:cs="Arial"/>
              </w:rPr>
            </w:pPr>
            <w:r>
              <w:rPr>
                <w:rFonts w:ascii="Arial Narrow" w:hAnsi="Arial Narrow" w:eastAsia="仿宋_GB2312" w:cs="Arial"/>
              </w:rPr>
              <w:t xml:space="preserve">台湾</w:t>
            </w:r>
            <w:r>
              <w:rPr>
                <w:rFonts w:ascii="Arial Narrow" w:hAnsi="Arial Narrow" w:eastAsia="仿宋_GB2312" w:cs="Arial"/>
              </w:rPr>
            </w:r>
          </w:p>
        </w:tc>
        <w:tc>
          <w:tcPr>
            <w:tcBorders/>
            <w:tcW w:w="1673" w:type="dxa"/>
            <w:textDirection w:val="lrTb"/>
            <w:noWrap w:val="false"/>
          </w:tcPr>
          <w:p>
            <w:pPr>
              <w:pStyle w:val="1525"/>
              <w:pBdr/>
              <w:spacing w:before="35"/>
              <w:ind w:left="307"/>
              <w:rPr>
                <w:rFonts w:ascii="Arial Narrow" w:hAnsi="Arial Narrow" w:eastAsia="仿宋_GB2312" w:cs="Arial"/>
              </w:rPr>
            </w:pPr>
            <w:r>
              <w:rPr>
                <w:rFonts w:ascii="Arial Narrow" w:hAnsi="Arial Narrow" w:eastAsia="仿宋_GB2312" w:cs="Arial"/>
              </w:rPr>
              <w:t xml:space="preserve">塔吉克斯坦</w:t>
            </w:r>
            <w:r>
              <w:rPr>
                <w:rFonts w:ascii="Arial Narrow" w:hAnsi="Arial Narrow" w:eastAsia="仿宋_GB2312" w:cs="Arial"/>
              </w:rPr>
            </w:r>
          </w:p>
        </w:tc>
      </w:tr>
      <w:tr>
        <w:trPr>
          <w:trHeight w:val="505" w:hRule="exact"/>
        </w:trPr>
        <w:tc>
          <w:tcPr>
            <w:tcBorders/>
            <w:tcW w:w="1134" w:type="dxa"/>
            <w:textDirection w:val="lrTb"/>
            <w:noWrap w:val="false"/>
          </w:tcPr>
          <w:p>
            <w:pPr>
              <w:pStyle w:val="1525"/>
              <w:pBdr/>
              <w:spacing w:before="35"/>
              <w:ind w:left="50"/>
              <w:rPr>
                <w:rFonts w:ascii="Arial Narrow" w:hAnsi="Arial Narrow" w:eastAsia="仿宋_GB2312" w:cs="Arial"/>
                <w:lang w:eastAsia="zh-CN"/>
              </w:rPr>
            </w:pPr>
            <w:r>
              <w:rPr>
                <w:rFonts w:ascii="Arial Narrow" w:hAnsi="Arial Narrow" w:eastAsia="仿宋_GB2312" w:cs="Arial"/>
              </w:rPr>
              <w:t xml:space="preserve">泰国</w:t>
            </w:r>
            <w:r>
              <w:rPr>
                <w:rFonts w:ascii="Arial Narrow" w:hAnsi="Arial Narrow" w:eastAsia="仿宋_GB2312" w:cs="Arial"/>
                <w:lang w:eastAsia="zh-CN"/>
              </w:rPr>
            </w:r>
          </w:p>
        </w:tc>
        <w:tc>
          <w:tcPr>
            <w:tcBorders/>
            <w:tcW w:w="1701" w:type="dxa"/>
            <w:textDirection w:val="lrTb"/>
            <w:noWrap w:val="false"/>
          </w:tcPr>
          <w:p>
            <w:pPr>
              <w:pStyle w:val="1525"/>
              <w:pBdr/>
              <w:spacing w:before="35"/>
              <w:ind w:left="328"/>
              <w:rPr>
                <w:rFonts w:ascii="Arial Narrow" w:hAnsi="Arial Narrow" w:eastAsia="仿宋_GB2312" w:cs="Arial"/>
                <w:lang w:eastAsia="zh-CN"/>
              </w:rPr>
            </w:pPr>
            <w:r>
              <w:rPr>
                <w:rFonts w:ascii="Arial Narrow" w:hAnsi="Arial Narrow" w:eastAsia="仿宋_GB2312" w:cs="Arial"/>
              </w:rPr>
              <w:t xml:space="preserve">土库曼斯坦</w:t>
            </w:r>
            <w:r>
              <w:rPr>
                <w:rFonts w:ascii="Arial Narrow" w:hAnsi="Arial Narrow" w:eastAsia="仿宋_GB2312" w:cs="Arial"/>
                <w:lang w:eastAsia="zh-CN"/>
              </w:rPr>
            </w:r>
          </w:p>
        </w:tc>
        <w:tc>
          <w:tcPr>
            <w:tcBorders/>
            <w:tcW w:w="1900" w:type="dxa"/>
            <w:textDirection w:val="lrTb"/>
            <w:noWrap w:val="false"/>
          </w:tcPr>
          <w:p>
            <w:pPr>
              <w:pStyle w:val="1525"/>
              <w:pBdr/>
              <w:spacing w:before="35"/>
              <w:ind w:left="374"/>
              <w:rPr>
                <w:rFonts w:ascii="Arial Narrow" w:hAnsi="Arial Narrow" w:eastAsia="仿宋_GB2312" w:cs="Arial"/>
                <w:lang w:eastAsia="zh-CN"/>
              </w:rPr>
            </w:pPr>
            <w:r>
              <w:rPr>
                <w:rFonts w:ascii="Arial Narrow" w:hAnsi="Arial Narrow" w:eastAsia="仿宋_GB2312" w:cs="Arial"/>
              </w:rPr>
              <w:t xml:space="preserve">乌兹别克斯坦</w:t>
            </w:r>
            <w:r>
              <w:rPr>
                <w:rFonts w:ascii="Arial Narrow" w:hAnsi="Arial Narrow" w:eastAsia="仿宋_GB2312" w:cs="Arial"/>
                <w:lang w:eastAsia="zh-CN"/>
              </w:rPr>
            </w:r>
          </w:p>
        </w:tc>
        <w:tc>
          <w:tcPr>
            <w:tcBorders/>
            <w:tcW w:w="1673" w:type="dxa"/>
            <w:textDirection w:val="lrTb"/>
            <w:noWrap w:val="false"/>
          </w:tcPr>
          <w:p>
            <w:pPr>
              <w:pStyle w:val="1525"/>
              <w:pBdr/>
              <w:spacing w:before="35"/>
              <w:ind w:left="388"/>
              <w:rPr>
                <w:rFonts w:ascii="Arial Narrow" w:hAnsi="Arial Narrow" w:eastAsia="仿宋_GB2312" w:cs="Arial"/>
                <w:lang w:eastAsia="zh-CN"/>
              </w:rPr>
            </w:pPr>
            <w:r>
              <w:rPr>
                <w:rFonts w:ascii="Arial Narrow" w:hAnsi="Arial Narrow" w:eastAsia="仿宋_GB2312" w:cs="Arial"/>
              </w:rPr>
              <w:t xml:space="preserve">越南</w:t>
            </w:r>
            <w:r>
              <w:rPr>
                <w:rFonts w:ascii="Arial Narrow" w:hAnsi="Arial Narrow" w:eastAsia="仿宋_GB2312" w:cs="Arial"/>
                <w:lang w:eastAsia="zh-CN"/>
              </w:rPr>
            </w:r>
          </w:p>
        </w:tc>
        <w:tc>
          <w:tcPr>
            <w:tcBorders/>
            <w:tcW w:w="1673" w:type="dxa"/>
            <w:textDirection w:val="lrTb"/>
            <w:noWrap w:val="false"/>
          </w:tcPr>
          <w:p>
            <w:pPr>
              <w:pStyle w:val="1525"/>
              <w:pBdr/>
              <w:spacing w:before="35"/>
              <w:ind w:left="307"/>
              <w:rPr>
                <w:rFonts w:ascii="Arial Narrow" w:hAnsi="Arial Narrow" w:eastAsia="仿宋_GB2312" w:cs="Arial"/>
                <w:lang w:eastAsia="zh-CN"/>
              </w:rPr>
            </w:pPr>
            <w:r>
              <w:rPr>
                <w:rFonts w:ascii="Arial Narrow" w:hAnsi="Arial Narrow" w:eastAsia="仿宋_GB2312" w:cs="Arial"/>
              </w:rPr>
              <w:t xml:space="preserve">澳大利亚</w:t>
            </w:r>
            <w:r>
              <w:rPr>
                <w:rFonts w:ascii="Arial Narrow" w:hAnsi="Arial Narrow" w:eastAsia="仿宋_GB2312" w:cs="Arial"/>
                <w:lang w:eastAsia="zh-CN"/>
              </w:rPr>
            </w:r>
          </w:p>
        </w:tc>
      </w:tr>
      <w:tr>
        <w:trPr>
          <w:trHeight w:val="505" w:hRule="exact"/>
        </w:trPr>
        <w:tc>
          <w:tcPr>
            <w:tcBorders/>
            <w:tcW w:w="1134" w:type="dxa"/>
            <w:textDirection w:val="lrTb"/>
            <w:noWrap w:val="false"/>
          </w:tcPr>
          <w:p>
            <w:pPr>
              <w:pStyle w:val="1525"/>
              <w:pBdr/>
              <w:spacing w:before="35"/>
              <w:ind w:left="50"/>
              <w:rPr>
                <w:rFonts w:ascii="Arial Narrow" w:hAnsi="Arial Narrow" w:eastAsia="仿宋_GB2312" w:cs="Arial"/>
              </w:rPr>
            </w:pPr>
            <w:r>
              <w:rPr>
                <w:rFonts w:ascii="Arial Narrow" w:hAnsi="Arial Narrow" w:eastAsia="仿宋_GB2312" w:cs="Arial"/>
              </w:rPr>
              <w:t xml:space="preserve">新西兰</w:t>
            </w:r>
            <w:r>
              <w:rPr>
                <w:rFonts w:ascii="Arial Narrow" w:hAnsi="Arial Narrow" w:eastAsia="仿宋_GB2312" w:cs="Arial"/>
              </w:rPr>
            </w:r>
          </w:p>
        </w:tc>
        <w:tc>
          <w:tcPr>
            <w:tcBorders/>
            <w:tcW w:w="1701" w:type="dxa"/>
            <w:textDirection w:val="lrTb"/>
            <w:noWrap w:val="false"/>
          </w:tcPr>
          <w:p>
            <w:pPr>
              <w:pStyle w:val="1525"/>
              <w:pBdr/>
              <w:spacing w:before="35"/>
              <w:ind w:left="328"/>
              <w:rPr>
                <w:rFonts w:ascii="Arial Narrow" w:hAnsi="Arial Narrow" w:eastAsia="仿宋_GB2312" w:cs="Arial"/>
                <w:lang w:eastAsia="zh-CN"/>
              </w:rPr>
            </w:pPr>
            <w:r>
              <w:rPr>
                <w:rFonts w:ascii="Arial Narrow" w:hAnsi="Arial Narrow" w:eastAsia="仿宋_GB2312" w:cs="Arial"/>
                <w:lang w:eastAsia="zh-CN"/>
              </w:rPr>
            </w:r>
            <w:r>
              <w:rPr>
                <w:rFonts w:ascii="Arial Narrow" w:hAnsi="Arial Narrow" w:eastAsia="仿宋_GB2312" w:cs="Arial"/>
                <w:lang w:eastAsia="zh-CN"/>
              </w:rPr>
            </w:r>
          </w:p>
        </w:tc>
        <w:tc>
          <w:tcPr>
            <w:tcBorders/>
            <w:tcW w:w="1900" w:type="dxa"/>
            <w:textDirection w:val="lrTb"/>
            <w:noWrap w:val="false"/>
          </w:tcPr>
          <w:p>
            <w:pPr>
              <w:pStyle w:val="1525"/>
              <w:pBdr/>
              <w:spacing w:before="35"/>
              <w:ind w:left="374"/>
              <w:rPr>
                <w:rFonts w:ascii="Arial Narrow" w:hAnsi="Arial Narrow" w:eastAsia="仿宋_GB2312" w:cs="Arial"/>
                <w:lang w:eastAsia="zh-CN"/>
              </w:rPr>
            </w:pPr>
            <w:r>
              <w:rPr>
                <w:rFonts w:ascii="Arial Narrow" w:hAnsi="Arial Narrow" w:eastAsia="仿宋_GB2312" w:cs="Arial"/>
                <w:lang w:eastAsia="zh-CN"/>
              </w:rPr>
            </w:r>
            <w:r>
              <w:rPr>
                <w:rFonts w:ascii="Arial Narrow" w:hAnsi="Arial Narrow" w:eastAsia="仿宋_GB2312" w:cs="Arial"/>
                <w:lang w:eastAsia="zh-CN"/>
              </w:rPr>
            </w:r>
          </w:p>
        </w:tc>
        <w:tc>
          <w:tcPr>
            <w:tcBorders/>
            <w:tcW w:w="1673" w:type="dxa"/>
            <w:textDirection w:val="lrTb"/>
            <w:noWrap w:val="false"/>
          </w:tcPr>
          <w:p>
            <w:pPr>
              <w:pStyle w:val="1525"/>
              <w:pBdr/>
              <w:spacing w:before="35"/>
              <w:ind w:left="388"/>
              <w:rPr>
                <w:rFonts w:ascii="Arial Narrow" w:hAnsi="Arial Narrow" w:eastAsia="仿宋_GB2312" w:cs="Arial"/>
                <w:lang w:eastAsia="zh-CN"/>
              </w:rPr>
            </w:pPr>
            <w:r>
              <w:rPr>
                <w:rFonts w:ascii="Arial Narrow" w:hAnsi="Arial Narrow" w:eastAsia="仿宋_GB2312" w:cs="Arial"/>
                <w:lang w:eastAsia="zh-CN"/>
              </w:rPr>
            </w:r>
            <w:r>
              <w:rPr>
                <w:rFonts w:ascii="Arial Narrow" w:hAnsi="Arial Narrow" w:eastAsia="仿宋_GB2312" w:cs="Arial"/>
                <w:lang w:eastAsia="zh-CN"/>
              </w:rPr>
            </w:r>
          </w:p>
        </w:tc>
        <w:tc>
          <w:tcPr>
            <w:tcBorders/>
            <w:tcW w:w="1673" w:type="dxa"/>
            <w:textDirection w:val="lrTb"/>
            <w:noWrap w:val="false"/>
          </w:tcPr>
          <w:p>
            <w:pPr>
              <w:pStyle w:val="1525"/>
              <w:pBdr/>
              <w:spacing w:before="35"/>
              <w:ind w:left="307"/>
              <w:rPr>
                <w:rFonts w:ascii="Arial Narrow" w:hAnsi="Arial Narrow" w:eastAsia="仿宋_GB2312" w:cs="Arial"/>
                <w:lang w:eastAsia="zh-CN"/>
              </w:rPr>
            </w:pPr>
            <w:r>
              <w:rPr>
                <w:rFonts w:ascii="Arial Narrow" w:hAnsi="Arial Narrow" w:eastAsia="仿宋_GB2312" w:cs="Arial"/>
                <w:lang w:eastAsia="zh-CN"/>
              </w:rPr>
            </w:r>
            <w:r>
              <w:rPr>
                <w:rFonts w:ascii="Arial Narrow" w:hAnsi="Arial Narrow" w:eastAsia="仿宋_GB2312" w:cs="Arial"/>
                <w:lang w:eastAsia="zh-CN"/>
              </w:rPr>
            </w:r>
          </w:p>
        </w:tc>
      </w:tr>
    </w:tbl>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通过这种地理位置筛选，我们得到了137家可比公司。</w:t>
      </w:r>
      <w:r>
        <w:rPr>
          <w:rFonts w:ascii="Arial Narrow" w:hAnsi="Arial Narrow" w:eastAsia="仿宋_GB2312" w:cs="Arial"/>
          <w:sz w:val="22"/>
          <w:szCs w:val="22"/>
        </w:rPr>
      </w:r>
      <w:r>
        <w:rPr>
          <w:rFonts w:ascii="Arial Narrow" w:hAnsi="Arial Narrow" w:eastAsia="仿宋_GB2312" w:cs="Arial"/>
          <w:sz w:val="22"/>
          <w:szCs w:val="22"/>
        </w:rPr>
      </w:r>
    </w:p>
    <w:p>
      <w:pPr>
        <w:pStyle w:val="1326"/>
        <w:pBdr/>
        <w:spacing/>
        <w:ind/>
        <w:rPr>
          <w:b/>
        </w:rPr>
      </w:pPr>
      <w:r>
        <w:t xml:space="preserve">独立性和上市公司筛选</w:t>
      </w:r>
      <w:r>
        <w:rPr>
          <w:b/>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受控企业或者非独立企业的交易价格或利润水平可能会受到其与关联公司之间进行的可能违反独立交易原则的交易的影响而发生扭曲。因此，我们采用了Bureau van Dijk Electronic的独立性指标，来排除那些可能被认定为非独立性的公司。</w:t>
      </w:r>
      <w:r>
        <w:rPr>
          <w:rFonts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我们保留了46家被标注为如下股权关系的上市公司：</w:t>
      </w:r>
      <w:r>
        <w:rPr>
          <w:rFonts w:ascii="Arial Narrow" w:hAnsi="Arial Narrow" w:eastAsia="仿宋_GB2312" w:cs="Arial"/>
          <w:sz w:val="22"/>
          <w:szCs w:val="22"/>
        </w:rPr>
      </w:r>
      <w:r>
        <w:rPr>
          <w:rFonts w:ascii="Arial Narrow" w:hAnsi="Arial Narrow" w:eastAsia="仿宋_GB2312" w:cs="Arial"/>
          <w:sz w:val="22"/>
          <w:szCs w:val="22"/>
        </w:rPr>
      </w:r>
    </w:p>
    <w:p>
      <w:pPr>
        <w:pStyle w:val="1443"/>
        <w:numPr>
          <w:ilvl w:val="0"/>
          <w:numId w:val="30"/>
        </w:numPr>
        <w:pBdr/>
        <w:spacing w:after="156" w:before="156" w:line="360" w:lineRule="auto"/>
        <w:ind w:right="113"/>
        <w:contextualSpacing w:val="false"/>
        <w:jc w:val="both"/>
        <w:rPr>
          <w:rFonts w:ascii="Arial Narrow" w:hAnsi="Arial Narrow" w:eastAsia="仿宋_GB2312" w:cs="Arial"/>
        </w:rPr>
      </w:pPr>
      <w:r>
        <w:rPr>
          <w:rFonts w:ascii="Arial Narrow" w:hAnsi="Arial Narrow" w:eastAsia="仿宋_GB2312" w:cs="Arial"/>
        </w:rPr>
        <w:t xml:space="preserve">A+，A，A-：表明没有任何单个股东控制该公司的股份超过25%；</w:t>
      </w:r>
      <w:r>
        <w:rPr>
          <w:rFonts w:ascii="Arial Narrow" w:hAnsi="Arial Narrow" w:eastAsia="仿宋_GB2312" w:cs="Arial"/>
        </w:rPr>
      </w:r>
      <w:r>
        <w:rPr>
          <w:rFonts w:ascii="Arial Narrow" w:hAnsi="Arial Narrow" w:eastAsia="仿宋_GB2312" w:cs="Arial"/>
        </w:rPr>
      </w:r>
    </w:p>
    <w:p>
      <w:pPr>
        <w:pStyle w:val="1443"/>
        <w:numPr>
          <w:ilvl w:val="0"/>
          <w:numId w:val="30"/>
        </w:numPr>
        <w:pBdr/>
        <w:spacing w:after="156" w:before="156" w:line="360" w:lineRule="auto"/>
        <w:ind w:right="113"/>
        <w:contextualSpacing w:val="false"/>
        <w:jc w:val="both"/>
        <w:rPr>
          <w:rFonts w:ascii="Arial Narrow" w:hAnsi="Arial Narrow" w:eastAsia="仿宋_GB2312" w:cs="Arial"/>
        </w:rPr>
      </w:pPr>
      <w:r>
        <w:rPr>
          <w:rFonts w:ascii="Arial Narrow" w:hAnsi="Arial Narrow" w:eastAsia="仿宋_GB2312" w:cs="Arial"/>
        </w:rPr>
        <w:t xml:space="preserve">U：表明持股不详。</w:t>
      </w:r>
      <w:r>
        <w:rPr>
          <w:rFonts w:ascii="Arial Narrow" w:hAnsi="Arial Narrow" w:eastAsia="仿宋_GB2312" w:cs="Arial"/>
        </w:rPr>
      </w:r>
      <w:r>
        <w:rPr>
          <w:rFonts w:ascii="Arial Narrow" w:hAnsi="Arial Narrow" w:eastAsia="仿宋_GB2312" w:cs="Arial"/>
        </w:rPr>
      </w:r>
    </w:p>
    <w:p>
      <w:pPr>
        <w:pStyle w:val="1326"/>
        <w:pBdr/>
        <w:spacing/>
        <w:ind/>
        <w:rPr/>
      </w:pPr>
      <w:r>
        <w:t xml:space="preserve">定量筛选</w:t>
      </w: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我们将46家样本公司中在2020到2022财年内满足以下一项或多项特征的样本公司予以排除，从而提高潜在可比公司样本的可比性：</w:t>
      </w:r>
      <w:r>
        <w:rPr>
          <w:rFonts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firstLine="442"/>
        <w:jc w:val="both"/>
        <w:rPr>
          <w:rFonts w:ascii="Arial Narrow" w:hAnsi="Arial Narrow" w:eastAsia="仿宋_GB2312" w:cs="Arial"/>
          <w:sz w:val="22"/>
          <w:szCs w:val="22"/>
        </w:rPr>
      </w:pPr>
      <w:r>
        <w:rPr>
          <w:rFonts w:ascii="Arial Narrow" w:hAnsi="Arial Narrow" w:eastAsia="仿宋_GB2312" w:cs="Arial"/>
          <w:b/>
          <w:sz w:val="22"/>
          <w:szCs w:val="22"/>
        </w:rPr>
        <w:t xml:space="preserve">数据完整性：正如我们将在以下章节7.5.4.2中所讨论的，使用多年度数据可以降低短期市场波动对转让定价分析的影响。因此，我们排除了那些在2020年至2022财年期间，缺少任意年度有效财务数据的公司。</w:t>
      </w:r>
      <w:r>
        <w:rPr>
          <w:rFonts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firstLine="442"/>
        <w:jc w:val="both"/>
        <w:rPr>
          <w:rFonts w:ascii="Arial Narrow" w:hAnsi="Arial Narrow" w:eastAsia="仿宋_GB2312" w:cs="Arial"/>
          <w:sz w:val="22"/>
          <w:szCs w:val="22"/>
        </w:rPr>
      </w:pPr>
      <w:r>
        <w:rPr>
          <w:rFonts w:ascii="Arial Narrow" w:hAnsi="Arial Narrow" w:eastAsia="仿宋_GB2312" w:cs="Arial"/>
          <w:b/>
          <w:sz w:val="22"/>
          <w:szCs w:val="22"/>
        </w:rPr>
        <w:t xml:space="preserve">连续亏损：有连续亏损的独立公司对于受控交易下稳定经营的公司而言，不具备足够的可比性。因此，我们将2020到2022财年期间三年连续经营亏损的公司从可比样本中排除。</w:t>
      </w:r>
      <w:r>
        <w:rPr>
          <w:rFonts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通过定量筛选，我们排除了总计11家公司，剩下35家样本公司。</w:t>
      </w:r>
      <w:r>
        <w:rPr>
          <w:rFonts w:ascii="Arial Narrow" w:hAnsi="Arial Narrow" w:eastAsia="仿宋_GB2312" w:cs="Arial"/>
          <w:sz w:val="22"/>
          <w:szCs w:val="22"/>
        </w:rPr>
      </w:r>
      <w:r>
        <w:rPr>
          <w:rFonts w:ascii="Arial Narrow" w:hAnsi="Arial Narrow" w:eastAsia="仿宋_GB2312" w:cs="Arial"/>
          <w:sz w:val="22"/>
          <w:szCs w:val="22"/>
        </w:rPr>
      </w:r>
    </w:p>
    <w:p>
      <w:pPr>
        <w:pStyle w:val="1326"/>
        <w:pBdr/>
        <w:spacing/>
        <w:ind/>
        <w:rPr/>
      </w:pPr>
      <w:r>
        <w:t xml:space="preserve">定性筛选</w:t>
      </w: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我们接着审阅了剩下的每一家公司在TP Catalyst数据库中的业务描述，以此来排除执行的功能（例如，研发，生产，服务等）与松莉科技的在受测关联交易中执行的职能不具有宽泛可比性的公司。</w:t>
      </w:r>
      <w:r>
        <w:rPr>
          <w:rFonts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通过定性筛选，我们排除了总计26家公司，它们因满足以下一项或多项条件使得它们与松莉科技的受测关联交易不具备充足的可比性：</w:t>
      </w:r>
      <w:r>
        <w:rPr>
          <w:rFonts w:ascii="Arial Narrow" w:hAnsi="Arial Narrow" w:eastAsia="仿宋_GB2312" w:cs="Arial"/>
          <w:sz w:val="22"/>
          <w:szCs w:val="22"/>
        </w:rPr>
      </w:r>
      <w:r>
        <w:rPr>
          <w:rFonts w:ascii="Arial Narrow" w:hAnsi="Arial Narrow" w:eastAsia="仿宋_GB2312" w:cs="Arial"/>
          <w:sz w:val="22"/>
          <w:szCs w:val="22"/>
        </w:rPr>
      </w:r>
    </w:p>
    <w:p>
      <w:pPr>
        <w:pStyle w:val="1443"/>
        <w:numPr>
          <w:ilvl w:val="0"/>
          <w:numId w:val="31"/>
        </w:numPr>
        <w:pBdr/>
        <w:spacing w:after="156" w:before="156" w:line="360" w:lineRule="auto"/>
        <w:ind w:right="113"/>
        <w:contextualSpacing w:val="false"/>
        <w:jc w:val="both"/>
        <w:rPr>
          <w:rFonts w:ascii="Arial Narrow" w:hAnsi="Arial Narrow" w:eastAsia="仿宋_GB2312" w:cs="Arial"/>
        </w:rPr>
      </w:pPr>
      <w:r>
        <w:rPr>
          <w:rFonts w:ascii="Arial Narrow" w:hAnsi="Arial Narrow" w:eastAsia="仿宋_GB2312" w:cs="Arial"/>
        </w:rPr>
        <w:t xml:space="preserve">企业执行的功能与松莉科技存在显著差异；</w:t>
      </w:r>
      <w:r>
        <w:rPr>
          <w:rFonts w:ascii="Arial Narrow" w:hAnsi="Arial Narrow" w:eastAsia="仿宋_GB2312" w:cs="Arial"/>
        </w:rPr>
      </w:r>
      <w:r>
        <w:rPr>
          <w:rFonts w:ascii="Arial Narrow" w:hAnsi="Arial Narrow" w:eastAsia="仿宋_GB2312" w:cs="Arial"/>
        </w:rPr>
      </w:r>
    </w:p>
    <w:p>
      <w:pPr>
        <w:pStyle w:val="1443"/>
        <w:numPr>
          <w:ilvl w:val="0"/>
          <w:numId w:val="31"/>
        </w:numPr>
        <w:pBdr/>
        <w:spacing w:after="156" w:before="156" w:line="360" w:lineRule="auto"/>
        <w:ind w:right="113"/>
        <w:contextualSpacing w:val="false"/>
        <w:jc w:val="both"/>
        <w:rPr>
          <w:rFonts w:ascii="Arial Narrow" w:hAnsi="Arial Narrow" w:eastAsia="仿宋_GB2312" w:cs="Arial"/>
        </w:rPr>
      </w:pPr>
      <w:r>
        <w:rPr>
          <w:rFonts w:ascii="Arial Narrow" w:hAnsi="Arial Narrow" w:eastAsia="仿宋_GB2312" w:cs="Arial"/>
        </w:rPr>
        <w:t xml:space="preserve">企业生产的产品与松莉科技存在显著差异。</w:t>
      </w:r>
      <w:r>
        <w:rPr>
          <w:rFonts w:ascii="Arial Narrow" w:hAnsi="Arial Narrow" w:eastAsia="仿宋_GB2312" w:cs="Arial"/>
        </w:rPr>
      </w:r>
      <w:r>
        <w:rPr>
          <w:rFonts w:ascii="Arial Narrow" w:hAnsi="Arial Narrow" w:eastAsia="仿宋_GB2312" w:cs="Arial"/>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我们最终选定9家营业地位于亚太地区的公司作为松莉科技的可比公司。</w:t>
      </w:r>
      <w:r>
        <w:rPr>
          <w:rFonts w:ascii="Arial Narrow" w:hAnsi="Arial Narrow" w:eastAsia="仿宋_GB2312" w:cs="Arial"/>
          <w:sz w:val="22"/>
          <w:szCs w:val="22"/>
        </w:rPr>
      </w:r>
      <w:r>
        <w:rPr>
          <w:rFonts w:ascii="Arial Narrow" w:hAnsi="Arial Narrow" w:eastAsia="仿宋_GB2312" w:cs="Arial"/>
          <w:sz w:val="22"/>
          <w:szCs w:val="22"/>
        </w:rPr>
      </w:r>
    </w:p>
    <w:p>
      <w:pPr>
        <w:pStyle w:val="1326"/>
        <w:pBdr/>
        <w:spacing/>
        <w:ind/>
        <w:rPr/>
      </w:pPr>
      <w:r>
        <w:t xml:space="preserve">外部可比公司搜寻过程</w:t>
      </w:r>
      <w:r/>
    </w:p>
    <w:p>
      <w:pPr>
        <w:pBdr/>
        <w:spacing w:after="156" w:before="156" w:line="360" w:lineRule="auto"/>
        <w:ind w:firstLine="440"/>
        <w:jc w:val="both"/>
        <w:rPr>
          <w:rFonts w:ascii="Arial Narrow" w:hAnsi="Arial Narrow" w:eastAsia="仿宋_GB2312" w:cs="Arial"/>
          <w:sz w:val="22"/>
          <w:szCs w:val="22"/>
        </w:rPr>
      </w:pPr>
      <w:r/>
      <w:bookmarkStart w:id="1041" w:name="_Toc48583215"/>
      <w:r/>
      <w:bookmarkStart w:id="1042" w:name="_Toc48583101"/>
      <w:r/>
      <w:bookmarkStart w:id="1043" w:name="_Toc48399701"/>
      <w:r/>
      <w:bookmarkStart w:id="1044" w:name="_Toc48399737"/>
      <w:r/>
      <w:bookmarkStart w:id="1045" w:name="_Toc48582695"/>
      <w:r/>
      <w:bookmarkStart w:id="1046" w:name="_Toc48399712"/>
      <w:r/>
      <w:bookmarkStart w:id="1047" w:name="_Toc48582708"/>
      <w:r/>
      <w:bookmarkStart w:id="1048" w:name="_Toc48582808"/>
      <w:r/>
      <w:bookmarkStart w:id="1049" w:name="_Toc48583136"/>
      <w:r/>
      <w:bookmarkStart w:id="1050" w:name="_Toc48399723"/>
      <w:r/>
      <w:bookmarkStart w:id="1051" w:name="_Toc48399819"/>
      <w:r/>
      <w:bookmarkStart w:id="1052" w:name="_Toc48399736"/>
      <w:r/>
      <w:bookmarkStart w:id="1053" w:name="_Toc48583138"/>
      <w:r/>
      <w:bookmarkStart w:id="1054" w:name="_Toc48583100"/>
      <w:r/>
      <w:bookmarkStart w:id="1055" w:name="_Toc48582782"/>
      <w:r/>
      <w:bookmarkStart w:id="1056" w:name="_Toc48582895"/>
      <w:r/>
      <w:bookmarkStart w:id="1057" w:name="_Toc48582682"/>
      <w:r/>
      <w:bookmarkStart w:id="1058" w:name="_Toc48583195"/>
      <w:r/>
      <w:bookmarkStart w:id="1059" w:name="_Toc48582701"/>
      <w:r/>
      <w:bookmarkStart w:id="1060" w:name="_Toc48399815"/>
      <w:r/>
      <w:bookmarkStart w:id="1061" w:name="_Toc48583123"/>
      <w:r/>
      <w:bookmarkStart w:id="1062" w:name="_Toc48582723"/>
      <w:r/>
      <w:bookmarkStart w:id="1063" w:name="_Toc48583132"/>
      <w:r/>
      <w:bookmarkStart w:id="1064" w:name="_Toc48399821"/>
      <w:r/>
      <w:bookmarkStart w:id="1065" w:name="_Toc48399695"/>
      <w:r/>
      <w:bookmarkStart w:id="1066" w:name="_Toc48583137"/>
      <w:r/>
      <w:bookmarkStart w:id="1067" w:name="_Toc48582691"/>
      <w:r/>
      <w:bookmarkStart w:id="1068" w:name="_Toc48583222"/>
      <w:r/>
      <w:bookmarkStart w:id="1069" w:name="_Toc48399734"/>
      <w:r/>
      <w:bookmarkStart w:id="1070" w:name="_Toc48582688"/>
      <w:r/>
      <w:bookmarkStart w:id="1071" w:name="_Toc48399820"/>
      <w:r/>
      <w:bookmarkStart w:id="1072" w:name="_Toc48399823"/>
      <w:r/>
      <w:bookmarkStart w:id="1073" w:name="_Toc48399789"/>
      <w:r/>
      <w:bookmarkStart w:id="1074" w:name="_Toc48399822"/>
      <w:r/>
      <w:bookmarkStart w:id="1075" w:name="_Toc48583131"/>
      <w:r/>
      <w:bookmarkStart w:id="1076" w:name="_Toc48583121"/>
      <w:r/>
      <w:bookmarkStart w:id="1077" w:name="_Toc48583223"/>
      <w:r/>
      <w:bookmarkStart w:id="1078" w:name="_Toc48583220"/>
      <w:r/>
      <w:bookmarkStart w:id="1079" w:name="_Toc48399698"/>
      <w:r/>
      <w:bookmarkStart w:id="1080" w:name="_Toc48582726"/>
      <w:r/>
      <w:bookmarkStart w:id="1081" w:name="_Toc48583139"/>
      <w:r/>
      <w:bookmarkStart w:id="1082" w:name="_Toc48399703"/>
      <w:r/>
      <w:bookmarkStart w:id="1083" w:name="_Toc48582776"/>
      <w:r/>
      <w:bookmarkStart w:id="1084" w:name="_Toc48583113"/>
      <w:r/>
      <w:bookmarkStart w:id="1085" w:name="_Toc48399795"/>
      <w:r/>
      <w:bookmarkStart w:id="1086" w:name="_Toc48582699"/>
      <w:r/>
      <w:bookmarkStart w:id="1087" w:name="_Toc48399721"/>
      <w:r/>
      <w:bookmarkStart w:id="1088" w:name="_Toc48582687"/>
      <w:r/>
      <w:bookmarkStart w:id="1089" w:name="_Toc48583104"/>
      <w:r/>
      <w:bookmarkStart w:id="1090" w:name="_Toc48583103"/>
      <w:r/>
      <w:bookmarkStart w:id="1091" w:name="_Toc48399714"/>
      <w:r/>
      <w:bookmarkStart w:id="1092" w:name="_Toc48582710"/>
      <w:r/>
      <w:bookmarkStart w:id="1093" w:name="_Toc48399708"/>
      <w:r/>
      <w:bookmarkStart w:id="1094" w:name="_Toc48583108"/>
      <w:r/>
      <w:bookmarkStart w:id="1095" w:name="_Toc48399739"/>
      <w:r/>
      <w:bookmarkStart w:id="1096" w:name="_Toc48582685"/>
      <w:r/>
      <w:bookmarkStart w:id="1097" w:name="_Toc48583095"/>
      <w:r/>
      <w:bookmarkStart w:id="1098" w:name="_Toc48582809"/>
      <w:r/>
      <w:bookmarkStart w:id="1099" w:name="_Toc48582802"/>
      <w:r/>
      <w:bookmarkStart w:id="1100" w:name="_Toc48582718"/>
      <w:r/>
      <w:bookmarkStart w:id="1101" w:name="_Toc48399732"/>
      <w:r/>
      <w:bookmarkStart w:id="1102" w:name="_Toc48583098"/>
      <w:r/>
      <w:bookmarkStart w:id="1103" w:name="_Toc48582690"/>
      <w:r/>
      <w:bookmarkStart w:id="1104" w:name="_Toc48582725"/>
      <w:r/>
      <w:bookmarkStart w:id="1105" w:name="_Toc48582719"/>
      <w:r/>
      <w:bookmarkStart w:id="1106" w:name="_Toc48399908"/>
      <w:r/>
      <w:bookmarkStart w:id="1107" w:name="_Toc48399731"/>
      <w:r/>
      <w:bookmarkStart w:id="1108" w:name="_Toc48583114"/>
      <w:r/>
      <w:bookmarkStart w:id="1109" w:name="_Toc48583134"/>
      <w:r/>
      <w:bookmarkStart w:id="1110" w:name="_Toc48582721"/>
      <w:r/>
      <w:bookmarkStart w:id="1111" w:name="_Toc48583219"/>
      <w:r/>
      <w:bookmarkStart w:id="1112" w:name="_Toc48582806"/>
      <w:r/>
      <w:bookmarkStart w:id="1113" w:name="_Toc48582700"/>
      <w:r/>
      <w:bookmarkStart w:id="1114" w:name="_Toc48583189"/>
      <w:r/>
      <w:bookmarkStart w:id="1115" w:name="_Toc48582807"/>
      <w:r/>
      <w:bookmarkStart w:id="1116" w:name="_Toc48399738"/>
      <w:r/>
      <w:bookmarkStart w:id="1117" w:name="_Toc48399700"/>
      <w:r/>
      <w:bookmarkStart w:id="1118" w:name="_Toc48583112"/>
      <w:r/>
      <w:bookmarkStart w:id="1119" w:name="_Toc48582724"/>
      <w:r/>
      <w:bookmarkStart w:id="1120" w:name="_Toc48399713"/>
      <w:r/>
      <w:bookmarkStart w:id="1121" w:name="_Toc48583221"/>
      <w:r/>
      <w:bookmarkStart w:id="1122" w:name="_Toc48582810"/>
      <w:r/>
      <w:bookmarkStart w:id="1123" w:name="_Toc48399704"/>
      <w:r/>
      <w:bookmarkStart w:id="1124" w:name="_Toc48583308"/>
      <w:r/>
      <w:bookmarkStart w:id="1125" w:name="_Toc48317557"/>
      <w:r/>
      <w:bookmarkStart w:id="1126" w:name="_Toc261727555"/>
      <w:r/>
      <w:bookmarkStart w:id="1127" w:name="_Toc274480839"/>
      <w:r/>
      <w:bookmarkEnd w:id="1041"/>
      <w:r/>
      <w:bookmarkEnd w:id="1042"/>
      <w:r/>
      <w:bookmarkEnd w:id="1043"/>
      <w:r/>
      <w:bookmarkEnd w:id="1044"/>
      <w:r/>
      <w:bookmarkEnd w:id="1045"/>
      <w:r/>
      <w:bookmarkEnd w:id="1046"/>
      <w:r/>
      <w:bookmarkEnd w:id="1047"/>
      <w:r/>
      <w:bookmarkEnd w:id="1048"/>
      <w:r/>
      <w:bookmarkEnd w:id="1049"/>
      <w:r/>
      <w:bookmarkEnd w:id="1050"/>
      <w:r/>
      <w:bookmarkEnd w:id="1051"/>
      <w:r/>
      <w:bookmarkEnd w:id="1052"/>
      <w:r/>
      <w:bookmarkEnd w:id="1053"/>
      <w:r/>
      <w:bookmarkEnd w:id="1054"/>
      <w:r/>
      <w:bookmarkEnd w:id="1055"/>
      <w:r/>
      <w:bookmarkEnd w:id="1056"/>
      <w:r/>
      <w:bookmarkEnd w:id="1057"/>
      <w:r/>
      <w:bookmarkEnd w:id="1058"/>
      <w:r/>
      <w:bookmarkEnd w:id="1059"/>
      <w:r/>
      <w:bookmarkEnd w:id="1060"/>
      <w:r/>
      <w:bookmarkEnd w:id="1061"/>
      <w:r/>
      <w:bookmarkEnd w:id="1062"/>
      <w:r/>
      <w:bookmarkEnd w:id="1063"/>
      <w:r/>
      <w:bookmarkEnd w:id="1064"/>
      <w:r/>
      <w:bookmarkEnd w:id="1065"/>
      <w:r/>
      <w:bookmarkEnd w:id="1066"/>
      <w:r/>
      <w:bookmarkEnd w:id="1067"/>
      <w:r/>
      <w:bookmarkEnd w:id="1068"/>
      <w:r/>
      <w:bookmarkEnd w:id="1069"/>
      <w:r/>
      <w:bookmarkEnd w:id="1070"/>
      <w:r/>
      <w:bookmarkEnd w:id="1071"/>
      <w:r/>
      <w:bookmarkEnd w:id="1072"/>
      <w:r/>
      <w:bookmarkEnd w:id="1073"/>
      <w:r/>
      <w:bookmarkEnd w:id="1074"/>
      <w:r/>
      <w:bookmarkEnd w:id="1075"/>
      <w:r/>
      <w:bookmarkEnd w:id="1076"/>
      <w:r/>
      <w:bookmarkEnd w:id="1077"/>
      <w:r/>
      <w:bookmarkEnd w:id="1078"/>
      <w:r/>
      <w:bookmarkEnd w:id="1079"/>
      <w:r/>
      <w:bookmarkEnd w:id="1080"/>
      <w:r/>
      <w:bookmarkEnd w:id="1081"/>
      <w:r/>
      <w:bookmarkEnd w:id="1082"/>
      <w:r/>
      <w:bookmarkEnd w:id="1083"/>
      <w:r/>
      <w:bookmarkEnd w:id="1084"/>
      <w:r/>
      <w:bookmarkEnd w:id="1085"/>
      <w:r/>
      <w:bookmarkEnd w:id="1086"/>
      <w:r/>
      <w:bookmarkEnd w:id="1087"/>
      <w:r/>
      <w:bookmarkEnd w:id="1088"/>
      <w:r/>
      <w:bookmarkEnd w:id="1089"/>
      <w:r/>
      <w:bookmarkEnd w:id="1090"/>
      <w:r/>
      <w:bookmarkEnd w:id="1091"/>
      <w:r/>
      <w:bookmarkEnd w:id="1092"/>
      <w:r/>
      <w:bookmarkEnd w:id="1093"/>
      <w:r/>
      <w:bookmarkEnd w:id="1094"/>
      <w:r/>
      <w:bookmarkEnd w:id="1095"/>
      <w:r/>
      <w:bookmarkEnd w:id="1096"/>
      <w:r/>
      <w:bookmarkEnd w:id="1097"/>
      <w:r/>
      <w:bookmarkEnd w:id="1098"/>
      <w:r/>
      <w:bookmarkEnd w:id="1099"/>
      <w:r/>
      <w:bookmarkEnd w:id="1100"/>
      <w:r/>
      <w:bookmarkEnd w:id="1101"/>
      <w:r/>
      <w:bookmarkEnd w:id="1102"/>
      <w:r/>
      <w:bookmarkEnd w:id="1103"/>
      <w:r/>
      <w:bookmarkEnd w:id="1104"/>
      <w:r/>
      <w:bookmarkEnd w:id="1105"/>
      <w:r/>
      <w:bookmarkEnd w:id="1106"/>
      <w:r/>
      <w:bookmarkEnd w:id="1107"/>
      <w:r/>
      <w:bookmarkEnd w:id="1108"/>
      <w:r/>
      <w:bookmarkEnd w:id="1109"/>
      <w:r/>
      <w:bookmarkEnd w:id="1110"/>
      <w:r/>
      <w:bookmarkEnd w:id="1111"/>
      <w:r/>
      <w:bookmarkEnd w:id="1112"/>
      <w:r/>
      <w:bookmarkEnd w:id="1113"/>
      <w:r/>
      <w:bookmarkEnd w:id="1114"/>
      <w:r/>
      <w:bookmarkEnd w:id="1115"/>
      <w:r/>
      <w:bookmarkEnd w:id="1116"/>
      <w:r/>
      <w:bookmarkEnd w:id="1117"/>
      <w:r/>
      <w:bookmarkEnd w:id="1118"/>
      <w:r/>
      <w:bookmarkEnd w:id="1119"/>
      <w:r/>
      <w:bookmarkEnd w:id="1120"/>
      <w:r/>
      <w:bookmarkEnd w:id="1121"/>
      <w:r/>
      <w:bookmarkEnd w:id="1122"/>
      <w:r/>
      <w:bookmarkEnd w:id="1123"/>
      <w:r/>
      <w:bookmarkEnd w:id="1124"/>
      <w:r>
        <w:rPr>
          <w:rFonts w:ascii="Arial Narrow" w:hAnsi="Arial Narrow" w:eastAsia="仿宋_GB2312" w:cs="Arial"/>
          <w:sz w:val="22"/>
          <w:szCs w:val="22"/>
        </w:rPr>
        <w:t xml:space="preserve">搜索策略和结果如下：</w:t>
      </w:r>
      <w:r>
        <w:rPr>
          <w:rFonts w:ascii="Arial Narrow" w:hAnsi="Arial Narrow" w:eastAsia="仿宋_GB2312" w:cs="Arial"/>
          <w:sz w:val="22"/>
          <w:szCs w:val="22"/>
        </w:rPr>
      </w:r>
    </w:p>
    <w:p>
      <w:pPr>
        <w:pBdr/>
        <w:spacing/>
        <w:ind/>
        <w:rPr>
          <w:rFonts w:ascii="Arial Narrow" w:hAnsi="Arial Narrow" w:eastAsia="仿宋_GB2312" w:cs="Arial"/>
          <w:sz w:val="22"/>
          <w:szCs w:val="22"/>
        </w:rPr>
      </w:pPr>
      <w:r>
        <w:rPr>
          <w:rFonts w:ascii="Arial Narrow" w:hAnsi="Arial Narrow" w:eastAsia="仿宋_GB2312" w:cs="Arial"/>
          <w:sz w:val="22"/>
          <w:szCs w:val="22"/>
        </w:rPr>
        <w:br w:type="page" w:clear="all"/>
      </w:r>
      <w:r>
        <w:rPr>
          <w:rFonts w:ascii="Arial Narrow" w:hAnsi="Arial Narrow" w:eastAsia="仿宋_GB2312" w:cs="Arial"/>
          <w:sz w:val="22"/>
          <w:szCs w:val="22"/>
        </w:rPr>
      </w:r>
    </w:p>
    <w:p>
      <w:pPr>
        <w:pStyle w:val="1338"/>
        <w:pBdr/>
        <w:spacing/>
        <w:ind w:hanging="420" w:left="420"/>
        <w:jc w:val="center"/>
        <w:rPr>
          <w:rFonts w:ascii="Arial Narrow" w:hAnsi="Arial Narrow" w:eastAsia="仿宋_GB2312" w:cs="Arial"/>
          <w:sz w:val="22"/>
        </w:rPr>
      </w:pPr>
      <w:r>
        <w:rPr>
          <w:rFonts w:ascii="Arial Narrow" w:hAnsi="Arial Narrow" w:eastAsia="仿宋_GB2312" w:cs="Arial"/>
          <w:sz w:val="22"/>
        </w:rPr>
        <w:t xml:space="preserve">图表 15：可比公司搜索表</w:t>
      </w:r>
      <w:r>
        <w:rPr>
          <w:rFonts w:ascii="Arial Narrow" w:hAnsi="Arial Narrow" w:eastAsia="仿宋_GB2312" w:cs="Arial"/>
          <w:sz w:val="22"/>
        </w:rPr>
        <w:fldChar w:fldCharType="begin"/>
      </w:r>
      <w:r>
        <w:rPr>
          <w:rFonts w:ascii="Arial Narrow" w:hAnsi="Arial Narrow" w:eastAsia="仿宋_GB2312" w:cs="Arial"/>
          <w:sz w:val="22"/>
        </w:rPr>
        <w:instrText xml:space="preserve"> SEQ </w:instrText>
      </w:r>
      <w:r>
        <w:rPr>
          <w:rFonts w:ascii="Arial Narrow" w:hAnsi="Arial Narrow" w:eastAsia="仿宋_GB2312" w:cs="Arial"/>
          <w:sz w:val="22"/>
        </w:rPr>
        <w:instrText xml:space="preserve">图表</w:instrText>
      </w:r>
      <w:r>
        <w:rPr>
          <w:rFonts w:ascii="Arial Narrow" w:hAnsi="Arial Narrow" w:eastAsia="仿宋_GB2312" w:cs="Arial"/>
          <w:sz w:val="22"/>
        </w:rPr>
        <w:instrText xml:space="preserve"> \* ARABIC </w:instrText>
      </w:r>
      <w:r>
        <w:rPr>
          <w:rFonts w:ascii="Arial Narrow" w:hAnsi="Arial Narrow" w:eastAsia="仿宋_GB2312" w:cs="Arial"/>
          <w:sz w:val="22"/>
        </w:rPr>
        <w:fldChar w:fldCharType="separate"/>
      </w:r>
      <w:r>
        <w:rPr>
          <w:rFonts w:ascii="Arial Narrow" w:hAnsi="Arial Narrow" w:eastAsia="仿宋_GB2312" w:cs="Arial"/>
          <w:sz w:val="22"/>
        </w:rPr>
        <w:fldChar w:fldCharType="end"/>
      </w:r>
      <w:r>
        <w:rPr>
          <w:rFonts w:ascii="Arial Narrow" w:hAnsi="Arial Narrow" w:eastAsia="仿宋_GB2312" w:cs="Arial"/>
          <w:sz w:val="22"/>
        </w:rPr>
      </w:r>
      <w:r>
        <w:rPr>
          <w:rFonts w:ascii="Arial Narrow" w:hAnsi="Arial Narrow" w:eastAsia="仿宋_GB2312" w:cs="Arial"/>
          <w:sz w:val="22"/>
        </w:rPr>
      </w:r>
    </w:p>
    <w:tbl>
      <w:tblPr>
        <w:tblW w:w="810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439"/>
        <w:gridCol w:w="5662"/>
      </w:tblGrid>
      <w:tr>
        <w:trPr>
          <w:trHeight w:val="567"/>
        </w:trPr>
        <w:tc>
          <w:tcPr>
            <w:shd w:val="clear" w:color="auto" w:fill="002060"/>
            <w:tcBorders/>
            <w:tcW w:w="2439" w:type="dxa"/>
            <w:vAlign w:val="center"/>
            <w:textDirection w:val="lrTb"/>
            <w:noWrap w:val="false"/>
          </w:tcPr>
          <w:p>
            <w:pPr>
              <w:pBdr/>
              <w:spacing/>
              <w:ind/>
              <w:jc w:val="center"/>
              <w:rPr>
                <w:rFonts w:ascii="Arial Narrow" w:hAnsi="Arial Narrow" w:eastAsia="仿宋_GB2312" w:cs="Arial"/>
                <w:b/>
                <w:color w:val="ffffff" w:themeColor="background1"/>
                <w:sz w:val="22"/>
                <w:szCs w:val="22"/>
              </w:rPr>
            </w:pPr>
            <w:r>
              <w:rPr>
                <w:rFonts w:ascii="Arial Narrow" w:hAnsi="Arial Narrow" w:eastAsia="仿宋_GB2312" w:cs="Arial"/>
                <w:b/>
                <w:color w:val="ffffff" w:themeColor="background1"/>
                <w:sz w:val="22"/>
                <w:szCs w:val="22"/>
              </w:rPr>
              <w:t xml:space="preserve">数据库</w:t>
            </w:r>
            <w:r>
              <w:rPr>
                <w:rFonts w:ascii="Arial Narrow" w:hAnsi="Arial Narrow" w:eastAsia="仿宋_GB2312" w:cs="Arial"/>
                <w:b/>
                <w:color w:val="ffffff" w:themeColor="background1"/>
                <w:sz w:val="22"/>
                <w:szCs w:val="22"/>
              </w:rPr>
            </w:r>
          </w:p>
        </w:tc>
        <w:tc>
          <w:tcPr>
            <w:shd w:val="clear" w:color="auto" w:fill="002060"/>
            <w:tcBorders/>
            <w:tcW w:w="5662" w:type="dxa"/>
            <w:vAlign w:val="center"/>
            <w:textDirection w:val="lrTb"/>
            <w:noWrap w:val="false"/>
          </w:tcPr>
          <w:p>
            <w:pPr>
              <w:pBdr/>
              <w:spacing/>
              <w:ind/>
              <w:jc w:val="center"/>
              <w:rPr>
                <w:rFonts w:ascii="Arial Narrow" w:hAnsi="Arial Narrow" w:eastAsia="仿宋_GB2312" w:cs="Arial"/>
                <w:b/>
                <w:color w:val="ffffff" w:themeColor="background1"/>
                <w:sz w:val="22"/>
                <w:szCs w:val="22"/>
              </w:rPr>
            </w:pPr>
            <w:r>
              <w:rPr>
                <w:rFonts w:ascii="Arial Narrow" w:hAnsi="Arial Narrow" w:eastAsia="仿宋_GB2312" w:cs="Arial"/>
                <w:b/>
                <w:color w:val="ffffff" w:themeColor="background1"/>
                <w:sz w:val="22"/>
                <w:szCs w:val="22"/>
              </w:rPr>
              <w:t xml:space="preserve">TP Catalyst 数据库（2024年版）</w:t>
            </w:r>
            <w:r>
              <w:rPr>
                <w:rFonts w:ascii="Arial Narrow" w:hAnsi="Arial Narrow" w:eastAsia="仿宋_GB2312" w:cs="Arial"/>
                <w:b/>
                <w:color w:val="ffffff" w:themeColor="background1"/>
                <w:sz w:val="22"/>
                <w:szCs w:val="22"/>
              </w:rPr>
            </w:r>
            <w:r>
              <w:rPr>
                <w:rFonts w:ascii="Arial Narrow" w:hAnsi="Arial Narrow" w:eastAsia="仿宋_GB2312" w:cs="Arial"/>
                <w:b/>
                <w:color w:val="ffffff" w:themeColor="background1"/>
                <w:sz w:val="22"/>
                <w:szCs w:val="22"/>
              </w:rPr>
            </w:r>
          </w:p>
        </w:tc>
      </w:tr>
      <w:tr>
        <w:trPr>
          <w:trHeight w:val="567"/>
        </w:trPr>
        <w:tc>
          <w:tcPr>
            <w:tcBorders/>
            <w:tcW w:w="2439" w:type="dxa"/>
            <w:vAlign w:val="center"/>
            <w:textDirection w:val="lrTb"/>
            <w:noWrap w:val="false"/>
          </w:tcPr>
          <w:p>
            <w:pPr>
              <w:pBdr/>
              <w:spacing/>
              <w:ind/>
              <w:rPr>
                <w:rFonts w:ascii="Arial Narrow" w:hAnsi="Arial Narrow" w:eastAsia="仿宋_GB2312" w:cs="Arial"/>
                <w:sz w:val="22"/>
                <w:szCs w:val="22"/>
              </w:rPr>
            </w:pPr>
            <w:r>
              <w:rPr>
                <w:rFonts w:ascii="Arial Narrow" w:hAnsi="Arial Narrow" w:eastAsia="仿宋_GB2312" w:cs="Arial"/>
                <w:sz w:val="22"/>
                <w:szCs w:val="22"/>
              </w:rPr>
              <w:t xml:space="preserve">初步 SIC 编码检索</w:t>
            </w:r>
            <w:r>
              <w:rPr>
                <w:rFonts w:ascii="Arial Narrow" w:hAnsi="Arial Narrow" w:eastAsia="仿宋_GB2312" w:cs="Arial"/>
                <w:sz w:val="22"/>
                <w:szCs w:val="22"/>
              </w:rPr>
            </w:r>
            <w:r>
              <w:rPr>
                <w:rFonts w:ascii="Arial Narrow" w:hAnsi="Arial Narrow" w:eastAsia="仿宋_GB2312" w:cs="Arial"/>
                <w:sz w:val="22"/>
                <w:szCs w:val="22"/>
              </w:rPr>
            </w:r>
          </w:p>
        </w:tc>
        <w:tc>
          <w:tcPr>
            <w:tcBorders/>
            <w:tcW w:w="5662" w:type="dxa"/>
            <w:vAlign w:val="center"/>
            <w:textDirection w:val="lrTb"/>
            <w:noWrap w:val="false"/>
          </w:tcPr>
          <w:p>
            <w:pPr>
              <w:pBdr/>
              <w:spacing/>
              <w:ind/>
              <w:rPr>
                <w:rFonts w:ascii="Arial Narrow" w:hAnsi="Arial Narrow" w:eastAsia="仿宋_GB2312" w:cs="Arial"/>
                <w:sz w:val="22"/>
                <w:szCs w:val="22"/>
              </w:rPr>
            </w:pPr>
            <w:r>
              <w:rPr>
                <w:rFonts w:ascii="Arial Narrow" w:hAnsi="Arial Narrow" w:eastAsia="仿宋_GB2312" w:cs="Arial"/>
                <w:sz w:val="22"/>
                <w:szCs w:val="22"/>
              </w:rPr>
              <w:t xml:space="preserve">2841、2842、2843、2844</w:t>
            </w:r>
            <w:r>
              <w:rPr>
                <w:rFonts w:ascii="Arial Narrow" w:hAnsi="Arial Narrow" w:eastAsia="仿宋_GB2312" w:cs="Arial"/>
                <w:sz w:val="22"/>
                <w:szCs w:val="22"/>
              </w:rPr>
            </w:r>
            <w:r>
              <w:rPr>
                <w:rFonts w:ascii="Arial Narrow" w:hAnsi="Arial Narrow" w:eastAsia="仿宋_GB2312" w:cs="Arial"/>
                <w:sz w:val="22"/>
                <w:szCs w:val="22"/>
              </w:rPr>
            </w:r>
          </w:p>
        </w:tc>
      </w:tr>
      <w:tr>
        <w:trPr>
          <w:trHeight w:val="567"/>
        </w:trPr>
        <w:tc>
          <w:tcPr>
            <w:tcBorders/>
            <w:tcW w:w="2439" w:type="dxa"/>
            <w:vAlign w:val="center"/>
            <w:textDirection w:val="lrTb"/>
            <w:noWrap w:val="false"/>
          </w:tcPr>
          <w:p>
            <w:pPr>
              <w:pBdr/>
              <w:spacing/>
              <w:ind/>
              <w:rPr>
                <w:rFonts w:ascii="Arial Narrow" w:hAnsi="Arial Narrow" w:eastAsia="仿宋_GB2312" w:cs="Arial"/>
                <w:sz w:val="22"/>
                <w:szCs w:val="22"/>
              </w:rPr>
            </w:pPr>
            <w:r>
              <w:rPr>
                <w:rFonts w:ascii="Arial Narrow" w:hAnsi="Arial Narrow" w:eastAsia="仿宋_GB2312" w:cs="Arial"/>
                <w:sz w:val="22"/>
                <w:szCs w:val="22"/>
              </w:rPr>
              <w:t xml:space="preserve">地区筛选</w:t>
            </w:r>
            <w:r>
              <w:rPr>
                <w:rFonts w:ascii="Arial Narrow" w:hAnsi="Arial Narrow" w:eastAsia="仿宋_GB2312" w:cs="Arial"/>
                <w:sz w:val="22"/>
                <w:szCs w:val="22"/>
              </w:rPr>
            </w:r>
          </w:p>
        </w:tc>
        <w:tc>
          <w:tcPr>
            <w:tcBorders/>
            <w:tcW w:w="5662" w:type="dxa"/>
            <w:vAlign w:val="center"/>
            <w:textDirection w:val="lrTb"/>
            <w:noWrap w:val="false"/>
          </w:tcPr>
          <w:p>
            <w:pPr>
              <w:pBdr/>
              <w:spacing/>
              <w:ind/>
              <w:rPr>
                <w:rFonts w:ascii="Arial Narrow" w:hAnsi="Arial Narrow" w:eastAsia="仿宋_GB2312" w:cs="Arial"/>
                <w:sz w:val="22"/>
                <w:szCs w:val="22"/>
              </w:rPr>
            </w:pPr>
            <w:r>
              <w:rPr>
                <w:rFonts w:ascii="Arial Narrow" w:hAnsi="Arial Narrow" w:eastAsia="仿宋_GB2312" w:cs="Arial"/>
                <w:sz w:val="22"/>
                <w:szCs w:val="22"/>
              </w:rPr>
              <w:t xml:space="preserve">亚太地区</w:t>
            </w:r>
            <w:r>
              <w:rPr>
                <w:rFonts w:ascii="Arial Narrow" w:hAnsi="Arial Narrow" w:eastAsia="仿宋_GB2312" w:cs="Arial"/>
                <w:sz w:val="22"/>
                <w:szCs w:val="22"/>
              </w:rPr>
            </w:r>
          </w:p>
        </w:tc>
      </w:tr>
      <w:tr>
        <w:trPr>
          <w:trHeight w:val="567"/>
        </w:trPr>
        <w:tc>
          <w:tcPr>
            <w:tcBorders/>
            <w:tcW w:w="2439" w:type="dxa"/>
            <w:vAlign w:val="center"/>
            <w:textDirection w:val="lrTb"/>
            <w:noWrap w:val="false"/>
          </w:tcPr>
          <w:p>
            <w:pPr>
              <w:pBdr/>
              <w:spacing/>
              <w:ind/>
              <w:rPr>
                <w:rFonts w:ascii="Arial Narrow" w:hAnsi="Arial Narrow" w:eastAsia="仿宋_GB2312" w:cs="Arial"/>
                <w:sz w:val="22"/>
                <w:szCs w:val="22"/>
              </w:rPr>
            </w:pPr>
            <w:r>
              <w:rPr>
                <w:rFonts w:ascii="Arial Narrow" w:hAnsi="Arial Narrow" w:eastAsia="仿宋_GB2312" w:cs="Arial"/>
                <w:sz w:val="22"/>
                <w:szCs w:val="22"/>
              </w:rPr>
              <w:t xml:space="preserve">独立性和上市公司筛选</w:t>
            </w:r>
            <w:r>
              <w:rPr>
                <w:rFonts w:ascii="Arial Narrow" w:hAnsi="Arial Narrow" w:eastAsia="仿宋_GB2312" w:cs="Arial"/>
                <w:sz w:val="22"/>
                <w:szCs w:val="22"/>
              </w:rPr>
            </w:r>
          </w:p>
        </w:tc>
        <w:tc>
          <w:tcPr>
            <w:tcBorders/>
            <w:tcW w:w="5662" w:type="dxa"/>
            <w:vAlign w:val="center"/>
            <w:textDirection w:val="lrTb"/>
            <w:noWrap w:val="false"/>
          </w:tcPr>
          <w:p>
            <w:pPr>
              <w:pBdr/>
              <w:spacing/>
              <w:ind/>
              <w:rPr>
                <w:rFonts w:ascii="Arial Narrow" w:hAnsi="Arial Narrow" w:eastAsia="仿宋_GB2312" w:cs="Arial"/>
                <w:sz w:val="22"/>
                <w:szCs w:val="22"/>
              </w:rPr>
            </w:pPr>
            <w:r>
              <w:rPr>
                <w:rFonts w:ascii="Arial Narrow" w:hAnsi="Arial Narrow" w:eastAsia="仿宋_GB2312" w:cs="Arial"/>
                <w:sz w:val="22"/>
                <w:szCs w:val="22"/>
              </w:rPr>
              <w:t xml:space="preserve">因在TP Catalyst数据库定义中独立性为B、C、D的公司而被排除。</w:t>
            </w:r>
            <w:r>
              <w:rPr>
                <w:rFonts w:ascii="Arial Narrow" w:hAnsi="Arial Narrow" w:eastAsia="仿宋_GB2312" w:cs="Arial"/>
                <w:sz w:val="22"/>
                <w:szCs w:val="22"/>
              </w:rPr>
            </w:r>
            <w:r>
              <w:rPr>
                <w:rFonts w:ascii="Arial Narrow" w:hAnsi="Arial Narrow" w:eastAsia="仿宋_GB2312" w:cs="Arial"/>
                <w:sz w:val="22"/>
                <w:szCs w:val="22"/>
              </w:rPr>
            </w:r>
          </w:p>
        </w:tc>
      </w:tr>
      <w:tr>
        <w:trPr>
          <w:trHeight w:val="567"/>
        </w:trPr>
        <w:tc>
          <w:tcPr>
            <w:tcBorders/>
            <w:tcW w:w="2439" w:type="dxa"/>
            <w:vAlign w:val="center"/>
            <w:textDirection w:val="lrTb"/>
            <w:noWrap w:val="false"/>
          </w:tcPr>
          <w:p>
            <w:pPr>
              <w:pBdr/>
              <w:spacing/>
              <w:ind/>
              <w:rPr>
                <w:rFonts w:ascii="Arial Narrow" w:hAnsi="Arial Narrow" w:eastAsia="仿宋_GB2312" w:cs="Arial"/>
                <w:sz w:val="22"/>
                <w:szCs w:val="22"/>
              </w:rPr>
            </w:pPr>
            <w:r>
              <w:rPr>
                <w:rFonts w:ascii="Arial Narrow" w:hAnsi="Arial Narrow" w:eastAsia="仿宋_GB2312" w:cs="Arial"/>
                <w:sz w:val="22"/>
                <w:szCs w:val="22"/>
              </w:rPr>
              <w:t xml:space="preserve">定量筛选</w:t>
            </w:r>
            <w:r>
              <w:rPr>
                <w:rFonts w:ascii="Arial Narrow" w:hAnsi="Arial Narrow" w:eastAsia="仿宋_GB2312" w:cs="Arial"/>
                <w:sz w:val="22"/>
                <w:szCs w:val="22"/>
              </w:rPr>
            </w:r>
          </w:p>
        </w:tc>
        <w:tc>
          <w:tcPr>
            <w:tcBorders/>
            <w:tcW w:w="5662" w:type="dxa"/>
            <w:vAlign w:val="center"/>
            <w:textDirection w:val="lrTb"/>
            <w:noWrap w:val="false"/>
          </w:tcPr>
          <w:p>
            <w:pPr>
              <w:pBdr/>
              <w:spacing/>
              <w:ind/>
              <w:rPr>
                <w:rFonts w:ascii="Arial Narrow" w:hAnsi="Arial Narrow" w:eastAsia="仿宋_GB2312" w:cs="Arial"/>
                <w:sz w:val="22"/>
                <w:szCs w:val="22"/>
              </w:rPr>
            </w:pPr>
            <w:r>
              <w:rPr>
                <w:rFonts w:ascii="Arial Narrow" w:hAnsi="Arial Narrow" w:eastAsia="仿宋_GB2312" w:cs="Arial"/>
                <w:sz w:val="22"/>
                <w:szCs w:val="22"/>
              </w:rPr>
              <w:t xml:space="preserve">在2020至2022财政年度间，在TP Catalyst数据库中的财务信息不充分；在2020至2022财政年度间，三年连续经营亏损而被排除。</w:t>
            </w:r>
            <w:r>
              <w:rPr>
                <w:rFonts w:ascii="Arial Narrow" w:hAnsi="Arial Narrow" w:eastAsia="仿宋_GB2312" w:cs="Arial"/>
                <w:sz w:val="22"/>
                <w:szCs w:val="22"/>
              </w:rPr>
            </w:r>
            <w:r>
              <w:rPr>
                <w:rFonts w:ascii="Arial Narrow" w:hAnsi="Arial Narrow" w:eastAsia="仿宋_GB2312" w:cs="Arial"/>
                <w:sz w:val="22"/>
                <w:szCs w:val="22"/>
              </w:rPr>
            </w:r>
          </w:p>
        </w:tc>
      </w:tr>
      <w:tr>
        <w:trPr>
          <w:trHeight w:val="567"/>
        </w:trPr>
        <w:tc>
          <w:tcPr>
            <w:tcBorders/>
            <w:tcW w:w="2439" w:type="dxa"/>
            <w:vAlign w:val="center"/>
            <w:textDirection w:val="lrTb"/>
            <w:noWrap w:val="false"/>
          </w:tcPr>
          <w:p>
            <w:pPr>
              <w:pBdr/>
              <w:spacing/>
              <w:ind/>
              <w:rPr>
                <w:rFonts w:ascii="Arial Narrow" w:hAnsi="Arial Narrow" w:eastAsia="仿宋_GB2312" w:cs="Arial"/>
                <w:sz w:val="22"/>
                <w:szCs w:val="22"/>
              </w:rPr>
            </w:pPr>
            <w:r>
              <w:rPr>
                <w:rFonts w:ascii="Arial Narrow" w:hAnsi="Arial Narrow" w:eastAsia="仿宋_GB2312" w:cs="Arial"/>
                <w:sz w:val="22"/>
                <w:szCs w:val="22"/>
              </w:rPr>
              <w:t xml:space="preserve">定性筛选</w:t>
            </w:r>
            <w:r>
              <w:rPr>
                <w:rFonts w:ascii="Arial Narrow" w:hAnsi="Arial Narrow" w:eastAsia="仿宋_GB2312" w:cs="Arial"/>
                <w:sz w:val="22"/>
                <w:szCs w:val="22"/>
              </w:rPr>
            </w:r>
          </w:p>
        </w:tc>
        <w:tc>
          <w:tcPr>
            <w:tcBorders/>
            <w:tcW w:w="5662" w:type="dxa"/>
            <w:vAlign w:val="center"/>
            <w:textDirection w:val="lrTb"/>
            <w:noWrap w:val="false"/>
          </w:tcPr>
          <w:p>
            <w:pPr>
              <w:pBdr/>
              <w:spacing/>
              <w:ind/>
              <w:rPr>
                <w:rFonts w:ascii="Arial Narrow" w:hAnsi="Arial Narrow" w:eastAsia="仿宋_GB2312" w:cs="Arial"/>
                <w:sz w:val="22"/>
                <w:szCs w:val="22"/>
              </w:rPr>
            </w:pPr>
            <w:r>
              <w:rPr>
                <w:rFonts w:ascii="Arial Narrow" w:hAnsi="Arial Narrow" w:eastAsia="仿宋_GB2312" w:cs="Arial"/>
                <w:sz w:val="22"/>
                <w:szCs w:val="22"/>
              </w:rPr>
              <w:t xml:space="preserve">在企业功能（包括所使用的资产）或企业产品或服务方面存在显著差异的企业。</w:t>
            </w:r>
            <w:r>
              <w:rPr>
                <w:rFonts w:ascii="Arial Narrow" w:hAnsi="Arial Narrow" w:eastAsia="仿宋_GB2312" w:cs="Arial"/>
                <w:sz w:val="22"/>
                <w:szCs w:val="22"/>
              </w:rPr>
            </w:r>
          </w:p>
        </w:tc>
      </w:tr>
      <w:tr>
        <w:trPr>
          <w:trHeight w:val="567"/>
        </w:trPr>
        <w:tc>
          <w:tcPr>
            <w:tcBorders/>
            <w:tcW w:w="2439" w:type="dxa"/>
            <w:vAlign w:val="center"/>
            <w:textDirection w:val="lrTb"/>
            <w:noWrap w:val="false"/>
          </w:tcPr>
          <w:p>
            <w:pPr>
              <w:pBdr/>
              <w:spacing/>
              <w:ind/>
              <w:rPr>
                <w:rFonts w:ascii="Arial Narrow" w:hAnsi="Arial Narrow" w:eastAsia="仿宋_GB2312" w:cs="Arial"/>
                <w:sz w:val="22"/>
                <w:szCs w:val="22"/>
              </w:rPr>
            </w:pPr>
            <w:r>
              <w:rPr>
                <w:rFonts w:ascii="Arial Narrow" w:hAnsi="Arial Narrow" w:eastAsia="仿宋_GB2312" w:cs="Arial"/>
                <w:sz w:val="22"/>
                <w:szCs w:val="22"/>
              </w:rPr>
              <w:t xml:space="preserve">最终样本</w:t>
            </w:r>
            <w:r>
              <w:rPr>
                <w:rFonts w:ascii="Arial Narrow" w:hAnsi="Arial Narrow" w:eastAsia="仿宋_GB2312" w:cs="Arial"/>
                <w:sz w:val="22"/>
                <w:szCs w:val="22"/>
              </w:rPr>
            </w:r>
          </w:p>
        </w:tc>
        <w:tc>
          <w:tcPr>
            <w:tcBorders/>
            <w:tcW w:w="5662" w:type="dxa"/>
            <w:vAlign w:val="center"/>
            <w:textDirection w:val="lrTb"/>
            <w:noWrap w:val="false"/>
          </w:tcPr>
          <w:p>
            <w:pPr>
              <w:pBdr/>
              <w:spacing/>
              <w:ind/>
              <w:rPr>
                <w:rFonts w:ascii="Arial Narrow" w:hAnsi="Arial Narrow" w:eastAsia="仿宋_GB2312" w:cs="Arial"/>
                <w:sz w:val="22"/>
                <w:szCs w:val="22"/>
              </w:rPr>
            </w:pPr>
            <w:r>
              <w:rPr>
                <w:rFonts w:hint="eastAsia" w:ascii="Arial Narrow" w:hAnsi="Arial Narrow" w:eastAsia="仿宋_GB2312" w:cs="Arial"/>
                <w:sz w:val="22"/>
                <w:szCs w:val="22"/>
              </w:rPr>
              <w:t xml:space="preserve">9家可比性公司</w:t>
            </w:r>
            <w:r>
              <w:rPr>
                <w:rFonts w:ascii="Arial Narrow" w:hAnsi="Arial Narrow" w:eastAsia="仿宋_GB2312" w:cs="Arial"/>
                <w:sz w:val="22"/>
                <w:szCs w:val="22"/>
              </w:rPr>
            </w:r>
            <w:r>
              <w:rPr>
                <w:rFonts w:ascii="Arial Narrow" w:hAnsi="Arial Narrow" w:eastAsia="仿宋_GB2312" w:cs="Arial"/>
                <w:sz w:val="22"/>
                <w:szCs w:val="22"/>
              </w:rPr>
            </w:r>
          </w:p>
        </w:tc>
      </w:tr>
    </w:tbl>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选定的9家公司的简要业务描述，请见附件3。</w:t>
      </w:r>
      <w:r>
        <w:rPr>
          <w:rFonts w:ascii="Arial Narrow" w:hAnsi="Arial Narrow" w:eastAsia="仿宋_GB2312" w:cs="Arial"/>
          <w:sz w:val="22"/>
          <w:szCs w:val="22"/>
        </w:rPr>
      </w:r>
      <w:r>
        <w:rPr>
          <w:rFonts w:ascii="Arial Narrow" w:hAnsi="Arial Narrow" w:eastAsia="仿宋_GB2312" w:cs="Arial"/>
          <w:sz w:val="22"/>
          <w:szCs w:val="22"/>
        </w:rPr>
      </w:r>
    </w:p>
    <w:p>
      <w:pPr>
        <w:pStyle w:val="1325"/>
        <w:pBdr/>
        <w:spacing/>
        <w:ind/>
        <w:rPr/>
      </w:pPr>
      <w:r/>
      <w:bookmarkStart w:id="1128" w:name="_Toc140505174"/>
      <w:r/>
      <w:bookmarkStart w:id="1129" w:name="_Toc53229109"/>
      <w:r>
        <w:t xml:space="preserve">可比公司利润水平</w:t>
      </w:r>
      <w:bookmarkEnd w:id="1125"/>
      <w:r/>
      <w:bookmarkEnd w:id="1128"/>
      <w:r/>
      <w:bookmarkEnd w:id="1129"/>
      <w:r/>
      <w:r/>
    </w:p>
    <w:p>
      <w:pPr>
        <w:pStyle w:val="1326"/>
        <w:pBdr/>
        <w:spacing/>
        <w:ind/>
        <w:rPr/>
      </w:pPr>
      <w:r>
        <w:t xml:space="preserve">利润水平指标的选择</w:t>
      </w: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利润水平指标是衡量利润与产品销售额、发生的成本或所运用的资产之间关系的财务比率。利润水平指标的选择是否恰当取决于被测试方经营活动的性质以及可比企业数据的可靠性。</w:t>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根据[2017]6号公告第20条的规定，交易净利润法以可比非关联交易的利润指标确定关联交易的利润。利润指标包括息税前利润率、完全成本加成率、资产收益率、贝里比率等。具体计算公式如下：</w:t>
      </w:r>
      <w:r>
        <w:rPr>
          <w:rFonts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bookmarkStart w:id="1130" w:name="No100_T20K1X1"/>
      <w:r/>
      <w:bookmarkEnd w:id="1130"/>
      <w:r>
        <w:rPr>
          <w:rFonts w:ascii="Arial Narrow" w:hAnsi="Arial Narrow" w:eastAsia="仿宋_GB2312" w:cs="Arial"/>
          <w:sz w:val="22"/>
          <w:szCs w:val="22"/>
        </w:rPr>
        <w:t xml:space="preserve">（一）息税前利润率=息税前利润/营业收入×100%</w:t>
      </w:r>
      <w:r>
        <w:rPr>
          <w:rFonts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bookmarkStart w:id="1131" w:name="No101_T20K1X2"/>
      <w:r/>
      <w:bookmarkEnd w:id="1131"/>
      <w:r>
        <w:rPr>
          <w:rFonts w:ascii="Arial Narrow" w:hAnsi="Arial Narrow" w:eastAsia="仿宋_GB2312" w:cs="Arial"/>
          <w:sz w:val="22"/>
          <w:szCs w:val="22"/>
        </w:rPr>
        <w:t xml:space="preserve">（二）完全成本加成率=息税前利润/完全成本×100%</w:t>
      </w:r>
      <w:r>
        <w:rPr>
          <w:rFonts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bookmarkStart w:id="1132" w:name="No102_T20K1X3"/>
      <w:r/>
      <w:bookmarkEnd w:id="1132"/>
      <w:r>
        <w:rPr>
          <w:rFonts w:ascii="Arial Narrow" w:hAnsi="Arial Narrow" w:eastAsia="仿宋_GB2312" w:cs="Arial"/>
          <w:sz w:val="22"/>
          <w:szCs w:val="22"/>
        </w:rPr>
        <w:t xml:space="preserve">（三）资产收益率=息税前利润/[（年初资产总额+年末资产总额）/2]×100%</w:t>
      </w:r>
      <w:r>
        <w:rPr>
          <w:rFonts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bookmarkStart w:id="1133" w:name="No103_T20K1X4"/>
      <w:r/>
      <w:bookmarkEnd w:id="1133"/>
      <w:r>
        <w:rPr>
          <w:rFonts w:ascii="Arial Narrow" w:hAnsi="Arial Narrow" w:eastAsia="仿宋_GB2312" w:cs="Arial"/>
          <w:sz w:val="22"/>
          <w:szCs w:val="22"/>
        </w:rPr>
        <w:t xml:space="preserve">（四）贝里比率=毛利/（营业费用+管理费用）×100%</w:t>
      </w:r>
      <w:r>
        <w:rPr>
          <w:rFonts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完全成本加成率在测试生产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r>
        <w:rPr>
          <w:rFonts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综上所述，我们选择了完全成本加成率作为评估松莉科技受测关联交易是否符合独立交易原则最合理的利润水平指标。 </w:t>
      </w:r>
      <w:r>
        <w:rPr>
          <w:rFonts w:ascii="Arial Narrow" w:hAnsi="Arial Narrow" w:eastAsia="仿宋_GB2312" w:cs="Arial"/>
          <w:sz w:val="21"/>
          <w:szCs w:val="22"/>
        </w:rPr>
      </w:r>
      <w:bookmarkEnd w:id="1126"/>
      <w:r/>
      <w:bookmarkEnd w:id="1127"/>
      <w:r/>
      <w:r>
        <w:rPr>
          <w:rFonts w:ascii="Arial Narrow" w:hAnsi="Arial Narrow" w:eastAsia="仿宋_GB2312" w:cs="Arial"/>
          <w:sz w:val="22"/>
          <w:szCs w:val="22"/>
        </w:rPr>
      </w:r>
    </w:p>
    <w:p>
      <w:pPr>
        <w:pStyle w:val="1326"/>
        <w:pBdr/>
        <w:spacing/>
        <w:ind/>
        <w:rPr/>
      </w:pPr>
      <w:r>
        <w:t xml:space="preserve">多年度数据的使用</w:t>
      </w: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Narrow" w:hAnsi="Arial Narrow" w:eastAsia="仿宋_GB2312" w:cs="Arial"/>
          <w:sz w:val="22"/>
          <w:szCs w:val="22"/>
          <w:vertAlign w:val="superscript"/>
        </w:rPr>
        <w:footnoteReference w:id="19"/>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[2017]6号公告第20条特别指出，在使用交易净利润法进行可比性分析时，应特别考察经济周期和产品生命周期。《OECD转让定价指南》中也就行业和产品生命周期提出了如下准则：</w:t>
      </w:r>
      <w:r>
        <w:rPr>
          <w:rFonts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Narrow" w:hAnsi="Arial Narrow" w:eastAsia="仿宋_GB2312" w:cs="Arial"/>
          <w:sz w:val="22"/>
          <w:szCs w:val="22"/>
          <w:vertAlign w:val="superscript"/>
        </w:rPr>
        <w:footnoteReference w:id="20"/>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为了在交易净利润分析中运用多年度数据，我们通过比较松莉科技2023年度受测关联交易的利润水平和可比公司2020到2022财年的加权平均利润水平，来评估松莉科技的受测关联交易是否符合独立交易原则。</w:t>
      </w:r>
      <w:r>
        <w:rPr>
          <w:rFonts w:ascii="Arial Narrow" w:hAnsi="Arial Narrow" w:eastAsia="仿宋_GB2312" w:cs="Arial"/>
          <w:sz w:val="22"/>
          <w:szCs w:val="22"/>
        </w:rPr>
      </w:r>
      <w:r>
        <w:rPr>
          <w:rFonts w:ascii="Arial Narrow" w:hAnsi="Arial Narrow" w:eastAsia="仿宋_GB2312" w:cs="Arial"/>
          <w:sz w:val="22"/>
          <w:szCs w:val="22"/>
        </w:rPr>
      </w:r>
    </w:p>
    <w:p>
      <w:pPr>
        <w:pStyle w:val="1326"/>
        <w:pBdr/>
        <w:spacing/>
        <w:ind/>
        <w:rPr/>
      </w:pPr>
      <w:r>
        <w:t xml:space="preserve">独立交易区间</w:t>
      </w:r>
      <w:r/>
    </w:p>
    <w:p>
      <w:pPr>
        <w:pBdr/>
        <w:spacing w:after="156" w:before="156" w:line="360" w:lineRule="auto"/>
        <w:ind w:firstLine="440"/>
        <w:jc w:val="both"/>
        <w:rPr>
          <w:rFonts w:ascii="Arial Narrow" w:hAnsi="Arial Narrow" w:eastAsia="仿宋_GB2312" w:cs="Arial"/>
          <w:sz w:val="22"/>
          <w:szCs w:val="22"/>
        </w:rPr>
      </w:pPr>
      <w:r/>
      <w:bookmarkStart w:id="1134" w:name="_Toc48317175"/>
      <w:r/>
      <w:bookmarkStart w:id="1135" w:name="_Toc48317558"/>
      <w:r/>
      <w:bookmarkStart w:id="1136" w:name="_Toc274480845"/>
      <w:r/>
      <w:bookmarkStart w:id="1137" w:name="_Toc261727559"/>
      <w:r>
        <w:rPr>
          <w:rFonts w:ascii="Arial Narrow" w:hAnsi="Arial Narrow" w:eastAsia="仿宋_GB2312" w:cs="Arial"/>
          <w:sz w:val="22"/>
          <w:szCs w:val="22"/>
        </w:rPr>
        <w:t xml:space="preserve">符合独立交易原则的结果通常并不是一个单一的价格或者</w:t>
      </w:r>
      <w:r>
        <w:rPr>
          <w:rFonts w:ascii="Arial Narrow" w:hAnsi="Arial Narrow" w:eastAsia="仿宋_GB2312" w:cs="Arial"/>
          <w:sz w:val="22"/>
          <w:szCs w:val="22"/>
        </w:rPr>
        <w:t xml:space="preserve">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Narrow" w:hAnsi="Arial Narrow" w:eastAsia="仿宋_GB2312" w:cs="Arial"/>
          <w:sz w:val="22"/>
          <w:szCs w:val="22"/>
          <w:vertAlign w:val="superscript"/>
        </w:rPr>
        <w:footnoteReference w:id="21"/>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章节7.5.3.5中所使用的筛选标准旨在寻找和消除对松莉科技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r>
        <w:rPr>
          <w:rFonts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然而应该承认，尽管选定的可比公司已经是可获得的最可比的样本了，在他们与松莉科技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2020到2022财年期间加权平均完全成本加成率的四分位区间。</w:t>
      </w:r>
      <w:r>
        <w:rPr>
          <w:rFonts w:ascii="Arial Narrow" w:hAnsi="Arial Narrow" w:eastAsia="仿宋_GB2312" w:cs="Arial"/>
          <w:sz w:val="22"/>
          <w:szCs w:val="22"/>
          <w:vertAlign w:val="superscript"/>
        </w:rPr>
        <w:footnoteReference w:id="22"/>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我们从TP Catalyst数据库（2024年版）提取了2020到2022财年每家可比公司的损益表中的信息。被选可比公司完全成本加成率计算详见附件4。</w:t>
      </w:r>
      <w:r>
        <w:rPr>
          <w:rFonts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我们计算了选中的9家可比公司2020到2022财年加权平均完全成本加成率。如下图所示：</w:t>
      </w:r>
      <w:r>
        <w:rPr>
          <w:rFonts w:ascii="Arial Narrow" w:hAnsi="Arial Narrow" w:eastAsia="仿宋_GB2312" w:cs="Arial"/>
          <w:sz w:val="22"/>
          <w:szCs w:val="22"/>
        </w:rPr>
      </w:r>
      <w:r>
        <w:rPr>
          <w:rFonts w:ascii="Arial Narrow" w:hAnsi="Arial Narrow" w:eastAsia="仿宋_GB2312" w:cs="Arial"/>
          <w:sz w:val="22"/>
          <w:szCs w:val="22"/>
        </w:rPr>
      </w:r>
    </w:p>
    <w:p>
      <w:pPr>
        <w:pStyle w:val="1338"/>
        <w:pBdr/>
        <w:spacing/>
        <w:ind w:hanging="420" w:left="420"/>
        <w:jc w:val="center"/>
        <w:rPr>
          <w:rFonts w:ascii="Arial Narrow" w:hAnsi="Arial Narrow" w:eastAsia="仿宋_GB2312" w:cs="Arial"/>
          <w:sz w:val="22"/>
        </w:rPr>
      </w:pPr>
      <w:r>
        <w:rPr>
          <w:rFonts w:ascii="Arial Narrow" w:hAnsi="Arial Narrow" w:eastAsia="仿宋_GB2312" w:cs="Arial"/>
          <w:sz w:val="22"/>
        </w:rPr>
        <w:t xml:space="preserve">图表 24：可比企业完全成本加成率四分位区间表</w:t>
      </w:r>
      <w:r>
        <w:rPr>
          <w:rFonts w:ascii="Arial Narrow" w:hAnsi="Arial Narrow" w:eastAsia="仿宋_GB2312" w:cs="Arial"/>
          <w:sz w:val="22"/>
        </w:rPr>
      </w:r>
      <w:r>
        <w:rPr>
          <w:rFonts w:ascii="Arial Narrow" w:hAnsi="Arial Narrow" w:eastAsia="仿宋_GB2312" w:cs="Arial"/>
          <w:sz w:val="22"/>
        </w:rPr>
      </w:r>
    </w:p>
    <w:tbl>
      <w:tblPr>
        <w:tblW w:w="5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983"/>
        <w:gridCol w:w="3262"/>
      </w:tblGrid>
      <w:tr>
        <w:trPr>
          <w:jc w:val="center"/>
          <w:trHeight w:val="562"/>
          <w:tblHeader/>
        </w:trPr>
        <w:tc>
          <w:tcPr>
            <w:shd w:val="clear" w:color="auto" w:fill="002060"/>
            <w:tcBorders/>
            <w:tcW w:w="1983" w:type="dxa"/>
            <w:vAlign w:val="center"/>
            <w:textDirection w:val="lrTb"/>
            <w:noWrap w:val="false"/>
          </w:tcPr>
          <w:p>
            <w:pPr>
              <w:widowControl w:val="false"/>
              <w:pBdr/>
              <w:spacing/>
              <w:ind/>
              <w:jc w:val="center"/>
              <w:rPr>
                <w:rFonts w:ascii="Arial Narrow" w:hAnsi="Arial Narrow" w:eastAsia="仿宋_GB2312" w:cs="Arial"/>
                <w:b/>
                <w:color w:val="1f497d"/>
                <w:sz w:val="22"/>
                <w:szCs w:val="22"/>
              </w:rPr>
            </w:pPr>
            <w:r>
              <w:rPr>
                <w:rFonts w:ascii="Arial Narrow" w:hAnsi="Arial Narrow" w:eastAsia="仿宋_GB2312" w:cs="Arial"/>
                <w:b/>
                <w:color w:val="ffffff" w:themeColor="background1"/>
                <w:sz w:val="22"/>
                <w:szCs w:val="22"/>
              </w:rPr>
              <w:t xml:space="preserve">类型</w:t>
            </w:r>
            <w:r>
              <w:rPr>
                <w:rFonts w:ascii="Arial Narrow" w:hAnsi="Arial Narrow" w:eastAsia="仿宋_GB2312" w:cs="Arial"/>
                <w:b/>
                <w:color w:val="1f497d"/>
                <w:sz w:val="22"/>
                <w:szCs w:val="22"/>
              </w:rPr>
            </w:r>
          </w:p>
        </w:tc>
        <w:tc>
          <w:tcPr>
            <w:shd w:val="clear" w:color="auto" w:fill="002060"/>
            <w:tcBorders/>
            <w:tcW w:w="3262" w:type="dxa"/>
            <w:vAlign w:val="center"/>
            <w:textDirection w:val="lrTb"/>
            <w:noWrap w:val="false"/>
          </w:tcPr>
          <w:p>
            <w:pPr>
              <w:widowControl w:val="false"/>
              <w:pBdr/>
              <w:spacing/>
              <w:ind/>
              <w:jc w:val="center"/>
              <w:rPr>
                <w:rFonts w:ascii="Arial Narrow" w:hAnsi="Arial Narrow" w:eastAsia="仿宋_GB2312" w:cs="Arial"/>
                <w:b/>
                <w:color w:val="1f497d"/>
                <w:sz w:val="22"/>
                <w:szCs w:val="22"/>
              </w:rPr>
            </w:pPr>
            <w:r>
              <w:rPr>
                <w:rFonts w:ascii="Arial Narrow" w:hAnsi="Arial Narrow" w:eastAsia="仿宋_GB2312" w:cs="Arial"/>
                <w:b/>
                <w:color w:val="ffffff" w:themeColor="background1"/>
                <w:sz w:val="22"/>
                <w:szCs w:val="22"/>
              </w:rPr>
              <w:t xml:space="preserve">2020-2022年加权平均</w:t>
            </w:r>
            <w:r>
              <w:rPr>
                <w:rFonts w:ascii="Arial Narrow" w:hAnsi="Arial Narrow" w:eastAsia="仿宋_GB2312" w:cs="Arial"/>
                <w:b/>
                <w:color w:val="ffffff" w:themeColor="background1"/>
                <w:sz w:val="22"/>
                <w:szCs w:val="22"/>
              </w:rPr>
            </w:r>
            <w:r>
              <w:rPr>
                <w:rFonts w:ascii="Arial Narrow" w:hAnsi="Arial Narrow" w:eastAsia="仿宋_GB2312" w:cs="Arial"/>
                <w:b/>
                <w:color w:val="1f497d"/>
                <w:sz w:val="22"/>
                <w:szCs w:val="22"/>
              </w:rPr>
            </w:r>
          </w:p>
        </w:tc>
      </w:tr>
      <w:tr>
        <w:trPr>
          <w:jc w:val="center"/>
          <w:trHeight w:val="454"/>
        </w:trPr>
        <w:tc>
          <w:tcPr>
            <w:shd w:val="clear" w:color="auto" w:fill="auto"/>
            <w:tcBorders/>
            <w:tcW w:w="1983" w:type="dxa"/>
            <w:vAlign w:val="center"/>
            <w:textDirection w:val="lrTb"/>
            <w:noWrap w:val="false"/>
          </w:tcPr>
          <w:p>
            <w:pPr>
              <w:widowControl w:val="false"/>
              <w:pBdr/>
              <w:spacing/>
              <w:ind/>
              <w:jc w:val="center"/>
              <w:rPr>
                <w:rFonts w:ascii="Arial Narrow" w:hAnsi="Arial Narrow" w:eastAsia="仿宋_GB2312" w:cs="Arial"/>
                <w:sz w:val="22"/>
                <w:szCs w:val="22"/>
              </w:rPr>
            </w:pPr>
            <w:r>
              <w:rPr>
                <w:rFonts w:ascii="Arial Narrow" w:hAnsi="Arial Narrow" w:eastAsia="仿宋_GB2312" w:cs="Arial"/>
                <w:sz w:val="22"/>
                <w:szCs w:val="22"/>
              </w:rPr>
              <w:t xml:space="preserve">最高值</w:t>
            </w:r>
            <w:r>
              <w:rPr>
                <w:rFonts w:ascii="Arial Narrow" w:hAnsi="Arial Narrow" w:eastAsia="仿宋_GB2312" w:cs="Arial"/>
                <w:sz w:val="22"/>
                <w:szCs w:val="22"/>
              </w:rPr>
            </w:r>
          </w:p>
        </w:tc>
        <w:tc>
          <w:tcPr>
            <w:shd w:val="clear" w:color="auto" w:fill="auto"/>
            <w:tcBorders/>
            <w:tcW w:w="3262" w:type="dxa"/>
            <w:vAlign w:val="center"/>
            <w:textDirection w:val="lrTb"/>
            <w:noWrap w:val="false"/>
          </w:tcPr>
          <w:p>
            <w:pPr>
              <w:widowControl w:val="false"/>
              <w:pBdr/>
              <w:spacing/>
              <w:ind/>
              <w:jc w:val="center"/>
              <w:rPr>
                <w:rFonts w:ascii="Arial Narrow" w:hAnsi="Arial Narrow" w:eastAsia="仿宋_GB2312" w:cs="Arial"/>
                <w:sz w:val="22"/>
                <w:szCs w:val="22"/>
              </w:rPr>
            </w:pPr>
            <w:r>
              <w:rPr>
                <w:rFonts w:hint="eastAsia" w:ascii="Arial Narrow" w:hAnsi="Arial Narrow" w:eastAsia="仿宋_GB2312" w:cs="Arial"/>
                <w:sz w:val="22"/>
                <w:szCs w:val="22"/>
              </w:rPr>
              <w:t xml:space="preserve">18.75%</w:t>
            </w:r>
            <w:r>
              <w:rPr>
                <w:rFonts w:ascii="Arial Narrow" w:hAnsi="Arial Narrow" w:eastAsia="仿宋_GB2312" w:cs="Arial"/>
                <w:sz w:val="22"/>
                <w:szCs w:val="22"/>
              </w:rPr>
            </w:r>
          </w:p>
        </w:tc>
      </w:tr>
      <w:tr>
        <w:trPr>
          <w:jc w:val="center"/>
          <w:trHeight w:val="454"/>
        </w:trPr>
        <w:tc>
          <w:tcPr>
            <w:shd w:val="clear" w:color="auto" w:fill="auto"/>
            <w:tcBorders/>
            <w:tcW w:w="1983" w:type="dxa"/>
            <w:vAlign w:val="center"/>
            <w:textDirection w:val="lrTb"/>
            <w:noWrap w:val="false"/>
          </w:tcPr>
          <w:p>
            <w:pPr>
              <w:widowControl w:val="false"/>
              <w:pBdr/>
              <w:spacing/>
              <w:ind/>
              <w:jc w:val="center"/>
              <w:rPr>
                <w:rFonts w:ascii="Arial Narrow" w:hAnsi="Arial Narrow" w:eastAsia="仿宋_GB2312" w:cs="Arial"/>
                <w:sz w:val="22"/>
                <w:szCs w:val="22"/>
              </w:rPr>
            </w:pPr>
            <w:r>
              <w:rPr>
                <w:rFonts w:ascii="Arial Narrow" w:hAnsi="Arial Narrow" w:eastAsia="仿宋_GB2312" w:cs="Arial"/>
                <w:sz w:val="22"/>
                <w:szCs w:val="22"/>
              </w:rPr>
              <w:t xml:space="preserve">上四分位值</w:t>
            </w:r>
            <w:r>
              <w:rPr>
                <w:rFonts w:ascii="Arial Narrow" w:hAnsi="Arial Narrow" w:eastAsia="仿宋_GB2312" w:cs="Arial"/>
                <w:sz w:val="22"/>
                <w:szCs w:val="22"/>
              </w:rPr>
            </w:r>
          </w:p>
        </w:tc>
        <w:tc>
          <w:tcPr>
            <w:shd w:val="clear" w:color="auto" w:fill="auto"/>
            <w:tcBorders/>
            <w:tcW w:w="3262" w:type="dxa"/>
            <w:vAlign w:val="center"/>
            <w:textDirection w:val="lrTb"/>
            <w:noWrap w:val="false"/>
          </w:tcPr>
          <w:p>
            <w:pPr>
              <w:widowControl w:val="false"/>
              <w:pBdr/>
              <w:spacing/>
              <w:ind/>
              <w:jc w:val="center"/>
              <w:rPr>
                <w:rFonts w:ascii="Arial Narrow" w:hAnsi="Arial Narrow" w:eastAsia="仿宋_GB2312" w:cs="Arial"/>
                <w:sz w:val="22"/>
                <w:szCs w:val="22"/>
              </w:rPr>
            </w:pPr>
            <w:r>
              <w:rPr>
                <w:rFonts w:hint="eastAsia" w:ascii="Arial Narrow" w:hAnsi="Arial Narrow" w:eastAsia="仿宋_GB2312" w:cs="Arial"/>
                <w:sz w:val="22"/>
                <w:szCs w:val="22"/>
              </w:rPr>
              <w:t xml:space="preserve">7.29%</w:t>
            </w:r>
            <w:r>
              <w:rPr>
                <w:rFonts w:ascii="Arial Narrow" w:hAnsi="Arial Narrow" w:eastAsia="仿宋_GB2312" w:cs="Arial"/>
                <w:sz w:val="22"/>
                <w:szCs w:val="22"/>
              </w:rPr>
            </w:r>
          </w:p>
        </w:tc>
      </w:tr>
      <w:tr>
        <w:trPr>
          <w:jc w:val="center"/>
          <w:trHeight w:val="454"/>
        </w:trPr>
        <w:tc>
          <w:tcPr>
            <w:shd w:val="clear" w:color="auto" w:fill="auto"/>
            <w:tcBorders/>
            <w:tcW w:w="1983" w:type="dxa"/>
            <w:vAlign w:val="center"/>
            <w:textDirection w:val="lrTb"/>
            <w:noWrap w:val="false"/>
          </w:tcPr>
          <w:p>
            <w:pPr>
              <w:widowControl w:val="false"/>
              <w:pBdr/>
              <w:spacing/>
              <w:ind/>
              <w:jc w:val="center"/>
              <w:rPr>
                <w:rFonts w:ascii="Arial Narrow" w:hAnsi="Arial Narrow" w:eastAsia="仿宋_GB2312" w:cs="Arial"/>
                <w:sz w:val="22"/>
                <w:szCs w:val="22"/>
              </w:rPr>
            </w:pPr>
            <w:r>
              <w:rPr>
                <w:rFonts w:ascii="Arial Narrow" w:hAnsi="Arial Narrow" w:eastAsia="仿宋_GB2312" w:cs="Arial"/>
                <w:sz w:val="22"/>
                <w:szCs w:val="22"/>
              </w:rPr>
              <w:t xml:space="preserve">中位值</w:t>
            </w:r>
            <w:r>
              <w:rPr>
                <w:rFonts w:ascii="Arial Narrow" w:hAnsi="Arial Narrow" w:eastAsia="仿宋_GB2312" w:cs="Arial"/>
                <w:sz w:val="22"/>
                <w:szCs w:val="22"/>
              </w:rPr>
            </w:r>
          </w:p>
        </w:tc>
        <w:tc>
          <w:tcPr>
            <w:shd w:val="clear" w:color="auto" w:fill="auto"/>
            <w:tcBorders/>
            <w:tcW w:w="3262" w:type="dxa"/>
            <w:vAlign w:val="center"/>
            <w:textDirection w:val="lrTb"/>
            <w:noWrap w:val="false"/>
          </w:tcPr>
          <w:p>
            <w:pPr>
              <w:widowControl w:val="false"/>
              <w:pBdr/>
              <w:spacing/>
              <w:ind/>
              <w:jc w:val="center"/>
              <w:rPr>
                <w:rFonts w:ascii="Arial Narrow" w:hAnsi="Arial Narrow" w:eastAsia="仿宋_GB2312" w:cs="Arial"/>
                <w:sz w:val="22"/>
                <w:szCs w:val="22"/>
              </w:rPr>
            </w:pPr>
            <w:r>
              <w:rPr>
                <w:rFonts w:hint="eastAsia" w:ascii="Arial Narrow" w:hAnsi="Arial Narrow" w:eastAsia="仿宋_GB2312" w:cs="Arial"/>
                <w:sz w:val="22"/>
                <w:szCs w:val="22"/>
              </w:rPr>
              <w:t xml:space="preserve">1.39%</w:t>
            </w:r>
            <w:r>
              <w:rPr>
                <w:rFonts w:ascii="Arial Narrow" w:hAnsi="Arial Narrow" w:eastAsia="仿宋_GB2312" w:cs="Arial"/>
                <w:sz w:val="22"/>
                <w:szCs w:val="22"/>
              </w:rPr>
            </w:r>
          </w:p>
        </w:tc>
      </w:tr>
      <w:tr>
        <w:trPr>
          <w:jc w:val="center"/>
          <w:trHeight w:val="454"/>
        </w:trPr>
        <w:tc>
          <w:tcPr>
            <w:shd w:val="clear" w:color="auto" w:fill="auto"/>
            <w:tcBorders/>
            <w:tcW w:w="1983" w:type="dxa"/>
            <w:vAlign w:val="center"/>
            <w:textDirection w:val="lrTb"/>
            <w:noWrap w:val="false"/>
          </w:tcPr>
          <w:p>
            <w:pPr>
              <w:widowControl w:val="false"/>
              <w:pBdr/>
              <w:spacing/>
              <w:ind/>
              <w:jc w:val="center"/>
              <w:rPr>
                <w:rFonts w:ascii="Arial Narrow" w:hAnsi="Arial Narrow" w:eastAsia="仿宋_GB2312" w:cs="Arial"/>
                <w:sz w:val="22"/>
                <w:szCs w:val="22"/>
              </w:rPr>
            </w:pPr>
            <w:r>
              <w:rPr>
                <w:rFonts w:ascii="Arial Narrow" w:hAnsi="Arial Narrow" w:eastAsia="仿宋_GB2312" w:cs="Arial"/>
                <w:sz w:val="22"/>
                <w:szCs w:val="22"/>
              </w:rPr>
              <w:t xml:space="preserve">下四分位值</w:t>
            </w:r>
            <w:r>
              <w:rPr>
                <w:rFonts w:ascii="Arial Narrow" w:hAnsi="Arial Narrow" w:eastAsia="仿宋_GB2312" w:cs="Arial"/>
                <w:sz w:val="22"/>
                <w:szCs w:val="22"/>
              </w:rPr>
            </w:r>
          </w:p>
        </w:tc>
        <w:tc>
          <w:tcPr>
            <w:shd w:val="clear" w:color="auto" w:fill="auto"/>
            <w:tcBorders/>
            <w:tcW w:w="3262" w:type="dxa"/>
            <w:vAlign w:val="center"/>
            <w:textDirection w:val="lrTb"/>
            <w:noWrap w:val="false"/>
          </w:tcPr>
          <w:p>
            <w:pPr>
              <w:widowControl w:val="false"/>
              <w:pBdr/>
              <w:spacing/>
              <w:ind/>
              <w:jc w:val="center"/>
              <w:rPr>
                <w:rFonts w:ascii="Arial Narrow" w:hAnsi="Arial Narrow" w:eastAsia="仿宋_GB2312" w:cs="Arial"/>
                <w:sz w:val="22"/>
                <w:szCs w:val="22"/>
              </w:rPr>
            </w:pPr>
            <w:r>
              <w:rPr>
                <w:rFonts w:hint="eastAsia" w:ascii="Arial Narrow" w:hAnsi="Arial Narrow" w:eastAsia="仿宋_GB2312" w:cs="Arial"/>
                <w:sz w:val="22"/>
                <w:szCs w:val="22"/>
              </w:rPr>
              <w:t xml:space="preserve">0.59%</w:t>
            </w:r>
            <w:r>
              <w:rPr>
                <w:rFonts w:ascii="Arial Narrow" w:hAnsi="Arial Narrow" w:eastAsia="仿宋_GB2312" w:cs="Arial"/>
                <w:sz w:val="22"/>
                <w:szCs w:val="22"/>
              </w:rPr>
            </w:r>
          </w:p>
        </w:tc>
      </w:tr>
      <w:tr>
        <w:trPr>
          <w:jc w:val="center"/>
          <w:trHeight w:val="454"/>
        </w:trPr>
        <w:tc>
          <w:tcPr>
            <w:shd w:val="clear" w:color="auto" w:fill="auto"/>
            <w:tcBorders/>
            <w:tcW w:w="1983" w:type="dxa"/>
            <w:vAlign w:val="center"/>
            <w:textDirection w:val="lrTb"/>
            <w:noWrap w:val="false"/>
          </w:tcPr>
          <w:p>
            <w:pPr>
              <w:widowControl w:val="false"/>
              <w:pBdr/>
              <w:spacing/>
              <w:ind/>
              <w:jc w:val="center"/>
              <w:rPr>
                <w:rFonts w:ascii="Arial Narrow" w:hAnsi="Arial Narrow" w:eastAsia="仿宋_GB2312" w:cs="Arial"/>
                <w:sz w:val="22"/>
                <w:szCs w:val="22"/>
              </w:rPr>
            </w:pPr>
            <w:r>
              <w:rPr>
                <w:rFonts w:ascii="Arial Narrow" w:hAnsi="Arial Narrow" w:eastAsia="仿宋_GB2312" w:cs="Arial"/>
                <w:sz w:val="22"/>
                <w:szCs w:val="22"/>
              </w:rPr>
              <w:t xml:space="preserve">最低值</w:t>
            </w:r>
            <w:r>
              <w:rPr>
                <w:rFonts w:ascii="Arial Narrow" w:hAnsi="Arial Narrow" w:eastAsia="仿宋_GB2312" w:cs="Arial"/>
                <w:sz w:val="22"/>
                <w:szCs w:val="22"/>
              </w:rPr>
            </w:r>
          </w:p>
        </w:tc>
        <w:tc>
          <w:tcPr>
            <w:shd w:val="clear" w:color="auto" w:fill="auto"/>
            <w:tcBorders/>
            <w:tcW w:w="3262" w:type="dxa"/>
            <w:vAlign w:val="center"/>
            <w:textDirection w:val="lrTb"/>
            <w:noWrap w:val="false"/>
          </w:tcPr>
          <w:p>
            <w:pPr>
              <w:widowControl w:val="false"/>
              <w:pBdr/>
              <w:spacing/>
              <w:ind/>
              <w:jc w:val="center"/>
              <w:rPr>
                <w:rFonts w:ascii="Arial Narrow" w:hAnsi="Arial Narrow" w:eastAsia="仿宋_GB2312" w:cs="Arial"/>
                <w:sz w:val="22"/>
                <w:szCs w:val="22"/>
              </w:rPr>
            </w:pPr>
            <w:r>
              <w:rPr>
                <w:rFonts w:hint="eastAsia" w:ascii="Arial Narrow" w:hAnsi="Arial Narrow" w:eastAsia="仿宋_GB2312" w:cs="Arial"/>
                <w:sz w:val="22"/>
                <w:szCs w:val="22"/>
              </w:rPr>
              <w:t xml:space="preserve">-3.37%</w:t>
            </w:r>
            <w:r>
              <w:rPr>
                <w:rFonts w:ascii="Arial Narrow" w:hAnsi="Arial Narrow" w:eastAsia="仿宋_GB2312" w:cs="Arial"/>
                <w:sz w:val="22"/>
                <w:szCs w:val="22"/>
              </w:rPr>
            </w:r>
          </w:p>
        </w:tc>
      </w:tr>
    </w:tbl>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通过上述交易净利润法分析，2020到2022财年加权平均完全成本加成率独立交易区间为0.59%到7.29%，中位值为1.39%。松莉科技在2023年度的完全成本加成率为5.25%，位于可比公司完全成本加成率的四分位区间之内，且高于中位值。</w:t>
      </w:r>
      <w:r>
        <w:rPr>
          <w:rFonts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因此，松莉科技在2023年度受测关联交易中的转让定价安排不违背独立交易原则。</w:t>
      </w:r>
      <w:r>
        <w:rPr>
          <w:rFonts w:ascii="Arial Narrow" w:hAnsi="Arial Narrow" w:eastAsia="仿宋_GB2312" w:cs="Arial"/>
          <w:sz w:val="22"/>
          <w:szCs w:val="22"/>
        </w:rPr>
      </w:r>
      <w:bookmarkEnd w:id="1134"/>
      <w:bookmarkEnd w:id="1135"/>
      <w:r>
        <w:rPr>
          <w:rFonts w:ascii="Arial Narrow" w:hAnsi="Arial Narrow" w:eastAsia="仿宋_GB2312" w:cs="Arial"/>
          <w:sz w:val="22"/>
          <w:szCs w:val="22"/>
        </w:rPr>
      </w:r>
    </w:p>
    <w:p>
      <w:pPr>
        <w:pBdr/>
        <w:spacing/>
        <w:ind/>
        <w:rPr>
          <w:rFonts w:ascii="Arial Narrow" w:hAnsi="Arial Narrow" w:eastAsia="仿宋_GB2312" w:cs="Arial"/>
          <w:b/>
          <w:sz w:val="36"/>
          <w:szCs w:val="36"/>
        </w:rPr>
      </w:pPr>
      <w:r>
        <w:rPr>
          <w:rFonts w:ascii="Arial Narrow" w:hAnsi="Arial Narrow" w:eastAsia="仿宋_GB2312" w:cs="Arial"/>
        </w:rPr>
        <w:br w:type="page" w:clear="all"/>
      </w:r>
      <w:r>
        <w:rPr>
          <w:rFonts w:ascii="Arial Narrow" w:hAnsi="Arial Narrow" w:eastAsia="仿宋_GB2312" w:cs="Arial"/>
          <w:b/>
          <w:sz w:val="36"/>
          <w:szCs w:val="36"/>
        </w:rPr>
      </w:r>
    </w:p>
    <w:p>
      <w:pPr>
        <w:pStyle w:val="1323"/>
        <w:pBdr/>
        <w:spacing/>
        <w:ind/>
        <w:rPr>
          <w:b/>
        </w:rPr>
      </w:pPr>
      <w:r/>
      <w:bookmarkStart w:id="1138" w:name="_Toc53229110"/>
      <w:r/>
      <w:bookmarkStart w:id="1139" w:name="_Toc140505175"/>
      <w:r>
        <w:t xml:space="preserve">结论</w:t>
      </w:r>
      <w:bookmarkEnd w:id="1138"/>
      <w:r/>
      <w:bookmarkEnd w:id="1139"/>
      <w:r/>
      <w:r>
        <w:rPr>
          <w:b/>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根据分析，可比公司2020到2022财年加权平均完全成本加成率独立交易区间为0.59%到7.29%，中位值为1.39%。松莉科技在2023年度的完全成本加成率为5.25%，位于可比公司完全成本加成率形成的四分位区间之内，且高于中位值。</w:t>
      </w:r>
      <w:r>
        <w:rPr>
          <w:rFonts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因此，从中国转让定价角度，我们认为松莉科技在2023年度受测关联交易中的转让定价安排不违背独立交易原则。</w:t>
      </w:r>
      <w:r>
        <w:rPr>
          <w:rFonts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jc w:val="both"/>
        <w:rPr>
          <w:rFonts w:ascii="Arial Narrow" w:hAnsi="Arial Narrow" w:eastAsia="仿宋_GB2312" w:cs="Arial Unicode MS"/>
          <w:sz w:val="22"/>
          <w:szCs w:val="22"/>
        </w:rPr>
      </w:pPr>
      <w:r>
        <w:rPr>
          <w:rFonts w:ascii="Arial Narrow" w:hAnsi="Arial Narrow" w:eastAsia="仿宋_GB2312" w:cs="Arial"/>
          <w:sz w:val="21"/>
          <w:szCs w:val="22"/>
        </w:rPr>
        <w:br w:type="page" w:clear="all"/>
      </w:r>
      <w:r>
        <w:rPr>
          <w:rFonts w:ascii="Arial Narrow" w:hAnsi="Arial Narrow" w:eastAsia="仿宋_GB2312" w:cs="Arial Unicode MS"/>
          <w:sz w:val="22"/>
          <w:szCs w:val="22"/>
        </w:rPr>
      </w:r>
    </w:p>
    <w:p>
      <w:pPr>
        <w:pStyle w:val="1529"/>
        <w:pBdr/>
        <w:spacing/>
        <w:ind/>
        <w:rPr/>
      </w:pPr>
      <w:r/>
      <w:bookmarkStart w:id="1140" w:name="_Toc53229111"/>
      <w:r/>
      <w:bookmarkStart w:id="1141" w:name="_Toc140505176"/>
      <w:r/>
      <w:bookmarkStart w:id="1142" w:name="_Toc47700092"/>
      <w:r/>
      <w:bookmarkStart w:id="1143" w:name="_Toc522015260"/>
      <w:r>
        <w:t xml:space="preserve">附件列表 </w:t>
      </w:r>
      <w:bookmarkEnd w:id="1140"/>
      <w:r/>
      <w:bookmarkEnd w:id="1141"/>
      <w:r/>
      <w:bookmarkEnd w:id="1142"/>
      <w:r/>
      <w:bookmarkEnd w:id="1143"/>
      <w:r/>
      <w:r/>
    </w:p>
    <w:p>
      <w:pPr>
        <w:pBdr/>
        <w:spacing w:after="156" w:before="156" w:line="360" w:lineRule="auto"/>
        <w:ind w:firstLine="22"/>
        <w:rPr>
          <w:rFonts w:ascii="Arial Narrow" w:hAnsi="Arial Narrow" w:eastAsia="仿宋_GB2312" w:cs="Arial"/>
          <w:sz w:val="22"/>
          <w:szCs w:val="22"/>
        </w:rPr>
      </w:pPr>
      <w:r>
        <w:rPr>
          <w:rFonts w:ascii="Arial Narrow" w:hAnsi="Arial Narrow" w:eastAsia="仿宋_GB2312" w:cs="Arial"/>
          <w:sz w:val="22"/>
          <w:szCs w:val="22"/>
        </w:rPr>
        <w:t xml:space="preserve">附件1转让定价方法简介</w:t>
      </w:r>
      <w:r>
        <w:rPr>
          <w:rFonts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firstLine="22"/>
        <w:rPr>
          <w:rFonts w:ascii="Arial Narrow" w:hAnsi="Arial Narrow" w:eastAsia="仿宋_GB2312" w:cs="Arial"/>
          <w:sz w:val="22"/>
          <w:szCs w:val="22"/>
        </w:rPr>
      </w:pPr>
      <w:r>
        <w:rPr>
          <w:rFonts w:ascii="Arial Narrow" w:hAnsi="Arial Narrow" w:eastAsia="仿宋_GB2312" w:cs="Arial"/>
          <w:sz w:val="22"/>
          <w:szCs w:val="22"/>
        </w:rPr>
        <w:t xml:space="preserve">附件2企业年度关联交易财务状况分析表</w:t>
      </w:r>
      <w:r>
        <w:rPr>
          <w:rFonts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firstLine="22"/>
        <w:rPr>
          <w:rFonts w:ascii="Arial Narrow" w:hAnsi="Arial Narrow" w:eastAsia="仿宋_GB2312" w:cs="Arial"/>
          <w:sz w:val="22"/>
          <w:szCs w:val="22"/>
        </w:rPr>
      </w:pPr>
      <w:r>
        <w:rPr>
          <w:rFonts w:ascii="Arial Narrow" w:hAnsi="Arial Narrow" w:eastAsia="仿宋_GB2312" w:cs="Arial"/>
          <w:sz w:val="22"/>
          <w:szCs w:val="22"/>
        </w:rPr>
        <w:t xml:space="preserve">附件3可比公司的业务简介</w:t>
      </w:r>
      <w:r>
        <w:rPr>
          <w:rFonts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firstLine="22"/>
        <w:rPr>
          <w:rFonts w:ascii="Arial Narrow" w:hAnsi="Arial Narrow" w:eastAsia="仿宋_GB2312" w:cs="Arial"/>
          <w:sz w:val="22"/>
          <w:szCs w:val="22"/>
        </w:rPr>
      </w:pPr>
      <w:r>
        <w:rPr>
          <w:rFonts w:ascii="Arial Narrow" w:hAnsi="Arial Narrow" w:eastAsia="仿宋_GB2312" w:cs="Arial"/>
          <w:sz w:val="22"/>
          <w:szCs w:val="22"/>
        </w:rPr>
        <w:t xml:space="preserve">附件4可比公司完全成本加成率的计算</w:t>
      </w:r>
      <w:r>
        <w:rPr>
          <w:rFonts w:ascii="Arial Narrow" w:hAnsi="Arial Narrow" w:eastAsia="仿宋_GB2312" w:cs="Arial"/>
          <w:sz w:val="22"/>
          <w:szCs w:val="22"/>
        </w:rPr>
      </w:r>
      <w:r>
        <w:rPr>
          <w:rFonts w:ascii="Arial Narrow" w:hAnsi="Arial Narrow" w:eastAsia="仿宋_GB2312" w:cs="Arial"/>
          <w:sz w:val="22"/>
          <w:szCs w:val="22"/>
        </w:rPr>
      </w:r>
    </w:p>
    <w:p>
      <w:pPr>
        <w:pBdr/>
        <w:spacing/>
        <w:ind/>
        <w:rPr>
          <w:rFonts w:ascii="Arial Narrow" w:hAnsi="Arial Narrow" w:eastAsia="仿宋_GB2312" w:cs="Arial"/>
          <w:sz w:val="22"/>
          <w:szCs w:val="22"/>
        </w:rPr>
      </w:pPr>
      <w:r>
        <w:rPr>
          <w:rFonts w:ascii="Arial Narrow" w:hAnsi="Arial Narrow" w:eastAsia="仿宋_GB2312" w:cs="Arial"/>
          <w:sz w:val="22"/>
          <w:szCs w:val="22"/>
        </w:rPr>
        <w:br w:type="page" w:clear="all"/>
      </w:r>
      <w:r>
        <w:rPr>
          <w:rFonts w:ascii="Arial Narrow" w:hAnsi="Arial Narrow" w:eastAsia="仿宋_GB2312" w:cs="Arial"/>
          <w:sz w:val="22"/>
          <w:szCs w:val="22"/>
        </w:rPr>
      </w:r>
    </w:p>
    <w:p>
      <w:pPr>
        <w:pStyle w:val="1529"/>
        <w:pBdr/>
        <w:spacing/>
        <w:ind/>
        <w:rPr/>
      </w:pPr>
      <w:r/>
      <w:bookmarkStart w:id="1144" w:name="_Hlk417658624"/>
      <w:r/>
      <w:bookmarkStart w:id="1145" w:name="_Toc50477149"/>
      <w:r/>
      <w:bookmarkStart w:id="1146" w:name="_Toc140505177"/>
      <w:r/>
      <w:bookmarkStart w:id="1147" w:name="_Toc53229112"/>
      <w:r/>
      <w:bookmarkStart w:id="1148" w:name="_Toc522015262"/>
      <w:r>
        <w:t xml:space="preserve">附件1转让定价方法简介</w:t>
      </w:r>
      <w:bookmarkEnd w:id="1144"/>
      <w:r/>
      <w:bookmarkEnd w:id="1145"/>
      <w:r/>
      <w:bookmarkEnd w:id="1146"/>
      <w:r/>
      <w:bookmarkEnd w:id="1147"/>
      <w:r/>
      <w:bookmarkEnd w:id="1148"/>
      <w:r/>
      <w:r/>
    </w:p>
    <w:p>
      <w:pPr>
        <w:pBdr/>
        <w:spacing/>
        <w:ind/>
        <w:jc w:val="both"/>
        <w:rPr>
          <w:rFonts w:ascii="Arial Narrow" w:hAnsi="Arial Narrow" w:eastAsia="仿宋_GB2312" w:cs="Arial"/>
          <w:b/>
          <w:bCs/>
          <w:i/>
          <w:color w:val="002060"/>
          <w:sz w:val="22"/>
          <w:szCs w:val="28"/>
        </w:rPr>
      </w:pPr>
      <w:r/>
      <w:bookmarkStart w:id="1149" w:name="_Hlk417658642"/>
      <w:r>
        <w:rPr>
          <w:rFonts w:ascii="Arial Narrow" w:hAnsi="Arial Narrow" w:eastAsia="仿宋_GB2312" w:cs="Arial"/>
          <w:b/>
          <w:bCs/>
          <w:i/>
          <w:color w:val="002060"/>
          <w:sz w:val="22"/>
          <w:szCs w:val="28"/>
        </w:rPr>
        <w:t xml:space="preserve">可比非受控价格法</w:t>
      </w:r>
      <w:r>
        <w:rPr>
          <w:rFonts w:ascii="Arial Narrow" w:hAnsi="Arial Narrow" w:eastAsia="仿宋_GB2312" w:cs="Arial"/>
          <w:b/>
          <w:bCs/>
          <w:i/>
          <w:color w:val="002060"/>
          <w:sz w:val="22"/>
          <w:szCs w:val="28"/>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[2017]6号公告第17条规定，可比非受控价格法可以适用于所有类型的关联交易。可比非受控价格法以非关联方之间进行的与关联交易相同或类似业务活动所收取的价格作为关联交易的公平成交价格。</w:t>
      </w:r>
      <w:r>
        <w:rPr>
          <w:rFonts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r>
        <w:rPr>
          <w:rFonts w:ascii="Arial Narrow" w:hAnsi="Arial Narrow" w:eastAsia="仿宋_GB2312" w:cs="Arial"/>
          <w:sz w:val="22"/>
          <w:szCs w:val="22"/>
        </w:rPr>
      </w:r>
      <w:r>
        <w:rPr>
          <w:rFonts w:ascii="Arial Narrow" w:hAnsi="Arial Narrow" w:eastAsia="仿宋_GB2312" w:cs="Arial"/>
          <w:sz w:val="22"/>
          <w:szCs w:val="22"/>
        </w:rPr>
      </w:r>
    </w:p>
    <w:p>
      <w:pPr>
        <w:pBdr/>
        <w:spacing/>
        <w:ind/>
        <w:jc w:val="both"/>
        <w:rPr>
          <w:rFonts w:ascii="Arial Narrow" w:hAnsi="Arial Narrow" w:eastAsia="仿宋_GB2312" w:cs="Arial"/>
          <w:b/>
          <w:bCs/>
          <w:i/>
          <w:color w:val="002060"/>
          <w:sz w:val="22"/>
          <w:szCs w:val="22"/>
        </w:rPr>
      </w:pPr>
      <w:r>
        <w:rPr>
          <w:rFonts w:ascii="Arial Narrow" w:hAnsi="Arial Narrow" w:eastAsia="仿宋_GB2312" w:cs="Arial"/>
          <w:b/>
          <w:bCs/>
          <w:i/>
          <w:color w:val="002060"/>
          <w:sz w:val="22"/>
          <w:szCs w:val="22"/>
        </w:rPr>
        <w:t xml:space="preserve">再销售价格法</w:t>
      </w:r>
      <w:r>
        <w:rPr>
          <w:rFonts w:ascii="Arial Narrow" w:hAnsi="Arial Narrow" w:eastAsia="仿宋_GB2312" w:cs="Arial"/>
          <w:b/>
          <w:bCs/>
          <w:i/>
          <w:color w:val="002060"/>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r>
        <w:rPr>
          <w:rFonts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r>
        <w:rPr>
          <w:rFonts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[2017]6号公告第18条规定，再销售价格法通常适用于以下交易：</w:t>
      </w:r>
      <w:r>
        <w:rPr>
          <w:rFonts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“再销售者未对商品进行改变外型、性能、结构或更换商标等实质性增值加工的简单加工或单纯的购销业务。”</w:t>
      </w:r>
      <w:r>
        <w:rPr>
          <w:rFonts w:ascii="Arial Narrow" w:hAnsi="Arial Narrow" w:eastAsia="仿宋_GB2312" w:cs="Arial"/>
          <w:sz w:val="22"/>
          <w:szCs w:val="22"/>
        </w:rPr>
      </w:r>
      <w:r>
        <w:rPr>
          <w:rFonts w:ascii="Arial Narrow" w:hAnsi="Arial Narrow" w:eastAsia="仿宋_GB2312" w:cs="Arial"/>
          <w:sz w:val="22"/>
          <w:szCs w:val="22"/>
        </w:rPr>
      </w:r>
    </w:p>
    <w:p>
      <w:pPr>
        <w:pBdr/>
        <w:spacing/>
        <w:ind/>
        <w:jc w:val="both"/>
        <w:rPr>
          <w:rFonts w:ascii="Arial Narrow" w:hAnsi="Arial Narrow" w:eastAsia="仿宋_GB2312" w:cs="Arial"/>
          <w:b/>
          <w:bCs/>
          <w:i/>
          <w:color w:val="009cde"/>
          <w:sz w:val="22"/>
          <w:szCs w:val="22"/>
        </w:rPr>
      </w:pPr>
      <w:r>
        <w:rPr>
          <w:rFonts w:ascii="Arial Narrow" w:hAnsi="Arial Narrow" w:eastAsia="仿宋_GB2312" w:cs="Arial"/>
          <w:b/>
          <w:bCs/>
          <w:i/>
          <w:color w:val="002060"/>
          <w:sz w:val="22"/>
          <w:szCs w:val="22"/>
        </w:rPr>
        <w:t xml:space="preserve">成本加成法</w:t>
      </w:r>
      <w:r>
        <w:rPr>
          <w:rFonts w:ascii="Arial Narrow" w:hAnsi="Arial Narrow" w:eastAsia="仿宋_GB2312" w:cs="Arial"/>
          <w:b/>
          <w:bCs/>
          <w:i/>
          <w:color w:val="009cde"/>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r>
        <w:rPr>
          <w:rFonts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r>
        <w:rPr>
          <w:rFonts w:ascii="Arial Narrow" w:hAnsi="Arial Narrow" w:eastAsia="仿宋_GB2312" w:cs="Arial"/>
          <w:sz w:val="22"/>
          <w:szCs w:val="22"/>
        </w:rPr>
      </w:r>
      <w:r>
        <w:rPr>
          <w:rFonts w:ascii="Arial Narrow" w:hAnsi="Arial Narrow" w:eastAsia="仿宋_GB2312" w:cs="Arial"/>
          <w:sz w:val="22"/>
          <w:szCs w:val="22"/>
        </w:rPr>
      </w:r>
    </w:p>
    <w:p>
      <w:pPr>
        <w:pBdr/>
        <w:spacing/>
        <w:ind/>
        <w:jc w:val="both"/>
        <w:rPr>
          <w:rFonts w:ascii="Arial Narrow" w:hAnsi="Arial Narrow" w:eastAsia="仿宋_GB2312" w:cs="Arial"/>
          <w:b/>
          <w:bCs/>
          <w:i/>
          <w:color w:val="009cde"/>
          <w:sz w:val="22"/>
          <w:szCs w:val="22"/>
        </w:rPr>
      </w:pPr>
      <w:r>
        <w:rPr>
          <w:rFonts w:ascii="Arial Narrow" w:hAnsi="Arial Narrow" w:eastAsia="仿宋_GB2312" w:cs="Arial"/>
          <w:b/>
          <w:bCs/>
          <w:i/>
          <w:color w:val="002060"/>
          <w:sz w:val="22"/>
          <w:szCs w:val="22"/>
        </w:rPr>
        <w:t xml:space="preserve">交易净利润法</w:t>
      </w:r>
      <w:r>
        <w:rPr>
          <w:rFonts w:ascii="Arial Narrow" w:hAnsi="Arial Narrow" w:eastAsia="仿宋_GB2312" w:cs="Arial"/>
          <w:b/>
          <w:bCs/>
          <w:i/>
          <w:color w:val="009cde"/>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[2017]6号公告第20条规定，交易净利润法是以可比非关联交易的利润水平指标确定关联交易的净利润。</w:t>
      </w:r>
      <w:r>
        <w:rPr>
          <w:rFonts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交易净利润法较其它传统转让定价方法有其明显的优势，《OECD转让定价指南》2.62章节指出:</w:t>
      </w:r>
      <w:r>
        <w:rPr>
          <w:rFonts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“…净利润指标2承受受控和非受控交易之间的某些功能差别。企业所发挥功能方面的差异，通常反映在营业费用的不同上。”</w:t>
      </w:r>
      <w:r>
        <w:rPr>
          <w:rFonts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r>
        <w:rPr>
          <w:rFonts w:ascii="Arial Narrow" w:hAnsi="Arial Narrow" w:eastAsia="仿宋_GB2312" w:cs="Arial"/>
          <w:sz w:val="22"/>
          <w:szCs w:val="22"/>
        </w:rPr>
      </w:r>
    </w:p>
    <w:p>
      <w:pPr>
        <w:pBdr/>
        <w:spacing/>
        <w:ind/>
        <w:jc w:val="both"/>
        <w:rPr>
          <w:rFonts w:ascii="Arial Narrow" w:hAnsi="Arial Narrow" w:eastAsia="仿宋_GB2312" w:cs="Arial"/>
          <w:b/>
          <w:bCs/>
          <w:i/>
          <w:color w:val="009cde"/>
          <w:sz w:val="22"/>
          <w:szCs w:val="22"/>
        </w:rPr>
      </w:pPr>
      <w:r>
        <w:rPr>
          <w:rFonts w:ascii="Arial Narrow" w:hAnsi="Arial Narrow" w:eastAsia="仿宋_GB2312" w:cs="Arial"/>
          <w:b/>
          <w:bCs/>
          <w:i/>
          <w:color w:val="002060"/>
          <w:sz w:val="22"/>
          <w:szCs w:val="22"/>
        </w:rPr>
        <w:t xml:space="preserve">利润分割法</w:t>
      </w:r>
      <w:r>
        <w:rPr>
          <w:rFonts w:ascii="Arial Narrow" w:hAnsi="Arial Narrow" w:eastAsia="仿宋_GB2312" w:cs="Arial"/>
          <w:b/>
          <w:bCs/>
          <w:i/>
          <w:color w:val="009cde"/>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[2017]6号公告第21条规定，利润分割法为根据企业与其关联方对关联交易合并利润的贡献计算各自应该分配的利润额。利润分割法适用于各参与方关联交易高度整合且难以单独评估各方交易结果的情况。</w:t>
      </w:r>
      <w:r>
        <w:rPr>
          <w:rFonts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[2017]6号公告第21条的规定，利润分割法一般分为以下2种：</w:t>
      </w:r>
      <w:r>
        <w:rPr>
          <w:rFonts w:ascii="Arial Narrow" w:hAnsi="Arial Narrow" w:eastAsia="仿宋_GB2312" w:cs="Arial"/>
          <w:sz w:val="22"/>
          <w:szCs w:val="22"/>
        </w:rPr>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r>
        <w:rPr>
          <w:rFonts w:ascii="Arial Narrow" w:hAnsi="Arial Narrow" w:eastAsia="仿宋_GB2312" w:cs="Arial"/>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剩余利润分割法：剩余利润分割法将关联交易各参与方的合并利润减去分配给各方的常规利润的余额作为剩余利润，再根据各方对剩余利润的贡献程度进行分配。</w:t>
      </w:r>
      <w:r>
        <w:rPr>
          <w:rFonts w:ascii="Arial Narrow" w:hAnsi="Arial Narrow" w:eastAsia="仿宋_GB2312" w:cs="Arial"/>
          <w:sz w:val="22"/>
          <w:szCs w:val="22"/>
        </w:rPr>
      </w:r>
    </w:p>
    <w:p>
      <w:pPr>
        <w:pBdr/>
        <w:spacing/>
        <w:ind/>
        <w:jc w:val="both"/>
        <w:rPr>
          <w:rFonts w:ascii="Arial Narrow" w:hAnsi="Arial Narrow" w:eastAsia="仿宋_GB2312" w:cs="Arial"/>
          <w:b/>
          <w:bCs/>
          <w:i/>
          <w:color w:val="009cde"/>
          <w:sz w:val="22"/>
          <w:szCs w:val="22"/>
        </w:rPr>
      </w:pPr>
      <w:r/>
      <w:bookmarkStart w:id="1150" w:name="OLE_LINK4"/>
      <w:r>
        <w:rPr>
          <w:rFonts w:ascii="Arial Narrow" w:hAnsi="Arial Narrow" w:eastAsia="仿宋_GB2312" w:cs="Arial"/>
          <w:b/>
          <w:bCs/>
          <w:i/>
          <w:color w:val="002060"/>
          <w:sz w:val="22"/>
          <w:szCs w:val="22"/>
        </w:rPr>
        <w:t xml:space="preserve">其他符合独立交易原则的方法</w:t>
      </w:r>
      <w:r>
        <w:rPr>
          <w:rFonts w:ascii="Arial Narrow" w:hAnsi="Arial Narrow" w:eastAsia="仿宋_GB2312" w:cs="Arial"/>
          <w:b/>
          <w:bCs/>
          <w:i/>
          <w:color w:val="009cde"/>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其他符合独立交易原则的方法包括成本法、市场法和收益法等资产评估方法，以及其他能够反映利润与经济活动发生地和价值创造地相匹配原则的方法。</w:t>
      </w:r>
      <w:r>
        <w:rPr>
          <w:rFonts w:ascii="Arial Narrow" w:hAnsi="Arial Narrow" w:eastAsia="仿宋_GB2312" w:cs="Arial"/>
          <w:sz w:val="22"/>
          <w:szCs w:val="22"/>
        </w:rPr>
      </w:r>
    </w:p>
    <w:p>
      <w:pPr>
        <w:numPr>
          <w:ilvl w:val="0"/>
          <w:numId w:val="32"/>
        </w:numPr>
        <w:pBdr/>
        <w:spacing/>
        <w:ind/>
        <w:jc w:val="both"/>
        <w:rPr>
          <w:rFonts w:ascii="Arial Narrow" w:hAnsi="Arial Narrow" w:eastAsia="仿宋_GB2312" w:cs="Arial"/>
          <w:b/>
          <w:bCs/>
          <w:i/>
          <w:color w:val="002060"/>
          <w:sz w:val="22"/>
          <w:szCs w:val="22"/>
        </w:rPr>
      </w:pPr>
      <w:r>
        <w:rPr>
          <w:rFonts w:ascii="Arial Narrow" w:hAnsi="Arial Narrow" w:eastAsia="仿宋_GB2312" w:cs="Arial"/>
          <w:b/>
          <w:bCs/>
          <w:i/>
          <w:color w:val="002060"/>
          <w:sz w:val="22"/>
          <w:szCs w:val="22"/>
        </w:rPr>
        <w:t xml:space="preserve">成本法</w:t>
      </w:r>
      <w:r>
        <w:rPr>
          <w:rFonts w:ascii="Arial Narrow" w:hAnsi="Arial Narrow" w:eastAsia="仿宋_GB2312" w:cs="Arial"/>
          <w:b/>
          <w:bCs/>
          <w:i/>
          <w:color w:val="002060"/>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成本法是以替代或者重置原则为基础，通过在当前市场价格下创造一项相似资产所发生的支出确定评估标的价值的评估方法。成本法适用于能够被替代的资产价值评估。</w:t>
      </w:r>
      <w:r>
        <w:rPr>
          <w:rFonts w:ascii="Arial Narrow" w:hAnsi="Arial Narrow" w:eastAsia="仿宋_GB2312" w:cs="Arial"/>
          <w:sz w:val="22"/>
          <w:szCs w:val="22"/>
        </w:rPr>
      </w:r>
    </w:p>
    <w:p>
      <w:pPr>
        <w:numPr>
          <w:ilvl w:val="0"/>
          <w:numId w:val="32"/>
        </w:numPr>
        <w:pBdr/>
        <w:spacing/>
        <w:ind/>
        <w:jc w:val="both"/>
        <w:rPr>
          <w:rFonts w:ascii="Arial Narrow" w:hAnsi="Arial Narrow" w:eastAsia="仿宋_GB2312" w:cs="Arial"/>
          <w:b/>
          <w:bCs/>
          <w:i/>
          <w:color w:val="009cde"/>
          <w:sz w:val="22"/>
          <w:szCs w:val="22"/>
        </w:rPr>
      </w:pPr>
      <w:r>
        <w:rPr>
          <w:rFonts w:ascii="Arial Narrow" w:hAnsi="Arial Narrow" w:eastAsia="仿宋_GB2312" w:cs="Arial"/>
          <w:b/>
          <w:bCs/>
          <w:i/>
          <w:color w:val="002060"/>
          <w:sz w:val="22"/>
          <w:szCs w:val="22"/>
        </w:rPr>
        <w:t xml:space="preserve">市场法</w:t>
      </w:r>
      <w:r>
        <w:rPr>
          <w:rFonts w:ascii="Arial Narrow" w:hAnsi="Arial Narrow" w:eastAsia="仿宋_GB2312" w:cs="Arial"/>
          <w:b/>
          <w:bCs/>
          <w:i/>
          <w:color w:val="009cde"/>
          <w:sz w:val="22"/>
          <w:szCs w:val="22"/>
        </w:rPr>
      </w:r>
    </w:p>
    <w:p>
      <w:pPr>
        <w:pBdr/>
        <w:spacing w:after="156" w:before="156"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r>
        <w:rPr>
          <w:rFonts w:ascii="Arial Narrow" w:hAnsi="Arial Narrow" w:eastAsia="仿宋_GB2312" w:cs="Arial"/>
          <w:sz w:val="22"/>
          <w:szCs w:val="22"/>
        </w:rPr>
      </w:r>
    </w:p>
    <w:p>
      <w:pPr>
        <w:numPr>
          <w:ilvl w:val="0"/>
          <w:numId w:val="32"/>
        </w:numPr>
        <w:pBdr/>
        <w:spacing/>
        <w:ind/>
        <w:jc w:val="both"/>
        <w:rPr>
          <w:rFonts w:ascii="Arial Narrow" w:hAnsi="Arial Narrow" w:eastAsia="仿宋_GB2312" w:cs="Arial"/>
          <w:b/>
          <w:bCs/>
          <w:i/>
          <w:color w:val="009cde"/>
          <w:sz w:val="22"/>
          <w:szCs w:val="22"/>
        </w:rPr>
      </w:pPr>
      <w:r>
        <w:rPr>
          <w:rFonts w:ascii="Arial Narrow" w:hAnsi="Arial Narrow" w:eastAsia="仿宋_GB2312" w:cs="Arial"/>
          <w:b/>
          <w:bCs/>
          <w:i/>
          <w:color w:val="002060"/>
          <w:sz w:val="22"/>
          <w:szCs w:val="22"/>
        </w:rPr>
        <w:t xml:space="preserve">收益法</w:t>
      </w:r>
      <w:r>
        <w:rPr>
          <w:rFonts w:ascii="Arial Narrow" w:hAnsi="Arial Narrow" w:eastAsia="仿宋_GB2312" w:cs="Arial"/>
          <w:b/>
          <w:bCs/>
          <w:i/>
          <w:color w:val="009cde"/>
          <w:sz w:val="22"/>
          <w:szCs w:val="22"/>
        </w:rPr>
      </w:r>
    </w:p>
    <w:p>
      <w:pPr>
        <w:pBdr/>
        <w:spacing w:after="156" w:before="156" w:line="360" w:lineRule="auto"/>
        <w:ind w:firstLine="440"/>
        <w:jc w:val="both"/>
        <w:rPr>
          <w:rFonts w:ascii="Arial Narrow" w:hAnsi="Arial Narrow" w:eastAsia="仿宋_GB2312" w:cs="Arial"/>
          <w:sz w:val="22"/>
          <w:szCs w:val="22"/>
        </w:rPr>
        <w:sectPr>
          <w:footnotePr/>
          <w:endnotePr/>
          <w:type w:val="nextPage"/>
          <w:pgSz w:h="16838" w:orient="portrait" w:w="11906"/>
          <w:pgMar w:top="1440" w:right="1800" w:bottom="1440" w:left="1800" w:header="709" w:footer="709" w:gutter="0"/>
          <w:cols w:num="1" w:sep="0" w:space="720" w:equalWidth="1"/>
        </w:sectPr>
      </w:pPr>
      <w:r>
        <w:rPr>
          <w:rFonts w:ascii="Arial Narrow" w:hAnsi="Arial Narrow" w:eastAsia="仿宋_GB2312" w:cs="Arial"/>
          <w:sz w:val="22"/>
          <w:szCs w:val="22"/>
        </w:rPr>
        <w:t xml:space="preserve">收益法是通过评估标的未来预期收益现值来确定其价值的评估方法。收益法适用于企业整体资产和可预期未来收益的单项资产评估。</w:t>
      </w:r>
      <w:bookmarkEnd w:id="1150"/>
      <w:r/>
      <w:r>
        <w:rPr>
          <w:rFonts w:ascii="Arial Narrow" w:hAnsi="Arial Narrow" w:eastAsia="仿宋_GB2312" w:cs="Arial"/>
          <w:sz w:val="22"/>
          <w:szCs w:val="22"/>
        </w:rPr>
      </w:r>
    </w:p>
    <w:p>
      <w:pPr>
        <w:pStyle w:val="1529"/>
        <w:pBdr/>
        <w:spacing/>
        <w:ind/>
        <w:rPr/>
      </w:pPr>
      <w:r/>
      <w:bookmarkStart w:id="1151" w:name="_Toc140505178"/>
      <w:r/>
      <w:bookmarkStart w:id="1152" w:name="_Toc50477150"/>
      <w:r/>
      <w:bookmarkStart w:id="1153" w:name="_Toc53229113"/>
      <w:r>
        <w:t xml:space="preserve">附件2企业年度关联交易财务状况分析表</w:t>
      </w:r>
      <w:bookmarkEnd w:id="1151"/>
      <w:r/>
      <w:bookmarkEnd w:id="1152"/>
      <w:r/>
      <w:bookmarkEnd w:id="1153"/>
      <w:r/>
      <w:r/>
    </w:p>
    <w:p>
      <w:pPr>
        <w:pBdr/>
        <w:spacing w:after="163" w:before="163"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下表中的财务数据均由松莉科技提供，所有金额均以人民币元为单位。</w:t>
      </w:r>
      <w:r>
        <w:rPr>
          <w:rFonts w:ascii="Arial Narrow" w:hAnsi="Arial Narrow" w:eastAsia="仿宋_GB2312" w:cs="Arial"/>
          <w:sz w:val="22"/>
          <w:szCs w:val="22"/>
        </w:rPr>
      </w:r>
    </w:p>
    <w:p>
      <w:pPr>
        <w:pBdr/>
        <w:spacing w:after="163" w:before="163" w:line="360" w:lineRule="auto"/>
        <w:ind w:firstLine="440"/>
        <w:jc w:val="both"/>
        <w:rPr>
          <w:rFonts w:ascii="Arial Narrow" w:hAnsi="Arial Narrow" w:eastAsia="仿宋_GB2312" w:cs="Arial"/>
          <w:sz w:val="22"/>
          <w:szCs w:val="22"/>
        </w:rPr>
      </w:pPr>
      <w:r>
        <w:rPr>
          <w:rFonts w:hint="eastAsia" w:ascii="Arial Narrow" w:hAnsi="Arial Narrow" w:eastAsia="仿宋_GB2312" w:cs="Arial"/>
          <w:sz w:val="22"/>
          <w:szCs w:val="22"/>
        </w:rPr>
        <w:t xml:space="preserve">立信未对提供的财务数据进行核实，也未进行任何的财务分析以验证松莉科技在下述财务数据中所选用分摊标准的合理性。</w:t>
      </w:r>
      <w:r>
        <w:rPr>
          <w:rFonts w:ascii="Arial Narrow" w:hAnsi="Arial Narrow" w:eastAsia="仿宋_GB2312" w:cs="Arial"/>
          <w:sz w:val="22"/>
          <w:szCs w:val="22"/>
        </w:rPr>
      </w:r>
      <w:r>
        <w:rPr>
          <w:rFonts w:ascii="Arial Narrow" w:hAnsi="Arial Narrow" w:eastAsia="仿宋_GB2312" w:cs="Arial"/>
          <w:sz w:val="22"/>
          <w:szCs w:val="22"/>
        </w:rPr>
      </w:r>
    </w:p>
    <w:tbl>
      <w:tblPr>
        <w:tblW w:w="8647" w:type="dxa"/>
        <w:tblInd w:w="-152" w:type="dxa"/>
        <w:tblBorders/>
        <w:tblLayout w:type="fixed"/>
        <w:tblLook w:val="04A0" w:firstRow="1" w:lastRow="0" w:firstColumn="1" w:lastColumn="0" w:noHBand="0" w:noVBand="1"/>
      </w:tblPr>
      <w:tblGrid>
        <w:gridCol w:w="1702"/>
        <w:gridCol w:w="1417"/>
        <w:gridCol w:w="1418"/>
        <w:gridCol w:w="1370"/>
        <w:gridCol w:w="1323"/>
        <w:gridCol w:w="1417"/>
      </w:tblGrid>
      <w:tr>
        <w:trPr>
          <w:trHeight w:val="454"/>
        </w:trPr>
        <w:tc>
          <w:tcPr>
            <w:shd w:val="clear" w:color="auto" w:fill="002060"/>
            <w:tcBorders>
              <w:top w:val="single" w:color="auto" w:sz="8" w:space="0"/>
              <w:left w:val="single" w:color="auto" w:sz="8" w:space="0"/>
              <w:bottom w:val="single" w:color="auto" w:sz="8" w:space="0"/>
              <w:right w:val="none" w:color="000000" w:sz="4" w:space="0"/>
            </w:tcBorders>
            <w:tcW w:w="1702" w:type="dxa"/>
            <w:vAlign w:val="center"/>
            <w:textDirection w:val="lrTb"/>
            <w:noWrap w:val="false"/>
          </w:tcPr>
          <w:p>
            <w:pPr>
              <w:pBdr/>
              <w:spacing/>
              <w:ind/>
              <w:jc w:val="center"/>
              <w:rPr>
                <w:rFonts w:ascii="Arial Narrow" w:hAnsi="Arial Narrow" w:eastAsia="仿宋_GB2312" w:cs="Arial"/>
                <w:color w:val="000000"/>
                <w:sz w:val="16"/>
                <w:szCs w:val="16"/>
              </w:rPr>
            </w:pPr>
            <w:r>
              <w:rPr>
                <w:rFonts w:ascii="Arial Narrow" w:hAnsi="Arial Narrow" w:eastAsia="仿宋_GB2312" w:cs="Arial"/>
                <w:b/>
                <w:color w:val="ffffff" w:themeColor="background1"/>
                <w:sz w:val="16"/>
                <w:szCs w:val="16"/>
              </w:rPr>
              <w:t xml:space="preserve">项目</w:t>
            </w:r>
            <w:r>
              <w:rPr>
                <w:rFonts w:ascii="Arial Narrow" w:hAnsi="Arial Narrow" w:eastAsia="仿宋_GB2312" w:cs="Arial"/>
                <w:color w:val="000000"/>
                <w:sz w:val="16"/>
                <w:szCs w:val="16"/>
              </w:rPr>
            </w:r>
          </w:p>
        </w:tc>
        <w:tc>
          <w:tcPr>
            <w:shd w:val="clear" w:color="auto" w:fill="002060"/>
            <w:tcBorders>
              <w:top w:val="single" w:color="auto" w:sz="8" w:space="0"/>
              <w:left w:val="single" w:color="auto" w:sz="8" w:space="0"/>
              <w:bottom w:val="single" w:color="auto" w:sz="8" w:space="0"/>
              <w:right w:val="single" w:color="auto" w:sz="8" w:space="0"/>
            </w:tcBorders>
            <w:tcW w:w="1417" w:type="dxa"/>
            <w:vAlign w:val="center"/>
            <w:textDirection w:val="lrTb"/>
            <w:noWrap w:val="false"/>
          </w:tcPr>
          <w:p>
            <w:pPr>
              <w:pBdr/>
              <w:spacing/>
              <w:ind/>
              <w:jc w:val="center"/>
              <w:rPr>
                <w:rFonts w:ascii="Arial Narrow" w:hAnsi="Arial Narrow" w:eastAsia="仿宋_GB2312" w:cs="Arial"/>
                <w:b/>
                <w:color w:val="ffffff" w:themeColor="background1"/>
                <w:sz w:val="16"/>
                <w:szCs w:val="16"/>
              </w:rPr>
            </w:pPr>
            <w:r>
              <w:rPr>
                <w:rFonts w:ascii="Arial Narrow" w:hAnsi="Arial Narrow" w:eastAsia="仿宋_GB2312" w:cs="Arial"/>
                <w:b/>
                <w:color w:val="ffffff" w:themeColor="background1"/>
                <w:sz w:val="16"/>
                <w:szCs w:val="16"/>
              </w:rPr>
              <w:t xml:space="preserve">境外关联交易</w:t>
            </w:r>
            <w:r>
              <w:rPr>
                <w:rFonts w:ascii="Arial Narrow" w:hAnsi="Arial Narrow" w:eastAsia="仿宋_GB2312" w:cs="Arial"/>
                <w:b/>
                <w:color w:val="ffffff" w:themeColor="background1"/>
                <w:sz w:val="16"/>
                <w:szCs w:val="16"/>
              </w:rPr>
            </w:r>
          </w:p>
        </w:tc>
        <w:tc>
          <w:tcPr>
            <w:shd w:val="clear" w:color="auto" w:fill="002060"/>
            <w:tcBorders>
              <w:top w:val="single" w:color="auto" w:sz="8" w:space="0"/>
              <w:left w:val="none" w:color="000000" w:sz="4" w:space="0"/>
              <w:bottom w:val="single" w:color="auto" w:sz="8" w:space="0"/>
              <w:right w:val="single" w:color="auto" w:sz="8" w:space="0"/>
            </w:tcBorders>
            <w:tcW w:w="1418" w:type="dxa"/>
            <w:vAlign w:val="center"/>
            <w:textDirection w:val="lrTb"/>
            <w:noWrap w:val="false"/>
          </w:tcPr>
          <w:p>
            <w:pPr>
              <w:pBdr/>
              <w:spacing/>
              <w:ind/>
              <w:jc w:val="center"/>
              <w:rPr>
                <w:rFonts w:ascii="Arial Narrow" w:hAnsi="Arial Narrow" w:eastAsia="仿宋_GB2312" w:cs="Arial"/>
                <w:b/>
                <w:color w:val="ffffff" w:themeColor="background1"/>
                <w:sz w:val="16"/>
                <w:szCs w:val="16"/>
              </w:rPr>
            </w:pPr>
            <w:r>
              <w:rPr>
                <w:rFonts w:ascii="Arial Narrow" w:hAnsi="Arial Narrow" w:eastAsia="仿宋_GB2312" w:cs="Arial"/>
                <w:b/>
                <w:color w:val="ffffff" w:themeColor="background1"/>
                <w:sz w:val="16"/>
                <w:szCs w:val="16"/>
              </w:rPr>
              <w:t xml:space="preserve">境外非关联交易</w:t>
            </w:r>
            <w:r>
              <w:rPr>
                <w:rFonts w:ascii="Arial Narrow" w:hAnsi="Arial Narrow" w:eastAsia="仿宋_GB2312" w:cs="Arial"/>
                <w:b/>
                <w:color w:val="ffffff" w:themeColor="background1"/>
                <w:sz w:val="16"/>
                <w:szCs w:val="16"/>
              </w:rPr>
            </w:r>
          </w:p>
        </w:tc>
        <w:tc>
          <w:tcPr>
            <w:shd w:val="clear" w:color="auto" w:fill="002060"/>
            <w:tcBorders>
              <w:top w:val="single" w:color="auto" w:sz="8" w:space="0"/>
              <w:left w:val="none" w:color="000000" w:sz="4" w:space="0"/>
              <w:bottom w:val="single" w:color="auto" w:sz="8" w:space="0"/>
              <w:right w:val="single" w:color="auto" w:sz="8" w:space="0"/>
            </w:tcBorders>
            <w:tcW w:w="1370" w:type="dxa"/>
            <w:vAlign w:val="center"/>
            <w:textDirection w:val="lrTb"/>
            <w:noWrap w:val="false"/>
          </w:tcPr>
          <w:p>
            <w:pPr>
              <w:pBdr/>
              <w:spacing/>
              <w:ind w:right="-40" w:left="-40"/>
              <w:jc w:val="center"/>
              <w:rPr>
                <w:rFonts w:ascii="Arial Narrow" w:hAnsi="Arial Narrow" w:eastAsia="仿宋_GB2312" w:cs="Arial"/>
                <w:b/>
                <w:color w:val="ffffff" w:themeColor="background1"/>
                <w:sz w:val="16"/>
                <w:szCs w:val="16"/>
              </w:rPr>
            </w:pPr>
            <w:r>
              <w:rPr>
                <w:rFonts w:ascii="Arial Narrow" w:hAnsi="Arial Narrow" w:eastAsia="仿宋_GB2312" w:cs="Arial"/>
                <w:b/>
                <w:color w:val="ffffff" w:themeColor="background1"/>
                <w:sz w:val="16"/>
                <w:szCs w:val="16"/>
              </w:rPr>
              <w:t xml:space="preserve">境内关联交易</w:t>
            </w:r>
            <w:r>
              <w:rPr>
                <w:rFonts w:ascii="Arial Narrow" w:hAnsi="Arial Narrow" w:eastAsia="仿宋_GB2312" w:cs="Arial"/>
                <w:b/>
                <w:color w:val="ffffff" w:themeColor="background1"/>
                <w:sz w:val="16"/>
                <w:szCs w:val="16"/>
              </w:rPr>
            </w:r>
          </w:p>
        </w:tc>
        <w:tc>
          <w:tcPr>
            <w:shd w:val="clear" w:color="auto" w:fill="002060"/>
            <w:tcBorders>
              <w:top w:val="single" w:color="auto" w:sz="8" w:space="0"/>
              <w:left w:val="none" w:color="000000" w:sz="4" w:space="0"/>
              <w:bottom w:val="single" w:color="auto" w:sz="8" w:space="0"/>
              <w:right w:val="none" w:color="000000" w:sz="4" w:space="0"/>
            </w:tcBorders>
            <w:tcW w:w="1323" w:type="dxa"/>
            <w:vAlign w:val="center"/>
            <w:textDirection w:val="lrTb"/>
            <w:noWrap w:val="false"/>
          </w:tcPr>
          <w:p>
            <w:pPr>
              <w:pBdr/>
              <w:spacing/>
              <w:ind w:right="-40" w:left="-40"/>
              <w:jc w:val="center"/>
              <w:rPr>
                <w:rFonts w:ascii="Arial Narrow" w:hAnsi="Arial Narrow" w:eastAsia="仿宋_GB2312" w:cs="Arial"/>
                <w:b/>
                <w:color w:val="ffffff" w:themeColor="background1"/>
                <w:sz w:val="16"/>
                <w:szCs w:val="16"/>
              </w:rPr>
            </w:pPr>
            <w:r>
              <w:rPr>
                <w:rFonts w:ascii="Arial Narrow" w:hAnsi="Arial Narrow" w:eastAsia="仿宋_GB2312" w:cs="Arial"/>
                <w:b/>
                <w:color w:val="ffffff" w:themeColor="background1"/>
                <w:sz w:val="16"/>
                <w:szCs w:val="16"/>
              </w:rPr>
              <w:t xml:space="preserve">境内非关联交易</w:t>
            </w:r>
            <w:r>
              <w:rPr>
                <w:rFonts w:ascii="Arial Narrow" w:hAnsi="Arial Narrow" w:eastAsia="仿宋_GB2312" w:cs="Arial"/>
                <w:b/>
                <w:color w:val="ffffff" w:themeColor="background1"/>
                <w:sz w:val="16"/>
                <w:szCs w:val="16"/>
              </w:rPr>
            </w:r>
          </w:p>
        </w:tc>
        <w:tc>
          <w:tcPr>
            <w:shd w:val="clear" w:color="auto" w:fill="002060"/>
            <w:tcBorders>
              <w:top w:val="single" w:color="auto" w:sz="8" w:space="0"/>
              <w:left w:val="single" w:color="auto" w:sz="8" w:space="0"/>
              <w:bottom w:val="single" w:color="auto" w:sz="8" w:space="0"/>
              <w:right w:val="single" w:color="auto" w:sz="8" w:space="0"/>
            </w:tcBorders>
            <w:tcW w:w="1417" w:type="dxa"/>
            <w:vAlign w:val="center"/>
            <w:textDirection w:val="lrTb"/>
            <w:noWrap w:val="false"/>
          </w:tcPr>
          <w:p>
            <w:pPr>
              <w:pBdr/>
              <w:spacing/>
              <w:ind w:right="-40" w:left="-40"/>
              <w:jc w:val="center"/>
              <w:rPr>
                <w:rFonts w:ascii="Arial Narrow" w:hAnsi="Arial Narrow" w:eastAsia="仿宋_GB2312" w:cs="Arial"/>
                <w:b/>
                <w:color w:val="ffffff" w:themeColor="background1"/>
                <w:sz w:val="16"/>
                <w:szCs w:val="16"/>
              </w:rPr>
            </w:pPr>
            <w:r>
              <w:rPr>
                <w:rFonts w:ascii="Arial Narrow" w:hAnsi="Arial Narrow" w:eastAsia="仿宋_GB2312" w:cs="Arial"/>
                <w:b/>
                <w:color w:val="ffffff" w:themeColor="background1"/>
                <w:sz w:val="16"/>
                <w:szCs w:val="16"/>
              </w:rPr>
              <w:t xml:space="preserve">总计</w:t>
            </w:r>
            <w:r>
              <w:rPr>
                <w:rFonts w:ascii="Arial Narrow" w:hAnsi="Arial Narrow" w:eastAsia="仿宋_GB2312" w:cs="Arial"/>
                <w:b/>
                <w:color w:val="ffffff" w:themeColor="background1"/>
                <w:sz w:val="16"/>
                <w:szCs w:val="16"/>
              </w:rPr>
            </w:r>
          </w:p>
        </w:tc>
      </w:tr>
      <w:tr>
        <w:trPr>
          <w:trHeight w:val="454"/>
        </w:trPr>
        <w:tc>
          <w:tcPr>
            <w:shd w:val="clear" w:color="auto" w:fill="auto"/>
            <w:tcBorders>
              <w:top w:val="none" w:color="000000" w:sz="4" w:space="0"/>
              <w:left w:val="single" w:color="auto" w:sz="8" w:space="0"/>
              <w:bottom w:val="single" w:color="auto" w:sz="8" w:space="0"/>
              <w:right w:val="single" w:color="auto" w:sz="8" w:space="0"/>
            </w:tcBorders>
            <w:tcW w:w="1702" w:type="dxa"/>
            <w:vAlign w:val="center"/>
            <w:textDirection w:val="lrTb"/>
            <w:noWrap w:val="false"/>
          </w:tcPr>
          <w:p>
            <w:pPr>
              <w:pBdr/>
              <w:spacing/>
              <w:ind/>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一、营业收入</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417" w:type="dxa"/>
            <w:vAlign w:val="center"/>
            <w:textDirection w:val="lrTb"/>
            <w:noWrap w:val="false"/>
          </w:tcPr>
          <w:p>
            <w:pPr>
              <w:pBdr/>
              <w:spacing/>
              <w:ind/>
              <w:jc w:val="right"/>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{{一、营业收入}}</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418" w:type="dxa"/>
            <w:vAlign w:val="center"/>
            <w:textDirection w:val="lrTb"/>
            <w:noWrap w:val="false"/>
          </w:tcPr>
          <w:p>
            <w:pPr>
              <w:pBdr/>
              <w:spacing/>
              <w:ind/>
              <w:jc w:val="right"/>
              <w:rPr>
                <w:rFonts w:ascii="Arial Narrow" w:hAnsi="Arial Narrow" w:eastAsia="仿宋_GB2312" w:cs="Arial"/>
                <w:color w:val="000000"/>
                <w:sz w:val="16"/>
                <w:szCs w:val="16"/>
              </w:rPr>
            </w:pPr>
            <w:r>
              <w:rPr>
                <w:rFonts w:hint="eastAsia" w:ascii="Arial Narrow" w:hAnsi="Arial Narrow" w:eastAsia="仿宋_GB2312" w:cs="Arial"/>
                <w:color w:val="000000"/>
                <w:sz w:val="16"/>
                <w:szCs w:val="16"/>
              </w:rPr>
              <w:t xml:space="preserve">0.00</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370" w:type="dxa"/>
            <w:vAlign w:val="center"/>
            <w:textDirection w:val="lrTb"/>
            <w:noWrap w:val="false"/>
          </w:tcPr>
          <w:p>
            <w:pPr>
              <w:pBdr/>
              <w:spacing/>
              <w:ind/>
              <w:jc w:val="right"/>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13,250,837.84</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323" w:type="dxa"/>
            <w:vAlign w:val="center"/>
            <w:textDirection w:val="lrTb"/>
            <w:noWrap w:val="false"/>
          </w:tcPr>
          <w:p>
            <w:pPr>
              <w:pBdr/>
              <w:spacing/>
              <w:ind w:right="-40" w:left="-80"/>
              <w:jc w:val="right"/>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139,170.23</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417" w:type="dxa"/>
            <w:vAlign w:val="center"/>
            <w:textDirection w:val="lrTb"/>
            <w:noWrap w:val="false"/>
          </w:tcPr>
          <w:p>
            <w:pPr>
              <w:pBdr/>
              <w:spacing/>
              <w:ind/>
              <w:jc w:val="right"/>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273,356,327.70</w:t>
            </w:r>
            <w:r>
              <w:rPr>
                <w:rFonts w:ascii="Arial Narrow" w:hAnsi="Arial Narrow" w:eastAsia="仿宋_GB2312" w:cs="Arial"/>
                <w:color w:val="000000"/>
                <w:sz w:val="16"/>
                <w:szCs w:val="16"/>
              </w:rPr>
            </w:r>
          </w:p>
        </w:tc>
      </w:tr>
      <w:tr>
        <w:trPr>
          <w:trHeight w:val="454"/>
        </w:trPr>
        <w:tc>
          <w:tcPr>
            <w:shd w:val="clear" w:color="auto" w:fill="auto"/>
            <w:tcBorders>
              <w:top w:val="none" w:color="000000" w:sz="4" w:space="0"/>
              <w:left w:val="single" w:color="auto" w:sz="8" w:space="0"/>
              <w:bottom w:val="single" w:color="auto" w:sz="8" w:space="0"/>
              <w:right w:val="single" w:color="auto" w:sz="8" w:space="0"/>
            </w:tcBorders>
            <w:tcW w:w="1702" w:type="dxa"/>
            <w:vAlign w:val="center"/>
            <w:textDirection w:val="lrTb"/>
            <w:noWrap w:val="false"/>
          </w:tcPr>
          <w:p>
            <w:pPr>
              <w:pBdr/>
              <w:spacing/>
              <w:ind/>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　其中：主营业务收入</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417" w:type="dxa"/>
            <w:vAlign w:val="center"/>
            <w:textDirection w:val="lrTb"/>
            <w:noWrap w:val="false"/>
          </w:tcPr>
          <w:p>
            <w:pPr>
              <w:pBdr/>
              <w:spacing/>
              <w:ind/>
              <w:jc w:val="right"/>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　　　　其中：主营业务收入}}</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418" w:type="dxa"/>
            <w:vAlign w:val="center"/>
            <w:textDirection w:val="lrTb"/>
            <w:noWrap w:val="false"/>
          </w:tcPr>
          <w:p>
            <w:pPr>
              <w:pBdr/>
              <w:spacing/>
              <w:ind/>
              <w:jc w:val="right"/>
              <w:rPr>
                <w:rFonts w:ascii="Arial Narrow" w:hAnsi="Arial Narrow" w:eastAsia="仿宋_GB2312" w:cs="Arial"/>
                <w:color w:val="000000"/>
                <w:sz w:val="16"/>
                <w:szCs w:val="16"/>
              </w:rPr>
            </w:pPr>
            <w:r>
              <w:rPr>
                <w:rFonts w:hint="eastAsia" w:ascii="Arial Narrow" w:hAnsi="Arial Narrow" w:eastAsia="仿宋_GB2312" w:cs="Arial"/>
                <w:color w:val="000000"/>
                <w:sz w:val="16"/>
                <w:szCs w:val="16"/>
              </w:rPr>
              <w:t xml:space="preserve">0.00</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370" w:type="dxa"/>
            <w:vAlign w:val="center"/>
            <w:textDirection w:val="lrTb"/>
            <w:noWrap w:val="false"/>
          </w:tcPr>
          <w:p>
            <w:pPr>
              <w:pBdr/>
              <w:spacing/>
              <w:ind/>
              <w:jc w:val="right"/>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12,953,423.52</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323" w:type="dxa"/>
            <w:vAlign w:val="center"/>
            <w:textDirection w:val="lrTb"/>
            <w:noWrap w:val="false"/>
          </w:tcPr>
          <w:p>
            <w:pPr>
              <w:pBdr/>
              <w:spacing/>
              <w:ind w:right="-40" w:left="-80"/>
              <w:jc w:val="right"/>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47,472.11</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417" w:type="dxa"/>
            <w:vAlign w:val="center"/>
            <w:textDirection w:val="lrTb"/>
            <w:noWrap w:val="false"/>
          </w:tcPr>
          <w:p>
            <w:pPr>
              <w:pBdr/>
              <w:spacing/>
              <w:ind/>
              <w:jc w:val="right"/>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272,775,438.29</w:t>
            </w:r>
            <w:r>
              <w:rPr>
                <w:rFonts w:ascii="Arial Narrow" w:hAnsi="Arial Narrow" w:eastAsia="仿宋_GB2312" w:cs="Arial"/>
                <w:color w:val="000000"/>
                <w:sz w:val="16"/>
                <w:szCs w:val="16"/>
              </w:rPr>
            </w:r>
          </w:p>
        </w:tc>
      </w:tr>
      <w:tr>
        <w:trPr>
          <w:trHeight w:val="454"/>
        </w:trPr>
        <w:tc>
          <w:tcPr>
            <w:shd w:val="clear" w:color="auto" w:fill="auto"/>
            <w:tcBorders>
              <w:top w:val="none" w:color="000000" w:sz="4" w:space="0"/>
              <w:left w:val="single" w:color="auto" w:sz="8" w:space="0"/>
              <w:bottom w:val="single" w:color="auto" w:sz="8" w:space="0"/>
              <w:right w:val="single" w:color="auto" w:sz="8" w:space="0"/>
            </w:tcBorders>
            <w:tcW w:w="1702" w:type="dxa"/>
            <w:vAlign w:val="center"/>
            <w:textDirection w:val="lrTb"/>
            <w:noWrap w:val="false"/>
          </w:tcPr>
          <w:p>
            <w:pPr>
              <w:pBdr/>
              <w:spacing/>
              <w:ind/>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　减：营业成本</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417" w:type="dxa"/>
            <w:vAlign w:val="center"/>
            <w:textDirection w:val="lrTb"/>
            <w:noWrap w:val="false"/>
          </w:tcPr>
          <w:p>
            <w:pPr>
              <w:pBdr/>
              <w:spacing/>
              <w:ind/>
              <w:jc w:val="right"/>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　减：营业成本}}</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418" w:type="dxa"/>
            <w:vAlign w:val="center"/>
            <w:textDirection w:val="lrTb"/>
            <w:noWrap w:val="false"/>
          </w:tcPr>
          <w:p>
            <w:pPr>
              <w:pBdr/>
              <w:spacing/>
              <w:ind/>
              <w:jc w:val="right"/>
              <w:rPr>
                <w:rFonts w:ascii="Arial Narrow" w:hAnsi="Arial Narrow" w:eastAsia="仿宋_GB2312" w:cs="Arial"/>
                <w:color w:val="000000"/>
                <w:sz w:val="16"/>
                <w:szCs w:val="16"/>
              </w:rPr>
            </w:pPr>
            <w:r>
              <w:rPr>
                <w:rFonts w:hint="eastAsia" w:ascii="Arial Narrow" w:hAnsi="Arial Narrow" w:eastAsia="仿宋_GB2312" w:cs="Arial"/>
                <w:color w:val="000000"/>
                <w:sz w:val="16"/>
                <w:szCs w:val="16"/>
              </w:rPr>
              <w:t xml:space="preserve">0.00</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370" w:type="dxa"/>
            <w:vAlign w:val="center"/>
            <w:textDirection w:val="lrTb"/>
            <w:noWrap w:val="false"/>
          </w:tcPr>
          <w:p>
            <w:pPr>
              <w:pBdr/>
              <w:spacing/>
              <w:ind/>
              <w:jc w:val="right"/>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11,572,919.76</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323" w:type="dxa"/>
            <w:vAlign w:val="center"/>
            <w:textDirection w:val="lrTb"/>
            <w:noWrap w:val="false"/>
          </w:tcPr>
          <w:p>
            <w:pPr>
              <w:pBdr/>
              <w:spacing/>
              <w:ind w:right="-40" w:left="-80"/>
              <w:jc w:val="right"/>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33,879.20</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417" w:type="dxa"/>
            <w:vAlign w:val="center"/>
            <w:textDirection w:val="lrTb"/>
            <w:noWrap w:val="false"/>
          </w:tcPr>
          <w:p>
            <w:pPr>
              <w:pBdr/>
              <w:spacing/>
              <w:ind/>
              <w:jc w:val="right"/>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243,696,017.20</w:t>
            </w:r>
            <w:r>
              <w:rPr>
                <w:rFonts w:ascii="Arial Narrow" w:hAnsi="Arial Narrow" w:eastAsia="仿宋_GB2312" w:cs="Arial"/>
                <w:color w:val="000000"/>
                <w:sz w:val="16"/>
                <w:szCs w:val="16"/>
              </w:rPr>
            </w:r>
          </w:p>
        </w:tc>
      </w:tr>
      <w:tr>
        <w:trPr>
          <w:trHeight w:val="454"/>
        </w:trPr>
        <w:tc>
          <w:tcPr>
            <w:shd w:val="clear" w:color="auto" w:fill="auto"/>
            <w:tcBorders>
              <w:top w:val="none" w:color="000000" w:sz="4" w:space="0"/>
              <w:left w:val="single" w:color="auto" w:sz="8" w:space="0"/>
              <w:bottom w:val="single" w:color="auto" w:sz="8" w:space="0"/>
              <w:right w:val="single" w:color="auto" w:sz="8" w:space="0"/>
            </w:tcBorders>
            <w:tcW w:w="1702" w:type="dxa"/>
            <w:vAlign w:val="center"/>
            <w:textDirection w:val="lrTb"/>
            <w:noWrap w:val="false"/>
          </w:tcPr>
          <w:p>
            <w:pPr>
              <w:pBdr/>
              <w:spacing/>
              <w:ind/>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　其中：主营业务成本</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417" w:type="dxa"/>
            <w:vAlign w:val="center"/>
            <w:textDirection w:val="lrTb"/>
            <w:noWrap w:val="false"/>
          </w:tcPr>
          <w:p>
            <w:pPr>
              <w:pBdr/>
              <w:spacing/>
              <w:ind/>
              <w:jc w:val="right"/>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　　　　其中：主营业务成本}}</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418" w:type="dxa"/>
            <w:vAlign w:val="center"/>
            <w:textDirection w:val="lrTb"/>
            <w:noWrap w:val="false"/>
          </w:tcPr>
          <w:p>
            <w:pPr>
              <w:pBdr/>
              <w:spacing/>
              <w:ind/>
              <w:jc w:val="right"/>
              <w:rPr>
                <w:rFonts w:ascii="Arial Narrow" w:hAnsi="Arial Narrow" w:eastAsia="仿宋_GB2312" w:cs="Arial"/>
                <w:color w:val="000000"/>
                <w:sz w:val="16"/>
                <w:szCs w:val="16"/>
              </w:rPr>
            </w:pPr>
            <w:r>
              <w:rPr>
                <w:rFonts w:hint="eastAsia" w:ascii="Arial Narrow" w:hAnsi="Arial Narrow" w:eastAsia="仿宋_GB2312" w:cs="Arial"/>
                <w:color w:val="000000"/>
                <w:sz w:val="16"/>
                <w:szCs w:val="16"/>
              </w:rPr>
              <w:t xml:space="preserve">0.00</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370" w:type="dxa"/>
            <w:vAlign w:val="center"/>
            <w:textDirection w:val="lrTb"/>
            <w:noWrap w:val="false"/>
          </w:tcPr>
          <w:p>
            <w:pPr>
              <w:pBdr/>
              <w:spacing/>
              <w:ind/>
              <w:jc w:val="right"/>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11,572,919.76</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323" w:type="dxa"/>
            <w:vAlign w:val="center"/>
            <w:textDirection w:val="lrTb"/>
            <w:noWrap w:val="false"/>
          </w:tcPr>
          <w:p>
            <w:pPr>
              <w:pBdr/>
              <w:spacing/>
              <w:ind w:right="-40" w:left="-80"/>
              <w:jc w:val="right"/>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33,879.20</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417" w:type="dxa"/>
            <w:vAlign w:val="center"/>
            <w:textDirection w:val="lrTb"/>
            <w:noWrap w:val="false"/>
          </w:tcPr>
          <w:p>
            <w:pPr>
              <w:pBdr/>
              <w:spacing/>
              <w:ind/>
              <w:jc w:val="right"/>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243,511,946.40</w:t>
            </w:r>
            <w:r>
              <w:rPr>
                <w:rFonts w:ascii="Arial Narrow" w:hAnsi="Arial Narrow" w:eastAsia="仿宋_GB2312" w:cs="Arial"/>
                <w:color w:val="000000"/>
                <w:sz w:val="16"/>
                <w:szCs w:val="16"/>
              </w:rPr>
            </w:r>
          </w:p>
        </w:tc>
      </w:tr>
      <w:tr>
        <w:trPr>
          <w:trHeight w:val="454"/>
        </w:trPr>
        <w:tc>
          <w:tcPr>
            <w:shd w:val="clear" w:color="auto" w:fill="auto"/>
            <w:tcBorders>
              <w:top w:val="none" w:color="000000" w:sz="4" w:space="0"/>
              <w:left w:val="single" w:color="auto" w:sz="8" w:space="0"/>
              <w:bottom w:val="single" w:color="auto" w:sz="8" w:space="0"/>
              <w:right w:val="single" w:color="auto" w:sz="8" w:space="0"/>
            </w:tcBorders>
            <w:tcW w:w="1702" w:type="dxa"/>
            <w:vAlign w:val="center"/>
            <w:textDirection w:val="lrTb"/>
            <w:noWrap w:val="false"/>
          </w:tcPr>
          <w:p>
            <w:pPr>
              <w:pBdr/>
              <w:spacing/>
              <w:ind/>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　营业税金及附加</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417" w:type="dxa"/>
            <w:vAlign w:val="center"/>
            <w:textDirection w:val="lrTb"/>
            <w:noWrap w:val="false"/>
          </w:tcPr>
          <w:p>
            <w:pPr>
              <w:pBdr/>
              <w:spacing/>
              <w:ind/>
              <w:jc w:val="right"/>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　　　营业税金及附加}}</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418" w:type="dxa"/>
            <w:vAlign w:val="center"/>
            <w:textDirection w:val="lrTb"/>
            <w:noWrap w:val="false"/>
          </w:tcPr>
          <w:p>
            <w:pPr>
              <w:pBdr/>
              <w:spacing/>
              <w:ind/>
              <w:jc w:val="right"/>
              <w:rPr>
                <w:rFonts w:ascii="Arial Narrow" w:hAnsi="Arial Narrow" w:eastAsia="仿宋_GB2312" w:cs="Arial"/>
                <w:color w:val="000000"/>
                <w:sz w:val="16"/>
                <w:szCs w:val="16"/>
              </w:rPr>
            </w:pPr>
            <w:r>
              <w:rPr>
                <w:rFonts w:hint="eastAsia" w:ascii="Arial Narrow" w:hAnsi="Arial Narrow" w:eastAsia="仿宋_GB2312" w:cs="Arial"/>
                <w:color w:val="000000"/>
                <w:sz w:val="16"/>
                <w:szCs w:val="16"/>
              </w:rPr>
              <w:t xml:space="preserve">0.00</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370" w:type="dxa"/>
            <w:vAlign w:val="center"/>
            <w:textDirection w:val="lrTb"/>
            <w:noWrap w:val="false"/>
          </w:tcPr>
          <w:p>
            <w:pPr>
              <w:pBdr/>
              <w:spacing/>
              <w:ind/>
              <w:jc w:val="right"/>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4,667.79</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323" w:type="dxa"/>
            <w:vAlign w:val="center"/>
            <w:textDirection w:val="lrTb"/>
            <w:noWrap w:val="false"/>
          </w:tcPr>
          <w:p>
            <w:pPr>
              <w:pBdr/>
              <w:spacing/>
              <w:ind w:right="-40" w:left="-80"/>
              <w:jc w:val="right"/>
              <w:rPr>
                <w:rFonts w:ascii="Arial Narrow" w:hAnsi="Arial Narrow" w:eastAsia="仿宋_GB2312" w:cs="Arial"/>
                <w:color w:val="000000"/>
                <w:sz w:val="16"/>
                <w:szCs w:val="16"/>
              </w:rPr>
            </w:pPr>
            <w:r>
              <w:rPr>
                <w:rFonts w:hint="eastAsia" w:ascii="Arial Narrow" w:hAnsi="Arial Narrow" w:eastAsia="仿宋_GB2312" w:cs="Arial"/>
                <w:color w:val="000000"/>
                <w:sz w:val="16"/>
                <w:szCs w:val="16"/>
              </w:rPr>
              <w:t xml:space="preserve">0.00</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417" w:type="dxa"/>
            <w:vAlign w:val="center"/>
            <w:textDirection w:val="lrTb"/>
            <w:noWrap w:val="false"/>
          </w:tcPr>
          <w:p>
            <w:pPr>
              <w:pBdr/>
              <w:spacing/>
              <w:ind/>
              <w:jc w:val="right"/>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98,278.10</w:t>
            </w:r>
            <w:r>
              <w:rPr>
                <w:rFonts w:ascii="Arial Narrow" w:hAnsi="Arial Narrow" w:eastAsia="仿宋_GB2312" w:cs="Arial"/>
                <w:color w:val="000000"/>
                <w:sz w:val="16"/>
                <w:szCs w:val="16"/>
              </w:rPr>
            </w:r>
          </w:p>
        </w:tc>
      </w:tr>
      <w:tr>
        <w:trPr>
          <w:trHeight w:val="454"/>
        </w:trPr>
        <w:tc>
          <w:tcPr>
            <w:shd w:val="clear" w:color="auto" w:fill="auto"/>
            <w:tcBorders>
              <w:top w:val="none" w:color="000000" w:sz="4" w:space="0"/>
              <w:left w:val="single" w:color="auto" w:sz="8" w:space="0"/>
              <w:bottom w:val="single" w:color="auto" w:sz="8" w:space="0"/>
              <w:right w:val="single" w:color="auto" w:sz="8" w:space="0"/>
            </w:tcBorders>
            <w:tcW w:w="1702" w:type="dxa"/>
            <w:vAlign w:val="center"/>
            <w:textDirection w:val="lrTb"/>
            <w:noWrap w:val="false"/>
          </w:tcPr>
          <w:p>
            <w:pPr>
              <w:pBdr/>
              <w:spacing/>
              <w:ind/>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　其中：主营业务税金及附加</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417" w:type="dxa"/>
            <w:vAlign w:val="center"/>
            <w:textDirection w:val="lrTb"/>
            <w:noWrap w:val="false"/>
          </w:tcPr>
          <w:p>
            <w:pPr>
              <w:pBdr/>
              <w:spacing/>
              <w:ind/>
              <w:jc w:val="right"/>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　　　营业税金及附加}}</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418" w:type="dxa"/>
            <w:vAlign w:val="center"/>
            <w:textDirection w:val="lrTb"/>
            <w:noWrap w:val="false"/>
          </w:tcPr>
          <w:p>
            <w:pPr>
              <w:pBdr/>
              <w:spacing/>
              <w:ind/>
              <w:jc w:val="right"/>
              <w:rPr>
                <w:rFonts w:ascii="Arial Narrow" w:hAnsi="Arial Narrow" w:eastAsia="仿宋_GB2312" w:cs="Arial"/>
                <w:color w:val="000000"/>
                <w:sz w:val="16"/>
                <w:szCs w:val="16"/>
              </w:rPr>
            </w:pPr>
            <w:r>
              <w:rPr>
                <w:rFonts w:hint="eastAsia" w:ascii="Arial Narrow" w:hAnsi="Arial Narrow" w:eastAsia="仿宋_GB2312" w:cs="Arial"/>
                <w:color w:val="000000"/>
                <w:sz w:val="16"/>
                <w:szCs w:val="16"/>
              </w:rPr>
              <w:t xml:space="preserve">0.00</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370" w:type="dxa"/>
            <w:vAlign w:val="center"/>
            <w:textDirection w:val="lrTb"/>
            <w:noWrap w:val="false"/>
          </w:tcPr>
          <w:p>
            <w:pPr>
              <w:pBdr/>
              <w:spacing/>
              <w:ind/>
              <w:jc w:val="right"/>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4,667.79</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323" w:type="dxa"/>
            <w:vAlign w:val="center"/>
            <w:textDirection w:val="lrTb"/>
            <w:noWrap w:val="false"/>
          </w:tcPr>
          <w:p>
            <w:pPr>
              <w:pBdr/>
              <w:spacing/>
              <w:ind w:right="-40" w:left="-80"/>
              <w:jc w:val="right"/>
              <w:rPr>
                <w:rFonts w:ascii="Arial Narrow" w:hAnsi="Arial Narrow" w:eastAsia="仿宋_GB2312" w:cs="Arial"/>
                <w:color w:val="000000"/>
                <w:sz w:val="16"/>
                <w:szCs w:val="16"/>
              </w:rPr>
            </w:pPr>
            <w:r>
              <w:rPr>
                <w:rFonts w:hint="eastAsia" w:ascii="Arial Narrow" w:hAnsi="Arial Narrow" w:eastAsia="仿宋_GB2312" w:cs="Arial"/>
                <w:color w:val="000000"/>
                <w:sz w:val="16"/>
                <w:szCs w:val="16"/>
              </w:rPr>
              <w:t xml:space="preserve">0.00</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417" w:type="dxa"/>
            <w:vAlign w:val="center"/>
            <w:textDirection w:val="lrTb"/>
            <w:noWrap w:val="false"/>
          </w:tcPr>
          <w:p>
            <w:pPr>
              <w:pBdr/>
              <w:spacing/>
              <w:ind/>
              <w:jc w:val="right"/>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98,278.10</w:t>
            </w:r>
            <w:r>
              <w:rPr>
                <w:rFonts w:ascii="Arial Narrow" w:hAnsi="Arial Narrow" w:eastAsia="仿宋_GB2312" w:cs="Arial"/>
                <w:color w:val="000000"/>
                <w:sz w:val="16"/>
                <w:szCs w:val="16"/>
              </w:rPr>
            </w:r>
          </w:p>
        </w:tc>
      </w:tr>
      <w:tr>
        <w:trPr>
          <w:trHeight w:val="454"/>
        </w:trPr>
        <w:tc>
          <w:tcPr>
            <w:shd w:val="clear" w:color="auto" w:fill="auto"/>
            <w:tcBorders>
              <w:top w:val="none" w:color="000000" w:sz="4" w:space="0"/>
              <w:left w:val="single" w:color="auto" w:sz="8" w:space="0"/>
              <w:bottom w:val="single" w:color="auto" w:sz="8" w:space="0"/>
              <w:right w:val="single" w:color="auto" w:sz="8" w:space="0"/>
            </w:tcBorders>
            <w:tcW w:w="1702" w:type="dxa"/>
            <w:vAlign w:val="center"/>
            <w:textDirection w:val="lrTb"/>
            <w:noWrap w:val="false"/>
          </w:tcPr>
          <w:p>
            <w:pPr>
              <w:pBdr/>
              <w:spacing/>
              <w:ind/>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　销售费用</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417" w:type="dxa"/>
            <w:vAlign w:val="center"/>
            <w:textDirection w:val="lrTb"/>
            <w:noWrap w:val="false"/>
          </w:tcPr>
          <w:p>
            <w:pPr>
              <w:pBdr/>
              <w:spacing/>
              <w:ind/>
              <w:jc w:val="right"/>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　　　销售费用}}</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418" w:type="dxa"/>
            <w:vAlign w:val="center"/>
            <w:textDirection w:val="lrTb"/>
            <w:noWrap w:val="false"/>
          </w:tcPr>
          <w:p>
            <w:pPr>
              <w:pBdr/>
              <w:spacing/>
              <w:ind/>
              <w:jc w:val="right"/>
              <w:rPr>
                <w:rFonts w:ascii="Arial Narrow" w:hAnsi="Arial Narrow" w:eastAsia="仿宋_GB2312" w:cs="Arial"/>
                <w:color w:val="000000"/>
                <w:sz w:val="16"/>
                <w:szCs w:val="16"/>
              </w:rPr>
            </w:pPr>
            <w:r>
              <w:rPr>
                <w:rFonts w:hint="eastAsia" w:ascii="Arial Narrow" w:hAnsi="Arial Narrow" w:eastAsia="仿宋_GB2312" w:cs="Arial"/>
                <w:color w:val="000000"/>
                <w:sz w:val="16"/>
                <w:szCs w:val="16"/>
              </w:rPr>
              <w:t xml:space="preserve">0.00</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370" w:type="dxa"/>
            <w:vAlign w:val="center"/>
            <w:textDirection w:val="lrTb"/>
            <w:noWrap w:val="false"/>
          </w:tcPr>
          <w:p>
            <w:pPr>
              <w:pBdr/>
              <w:spacing/>
              <w:ind/>
              <w:jc w:val="right"/>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26,720.00</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323" w:type="dxa"/>
            <w:vAlign w:val="center"/>
            <w:textDirection w:val="lrTb"/>
            <w:noWrap w:val="false"/>
          </w:tcPr>
          <w:p>
            <w:pPr>
              <w:pBdr/>
              <w:spacing/>
              <w:ind w:right="-40" w:left="-80"/>
              <w:jc w:val="right"/>
              <w:rPr>
                <w:rFonts w:ascii="Arial Narrow" w:hAnsi="Arial Narrow" w:eastAsia="仿宋_GB2312" w:cs="Arial"/>
                <w:color w:val="000000"/>
                <w:sz w:val="16"/>
                <w:szCs w:val="16"/>
              </w:rPr>
            </w:pPr>
            <w:r>
              <w:rPr>
                <w:rFonts w:hint="eastAsia" w:ascii="Arial Narrow" w:hAnsi="Arial Narrow" w:eastAsia="仿宋_GB2312" w:cs="Arial"/>
                <w:color w:val="000000"/>
                <w:sz w:val="16"/>
                <w:szCs w:val="16"/>
              </w:rPr>
              <w:t xml:space="preserve">0.00</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417" w:type="dxa"/>
            <w:vAlign w:val="center"/>
            <w:textDirection w:val="lrTb"/>
            <w:noWrap w:val="false"/>
          </w:tcPr>
          <w:p>
            <w:pPr>
              <w:pBdr/>
              <w:spacing/>
              <w:ind/>
              <w:jc w:val="right"/>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562,576.46</w:t>
            </w:r>
            <w:r>
              <w:rPr>
                <w:rFonts w:ascii="Arial Narrow" w:hAnsi="Arial Narrow" w:eastAsia="仿宋_GB2312" w:cs="Arial"/>
                <w:color w:val="000000"/>
                <w:sz w:val="16"/>
                <w:szCs w:val="16"/>
              </w:rPr>
            </w:r>
          </w:p>
        </w:tc>
      </w:tr>
      <w:tr>
        <w:trPr>
          <w:trHeight w:val="454"/>
        </w:trPr>
        <w:tc>
          <w:tcPr>
            <w:shd w:val="clear" w:color="auto" w:fill="auto"/>
            <w:tcBorders>
              <w:top w:val="none" w:color="000000" w:sz="4" w:space="0"/>
              <w:left w:val="single" w:color="auto" w:sz="8" w:space="0"/>
              <w:bottom w:val="single" w:color="auto" w:sz="8" w:space="0"/>
              <w:right w:val="single" w:color="auto" w:sz="8" w:space="0"/>
            </w:tcBorders>
            <w:tcW w:w="1702" w:type="dxa"/>
            <w:vAlign w:val="center"/>
            <w:textDirection w:val="lrTb"/>
            <w:noWrap w:val="false"/>
          </w:tcPr>
          <w:p>
            <w:pPr>
              <w:pBdr/>
              <w:spacing/>
              <w:ind/>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　管理费用</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417" w:type="dxa"/>
            <w:vAlign w:val="center"/>
            <w:textDirection w:val="lrTb"/>
            <w:noWrap w:val="false"/>
          </w:tcPr>
          <w:p>
            <w:pPr>
              <w:pBdr/>
              <w:spacing/>
              <w:ind/>
              <w:jc w:val="right"/>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　　　管理费用}}</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418" w:type="dxa"/>
            <w:vAlign w:val="center"/>
            <w:textDirection w:val="lrTb"/>
            <w:noWrap w:val="false"/>
          </w:tcPr>
          <w:p>
            <w:pPr>
              <w:pBdr/>
              <w:spacing/>
              <w:ind/>
              <w:jc w:val="right"/>
              <w:rPr>
                <w:rFonts w:ascii="Arial Narrow" w:hAnsi="Arial Narrow" w:eastAsia="仿宋_GB2312" w:cs="Arial"/>
                <w:color w:val="000000"/>
                <w:sz w:val="16"/>
                <w:szCs w:val="16"/>
              </w:rPr>
            </w:pPr>
            <w:r>
              <w:rPr>
                <w:rFonts w:hint="eastAsia" w:ascii="Arial Narrow" w:hAnsi="Arial Narrow" w:eastAsia="仿宋_GB2312" w:cs="Arial"/>
                <w:color w:val="000000"/>
                <w:sz w:val="16"/>
                <w:szCs w:val="16"/>
              </w:rPr>
              <w:t xml:space="preserve">0.00</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370" w:type="dxa"/>
            <w:vAlign w:val="center"/>
            <w:textDirection w:val="lrTb"/>
            <w:noWrap w:val="false"/>
          </w:tcPr>
          <w:p>
            <w:pPr>
              <w:pBdr/>
              <w:spacing/>
              <w:ind/>
              <w:jc w:val="right"/>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729,641.84</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323" w:type="dxa"/>
            <w:vAlign w:val="center"/>
            <w:textDirection w:val="lrTb"/>
            <w:noWrap w:val="false"/>
          </w:tcPr>
          <w:p>
            <w:pPr>
              <w:pBdr/>
              <w:spacing/>
              <w:ind w:right="-40" w:left="-80"/>
              <w:jc w:val="right"/>
              <w:rPr>
                <w:rFonts w:ascii="Arial Narrow" w:hAnsi="Arial Narrow" w:eastAsia="仿宋_GB2312" w:cs="Arial"/>
                <w:color w:val="000000"/>
                <w:sz w:val="16"/>
                <w:szCs w:val="16"/>
              </w:rPr>
            </w:pPr>
            <w:r>
              <w:rPr>
                <w:rFonts w:hint="eastAsia" w:ascii="Arial Narrow" w:hAnsi="Arial Narrow" w:eastAsia="仿宋_GB2312" w:cs="Arial"/>
                <w:color w:val="000000"/>
                <w:sz w:val="16"/>
                <w:szCs w:val="16"/>
              </w:rPr>
              <w:t xml:space="preserve">0.00</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417" w:type="dxa"/>
            <w:vAlign w:val="center"/>
            <w:textDirection w:val="lrTb"/>
            <w:noWrap w:val="false"/>
          </w:tcPr>
          <w:p>
            <w:pPr>
              <w:pBdr/>
              <w:spacing/>
              <w:ind/>
              <w:jc w:val="right"/>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15,362,250.31</w:t>
            </w:r>
            <w:r>
              <w:rPr>
                <w:rFonts w:ascii="Arial Narrow" w:hAnsi="Arial Narrow" w:eastAsia="仿宋_GB2312" w:cs="Arial"/>
                <w:color w:val="000000"/>
                <w:sz w:val="16"/>
                <w:szCs w:val="16"/>
              </w:rPr>
            </w:r>
          </w:p>
        </w:tc>
      </w:tr>
      <w:tr>
        <w:trPr>
          <w:trHeight w:val="454"/>
        </w:trPr>
        <w:tc>
          <w:tcPr>
            <w:shd w:val="clear" w:color="auto" w:fill="auto"/>
            <w:tcBorders>
              <w:top w:val="none" w:color="000000" w:sz="4" w:space="0"/>
              <w:left w:val="single" w:color="auto" w:sz="8" w:space="0"/>
              <w:bottom w:val="single" w:color="auto" w:sz="8" w:space="0"/>
              <w:right w:val="single" w:color="auto" w:sz="8" w:space="0"/>
            </w:tcBorders>
            <w:tcW w:w="1702" w:type="dxa"/>
            <w:vAlign w:val="center"/>
            <w:textDirection w:val="lrTb"/>
            <w:noWrap w:val="false"/>
          </w:tcPr>
          <w:p>
            <w:pPr>
              <w:pBdr/>
              <w:spacing/>
              <w:ind/>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　研发费用</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417" w:type="dxa"/>
            <w:vAlign w:val="center"/>
            <w:textDirection w:val="lrTb"/>
            <w:noWrap w:val="false"/>
          </w:tcPr>
          <w:p>
            <w:pPr>
              <w:pBdr/>
              <w:spacing/>
              <w:ind/>
              <w:jc w:val="right"/>
              <w:rPr>
                <w:rFonts w:ascii="Arial Narrow" w:hAnsi="Arial Narrow" w:eastAsia="仿宋_GB2312" w:cs="Arial"/>
                <w:color w:val="000000"/>
                <w:sz w:val="16"/>
                <w:szCs w:val="16"/>
              </w:rPr>
            </w:pPr>
            <w:r>
              <w:rPr>
                <w:rFonts w:hint="eastAsia" w:ascii="Arial Narrow" w:hAnsi="Arial Narrow" w:eastAsia="仿宋_GB2312" w:cs="Arial"/>
                <w:color w:val="000000"/>
                <w:sz w:val="16"/>
                <w:szCs w:val="16"/>
              </w:rPr>
              <w:t xml:space="preserve">0.00</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418" w:type="dxa"/>
            <w:vAlign w:val="center"/>
            <w:textDirection w:val="lrTb"/>
            <w:noWrap w:val="false"/>
          </w:tcPr>
          <w:p>
            <w:pPr>
              <w:pBdr/>
              <w:spacing/>
              <w:ind/>
              <w:jc w:val="right"/>
              <w:rPr>
                <w:rFonts w:ascii="Arial Narrow" w:hAnsi="Arial Narrow" w:eastAsia="仿宋_GB2312" w:cs="Arial"/>
                <w:color w:val="000000"/>
                <w:sz w:val="16"/>
                <w:szCs w:val="16"/>
              </w:rPr>
            </w:pPr>
            <w:r>
              <w:rPr>
                <w:rFonts w:hint="eastAsia" w:ascii="Arial Narrow" w:hAnsi="Arial Narrow" w:eastAsia="仿宋_GB2312" w:cs="Arial"/>
                <w:color w:val="000000"/>
                <w:sz w:val="16"/>
                <w:szCs w:val="16"/>
              </w:rPr>
              <w:t xml:space="preserve">0.00</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370" w:type="dxa"/>
            <w:vAlign w:val="center"/>
            <w:textDirection w:val="lrTb"/>
            <w:noWrap w:val="false"/>
          </w:tcPr>
          <w:p>
            <w:pPr>
              <w:pBdr/>
              <w:spacing/>
              <w:ind/>
              <w:jc w:val="right"/>
              <w:rPr>
                <w:rFonts w:ascii="Arial Narrow" w:hAnsi="Arial Narrow" w:eastAsia="仿宋_GB2312" w:cs="Arial"/>
                <w:color w:val="000000"/>
                <w:sz w:val="16"/>
                <w:szCs w:val="16"/>
              </w:rPr>
            </w:pPr>
            <w:r>
              <w:rPr>
                <w:rFonts w:hint="eastAsia" w:ascii="Arial Narrow" w:hAnsi="Arial Narrow" w:eastAsia="仿宋_GB2312" w:cs="Arial"/>
                <w:color w:val="000000"/>
                <w:sz w:val="16"/>
                <w:szCs w:val="16"/>
              </w:rPr>
              <w:t xml:space="preserve">0.00</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323" w:type="dxa"/>
            <w:vAlign w:val="center"/>
            <w:textDirection w:val="lrTb"/>
            <w:noWrap w:val="false"/>
          </w:tcPr>
          <w:p>
            <w:pPr>
              <w:pBdr/>
              <w:spacing/>
              <w:ind w:right="-40" w:left="-80"/>
              <w:jc w:val="right"/>
              <w:rPr>
                <w:rFonts w:ascii="Arial Narrow" w:hAnsi="Arial Narrow" w:eastAsia="仿宋_GB2312" w:cs="Arial"/>
                <w:color w:val="000000"/>
                <w:sz w:val="16"/>
                <w:szCs w:val="16"/>
              </w:rPr>
            </w:pPr>
            <w:r>
              <w:rPr>
                <w:rFonts w:hint="eastAsia" w:ascii="Arial Narrow" w:hAnsi="Arial Narrow" w:eastAsia="仿宋_GB2312" w:cs="Arial"/>
                <w:color w:val="000000"/>
                <w:sz w:val="16"/>
                <w:szCs w:val="16"/>
              </w:rPr>
              <w:t xml:space="preserve">0.00</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417" w:type="dxa"/>
            <w:vAlign w:val="center"/>
            <w:textDirection w:val="lrTb"/>
            <w:noWrap w:val="false"/>
          </w:tcPr>
          <w:p>
            <w:pPr>
              <w:pBdr/>
              <w:spacing/>
              <w:ind w:right="-40" w:left="-80"/>
              <w:jc w:val="right"/>
              <w:rPr>
                <w:rFonts w:ascii="Arial Narrow" w:hAnsi="Arial Narrow" w:eastAsia="仿宋_GB2312" w:cs="Arial"/>
                <w:color w:val="000000"/>
                <w:sz w:val="16"/>
                <w:szCs w:val="16"/>
              </w:rPr>
            </w:pPr>
            <w:r>
              <w:rPr>
                <w:rFonts w:hint="eastAsia" w:ascii="Arial Narrow" w:hAnsi="Arial Narrow" w:eastAsia="仿宋_GB2312" w:cs="Arial"/>
                <w:color w:val="000000"/>
                <w:sz w:val="16"/>
                <w:szCs w:val="16"/>
              </w:rPr>
              <w:t xml:space="preserve">0.00</w:t>
            </w:r>
            <w:r>
              <w:rPr>
                <w:rFonts w:ascii="Arial Narrow" w:hAnsi="Arial Narrow" w:eastAsia="仿宋_GB2312" w:cs="Arial"/>
                <w:color w:val="000000"/>
                <w:sz w:val="16"/>
                <w:szCs w:val="16"/>
              </w:rPr>
            </w:r>
          </w:p>
        </w:tc>
      </w:tr>
      <w:tr>
        <w:trPr>
          <w:trHeight w:val="454"/>
        </w:trPr>
        <w:tc>
          <w:tcPr>
            <w:shd w:val="clear" w:color="auto" w:fill="auto"/>
            <w:tcBorders>
              <w:top w:val="none" w:color="000000" w:sz="4" w:space="0"/>
              <w:left w:val="single" w:color="auto" w:sz="8" w:space="0"/>
              <w:bottom w:val="single" w:color="auto" w:sz="8" w:space="0"/>
              <w:right w:val="single" w:color="auto" w:sz="8" w:space="0"/>
            </w:tcBorders>
            <w:tcW w:w="1702" w:type="dxa"/>
            <w:vAlign w:val="center"/>
            <w:textDirection w:val="lrTb"/>
            <w:noWrap w:val="false"/>
          </w:tcPr>
          <w:p>
            <w:pPr>
              <w:pBdr/>
              <w:spacing/>
              <w:ind/>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　财务费用</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417" w:type="dxa"/>
            <w:vAlign w:val="center"/>
            <w:textDirection w:val="lrTb"/>
            <w:noWrap w:val="false"/>
          </w:tcPr>
          <w:p>
            <w:pPr>
              <w:pBdr/>
              <w:spacing/>
              <w:ind/>
              <w:jc w:val="right"/>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　　　资产减值损失}}</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418" w:type="dxa"/>
            <w:vAlign w:val="center"/>
            <w:textDirection w:val="lrTb"/>
            <w:noWrap w:val="false"/>
          </w:tcPr>
          <w:p>
            <w:pPr>
              <w:pBdr/>
              <w:spacing/>
              <w:ind/>
              <w:jc w:val="right"/>
              <w:rPr>
                <w:rFonts w:ascii="Arial Narrow" w:hAnsi="Arial Narrow" w:eastAsia="仿宋_GB2312" w:cs="Arial"/>
                <w:color w:val="000000"/>
                <w:sz w:val="16"/>
                <w:szCs w:val="16"/>
              </w:rPr>
            </w:pPr>
            <w:r>
              <w:rPr>
                <w:rFonts w:hint="eastAsia" w:ascii="Arial Narrow" w:hAnsi="Arial Narrow" w:eastAsia="仿宋_GB2312" w:cs="Arial"/>
                <w:color w:val="000000"/>
                <w:sz w:val="16"/>
                <w:szCs w:val="16"/>
              </w:rPr>
              <w:t xml:space="preserve">0.00</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370" w:type="dxa"/>
            <w:vAlign w:val="center"/>
            <w:textDirection w:val="lrTb"/>
            <w:noWrap w:val="false"/>
          </w:tcPr>
          <w:p>
            <w:pPr>
              <w:pBdr/>
              <w:spacing/>
              <w:ind/>
              <w:jc w:val="right"/>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25,786.81</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323" w:type="dxa"/>
            <w:vAlign w:val="center"/>
            <w:textDirection w:val="lrTb"/>
            <w:noWrap w:val="false"/>
          </w:tcPr>
          <w:p>
            <w:pPr>
              <w:pBdr/>
              <w:spacing/>
              <w:ind w:right="-40" w:left="-80"/>
              <w:jc w:val="right"/>
              <w:rPr>
                <w:rFonts w:ascii="Arial Narrow" w:hAnsi="Arial Narrow" w:eastAsia="仿宋_GB2312" w:cs="Arial"/>
                <w:color w:val="000000"/>
                <w:sz w:val="16"/>
                <w:szCs w:val="16"/>
              </w:rPr>
            </w:pPr>
            <w:r>
              <w:rPr>
                <w:rFonts w:hint="eastAsia" w:ascii="Arial Narrow" w:hAnsi="Arial Narrow" w:eastAsia="仿宋_GB2312" w:cs="Arial"/>
                <w:color w:val="000000"/>
                <w:sz w:val="16"/>
                <w:szCs w:val="16"/>
              </w:rPr>
              <w:t xml:space="preserve">0.00</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417" w:type="dxa"/>
            <w:vAlign w:val="center"/>
            <w:textDirection w:val="lrTb"/>
            <w:noWrap w:val="false"/>
          </w:tcPr>
          <w:p>
            <w:pPr>
              <w:pBdr/>
              <w:spacing/>
              <w:ind/>
              <w:jc w:val="right"/>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542,928.62</w:t>
            </w:r>
            <w:r>
              <w:rPr>
                <w:rFonts w:ascii="Arial Narrow" w:hAnsi="Arial Narrow" w:eastAsia="仿宋_GB2312" w:cs="Arial"/>
                <w:color w:val="000000"/>
                <w:sz w:val="16"/>
                <w:szCs w:val="16"/>
              </w:rPr>
            </w:r>
          </w:p>
        </w:tc>
      </w:tr>
      <w:tr>
        <w:trPr>
          <w:trHeight w:val="454"/>
        </w:trPr>
        <w:tc>
          <w:tcPr>
            <w:shd w:val="clear" w:color="auto" w:fill="auto"/>
            <w:tcBorders>
              <w:top w:val="none" w:color="000000" w:sz="4" w:space="0"/>
              <w:left w:val="single" w:color="auto" w:sz="8" w:space="0"/>
              <w:bottom w:val="single" w:color="auto" w:sz="8" w:space="0"/>
              <w:right w:val="single" w:color="auto" w:sz="8" w:space="0"/>
            </w:tcBorders>
            <w:tcW w:w="1702" w:type="dxa"/>
            <w:vAlign w:val="center"/>
            <w:textDirection w:val="lrTb"/>
            <w:noWrap w:val="false"/>
          </w:tcPr>
          <w:p>
            <w:pPr>
              <w:pBdr/>
              <w:spacing/>
              <w:ind/>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　资产减值损失</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417" w:type="dxa"/>
            <w:vAlign w:val="center"/>
            <w:textDirection w:val="lrTb"/>
            <w:noWrap w:val="false"/>
          </w:tcPr>
          <w:p>
            <w:pPr>
              <w:pBdr/>
              <w:spacing/>
              <w:ind/>
              <w:jc w:val="right"/>
              <w:rPr>
                <w:rFonts w:ascii="Arial Narrow" w:hAnsi="Arial Narrow" w:eastAsia="仿宋_GB2312" w:cs="Arial"/>
                <w:color w:val="000000"/>
                <w:sz w:val="16"/>
                <w:szCs w:val="16"/>
              </w:rPr>
            </w:pPr>
            <w:r>
              <w:rPr>
                <w:rFonts w:hint="eastAsia" w:ascii="Arial Narrow" w:hAnsi="Arial Narrow" w:eastAsia="仿宋_GB2312" w:cs="Arial"/>
                <w:color w:val="000000"/>
                <w:sz w:val="16"/>
                <w:szCs w:val="16"/>
              </w:rPr>
              <w:t xml:space="preserve">0.00</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418" w:type="dxa"/>
            <w:vAlign w:val="center"/>
            <w:textDirection w:val="lrTb"/>
            <w:noWrap w:val="false"/>
          </w:tcPr>
          <w:p>
            <w:pPr>
              <w:pBdr/>
              <w:spacing/>
              <w:ind/>
              <w:jc w:val="right"/>
              <w:rPr>
                <w:rFonts w:ascii="Arial Narrow" w:hAnsi="Arial Narrow" w:eastAsia="仿宋_GB2312" w:cs="Arial"/>
                <w:color w:val="000000"/>
                <w:sz w:val="16"/>
                <w:szCs w:val="16"/>
              </w:rPr>
            </w:pPr>
            <w:r>
              <w:rPr>
                <w:rFonts w:hint="eastAsia" w:ascii="Arial Narrow" w:hAnsi="Arial Narrow" w:eastAsia="仿宋_GB2312" w:cs="Arial"/>
                <w:color w:val="000000"/>
                <w:sz w:val="16"/>
                <w:szCs w:val="16"/>
              </w:rPr>
              <w:t xml:space="preserve">0.00</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370" w:type="dxa"/>
            <w:vAlign w:val="center"/>
            <w:textDirection w:val="lrTb"/>
            <w:noWrap w:val="false"/>
          </w:tcPr>
          <w:p>
            <w:pPr>
              <w:pBdr/>
              <w:spacing/>
              <w:ind/>
              <w:jc w:val="right"/>
              <w:rPr>
                <w:rFonts w:ascii="Arial Narrow" w:hAnsi="Arial Narrow" w:eastAsia="仿宋_GB2312" w:cs="Arial"/>
                <w:color w:val="000000"/>
                <w:sz w:val="16"/>
                <w:szCs w:val="16"/>
              </w:rPr>
            </w:pPr>
            <w:r>
              <w:rPr>
                <w:rFonts w:hint="eastAsia" w:ascii="Arial Narrow" w:hAnsi="Arial Narrow" w:eastAsia="仿宋_GB2312" w:cs="Arial"/>
                <w:color w:val="000000"/>
                <w:sz w:val="16"/>
                <w:szCs w:val="16"/>
              </w:rPr>
              <w:t xml:space="preserve">0.00</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323" w:type="dxa"/>
            <w:vAlign w:val="center"/>
            <w:textDirection w:val="lrTb"/>
            <w:noWrap w:val="false"/>
          </w:tcPr>
          <w:p>
            <w:pPr>
              <w:pBdr/>
              <w:spacing/>
              <w:ind w:right="-40" w:left="-80"/>
              <w:jc w:val="right"/>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134,872.17</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417" w:type="dxa"/>
            <w:vAlign w:val="center"/>
            <w:textDirection w:val="lrTb"/>
            <w:noWrap w:val="false"/>
          </w:tcPr>
          <w:p>
            <w:pPr>
              <w:pBdr/>
              <w:spacing/>
              <w:ind w:right="-40" w:left="-80"/>
              <w:jc w:val="right"/>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134,872.17</w:t>
            </w:r>
            <w:r>
              <w:rPr>
                <w:rFonts w:ascii="Arial Narrow" w:hAnsi="Arial Narrow" w:eastAsia="仿宋_GB2312" w:cs="Arial"/>
                <w:color w:val="000000"/>
                <w:sz w:val="16"/>
                <w:szCs w:val="16"/>
              </w:rPr>
            </w:r>
          </w:p>
        </w:tc>
      </w:tr>
      <w:tr>
        <w:trPr>
          <w:trHeight w:val="454"/>
        </w:trPr>
        <w:tc>
          <w:tcPr>
            <w:shd w:val="clear" w:color="auto" w:fill="auto"/>
            <w:tcBorders>
              <w:top w:val="none" w:color="000000" w:sz="4" w:space="0"/>
              <w:left w:val="single" w:color="auto" w:sz="8" w:space="0"/>
              <w:bottom w:val="single" w:color="auto" w:sz="8" w:space="0"/>
              <w:right w:val="single" w:color="auto" w:sz="8" w:space="0"/>
            </w:tcBorders>
            <w:tcW w:w="1702" w:type="dxa"/>
            <w:vAlign w:val="center"/>
            <w:textDirection w:val="lrTb"/>
            <w:noWrap w:val="false"/>
          </w:tcPr>
          <w:p>
            <w:pPr>
              <w:pBdr/>
              <w:spacing/>
              <w:ind/>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　加：公允价值变动收益（损失以“-”号填列）</w:t>
            </w:r>
            <w:r>
              <w:rPr>
                <w:rFonts w:ascii="Arial Narrow" w:hAnsi="Arial Narrow" w:eastAsia="仿宋_GB2312" w:cs="Arial"/>
                <w:color w:val="000000"/>
                <w:sz w:val="16"/>
                <w:szCs w:val="16"/>
              </w:rPr>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417" w:type="dxa"/>
            <w:vAlign w:val="center"/>
            <w:textDirection w:val="lrTb"/>
            <w:noWrap w:val="false"/>
          </w:tcPr>
          <w:p>
            <w:pPr>
              <w:pBdr/>
              <w:spacing/>
              <w:ind/>
              <w:jc w:val="right"/>
              <w:rPr>
                <w:rFonts w:ascii="Arial Narrow" w:hAnsi="Arial Narrow" w:eastAsia="仿宋_GB2312" w:cs="Arial"/>
                <w:color w:val="000000"/>
                <w:sz w:val="16"/>
                <w:szCs w:val="16"/>
              </w:rPr>
            </w:pPr>
            <w:r>
              <w:rPr>
                <w:rFonts w:hint="eastAsia" w:ascii="Arial Narrow" w:hAnsi="Arial Narrow" w:eastAsia="仿宋_GB2312" w:cs="Arial"/>
                <w:color w:val="000000"/>
                <w:sz w:val="16"/>
                <w:szCs w:val="16"/>
              </w:rPr>
              <w:t xml:space="preserve">0.00</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418" w:type="dxa"/>
            <w:vAlign w:val="center"/>
            <w:textDirection w:val="lrTb"/>
            <w:noWrap w:val="false"/>
          </w:tcPr>
          <w:p>
            <w:pPr>
              <w:pBdr/>
              <w:spacing/>
              <w:ind/>
              <w:jc w:val="right"/>
              <w:rPr>
                <w:rFonts w:ascii="Arial Narrow" w:hAnsi="Arial Narrow" w:eastAsia="仿宋_GB2312" w:cs="Arial"/>
                <w:color w:val="000000"/>
                <w:sz w:val="16"/>
                <w:szCs w:val="16"/>
              </w:rPr>
            </w:pPr>
            <w:r>
              <w:rPr>
                <w:rFonts w:hint="eastAsia" w:ascii="Arial Narrow" w:hAnsi="Arial Narrow" w:eastAsia="仿宋_GB2312" w:cs="Arial"/>
                <w:color w:val="000000"/>
                <w:sz w:val="16"/>
                <w:szCs w:val="16"/>
              </w:rPr>
              <w:t xml:space="preserve">0.00</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370" w:type="dxa"/>
            <w:vAlign w:val="center"/>
            <w:textDirection w:val="lrTb"/>
            <w:noWrap w:val="false"/>
          </w:tcPr>
          <w:p>
            <w:pPr>
              <w:pBdr/>
              <w:spacing/>
              <w:ind/>
              <w:jc w:val="right"/>
              <w:rPr>
                <w:rFonts w:ascii="Arial Narrow" w:hAnsi="Arial Narrow" w:eastAsia="仿宋_GB2312" w:cs="Arial"/>
                <w:color w:val="000000"/>
                <w:sz w:val="16"/>
                <w:szCs w:val="16"/>
              </w:rPr>
            </w:pPr>
            <w:r>
              <w:rPr>
                <w:rFonts w:hint="eastAsia" w:ascii="Arial Narrow" w:hAnsi="Arial Narrow" w:eastAsia="仿宋_GB2312" w:cs="Arial"/>
                <w:color w:val="000000"/>
                <w:sz w:val="16"/>
                <w:szCs w:val="16"/>
              </w:rPr>
              <w:t xml:space="preserve">0.00</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323" w:type="dxa"/>
            <w:vAlign w:val="center"/>
            <w:textDirection w:val="lrTb"/>
            <w:noWrap w:val="false"/>
          </w:tcPr>
          <w:p>
            <w:pPr>
              <w:pBdr/>
              <w:spacing/>
              <w:ind w:right="-40" w:left="-80"/>
              <w:jc w:val="right"/>
              <w:rPr>
                <w:rFonts w:ascii="Arial Narrow" w:hAnsi="Arial Narrow" w:eastAsia="仿宋_GB2312" w:cs="Arial"/>
                <w:color w:val="000000"/>
                <w:sz w:val="16"/>
                <w:szCs w:val="16"/>
              </w:rPr>
            </w:pPr>
            <w:r>
              <w:rPr>
                <w:rFonts w:hint="eastAsia" w:ascii="Arial Narrow" w:hAnsi="Arial Narrow" w:eastAsia="仿宋_GB2312" w:cs="Arial"/>
                <w:color w:val="000000"/>
                <w:sz w:val="16"/>
                <w:szCs w:val="16"/>
              </w:rPr>
              <w:t xml:space="preserve">0.00</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417" w:type="dxa"/>
            <w:vAlign w:val="center"/>
            <w:textDirection w:val="lrTb"/>
            <w:noWrap w:val="false"/>
          </w:tcPr>
          <w:p>
            <w:pPr>
              <w:pBdr/>
              <w:spacing/>
              <w:ind w:right="-40" w:left="-80"/>
              <w:jc w:val="right"/>
              <w:rPr>
                <w:rFonts w:ascii="Arial Narrow" w:hAnsi="Arial Narrow" w:eastAsia="仿宋_GB2312" w:cs="Arial"/>
                <w:color w:val="000000"/>
                <w:sz w:val="16"/>
                <w:szCs w:val="16"/>
              </w:rPr>
            </w:pPr>
            <w:r>
              <w:rPr>
                <w:rFonts w:hint="eastAsia" w:ascii="Arial Narrow" w:hAnsi="Arial Narrow" w:eastAsia="仿宋_GB2312" w:cs="Arial"/>
                <w:color w:val="000000"/>
                <w:sz w:val="16"/>
                <w:szCs w:val="16"/>
              </w:rPr>
              <w:t xml:space="preserve">0.00</w:t>
            </w:r>
            <w:r>
              <w:rPr>
                <w:rFonts w:ascii="Arial Narrow" w:hAnsi="Arial Narrow" w:eastAsia="仿宋_GB2312" w:cs="Arial"/>
                <w:color w:val="000000"/>
                <w:sz w:val="16"/>
                <w:szCs w:val="16"/>
              </w:rPr>
            </w:r>
          </w:p>
        </w:tc>
      </w:tr>
      <w:tr>
        <w:trPr>
          <w:trHeight w:val="454"/>
        </w:trPr>
        <w:tc>
          <w:tcPr>
            <w:shd w:val="clear" w:color="auto" w:fill="auto"/>
            <w:tcBorders>
              <w:top w:val="none" w:color="000000" w:sz="4" w:space="0"/>
              <w:left w:val="single" w:color="auto" w:sz="8" w:space="0"/>
              <w:bottom w:val="single" w:color="auto" w:sz="8" w:space="0"/>
              <w:right w:val="single" w:color="auto" w:sz="8" w:space="0"/>
            </w:tcBorders>
            <w:tcW w:w="1702" w:type="dxa"/>
            <w:vAlign w:val="center"/>
            <w:textDirection w:val="lrTb"/>
            <w:noWrap w:val="false"/>
          </w:tcPr>
          <w:p>
            <w:pPr>
              <w:pBdr/>
              <w:spacing/>
              <w:ind/>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     其他收益</w:t>
            </w:r>
            <w:r>
              <w:rPr>
                <w:rFonts w:ascii="Arial Narrow" w:hAnsi="Arial Narrow" w:eastAsia="仿宋_GB2312" w:cs="Arial"/>
                <w:color w:val="000000"/>
                <w:sz w:val="16"/>
                <w:szCs w:val="16"/>
              </w:rPr>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417" w:type="dxa"/>
            <w:vAlign w:val="center"/>
            <w:textDirection w:val="lrTb"/>
            <w:noWrap w:val="false"/>
          </w:tcPr>
          <w:p>
            <w:pPr>
              <w:pBdr/>
              <w:spacing/>
              <w:ind/>
              <w:jc w:val="right"/>
              <w:rPr>
                <w:rFonts w:ascii="Arial Narrow" w:hAnsi="Arial Narrow" w:eastAsia="仿宋_GB2312" w:cs="Arial"/>
                <w:color w:val="000000"/>
                <w:sz w:val="16"/>
                <w:szCs w:val="16"/>
              </w:rPr>
            </w:pPr>
            <w:r>
              <w:rPr>
                <w:rFonts w:hint="eastAsia" w:ascii="Arial Narrow" w:hAnsi="Arial Narrow" w:eastAsia="仿宋_GB2312" w:cs="Arial"/>
                <w:color w:val="000000"/>
                <w:sz w:val="16"/>
                <w:szCs w:val="16"/>
              </w:rPr>
              <w:t xml:space="preserve">0.00</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418" w:type="dxa"/>
            <w:vAlign w:val="center"/>
            <w:textDirection w:val="lrTb"/>
            <w:noWrap w:val="false"/>
          </w:tcPr>
          <w:p>
            <w:pPr>
              <w:pBdr/>
              <w:spacing/>
              <w:ind/>
              <w:jc w:val="right"/>
              <w:rPr>
                <w:rFonts w:ascii="Arial Narrow" w:hAnsi="Arial Narrow" w:eastAsia="仿宋_GB2312" w:cs="Arial"/>
                <w:color w:val="000000"/>
                <w:sz w:val="16"/>
                <w:szCs w:val="16"/>
              </w:rPr>
            </w:pPr>
            <w:r>
              <w:rPr>
                <w:rFonts w:hint="eastAsia" w:ascii="Arial Narrow" w:hAnsi="Arial Narrow" w:eastAsia="仿宋_GB2312" w:cs="Arial"/>
                <w:color w:val="000000"/>
                <w:sz w:val="16"/>
                <w:szCs w:val="16"/>
              </w:rPr>
              <w:t xml:space="preserve">0.00</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370" w:type="dxa"/>
            <w:vAlign w:val="center"/>
            <w:textDirection w:val="lrTb"/>
            <w:noWrap w:val="false"/>
          </w:tcPr>
          <w:p>
            <w:pPr>
              <w:pBdr/>
              <w:spacing/>
              <w:ind/>
              <w:jc w:val="right"/>
              <w:rPr>
                <w:rFonts w:ascii="Arial Narrow" w:hAnsi="Arial Narrow" w:eastAsia="仿宋_GB2312" w:cs="Arial"/>
                <w:color w:val="000000"/>
                <w:sz w:val="16"/>
                <w:szCs w:val="16"/>
              </w:rPr>
            </w:pPr>
            <w:r>
              <w:rPr>
                <w:rFonts w:hint="eastAsia" w:ascii="Arial Narrow" w:hAnsi="Arial Narrow" w:eastAsia="仿宋_GB2312" w:cs="Arial"/>
                <w:color w:val="000000"/>
                <w:sz w:val="16"/>
                <w:szCs w:val="16"/>
              </w:rPr>
              <w:t xml:space="preserve">0.00</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323" w:type="dxa"/>
            <w:vAlign w:val="center"/>
            <w:textDirection w:val="lrTb"/>
            <w:noWrap w:val="false"/>
          </w:tcPr>
          <w:p>
            <w:pPr>
              <w:pBdr/>
              <w:spacing/>
              <w:ind w:right="-40" w:left="-80"/>
              <w:jc w:val="right"/>
              <w:rPr>
                <w:rFonts w:ascii="Arial Narrow" w:hAnsi="Arial Narrow" w:eastAsia="仿宋_GB2312" w:cs="Arial"/>
                <w:color w:val="000000"/>
                <w:sz w:val="16"/>
                <w:szCs w:val="16"/>
              </w:rPr>
            </w:pPr>
            <w:r>
              <w:rPr>
                <w:rFonts w:hint="eastAsia" w:ascii="Arial Narrow" w:hAnsi="Arial Narrow" w:eastAsia="仿宋_GB2312" w:cs="Arial"/>
                <w:color w:val="000000"/>
                <w:sz w:val="16"/>
                <w:szCs w:val="16"/>
              </w:rPr>
              <w:t xml:space="preserve">0.00</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417" w:type="dxa"/>
            <w:vAlign w:val="center"/>
            <w:textDirection w:val="lrTb"/>
            <w:noWrap w:val="false"/>
          </w:tcPr>
          <w:p>
            <w:pPr>
              <w:pBdr/>
              <w:spacing/>
              <w:ind w:right="-40" w:left="-80"/>
              <w:jc w:val="right"/>
              <w:rPr>
                <w:rFonts w:ascii="Arial Narrow" w:hAnsi="Arial Narrow" w:eastAsia="仿宋_GB2312" w:cs="Arial"/>
                <w:color w:val="000000"/>
                <w:sz w:val="16"/>
                <w:szCs w:val="16"/>
              </w:rPr>
            </w:pPr>
            <w:r>
              <w:rPr>
                <w:rFonts w:hint="eastAsia" w:ascii="Arial Narrow" w:hAnsi="Arial Narrow" w:eastAsia="仿宋_GB2312" w:cs="Arial"/>
                <w:color w:val="000000"/>
                <w:sz w:val="16"/>
                <w:szCs w:val="16"/>
              </w:rPr>
              <w:t xml:space="preserve">0.00</w:t>
            </w:r>
            <w:r>
              <w:rPr>
                <w:rFonts w:ascii="Arial Narrow" w:hAnsi="Arial Narrow" w:eastAsia="仿宋_GB2312" w:cs="Arial"/>
                <w:color w:val="000000"/>
                <w:sz w:val="16"/>
                <w:szCs w:val="16"/>
              </w:rPr>
            </w:r>
          </w:p>
        </w:tc>
      </w:tr>
      <w:tr>
        <w:trPr>
          <w:trHeight w:val="454"/>
        </w:trPr>
        <w:tc>
          <w:tcPr>
            <w:shd w:val="clear" w:color="auto" w:fill="auto"/>
            <w:tcBorders>
              <w:top w:val="none" w:color="000000" w:sz="4" w:space="0"/>
              <w:left w:val="single" w:color="auto" w:sz="8" w:space="0"/>
              <w:bottom w:val="single" w:color="auto" w:sz="8" w:space="0"/>
              <w:right w:val="single" w:color="auto" w:sz="8" w:space="0"/>
            </w:tcBorders>
            <w:tcW w:w="1702" w:type="dxa"/>
            <w:vAlign w:val="center"/>
            <w:textDirection w:val="lrTb"/>
            <w:noWrap w:val="false"/>
          </w:tcPr>
          <w:p>
            <w:pPr>
              <w:pBdr/>
              <w:spacing/>
              <w:ind/>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　资产处置收益</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417" w:type="dxa"/>
            <w:vAlign w:val="center"/>
            <w:textDirection w:val="lrTb"/>
            <w:noWrap w:val="false"/>
          </w:tcPr>
          <w:p>
            <w:pPr>
              <w:pBdr/>
              <w:spacing/>
              <w:ind/>
              <w:jc w:val="right"/>
              <w:rPr>
                <w:rFonts w:ascii="Arial Narrow" w:hAnsi="Arial Narrow" w:eastAsia="仿宋_GB2312" w:cs="Arial"/>
                <w:color w:val="000000"/>
                <w:sz w:val="16"/>
                <w:szCs w:val="16"/>
              </w:rPr>
            </w:pPr>
            <w:r>
              <w:rPr>
                <w:rFonts w:hint="eastAsia" w:ascii="Arial Narrow" w:hAnsi="Arial Narrow" w:eastAsia="仿宋_GB2312" w:cs="Arial"/>
                <w:color w:val="000000"/>
                <w:sz w:val="16"/>
                <w:szCs w:val="16"/>
              </w:rPr>
              <w:t xml:space="preserve">0.00</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418" w:type="dxa"/>
            <w:vAlign w:val="center"/>
            <w:textDirection w:val="lrTb"/>
            <w:noWrap w:val="false"/>
          </w:tcPr>
          <w:p>
            <w:pPr>
              <w:pBdr/>
              <w:spacing/>
              <w:ind/>
              <w:jc w:val="right"/>
              <w:rPr>
                <w:rFonts w:ascii="Arial Narrow" w:hAnsi="Arial Narrow" w:eastAsia="仿宋_GB2312" w:cs="Arial"/>
                <w:color w:val="000000"/>
                <w:sz w:val="16"/>
                <w:szCs w:val="16"/>
              </w:rPr>
            </w:pPr>
            <w:r>
              <w:rPr>
                <w:rFonts w:hint="eastAsia" w:ascii="Arial Narrow" w:hAnsi="Arial Narrow" w:eastAsia="仿宋_GB2312" w:cs="Arial"/>
                <w:color w:val="000000"/>
                <w:sz w:val="16"/>
                <w:szCs w:val="16"/>
              </w:rPr>
              <w:t xml:space="preserve">0.00</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370" w:type="dxa"/>
            <w:vAlign w:val="center"/>
            <w:textDirection w:val="lrTb"/>
            <w:noWrap w:val="false"/>
          </w:tcPr>
          <w:p>
            <w:pPr>
              <w:pBdr/>
              <w:spacing/>
              <w:ind/>
              <w:jc w:val="right"/>
              <w:rPr>
                <w:rFonts w:ascii="Arial Narrow" w:hAnsi="Arial Narrow" w:eastAsia="仿宋_GB2312" w:cs="Arial"/>
                <w:color w:val="000000"/>
                <w:sz w:val="16"/>
                <w:szCs w:val="16"/>
              </w:rPr>
            </w:pPr>
            <w:r>
              <w:rPr>
                <w:rFonts w:hint="eastAsia" w:ascii="Arial Narrow" w:hAnsi="Arial Narrow" w:eastAsia="仿宋_GB2312" w:cs="Arial"/>
                <w:color w:val="000000"/>
                <w:sz w:val="16"/>
                <w:szCs w:val="16"/>
              </w:rPr>
              <w:t xml:space="preserve">0.00</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323" w:type="dxa"/>
            <w:vAlign w:val="center"/>
            <w:textDirection w:val="lrTb"/>
            <w:noWrap w:val="false"/>
          </w:tcPr>
          <w:p>
            <w:pPr>
              <w:pBdr/>
              <w:spacing/>
              <w:ind w:right="-40" w:left="-80"/>
              <w:jc w:val="right"/>
              <w:rPr>
                <w:rFonts w:ascii="Arial Narrow" w:hAnsi="Arial Narrow" w:eastAsia="仿宋_GB2312" w:cs="Arial"/>
                <w:color w:val="000000"/>
                <w:sz w:val="16"/>
                <w:szCs w:val="16"/>
              </w:rPr>
            </w:pPr>
            <w:r>
              <w:rPr>
                <w:rFonts w:hint="eastAsia" w:ascii="Arial Narrow" w:hAnsi="Arial Narrow" w:eastAsia="仿宋_GB2312" w:cs="Arial"/>
                <w:color w:val="000000"/>
                <w:sz w:val="16"/>
                <w:szCs w:val="16"/>
              </w:rPr>
              <w:t xml:space="preserve">0.00</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417" w:type="dxa"/>
            <w:vAlign w:val="center"/>
            <w:textDirection w:val="lrTb"/>
            <w:noWrap w:val="false"/>
          </w:tcPr>
          <w:p>
            <w:pPr>
              <w:pBdr/>
              <w:spacing/>
              <w:ind w:right="-40" w:left="-80"/>
              <w:jc w:val="right"/>
              <w:rPr>
                <w:rFonts w:ascii="Arial Narrow" w:hAnsi="Arial Narrow" w:eastAsia="仿宋_GB2312" w:cs="Arial"/>
                <w:color w:val="000000"/>
                <w:sz w:val="16"/>
                <w:szCs w:val="16"/>
              </w:rPr>
            </w:pPr>
            <w:r>
              <w:rPr>
                <w:rFonts w:hint="eastAsia" w:ascii="Arial Narrow" w:hAnsi="Arial Narrow" w:eastAsia="仿宋_GB2312" w:cs="Arial"/>
                <w:color w:val="000000"/>
                <w:sz w:val="16"/>
                <w:szCs w:val="16"/>
              </w:rPr>
              <w:t xml:space="preserve">0.00</w:t>
            </w:r>
            <w:r>
              <w:rPr>
                <w:rFonts w:ascii="Arial Narrow" w:hAnsi="Arial Narrow" w:eastAsia="仿宋_GB2312" w:cs="Arial"/>
                <w:color w:val="000000"/>
                <w:sz w:val="16"/>
                <w:szCs w:val="16"/>
              </w:rPr>
            </w:r>
          </w:p>
        </w:tc>
      </w:tr>
      <w:tr>
        <w:trPr>
          <w:trHeight w:val="454"/>
        </w:trPr>
        <w:tc>
          <w:tcPr>
            <w:shd w:val="clear" w:color="auto" w:fill="auto"/>
            <w:tcBorders>
              <w:top w:val="none" w:color="000000" w:sz="4" w:space="0"/>
              <w:left w:val="single" w:color="auto" w:sz="8" w:space="0"/>
              <w:bottom w:val="single" w:color="auto" w:sz="8" w:space="0"/>
              <w:right w:val="single" w:color="auto" w:sz="8" w:space="0"/>
            </w:tcBorders>
            <w:tcW w:w="1702" w:type="dxa"/>
            <w:vAlign w:val="center"/>
            <w:textDirection w:val="lrTb"/>
            <w:noWrap w:val="false"/>
          </w:tcPr>
          <w:p>
            <w:pPr>
              <w:pBdr/>
              <w:spacing/>
              <w:ind/>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　投资收益（损失以“-”号填列）</w:t>
            </w:r>
            <w:r>
              <w:rPr>
                <w:rFonts w:ascii="Arial Narrow" w:hAnsi="Arial Narrow" w:eastAsia="仿宋_GB2312" w:cs="Arial"/>
                <w:color w:val="000000"/>
                <w:sz w:val="16"/>
                <w:szCs w:val="16"/>
              </w:rPr>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417" w:type="dxa"/>
            <w:vAlign w:val="center"/>
            <w:textDirection w:val="lrTb"/>
            <w:noWrap w:val="false"/>
          </w:tcPr>
          <w:p>
            <w:pPr>
              <w:pBdr/>
              <w:spacing/>
              <w:ind/>
              <w:jc w:val="right"/>
              <w:rPr>
                <w:rFonts w:ascii="Arial Narrow" w:hAnsi="Arial Narrow" w:eastAsia="仿宋_GB2312" w:cs="Arial"/>
                <w:color w:val="000000"/>
                <w:sz w:val="16"/>
                <w:szCs w:val="16"/>
              </w:rPr>
            </w:pPr>
            <w:r>
              <w:rPr>
                <w:rFonts w:hint="eastAsia" w:ascii="Arial Narrow" w:hAnsi="Arial Narrow" w:eastAsia="仿宋_GB2312" w:cs="Arial"/>
                <w:color w:val="000000"/>
                <w:sz w:val="16"/>
                <w:szCs w:val="16"/>
              </w:rPr>
              <w:t xml:space="preserve">0.00</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418" w:type="dxa"/>
            <w:vAlign w:val="center"/>
            <w:textDirection w:val="lrTb"/>
            <w:noWrap w:val="false"/>
          </w:tcPr>
          <w:p>
            <w:pPr>
              <w:pBdr/>
              <w:spacing/>
              <w:ind/>
              <w:jc w:val="right"/>
              <w:rPr>
                <w:rFonts w:ascii="Arial Narrow" w:hAnsi="Arial Narrow" w:eastAsia="仿宋_GB2312" w:cs="Arial"/>
                <w:color w:val="000000"/>
                <w:sz w:val="16"/>
                <w:szCs w:val="16"/>
              </w:rPr>
            </w:pPr>
            <w:r>
              <w:rPr>
                <w:rFonts w:hint="eastAsia" w:ascii="Arial Narrow" w:hAnsi="Arial Narrow" w:eastAsia="仿宋_GB2312" w:cs="Arial"/>
                <w:color w:val="000000"/>
                <w:sz w:val="16"/>
                <w:szCs w:val="16"/>
              </w:rPr>
              <w:t xml:space="preserve">0.00</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370" w:type="dxa"/>
            <w:vAlign w:val="center"/>
            <w:textDirection w:val="lrTb"/>
            <w:noWrap w:val="false"/>
          </w:tcPr>
          <w:p>
            <w:pPr>
              <w:pBdr/>
              <w:spacing/>
              <w:ind/>
              <w:jc w:val="right"/>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90,302.14</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323" w:type="dxa"/>
            <w:vAlign w:val="center"/>
            <w:textDirection w:val="lrTb"/>
            <w:noWrap w:val="false"/>
          </w:tcPr>
          <w:p>
            <w:pPr>
              <w:pBdr/>
              <w:spacing/>
              <w:ind w:right="-40" w:left="-80"/>
              <w:jc w:val="right"/>
              <w:rPr>
                <w:rFonts w:ascii="Arial Narrow" w:hAnsi="Arial Narrow" w:eastAsia="仿宋_GB2312" w:cs="Arial"/>
                <w:color w:val="000000"/>
                <w:sz w:val="16"/>
                <w:szCs w:val="16"/>
              </w:rPr>
            </w:pPr>
            <w:r>
              <w:rPr>
                <w:rFonts w:ascii="Arial Narrow" w:hAnsi="Arial Narrow" w:eastAsia="仿宋_GB2312" w:cs="Arial"/>
                <w:color w:val="000000"/>
                <w:sz w:val="16"/>
                <w:szCs w:val="16"/>
              </w:rPr>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417" w:type="dxa"/>
            <w:vAlign w:val="center"/>
            <w:textDirection w:val="lrTb"/>
            <w:noWrap w:val="false"/>
          </w:tcPr>
          <w:p>
            <w:pPr>
              <w:pBdr/>
              <w:spacing/>
              <w:ind w:right="-40" w:left="-80"/>
              <w:jc w:val="right"/>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90,302.14</w:t>
            </w:r>
            <w:r>
              <w:rPr>
                <w:rFonts w:ascii="Arial Narrow" w:hAnsi="Arial Narrow" w:eastAsia="仿宋_GB2312" w:cs="Arial"/>
                <w:color w:val="000000"/>
                <w:sz w:val="16"/>
                <w:szCs w:val="16"/>
              </w:rPr>
            </w:r>
          </w:p>
        </w:tc>
      </w:tr>
      <w:tr>
        <w:trPr>
          <w:trHeight w:val="454"/>
        </w:trPr>
        <w:tc>
          <w:tcPr>
            <w:shd w:val="clear" w:color="auto" w:fill="auto"/>
            <w:tcBorders>
              <w:top w:val="none" w:color="000000" w:sz="4" w:space="0"/>
              <w:left w:val="single" w:color="auto" w:sz="8" w:space="0"/>
              <w:bottom w:val="single" w:color="auto" w:sz="8" w:space="0"/>
              <w:right w:val="single" w:color="auto" w:sz="8" w:space="0"/>
            </w:tcBorders>
            <w:tcW w:w="1702" w:type="dxa"/>
            <w:vAlign w:val="center"/>
            <w:textDirection w:val="lrTb"/>
            <w:noWrap w:val="false"/>
          </w:tcPr>
          <w:p>
            <w:pPr>
              <w:pBdr/>
              <w:spacing/>
              <w:ind/>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　其中：对联营企业和合营企业的投资收益</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417" w:type="dxa"/>
            <w:vAlign w:val="center"/>
            <w:textDirection w:val="lrTb"/>
            <w:noWrap w:val="false"/>
          </w:tcPr>
          <w:p>
            <w:pPr>
              <w:pBdr/>
              <w:spacing/>
              <w:ind/>
              <w:jc w:val="right"/>
              <w:rPr>
                <w:rFonts w:ascii="Arial Narrow" w:hAnsi="Arial Narrow" w:eastAsia="仿宋_GB2312" w:cs="Arial"/>
                <w:color w:val="000000"/>
                <w:sz w:val="16"/>
                <w:szCs w:val="16"/>
              </w:rPr>
            </w:pPr>
            <w:r>
              <w:rPr>
                <w:rFonts w:hint="eastAsia" w:ascii="Arial Narrow" w:hAnsi="Arial Narrow" w:eastAsia="仿宋_GB2312" w:cs="Arial"/>
                <w:color w:val="000000"/>
                <w:sz w:val="16"/>
                <w:szCs w:val="16"/>
              </w:rPr>
              <w:t xml:space="preserve">0.00</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418" w:type="dxa"/>
            <w:vAlign w:val="center"/>
            <w:textDirection w:val="lrTb"/>
            <w:noWrap w:val="false"/>
          </w:tcPr>
          <w:p>
            <w:pPr>
              <w:pBdr/>
              <w:spacing/>
              <w:ind/>
              <w:jc w:val="right"/>
              <w:rPr>
                <w:rFonts w:ascii="Arial Narrow" w:hAnsi="Arial Narrow" w:eastAsia="仿宋_GB2312" w:cs="Arial"/>
                <w:color w:val="000000"/>
                <w:sz w:val="16"/>
                <w:szCs w:val="16"/>
              </w:rPr>
            </w:pPr>
            <w:r>
              <w:rPr>
                <w:rFonts w:hint="eastAsia" w:ascii="Arial Narrow" w:hAnsi="Arial Narrow" w:eastAsia="仿宋_GB2312" w:cs="Arial"/>
                <w:color w:val="000000"/>
                <w:sz w:val="16"/>
                <w:szCs w:val="16"/>
              </w:rPr>
              <w:t xml:space="preserve">0.00</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370" w:type="dxa"/>
            <w:vAlign w:val="center"/>
            <w:textDirection w:val="lrTb"/>
            <w:noWrap w:val="false"/>
          </w:tcPr>
          <w:p>
            <w:pPr>
              <w:pBdr/>
              <w:spacing/>
              <w:ind/>
              <w:jc w:val="right"/>
              <w:rPr>
                <w:rFonts w:ascii="Arial Narrow" w:hAnsi="Arial Narrow" w:eastAsia="仿宋_GB2312" w:cs="Arial"/>
                <w:color w:val="000000"/>
                <w:sz w:val="16"/>
                <w:szCs w:val="16"/>
              </w:rPr>
            </w:pPr>
            <w:r>
              <w:rPr>
                <w:rFonts w:hint="eastAsia" w:ascii="Arial Narrow" w:hAnsi="Arial Narrow" w:eastAsia="仿宋_GB2312" w:cs="Arial"/>
                <w:color w:val="000000"/>
                <w:sz w:val="16"/>
                <w:szCs w:val="16"/>
              </w:rPr>
              <w:t xml:space="preserve">0.00</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323" w:type="dxa"/>
            <w:vAlign w:val="center"/>
            <w:textDirection w:val="lrTb"/>
            <w:noWrap w:val="false"/>
          </w:tcPr>
          <w:p>
            <w:pPr>
              <w:pBdr/>
              <w:spacing/>
              <w:ind w:right="-40" w:left="-80"/>
              <w:jc w:val="right"/>
              <w:rPr>
                <w:rFonts w:ascii="Arial Narrow" w:hAnsi="Arial Narrow" w:eastAsia="仿宋_GB2312" w:cs="Arial"/>
                <w:color w:val="000000"/>
                <w:sz w:val="16"/>
                <w:szCs w:val="16"/>
              </w:rPr>
            </w:pPr>
            <w:r>
              <w:rPr>
                <w:rFonts w:hint="eastAsia" w:ascii="Arial Narrow" w:hAnsi="Arial Narrow" w:eastAsia="仿宋_GB2312" w:cs="Arial"/>
                <w:color w:val="000000"/>
                <w:sz w:val="16"/>
                <w:szCs w:val="16"/>
              </w:rPr>
              <w:t xml:space="preserve">0.00</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417" w:type="dxa"/>
            <w:vAlign w:val="center"/>
            <w:textDirection w:val="lrTb"/>
            <w:noWrap w:val="false"/>
          </w:tcPr>
          <w:p>
            <w:pPr>
              <w:pBdr/>
              <w:spacing/>
              <w:ind w:right="-40" w:left="-80"/>
              <w:jc w:val="right"/>
              <w:rPr>
                <w:rFonts w:ascii="Arial Narrow" w:hAnsi="Arial Narrow" w:eastAsia="仿宋_GB2312" w:cs="Arial"/>
                <w:color w:val="000000"/>
                <w:sz w:val="16"/>
                <w:szCs w:val="16"/>
              </w:rPr>
            </w:pPr>
            <w:r>
              <w:rPr>
                <w:rFonts w:hint="eastAsia" w:ascii="Arial Narrow" w:hAnsi="Arial Narrow" w:eastAsia="仿宋_GB2312" w:cs="Arial"/>
                <w:color w:val="000000"/>
                <w:sz w:val="16"/>
                <w:szCs w:val="16"/>
              </w:rPr>
              <w:t xml:space="preserve">0.00</w:t>
            </w:r>
            <w:r>
              <w:rPr>
                <w:rFonts w:ascii="Arial Narrow" w:hAnsi="Arial Narrow" w:eastAsia="仿宋_GB2312" w:cs="Arial"/>
                <w:color w:val="000000"/>
                <w:sz w:val="16"/>
                <w:szCs w:val="16"/>
              </w:rPr>
            </w:r>
          </w:p>
        </w:tc>
      </w:tr>
      <w:tr>
        <w:trPr>
          <w:trHeight w:val="454"/>
        </w:trPr>
        <w:tc>
          <w:tcPr>
            <w:shd w:val="clear" w:color="auto" w:fill="auto"/>
            <w:tcBorders>
              <w:top w:val="none" w:color="000000" w:sz="4" w:space="0"/>
              <w:left w:val="single" w:color="auto" w:sz="8" w:space="0"/>
              <w:bottom w:val="single" w:color="auto" w:sz="8" w:space="0"/>
              <w:right w:val="single" w:color="auto" w:sz="8" w:space="0"/>
            </w:tcBorders>
            <w:tcW w:w="1702" w:type="dxa"/>
            <w:vAlign w:val="center"/>
            <w:textDirection w:val="lrTb"/>
            <w:noWrap w:val="false"/>
          </w:tcPr>
          <w:p>
            <w:pPr>
              <w:pBdr/>
              <w:spacing/>
              <w:ind/>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二、营业利润（亏损以“-”号填列）</w:t>
            </w:r>
            <w:r>
              <w:rPr>
                <w:rFonts w:ascii="Arial Narrow" w:hAnsi="Arial Narrow" w:eastAsia="仿宋_GB2312" w:cs="Arial"/>
                <w:color w:val="000000"/>
                <w:sz w:val="16"/>
                <w:szCs w:val="16"/>
              </w:rPr>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417" w:type="dxa"/>
            <w:vAlign w:val="center"/>
            <w:textDirection w:val="lrTb"/>
            <w:noWrap w:val="false"/>
          </w:tcPr>
          <w:p>
            <w:pPr>
              <w:pBdr/>
              <w:spacing/>
              <w:ind/>
              <w:jc w:val="right"/>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12,097,884.34</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418" w:type="dxa"/>
            <w:vAlign w:val="center"/>
            <w:textDirection w:val="lrTb"/>
            <w:noWrap w:val="false"/>
          </w:tcPr>
          <w:p>
            <w:pPr>
              <w:pBdr/>
              <w:spacing/>
              <w:ind/>
              <w:jc w:val="right"/>
              <w:rPr>
                <w:rFonts w:ascii="Arial Narrow" w:hAnsi="Arial Narrow" w:eastAsia="仿宋_GB2312" w:cs="Arial"/>
                <w:color w:val="000000"/>
                <w:sz w:val="16"/>
                <w:szCs w:val="16"/>
              </w:rPr>
            </w:pPr>
            <w:r>
              <w:rPr>
                <w:rFonts w:hint="eastAsia" w:ascii="Arial Narrow" w:hAnsi="Arial Narrow" w:eastAsia="仿宋_GB2312" w:cs="Arial"/>
                <w:color w:val="000000"/>
                <w:sz w:val="16"/>
                <w:szCs w:val="16"/>
              </w:rPr>
              <w:t xml:space="preserve">0.00</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370" w:type="dxa"/>
            <w:vAlign w:val="center"/>
            <w:textDirection w:val="lrTb"/>
            <w:noWrap w:val="false"/>
          </w:tcPr>
          <w:p>
            <w:pPr>
              <w:pBdr/>
              <w:spacing/>
              <w:ind/>
              <w:jc w:val="right"/>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891,101.64</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323" w:type="dxa"/>
            <w:vAlign w:val="center"/>
            <w:textDirection w:val="lrTb"/>
            <w:noWrap w:val="false"/>
          </w:tcPr>
          <w:p>
            <w:pPr>
              <w:pBdr/>
              <w:spacing/>
              <w:ind w:right="-40" w:left="-80"/>
              <w:jc w:val="right"/>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60,721.00</w:t>
            </w:r>
            <w:r>
              <w:rPr>
                <w:rFonts w:ascii="Arial Narrow" w:hAnsi="Arial Narrow" w:eastAsia="仿宋_GB2312" w:cs="Arial"/>
                <w:color w:val="000000"/>
                <w:sz w:val="16"/>
                <w:szCs w:val="16"/>
              </w:rPr>
            </w:r>
          </w:p>
        </w:tc>
        <w:tc>
          <w:tcPr>
            <w:shd w:val="clear" w:color="auto" w:fill="auto"/>
            <w:tcBorders>
              <w:top w:val="none" w:color="000000" w:sz="4" w:space="0"/>
              <w:left w:val="none" w:color="000000" w:sz="4" w:space="0"/>
              <w:bottom w:val="single" w:color="auto" w:sz="8" w:space="0"/>
              <w:right w:val="single" w:color="auto" w:sz="8" w:space="0"/>
            </w:tcBorders>
            <w:tcW w:w="1417" w:type="dxa"/>
            <w:vAlign w:val="center"/>
            <w:textDirection w:val="lrTb"/>
            <w:noWrap w:val="false"/>
          </w:tcPr>
          <w:p>
            <w:pPr>
              <w:pBdr/>
              <w:spacing/>
              <w:ind/>
              <w:jc w:val="right"/>
              <w:rPr>
                <w:rFonts w:ascii="Arial Narrow" w:hAnsi="Arial Narrow" w:eastAsia="仿宋_GB2312" w:cs="Arial"/>
                <w:color w:val="000000"/>
                <w:sz w:val="16"/>
                <w:szCs w:val="16"/>
              </w:rPr>
            </w:pPr>
            <w:r>
              <w:rPr>
                <w:rFonts w:ascii="Arial Narrow" w:hAnsi="Arial Narrow" w:eastAsia="仿宋_GB2312" w:cs="Arial"/>
                <w:color w:val="000000"/>
                <w:sz w:val="16"/>
                <w:szCs w:val="16"/>
              </w:rPr>
              <w:t xml:space="preserve">13,049,706.98</w:t>
            </w:r>
            <w:r>
              <w:rPr>
                <w:rFonts w:ascii="Arial Narrow" w:hAnsi="Arial Narrow" w:eastAsia="仿宋_GB2312" w:cs="Arial"/>
                <w:color w:val="000000"/>
                <w:sz w:val="16"/>
                <w:szCs w:val="16"/>
              </w:rPr>
            </w:r>
          </w:p>
        </w:tc>
      </w:tr>
    </w:tbl>
    <w:p>
      <w:pPr>
        <w:pBdr/>
        <w:spacing w:after="163" w:before="163" w:line="360" w:lineRule="auto"/>
        <w:ind w:firstLine="440"/>
        <w:jc w:val="both"/>
        <w:rPr>
          <w:rFonts w:ascii="Arial Narrow" w:hAnsi="Arial Narrow" w:eastAsia="仿宋_GB2312" w:cs="Arial"/>
          <w:sz w:val="22"/>
          <w:szCs w:val="22"/>
        </w:rPr>
        <w:sectPr>
          <w:footnotePr/>
          <w:endnotePr/>
          <w:type w:val="nextPage"/>
          <w:pgSz w:h="16838" w:orient="portrait" w:w="11906"/>
          <w:pgMar w:top="1440" w:right="1800" w:bottom="1440" w:left="1800" w:header="709" w:footer="709" w:gutter="0"/>
          <w:cols w:num="1" w:sep="0" w:space="720" w:equalWidth="1"/>
        </w:sectPr>
      </w:pPr>
      <w:r>
        <w:rPr>
          <w:rFonts w:ascii="Arial Narrow" w:hAnsi="Arial Narrow" w:eastAsia="仿宋_GB2312" w:cs="Arial"/>
          <w:sz w:val="22"/>
          <w:szCs w:val="22"/>
        </w:rPr>
        <w:t xml:space="preserve">注：各项税金、费用、其他收益等，无法根据境内关联交易、非关联交易明确区分的，以收入比重拆分。</w:t>
      </w:r>
      <w:r>
        <w:rPr>
          <w:rFonts w:ascii="Arial Narrow" w:hAnsi="Arial Narrow" w:eastAsia="仿宋_GB2312" w:cs="Arial"/>
          <w:sz w:val="22"/>
          <w:szCs w:val="22"/>
        </w:rPr>
      </w:r>
    </w:p>
    <w:p>
      <w:pPr>
        <w:pStyle w:val="1529"/>
        <w:pBdr/>
        <w:spacing/>
        <w:ind/>
        <w:rPr/>
      </w:pPr>
      <w:r/>
      <w:bookmarkStart w:id="1154" w:name="_Toc53229114"/>
      <w:r/>
      <w:bookmarkStart w:id="1155" w:name="_Toc140505179"/>
      <w:r/>
      <w:bookmarkStart w:id="1156" w:name="_Toc50477151"/>
      <w:r>
        <w:t xml:space="preserve">附件3被选可比公司的业务简介</w:t>
      </w:r>
      <w:bookmarkEnd w:id="1149"/>
      <w:r/>
      <w:bookmarkEnd w:id="1154"/>
      <w:r/>
      <w:bookmarkEnd w:id="1155"/>
      <w:r/>
      <w:bookmarkEnd w:id="1156"/>
      <w:r/>
      <w:r/>
    </w:p>
    <w:p>
      <w:pPr>
        <w:pBdr/>
        <w:spacing w:line="360" w:lineRule="auto"/>
        <w:ind/>
        <w:jc w:val="both"/>
        <w:rPr>
          <w:rFonts w:ascii="Arial Narrow" w:hAnsi="Arial Narrow" w:eastAsia="仿宋_GB2312" w:cs="Arial"/>
          <w:b/>
          <w:bCs/>
          <w:i/>
          <w:color w:val="002060"/>
          <w:sz w:val="22"/>
          <w:szCs w:val="22"/>
        </w:rPr>
      </w:pPr>
      <w:r>
        <w:rPr>
          <w:rFonts w:ascii="Arial Narrow" w:hAnsi="Arial Narrow" w:eastAsia="仿宋_GB2312" w:cs="Arial"/>
          <w:b/>
          <w:bCs/>
          <w:i/>
          <w:color w:val="002060"/>
          <w:sz w:val="22"/>
          <w:szCs w:val="22"/>
        </w:rPr>
        <w:t xml:space="preserve">SHISEIDO COMPANY LIMITED （日本）</w:t>
      </w:r>
      <w:r>
        <w:rPr>
          <w:rFonts w:ascii="Arial Narrow" w:hAnsi="Arial Narrow" w:eastAsia="仿宋_GB2312" w:cs="Arial"/>
          <w:b/>
          <w:bCs/>
          <w:i/>
          <w:color w:val="002060"/>
          <w:sz w:val="22"/>
          <w:szCs w:val="22"/>
        </w:rPr>
      </w:r>
      <w:r>
        <w:rPr>
          <w:rFonts w:ascii="Arial Narrow" w:hAnsi="Arial Narrow" w:eastAsia="仿宋_GB2312" w:cs="Arial"/>
          <w:b/>
          <w:bCs/>
          <w:i/>
          <w:color w:val="002060"/>
          <w:sz w:val="22"/>
          <w:szCs w:val="22"/>
        </w:rPr>
      </w:r>
    </w:p>
    <w:p>
      <w:pPr>
        <w:pBdr/>
        <w:spacing w:after="180" w:before="180" w:line="360" w:lineRule="auto"/>
        <w:ind w:firstLine="440"/>
        <w:jc w:val="both"/>
        <w:rPr>
          <w:rFonts w:ascii="Arial Narrow" w:hAnsi="Arial Narrow" w:eastAsia="仿宋_GB2312" w:cs="Arial"/>
          <w:b/>
          <w:i/>
          <w:color w:val="009cde"/>
          <w:sz w:val="22"/>
        </w:rPr>
      </w:pPr>
      <w:r>
        <w:rPr>
          <w:rFonts w:ascii="Arial Narrow" w:hAnsi="Arial Narrow" w:eastAsia="仿宋_GB2312" w:cs="Arial"/>
          <w:sz w:val="22"/>
          <w:szCs w:val="22"/>
        </w:rPr>
        <w:t xml:space="preserve">该公司是日本主要的护发和化妆品生产商，也是世界上历史最悠久的化妆品公司。该公司的主要业务是制造和销售化妆品、洗漱用品和美容产品。自营化妆品牌主要有Aupress、Cle de Peau Beaute、PURE&amp;Minor、Maquillage。</w:t>
      </w:r>
      <w:r>
        <w:rPr>
          <w:rFonts w:ascii="Arial Narrow" w:hAnsi="Arial Narrow" w:eastAsia="仿宋_GB2312" w:cs="Arial"/>
          <w:sz w:val="22"/>
          <w:szCs w:val="22"/>
        </w:rPr>
      </w:r>
      <w:r>
        <w:rPr>
          <w:rFonts w:ascii="Arial Narrow" w:hAnsi="Arial Narrow" w:eastAsia="仿宋_GB2312" w:cs="Arial"/>
          <w:b/>
          <w:i/>
          <w:color w:val="009cde"/>
          <w:sz w:val="22"/>
        </w:rPr>
      </w:r>
    </w:p>
    <w:p>
      <w:pPr>
        <w:pBdr/>
        <w:spacing w:line="360" w:lineRule="auto"/>
        <w:ind/>
        <w:jc w:val="both"/>
        <w:rPr>
          <w:rFonts w:ascii="Arial Narrow" w:hAnsi="Arial Narrow" w:eastAsia="仿宋_GB2312" w:cs="Arial"/>
          <w:b/>
          <w:bCs/>
          <w:i/>
          <w:color w:val="009cde"/>
          <w:sz w:val="22"/>
          <w:szCs w:val="22"/>
        </w:rPr>
      </w:pPr>
      <w:r>
        <w:rPr>
          <w:rFonts w:ascii="Arial Narrow" w:hAnsi="Arial Narrow" w:eastAsia="仿宋_GB2312" w:cs="Arial"/>
          <w:b/>
          <w:bCs/>
          <w:i/>
          <w:color w:val="002060"/>
          <w:sz w:val="22"/>
          <w:szCs w:val="22"/>
        </w:rPr>
        <w:t xml:space="preserve">KOSE CORPORATION（日本）</w:t>
      </w:r>
      <w:r>
        <w:rPr>
          <w:rFonts w:ascii="Arial Narrow" w:hAnsi="Arial Narrow" w:eastAsia="仿宋_GB2312" w:cs="Arial"/>
          <w:b/>
          <w:bCs/>
          <w:i/>
          <w:color w:val="002060"/>
          <w:sz w:val="22"/>
          <w:szCs w:val="22"/>
        </w:rPr>
      </w:r>
      <w:r>
        <w:rPr>
          <w:rFonts w:ascii="Arial Narrow" w:hAnsi="Arial Narrow" w:eastAsia="仿宋_GB2312" w:cs="Arial"/>
          <w:b/>
          <w:bCs/>
          <w:i/>
          <w:color w:val="009cde"/>
          <w:sz w:val="22"/>
          <w:szCs w:val="22"/>
        </w:rPr>
      </w:r>
    </w:p>
    <w:p>
      <w:pPr>
        <w:pBdr/>
        <w:spacing w:after="180" w:before="180" w:line="360" w:lineRule="auto"/>
        <w:ind w:firstLine="440"/>
        <w:jc w:val="both"/>
        <w:rPr>
          <w:rFonts w:ascii="Arial Narrow" w:hAnsi="Arial Narrow" w:eastAsia="仿宋_GB2312" w:cs="Arial"/>
          <w:b/>
          <w:i/>
          <w:color w:val="009cde"/>
          <w:sz w:val="22"/>
        </w:rPr>
      </w:pPr>
      <w:r>
        <w:rPr>
          <w:rFonts w:ascii="Arial Narrow" w:hAnsi="Arial Narrow" w:eastAsia="仿宋_GB2312" w:cs="Arial"/>
          <w:sz w:val="22"/>
          <w:szCs w:val="22"/>
        </w:rPr>
        <w:t xml:space="preserve">该公司位于日本，从事化妆品、护肤品和护发用品的生产和销售。主要品牌包括Astalution、Infinity、Cosme Decorte AQ、Cosme Decorte、Jill Stuart、Stephen Knoll、Aware、Beaute de KOSE、Espirique Precious和Rimmel等。公司产品通过其子公司在零售、百货和百货商店以及其他销售渠道销售。该公司在中国大陆、台湾、韩国和美国都有业务。</w:t>
      </w:r>
      <w:r>
        <w:rPr>
          <w:rFonts w:ascii="Arial Narrow" w:hAnsi="Arial Narrow" w:eastAsia="仿宋_GB2312" w:cs="Arial"/>
          <w:sz w:val="22"/>
          <w:szCs w:val="22"/>
        </w:rPr>
      </w:r>
      <w:r>
        <w:rPr>
          <w:rFonts w:ascii="Arial Narrow" w:hAnsi="Arial Narrow" w:eastAsia="仿宋_GB2312" w:cs="Arial"/>
          <w:b/>
          <w:i/>
          <w:color w:val="009cde"/>
          <w:sz w:val="22"/>
        </w:rPr>
      </w:r>
    </w:p>
    <w:p>
      <w:pPr>
        <w:pBdr/>
        <w:spacing w:line="360" w:lineRule="auto"/>
        <w:ind/>
        <w:jc w:val="both"/>
        <w:rPr>
          <w:rFonts w:ascii="Arial Narrow" w:hAnsi="Arial Narrow" w:eastAsia="仿宋_GB2312" w:cs="Arial"/>
          <w:b/>
          <w:bCs/>
          <w:i/>
          <w:color w:val="009cde"/>
          <w:sz w:val="22"/>
          <w:szCs w:val="22"/>
        </w:rPr>
      </w:pPr>
      <w:r>
        <w:rPr>
          <w:rFonts w:ascii="Arial Narrow" w:hAnsi="Arial Narrow" w:eastAsia="仿宋_GB2312" w:cs="Arial"/>
          <w:b/>
          <w:bCs/>
          <w:i/>
          <w:color w:val="002060"/>
          <w:sz w:val="22"/>
          <w:szCs w:val="22"/>
        </w:rPr>
        <w:t xml:space="preserve">AFC-HD AMS LIFE SCIENCE CO., LTD.（日本）</w:t>
      </w:r>
      <w:r>
        <w:rPr>
          <w:rFonts w:ascii="Arial Narrow" w:hAnsi="Arial Narrow" w:eastAsia="仿宋_GB2312" w:cs="Arial"/>
          <w:b/>
          <w:bCs/>
          <w:i/>
          <w:color w:val="002060"/>
          <w:sz w:val="22"/>
          <w:szCs w:val="22"/>
        </w:rPr>
      </w:r>
      <w:r>
        <w:rPr>
          <w:rFonts w:ascii="Arial Narrow" w:hAnsi="Arial Narrow" w:eastAsia="仿宋_GB2312" w:cs="Arial"/>
          <w:b/>
          <w:bCs/>
          <w:i/>
          <w:color w:val="009cde"/>
          <w:sz w:val="22"/>
          <w:szCs w:val="22"/>
        </w:rPr>
      </w:r>
    </w:p>
    <w:p>
      <w:pPr>
        <w:pBdr/>
        <w:spacing w:after="180" w:before="180" w:line="360" w:lineRule="auto"/>
        <w:ind w:firstLine="440"/>
        <w:jc w:val="both"/>
        <w:rPr>
          <w:rFonts w:ascii="Arial Narrow" w:hAnsi="Arial Narrow" w:eastAsia="仿宋_GB2312" w:cs="Arial"/>
          <w:sz w:val="22"/>
          <w:szCs w:val="22"/>
        </w:rPr>
      </w:pPr>
      <w:r>
        <w:rPr>
          <w:rFonts w:hint="eastAsia" w:ascii="Arial Narrow" w:hAnsi="Arial Narrow" w:eastAsia="仿宋_GB2312" w:cs="Arial"/>
          <w:sz w:val="22"/>
          <w:szCs w:val="22"/>
          <w:lang w:eastAsia="zh-Hans"/>
        </w:rPr>
        <w:t xml:space="preserve">该公司在日本和国际上从事保健食品和化妆品的生产。其活动包括规划、研究、开发、加工和完成膳食补充剂和化妆品。其化妆品产品包括面部清洁油、面部乳液、乳白色乳液、化妆油、清洁霜和液体化妆品。该公司成立于1969年，总部位于日本静冈。</w:t>
      </w:r>
      <w:r>
        <w:rPr>
          <w:rFonts w:hint="eastAsia" w:ascii="Arial Narrow" w:hAnsi="Arial Narrow" w:eastAsia="仿宋_GB2312" w:cs="Arial"/>
          <w:sz w:val="22"/>
          <w:szCs w:val="22"/>
          <w:lang w:eastAsia="zh-Hans"/>
        </w:rPr>
      </w:r>
      <w:r>
        <w:rPr>
          <w:rFonts w:ascii="Arial Narrow" w:hAnsi="Arial Narrow" w:eastAsia="仿宋_GB2312" w:cs="Arial"/>
          <w:sz w:val="22"/>
          <w:szCs w:val="22"/>
        </w:rPr>
      </w:r>
    </w:p>
    <w:p>
      <w:pPr>
        <w:pBdr/>
        <w:spacing w:line="360" w:lineRule="auto"/>
        <w:ind/>
        <w:jc w:val="both"/>
        <w:rPr>
          <w:rFonts w:ascii="Arial Narrow" w:hAnsi="Arial Narrow" w:eastAsia="仿宋_GB2312" w:cs="Arial"/>
          <w:b/>
          <w:bCs/>
          <w:i/>
          <w:color w:val="002060"/>
          <w:sz w:val="22"/>
          <w:szCs w:val="22"/>
        </w:rPr>
      </w:pPr>
      <w:r>
        <w:rPr>
          <w:rFonts w:ascii="Arial Narrow" w:hAnsi="Arial Narrow" w:eastAsia="仿宋_GB2312" w:cs="Arial"/>
          <w:b/>
          <w:bCs/>
          <w:i/>
          <w:color w:val="002060"/>
          <w:sz w:val="22"/>
          <w:szCs w:val="22"/>
        </w:rPr>
        <w:t xml:space="preserve">S &amp; J INTERNATIONAL ENTERPRISES PCL（泰国）</w:t>
      </w:r>
      <w:r>
        <w:rPr>
          <w:rFonts w:ascii="Arial Narrow" w:hAnsi="Arial Narrow" w:eastAsia="仿宋_GB2312" w:cs="Arial"/>
          <w:b/>
          <w:bCs/>
          <w:i/>
          <w:color w:val="002060"/>
          <w:sz w:val="22"/>
          <w:szCs w:val="22"/>
        </w:rPr>
      </w:r>
      <w:r>
        <w:rPr>
          <w:rFonts w:ascii="Arial Narrow" w:hAnsi="Arial Narrow" w:eastAsia="仿宋_GB2312" w:cs="Arial"/>
          <w:b/>
          <w:bCs/>
          <w:i/>
          <w:color w:val="002060"/>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该公司生产、销售和出口各种品牌的化妆品配方和个人护理产品。公司主要从事香水、古龙水、沐浴露、面霜和其他相关化妆品的生产和销售。</w:t>
      </w:r>
      <w:r>
        <w:rPr>
          <w:rFonts w:ascii="Arial Narrow" w:hAnsi="Arial Narrow" w:eastAsia="仿宋_GB2312" w:cs="Arial"/>
          <w:sz w:val="22"/>
          <w:szCs w:val="22"/>
        </w:rPr>
      </w:r>
    </w:p>
    <w:p>
      <w:pPr>
        <w:pBdr/>
        <w:spacing w:line="360" w:lineRule="auto"/>
        <w:ind/>
        <w:jc w:val="both"/>
        <w:rPr>
          <w:rFonts w:ascii="Arial Narrow" w:hAnsi="Arial Narrow" w:eastAsia="仿宋_GB2312" w:cs="Arial"/>
          <w:b/>
          <w:bCs/>
          <w:i/>
          <w:color w:val="009cde"/>
          <w:sz w:val="22"/>
          <w:szCs w:val="22"/>
        </w:rPr>
      </w:pPr>
      <w:r>
        <w:rPr>
          <w:rFonts w:ascii="Arial Narrow" w:hAnsi="Arial Narrow" w:eastAsia="仿宋_GB2312" w:cs="Arial"/>
          <w:b/>
          <w:bCs/>
          <w:i/>
          <w:color w:val="002060"/>
          <w:sz w:val="22"/>
          <w:szCs w:val="22"/>
        </w:rPr>
        <w:t xml:space="preserve">NIPPON SHIKIZAI INC（日本）</w:t>
      </w:r>
      <w:r>
        <w:rPr>
          <w:rFonts w:ascii="Arial Narrow" w:hAnsi="Arial Narrow" w:eastAsia="仿宋_GB2312" w:cs="Arial"/>
          <w:b/>
          <w:bCs/>
          <w:i/>
          <w:color w:val="002060"/>
          <w:sz w:val="22"/>
          <w:szCs w:val="22"/>
        </w:rPr>
      </w:r>
      <w:r>
        <w:rPr>
          <w:rFonts w:ascii="Arial Narrow" w:hAnsi="Arial Narrow" w:eastAsia="仿宋_GB2312" w:cs="Arial"/>
          <w:b/>
          <w:bCs/>
          <w:i/>
          <w:color w:val="009cde"/>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该公司主要从事化妆品、基础化妆品、准药物的研发和生产。公司的化妆品种类包括粉底、眼影、胭脂、口红、唇膏、保湿剂和防晒乳液，药妆包括益康唑、药用牙膏、漱口水、洗耳水和女性卫生用品。公司的主要客户是化妆品和制药行业，其生产工厂位于日本和法国。</w:t>
      </w:r>
      <w:r>
        <w:rPr>
          <w:rFonts w:ascii="Arial Narrow" w:hAnsi="Arial Narrow" w:eastAsia="仿宋_GB2312" w:cs="Arial"/>
          <w:sz w:val="22"/>
          <w:szCs w:val="22"/>
        </w:rPr>
      </w:r>
      <w:r>
        <w:rPr>
          <w:rFonts w:ascii="Arial Narrow" w:hAnsi="Arial Narrow" w:eastAsia="仿宋_GB2312" w:cs="Arial"/>
          <w:sz w:val="22"/>
          <w:szCs w:val="22"/>
        </w:rPr>
      </w:r>
    </w:p>
    <w:p>
      <w:pPr>
        <w:pBdr/>
        <w:spacing w:after="180" w:before="180" w:line="360" w:lineRule="auto"/>
        <w:ind/>
        <w:jc w:val="both"/>
        <w:rPr>
          <w:rFonts w:ascii="Arial Narrow" w:hAnsi="Arial Narrow" w:eastAsia="仿宋_GB2312" w:cs="Arial"/>
          <w:b/>
          <w:bCs/>
          <w:i/>
          <w:color w:val="009cde"/>
          <w:sz w:val="22"/>
          <w:szCs w:val="22"/>
        </w:rPr>
      </w:pPr>
      <w:r>
        <w:rPr>
          <w:rFonts w:ascii="Arial Narrow" w:hAnsi="Arial Narrow" w:eastAsia="仿宋_GB2312" w:cs="Arial"/>
          <w:b/>
          <w:bCs/>
          <w:i/>
          <w:color w:val="002060"/>
          <w:sz w:val="22"/>
          <w:szCs w:val="22"/>
        </w:rPr>
        <w:t xml:space="preserve">COREANA COSMETICS CO.,LTD.（韩国）</w:t>
      </w:r>
      <w:r>
        <w:rPr>
          <w:rFonts w:ascii="Arial Narrow" w:hAnsi="Arial Narrow" w:eastAsia="仿宋_GB2312" w:cs="Arial"/>
          <w:b/>
          <w:bCs/>
          <w:i/>
          <w:color w:val="002060"/>
          <w:sz w:val="22"/>
          <w:szCs w:val="22"/>
        </w:rPr>
      </w:r>
      <w:r>
        <w:rPr>
          <w:rFonts w:ascii="Arial Narrow" w:hAnsi="Arial Narrow" w:eastAsia="仿宋_GB2312" w:cs="Arial"/>
          <w:b/>
          <w:bCs/>
          <w:i/>
          <w:color w:val="009cde"/>
          <w:sz w:val="22"/>
          <w:szCs w:val="22"/>
        </w:rPr>
      </w:r>
    </w:p>
    <w:p>
      <w:pPr>
        <w:pBdr/>
        <w:spacing w:after="180" w:before="180" w:line="360" w:lineRule="auto"/>
        <w:ind w:firstLine="440"/>
        <w:jc w:val="both"/>
        <w:rPr>
          <w:rFonts w:ascii="Arial Narrow" w:hAnsi="Arial Narrow" w:eastAsia="仿宋_GB2312" w:cs="Arial"/>
          <w:b/>
          <w:i/>
          <w:color w:val="009cde"/>
          <w:sz w:val="22"/>
        </w:rPr>
      </w:pPr>
      <w:r>
        <w:rPr>
          <w:rFonts w:ascii="Arial Narrow" w:hAnsi="Arial Narrow" w:eastAsia="仿宋_GB2312" w:cs="Arial"/>
          <w:sz w:val="22"/>
          <w:szCs w:val="22"/>
        </w:rPr>
        <w:t xml:space="preserve">该公司是一家在韩国和国际上从事化妆品和美容产</w:t>
      </w:r>
      <w:r>
        <w:rPr>
          <w:rFonts w:ascii="Arial Narrow" w:hAnsi="Arial Narrow" w:eastAsia="仿宋_GB2312" w:cs="Arial"/>
          <w:sz w:val="22"/>
          <w:szCs w:val="22"/>
        </w:rPr>
        <w:t xml:space="preserve">品制造和销售的公司。公司主要产品分为三大类：护肤品、化妆品和身体及香水产品。护肤品包括洗面奶、面膜、润肤水、精华液、眼霜、保湿霜和面霜。彩妆产品包括粉底、粉底、粉底粉、腮红、眉笔、眼影、眼线、睫毛膏等。身体及香水产品包括洗发水、护发素、喷雾、身体清洁剂、肥皂、抗皱霜、美白霜、防晒霜和其他相关产品。这些产品以以下品牌销售：Bio Defense、Coreana、Entia、Nokdu、Remit、Senite、Develop和Zebec。产品远销国内外，包括中国、中国台湾、蒙古、澳大利亚、越南、新加坡和美国。</w:t>
      </w:r>
      <w:r>
        <w:rPr>
          <w:rFonts w:ascii="Arial Narrow" w:hAnsi="Arial Narrow" w:eastAsia="仿宋_GB2312" w:cs="Arial"/>
          <w:sz w:val="22"/>
          <w:szCs w:val="22"/>
        </w:rPr>
      </w:r>
      <w:r>
        <w:rPr>
          <w:rFonts w:ascii="Arial Narrow" w:hAnsi="Arial Narrow" w:eastAsia="仿宋_GB2312" w:cs="Arial"/>
          <w:b/>
          <w:i/>
          <w:color w:val="009cde"/>
          <w:sz w:val="22"/>
        </w:rPr>
      </w:r>
    </w:p>
    <w:p>
      <w:pPr>
        <w:pBdr/>
        <w:spacing w:line="360" w:lineRule="auto"/>
        <w:ind/>
        <w:jc w:val="both"/>
        <w:rPr>
          <w:rFonts w:ascii="Arial Narrow" w:hAnsi="Arial Narrow" w:eastAsia="仿宋_GB2312" w:cs="Arial"/>
          <w:b/>
          <w:bCs/>
          <w:i/>
          <w:color w:val="009cde"/>
          <w:sz w:val="22"/>
          <w:szCs w:val="22"/>
        </w:rPr>
      </w:pPr>
      <w:r>
        <w:rPr>
          <w:rFonts w:ascii="Arial Narrow" w:hAnsi="Arial Narrow" w:eastAsia="仿宋_GB2312" w:cs="Arial"/>
          <w:b/>
          <w:bCs/>
          <w:i/>
          <w:color w:val="002060"/>
          <w:sz w:val="22"/>
          <w:szCs w:val="22"/>
        </w:rPr>
        <w:t xml:space="preserve">HANKOOK COSMETICS MANUFACTURING CO., LTD.（韩国）</w:t>
      </w:r>
      <w:r>
        <w:rPr>
          <w:rFonts w:ascii="Arial Narrow" w:hAnsi="Arial Narrow" w:eastAsia="仿宋_GB2312" w:cs="Arial"/>
          <w:b/>
          <w:bCs/>
          <w:i/>
          <w:color w:val="002060"/>
          <w:sz w:val="22"/>
          <w:szCs w:val="22"/>
        </w:rPr>
      </w:r>
      <w:r>
        <w:rPr>
          <w:rFonts w:ascii="Arial Narrow" w:hAnsi="Arial Narrow" w:eastAsia="仿宋_GB2312" w:cs="Arial"/>
          <w:b/>
          <w:bCs/>
          <w:i/>
          <w:color w:val="009cde"/>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t xml:space="preserve">该公司主要从事香水、化妆品和其他卫生间制剂的制造。该公司为皮肤提供基础、清洁、美白和化妆产品，以及沐浴露和香水。公司销售的产品有A3F、caLLI、TENTURE、OSSION、SANSIM、CONTINUE HM、IDEM、GALENIC、ANNICK GOUTAL、XIAN、BEUTRI、CHESS The经典等品牌。其化妆品出口到美国、中国和日本。</w:t>
      </w:r>
      <w:r>
        <w:rPr>
          <w:rFonts w:ascii="Arial Narrow" w:hAnsi="Arial Narrow" w:eastAsia="仿宋_GB2312" w:cs="Arial"/>
          <w:sz w:val="22"/>
          <w:szCs w:val="22"/>
        </w:rPr>
      </w:r>
      <w:r>
        <w:rPr>
          <w:rFonts w:ascii="Arial Narrow" w:hAnsi="Arial Narrow" w:eastAsia="仿宋_GB2312" w:cs="Arial"/>
          <w:sz w:val="22"/>
          <w:szCs w:val="22"/>
        </w:rPr>
      </w:r>
    </w:p>
    <w:p>
      <w:pPr>
        <w:pBdr/>
        <w:spacing w:line="360" w:lineRule="auto"/>
        <w:ind/>
        <w:rPr>
          <w:rFonts w:ascii="Arial Narrow" w:hAnsi="Arial Narrow" w:eastAsia="仿宋_GB2312" w:cs="Arial"/>
          <w:b/>
          <w:bCs/>
          <w:i/>
          <w:color w:val="009cde"/>
          <w:sz w:val="22"/>
          <w:szCs w:val="22"/>
        </w:rPr>
      </w:pPr>
      <w:r>
        <w:rPr>
          <w:rFonts w:ascii="Arial Narrow" w:hAnsi="Arial Narrow" w:eastAsia="仿宋_GB2312" w:cs="Arial"/>
          <w:b/>
          <w:bCs/>
          <w:i/>
          <w:color w:val="002060"/>
          <w:sz w:val="22"/>
          <w:szCs w:val="22"/>
        </w:rPr>
        <w:t xml:space="preserve">MAYWUFA COMPANY LTD.（中国台湾）</w:t>
      </w:r>
      <w:r>
        <w:rPr>
          <w:rFonts w:ascii="Arial Narrow" w:hAnsi="Arial Narrow" w:eastAsia="仿宋_GB2312" w:cs="Arial"/>
          <w:b/>
          <w:bCs/>
          <w:i/>
          <w:color w:val="002060"/>
          <w:sz w:val="22"/>
          <w:szCs w:val="22"/>
        </w:rPr>
      </w:r>
      <w:r>
        <w:rPr>
          <w:rFonts w:ascii="Arial Narrow" w:hAnsi="Arial Narrow" w:eastAsia="仿宋_GB2312" w:cs="Arial"/>
          <w:b/>
          <w:bCs/>
          <w:i/>
          <w:color w:val="009cde"/>
          <w:sz w:val="22"/>
          <w:szCs w:val="22"/>
        </w:rPr>
      </w:r>
    </w:p>
    <w:p>
      <w:pPr>
        <w:pBdr/>
        <w:spacing w:after="180" w:before="180" w:line="360" w:lineRule="auto"/>
        <w:ind w:firstLine="440"/>
        <w:rPr>
          <w:rFonts w:ascii="Arial Narrow" w:hAnsi="Arial Narrow" w:eastAsia="仿宋_GB2312" w:cs="Arial"/>
          <w:sz w:val="22"/>
          <w:szCs w:val="22"/>
        </w:rPr>
      </w:pPr>
      <w:r>
        <w:rPr>
          <w:rFonts w:hint="eastAsia" w:ascii="Arial Narrow" w:hAnsi="Arial Narrow" w:eastAsia="仿宋_GB2312" w:cs="Arial"/>
          <w:sz w:val="22"/>
          <w:szCs w:val="22"/>
        </w:rPr>
        <w:t xml:space="preserve">该公司从事各种医药、美发、美容产品及其他药店产品的研发、生产和分销。该公司的产品包括药品、医疗设备、营养保健食品、洗发水、沐浴乳、染发产品、香皂、定型产品和护发产品等。除产品外，该公司还提供化妆品（着色霜、热油、洗发水、沐浴露和强力防晒乳液）、健康用品、运动器材和相关设备、维生素丸、口服营养液、医疗产品、矿物质食品、婴儿用品。</w:t>
      </w:r>
      <w:r>
        <w:rPr>
          <w:rFonts w:ascii="Arial Narrow" w:hAnsi="Arial Narrow" w:eastAsia="仿宋_GB2312" w:cs="Arial"/>
          <w:sz w:val="22"/>
          <w:szCs w:val="22"/>
        </w:rPr>
      </w:r>
    </w:p>
    <w:p>
      <w:pPr>
        <w:pBdr/>
        <w:spacing w:line="360" w:lineRule="auto"/>
        <w:ind/>
        <w:rPr>
          <w:rFonts w:ascii="Arial Narrow" w:hAnsi="Arial Narrow" w:eastAsia="仿宋_GB2312" w:cs="Arial"/>
          <w:b/>
          <w:bCs/>
          <w:i/>
          <w:color w:val="009cde"/>
          <w:sz w:val="22"/>
          <w:szCs w:val="22"/>
        </w:rPr>
      </w:pPr>
      <w:r>
        <w:rPr>
          <w:rFonts w:ascii="Arial Narrow" w:hAnsi="Arial Narrow" w:eastAsia="仿宋_GB2312" w:cs="Arial"/>
          <w:b/>
          <w:bCs/>
          <w:i/>
          <w:color w:val="009cde"/>
          <w:sz w:val="22"/>
          <w:szCs w:val="22"/>
        </w:rPr>
      </w:r>
      <w:r>
        <w:rPr>
          <w:rFonts w:ascii="Arial Narrow" w:hAnsi="Arial Narrow" w:eastAsia="仿宋_GB2312" w:cs="Arial"/>
          <w:b/>
          <w:bCs/>
          <w:i/>
          <w:color w:val="009cde"/>
          <w:sz w:val="22"/>
          <w:szCs w:val="22"/>
        </w:rPr>
      </w:r>
    </w:p>
    <w:p>
      <w:pPr>
        <w:pBdr/>
        <w:spacing w:line="360" w:lineRule="auto"/>
        <w:ind/>
        <w:rPr>
          <w:rFonts w:ascii="Arial Narrow" w:hAnsi="Arial Narrow" w:eastAsia="仿宋_GB2312" w:cs="Arial"/>
          <w:b/>
          <w:bCs/>
          <w:i/>
          <w:color w:val="009cde"/>
          <w:sz w:val="22"/>
          <w:szCs w:val="22"/>
        </w:rPr>
      </w:pPr>
      <w:r>
        <w:rPr>
          <w:rFonts w:ascii="Arial Narrow" w:hAnsi="Arial Narrow" w:eastAsia="仿宋_GB2312" w:cs="Arial"/>
          <w:b/>
          <w:bCs/>
          <w:i/>
          <w:color w:val="009cde"/>
          <w:sz w:val="22"/>
          <w:szCs w:val="22"/>
        </w:rPr>
      </w:r>
      <w:r>
        <w:rPr>
          <w:rFonts w:ascii="Arial Narrow" w:hAnsi="Arial Narrow" w:eastAsia="仿宋_GB2312" w:cs="Arial"/>
          <w:b/>
          <w:bCs/>
          <w:i/>
          <w:color w:val="009cde"/>
          <w:sz w:val="22"/>
          <w:szCs w:val="22"/>
        </w:rPr>
      </w:r>
    </w:p>
    <w:p>
      <w:pPr>
        <w:pBdr/>
        <w:spacing w:line="360" w:lineRule="auto"/>
        <w:ind/>
        <w:rPr>
          <w:rFonts w:ascii="Arial Narrow" w:hAnsi="Arial Narrow" w:eastAsia="仿宋_GB2312" w:cs="Arial"/>
          <w:b/>
          <w:bCs/>
          <w:i/>
          <w:color w:val="009cde"/>
          <w:sz w:val="22"/>
          <w:szCs w:val="22"/>
        </w:rPr>
      </w:pPr>
      <w:r>
        <w:rPr>
          <w:rFonts w:ascii="Arial Narrow" w:hAnsi="Arial Narrow" w:eastAsia="仿宋_GB2312" w:cs="Arial"/>
          <w:b/>
          <w:bCs/>
          <w:i/>
          <w:color w:val="002060"/>
          <w:sz w:val="22"/>
          <w:szCs w:val="22"/>
        </w:rPr>
        <w:t xml:space="preserve">COSMAX BTI INC.（韩国）</w:t>
      </w:r>
      <w:r>
        <w:rPr>
          <w:rFonts w:ascii="Arial Narrow" w:hAnsi="Arial Narrow" w:eastAsia="仿宋_GB2312" w:cs="Arial"/>
          <w:b/>
          <w:bCs/>
          <w:i/>
          <w:color w:val="002060"/>
          <w:sz w:val="22"/>
          <w:szCs w:val="22"/>
        </w:rPr>
      </w:r>
      <w:r>
        <w:rPr>
          <w:rFonts w:ascii="Arial Narrow" w:hAnsi="Arial Narrow" w:eastAsia="仿宋_GB2312" w:cs="Arial"/>
          <w:b/>
          <w:bCs/>
          <w:i/>
          <w:color w:val="009cde"/>
          <w:sz w:val="22"/>
          <w:szCs w:val="22"/>
        </w:rPr>
      </w:r>
    </w:p>
    <w:p>
      <w:pPr>
        <w:pBdr/>
        <w:spacing w:after="180" w:before="180" w:line="360" w:lineRule="auto"/>
        <w:ind w:firstLine="440"/>
        <w:rPr>
          <w:rFonts w:ascii="Arial Narrow" w:hAnsi="Arial Narrow" w:eastAsia="仿宋_GB2312" w:cs="Arial"/>
          <w:sz w:val="22"/>
          <w:szCs w:val="22"/>
        </w:rPr>
      </w:pPr>
      <w:r>
        <w:rPr>
          <w:rFonts w:hint="eastAsia" w:ascii="Arial Narrow" w:hAnsi="Arial Narrow" w:eastAsia="仿宋_GB2312" w:cs="Arial"/>
          <w:sz w:val="22"/>
          <w:szCs w:val="22"/>
        </w:rPr>
        <w:t xml:space="preserve">该公司生产的产品包括了护肤品(乳液，乳液，面霜和面膜)，化妆品(粉底，遮瑕膏，粉底，眼影和口红)，护发产品(发蜡，发胶，发型和剃须泡沫)，以及特殊功能产品(防晒，美白和抗皱)。其客户包括了爱茉莉太平洋公司、TheFaceShop、Forever 21、强生、考斯威、欧莱雅和美宝莲。该公司还与意大利的Intercos、日本的ITC和法国的CLC国际化妆品公司建立了合作伙伴关系。</w:t>
      </w:r>
      <w:r>
        <w:rPr>
          <w:rFonts w:hint="eastAsia" w:ascii="Arial Narrow" w:hAnsi="Arial Narrow" w:eastAsia="仿宋_GB2312" w:cs="Arial"/>
          <w:sz w:val="22"/>
          <w:szCs w:val="22"/>
        </w:rPr>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pPr>
      <w:r>
        <w:rPr>
          <w:rFonts w:ascii="Arial Narrow" w:hAnsi="Arial Narrow" w:eastAsia="仿宋_GB2312" w:cs="Arial"/>
          <w:sz w:val="22"/>
          <w:szCs w:val="22"/>
        </w:rPr>
      </w:r>
      <w:r>
        <w:rPr>
          <w:rFonts w:ascii="Arial Narrow" w:hAnsi="Arial Narrow" w:eastAsia="仿宋_GB2312" w:cs="Arial"/>
          <w:sz w:val="22"/>
          <w:szCs w:val="22"/>
        </w:rPr>
      </w:r>
    </w:p>
    <w:p>
      <w:pPr>
        <w:pBdr/>
        <w:spacing w:after="180" w:before="180" w:line="360" w:lineRule="auto"/>
        <w:ind w:firstLine="440"/>
        <w:jc w:val="both"/>
        <w:rPr>
          <w:rFonts w:ascii="Arial Narrow" w:hAnsi="Arial Narrow" w:eastAsia="仿宋_GB2312" w:cs="Arial"/>
          <w:sz w:val="22"/>
          <w:szCs w:val="22"/>
        </w:rPr>
        <w:sectPr>
          <w:footnotePr/>
          <w:endnotePr/>
          <w:type w:val="nextPage"/>
          <w:pgSz w:h="16839" w:orient="portrait" w:w="11907"/>
          <w:pgMar w:top="1440" w:right="1800" w:bottom="1440" w:left="1800" w:header="850" w:footer="992" w:gutter="0"/>
          <w:cols w:num="1" w:sep="0" w:space="720" w:equalWidth="1"/>
        </w:sectPr>
      </w:pPr>
      <w:r>
        <w:rPr>
          <w:rFonts w:ascii="Arial Narrow" w:hAnsi="Arial Narrow" w:eastAsia="仿宋_GB2312" w:cs="Arial"/>
          <w:sz w:val="22"/>
          <w:szCs w:val="22"/>
        </w:rPr>
      </w:r>
      <w:r>
        <w:rPr>
          <w:rFonts w:ascii="Arial Narrow" w:hAnsi="Arial Narrow" w:eastAsia="仿宋_GB2312" w:cs="Arial"/>
          <w:sz w:val="22"/>
          <w:szCs w:val="22"/>
        </w:rPr>
      </w:r>
    </w:p>
    <w:p>
      <w:pPr>
        <w:pStyle w:val="1529"/>
        <w:pBdr/>
        <w:spacing/>
        <w:ind/>
        <w:rPr/>
      </w:pPr>
      <w:r/>
      <w:bookmarkStart w:id="1157" w:name="_Toc50477152"/>
      <w:r/>
      <w:bookmarkStart w:id="1158" w:name="_Toc140505180"/>
      <w:r/>
      <w:bookmarkStart w:id="1159" w:name="_Toc53229115"/>
      <w:r/>
      <w:bookmarkStart w:id="1160" w:name="_Hlk417985670"/>
      <w:r/>
      <w:bookmarkStart w:id="1161" w:name="_Hlk418599089"/>
      <w:r/>
      <w:bookmarkStart w:id="1162" w:name="_Toc522015265"/>
      <w:r/>
      <w:bookmarkStart w:id="1163" w:name="_Hlk418937229"/>
      <w:r>
        <w:t xml:space="preserve">附件4被选可比公司完全成本加成率的计算</w:t>
      </w:r>
      <w:bookmarkEnd w:id="1157"/>
      <w:r/>
      <w:bookmarkEnd w:id="1158"/>
      <w:r/>
      <w:bookmarkEnd w:id="1159"/>
      <w:r/>
      <w:r/>
    </w:p>
    <w:p>
      <w:pPr>
        <w:pBdr/>
        <w:spacing/>
        <w:ind/>
        <w:rPr>
          <w:rFonts w:ascii="Arial Narrow" w:hAnsi="Arial Narrow" w:eastAsia="仿宋_GB2312" w:cs="Arial"/>
          <w:b/>
          <w:bCs/>
          <w:i/>
          <w:color w:val="002060"/>
          <w:sz w:val="22"/>
          <w:szCs w:val="22"/>
        </w:rPr>
      </w:pPr>
      <w:r>
        <w:rPr>
          <w:rFonts w:hint="eastAsia" w:ascii="Arial Narrow" w:hAnsi="Arial Narrow" w:eastAsia="仿宋_GB2312" w:cs="Arial"/>
          <w:b/>
          <w:bCs/>
          <w:i/>
          <w:color w:val="002060"/>
          <w:sz w:val="22"/>
          <w:szCs w:val="22"/>
        </w:rPr>
        <w:t xml:space="preserve">可比公司2020-2022年度加权平均财务数据完全成本加成率计算表</w:t>
      </w:r>
      <w:r>
        <w:rPr>
          <w:rFonts w:hint="eastAsia" w:ascii="Arial Narrow" w:hAnsi="Arial Narrow" w:eastAsia="仿宋_GB2312" w:cs="Arial"/>
          <w:b/>
          <w:bCs/>
          <w:i/>
          <w:color w:val="002060"/>
          <w:sz w:val="22"/>
          <w:szCs w:val="22"/>
        </w:rPr>
      </w:r>
      <w:r>
        <w:rPr>
          <w:rFonts w:ascii="Arial Narrow" w:hAnsi="Arial Narrow" w:eastAsia="仿宋_GB2312" w:cs="Arial"/>
          <w:b/>
          <w:bCs/>
          <w:i/>
          <w:color w:val="002060"/>
          <w:sz w:val="22"/>
          <w:szCs w:val="22"/>
        </w:rPr>
      </w:r>
    </w:p>
    <w:tbl>
      <w:tblPr>
        <w:tblW w:w="14340" w:type="dxa"/>
        <w:tblInd w:w="-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660"/>
        <w:gridCol w:w="2434"/>
        <w:gridCol w:w="1076"/>
        <w:gridCol w:w="651"/>
        <w:gridCol w:w="1679"/>
        <w:gridCol w:w="1736"/>
        <w:gridCol w:w="1783"/>
        <w:gridCol w:w="1660"/>
        <w:gridCol w:w="1585"/>
        <w:gridCol w:w="1076"/>
      </w:tblGrid>
      <w:tr>
        <w:trPr>
          <w:trHeight w:val="397"/>
        </w:trPr>
        <w:tc>
          <w:tcPr>
            <w:shd w:val="clear" w:color="auto" w:fill="002060"/>
            <w:tcBorders/>
            <w:tcW w:w="660" w:type="dxa"/>
            <w:vAlign w:val="center"/>
            <w:textDirection w:val="lrTb"/>
            <w:noWrap w:val="false"/>
          </w:tcPr>
          <w:p>
            <w:pPr>
              <w:pBdr/>
              <w:spacing/>
              <w:ind/>
              <w:jc w:val="center"/>
              <w:rPr>
                <w:rFonts w:ascii="Arial Narrow" w:hAnsi="Arial Narrow" w:eastAsia="仿宋_GB2312" w:cs="Arial"/>
                <w:b/>
                <w:bCs/>
                <w:color w:val="ffffff" w:themeColor="background1"/>
              </w:rPr>
            </w:pPr>
            <w:r>
              <w:rPr>
                <w:rFonts w:ascii="Arial Narrow" w:hAnsi="Arial Narrow" w:eastAsia="仿宋_GB2312" w:cs="Arial"/>
                <w:b/>
                <w:bCs/>
                <w:color w:val="ffffff" w:themeColor="background1"/>
              </w:rPr>
              <w:t xml:space="preserve">序号</w:t>
            </w:r>
            <w:r>
              <w:rPr>
                <w:rFonts w:ascii="Arial Narrow" w:hAnsi="Arial Narrow" w:eastAsia="仿宋_GB2312" w:cs="Arial"/>
                <w:b/>
                <w:bCs/>
                <w:color w:val="ffffff" w:themeColor="background1"/>
              </w:rPr>
            </w:r>
          </w:p>
        </w:tc>
        <w:tc>
          <w:tcPr>
            <w:shd w:val="clear" w:color="auto" w:fill="002060"/>
            <w:tcBorders/>
            <w:tcW w:w="2434" w:type="dxa"/>
            <w:vAlign w:val="center"/>
            <w:textDirection w:val="lrTb"/>
            <w:noWrap w:val="false"/>
          </w:tcPr>
          <w:p>
            <w:pPr>
              <w:pBdr/>
              <w:spacing/>
              <w:ind/>
              <w:jc w:val="center"/>
              <w:rPr>
                <w:rFonts w:ascii="Arial Narrow" w:hAnsi="Arial Narrow" w:eastAsia="仿宋_GB2312" w:cs="Arial"/>
                <w:b/>
                <w:bCs/>
                <w:color w:val="ffffff" w:themeColor="background1"/>
              </w:rPr>
            </w:pPr>
            <w:r>
              <w:rPr>
                <w:rFonts w:ascii="Arial Narrow" w:hAnsi="Arial Narrow" w:eastAsia="仿宋_GB2312" w:cs="Arial"/>
                <w:b/>
                <w:bCs/>
                <w:color w:val="ffffff" w:themeColor="background1"/>
              </w:rPr>
              <w:t xml:space="preserve">名称</w:t>
            </w:r>
            <w:r>
              <w:rPr>
                <w:rFonts w:ascii="Arial Narrow" w:hAnsi="Arial Narrow" w:eastAsia="仿宋_GB2312" w:cs="Arial"/>
                <w:b/>
                <w:bCs/>
                <w:color w:val="ffffff" w:themeColor="background1"/>
              </w:rPr>
            </w:r>
          </w:p>
        </w:tc>
        <w:tc>
          <w:tcPr>
            <w:shd w:val="clear" w:color="auto" w:fill="002060"/>
            <w:tcBorders/>
            <w:tcW w:w="1076" w:type="dxa"/>
            <w:vAlign w:val="center"/>
            <w:textDirection w:val="lrTb"/>
            <w:noWrap w:val="false"/>
          </w:tcPr>
          <w:p>
            <w:pPr>
              <w:pBdr/>
              <w:spacing/>
              <w:ind/>
              <w:jc w:val="center"/>
              <w:rPr>
                <w:rFonts w:ascii="Arial Narrow" w:hAnsi="Arial Narrow" w:eastAsia="仿宋_GB2312" w:cs="Arial"/>
                <w:b/>
                <w:bCs/>
                <w:color w:val="ffffff" w:themeColor="background1"/>
              </w:rPr>
            </w:pPr>
            <w:r>
              <w:rPr>
                <w:rFonts w:ascii="Arial Narrow" w:hAnsi="Arial Narrow" w:eastAsia="仿宋_GB2312" w:cs="Arial"/>
                <w:b/>
                <w:bCs/>
                <w:color w:val="ffffff" w:themeColor="background1"/>
              </w:rPr>
              <w:t xml:space="preserve">所属地</w:t>
            </w:r>
            <w:r>
              <w:rPr>
                <w:rFonts w:ascii="Arial Narrow" w:hAnsi="Arial Narrow" w:eastAsia="仿宋_GB2312" w:cs="Arial"/>
                <w:b/>
                <w:bCs/>
                <w:color w:val="ffffff" w:themeColor="background1"/>
              </w:rPr>
            </w:r>
          </w:p>
        </w:tc>
        <w:tc>
          <w:tcPr>
            <w:shd w:val="clear" w:color="auto" w:fill="002060"/>
            <w:tcBorders/>
            <w:tcW w:w="651" w:type="dxa"/>
            <w:vAlign w:val="center"/>
            <w:textDirection w:val="lrTb"/>
            <w:noWrap w:val="false"/>
          </w:tcPr>
          <w:p>
            <w:pPr>
              <w:pBdr/>
              <w:spacing/>
              <w:ind/>
              <w:jc w:val="center"/>
              <w:rPr>
                <w:rFonts w:ascii="Arial Narrow" w:hAnsi="Arial Narrow" w:eastAsia="仿宋_GB2312" w:cs="Arial"/>
                <w:b/>
                <w:bCs/>
                <w:color w:val="ffffff" w:themeColor="background1"/>
              </w:rPr>
            </w:pPr>
            <w:r>
              <w:rPr>
                <w:rFonts w:ascii="Arial Narrow" w:hAnsi="Arial Narrow" w:eastAsia="仿宋_GB2312" w:cs="Arial"/>
                <w:b/>
                <w:bCs/>
                <w:color w:val="ffffff" w:themeColor="background1"/>
              </w:rPr>
              <w:t xml:space="preserve">SIC代码</w:t>
            </w:r>
            <w:r>
              <w:rPr>
                <w:rFonts w:ascii="Arial Narrow" w:hAnsi="Arial Narrow" w:eastAsia="仿宋_GB2312" w:cs="Arial"/>
                <w:b/>
                <w:bCs/>
                <w:color w:val="ffffff" w:themeColor="background1"/>
              </w:rPr>
            </w:r>
            <w:r>
              <w:rPr>
                <w:rFonts w:ascii="Arial Narrow" w:hAnsi="Arial Narrow" w:eastAsia="仿宋_GB2312" w:cs="Arial"/>
                <w:b/>
                <w:bCs/>
                <w:color w:val="ffffff" w:themeColor="background1"/>
              </w:rPr>
            </w:r>
          </w:p>
        </w:tc>
        <w:tc>
          <w:tcPr>
            <w:shd w:val="clear" w:color="auto" w:fill="002060"/>
            <w:tcBorders/>
            <w:tcW w:w="1679" w:type="dxa"/>
            <w:vAlign w:val="center"/>
            <w:textDirection w:val="lrTb"/>
            <w:noWrap w:val="false"/>
          </w:tcPr>
          <w:p>
            <w:pPr>
              <w:pBdr/>
              <w:spacing/>
              <w:ind/>
              <w:jc w:val="center"/>
              <w:rPr>
                <w:rFonts w:ascii="Arial Narrow" w:hAnsi="Arial Narrow" w:eastAsia="仿宋_GB2312" w:cs="Arial"/>
                <w:b/>
                <w:bCs/>
                <w:color w:val="ffffff" w:themeColor="background1"/>
              </w:rPr>
            </w:pPr>
            <w:r>
              <w:rPr>
                <w:rFonts w:ascii="Arial Narrow" w:hAnsi="Arial Narrow" w:eastAsia="仿宋_GB2312" w:cs="Arial"/>
                <w:b/>
                <w:bCs/>
                <w:color w:val="ffffff" w:themeColor="background1"/>
              </w:rPr>
              <w:t xml:space="preserve">销售收入</w:t>
            </w:r>
            <w:r>
              <w:rPr>
                <w:rFonts w:ascii="Arial Narrow" w:hAnsi="Arial Narrow" w:eastAsia="仿宋_GB2312" w:cs="Arial"/>
                <w:b/>
                <w:bCs/>
                <w:color w:val="ffffff" w:themeColor="background1"/>
              </w:rPr>
            </w:r>
          </w:p>
        </w:tc>
        <w:tc>
          <w:tcPr>
            <w:shd w:val="clear" w:color="auto" w:fill="002060"/>
            <w:tcBorders/>
            <w:tcW w:w="1736" w:type="dxa"/>
            <w:vAlign w:val="center"/>
            <w:textDirection w:val="lrTb"/>
            <w:noWrap w:val="false"/>
          </w:tcPr>
          <w:p>
            <w:pPr>
              <w:pBdr/>
              <w:spacing/>
              <w:ind/>
              <w:jc w:val="center"/>
              <w:rPr>
                <w:rFonts w:ascii="Arial Narrow" w:hAnsi="Arial Narrow" w:eastAsia="仿宋_GB2312" w:cs="Arial"/>
                <w:b/>
                <w:bCs/>
                <w:color w:val="ffffff" w:themeColor="background1"/>
              </w:rPr>
            </w:pPr>
            <w:r>
              <w:rPr>
                <w:rFonts w:ascii="Arial Narrow" w:hAnsi="Arial Narrow" w:eastAsia="仿宋_GB2312" w:cs="Arial"/>
                <w:b/>
                <w:bCs/>
                <w:color w:val="ffffff" w:themeColor="background1"/>
              </w:rPr>
              <w:t xml:space="preserve">销售成本</w:t>
            </w:r>
            <w:r>
              <w:rPr>
                <w:rFonts w:ascii="Arial Narrow" w:hAnsi="Arial Narrow" w:eastAsia="仿宋_GB2312" w:cs="Arial"/>
                <w:b/>
                <w:bCs/>
                <w:color w:val="ffffff" w:themeColor="background1"/>
              </w:rPr>
            </w:r>
          </w:p>
        </w:tc>
        <w:tc>
          <w:tcPr>
            <w:shd w:val="clear" w:color="auto" w:fill="002060"/>
            <w:tcBorders/>
            <w:tcW w:w="1783" w:type="dxa"/>
            <w:vAlign w:val="center"/>
            <w:textDirection w:val="lrTb"/>
            <w:noWrap w:val="false"/>
          </w:tcPr>
          <w:p>
            <w:pPr>
              <w:pBdr/>
              <w:spacing/>
              <w:ind/>
              <w:jc w:val="center"/>
              <w:rPr>
                <w:rFonts w:ascii="Arial Narrow" w:hAnsi="Arial Narrow" w:eastAsia="仿宋_GB2312" w:cs="Arial"/>
                <w:b/>
                <w:bCs/>
                <w:color w:val="ffffff" w:themeColor="background1"/>
              </w:rPr>
            </w:pPr>
            <w:r>
              <w:rPr>
                <w:rFonts w:ascii="Arial Narrow" w:hAnsi="Arial Narrow" w:eastAsia="仿宋_GB2312" w:cs="Arial"/>
                <w:b/>
                <w:bCs/>
                <w:color w:val="ffffff" w:themeColor="background1"/>
              </w:rPr>
              <w:t xml:space="preserve">销售费用和管理费用</w:t>
            </w:r>
            <w:r>
              <w:rPr>
                <w:rFonts w:ascii="Arial Narrow" w:hAnsi="Arial Narrow" w:eastAsia="仿宋_GB2312" w:cs="Arial"/>
                <w:b/>
                <w:bCs/>
                <w:color w:val="ffffff" w:themeColor="background1"/>
              </w:rPr>
            </w:r>
          </w:p>
        </w:tc>
        <w:tc>
          <w:tcPr>
            <w:shd w:val="clear" w:color="auto" w:fill="002060"/>
            <w:tcBorders/>
            <w:tcW w:w="1660" w:type="dxa"/>
            <w:vAlign w:val="center"/>
            <w:textDirection w:val="lrTb"/>
            <w:noWrap w:val="false"/>
          </w:tcPr>
          <w:p>
            <w:pPr>
              <w:pBdr/>
              <w:spacing/>
              <w:ind/>
              <w:jc w:val="center"/>
              <w:rPr>
                <w:rFonts w:ascii="Arial Narrow" w:hAnsi="Arial Narrow" w:eastAsia="仿宋_GB2312" w:cs="Arial"/>
                <w:b/>
                <w:bCs/>
                <w:color w:val="ffffff" w:themeColor="background1"/>
              </w:rPr>
            </w:pPr>
            <w:r>
              <w:rPr>
                <w:rFonts w:ascii="Arial Narrow" w:hAnsi="Arial Narrow" w:eastAsia="仿宋_GB2312" w:cs="Arial"/>
                <w:b/>
                <w:bCs/>
                <w:color w:val="ffffff" w:themeColor="background1"/>
              </w:rPr>
              <w:t xml:space="preserve">折旧和摊销</w:t>
            </w:r>
            <w:r>
              <w:rPr>
                <w:rFonts w:ascii="Arial Narrow" w:hAnsi="Arial Narrow" w:eastAsia="仿宋_GB2312" w:cs="Arial"/>
                <w:b/>
                <w:bCs/>
                <w:color w:val="ffffff" w:themeColor="background1"/>
              </w:rPr>
            </w:r>
          </w:p>
        </w:tc>
        <w:tc>
          <w:tcPr>
            <w:shd w:val="clear" w:color="auto" w:fill="002060"/>
            <w:tcBorders/>
            <w:tcW w:w="1585" w:type="dxa"/>
            <w:vAlign w:val="center"/>
            <w:textDirection w:val="lrTb"/>
            <w:noWrap w:val="false"/>
          </w:tcPr>
          <w:p>
            <w:pPr>
              <w:pBdr/>
              <w:spacing/>
              <w:ind/>
              <w:jc w:val="center"/>
              <w:rPr>
                <w:rFonts w:ascii="Arial Narrow" w:hAnsi="Arial Narrow" w:eastAsia="仿宋_GB2312" w:cs="Arial"/>
                <w:b/>
                <w:bCs/>
                <w:color w:val="ffffff" w:themeColor="background1"/>
              </w:rPr>
            </w:pPr>
            <w:r>
              <w:rPr>
                <w:rFonts w:ascii="Arial Narrow" w:hAnsi="Arial Narrow" w:eastAsia="仿宋_GB2312" w:cs="Arial"/>
                <w:b/>
                <w:bCs/>
                <w:color w:val="ffffff" w:themeColor="background1"/>
              </w:rPr>
              <w:t xml:space="preserve">营业利润</w:t>
            </w:r>
            <w:r>
              <w:rPr>
                <w:rFonts w:ascii="Arial Narrow" w:hAnsi="Arial Narrow" w:eastAsia="仿宋_GB2312" w:cs="Arial"/>
                <w:b/>
                <w:bCs/>
                <w:color w:val="ffffff" w:themeColor="background1"/>
              </w:rPr>
            </w:r>
          </w:p>
        </w:tc>
        <w:tc>
          <w:tcPr>
            <w:shd w:val="clear" w:color="auto" w:fill="002060"/>
            <w:tcBorders/>
            <w:tcW w:w="1076" w:type="dxa"/>
            <w:vAlign w:val="center"/>
            <w:textDirection w:val="lrTb"/>
            <w:noWrap w:val="false"/>
          </w:tcPr>
          <w:p>
            <w:pPr>
              <w:pBdr/>
              <w:spacing/>
              <w:ind/>
              <w:jc w:val="center"/>
              <w:rPr>
                <w:rFonts w:ascii="Arial Narrow" w:hAnsi="Arial Narrow" w:eastAsia="仿宋_GB2312" w:cs="Arial"/>
                <w:b/>
                <w:bCs/>
                <w:color w:val="ffffff" w:themeColor="background1"/>
              </w:rPr>
            </w:pPr>
            <w:r>
              <w:rPr>
                <w:rFonts w:ascii="Arial Narrow" w:hAnsi="Arial Narrow" w:eastAsia="仿宋_GB2312" w:cs="Arial"/>
                <w:b/>
                <w:bCs/>
                <w:color w:val="ffffff" w:themeColor="background1"/>
              </w:rPr>
              <w:t xml:space="preserve">完全成本加成率</w:t>
            </w:r>
            <w:r>
              <w:rPr>
                <w:rFonts w:ascii="Arial Narrow" w:hAnsi="Arial Narrow" w:eastAsia="仿宋_GB2312" w:cs="Arial"/>
                <w:b/>
                <w:bCs/>
                <w:color w:val="ffffff" w:themeColor="background1"/>
              </w:rPr>
            </w:r>
          </w:p>
        </w:tc>
      </w:tr>
      <w:tr>
        <w:trPr>
          <w:trHeight w:val="397"/>
        </w:trPr>
        <w:tc>
          <w:tcPr>
            <w:shd w:val="clear" w:color="000000" w:fill="ffffff"/>
            <w:tcBorders/>
            <w:tcW w:w="660" w:type="dxa"/>
            <w:vAlign w:val="center"/>
            <w:textDirection w:val="lrTb"/>
            <w:noWrap w:val="false"/>
          </w:tcPr>
          <w:p>
            <w:pPr>
              <w:pBdr/>
              <w:spacing/>
              <w:ind/>
              <w:jc w:val="center"/>
              <w:rPr>
                <w:rFonts w:ascii="Arial Narrow" w:hAnsi="Arial Narrow" w:eastAsia="仿宋_GB2312" w:cs="Arial"/>
              </w:rPr>
            </w:pPr>
            <w:r>
              <w:rPr>
                <w:rFonts w:ascii="Arial Narrow" w:hAnsi="Arial Narrow" w:eastAsia="仿宋_GB2312" w:cs="Arial"/>
              </w:rPr>
              <w:t xml:space="preserve">1</w:t>
            </w:r>
            <w:r>
              <w:rPr>
                <w:rFonts w:ascii="Arial Narrow" w:hAnsi="Arial Narrow" w:eastAsia="仿宋_GB2312" w:cs="Arial"/>
              </w:rPr>
            </w:r>
          </w:p>
        </w:tc>
        <w:tc>
          <w:tcPr>
            <w:shd w:val="clear" w:color="000000" w:fill="ffffff"/>
            <w:tcBorders/>
            <w:tcW w:w="2434" w:type="dxa"/>
            <w:vAlign w:val="center"/>
            <w:textDirection w:val="lrTb"/>
            <w:noWrap w:val="false"/>
          </w:tcPr>
          <w:p>
            <w:pPr>
              <w:pBdr/>
              <w:spacing/>
              <w:ind/>
              <w:rPr>
                <w:rFonts w:ascii="Arial Narrow" w:hAnsi="Arial Narrow" w:eastAsia="仿宋_GB2312" w:cs="Arial"/>
              </w:rPr>
            </w:pPr>
            <w:r>
              <w:rPr>
                <w:rFonts w:ascii="Arial Narrow" w:hAnsi="Arial Narrow" w:eastAsia="仿宋_GB2312" w:cs="Arial"/>
              </w:rPr>
              <w:t xml:space="preserve">SHISEIDO COMPANY LIMITED</w:t>
            </w:r>
            <w:r>
              <w:rPr>
                <w:rFonts w:ascii="Arial Narrow" w:hAnsi="Arial Narrow" w:eastAsia="仿宋_GB2312" w:cs="Arial"/>
              </w:rPr>
            </w:r>
          </w:p>
        </w:tc>
        <w:tc>
          <w:tcPr>
            <w:shd w:val="clear" w:color="000000" w:fill="ffffff"/>
            <w:tcBorders/>
            <w:tcW w:w="1076" w:type="dxa"/>
            <w:vAlign w:val="center"/>
            <w:textDirection w:val="lrTb"/>
            <w:noWrap w:val="false"/>
          </w:tcPr>
          <w:p>
            <w:pPr>
              <w:pBdr/>
              <w:spacing/>
              <w:ind/>
              <w:jc w:val="center"/>
              <w:rPr>
                <w:rFonts w:ascii="Arial Narrow" w:hAnsi="Arial Narrow" w:eastAsia="仿宋_GB2312" w:cs="Arial"/>
              </w:rPr>
            </w:pPr>
            <w:r>
              <w:rPr>
                <w:rFonts w:ascii="Arial Narrow" w:hAnsi="Arial Narrow" w:eastAsia="仿宋_GB2312" w:cs="Arial"/>
              </w:rPr>
              <w:t xml:space="preserve">日本</w:t>
            </w:r>
            <w:r>
              <w:rPr>
                <w:rFonts w:ascii="Arial Narrow" w:hAnsi="Arial Narrow" w:eastAsia="仿宋_GB2312" w:cs="Arial"/>
              </w:rPr>
            </w:r>
          </w:p>
        </w:tc>
        <w:tc>
          <w:tcPr>
            <w:shd w:val="clear" w:color="000000" w:fill="ffffff"/>
            <w:tcBorders/>
            <w:tcW w:w="651" w:type="dxa"/>
            <w:vAlign w:val="center"/>
            <w:textDirection w:val="lrTb"/>
            <w:noWrap w:val="false"/>
          </w:tcPr>
          <w:p>
            <w:pPr>
              <w:pBdr/>
              <w:spacing/>
              <w:ind/>
              <w:jc w:val="center"/>
              <w:rPr>
                <w:rFonts w:ascii="Arial Narrow" w:hAnsi="Arial Narrow" w:eastAsia="仿宋_GB2312" w:cs="Arial"/>
              </w:rPr>
            </w:pPr>
            <w:r>
              <w:rPr>
                <w:rFonts w:ascii="Arial Narrow" w:hAnsi="Arial Narrow" w:eastAsia="仿宋_GB2312" w:cs="Arial"/>
              </w:rPr>
              <w:t xml:space="preserve">2844</w:t>
            </w:r>
            <w:r>
              <w:rPr>
                <w:rFonts w:ascii="Arial Narrow" w:hAnsi="Arial Narrow" w:eastAsia="仿宋_GB2312" w:cs="Arial"/>
              </w:rPr>
            </w:r>
          </w:p>
        </w:tc>
        <w:tc>
          <w:tcPr>
            <w:shd w:val="clear" w:color="auto" w:fill="auto"/>
            <w:tcBorders/>
            <w:tcW w:w="1679" w:type="dxa"/>
            <w:vAlign w:val="center"/>
            <w:textDirection w:val="lrTb"/>
            <w:noWrap w:val="false"/>
          </w:tcPr>
          <w:p>
            <w:pPr>
              <w:pBdr/>
              <w:spacing/>
              <w:ind/>
              <w:jc w:val="right"/>
              <w:rPr>
                <w:rFonts w:ascii="Arial Narrow" w:hAnsi="Arial Narrow" w:eastAsia="仿宋_GB2312" w:cs="Arial"/>
              </w:rPr>
            </w:pPr>
            <w:r>
              <w:rPr>
                <w:rFonts w:ascii="Arial Narrow" w:hAnsi="Arial Narrow" w:eastAsia="Arial Narrow" w:cs="Arial Narrow"/>
                <w:color w:val="000000"/>
                <w:lang w:bidi="ar"/>
              </w:rPr>
              <w:t xml:space="preserve">999,403,000,000.00</w:t>
            </w:r>
            <w:r>
              <w:rPr>
                <w:rFonts w:ascii="Arial Narrow" w:hAnsi="Arial Narrow" w:eastAsia="仿宋_GB2312" w:cs="Arial"/>
              </w:rPr>
            </w:r>
          </w:p>
        </w:tc>
        <w:tc>
          <w:tcPr>
            <w:tcBorders/>
            <w:tcW w:w="1736" w:type="dxa"/>
            <w:vAlign w:val="center"/>
            <w:textDirection w:val="lrTb"/>
            <w:noWrap w:val="false"/>
          </w:tcPr>
          <w:p>
            <w:pPr>
              <w:pBdr/>
              <w:spacing/>
              <w:ind/>
              <w:jc w:val="right"/>
              <w:rPr>
                <w:rFonts w:ascii="Arial Narrow" w:hAnsi="Arial Narrow" w:eastAsia="仿宋_GB2312" w:cs="Arial"/>
              </w:rPr>
            </w:pPr>
            <w:r>
              <w:rPr>
                <w:rFonts w:ascii="Arial Narrow" w:hAnsi="Arial Narrow" w:eastAsia="Arial Narrow" w:cs="Arial Narrow"/>
                <w:color w:val="000000"/>
                <w:lang w:bidi="ar"/>
              </w:rPr>
              <w:t xml:space="preserve">-204,725,333,333.33</w:t>
            </w:r>
            <w:r>
              <w:rPr>
                <w:rFonts w:ascii="Arial Narrow" w:hAnsi="Arial Narrow" w:eastAsia="仿宋_GB2312" w:cs="Arial"/>
              </w:rPr>
            </w:r>
          </w:p>
        </w:tc>
        <w:tc>
          <w:tcPr>
            <w:shd w:val="clear" w:color="auto" w:fill="auto"/>
            <w:tcBorders/>
            <w:tcW w:w="1783" w:type="dxa"/>
            <w:vAlign w:val="center"/>
            <w:textDirection w:val="lrTb"/>
            <w:noWrap w:val="false"/>
          </w:tcPr>
          <w:p>
            <w:pPr>
              <w:pBdr/>
              <w:spacing/>
              <w:ind/>
              <w:jc w:val="right"/>
              <w:rPr>
                <w:rFonts w:ascii="Arial Narrow" w:hAnsi="Arial Narrow" w:eastAsia="仿宋_GB2312" w:cs="Arial"/>
              </w:rPr>
            </w:pPr>
            <w:r>
              <w:rPr>
                <w:rFonts w:ascii="Arial Narrow" w:hAnsi="Arial Narrow" w:eastAsia="Arial Narrow" w:cs="Arial Narrow"/>
                <w:color w:val="000000"/>
                <w:lang w:bidi="ar"/>
              </w:rPr>
              <w:t xml:space="preserve">-719,898,000,000.00</w:t>
            </w:r>
            <w:r>
              <w:rPr>
                <w:rFonts w:ascii="Arial Narrow" w:hAnsi="Arial Narrow" w:eastAsia="仿宋_GB2312" w:cs="Arial"/>
              </w:rPr>
            </w:r>
          </w:p>
        </w:tc>
        <w:tc>
          <w:tcPr>
            <w:shd w:val="clear" w:color="auto" w:fill="auto"/>
            <w:tcBorders/>
            <w:tcW w:w="1660" w:type="dxa"/>
            <w:vAlign w:val="center"/>
            <w:textDirection w:val="lrTb"/>
            <w:noWrap w:val="false"/>
          </w:tcPr>
          <w:p>
            <w:pPr>
              <w:pBdr/>
              <w:spacing/>
              <w:ind/>
              <w:jc w:val="right"/>
              <w:rPr>
                <w:rFonts w:ascii="Arial Narrow" w:hAnsi="Arial Narrow" w:eastAsia="仿宋_GB2312" w:cs="Arial"/>
              </w:rPr>
            </w:pPr>
            <w:r>
              <w:rPr>
                <w:rFonts w:ascii="Arial Narrow" w:hAnsi="Arial Narrow" w:eastAsia="Arial Narrow" w:cs="Arial Narrow"/>
                <w:color w:val="000000"/>
                <w:lang w:bidi="ar"/>
              </w:rPr>
              <w:t xml:space="preserve">-77,193,000,000.00</w:t>
            </w:r>
            <w:r>
              <w:rPr>
                <w:rFonts w:ascii="Arial Narrow" w:hAnsi="Arial Narrow" w:eastAsia="仿宋_GB2312" w:cs="Arial"/>
              </w:rPr>
            </w:r>
          </w:p>
        </w:tc>
        <w:tc>
          <w:tcPr>
            <w:shd w:val="clear" w:color="auto" w:fill="auto"/>
            <w:tcBorders/>
            <w:tcW w:w="1585" w:type="dxa"/>
            <w:vAlign w:val="center"/>
            <w:textDirection w:val="lrTb"/>
            <w:noWrap w:val="false"/>
          </w:tcPr>
          <w:p>
            <w:pPr>
              <w:pBdr/>
              <w:spacing/>
              <w:ind/>
              <w:jc w:val="right"/>
              <w:rPr>
                <w:rFonts w:ascii="Arial Narrow" w:hAnsi="Arial Narrow" w:eastAsia="仿宋_GB2312" w:cs="Arial"/>
              </w:rPr>
            </w:pPr>
            <w:r>
              <w:rPr>
                <w:rFonts w:ascii="Arial Narrow" w:hAnsi="Arial Narrow" w:eastAsia="Arial Narrow" w:cs="Arial Narrow"/>
                <w:color w:val="000000"/>
                <w:lang w:bidi="ar"/>
              </w:rPr>
              <w:t xml:space="preserve">-2,413,333,333.33</w:t>
            </w:r>
            <w:r>
              <w:rPr>
                <w:rFonts w:ascii="Arial Narrow" w:hAnsi="Arial Narrow" w:eastAsia="仿宋_GB2312" w:cs="Arial"/>
              </w:rPr>
            </w:r>
          </w:p>
        </w:tc>
        <w:tc>
          <w:tcPr>
            <w:shd w:val="clear" w:color="auto" w:fill="auto"/>
            <w:tcBorders/>
            <w:tcW w:w="1076" w:type="dxa"/>
            <w:vAlign w:val="center"/>
            <w:textDirection w:val="lrTb"/>
            <w:noWrap w:val="false"/>
          </w:tcPr>
          <w:p>
            <w:pPr>
              <w:pBdr/>
              <w:spacing/>
              <w:ind/>
              <w:jc w:val="right"/>
              <w:rPr>
                <w:rFonts w:ascii="Arial Narrow" w:hAnsi="Arial Narrow" w:eastAsia="仿宋_GB2312" w:cs="Arial"/>
              </w:rPr>
            </w:pPr>
            <w:r>
              <w:rPr>
                <w:rFonts w:ascii="Arial Narrow" w:hAnsi="Arial Narrow" w:eastAsia="Arial Narrow" w:cs="Arial Narrow"/>
                <w:color w:val="000000"/>
                <w:lang w:bidi="ar"/>
              </w:rPr>
              <w:t xml:space="preserve">-0.24%</w:t>
            </w:r>
            <w:r>
              <w:rPr>
                <w:rFonts w:ascii="Arial Narrow" w:hAnsi="Arial Narrow" w:eastAsia="仿宋_GB2312" w:cs="Arial"/>
              </w:rPr>
            </w:r>
          </w:p>
        </w:tc>
      </w:tr>
      <w:tr>
        <w:trPr>
          <w:trHeight w:val="397"/>
        </w:trPr>
        <w:tc>
          <w:tcPr>
            <w:shd w:val="clear" w:color="000000" w:fill="ffffff"/>
            <w:tcBorders/>
            <w:tcW w:w="660" w:type="dxa"/>
            <w:vAlign w:val="center"/>
            <w:textDirection w:val="lrTb"/>
            <w:noWrap w:val="false"/>
          </w:tcPr>
          <w:p>
            <w:pPr>
              <w:pBdr/>
              <w:spacing/>
              <w:ind/>
              <w:jc w:val="center"/>
              <w:rPr>
                <w:rFonts w:ascii="Arial Narrow" w:hAnsi="Arial Narrow" w:eastAsia="仿宋_GB2312" w:cs="Arial"/>
              </w:rPr>
            </w:pPr>
            <w:r>
              <w:rPr>
                <w:rFonts w:ascii="Arial Narrow" w:hAnsi="Arial Narrow" w:eastAsia="仿宋_GB2312" w:cs="Arial"/>
              </w:rPr>
              <w:t xml:space="preserve">2</w:t>
            </w:r>
            <w:r>
              <w:rPr>
                <w:rFonts w:ascii="Arial Narrow" w:hAnsi="Arial Narrow" w:eastAsia="仿宋_GB2312" w:cs="Arial"/>
              </w:rPr>
            </w:r>
          </w:p>
        </w:tc>
        <w:tc>
          <w:tcPr>
            <w:shd w:val="clear" w:color="000000" w:fill="ffffff"/>
            <w:tcBorders/>
            <w:tcW w:w="2434" w:type="dxa"/>
            <w:vAlign w:val="center"/>
            <w:textDirection w:val="lrTb"/>
            <w:noWrap w:val="false"/>
          </w:tcPr>
          <w:p>
            <w:pPr>
              <w:pBdr/>
              <w:spacing/>
              <w:ind/>
              <w:rPr>
                <w:rFonts w:ascii="Arial Narrow" w:hAnsi="Arial Narrow" w:eastAsia="仿宋_GB2312" w:cs="Arial"/>
              </w:rPr>
            </w:pPr>
            <w:r>
              <w:rPr>
                <w:rFonts w:ascii="Arial Narrow" w:hAnsi="Arial Narrow" w:eastAsia="仿宋_GB2312" w:cs="Arial"/>
              </w:rPr>
              <w:t xml:space="preserve">KOSE CORPORATION</w:t>
            </w:r>
            <w:r>
              <w:rPr>
                <w:rFonts w:ascii="Arial Narrow" w:hAnsi="Arial Narrow" w:eastAsia="仿宋_GB2312" w:cs="Arial"/>
              </w:rPr>
            </w:r>
          </w:p>
        </w:tc>
        <w:tc>
          <w:tcPr>
            <w:shd w:val="clear" w:color="000000" w:fill="ffffff"/>
            <w:tcBorders/>
            <w:tcW w:w="1076" w:type="dxa"/>
            <w:vAlign w:val="center"/>
            <w:textDirection w:val="lrTb"/>
            <w:noWrap w:val="false"/>
          </w:tcPr>
          <w:p>
            <w:pPr>
              <w:pBdr/>
              <w:spacing/>
              <w:ind/>
              <w:jc w:val="center"/>
              <w:rPr>
                <w:rFonts w:ascii="Arial Narrow" w:hAnsi="Arial Narrow" w:eastAsia="仿宋_GB2312" w:cs="Arial"/>
              </w:rPr>
            </w:pPr>
            <w:r>
              <w:rPr>
                <w:rFonts w:ascii="Arial Narrow" w:hAnsi="Arial Narrow" w:eastAsia="仿宋_GB2312" w:cs="Arial"/>
              </w:rPr>
              <w:t xml:space="preserve">日本</w:t>
            </w:r>
            <w:r>
              <w:rPr>
                <w:rFonts w:ascii="Arial Narrow" w:hAnsi="Arial Narrow" w:eastAsia="仿宋_GB2312" w:cs="Arial"/>
              </w:rPr>
            </w:r>
          </w:p>
        </w:tc>
        <w:tc>
          <w:tcPr>
            <w:shd w:val="clear" w:color="000000" w:fill="ffffff"/>
            <w:tcBorders/>
            <w:tcW w:w="651" w:type="dxa"/>
            <w:vAlign w:val="center"/>
            <w:textDirection w:val="lrTb"/>
            <w:noWrap w:val="false"/>
          </w:tcPr>
          <w:p>
            <w:pPr>
              <w:pBdr/>
              <w:spacing/>
              <w:ind/>
              <w:jc w:val="center"/>
              <w:rPr>
                <w:rFonts w:ascii="Arial Narrow" w:hAnsi="Arial Narrow" w:eastAsia="仿宋_GB2312" w:cs="Arial"/>
              </w:rPr>
            </w:pPr>
            <w:r>
              <w:rPr>
                <w:rFonts w:ascii="Arial Narrow" w:hAnsi="Arial Narrow" w:eastAsia="仿宋_GB2312" w:cs="Arial"/>
              </w:rPr>
              <w:t xml:space="preserve">2844</w:t>
            </w:r>
            <w:r>
              <w:rPr>
                <w:rFonts w:ascii="Arial Narrow" w:hAnsi="Arial Narrow" w:eastAsia="仿宋_GB2312" w:cs="Arial"/>
              </w:rPr>
            </w:r>
          </w:p>
        </w:tc>
        <w:tc>
          <w:tcPr>
            <w:shd w:val="clear" w:color="auto" w:fill="auto"/>
            <w:tcBorders/>
            <w:tcW w:w="1679" w:type="dxa"/>
            <w:vAlign w:val="center"/>
            <w:textDirection w:val="lrTb"/>
            <w:noWrap w:val="false"/>
          </w:tcPr>
          <w:p>
            <w:pPr>
              <w:pBdr/>
              <w:spacing/>
              <w:ind/>
              <w:jc w:val="right"/>
              <w:rPr>
                <w:rFonts w:ascii="Arial Narrow" w:hAnsi="Arial Narrow" w:eastAsia="仿宋_GB2312" w:cs="Arial"/>
              </w:rPr>
            </w:pPr>
            <w:r>
              <w:rPr>
                <w:rFonts w:ascii="Arial Narrow" w:hAnsi="Arial Narrow" w:eastAsia="Arial Narrow" w:cs="Arial Narrow"/>
                <w:color w:val="000000"/>
                <w:lang w:bidi="ar"/>
              </w:rPr>
              <w:t xml:space="preserve">264,502,666,666.67</w:t>
            </w:r>
            <w:r>
              <w:rPr>
                <w:rFonts w:ascii="Arial Narrow" w:hAnsi="Arial Narrow" w:eastAsia="仿宋_GB2312" w:cs="Arial"/>
              </w:rPr>
            </w:r>
          </w:p>
        </w:tc>
        <w:tc>
          <w:tcPr>
            <w:tcBorders/>
            <w:tcW w:w="1736" w:type="dxa"/>
            <w:vAlign w:val="center"/>
            <w:textDirection w:val="lrTb"/>
            <w:noWrap w:val="false"/>
          </w:tcPr>
          <w:p>
            <w:pPr>
              <w:pBdr/>
              <w:spacing/>
              <w:ind/>
              <w:jc w:val="right"/>
              <w:rPr>
                <w:rFonts w:ascii="Arial Narrow" w:hAnsi="Arial Narrow" w:eastAsia="仿宋_GB2312" w:cs="Arial"/>
              </w:rPr>
            </w:pPr>
            <w:r>
              <w:rPr>
                <w:rFonts w:ascii="Arial Narrow" w:hAnsi="Arial Narrow" w:eastAsia="Arial Narrow" w:cs="Arial Narrow"/>
                <w:color w:val="000000"/>
                <w:lang w:bidi="ar"/>
              </w:rPr>
              <w:t xml:space="preserve">-70,717,000,000.00</w:t>
            </w:r>
            <w:r>
              <w:rPr>
                <w:rFonts w:ascii="Arial Narrow" w:hAnsi="Arial Narrow" w:eastAsia="仿宋_GB2312" w:cs="Arial"/>
              </w:rPr>
            </w:r>
          </w:p>
        </w:tc>
        <w:tc>
          <w:tcPr>
            <w:shd w:val="clear" w:color="auto" w:fill="auto"/>
            <w:tcBorders/>
            <w:tcW w:w="1783" w:type="dxa"/>
            <w:vAlign w:val="center"/>
            <w:textDirection w:val="lrTb"/>
            <w:noWrap w:val="false"/>
          </w:tcPr>
          <w:p>
            <w:pPr>
              <w:pBdr/>
              <w:spacing/>
              <w:ind/>
              <w:jc w:val="right"/>
              <w:rPr>
                <w:rFonts w:ascii="Arial Narrow" w:hAnsi="Arial Narrow" w:eastAsia="仿宋_GB2312" w:cs="Arial"/>
              </w:rPr>
            </w:pPr>
            <w:r>
              <w:rPr>
                <w:rFonts w:ascii="Arial Narrow" w:hAnsi="Arial Narrow" w:eastAsia="Arial Narrow" w:cs="Arial Narrow"/>
                <w:color w:val="000000"/>
                <w:lang w:bidi="ar"/>
              </w:rPr>
              <w:t xml:space="preserve">-165,600,333,333.33</w:t>
            </w:r>
            <w:r>
              <w:rPr>
                <w:rFonts w:ascii="Arial Narrow" w:hAnsi="Arial Narrow" w:eastAsia="仿宋_GB2312" w:cs="Arial"/>
              </w:rPr>
            </w:r>
          </w:p>
        </w:tc>
        <w:tc>
          <w:tcPr>
            <w:shd w:val="clear" w:color="auto" w:fill="auto"/>
            <w:tcBorders/>
            <w:tcW w:w="1660" w:type="dxa"/>
            <w:vAlign w:val="center"/>
            <w:textDirection w:val="lrTb"/>
            <w:noWrap w:val="false"/>
          </w:tcPr>
          <w:p>
            <w:pPr>
              <w:pBdr/>
              <w:spacing/>
              <w:ind/>
              <w:jc w:val="right"/>
              <w:rPr>
                <w:rFonts w:ascii="Arial Narrow" w:hAnsi="Arial Narrow" w:eastAsia="仿宋_GB2312" w:cs="Arial"/>
              </w:rPr>
            </w:pPr>
            <w:r>
              <w:rPr>
                <w:rFonts w:ascii="Arial Narrow" w:hAnsi="Arial Narrow" w:eastAsia="Arial Narrow" w:cs="Arial Narrow"/>
                <w:color w:val="000000"/>
                <w:lang w:bidi="ar"/>
              </w:rPr>
              <w:t xml:space="preserve">-10,202,000,000.00</w:t>
            </w:r>
            <w:r>
              <w:rPr>
                <w:rFonts w:ascii="Arial Narrow" w:hAnsi="Arial Narrow" w:eastAsia="仿宋_GB2312" w:cs="Arial"/>
              </w:rPr>
            </w:r>
          </w:p>
        </w:tc>
        <w:tc>
          <w:tcPr>
            <w:shd w:val="clear" w:color="auto" w:fill="auto"/>
            <w:tcBorders/>
            <w:tcW w:w="1585" w:type="dxa"/>
            <w:vAlign w:val="center"/>
            <w:textDirection w:val="lrTb"/>
            <w:noWrap w:val="false"/>
          </w:tcPr>
          <w:p>
            <w:pPr>
              <w:pBdr/>
              <w:spacing/>
              <w:ind/>
              <w:jc w:val="right"/>
              <w:rPr>
                <w:rFonts w:ascii="Arial Narrow" w:hAnsi="Arial Narrow" w:eastAsia="仿宋_GB2312" w:cs="Arial"/>
              </w:rPr>
            </w:pPr>
            <w:r>
              <w:rPr>
                <w:rFonts w:ascii="Arial Narrow" w:hAnsi="Arial Narrow" w:eastAsia="Arial Narrow" w:cs="Arial Narrow"/>
                <w:color w:val="000000"/>
                <w:lang w:bidi="ar"/>
              </w:rPr>
              <w:t xml:space="preserve">17,983,333,333.33</w:t>
            </w:r>
            <w:r>
              <w:rPr>
                <w:rFonts w:ascii="Arial Narrow" w:hAnsi="Arial Narrow" w:eastAsia="仿宋_GB2312" w:cs="Arial"/>
              </w:rPr>
            </w:r>
          </w:p>
        </w:tc>
        <w:tc>
          <w:tcPr>
            <w:shd w:val="clear" w:color="auto" w:fill="auto"/>
            <w:tcBorders/>
            <w:tcW w:w="1076" w:type="dxa"/>
            <w:vAlign w:val="center"/>
            <w:textDirection w:val="lrTb"/>
            <w:noWrap w:val="false"/>
          </w:tcPr>
          <w:p>
            <w:pPr>
              <w:pBdr/>
              <w:spacing/>
              <w:ind/>
              <w:jc w:val="right"/>
              <w:rPr>
                <w:rFonts w:ascii="Arial Narrow" w:hAnsi="Arial Narrow" w:eastAsia="仿宋_GB2312" w:cs="Arial"/>
              </w:rPr>
            </w:pPr>
            <w:r>
              <w:rPr>
                <w:rFonts w:ascii="Arial Narrow" w:hAnsi="Arial Narrow" w:eastAsia="Arial Narrow" w:cs="Arial Narrow"/>
                <w:color w:val="000000"/>
                <w:lang w:bidi="ar"/>
              </w:rPr>
              <w:t xml:space="preserve">7.29%</w:t>
            </w:r>
            <w:r>
              <w:rPr>
                <w:rFonts w:ascii="Arial Narrow" w:hAnsi="Arial Narrow" w:eastAsia="仿宋_GB2312" w:cs="Arial"/>
              </w:rPr>
            </w:r>
          </w:p>
        </w:tc>
      </w:tr>
      <w:tr>
        <w:trPr>
          <w:trHeight w:val="397"/>
        </w:trPr>
        <w:tc>
          <w:tcPr>
            <w:shd w:val="clear" w:color="000000" w:fill="ffffff"/>
            <w:tcBorders/>
            <w:tcW w:w="660" w:type="dxa"/>
            <w:vAlign w:val="center"/>
            <w:textDirection w:val="lrTb"/>
            <w:noWrap w:val="false"/>
          </w:tcPr>
          <w:p>
            <w:pPr>
              <w:pBdr/>
              <w:spacing/>
              <w:ind/>
              <w:jc w:val="center"/>
              <w:rPr>
                <w:rFonts w:ascii="Arial Narrow" w:hAnsi="Arial Narrow" w:eastAsia="仿宋_GB2312" w:cs="Arial"/>
              </w:rPr>
            </w:pPr>
            <w:r>
              <w:rPr>
                <w:rFonts w:hint="eastAsia" w:ascii="Arial Narrow" w:hAnsi="Arial Narrow" w:eastAsia="仿宋_GB2312" w:cs="Arial"/>
              </w:rPr>
              <w:t xml:space="preserve">3</w:t>
            </w:r>
            <w:r>
              <w:rPr>
                <w:rFonts w:ascii="Arial Narrow" w:hAnsi="Arial Narrow" w:eastAsia="仿宋_GB2312" w:cs="Arial"/>
              </w:rPr>
            </w:r>
          </w:p>
        </w:tc>
        <w:tc>
          <w:tcPr>
            <w:shd w:val="clear" w:color="000000" w:fill="ffffff"/>
            <w:tcBorders/>
            <w:tcW w:w="2434" w:type="dxa"/>
            <w:vAlign w:val="center"/>
            <w:textDirection w:val="lrTb"/>
            <w:noWrap w:val="false"/>
          </w:tcPr>
          <w:p>
            <w:pPr>
              <w:pBdr/>
              <w:spacing/>
              <w:ind/>
              <w:rPr>
                <w:rFonts w:ascii="Arial Narrow" w:hAnsi="Arial Narrow" w:eastAsia="仿宋_GB2312" w:cs="Arial"/>
              </w:rPr>
            </w:pPr>
            <w:r>
              <w:rPr>
                <w:rFonts w:hint="eastAsia" w:ascii="Arial Narrow" w:hAnsi="Arial Narrow" w:eastAsia="仿宋_GB2312" w:cs="Arial"/>
              </w:rPr>
              <w:t xml:space="preserve">AFC-HD AMS LIFE SCIENCE CO.,LTD.</w:t>
            </w:r>
            <w:r>
              <w:rPr>
                <w:rFonts w:ascii="Arial Narrow" w:hAnsi="Arial Narrow" w:eastAsia="仿宋_GB2312" w:cs="Arial"/>
              </w:rPr>
            </w:r>
          </w:p>
        </w:tc>
        <w:tc>
          <w:tcPr>
            <w:shd w:val="clear" w:color="000000" w:fill="ffffff"/>
            <w:tcBorders/>
            <w:tcW w:w="1076" w:type="dxa"/>
            <w:vAlign w:val="center"/>
            <w:textDirection w:val="lrTb"/>
            <w:noWrap w:val="false"/>
          </w:tcPr>
          <w:p>
            <w:pPr>
              <w:pBdr/>
              <w:spacing/>
              <w:ind/>
              <w:jc w:val="center"/>
              <w:rPr>
                <w:rFonts w:ascii="Arial Narrow" w:hAnsi="Arial Narrow" w:eastAsia="仿宋_GB2312" w:cs="Arial"/>
                <w:lang w:eastAsia="zh-Hans"/>
              </w:rPr>
            </w:pPr>
            <w:r>
              <w:rPr>
                <w:rFonts w:hint="eastAsia" w:ascii="Arial Narrow" w:hAnsi="Arial Narrow" w:eastAsia="仿宋_GB2312" w:cs="Arial"/>
                <w:lang w:eastAsia="zh-Hans"/>
              </w:rPr>
              <w:t xml:space="preserve">日本</w:t>
            </w:r>
            <w:r>
              <w:rPr>
                <w:rFonts w:ascii="Arial Narrow" w:hAnsi="Arial Narrow" w:eastAsia="仿宋_GB2312" w:cs="Arial"/>
                <w:lang w:eastAsia="zh-Hans"/>
              </w:rPr>
            </w:r>
          </w:p>
        </w:tc>
        <w:tc>
          <w:tcPr>
            <w:shd w:val="clear" w:color="000000" w:fill="ffffff"/>
            <w:tcBorders/>
            <w:tcW w:w="651" w:type="dxa"/>
            <w:vAlign w:val="center"/>
            <w:textDirection w:val="lrTb"/>
            <w:noWrap w:val="false"/>
          </w:tcPr>
          <w:p>
            <w:pPr>
              <w:pBdr/>
              <w:spacing/>
              <w:ind/>
              <w:jc w:val="center"/>
              <w:rPr>
                <w:rFonts w:ascii="Arial Narrow" w:hAnsi="Arial Narrow" w:eastAsia="仿宋_GB2312" w:cs="Arial"/>
              </w:rPr>
            </w:pPr>
            <w:r>
              <w:rPr>
                <w:rFonts w:ascii="Arial Narrow" w:hAnsi="Arial Narrow" w:eastAsia="仿宋_GB2312" w:cs="Arial"/>
              </w:rPr>
              <w:t xml:space="preserve">2844</w:t>
            </w:r>
            <w:r>
              <w:rPr>
                <w:rFonts w:ascii="Arial Narrow" w:hAnsi="Arial Narrow" w:eastAsia="仿宋_GB2312" w:cs="Arial"/>
              </w:rPr>
            </w:r>
          </w:p>
        </w:tc>
        <w:tc>
          <w:tcPr>
            <w:shd w:val="clear" w:color="auto" w:fill="auto"/>
            <w:tcBorders/>
            <w:tcW w:w="1679" w:type="dxa"/>
            <w:vAlign w:val="center"/>
            <w:textDirection w:val="lrTb"/>
            <w:noWrap w:val="false"/>
          </w:tcPr>
          <w:p>
            <w:pPr>
              <w:pBdr/>
              <w:spacing/>
              <w:ind/>
              <w:jc w:val="right"/>
              <w:rPr>
                <w:rFonts w:ascii="Arial Narrow" w:hAnsi="Arial Narrow" w:eastAsia="仿宋_GB2312" w:cs="Arial"/>
              </w:rPr>
            </w:pPr>
            <w:r>
              <w:rPr>
                <w:rFonts w:ascii="Arial Narrow" w:hAnsi="Arial Narrow" w:eastAsia="Arial Narrow" w:cs="Arial Narrow"/>
                <w:color w:val="000000"/>
                <w:lang w:bidi="ar"/>
              </w:rPr>
              <w:t xml:space="preserve">20,394,828,000.00</w:t>
            </w:r>
            <w:r>
              <w:rPr>
                <w:rFonts w:ascii="Arial Narrow" w:hAnsi="Arial Narrow" w:eastAsia="仿宋_GB2312" w:cs="Arial"/>
              </w:rPr>
            </w:r>
          </w:p>
        </w:tc>
        <w:tc>
          <w:tcPr>
            <w:tcBorders/>
            <w:tcW w:w="1736" w:type="dxa"/>
            <w:vAlign w:val="center"/>
            <w:textDirection w:val="lrTb"/>
            <w:noWrap w:val="false"/>
          </w:tcPr>
          <w:p>
            <w:pPr>
              <w:pBdr/>
              <w:spacing/>
              <w:ind/>
              <w:jc w:val="right"/>
              <w:rPr>
                <w:rFonts w:ascii="Arial Narrow" w:hAnsi="Arial Narrow" w:eastAsia="仿宋_GB2312" w:cs="Arial"/>
              </w:rPr>
            </w:pPr>
            <w:r>
              <w:rPr>
                <w:rFonts w:ascii="Arial Narrow" w:hAnsi="Arial Narrow" w:eastAsia="Arial Narrow" w:cs="Arial Narrow"/>
                <w:color w:val="000000"/>
                <w:lang w:bidi="ar"/>
              </w:rPr>
              <w:t xml:space="preserve">-13,070,575,000.00</w:t>
            </w:r>
            <w:r>
              <w:rPr>
                <w:rFonts w:ascii="Arial Narrow" w:hAnsi="Arial Narrow" w:eastAsia="仿宋_GB2312" w:cs="Arial"/>
              </w:rPr>
            </w:r>
          </w:p>
        </w:tc>
        <w:tc>
          <w:tcPr>
            <w:shd w:val="clear" w:color="auto" w:fill="auto"/>
            <w:tcBorders/>
            <w:tcW w:w="1783" w:type="dxa"/>
            <w:vAlign w:val="center"/>
            <w:textDirection w:val="lrTb"/>
            <w:noWrap w:val="false"/>
          </w:tcPr>
          <w:p>
            <w:pPr>
              <w:pBdr/>
              <w:spacing/>
              <w:ind/>
              <w:jc w:val="right"/>
              <w:rPr>
                <w:rFonts w:ascii="Arial Narrow" w:hAnsi="Arial Narrow" w:eastAsia="仿宋_GB2312" w:cs="Arial"/>
              </w:rPr>
            </w:pPr>
            <w:r>
              <w:rPr>
                <w:rFonts w:ascii="Arial Narrow" w:hAnsi="Arial Narrow" w:eastAsia="Arial Narrow" w:cs="Arial Narrow"/>
                <w:color w:val="000000"/>
                <w:lang w:bidi="ar"/>
              </w:rPr>
              <w:t xml:space="preserve">-5,152,082,333.33</w:t>
            </w:r>
            <w:r>
              <w:rPr>
                <w:rFonts w:ascii="Arial Narrow" w:hAnsi="Arial Narrow" w:eastAsia="仿宋_GB2312" w:cs="Arial"/>
              </w:rPr>
            </w:r>
          </w:p>
        </w:tc>
        <w:tc>
          <w:tcPr>
            <w:shd w:val="clear" w:color="auto" w:fill="auto"/>
            <w:tcBorders/>
            <w:tcW w:w="1660" w:type="dxa"/>
            <w:vAlign w:val="center"/>
            <w:textDirection w:val="lrTb"/>
            <w:noWrap w:val="false"/>
          </w:tcPr>
          <w:p>
            <w:pPr>
              <w:pBdr/>
              <w:spacing/>
              <w:ind/>
              <w:jc w:val="right"/>
              <w:rPr>
                <w:rFonts w:ascii="Arial Narrow" w:hAnsi="Arial Narrow" w:eastAsia="仿宋_GB2312" w:cs="Arial"/>
              </w:rPr>
            </w:pPr>
            <w:r>
              <w:rPr>
                <w:rFonts w:ascii="Arial Narrow" w:hAnsi="Arial Narrow" w:eastAsia="Arial Narrow" w:cs="Arial Narrow"/>
                <w:color w:val="000000"/>
                <w:lang w:bidi="ar"/>
              </w:rPr>
              <w:t xml:space="preserve">-727,830,333.33</w:t>
            </w:r>
            <w:r>
              <w:rPr>
                <w:rFonts w:ascii="Arial Narrow" w:hAnsi="Arial Narrow" w:eastAsia="仿宋_GB2312" w:cs="Arial"/>
              </w:rPr>
            </w:r>
          </w:p>
        </w:tc>
        <w:tc>
          <w:tcPr>
            <w:shd w:val="clear" w:color="auto" w:fill="auto"/>
            <w:tcBorders/>
            <w:tcW w:w="1585" w:type="dxa"/>
            <w:vAlign w:val="center"/>
            <w:textDirection w:val="lrTb"/>
            <w:noWrap w:val="false"/>
          </w:tcPr>
          <w:p>
            <w:pPr>
              <w:pBdr/>
              <w:spacing/>
              <w:ind/>
              <w:jc w:val="right"/>
              <w:rPr>
                <w:rFonts w:ascii="Arial Narrow" w:hAnsi="Arial Narrow" w:eastAsia="仿宋_GB2312" w:cs="Arial"/>
              </w:rPr>
            </w:pPr>
            <w:r>
              <w:rPr>
                <w:rFonts w:ascii="Arial Narrow" w:hAnsi="Arial Narrow" w:eastAsia="Arial Narrow" w:cs="Arial Narrow"/>
                <w:color w:val="000000"/>
                <w:lang w:bidi="ar"/>
              </w:rPr>
              <w:t xml:space="preserve">1,444,340,333.33</w:t>
            </w:r>
            <w:r>
              <w:rPr>
                <w:rFonts w:ascii="Arial Narrow" w:hAnsi="Arial Narrow" w:eastAsia="仿宋_GB2312" w:cs="Arial"/>
              </w:rPr>
            </w:r>
          </w:p>
        </w:tc>
        <w:tc>
          <w:tcPr>
            <w:shd w:val="clear" w:color="auto" w:fill="auto"/>
            <w:tcBorders/>
            <w:tcW w:w="1076" w:type="dxa"/>
            <w:vAlign w:val="center"/>
            <w:textDirection w:val="lrTb"/>
            <w:noWrap w:val="false"/>
          </w:tcPr>
          <w:p>
            <w:pPr>
              <w:pBdr/>
              <w:spacing/>
              <w:ind/>
              <w:jc w:val="right"/>
              <w:rPr>
                <w:rFonts w:ascii="Arial Narrow" w:hAnsi="Arial Narrow" w:eastAsia="仿宋_GB2312" w:cs="Arial"/>
              </w:rPr>
            </w:pPr>
            <w:r>
              <w:rPr>
                <w:rFonts w:ascii="Arial Narrow" w:hAnsi="Arial Narrow" w:eastAsia="Arial Narrow" w:cs="Arial Narrow"/>
                <w:color w:val="000000"/>
                <w:lang w:bidi="ar"/>
              </w:rPr>
              <w:t xml:space="preserve">7.62%</w:t>
            </w:r>
            <w:r>
              <w:rPr>
                <w:rFonts w:ascii="Arial Narrow" w:hAnsi="Arial Narrow" w:eastAsia="仿宋_GB2312" w:cs="Arial"/>
              </w:rPr>
            </w:r>
          </w:p>
        </w:tc>
      </w:tr>
      <w:tr>
        <w:trPr>
          <w:trHeight w:val="397"/>
        </w:trPr>
        <w:tc>
          <w:tcPr>
            <w:shd w:val="clear" w:color="000000" w:fill="ffffff"/>
            <w:tcBorders/>
            <w:tcW w:w="660" w:type="dxa"/>
            <w:vAlign w:val="center"/>
            <w:textDirection w:val="lrTb"/>
            <w:noWrap w:val="false"/>
          </w:tcPr>
          <w:p>
            <w:pPr>
              <w:pBdr/>
              <w:spacing/>
              <w:ind/>
              <w:jc w:val="center"/>
              <w:rPr>
                <w:rFonts w:ascii="Arial Narrow" w:hAnsi="Arial Narrow" w:eastAsia="仿宋_GB2312" w:cs="Arial"/>
              </w:rPr>
            </w:pPr>
            <w:r>
              <w:rPr>
                <w:rFonts w:hint="eastAsia" w:ascii="Arial Narrow" w:hAnsi="Arial Narrow" w:eastAsia="仿宋_GB2312" w:cs="Arial"/>
              </w:rPr>
              <w:t xml:space="preserve">4</w:t>
            </w:r>
            <w:r>
              <w:rPr>
                <w:rFonts w:ascii="Arial Narrow" w:hAnsi="Arial Narrow" w:eastAsia="仿宋_GB2312" w:cs="Arial"/>
              </w:rPr>
            </w:r>
          </w:p>
        </w:tc>
        <w:tc>
          <w:tcPr>
            <w:shd w:val="clear" w:color="000000" w:fill="ffffff"/>
            <w:tcBorders/>
            <w:tcW w:w="2434" w:type="dxa"/>
            <w:vAlign w:val="center"/>
            <w:textDirection w:val="lrTb"/>
            <w:noWrap w:val="false"/>
          </w:tcPr>
          <w:p>
            <w:pPr>
              <w:pBdr/>
              <w:spacing/>
              <w:ind/>
              <w:rPr>
                <w:rFonts w:ascii="Arial Narrow" w:hAnsi="Arial Narrow" w:eastAsia="仿宋_GB2312" w:cs="Arial"/>
              </w:rPr>
            </w:pPr>
            <w:r>
              <w:rPr>
                <w:rFonts w:ascii="Arial Narrow" w:hAnsi="Arial Narrow" w:eastAsia="仿宋_GB2312" w:cs="Arial"/>
              </w:rPr>
              <w:t xml:space="preserve">S&amp;J INTERNATIONAL ENTERPRISES PCL</w:t>
            </w:r>
            <w:r>
              <w:rPr>
                <w:rFonts w:ascii="Arial Narrow" w:hAnsi="Arial Narrow" w:eastAsia="仿宋_GB2312" w:cs="Arial"/>
              </w:rPr>
            </w:r>
          </w:p>
        </w:tc>
        <w:tc>
          <w:tcPr>
            <w:shd w:val="clear" w:color="000000" w:fill="ffffff"/>
            <w:tcBorders/>
            <w:tcW w:w="1076" w:type="dxa"/>
            <w:vAlign w:val="center"/>
            <w:textDirection w:val="lrTb"/>
            <w:noWrap w:val="false"/>
          </w:tcPr>
          <w:p>
            <w:pPr>
              <w:pBdr/>
              <w:spacing/>
              <w:ind/>
              <w:jc w:val="center"/>
              <w:rPr>
                <w:rFonts w:ascii="Arial Narrow" w:hAnsi="Arial Narrow" w:eastAsia="仿宋_GB2312" w:cs="Arial"/>
              </w:rPr>
            </w:pPr>
            <w:r>
              <w:rPr>
                <w:rFonts w:ascii="Arial Narrow" w:hAnsi="Arial Narrow" w:eastAsia="仿宋_GB2312" w:cs="Arial"/>
              </w:rPr>
              <w:t xml:space="preserve">泰国</w:t>
            </w:r>
            <w:r>
              <w:rPr>
                <w:rFonts w:ascii="Arial Narrow" w:hAnsi="Arial Narrow" w:eastAsia="仿宋_GB2312" w:cs="Arial"/>
              </w:rPr>
            </w:r>
          </w:p>
        </w:tc>
        <w:tc>
          <w:tcPr>
            <w:shd w:val="clear" w:color="000000" w:fill="ffffff"/>
            <w:tcBorders/>
            <w:tcW w:w="651" w:type="dxa"/>
            <w:vAlign w:val="center"/>
            <w:textDirection w:val="lrTb"/>
            <w:noWrap w:val="false"/>
          </w:tcPr>
          <w:p>
            <w:pPr>
              <w:pBdr/>
              <w:spacing/>
              <w:ind/>
              <w:jc w:val="center"/>
              <w:rPr>
                <w:rFonts w:ascii="Arial Narrow" w:hAnsi="Arial Narrow" w:eastAsia="仿宋_GB2312" w:cs="Arial"/>
              </w:rPr>
            </w:pPr>
            <w:r>
              <w:rPr>
                <w:rFonts w:ascii="Arial Narrow" w:hAnsi="Arial Narrow" w:eastAsia="仿宋_GB2312" w:cs="Arial"/>
              </w:rPr>
              <w:t xml:space="preserve">2844</w:t>
            </w:r>
            <w:r>
              <w:rPr>
                <w:rFonts w:ascii="Arial Narrow" w:hAnsi="Arial Narrow" w:eastAsia="仿宋_GB2312" w:cs="Arial"/>
              </w:rPr>
            </w:r>
          </w:p>
        </w:tc>
        <w:tc>
          <w:tcPr>
            <w:shd w:val="clear" w:color="auto" w:fill="auto"/>
            <w:tcBorders/>
            <w:tcW w:w="1679" w:type="dxa"/>
            <w:vAlign w:val="center"/>
            <w:textDirection w:val="lrTb"/>
            <w:noWrap w:val="false"/>
          </w:tcPr>
          <w:p>
            <w:pPr>
              <w:pBdr/>
              <w:spacing/>
              <w:ind/>
              <w:jc w:val="right"/>
              <w:rPr>
                <w:rFonts w:ascii="Arial Narrow" w:hAnsi="Arial Narrow" w:eastAsia="仿宋_GB2312" w:cs="Arial"/>
              </w:rPr>
            </w:pPr>
            <w:r>
              <w:rPr>
                <w:rFonts w:ascii="Arial Narrow" w:hAnsi="Arial Narrow" w:eastAsia="Arial Narrow" w:cs="Arial Narrow"/>
                <w:color w:val="000000"/>
                <w:lang w:bidi="ar"/>
              </w:rPr>
              <w:t xml:space="preserve">5,060,420,666.67</w:t>
            </w:r>
            <w:r>
              <w:rPr>
                <w:rFonts w:ascii="Arial Narrow" w:hAnsi="Arial Narrow" w:eastAsia="仿宋_GB2312" w:cs="Arial"/>
              </w:rPr>
            </w:r>
          </w:p>
        </w:tc>
        <w:tc>
          <w:tcPr>
            <w:tcBorders/>
            <w:tcW w:w="1736" w:type="dxa"/>
            <w:vAlign w:val="center"/>
            <w:textDirection w:val="lrTb"/>
            <w:noWrap w:val="false"/>
          </w:tcPr>
          <w:p>
            <w:pPr>
              <w:pBdr/>
              <w:spacing/>
              <w:ind/>
              <w:jc w:val="right"/>
              <w:rPr>
                <w:rFonts w:ascii="Arial Narrow" w:hAnsi="Arial Narrow" w:eastAsia="仿宋_GB2312" w:cs="Arial"/>
              </w:rPr>
            </w:pPr>
            <w:r>
              <w:rPr>
                <w:rFonts w:ascii="Arial Narrow" w:hAnsi="Arial Narrow" w:eastAsia="Arial Narrow" w:cs="Arial Narrow"/>
                <w:color w:val="000000"/>
                <w:lang w:bidi="ar"/>
              </w:rPr>
              <w:t xml:space="preserve">-2,071,860,666.67</w:t>
            </w:r>
            <w:r>
              <w:rPr>
                <w:rFonts w:ascii="Arial Narrow" w:hAnsi="Arial Narrow" w:eastAsia="仿宋_GB2312" w:cs="Arial"/>
              </w:rPr>
            </w:r>
          </w:p>
        </w:tc>
        <w:tc>
          <w:tcPr>
            <w:shd w:val="clear" w:color="auto" w:fill="auto"/>
            <w:tcBorders/>
            <w:tcW w:w="1783" w:type="dxa"/>
            <w:vAlign w:val="center"/>
            <w:textDirection w:val="lrTb"/>
            <w:noWrap w:val="false"/>
          </w:tcPr>
          <w:p>
            <w:pPr>
              <w:pBdr/>
              <w:spacing/>
              <w:ind/>
              <w:jc w:val="right"/>
              <w:rPr>
                <w:rFonts w:ascii="Arial Narrow" w:hAnsi="Arial Narrow" w:eastAsia="仿宋_GB2312" w:cs="Arial"/>
              </w:rPr>
            </w:pPr>
            <w:r>
              <w:rPr>
                <w:rFonts w:ascii="Arial Narrow" w:hAnsi="Arial Narrow" w:eastAsia="Arial Narrow" w:cs="Arial Narrow"/>
                <w:color w:val="000000"/>
                <w:lang w:bidi="ar"/>
              </w:rPr>
              <w:t xml:space="preserve">-2,411,684,000.00</w:t>
            </w:r>
            <w:r>
              <w:rPr>
                <w:rFonts w:ascii="Arial Narrow" w:hAnsi="Arial Narrow" w:eastAsia="仿宋_GB2312" w:cs="Arial"/>
              </w:rPr>
            </w:r>
          </w:p>
        </w:tc>
        <w:tc>
          <w:tcPr>
            <w:shd w:val="clear" w:color="auto" w:fill="auto"/>
            <w:tcBorders/>
            <w:tcW w:w="1660" w:type="dxa"/>
            <w:vAlign w:val="center"/>
            <w:textDirection w:val="lrTb"/>
            <w:noWrap w:val="false"/>
          </w:tcPr>
          <w:p>
            <w:pPr>
              <w:pBdr/>
              <w:spacing/>
              <w:ind/>
              <w:jc w:val="right"/>
              <w:rPr>
                <w:rFonts w:ascii="Arial Narrow" w:hAnsi="Arial Narrow" w:eastAsia="仿宋_GB2312" w:cs="Arial"/>
              </w:rPr>
            </w:pPr>
            <w:r>
              <w:rPr>
                <w:rFonts w:ascii="Arial Narrow" w:hAnsi="Arial Narrow" w:eastAsia="Arial Narrow" w:cs="Arial Narrow"/>
                <w:color w:val="000000"/>
                <w:lang w:bidi="ar"/>
              </w:rPr>
              <w:t xml:space="preserve">-288,029,333.33</w:t>
            </w:r>
            <w:r>
              <w:rPr>
                <w:rFonts w:ascii="Arial Narrow" w:hAnsi="Arial Narrow" w:eastAsia="仿宋_GB2312" w:cs="Arial"/>
              </w:rPr>
            </w:r>
          </w:p>
        </w:tc>
        <w:tc>
          <w:tcPr>
            <w:shd w:val="clear" w:color="auto" w:fill="auto"/>
            <w:tcBorders/>
            <w:tcW w:w="1585" w:type="dxa"/>
            <w:vAlign w:val="center"/>
            <w:textDirection w:val="lrTb"/>
            <w:noWrap w:val="false"/>
          </w:tcPr>
          <w:p>
            <w:pPr>
              <w:pBdr/>
              <w:spacing/>
              <w:ind/>
              <w:jc w:val="right"/>
              <w:rPr>
                <w:rFonts w:ascii="Arial Narrow" w:hAnsi="Arial Narrow" w:eastAsia="仿宋_GB2312" w:cs="Arial"/>
              </w:rPr>
            </w:pPr>
            <w:r>
              <w:rPr>
                <w:rFonts w:ascii="Arial Narrow" w:hAnsi="Arial Narrow" w:eastAsia="Arial Narrow" w:cs="Arial Narrow"/>
                <w:color w:val="000000"/>
                <w:lang w:bidi="ar"/>
              </w:rPr>
              <w:t xml:space="preserve">288,846,666.67</w:t>
            </w:r>
            <w:r>
              <w:rPr>
                <w:rFonts w:ascii="Arial Narrow" w:hAnsi="Arial Narrow" w:eastAsia="仿宋_GB2312" w:cs="Arial"/>
              </w:rPr>
            </w:r>
          </w:p>
        </w:tc>
        <w:tc>
          <w:tcPr>
            <w:shd w:val="clear" w:color="auto" w:fill="auto"/>
            <w:tcBorders/>
            <w:tcW w:w="1076" w:type="dxa"/>
            <w:vAlign w:val="center"/>
            <w:textDirection w:val="lrTb"/>
            <w:noWrap w:val="false"/>
          </w:tcPr>
          <w:p>
            <w:pPr>
              <w:pBdr/>
              <w:spacing/>
              <w:ind/>
              <w:jc w:val="right"/>
              <w:rPr>
                <w:rFonts w:ascii="Arial Narrow" w:hAnsi="Arial Narrow" w:eastAsia="仿宋_GB2312" w:cs="Arial"/>
              </w:rPr>
            </w:pPr>
            <w:r>
              <w:rPr>
                <w:rFonts w:ascii="Arial Narrow" w:hAnsi="Arial Narrow" w:eastAsia="Arial Narrow" w:cs="Arial Narrow"/>
                <w:color w:val="000000"/>
                <w:lang w:bidi="ar"/>
              </w:rPr>
              <w:t xml:space="preserve">6.05%</w:t>
            </w:r>
            <w:r>
              <w:rPr>
                <w:rFonts w:ascii="Arial Narrow" w:hAnsi="Arial Narrow" w:eastAsia="仿宋_GB2312" w:cs="Arial"/>
              </w:rPr>
            </w:r>
          </w:p>
        </w:tc>
      </w:tr>
      <w:tr>
        <w:trPr>
          <w:trHeight w:val="397"/>
        </w:trPr>
        <w:tc>
          <w:tcPr>
            <w:shd w:val="clear" w:color="000000" w:fill="ffffff"/>
            <w:tcBorders/>
            <w:tcW w:w="660" w:type="dxa"/>
            <w:vAlign w:val="center"/>
            <w:textDirection w:val="lrTb"/>
            <w:noWrap w:val="false"/>
          </w:tcPr>
          <w:p>
            <w:pPr>
              <w:pBdr/>
              <w:spacing/>
              <w:ind/>
              <w:jc w:val="center"/>
              <w:rPr>
                <w:rFonts w:ascii="Arial Narrow" w:hAnsi="Arial Narrow" w:eastAsia="仿宋_GB2312" w:cs="Arial"/>
              </w:rPr>
            </w:pPr>
            <w:r>
              <w:rPr>
                <w:rFonts w:hint="eastAsia" w:ascii="Arial Narrow" w:hAnsi="Arial Narrow" w:eastAsia="仿宋_GB2312" w:cs="Arial"/>
              </w:rPr>
              <w:t xml:space="preserve">5</w:t>
            </w:r>
            <w:r>
              <w:rPr>
                <w:rFonts w:ascii="Arial Narrow" w:hAnsi="Arial Narrow" w:eastAsia="仿宋_GB2312" w:cs="Arial"/>
              </w:rPr>
            </w:r>
          </w:p>
        </w:tc>
        <w:tc>
          <w:tcPr>
            <w:shd w:val="clear" w:color="000000" w:fill="ffffff"/>
            <w:tcBorders/>
            <w:tcW w:w="2434" w:type="dxa"/>
            <w:vAlign w:val="center"/>
            <w:textDirection w:val="lrTb"/>
            <w:noWrap w:val="false"/>
          </w:tcPr>
          <w:p>
            <w:pPr>
              <w:pBdr/>
              <w:spacing/>
              <w:ind/>
              <w:rPr>
                <w:rFonts w:ascii="Arial Narrow" w:hAnsi="Arial Narrow" w:eastAsia="仿宋_GB2312" w:cs="Arial"/>
              </w:rPr>
            </w:pPr>
            <w:r>
              <w:rPr>
                <w:rFonts w:ascii="Arial Narrow" w:hAnsi="Arial Narrow" w:eastAsia="仿宋_GB2312" w:cs="Arial"/>
              </w:rPr>
              <w:t xml:space="preserve">NIPPON SHIKIZAI INC</w:t>
            </w:r>
            <w:r>
              <w:rPr>
                <w:rFonts w:ascii="Arial Narrow" w:hAnsi="Arial Narrow" w:eastAsia="仿宋_GB2312" w:cs="Arial"/>
              </w:rPr>
            </w:r>
          </w:p>
        </w:tc>
        <w:tc>
          <w:tcPr>
            <w:shd w:val="clear" w:color="000000" w:fill="ffffff"/>
            <w:tcBorders/>
            <w:tcW w:w="1076" w:type="dxa"/>
            <w:vAlign w:val="center"/>
            <w:textDirection w:val="lrTb"/>
            <w:noWrap w:val="false"/>
          </w:tcPr>
          <w:p>
            <w:pPr>
              <w:pBdr/>
              <w:spacing/>
              <w:ind/>
              <w:jc w:val="center"/>
              <w:rPr>
                <w:rFonts w:ascii="Arial Narrow" w:hAnsi="Arial Narrow" w:eastAsia="仿宋_GB2312" w:cs="Arial"/>
              </w:rPr>
            </w:pPr>
            <w:r>
              <w:rPr>
                <w:rFonts w:ascii="Arial Narrow" w:hAnsi="Arial Narrow" w:eastAsia="仿宋_GB2312" w:cs="Arial"/>
              </w:rPr>
              <w:t xml:space="preserve">日本</w:t>
            </w:r>
            <w:r>
              <w:rPr>
                <w:rFonts w:ascii="Arial Narrow" w:hAnsi="Arial Narrow" w:eastAsia="仿宋_GB2312" w:cs="Arial"/>
              </w:rPr>
            </w:r>
          </w:p>
        </w:tc>
        <w:tc>
          <w:tcPr>
            <w:shd w:val="clear" w:color="auto" w:fill="auto"/>
            <w:tcBorders/>
            <w:tcW w:w="651" w:type="dxa"/>
            <w:vAlign w:val="center"/>
            <w:textDirection w:val="lrTb"/>
            <w:noWrap w:val="false"/>
          </w:tcPr>
          <w:p>
            <w:pPr>
              <w:pBdr/>
              <w:spacing/>
              <w:ind/>
              <w:jc w:val="center"/>
              <w:rPr>
                <w:rFonts w:ascii="Arial Narrow" w:hAnsi="Arial Narrow" w:eastAsia="仿宋_GB2312" w:cs="Arial"/>
              </w:rPr>
            </w:pPr>
            <w:r>
              <w:rPr>
                <w:rFonts w:ascii="Arial Narrow" w:hAnsi="Arial Narrow" w:eastAsia="仿宋_GB2312" w:cs="Arial"/>
              </w:rPr>
              <w:t xml:space="preserve">2844</w:t>
            </w:r>
            <w:r>
              <w:rPr>
                <w:rFonts w:ascii="Arial Narrow" w:hAnsi="Arial Narrow" w:eastAsia="仿宋_GB2312" w:cs="Arial"/>
              </w:rPr>
            </w:r>
          </w:p>
        </w:tc>
        <w:tc>
          <w:tcPr>
            <w:shd w:val="clear" w:color="auto" w:fill="auto"/>
            <w:tcBorders/>
            <w:tcW w:w="1679" w:type="dxa"/>
            <w:vAlign w:val="center"/>
            <w:textDirection w:val="lrTb"/>
            <w:noWrap w:val="false"/>
          </w:tcPr>
          <w:p>
            <w:pPr>
              <w:pBdr/>
              <w:spacing/>
              <w:ind/>
              <w:jc w:val="right"/>
              <w:rPr>
                <w:rFonts w:ascii="Arial Narrow" w:hAnsi="Arial Narrow" w:eastAsia="仿宋_GB2312" w:cs="Arial"/>
              </w:rPr>
            </w:pPr>
            <w:r>
              <w:rPr>
                <w:rFonts w:ascii="Arial Narrow" w:hAnsi="Arial Narrow" w:eastAsia="Arial Narrow" w:cs="Arial Narrow"/>
                <w:color w:val="000000"/>
                <w:lang w:bidi="ar"/>
              </w:rPr>
              <w:t xml:space="preserve">9,868,670,666.67</w:t>
            </w:r>
            <w:r>
              <w:rPr>
                <w:rFonts w:ascii="Arial Narrow" w:hAnsi="Arial Narrow" w:eastAsia="仿宋_GB2312" w:cs="Arial"/>
              </w:rPr>
            </w:r>
          </w:p>
        </w:tc>
        <w:tc>
          <w:tcPr>
            <w:tcBorders/>
            <w:tcW w:w="1736" w:type="dxa"/>
            <w:vAlign w:val="center"/>
            <w:textDirection w:val="lrTb"/>
            <w:noWrap w:val="false"/>
          </w:tcPr>
          <w:p>
            <w:pPr>
              <w:pBdr/>
              <w:spacing/>
              <w:ind/>
              <w:jc w:val="right"/>
              <w:rPr>
                <w:rFonts w:ascii="Arial Narrow" w:hAnsi="Arial Narrow" w:eastAsia="仿宋_GB2312" w:cs="Arial"/>
              </w:rPr>
            </w:pPr>
            <w:r>
              <w:rPr>
                <w:rFonts w:ascii="Arial Narrow" w:hAnsi="Arial Narrow" w:eastAsia="Arial Narrow" w:cs="Arial Narrow"/>
                <w:color w:val="000000"/>
                <w:lang w:bidi="ar"/>
              </w:rPr>
              <w:t xml:space="preserve">-8,200,078,333.33</w:t>
            </w:r>
            <w:r>
              <w:rPr>
                <w:rFonts w:ascii="Arial Narrow" w:hAnsi="Arial Narrow" w:eastAsia="仿宋_GB2312" w:cs="Arial"/>
              </w:rPr>
            </w:r>
          </w:p>
        </w:tc>
        <w:tc>
          <w:tcPr>
            <w:shd w:val="clear" w:color="auto" w:fill="auto"/>
            <w:tcBorders/>
            <w:tcW w:w="1783" w:type="dxa"/>
            <w:vAlign w:val="center"/>
            <w:textDirection w:val="lrTb"/>
            <w:noWrap w:val="false"/>
          </w:tcPr>
          <w:p>
            <w:pPr>
              <w:pBdr/>
              <w:spacing/>
              <w:ind/>
              <w:jc w:val="right"/>
              <w:rPr>
                <w:rFonts w:ascii="Arial Narrow" w:hAnsi="Arial Narrow" w:eastAsia="仿宋_GB2312" w:cs="Arial"/>
              </w:rPr>
            </w:pPr>
            <w:r>
              <w:rPr>
                <w:rFonts w:ascii="Arial Narrow" w:hAnsi="Arial Narrow" w:eastAsia="Arial Narrow" w:cs="Arial Narrow"/>
                <w:color w:val="000000"/>
                <w:lang w:bidi="ar"/>
              </w:rPr>
              <w:t xml:space="preserve">-1,177,233,333.33</w:t>
            </w:r>
            <w:r>
              <w:rPr>
                <w:rFonts w:ascii="Arial Narrow" w:hAnsi="Arial Narrow" w:eastAsia="仿宋_GB2312" w:cs="Arial"/>
              </w:rPr>
            </w:r>
          </w:p>
        </w:tc>
        <w:tc>
          <w:tcPr>
            <w:shd w:val="clear" w:color="auto" w:fill="auto"/>
            <w:tcBorders/>
            <w:tcW w:w="1660" w:type="dxa"/>
            <w:vAlign w:val="center"/>
            <w:textDirection w:val="lrTb"/>
            <w:noWrap w:val="false"/>
          </w:tcPr>
          <w:p>
            <w:pPr>
              <w:pBdr/>
              <w:spacing/>
              <w:ind/>
              <w:jc w:val="right"/>
              <w:rPr>
                <w:rFonts w:ascii="Arial Narrow" w:hAnsi="Arial Narrow" w:eastAsia="仿宋_GB2312" w:cs="Arial"/>
              </w:rPr>
            </w:pPr>
            <w:r>
              <w:rPr>
                <w:rFonts w:ascii="Arial Narrow" w:hAnsi="Arial Narrow" w:eastAsia="Arial Narrow" w:cs="Arial Narrow"/>
                <w:color w:val="000000"/>
                <w:lang w:bidi="ar"/>
              </w:rPr>
              <w:t xml:space="preserve">-835,340,000.00</w:t>
            </w:r>
            <w:r>
              <w:rPr>
                <w:rFonts w:ascii="Arial Narrow" w:hAnsi="Arial Narrow" w:eastAsia="仿宋_GB2312" w:cs="Arial"/>
              </w:rPr>
            </w:r>
          </w:p>
        </w:tc>
        <w:tc>
          <w:tcPr>
            <w:shd w:val="clear" w:color="auto" w:fill="auto"/>
            <w:tcBorders/>
            <w:tcW w:w="1585" w:type="dxa"/>
            <w:vAlign w:val="center"/>
            <w:textDirection w:val="lrTb"/>
            <w:noWrap w:val="false"/>
          </w:tcPr>
          <w:p>
            <w:pPr>
              <w:pBdr/>
              <w:spacing/>
              <w:ind/>
              <w:jc w:val="right"/>
              <w:rPr>
                <w:rFonts w:ascii="Arial Narrow" w:hAnsi="Arial Narrow" w:eastAsia="仿宋_GB2312" w:cs="Arial"/>
              </w:rPr>
            </w:pPr>
            <w:r>
              <w:rPr>
                <w:rFonts w:ascii="Arial Narrow" w:hAnsi="Arial Narrow" w:eastAsia="Arial Narrow" w:cs="Arial Narrow"/>
                <w:color w:val="000000"/>
                <w:lang w:bidi="ar"/>
              </w:rPr>
              <w:t xml:space="preserve">-343,981,000.00</w:t>
            </w:r>
            <w:r>
              <w:rPr>
                <w:rFonts w:ascii="Arial Narrow" w:hAnsi="Arial Narrow" w:eastAsia="仿宋_GB2312" w:cs="Arial"/>
              </w:rPr>
            </w:r>
          </w:p>
        </w:tc>
        <w:tc>
          <w:tcPr>
            <w:shd w:val="clear" w:color="auto" w:fill="auto"/>
            <w:tcBorders/>
            <w:tcW w:w="1076" w:type="dxa"/>
            <w:vAlign w:val="center"/>
            <w:textDirection w:val="lrTb"/>
            <w:noWrap w:val="false"/>
          </w:tcPr>
          <w:p>
            <w:pPr>
              <w:pBdr/>
              <w:spacing/>
              <w:ind/>
              <w:jc w:val="right"/>
              <w:rPr>
                <w:rFonts w:ascii="Arial Narrow" w:hAnsi="Arial Narrow" w:eastAsia="仿宋_GB2312" w:cs="Arial"/>
              </w:rPr>
            </w:pPr>
            <w:r>
              <w:rPr>
                <w:rFonts w:ascii="Arial Narrow" w:hAnsi="Arial Narrow" w:eastAsia="Arial Narrow" w:cs="Arial Narrow"/>
                <w:color w:val="000000"/>
                <w:lang w:bidi="ar"/>
              </w:rPr>
              <w:t xml:space="preserve">-3.37%</w:t>
            </w:r>
            <w:r>
              <w:rPr>
                <w:rFonts w:ascii="Arial Narrow" w:hAnsi="Arial Narrow" w:eastAsia="仿宋_GB2312" w:cs="Arial"/>
              </w:rPr>
            </w:r>
          </w:p>
        </w:tc>
      </w:tr>
      <w:tr>
        <w:trPr>
          <w:trHeight w:val="397"/>
        </w:trPr>
        <w:tc>
          <w:tcPr>
            <w:shd w:val="clear" w:color="000000" w:fill="ffffff"/>
            <w:tcBorders/>
            <w:tcW w:w="660" w:type="dxa"/>
            <w:vAlign w:val="center"/>
            <w:textDirection w:val="lrTb"/>
            <w:noWrap w:val="false"/>
          </w:tcPr>
          <w:p>
            <w:pPr>
              <w:pBdr/>
              <w:spacing/>
              <w:ind/>
              <w:jc w:val="center"/>
              <w:rPr>
                <w:rFonts w:ascii="Arial Narrow" w:hAnsi="Arial Narrow" w:eastAsia="仿宋_GB2312" w:cs="Arial"/>
              </w:rPr>
            </w:pPr>
            <w:r>
              <w:rPr>
                <w:rFonts w:hint="eastAsia" w:ascii="Arial Narrow" w:hAnsi="Arial Narrow" w:eastAsia="仿宋_GB2312" w:cs="Arial"/>
              </w:rPr>
              <w:t xml:space="preserve">6</w:t>
            </w:r>
            <w:r>
              <w:rPr>
                <w:rFonts w:ascii="Arial Narrow" w:hAnsi="Arial Narrow" w:eastAsia="仿宋_GB2312" w:cs="Arial"/>
              </w:rPr>
            </w:r>
          </w:p>
        </w:tc>
        <w:tc>
          <w:tcPr>
            <w:shd w:val="clear" w:color="000000" w:fill="ffffff"/>
            <w:tcBorders/>
            <w:tcW w:w="2434" w:type="dxa"/>
            <w:vAlign w:val="center"/>
            <w:textDirection w:val="lrTb"/>
            <w:noWrap w:val="false"/>
          </w:tcPr>
          <w:p>
            <w:pPr>
              <w:pBdr/>
              <w:spacing/>
              <w:ind/>
              <w:rPr>
                <w:rFonts w:ascii="Arial Narrow" w:hAnsi="Arial Narrow" w:eastAsia="仿宋_GB2312" w:cs="Arial"/>
              </w:rPr>
            </w:pPr>
            <w:r>
              <w:rPr>
                <w:rFonts w:ascii="Arial Narrow" w:hAnsi="Arial Narrow" w:eastAsia="仿宋_GB2312" w:cs="Arial"/>
              </w:rPr>
              <w:t xml:space="preserve">COREANA COSMETICS CO., LTD.</w:t>
            </w:r>
            <w:r>
              <w:rPr>
                <w:rFonts w:ascii="Arial Narrow" w:hAnsi="Arial Narrow" w:eastAsia="仿宋_GB2312" w:cs="Arial"/>
              </w:rPr>
            </w:r>
          </w:p>
        </w:tc>
        <w:tc>
          <w:tcPr>
            <w:shd w:val="clear" w:color="000000" w:fill="ffffff"/>
            <w:tcBorders/>
            <w:tcW w:w="1076" w:type="dxa"/>
            <w:vAlign w:val="center"/>
            <w:textDirection w:val="lrTb"/>
            <w:noWrap w:val="false"/>
          </w:tcPr>
          <w:p>
            <w:pPr>
              <w:pBdr/>
              <w:spacing/>
              <w:ind/>
              <w:jc w:val="center"/>
              <w:rPr>
                <w:rFonts w:ascii="Arial Narrow" w:hAnsi="Arial Narrow" w:eastAsia="仿宋_GB2312" w:cs="Arial"/>
              </w:rPr>
            </w:pPr>
            <w:r>
              <w:rPr>
                <w:rFonts w:ascii="Arial Narrow" w:hAnsi="Arial Narrow" w:eastAsia="仿宋_GB2312" w:cs="Arial"/>
              </w:rPr>
              <w:t xml:space="preserve">韩国</w:t>
            </w:r>
            <w:r>
              <w:rPr>
                <w:rFonts w:ascii="Arial Narrow" w:hAnsi="Arial Narrow" w:eastAsia="仿宋_GB2312" w:cs="Arial"/>
              </w:rPr>
            </w:r>
          </w:p>
        </w:tc>
        <w:tc>
          <w:tcPr>
            <w:shd w:val="clear" w:color="000000" w:fill="ffffff"/>
            <w:tcBorders/>
            <w:tcW w:w="651" w:type="dxa"/>
            <w:vAlign w:val="center"/>
            <w:textDirection w:val="lrTb"/>
            <w:noWrap w:val="false"/>
          </w:tcPr>
          <w:p>
            <w:pPr>
              <w:pBdr/>
              <w:spacing/>
              <w:ind/>
              <w:jc w:val="center"/>
              <w:rPr>
                <w:rFonts w:ascii="Arial Narrow" w:hAnsi="Arial Narrow" w:eastAsia="仿宋_GB2312" w:cs="Arial"/>
              </w:rPr>
            </w:pPr>
            <w:r>
              <w:rPr>
                <w:rFonts w:ascii="Arial Narrow" w:hAnsi="Arial Narrow" w:eastAsia="仿宋_GB2312" w:cs="Arial"/>
              </w:rPr>
              <w:t xml:space="preserve">2844</w:t>
            </w:r>
            <w:r>
              <w:rPr>
                <w:rFonts w:ascii="Arial Narrow" w:hAnsi="Arial Narrow" w:eastAsia="仿宋_GB2312" w:cs="Arial"/>
              </w:rPr>
            </w:r>
          </w:p>
        </w:tc>
        <w:tc>
          <w:tcPr>
            <w:shd w:val="clear" w:color="auto" w:fill="auto"/>
            <w:tcBorders/>
            <w:tcW w:w="1679" w:type="dxa"/>
            <w:vAlign w:val="center"/>
            <w:textDirection w:val="lrTb"/>
            <w:noWrap w:val="false"/>
          </w:tcPr>
          <w:p>
            <w:pPr>
              <w:pBdr/>
              <w:spacing/>
              <w:ind/>
              <w:jc w:val="right"/>
              <w:rPr>
                <w:rFonts w:ascii="Arial Narrow" w:hAnsi="Arial Narrow" w:eastAsia="仿宋_GB2312" w:cs="Arial"/>
              </w:rPr>
            </w:pPr>
            <w:r>
              <w:rPr>
                <w:rFonts w:ascii="Arial Narrow" w:hAnsi="Arial Narrow" w:eastAsia="Arial Narrow" w:cs="Arial Narrow"/>
                <w:color w:val="000000"/>
                <w:lang w:bidi="ar"/>
              </w:rPr>
              <w:t xml:space="preserve">84,700,797,000.00</w:t>
            </w:r>
            <w:r>
              <w:rPr>
                <w:rFonts w:ascii="Arial Narrow" w:hAnsi="Arial Narrow" w:eastAsia="仿宋_GB2312" w:cs="Arial"/>
              </w:rPr>
            </w:r>
          </w:p>
        </w:tc>
        <w:tc>
          <w:tcPr>
            <w:tcBorders/>
            <w:tcW w:w="1736" w:type="dxa"/>
            <w:vAlign w:val="center"/>
            <w:textDirection w:val="lrTb"/>
            <w:noWrap w:val="false"/>
          </w:tcPr>
          <w:p>
            <w:pPr>
              <w:pBdr/>
              <w:spacing/>
              <w:ind/>
              <w:jc w:val="right"/>
              <w:rPr>
                <w:rFonts w:ascii="Arial Narrow" w:hAnsi="Arial Narrow" w:eastAsia="仿宋_GB2312" w:cs="Arial"/>
              </w:rPr>
            </w:pPr>
            <w:r>
              <w:rPr>
                <w:rFonts w:ascii="Arial Narrow" w:hAnsi="Arial Narrow" w:eastAsia="Arial Narrow" w:cs="Arial Narrow"/>
                <w:color w:val="000000"/>
                <w:lang w:bidi="ar"/>
              </w:rPr>
              <w:t xml:space="preserve">-46,336,465,666.67</w:t>
            </w:r>
            <w:r>
              <w:rPr>
                <w:rFonts w:ascii="Arial Narrow" w:hAnsi="Arial Narrow" w:eastAsia="仿宋_GB2312" w:cs="Arial"/>
              </w:rPr>
            </w:r>
          </w:p>
        </w:tc>
        <w:tc>
          <w:tcPr>
            <w:shd w:val="clear" w:color="auto" w:fill="auto"/>
            <w:tcBorders/>
            <w:tcW w:w="1783" w:type="dxa"/>
            <w:vAlign w:val="center"/>
            <w:textDirection w:val="lrTb"/>
            <w:noWrap w:val="false"/>
          </w:tcPr>
          <w:p>
            <w:pPr>
              <w:pBdr/>
              <w:spacing/>
              <w:ind/>
              <w:jc w:val="right"/>
              <w:rPr>
                <w:rFonts w:ascii="Arial Narrow" w:hAnsi="Arial Narrow" w:eastAsia="仿宋_GB2312" w:cs="Arial"/>
              </w:rPr>
            </w:pPr>
            <w:r>
              <w:rPr>
                <w:rFonts w:ascii="Arial Narrow" w:hAnsi="Arial Narrow" w:eastAsia="Arial Narrow" w:cs="Arial Narrow"/>
                <w:color w:val="000000"/>
                <w:lang w:bidi="ar"/>
              </w:rPr>
              <w:t xml:space="preserve">-34,204,699,000.00</w:t>
            </w:r>
            <w:r>
              <w:rPr>
                <w:rFonts w:ascii="Arial Narrow" w:hAnsi="Arial Narrow" w:eastAsia="仿宋_GB2312" w:cs="Arial"/>
              </w:rPr>
            </w:r>
          </w:p>
        </w:tc>
        <w:tc>
          <w:tcPr>
            <w:shd w:val="clear" w:color="auto" w:fill="auto"/>
            <w:tcBorders/>
            <w:tcW w:w="1660" w:type="dxa"/>
            <w:vAlign w:val="center"/>
            <w:textDirection w:val="lrTb"/>
            <w:noWrap w:val="false"/>
          </w:tcPr>
          <w:p>
            <w:pPr>
              <w:pBdr/>
              <w:spacing/>
              <w:ind/>
              <w:jc w:val="right"/>
              <w:rPr>
                <w:rFonts w:ascii="Arial Narrow" w:hAnsi="Arial Narrow" w:eastAsia="仿宋_GB2312" w:cs="Arial"/>
              </w:rPr>
            </w:pPr>
            <w:r>
              <w:rPr>
                <w:rFonts w:ascii="Arial Narrow" w:hAnsi="Arial Narrow" w:eastAsia="Arial Narrow" w:cs="Arial Narrow"/>
                <w:color w:val="000000"/>
                <w:lang w:bidi="ar"/>
              </w:rPr>
              <w:t xml:space="preserve">-3,002,449,000.00</w:t>
            </w:r>
            <w:r>
              <w:rPr>
                <w:rFonts w:ascii="Arial Narrow" w:hAnsi="Arial Narrow" w:eastAsia="仿宋_GB2312" w:cs="Arial"/>
              </w:rPr>
            </w:r>
          </w:p>
        </w:tc>
        <w:tc>
          <w:tcPr>
            <w:shd w:val="clear" w:color="auto" w:fill="auto"/>
            <w:tcBorders/>
            <w:tcW w:w="1585" w:type="dxa"/>
            <w:vAlign w:val="center"/>
            <w:textDirection w:val="lrTb"/>
            <w:noWrap w:val="false"/>
          </w:tcPr>
          <w:p>
            <w:pPr>
              <w:pBdr/>
              <w:spacing/>
              <w:ind/>
              <w:jc w:val="right"/>
              <w:rPr>
                <w:rFonts w:ascii="Arial Narrow" w:hAnsi="Arial Narrow" w:eastAsia="仿宋_GB2312" w:cs="Arial"/>
              </w:rPr>
            </w:pPr>
            <w:r>
              <w:rPr>
                <w:rFonts w:ascii="Arial Narrow" w:hAnsi="Arial Narrow" w:eastAsia="Arial Narrow" w:cs="Arial Narrow"/>
                <w:color w:val="000000"/>
                <w:lang w:bidi="ar"/>
              </w:rPr>
              <w:t xml:space="preserve">1,157,183,333.33</w:t>
            </w:r>
            <w:r>
              <w:rPr>
                <w:rFonts w:ascii="Arial Narrow" w:hAnsi="Arial Narrow" w:eastAsia="仿宋_GB2312" w:cs="Arial"/>
              </w:rPr>
            </w:r>
          </w:p>
        </w:tc>
        <w:tc>
          <w:tcPr>
            <w:shd w:val="clear" w:color="auto" w:fill="auto"/>
            <w:tcBorders/>
            <w:tcW w:w="1076" w:type="dxa"/>
            <w:vAlign w:val="center"/>
            <w:textDirection w:val="lrTb"/>
            <w:noWrap w:val="false"/>
          </w:tcPr>
          <w:p>
            <w:pPr>
              <w:pBdr/>
              <w:spacing/>
              <w:ind/>
              <w:jc w:val="right"/>
              <w:rPr>
                <w:rFonts w:ascii="Arial Narrow" w:hAnsi="Arial Narrow" w:eastAsia="仿宋_GB2312" w:cs="Arial"/>
              </w:rPr>
            </w:pPr>
            <w:r>
              <w:rPr>
                <w:rFonts w:ascii="Arial Narrow" w:hAnsi="Arial Narrow" w:eastAsia="Arial Narrow" w:cs="Arial Narrow"/>
                <w:color w:val="000000"/>
                <w:lang w:bidi="ar"/>
              </w:rPr>
              <w:t xml:space="preserve">1.39%</w:t>
            </w:r>
            <w:r>
              <w:rPr>
                <w:rFonts w:ascii="Arial Narrow" w:hAnsi="Arial Narrow" w:eastAsia="仿宋_GB2312" w:cs="Arial"/>
              </w:rPr>
            </w:r>
          </w:p>
        </w:tc>
      </w:tr>
      <w:tr>
        <w:trPr>
          <w:trHeight w:val="397"/>
        </w:trPr>
        <w:tc>
          <w:tcPr>
            <w:shd w:val="clear" w:color="000000" w:fill="ffffff"/>
            <w:tcBorders>
              <w:bottom w:val="none" w:color="000000" w:sz="4" w:space="0"/>
            </w:tcBorders>
            <w:tcW w:w="660" w:type="dxa"/>
            <w:vAlign w:val="center"/>
            <w:textDirection w:val="lrTb"/>
            <w:noWrap w:val="false"/>
          </w:tcPr>
          <w:p>
            <w:pPr>
              <w:pBdr/>
              <w:spacing/>
              <w:ind/>
              <w:jc w:val="center"/>
              <w:rPr>
                <w:rFonts w:ascii="Arial Narrow" w:hAnsi="Arial Narrow" w:eastAsia="仿宋_GB2312" w:cs="Arial"/>
              </w:rPr>
            </w:pPr>
            <w:r>
              <w:rPr>
                <w:rFonts w:hint="eastAsia" w:ascii="Arial Narrow" w:hAnsi="Arial Narrow" w:eastAsia="仿宋_GB2312" w:cs="Arial"/>
              </w:rPr>
              <w:t xml:space="preserve">7</w:t>
            </w:r>
            <w:r>
              <w:rPr>
                <w:rFonts w:ascii="Arial Narrow" w:hAnsi="Arial Narrow" w:eastAsia="仿宋_GB2312" w:cs="Arial"/>
              </w:rPr>
            </w:r>
          </w:p>
        </w:tc>
        <w:tc>
          <w:tcPr>
            <w:shd w:val="clear" w:color="000000" w:fill="ffffff"/>
            <w:tcBorders>
              <w:bottom w:val="none" w:color="000000" w:sz="4" w:space="0"/>
            </w:tcBorders>
            <w:tcW w:w="2434" w:type="dxa"/>
            <w:vAlign w:val="center"/>
            <w:textDirection w:val="lrTb"/>
            <w:noWrap w:val="false"/>
          </w:tcPr>
          <w:p>
            <w:pPr>
              <w:pBdr/>
              <w:spacing/>
              <w:ind/>
              <w:rPr>
                <w:rFonts w:ascii="Arial Narrow" w:hAnsi="Arial Narrow" w:eastAsia="仿宋_GB2312" w:cs="Arial"/>
              </w:rPr>
            </w:pPr>
            <w:r>
              <w:rPr>
                <w:rFonts w:ascii="Arial Narrow" w:hAnsi="Arial Narrow" w:eastAsia="仿宋_GB2312" w:cs="Arial"/>
              </w:rPr>
              <w:t xml:space="preserve">HANKOOK COSMETICS MANUFACTURING CO., LTD.</w:t>
            </w:r>
            <w:r>
              <w:rPr>
                <w:rFonts w:ascii="Arial Narrow" w:hAnsi="Arial Narrow" w:eastAsia="仿宋_GB2312" w:cs="Arial"/>
              </w:rPr>
            </w:r>
          </w:p>
        </w:tc>
        <w:tc>
          <w:tcPr>
            <w:shd w:val="clear" w:color="000000" w:fill="ffffff"/>
            <w:tcBorders>
              <w:bottom w:val="none" w:color="000000" w:sz="4" w:space="0"/>
            </w:tcBorders>
            <w:tcW w:w="1076" w:type="dxa"/>
            <w:vAlign w:val="center"/>
            <w:textDirection w:val="lrTb"/>
            <w:noWrap w:val="false"/>
          </w:tcPr>
          <w:p>
            <w:pPr>
              <w:pBdr/>
              <w:spacing/>
              <w:ind/>
              <w:jc w:val="center"/>
              <w:rPr>
                <w:rFonts w:ascii="Arial Narrow" w:hAnsi="Arial Narrow" w:eastAsia="仿宋_GB2312" w:cs="Arial"/>
              </w:rPr>
            </w:pPr>
            <w:r>
              <w:rPr>
                <w:rFonts w:ascii="Arial Narrow" w:hAnsi="Arial Narrow" w:eastAsia="仿宋_GB2312" w:cs="Arial"/>
              </w:rPr>
              <w:t xml:space="preserve">韩国</w:t>
            </w:r>
            <w:r>
              <w:rPr>
                <w:rFonts w:ascii="Arial Narrow" w:hAnsi="Arial Narrow" w:eastAsia="仿宋_GB2312" w:cs="Arial"/>
              </w:rPr>
            </w:r>
          </w:p>
        </w:tc>
        <w:tc>
          <w:tcPr>
            <w:shd w:val="clear" w:color="000000" w:fill="ffffff"/>
            <w:tcBorders>
              <w:bottom w:val="none" w:color="000000" w:sz="4" w:space="0"/>
            </w:tcBorders>
            <w:tcW w:w="651" w:type="dxa"/>
            <w:vAlign w:val="center"/>
            <w:textDirection w:val="lrTb"/>
            <w:noWrap w:val="false"/>
          </w:tcPr>
          <w:p>
            <w:pPr>
              <w:pBdr/>
              <w:spacing/>
              <w:ind/>
              <w:jc w:val="center"/>
              <w:rPr>
                <w:rFonts w:ascii="Arial Narrow" w:hAnsi="Arial Narrow" w:eastAsia="仿宋_GB2312" w:cs="Arial"/>
              </w:rPr>
            </w:pPr>
            <w:r>
              <w:rPr>
                <w:rFonts w:ascii="Arial Narrow" w:hAnsi="Arial Narrow" w:eastAsia="仿宋_GB2312" w:cs="Arial"/>
              </w:rPr>
              <w:t xml:space="preserve">2844</w:t>
            </w:r>
            <w:r>
              <w:rPr>
                <w:rFonts w:ascii="Arial Narrow" w:hAnsi="Arial Narrow" w:eastAsia="仿宋_GB2312" w:cs="Arial"/>
              </w:rPr>
            </w:r>
          </w:p>
        </w:tc>
        <w:tc>
          <w:tcPr>
            <w:shd w:val="clear" w:color="auto" w:fill="auto"/>
            <w:tcBorders>
              <w:bottom w:val="none" w:color="000000" w:sz="4" w:space="0"/>
            </w:tcBorders>
            <w:tcW w:w="1679" w:type="dxa"/>
            <w:vAlign w:val="center"/>
            <w:textDirection w:val="lrTb"/>
            <w:noWrap w:val="false"/>
          </w:tcPr>
          <w:p>
            <w:pPr>
              <w:pBdr/>
              <w:spacing/>
              <w:ind/>
              <w:jc w:val="right"/>
              <w:rPr>
                <w:rFonts w:ascii="Arial Narrow" w:hAnsi="Arial Narrow" w:eastAsia="仿宋_GB2312" w:cs="Arial"/>
              </w:rPr>
            </w:pPr>
            <w:r>
              <w:rPr>
                <w:rFonts w:ascii="Arial Narrow" w:hAnsi="Arial Narrow" w:eastAsia="Arial Narrow" w:cs="Arial Narrow"/>
                <w:color w:val="000000"/>
                <w:lang w:bidi="ar"/>
              </w:rPr>
              <w:t xml:space="preserve">77,892,311,000.00</w:t>
            </w:r>
            <w:r>
              <w:rPr>
                <w:rFonts w:ascii="Arial Narrow" w:hAnsi="Arial Narrow" w:eastAsia="仿宋_GB2312" w:cs="Arial"/>
              </w:rPr>
            </w:r>
          </w:p>
        </w:tc>
        <w:tc>
          <w:tcPr>
            <w:tcBorders>
              <w:bottom w:val="none" w:color="000000" w:sz="4" w:space="0"/>
            </w:tcBorders>
            <w:tcW w:w="1736" w:type="dxa"/>
            <w:vAlign w:val="center"/>
            <w:textDirection w:val="lrTb"/>
            <w:noWrap w:val="false"/>
          </w:tcPr>
          <w:p>
            <w:pPr>
              <w:pBdr/>
              <w:spacing/>
              <w:ind/>
              <w:jc w:val="right"/>
              <w:rPr>
                <w:rFonts w:ascii="Arial Narrow" w:hAnsi="Arial Narrow" w:eastAsia="仿宋_GB2312" w:cs="Arial"/>
              </w:rPr>
            </w:pPr>
            <w:r>
              <w:rPr>
                <w:rFonts w:ascii="Arial Narrow" w:hAnsi="Arial Narrow" w:eastAsia="Arial Narrow" w:cs="Arial Narrow"/>
                <w:color w:val="000000"/>
                <w:lang w:bidi="ar"/>
              </w:rPr>
              <w:t xml:space="preserve">-67,155,844,333.33</w:t>
            </w:r>
            <w:r>
              <w:rPr>
                <w:rFonts w:ascii="Arial Narrow" w:hAnsi="Arial Narrow" w:eastAsia="仿宋_GB2312" w:cs="Arial"/>
              </w:rPr>
            </w:r>
          </w:p>
        </w:tc>
        <w:tc>
          <w:tcPr>
            <w:shd w:val="clear" w:color="auto" w:fill="auto"/>
            <w:tcBorders>
              <w:bottom w:val="none" w:color="000000" w:sz="4" w:space="0"/>
            </w:tcBorders>
            <w:tcW w:w="1783" w:type="dxa"/>
            <w:vAlign w:val="center"/>
            <w:textDirection w:val="lrTb"/>
            <w:noWrap w:val="false"/>
          </w:tcPr>
          <w:p>
            <w:pPr>
              <w:pBdr/>
              <w:spacing/>
              <w:ind/>
              <w:jc w:val="right"/>
              <w:rPr>
                <w:rFonts w:ascii="Arial Narrow" w:hAnsi="Arial Narrow" w:eastAsia="仿宋_GB2312" w:cs="Arial"/>
              </w:rPr>
            </w:pPr>
            <w:r>
              <w:rPr>
                <w:rFonts w:ascii="Arial Narrow" w:hAnsi="Arial Narrow" w:eastAsia="Arial Narrow" w:cs="Arial Narrow"/>
                <w:color w:val="000000"/>
                <w:lang w:bidi="ar"/>
              </w:rPr>
              <w:t xml:space="preserve">-9,149,541,000.00</w:t>
            </w:r>
            <w:r>
              <w:rPr>
                <w:rFonts w:ascii="Arial Narrow" w:hAnsi="Arial Narrow" w:eastAsia="仿宋_GB2312" w:cs="Arial"/>
              </w:rPr>
            </w:r>
          </w:p>
        </w:tc>
        <w:tc>
          <w:tcPr>
            <w:shd w:val="clear" w:color="auto" w:fill="auto"/>
            <w:tcBorders>
              <w:bottom w:val="none" w:color="000000" w:sz="4" w:space="0"/>
            </w:tcBorders>
            <w:tcW w:w="1660" w:type="dxa"/>
            <w:vAlign w:val="center"/>
            <w:textDirection w:val="lrTb"/>
            <w:noWrap w:val="false"/>
          </w:tcPr>
          <w:p>
            <w:pPr>
              <w:pBdr/>
              <w:spacing/>
              <w:ind/>
              <w:jc w:val="right"/>
              <w:rPr>
                <w:rFonts w:ascii="Arial Narrow" w:hAnsi="Arial Narrow" w:eastAsia="仿宋_GB2312" w:cs="Arial"/>
              </w:rPr>
            </w:pPr>
            <w:r>
              <w:rPr>
                <w:rFonts w:ascii="Arial Narrow" w:hAnsi="Arial Narrow" w:eastAsia="Arial Narrow" w:cs="Arial Narrow"/>
                <w:color w:val="000000"/>
                <w:lang w:bidi="ar"/>
              </w:rPr>
              <w:t xml:space="preserve">-1,130,764,666.67</w:t>
            </w:r>
            <w:r>
              <w:rPr>
                <w:rFonts w:ascii="Arial Narrow" w:hAnsi="Arial Narrow" w:eastAsia="仿宋_GB2312" w:cs="Arial"/>
              </w:rPr>
            </w:r>
          </w:p>
        </w:tc>
        <w:tc>
          <w:tcPr>
            <w:shd w:val="clear" w:color="auto" w:fill="auto"/>
            <w:tcBorders>
              <w:bottom w:val="none" w:color="000000" w:sz="4" w:space="0"/>
            </w:tcBorders>
            <w:tcW w:w="1585" w:type="dxa"/>
            <w:vAlign w:val="center"/>
            <w:textDirection w:val="lrTb"/>
            <w:noWrap w:val="false"/>
          </w:tcPr>
          <w:p>
            <w:pPr>
              <w:pBdr/>
              <w:spacing/>
              <w:ind/>
              <w:jc w:val="right"/>
              <w:rPr>
                <w:rFonts w:ascii="Arial Narrow" w:hAnsi="Arial Narrow" w:eastAsia="仿宋_GB2312" w:cs="Arial"/>
              </w:rPr>
            </w:pPr>
            <w:r>
              <w:rPr>
                <w:rFonts w:ascii="Arial Narrow" w:hAnsi="Arial Narrow" w:eastAsia="Arial Narrow" w:cs="Arial Narrow"/>
                <w:color w:val="000000"/>
                <w:lang w:bidi="ar"/>
              </w:rPr>
              <w:t xml:space="preserve">456,161,000.00</w:t>
            </w:r>
            <w:r>
              <w:rPr>
                <w:rFonts w:ascii="Arial Narrow" w:hAnsi="Arial Narrow" w:eastAsia="仿宋_GB2312" w:cs="Arial"/>
              </w:rPr>
            </w:r>
          </w:p>
        </w:tc>
        <w:tc>
          <w:tcPr>
            <w:shd w:val="clear" w:color="auto" w:fill="auto"/>
            <w:tcBorders>
              <w:bottom w:val="none" w:color="000000" w:sz="4" w:space="0"/>
            </w:tcBorders>
            <w:tcW w:w="1076" w:type="dxa"/>
            <w:vAlign w:val="center"/>
            <w:textDirection w:val="lrTb"/>
            <w:noWrap w:val="false"/>
          </w:tcPr>
          <w:p>
            <w:pPr>
              <w:pBdr/>
              <w:spacing/>
              <w:ind/>
              <w:jc w:val="right"/>
              <w:rPr>
                <w:rFonts w:ascii="Arial Narrow" w:hAnsi="Arial Narrow" w:eastAsia="仿宋_GB2312" w:cs="Arial"/>
              </w:rPr>
            </w:pPr>
            <w:r>
              <w:rPr>
                <w:rFonts w:ascii="Arial Narrow" w:hAnsi="Arial Narrow" w:eastAsia="Arial Narrow" w:cs="Arial Narrow"/>
                <w:color w:val="000000"/>
                <w:lang w:bidi="ar"/>
              </w:rPr>
              <w:t xml:space="preserve">0.59%</w:t>
            </w:r>
            <w:r>
              <w:rPr>
                <w:rFonts w:ascii="Arial Narrow" w:hAnsi="Arial Narrow" w:eastAsia="仿宋_GB2312" w:cs="Arial"/>
              </w:rPr>
            </w:r>
          </w:p>
        </w:tc>
      </w:tr>
      <w:tr>
        <w:trPr>
          <w:trHeight w:val="431"/>
        </w:trPr>
        <w:tc>
          <w:tcPr>
            <w:shd w:val="clear" w:color="000000" w:fill="ffffff"/>
            <w:tcBorders/>
            <w:tcW w:w="660" w:type="dxa"/>
            <w:vAlign w:val="center"/>
            <w:textDirection w:val="lrTb"/>
            <w:noWrap w:val="false"/>
          </w:tcPr>
          <w:p>
            <w:pPr>
              <w:pBdr/>
              <w:spacing/>
              <w:ind/>
              <w:jc w:val="center"/>
              <w:rPr>
                <w:rFonts w:ascii="Arial Narrow" w:hAnsi="Arial Narrow" w:eastAsia="仿宋_GB2312" w:cs="Arial"/>
              </w:rPr>
            </w:pPr>
            <w:r>
              <w:rPr>
                <w:rFonts w:hint="eastAsia" w:ascii="Arial Narrow" w:hAnsi="Arial Narrow" w:eastAsia="仿宋_GB2312" w:cs="Arial"/>
              </w:rPr>
              <w:t xml:space="preserve">8</w:t>
            </w:r>
            <w:r>
              <w:rPr>
                <w:rFonts w:ascii="Arial Narrow" w:hAnsi="Arial Narrow" w:eastAsia="仿宋_GB2312" w:cs="Arial"/>
              </w:rPr>
            </w:r>
          </w:p>
        </w:tc>
        <w:tc>
          <w:tcPr>
            <w:shd w:val="clear" w:color="000000" w:fill="ffffff"/>
            <w:tcBorders/>
            <w:tcW w:w="2434" w:type="dxa"/>
            <w:vAlign w:val="center"/>
            <w:textDirection w:val="lrTb"/>
            <w:noWrap w:val="false"/>
          </w:tcPr>
          <w:p>
            <w:pPr>
              <w:pBdr/>
              <w:spacing/>
              <w:ind/>
              <w:rPr>
                <w:rFonts w:ascii="Arial Narrow" w:hAnsi="Arial Narrow" w:eastAsia="仿宋_GB2312" w:cs="Arial"/>
              </w:rPr>
            </w:pPr>
            <w:r>
              <w:rPr>
                <w:rFonts w:hint="eastAsia" w:ascii="Arial Narrow" w:hAnsi="Arial Narrow" w:eastAsia="仿宋_GB2312" w:cs="Arial"/>
              </w:rPr>
              <w:t xml:space="preserve">MAYWUFA COMPANY LTD.</w:t>
            </w:r>
            <w:r>
              <w:rPr>
                <w:rFonts w:ascii="Arial Narrow" w:hAnsi="Arial Narrow" w:eastAsia="仿宋_GB2312" w:cs="Arial"/>
              </w:rPr>
            </w:r>
          </w:p>
        </w:tc>
        <w:tc>
          <w:tcPr>
            <w:shd w:val="clear" w:color="000000" w:fill="ffffff"/>
            <w:tcBorders/>
            <w:tcW w:w="1076" w:type="dxa"/>
            <w:vAlign w:val="center"/>
            <w:textDirection w:val="lrTb"/>
            <w:noWrap w:val="false"/>
          </w:tcPr>
          <w:p>
            <w:pPr>
              <w:pBdr/>
              <w:spacing/>
              <w:ind/>
              <w:jc w:val="center"/>
              <w:rPr>
                <w:rFonts w:ascii="Arial Narrow" w:hAnsi="Arial Narrow" w:eastAsia="仿宋_GB2312" w:cs="Arial"/>
              </w:rPr>
            </w:pPr>
            <w:r>
              <w:rPr>
                <w:rFonts w:hint="eastAsia" w:ascii="Arial Narrow" w:hAnsi="Arial Narrow" w:eastAsia="仿宋_GB2312" w:cs="Arial"/>
              </w:rPr>
              <w:t xml:space="preserve">中国台湾</w:t>
            </w:r>
            <w:r>
              <w:rPr>
                <w:rFonts w:ascii="Arial Narrow" w:hAnsi="Arial Narrow" w:eastAsia="仿宋_GB2312" w:cs="Arial"/>
              </w:rPr>
            </w:r>
          </w:p>
        </w:tc>
        <w:tc>
          <w:tcPr>
            <w:shd w:val="clear" w:color="000000" w:fill="ffffff"/>
            <w:tcBorders/>
            <w:tcW w:w="651" w:type="dxa"/>
            <w:vAlign w:val="center"/>
            <w:textDirection w:val="lrTb"/>
            <w:noWrap w:val="false"/>
          </w:tcPr>
          <w:p>
            <w:pPr>
              <w:pBdr/>
              <w:spacing/>
              <w:ind/>
              <w:jc w:val="center"/>
              <w:rPr>
                <w:rFonts w:ascii="Arial Narrow" w:hAnsi="Arial Narrow" w:eastAsia="仿宋_GB2312" w:cs="Arial"/>
              </w:rPr>
            </w:pPr>
            <w:r>
              <w:rPr>
                <w:rFonts w:hint="eastAsia" w:ascii="Arial Narrow" w:hAnsi="Arial Narrow" w:eastAsia="仿宋_GB2312" w:cs="Arial"/>
              </w:rPr>
              <w:t xml:space="preserve">2844</w:t>
            </w:r>
            <w:r>
              <w:rPr>
                <w:rFonts w:ascii="Arial Narrow" w:hAnsi="Arial Narrow" w:eastAsia="仿宋_GB2312" w:cs="Arial"/>
              </w:rPr>
            </w:r>
          </w:p>
        </w:tc>
        <w:tc>
          <w:tcPr>
            <w:shd w:val="clear" w:color="auto" w:fill="auto"/>
            <w:tcBorders/>
            <w:tcW w:w="1679" w:type="dxa"/>
            <w:vAlign w:val="center"/>
            <w:textDirection w:val="lrTb"/>
            <w:noWrap w:val="false"/>
          </w:tcPr>
          <w:p>
            <w:pPr>
              <w:pBdr/>
              <w:spacing/>
              <w:ind/>
              <w:jc w:val="right"/>
              <w:rPr>
                <w:rFonts w:ascii="Arial Narrow" w:hAnsi="Arial Narrow" w:eastAsia="Arial Narrow" w:cs="Arial Narrow"/>
                <w:color w:val="000000"/>
                <w:lang w:bidi="ar"/>
              </w:rPr>
            </w:pPr>
            <w:r>
              <w:rPr>
                <w:rFonts w:ascii="Arial Narrow" w:hAnsi="Arial Narrow" w:eastAsia="Arial Narrow" w:cs="Arial Narrow"/>
                <w:color w:val="000000"/>
                <w:lang w:bidi="ar"/>
              </w:rPr>
              <w:t xml:space="preserve">1,199,880,333.33 </w:t>
            </w:r>
            <w:r>
              <w:rPr>
                <w:rFonts w:ascii="Arial Narrow" w:hAnsi="Arial Narrow" w:eastAsia="Arial Narrow" w:cs="Arial Narrow"/>
                <w:color w:val="000000"/>
                <w:lang w:bidi="ar"/>
              </w:rPr>
            </w:r>
          </w:p>
        </w:tc>
        <w:tc>
          <w:tcPr>
            <w:tcBorders/>
            <w:tcW w:w="1736" w:type="dxa"/>
            <w:vAlign w:val="center"/>
            <w:textDirection w:val="lrTb"/>
            <w:noWrap w:val="false"/>
          </w:tcPr>
          <w:p>
            <w:pPr>
              <w:pBdr/>
              <w:spacing/>
              <w:ind/>
              <w:jc w:val="right"/>
              <w:rPr>
                <w:rFonts w:ascii="Arial Narrow" w:hAnsi="Arial Narrow" w:eastAsia="Arial Narrow" w:cs="Arial Narrow"/>
                <w:color w:val="000000"/>
                <w:lang w:bidi="ar"/>
              </w:rPr>
            </w:pPr>
            <w:r>
              <w:rPr>
                <w:rFonts w:ascii="Arial Narrow" w:hAnsi="Arial Narrow" w:eastAsia="Arial Narrow" w:cs="Arial Narrow"/>
                <w:color w:val="000000"/>
                <w:lang w:bidi="ar"/>
              </w:rPr>
              <w:t xml:space="preserve"> -384,358,000.00 </w:t>
            </w:r>
            <w:r>
              <w:rPr>
                <w:rFonts w:ascii="Arial Narrow" w:hAnsi="Arial Narrow" w:eastAsia="Arial Narrow" w:cs="Arial Narrow"/>
                <w:color w:val="000000"/>
                <w:lang w:bidi="ar"/>
              </w:rPr>
            </w:r>
          </w:p>
        </w:tc>
        <w:tc>
          <w:tcPr>
            <w:shd w:val="clear" w:color="auto" w:fill="auto"/>
            <w:tcBorders/>
            <w:tcW w:w="1783" w:type="dxa"/>
            <w:vAlign w:val="center"/>
            <w:textDirection w:val="lrTb"/>
            <w:noWrap w:val="false"/>
          </w:tcPr>
          <w:p>
            <w:pPr>
              <w:pBdr/>
              <w:spacing/>
              <w:ind/>
              <w:jc w:val="right"/>
              <w:rPr>
                <w:rFonts w:ascii="Arial Narrow" w:hAnsi="Arial Narrow" w:eastAsia="Arial Narrow" w:cs="Arial Narrow"/>
                <w:color w:val="000000"/>
                <w:lang w:bidi="ar"/>
              </w:rPr>
            </w:pPr>
            <w:r>
              <w:rPr>
                <w:rFonts w:ascii="Arial Narrow" w:hAnsi="Arial Narrow" w:eastAsia="Arial Narrow" w:cs="Arial Narrow"/>
                <w:color w:val="000000"/>
                <w:lang w:bidi="ar"/>
              </w:rPr>
              <w:t xml:space="preserve"> -588,763,000.00 </w:t>
            </w:r>
            <w:r>
              <w:rPr>
                <w:rFonts w:ascii="Arial Narrow" w:hAnsi="Arial Narrow" w:eastAsia="Arial Narrow" w:cs="Arial Narrow"/>
                <w:color w:val="000000"/>
                <w:lang w:bidi="ar"/>
              </w:rPr>
            </w:r>
          </w:p>
        </w:tc>
        <w:tc>
          <w:tcPr>
            <w:shd w:val="clear" w:color="auto" w:fill="auto"/>
            <w:tcBorders/>
            <w:tcW w:w="1660" w:type="dxa"/>
            <w:vAlign w:val="center"/>
            <w:textDirection w:val="lrTb"/>
            <w:noWrap w:val="false"/>
          </w:tcPr>
          <w:p>
            <w:pPr>
              <w:pBdr/>
              <w:spacing/>
              <w:ind/>
              <w:jc w:val="right"/>
              <w:rPr>
                <w:rFonts w:ascii="Arial Narrow" w:hAnsi="Arial Narrow" w:eastAsia="Arial Narrow" w:cs="Arial Narrow"/>
                <w:color w:val="000000"/>
                <w:lang w:bidi="ar"/>
              </w:rPr>
            </w:pPr>
            <w:r>
              <w:rPr>
                <w:rFonts w:ascii="Arial Narrow" w:hAnsi="Arial Narrow" w:eastAsia="Arial Narrow" w:cs="Arial Narrow"/>
                <w:color w:val="000000"/>
                <w:lang w:bidi="ar"/>
              </w:rPr>
              <w:t xml:space="preserve"> -37,336,333.33 </w:t>
            </w:r>
            <w:r>
              <w:rPr>
                <w:rFonts w:ascii="Arial Narrow" w:hAnsi="Arial Narrow" w:eastAsia="Arial Narrow" w:cs="Arial Narrow"/>
                <w:color w:val="000000"/>
                <w:lang w:bidi="ar"/>
              </w:rPr>
            </w:r>
          </w:p>
        </w:tc>
        <w:tc>
          <w:tcPr>
            <w:shd w:val="clear" w:color="auto" w:fill="auto"/>
            <w:tcBorders/>
            <w:tcW w:w="1585" w:type="dxa"/>
            <w:vAlign w:val="center"/>
            <w:textDirection w:val="lrTb"/>
            <w:noWrap w:val="false"/>
          </w:tcPr>
          <w:p>
            <w:pPr>
              <w:pBdr/>
              <w:spacing/>
              <w:ind/>
              <w:jc w:val="right"/>
              <w:rPr>
                <w:rFonts w:ascii="Arial Narrow" w:hAnsi="Arial Narrow" w:eastAsia="Arial Narrow" w:cs="Arial Narrow"/>
                <w:color w:val="000000"/>
                <w:lang w:bidi="ar"/>
              </w:rPr>
            </w:pPr>
            <w:r>
              <w:rPr>
                <w:rFonts w:ascii="Arial Narrow" w:hAnsi="Arial Narrow" w:eastAsia="Arial Narrow" w:cs="Arial Narrow"/>
                <w:color w:val="000000"/>
                <w:lang w:bidi="ar"/>
              </w:rPr>
              <w:t xml:space="preserve"> 189,423,000.00 </w:t>
            </w:r>
            <w:r>
              <w:rPr>
                <w:rFonts w:ascii="Arial Narrow" w:hAnsi="Arial Narrow" w:eastAsia="Arial Narrow" w:cs="Arial Narrow"/>
                <w:color w:val="000000"/>
                <w:lang w:bidi="ar"/>
              </w:rPr>
            </w:r>
          </w:p>
        </w:tc>
        <w:tc>
          <w:tcPr>
            <w:shd w:val="clear" w:color="auto" w:fill="auto"/>
            <w:tcBorders/>
            <w:tcW w:w="1076" w:type="dxa"/>
            <w:vAlign w:val="center"/>
            <w:textDirection w:val="lrTb"/>
            <w:noWrap w:val="false"/>
          </w:tcPr>
          <w:p>
            <w:pPr>
              <w:pBdr/>
              <w:spacing/>
              <w:ind/>
              <w:jc w:val="right"/>
              <w:rPr>
                <w:rFonts w:ascii="Arial Narrow" w:hAnsi="Arial Narrow" w:eastAsia="仿宋_GB2312" w:cs="Arial"/>
              </w:rPr>
            </w:pPr>
            <w:r>
              <w:rPr>
                <w:rFonts w:ascii="Arial Narrow" w:hAnsi="Arial Narrow" w:eastAsia="Arial Narrow" w:cs="Arial Narrow"/>
                <w:color w:val="000000"/>
                <w:lang w:bidi="ar"/>
              </w:rPr>
              <w:t xml:space="preserve">18.75%</w:t>
            </w:r>
            <w:r>
              <w:rPr>
                <w:rFonts w:ascii="Arial Narrow" w:hAnsi="Arial Narrow" w:eastAsia="仿宋_GB2312" w:cs="Arial"/>
              </w:rPr>
            </w:r>
          </w:p>
        </w:tc>
      </w:tr>
      <w:tr>
        <w:trPr>
          <w:trHeight w:val="431"/>
        </w:trPr>
        <w:tc>
          <w:tcPr>
            <w:shd w:val="clear" w:color="000000" w:fill="ffffff"/>
            <w:tcBorders/>
            <w:tcW w:w="660" w:type="dxa"/>
            <w:vAlign w:val="center"/>
            <w:textDirection w:val="lrTb"/>
            <w:noWrap w:val="false"/>
          </w:tcPr>
          <w:p>
            <w:pPr>
              <w:pBdr/>
              <w:spacing/>
              <w:ind/>
              <w:jc w:val="center"/>
              <w:rPr>
                <w:rFonts w:ascii="Arial Narrow" w:hAnsi="Arial Narrow" w:eastAsia="仿宋_GB2312" w:cs="Arial"/>
              </w:rPr>
            </w:pPr>
            <w:r>
              <w:rPr>
                <w:rFonts w:hint="eastAsia" w:ascii="Arial Narrow" w:hAnsi="Arial Narrow" w:eastAsia="仿宋_GB2312" w:cs="Arial"/>
              </w:rPr>
              <w:t xml:space="preserve">9</w:t>
            </w:r>
            <w:r>
              <w:rPr>
                <w:rFonts w:ascii="Arial Narrow" w:hAnsi="Arial Narrow" w:eastAsia="仿宋_GB2312" w:cs="Arial"/>
              </w:rPr>
            </w:r>
          </w:p>
        </w:tc>
        <w:tc>
          <w:tcPr>
            <w:shd w:val="clear" w:color="000000" w:fill="ffffff"/>
            <w:tcBorders/>
            <w:tcW w:w="2434" w:type="dxa"/>
            <w:vAlign w:val="center"/>
            <w:textDirection w:val="lrTb"/>
            <w:noWrap w:val="false"/>
          </w:tcPr>
          <w:p>
            <w:pPr>
              <w:pBdr/>
              <w:spacing/>
              <w:ind/>
              <w:rPr>
                <w:rFonts w:ascii="Arial Narrow" w:hAnsi="Arial Narrow" w:eastAsia="仿宋_GB2312" w:cs="Arial"/>
              </w:rPr>
            </w:pPr>
            <w:r>
              <w:rPr>
                <w:rFonts w:hint="eastAsia" w:ascii="Arial Narrow" w:hAnsi="Arial Narrow" w:eastAsia="仿宋_GB2312" w:cs="Arial"/>
              </w:rPr>
              <w:t xml:space="preserve">COSMAX BTI INC.</w:t>
            </w:r>
            <w:r>
              <w:rPr>
                <w:rFonts w:ascii="Arial Narrow" w:hAnsi="Arial Narrow" w:eastAsia="仿宋_GB2312" w:cs="Arial"/>
              </w:rPr>
            </w:r>
          </w:p>
        </w:tc>
        <w:tc>
          <w:tcPr>
            <w:shd w:val="clear" w:color="000000" w:fill="ffffff"/>
            <w:tcBorders/>
            <w:tcW w:w="1076" w:type="dxa"/>
            <w:vAlign w:val="center"/>
            <w:textDirection w:val="lrTb"/>
            <w:noWrap w:val="false"/>
          </w:tcPr>
          <w:p>
            <w:pPr>
              <w:pBdr/>
              <w:spacing/>
              <w:ind/>
              <w:jc w:val="center"/>
              <w:rPr>
                <w:rFonts w:ascii="Arial Narrow" w:hAnsi="Arial Narrow" w:eastAsia="仿宋_GB2312" w:cs="Arial"/>
              </w:rPr>
            </w:pPr>
            <w:r>
              <w:rPr>
                <w:rFonts w:hint="eastAsia" w:ascii="Arial Narrow" w:hAnsi="Arial Narrow" w:eastAsia="仿宋_GB2312" w:cs="Arial"/>
              </w:rPr>
              <w:t xml:space="preserve">韩国</w:t>
            </w:r>
            <w:r>
              <w:rPr>
                <w:rFonts w:ascii="Arial Narrow" w:hAnsi="Arial Narrow" w:eastAsia="仿宋_GB2312" w:cs="Arial"/>
              </w:rPr>
            </w:r>
          </w:p>
        </w:tc>
        <w:tc>
          <w:tcPr>
            <w:shd w:val="clear" w:color="000000" w:fill="ffffff"/>
            <w:tcBorders/>
            <w:tcW w:w="651" w:type="dxa"/>
            <w:vAlign w:val="center"/>
            <w:textDirection w:val="lrTb"/>
            <w:noWrap w:val="false"/>
          </w:tcPr>
          <w:p>
            <w:pPr>
              <w:pBdr/>
              <w:spacing/>
              <w:ind/>
              <w:jc w:val="center"/>
              <w:rPr>
                <w:rFonts w:ascii="Arial Narrow" w:hAnsi="Arial Narrow" w:eastAsia="仿宋_GB2312" w:cs="Arial"/>
              </w:rPr>
            </w:pPr>
            <w:r>
              <w:rPr>
                <w:rFonts w:hint="eastAsia" w:ascii="Arial Narrow" w:hAnsi="Arial Narrow" w:eastAsia="仿宋_GB2312" w:cs="Arial"/>
              </w:rPr>
              <w:t xml:space="preserve">2844</w:t>
            </w:r>
            <w:r>
              <w:rPr>
                <w:rFonts w:ascii="Arial Narrow" w:hAnsi="Arial Narrow" w:eastAsia="仿宋_GB2312" w:cs="Arial"/>
              </w:rPr>
            </w:r>
          </w:p>
        </w:tc>
        <w:tc>
          <w:tcPr>
            <w:shd w:val="clear" w:color="auto" w:fill="auto"/>
            <w:tcBorders/>
            <w:tcW w:w="1679" w:type="dxa"/>
            <w:vAlign w:val="center"/>
            <w:textDirection w:val="lrTb"/>
            <w:noWrap w:val="false"/>
          </w:tcPr>
          <w:p>
            <w:pPr>
              <w:pBdr/>
              <w:spacing/>
              <w:ind/>
              <w:jc w:val="right"/>
              <w:rPr>
                <w:rFonts w:ascii="Arial Narrow" w:hAnsi="Arial Narrow" w:eastAsia="Arial Narrow" w:cs="Arial Narrow"/>
                <w:color w:val="000000"/>
                <w:lang w:bidi="ar"/>
              </w:rPr>
            </w:pPr>
            <w:r>
              <w:rPr>
                <w:rFonts w:ascii="Arial Narrow" w:hAnsi="Arial Narrow" w:eastAsia="Arial Narrow" w:cs="Arial Narrow"/>
                <w:color w:val="000000"/>
                <w:lang w:bidi="ar"/>
              </w:rPr>
              <w:t xml:space="preserve">573,102,094,333.33 </w:t>
            </w:r>
            <w:r>
              <w:rPr>
                <w:rFonts w:ascii="Arial Narrow" w:hAnsi="Arial Narrow" w:eastAsia="Arial Narrow" w:cs="Arial Narrow"/>
                <w:color w:val="000000"/>
                <w:lang w:bidi="ar"/>
              </w:rPr>
            </w:r>
          </w:p>
        </w:tc>
        <w:tc>
          <w:tcPr>
            <w:tcBorders/>
            <w:tcW w:w="1736" w:type="dxa"/>
            <w:vAlign w:val="center"/>
            <w:textDirection w:val="lrTb"/>
            <w:noWrap w:val="false"/>
          </w:tcPr>
          <w:p>
            <w:pPr>
              <w:pBdr/>
              <w:spacing/>
              <w:ind/>
              <w:jc w:val="right"/>
              <w:rPr>
                <w:rFonts w:ascii="Arial Narrow" w:hAnsi="Arial Narrow" w:eastAsia="Arial Narrow" w:cs="Arial Narrow"/>
                <w:color w:val="000000"/>
                <w:lang w:bidi="ar"/>
              </w:rPr>
            </w:pPr>
            <w:r>
              <w:rPr>
                <w:rFonts w:ascii="Arial Narrow" w:hAnsi="Arial Narrow" w:eastAsia="Arial Narrow" w:cs="Arial Narrow"/>
                <w:color w:val="000000"/>
                <w:lang w:bidi="ar"/>
              </w:rPr>
              <w:t xml:space="preserve">-490,586,605,666.67 </w:t>
            </w:r>
            <w:r>
              <w:rPr>
                <w:rFonts w:ascii="Arial Narrow" w:hAnsi="Arial Narrow" w:eastAsia="Arial Narrow" w:cs="Arial Narrow"/>
                <w:color w:val="000000"/>
                <w:lang w:bidi="ar"/>
              </w:rPr>
            </w:r>
          </w:p>
        </w:tc>
        <w:tc>
          <w:tcPr>
            <w:shd w:val="clear" w:color="auto" w:fill="auto"/>
            <w:tcBorders/>
            <w:tcW w:w="1783" w:type="dxa"/>
            <w:vAlign w:val="center"/>
            <w:textDirection w:val="lrTb"/>
            <w:noWrap w:val="false"/>
          </w:tcPr>
          <w:p>
            <w:pPr>
              <w:pBdr/>
              <w:spacing/>
              <w:ind/>
              <w:jc w:val="right"/>
              <w:rPr>
                <w:rFonts w:ascii="Arial Narrow" w:hAnsi="Arial Narrow" w:eastAsia="Arial Narrow" w:cs="Arial Narrow"/>
                <w:color w:val="000000"/>
                <w:lang w:bidi="ar"/>
              </w:rPr>
            </w:pPr>
            <w:r>
              <w:rPr>
                <w:rFonts w:ascii="Arial Narrow" w:hAnsi="Arial Narrow" w:eastAsia="Arial Narrow" w:cs="Arial Narrow"/>
                <w:color w:val="000000"/>
                <w:lang w:bidi="ar"/>
              </w:rPr>
              <w:t xml:space="preserve"> -70,999,356,333.33 </w:t>
            </w:r>
            <w:r>
              <w:rPr>
                <w:rFonts w:ascii="Arial Narrow" w:hAnsi="Arial Narrow" w:eastAsia="Arial Narrow" w:cs="Arial Narrow"/>
                <w:color w:val="000000"/>
                <w:lang w:bidi="ar"/>
              </w:rPr>
            </w:r>
          </w:p>
        </w:tc>
        <w:tc>
          <w:tcPr>
            <w:shd w:val="clear" w:color="auto" w:fill="auto"/>
            <w:tcBorders/>
            <w:tcW w:w="1660" w:type="dxa"/>
            <w:vAlign w:val="center"/>
            <w:textDirection w:val="lrTb"/>
            <w:noWrap w:val="false"/>
          </w:tcPr>
          <w:p>
            <w:pPr>
              <w:pBdr/>
              <w:spacing/>
              <w:ind/>
              <w:jc w:val="right"/>
              <w:rPr>
                <w:rFonts w:ascii="Arial Narrow" w:hAnsi="Arial Narrow" w:eastAsia="Arial Narrow" w:cs="Arial Narrow"/>
                <w:color w:val="000000"/>
                <w:lang w:bidi="ar"/>
              </w:rPr>
            </w:pPr>
            <w:r>
              <w:rPr>
                <w:rFonts w:ascii="Arial Narrow" w:hAnsi="Arial Narrow" w:eastAsia="Arial Narrow" w:cs="Arial Narrow"/>
                <w:color w:val="000000"/>
                <w:lang w:bidi="ar"/>
              </w:rPr>
              <w:t xml:space="preserve"> -6,006,853,000.00 </w:t>
            </w:r>
            <w:r>
              <w:rPr>
                <w:rFonts w:ascii="Arial Narrow" w:hAnsi="Arial Narrow" w:eastAsia="Arial Narrow" w:cs="Arial Narrow"/>
                <w:color w:val="000000"/>
                <w:lang w:bidi="ar"/>
              </w:rPr>
            </w:r>
          </w:p>
        </w:tc>
        <w:tc>
          <w:tcPr>
            <w:shd w:val="clear" w:color="auto" w:fill="auto"/>
            <w:tcBorders/>
            <w:tcW w:w="1585" w:type="dxa"/>
            <w:vAlign w:val="center"/>
            <w:textDirection w:val="lrTb"/>
            <w:noWrap w:val="false"/>
          </w:tcPr>
          <w:p>
            <w:pPr>
              <w:pBdr/>
              <w:spacing/>
              <w:ind/>
              <w:jc w:val="right"/>
              <w:rPr>
                <w:rFonts w:ascii="Arial Narrow" w:hAnsi="Arial Narrow" w:eastAsia="Arial Narrow" w:cs="Arial Narrow"/>
                <w:color w:val="000000"/>
                <w:lang w:bidi="ar"/>
              </w:rPr>
            </w:pPr>
            <w:r>
              <w:rPr>
                <w:rFonts w:ascii="Arial Narrow" w:hAnsi="Arial Narrow" w:eastAsia="Arial Narrow" w:cs="Arial Narrow"/>
                <w:color w:val="000000"/>
                <w:lang w:bidi="ar"/>
              </w:rPr>
              <w:t xml:space="preserve"> 5,509,279,333.33 </w:t>
            </w:r>
            <w:r>
              <w:rPr>
                <w:rFonts w:ascii="Arial Narrow" w:hAnsi="Arial Narrow" w:eastAsia="Arial Narrow" w:cs="Arial Narrow"/>
                <w:color w:val="000000"/>
                <w:lang w:bidi="ar"/>
              </w:rPr>
            </w:r>
          </w:p>
        </w:tc>
        <w:tc>
          <w:tcPr>
            <w:shd w:val="clear" w:color="auto" w:fill="auto"/>
            <w:tcBorders/>
            <w:tcW w:w="1076" w:type="dxa"/>
            <w:vAlign w:val="center"/>
            <w:textDirection w:val="lrTb"/>
            <w:noWrap w:val="false"/>
          </w:tcPr>
          <w:p>
            <w:pPr>
              <w:pBdr/>
              <w:spacing/>
              <w:ind/>
              <w:jc w:val="right"/>
              <w:rPr>
                <w:rFonts w:ascii="Arial Narrow" w:hAnsi="Arial Narrow" w:eastAsia="仿宋_GB2312" w:cs="Arial"/>
              </w:rPr>
            </w:pPr>
            <w:r>
              <w:rPr>
                <w:rFonts w:ascii="Arial Narrow" w:hAnsi="Arial Narrow" w:eastAsia="Arial Narrow" w:cs="Arial Narrow"/>
                <w:color w:val="000000"/>
                <w:lang w:bidi="ar"/>
              </w:rPr>
              <w:t xml:space="preserve">0.97%</w:t>
            </w:r>
            <w:bookmarkEnd w:id="1136"/>
            <w:bookmarkEnd w:id="1137"/>
            <w:bookmarkEnd w:id="1160"/>
            <w:bookmarkEnd w:id="1161"/>
            <w:bookmarkEnd w:id="1162"/>
            <w:bookmarkEnd w:id="1163"/>
            <w:r>
              <w:rPr>
                <w:rFonts w:ascii="Arial Narrow" w:hAnsi="Arial Narrow" w:eastAsia="仿宋_GB2312" w:cs="Arial"/>
              </w:rPr>
            </w:r>
          </w:p>
        </w:tc>
      </w:tr>
    </w:tbl>
    <w:p>
      <w:pPr>
        <w:pBdr/>
        <w:spacing w:before="180"/>
        <w:ind/>
        <w:rPr>
          <w:rFonts w:ascii="Arial Narrow" w:hAnsi="Arial Narrow" w:eastAsia="仿宋_GB2312" w:cs="Arial"/>
          <w:sz w:val="18"/>
          <w:szCs w:val="18"/>
        </w:rPr>
      </w:pPr>
      <w:r>
        <w:rPr>
          <w:rFonts w:ascii="Arial Narrow" w:hAnsi="Arial Narrow" w:eastAsia="仿宋_GB2312" w:cs="Arial"/>
          <w:b/>
          <w:bCs/>
          <w:i/>
          <w:color w:val="002060"/>
          <w:sz w:val="22"/>
          <w:szCs w:val="22"/>
        </w:rPr>
        <w:t xml:space="preserve">四分位区间分析表</w:t>
      </w:r>
      <w:r>
        <w:rPr>
          <w:rFonts w:ascii="Arial Narrow" w:hAnsi="Arial Narrow" w:eastAsia="仿宋_GB2312" w:cs="Arial"/>
          <w:sz w:val="18"/>
          <w:szCs w:val="18"/>
        </w:rPr>
      </w:r>
    </w:p>
    <w:tbl>
      <w:tblPr>
        <w:tblStyle w:val="1370"/>
        <w:tblW w:w="0" w:type="auto"/>
        <w:tblInd w:w="-5" w:type="dxa"/>
        <w:tblBorders/>
        <w:tblLook w:val="04A0" w:firstRow="1" w:lastRow="0" w:firstColumn="1" w:lastColumn="0" w:noHBand="0" w:noVBand="1"/>
      </w:tblPr>
      <w:tblGrid>
        <w:gridCol w:w="2429"/>
        <w:gridCol w:w="2304"/>
        <w:gridCol w:w="2305"/>
        <w:gridCol w:w="2305"/>
        <w:gridCol w:w="2305"/>
        <w:gridCol w:w="2244"/>
      </w:tblGrid>
      <w:tr>
        <w:trPr>
          <w:trHeight w:val="397"/>
        </w:trPr>
        <w:tc>
          <w:tcPr>
            <w:shd w:val="clear" w:color="auto" w:fill="002060"/>
            <w:tcBorders/>
            <w:tcW w:w="2429" w:type="dxa"/>
            <w:vAlign w:val="center"/>
            <w:textDirection w:val="lrTb"/>
            <w:noWrap w:val="false"/>
          </w:tcPr>
          <w:p>
            <w:pPr>
              <w:pBdr/>
              <w:spacing/>
              <w:ind/>
              <w:jc w:val="center"/>
              <w:rPr>
                <w:rFonts w:ascii="Arial Narrow" w:hAnsi="Arial Narrow" w:eastAsia="仿宋_GB2312" w:cs="Arial"/>
                <w:b/>
                <w:color w:val="ffffff" w:themeColor="background1"/>
              </w:rPr>
            </w:pPr>
            <w:r/>
            <w:bookmarkStart w:id="1164" w:name="RANGE!B9"/>
            <w:r/>
            <w:bookmarkStart w:id="1165" w:name="RANGE!A7"/>
            <w:r/>
            <w:bookmarkStart w:id="1166" w:name="RANGE!A10"/>
            <w:r/>
            <w:bookmarkEnd w:id="1164"/>
            <w:r/>
            <w:bookmarkEnd w:id="1165"/>
            <w:r/>
            <w:bookmarkEnd w:id="1166"/>
            <w:r>
              <w:rPr>
                <w:rFonts w:ascii="Arial Narrow" w:hAnsi="Arial Narrow" w:eastAsia="仿宋_GB2312" w:cs="Arial"/>
                <w:b/>
                <w:color w:val="ffffff" w:themeColor="background1"/>
              </w:rPr>
              <w:t xml:space="preserve">利润水平指标</w:t>
            </w:r>
            <w:r>
              <w:rPr>
                <w:rFonts w:ascii="Arial Narrow" w:hAnsi="Arial Narrow" w:eastAsia="仿宋_GB2312" w:cs="Arial"/>
                <w:b/>
                <w:color w:val="ffffff" w:themeColor="background1"/>
              </w:rPr>
            </w:r>
          </w:p>
        </w:tc>
        <w:tc>
          <w:tcPr>
            <w:shd w:val="clear" w:color="auto" w:fill="002060"/>
            <w:tcBorders/>
            <w:tcW w:w="2304" w:type="dxa"/>
            <w:vAlign w:val="center"/>
            <w:textDirection w:val="lrTb"/>
            <w:noWrap w:val="false"/>
          </w:tcPr>
          <w:p>
            <w:pPr>
              <w:pBdr/>
              <w:spacing/>
              <w:ind/>
              <w:jc w:val="center"/>
              <w:rPr>
                <w:rFonts w:ascii="Arial Narrow" w:hAnsi="Arial Narrow" w:eastAsia="仿宋_GB2312" w:cs="Arial"/>
                <w:b/>
                <w:color w:val="ffffff" w:themeColor="background1"/>
              </w:rPr>
            </w:pPr>
            <w:r>
              <w:rPr>
                <w:rFonts w:ascii="Arial Narrow" w:hAnsi="Arial Narrow" w:eastAsia="仿宋_GB2312" w:cs="Arial"/>
                <w:b/>
                <w:color w:val="ffffff" w:themeColor="background1"/>
              </w:rPr>
              <w:t xml:space="preserve">最小值</w:t>
            </w:r>
            <w:r>
              <w:rPr>
                <w:rFonts w:ascii="Arial Narrow" w:hAnsi="Arial Narrow" w:eastAsia="仿宋_GB2312" w:cs="Arial"/>
                <w:b/>
                <w:color w:val="ffffff" w:themeColor="background1"/>
              </w:rPr>
            </w:r>
          </w:p>
        </w:tc>
        <w:tc>
          <w:tcPr>
            <w:shd w:val="clear" w:color="auto" w:fill="002060"/>
            <w:tcBorders/>
            <w:tcW w:w="2305" w:type="dxa"/>
            <w:vAlign w:val="center"/>
            <w:textDirection w:val="lrTb"/>
            <w:noWrap w:val="false"/>
          </w:tcPr>
          <w:p>
            <w:pPr>
              <w:pBdr/>
              <w:spacing/>
              <w:ind/>
              <w:jc w:val="center"/>
              <w:rPr>
                <w:rFonts w:ascii="Arial Narrow" w:hAnsi="Arial Narrow" w:eastAsia="仿宋_GB2312" w:cs="Arial"/>
                <w:b/>
                <w:color w:val="ffffff" w:themeColor="background1"/>
              </w:rPr>
            </w:pPr>
            <w:r>
              <w:rPr>
                <w:rFonts w:ascii="Arial Narrow" w:hAnsi="Arial Narrow" w:eastAsia="仿宋_GB2312" w:cs="Arial"/>
                <w:b/>
                <w:color w:val="ffffff" w:themeColor="background1"/>
              </w:rPr>
              <w:t xml:space="preserve">第一四分位</w:t>
            </w:r>
            <w:r>
              <w:rPr>
                <w:rFonts w:ascii="Arial Narrow" w:hAnsi="Arial Narrow" w:eastAsia="仿宋_GB2312" w:cs="Arial"/>
                <w:b/>
                <w:color w:val="ffffff" w:themeColor="background1"/>
              </w:rPr>
            </w:r>
          </w:p>
        </w:tc>
        <w:tc>
          <w:tcPr>
            <w:shd w:val="clear" w:color="auto" w:fill="002060"/>
            <w:tcBorders/>
            <w:tcW w:w="2305" w:type="dxa"/>
            <w:vAlign w:val="center"/>
            <w:textDirection w:val="lrTb"/>
            <w:noWrap w:val="false"/>
          </w:tcPr>
          <w:p>
            <w:pPr>
              <w:pBdr/>
              <w:spacing/>
              <w:ind/>
              <w:jc w:val="center"/>
              <w:rPr>
                <w:rFonts w:ascii="Arial Narrow" w:hAnsi="Arial Narrow" w:eastAsia="仿宋_GB2312" w:cs="Arial"/>
                <w:b/>
                <w:color w:val="ffffff" w:themeColor="background1"/>
              </w:rPr>
            </w:pPr>
            <w:r>
              <w:rPr>
                <w:rFonts w:ascii="Arial Narrow" w:hAnsi="Arial Narrow" w:eastAsia="仿宋_GB2312" w:cs="Arial"/>
                <w:b/>
                <w:color w:val="ffffff" w:themeColor="background1"/>
              </w:rPr>
              <w:t xml:space="preserve">中位值</w:t>
            </w:r>
            <w:r>
              <w:rPr>
                <w:rFonts w:ascii="Arial Narrow" w:hAnsi="Arial Narrow" w:eastAsia="仿宋_GB2312" w:cs="Arial"/>
                <w:b/>
                <w:color w:val="ffffff" w:themeColor="background1"/>
              </w:rPr>
            </w:r>
          </w:p>
        </w:tc>
        <w:tc>
          <w:tcPr>
            <w:shd w:val="clear" w:color="auto" w:fill="002060"/>
            <w:tcBorders/>
            <w:tcW w:w="2305" w:type="dxa"/>
            <w:vAlign w:val="center"/>
            <w:textDirection w:val="lrTb"/>
            <w:noWrap w:val="false"/>
          </w:tcPr>
          <w:p>
            <w:pPr>
              <w:pBdr/>
              <w:spacing/>
              <w:ind/>
              <w:jc w:val="center"/>
              <w:rPr>
                <w:rFonts w:ascii="Arial Narrow" w:hAnsi="Arial Narrow" w:eastAsia="仿宋_GB2312" w:cs="Arial"/>
                <w:b/>
                <w:color w:val="ffffff" w:themeColor="background1"/>
              </w:rPr>
            </w:pPr>
            <w:r>
              <w:rPr>
                <w:rFonts w:ascii="Arial Narrow" w:hAnsi="Arial Narrow" w:eastAsia="仿宋_GB2312" w:cs="Arial"/>
                <w:b/>
                <w:color w:val="ffffff" w:themeColor="background1"/>
              </w:rPr>
              <w:t xml:space="preserve">第三四分位</w:t>
            </w:r>
            <w:r>
              <w:rPr>
                <w:rFonts w:ascii="Arial Narrow" w:hAnsi="Arial Narrow" w:eastAsia="仿宋_GB2312" w:cs="Arial"/>
                <w:b/>
                <w:color w:val="ffffff" w:themeColor="background1"/>
              </w:rPr>
            </w:r>
          </w:p>
        </w:tc>
        <w:tc>
          <w:tcPr>
            <w:shd w:val="clear" w:color="auto" w:fill="002060"/>
            <w:tcBorders/>
            <w:tcW w:w="2244" w:type="dxa"/>
            <w:vAlign w:val="center"/>
            <w:textDirection w:val="lrTb"/>
            <w:noWrap w:val="false"/>
          </w:tcPr>
          <w:p>
            <w:pPr>
              <w:pBdr/>
              <w:spacing/>
              <w:ind/>
              <w:jc w:val="center"/>
              <w:rPr>
                <w:rFonts w:ascii="Arial Narrow" w:hAnsi="Arial Narrow" w:eastAsia="仿宋_GB2312" w:cs="Arial"/>
                <w:b/>
                <w:color w:val="ffffff" w:themeColor="background1"/>
              </w:rPr>
            </w:pPr>
            <w:r>
              <w:rPr>
                <w:rFonts w:ascii="Arial Narrow" w:hAnsi="Arial Narrow" w:eastAsia="仿宋_GB2312" w:cs="Arial"/>
                <w:b/>
                <w:color w:val="ffffff" w:themeColor="background1"/>
              </w:rPr>
              <w:t xml:space="preserve">最大值</w:t>
            </w:r>
            <w:r>
              <w:rPr>
                <w:rFonts w:ascii="Arial Narrow" w:hAnsi="Arial Narrow" w:eastAsia="仿宋_GB2312" w:cs="Arial"/>
                <w:b/>
                <w:color w:val="ffffff" w:themeColor="background1"/>
              </w:rPr>
            </w:r>
          </w:p>
        </w:tc>
      </w:tr>
      <w:tr>
        <w:trPr>
          <w:trHeight w:val="397"/>
        </w:trPr>
        <w:tc>
          <w:tcPr>
            <w:tcBorders/>
            <w:tcW w:w="2429" w:type="dxa"/>
            <w:vAlign w:val="center"/>
            <w:textDirection w:val="lrTb"/>
            <w:noWrap w:val="false"/>
          </w:tcPr>
          <w:p>
            <w:pPr>
              <w:pBdr/>
              <w:spacing/>
              <w:ind/>
              <w:jc w:val="center"/>
              <w:rPr>
                <w:rFonts w:ascii="Arial Narrow" w:hAnsi="Arial Narrow" w:eastAsia="仿宋_GB2312" w:cs="Arial"/>
              </w:rPr>
            </w:pPr>
            <w:r>
              <w:rPr>
                <w:rFonts w:ascii="Arial Narrow" w:hAnsi="Arial Narrow" w:eastAsia="仿宋_GB2312" w:cs="Arial"/>
              </w:rPr>
              <w:t xml:space="preserve">完全成本加成率</w:t>
            </w:r>
            <w:r>
              <w:rPr>
                <w:rFonts w:ascii="Arial Narrow" w:hAnsi="Arial Narrow" w:eastAsia="仿宋_GB2312" w:cs="Arial"/>
              </w:rPr>
            </w:r>
          </w:p>
        </w:tc>
        <w:tc>
          <w:tcPr>
            <w:tcBorders/>
            <w:tcW w:w="2304" w:type="dxa"/>
            <w:vAlign w:val="center"/>
            <w:textDirection w:val="lrTb"/>
            <w:noWrap w:val="false"/>
          </w:tcPr>
          <w:p>
            <w:pPr>
              <w:pBdr/>
              <w:spacing/>
              <w:ind/>
              <w:jc w:val="center"/>
              <w:rPr>
                <w:rFonts w:ascii="Arial Narrow" w:hAnsi="Arial Narrow" w:eastAsia="仿宋_GB2312" w:cs="Arial"/>
              </w:rPr>
            </w:pPr>
            <w:r>
              <w:rPr>
                <w:rFonts w:ascii="Arial Narrow" w:hAnsi="Arial Narrow" w:eastAsia="仿宋_GB2312" w:cs="Arial"/>
              </w:rPr>
              <w:t xml:space="preserve">-3.37%</w:t>
            </w:r>
            <w:r>
              <w:rPr>
                <w:rFonts w:ascii="Arial Narrow" w:hAnsi="Arial Narrow" w:eastAsia="仿宋_GB2312" w:cs="Arial"/>
              </w:rPr>
            </w:r>
            <w:r>
              <w:rPr>
                <w:rFonts w:ascii="Arial Narrow" w:hAnsi="Arial Narrow" w:eastAsia="仿宋_GB2312" w:cs="Arial"/>
              </w:rPr>
            </w:r>
          </w:p>
        </w:tc>
        <w:tc>
          <w:tcPr>
            <w:tcBorders/>
            <w:tcW w:w="2305" w:type="dxa"/>
            <w:vAlign w:val="center"/>
            <w:textDirection w:val="lrTb"/>
            <w:noWrap w:val="false"/>
          </w:tcPr>
          <w:p>
            <w:pPr>
              <w:pBdr/>
              <w:spacing/>
              <w:ind/>
              <w:jc w:val="center"/>
              <w:rPr>
                <w:rFonts w:ascii="Arial Narrow" w:hAnsi="Arial Narrow" w:eastAsia="仿宋_GB2312" w:cs="Arial"/>
              </w:rPr>
            </w:pPr>
            <w:r>
              <w:rPr>
                <w:rFonts w:hint="eastAsia" w:ascii="Arial Narrow" w:hAnsi="Arial Narrow" w:eastAsia="仿宋_GB2312" w:cs="Arial"/>
              </w:rPr>
              <w:t xml:space="preserve">0.59%</w:t>
            </w:r>
            <w:r>
              <w:rPr>
                <w:rFonts w:ascii="Arial Narrow" w:hAnsi="Arial Narrow" w:eastAsia="仿宋_GB2312" w:cs="Arial"/>
              </w:rPr>
            </w:r>
            <w:r>
              <w:rPr>
                <w:rFonts w:ascii="Arial Narrow" w:hAnsi="Arial Narrow" w:eastAsia="仿宋_GB2312" w:cs="Arial"/>
              </w:rPr>
            </w:r>
          </w:p>
        </w:tc>
        <w:tc>
          <w:tcPr>
            <w:tcBorders/>
            <w:tcW w:w="2305" w:type="dxa"/>
            <w:vAlign w:val="center"/>
            <w:textDirection w:val="lrTb"/>
            <w:noWrap w:val="false"/>
          </w:tcPr>
          <w:p>
            <w:pPr>
              <w:pBdr/>
              <w:spacing/>
              <w:ind/>
              <w:jc w:val="center"/>
              <w:rPr>
                <w:rFonts w:ascii="Arial Narrow" w:hAnsi="Arial Narrow" w:eastAsia="仿宋_GB2312" w:cs="Arial"/>
              </w:rPr>
            </w:pPr>
            <w:r>
              <w:rPr>
                <w:rFonts w:hint="eastAsia" w:ascii="Arial Narrow" w:hAnsi="Arial Narrow" w:eastAsia="仿宋_GB2312" w:cs="Arial"/>
              </w:rPr>
              <w:t xml:space="preserve">1.39%</w:t>
            </w:r>
            <w:r>
              <w:rPr>
                <w:rFonts w:ascii="Arial Narrow" w:hAnsi="Arial Narrow" w:eastAsia="仿宋_GB2312" w:cs="Arial"/>
              </w:rPr>
            </w:r>
            <w:r>
              <w:rPr>
                <w:rFonts w:ascii="Arial Narrow" w:hAnsi="Arial Narrow" w:eastAsia="仿宋_GB2312" w:cs="Arial"/>
              </w:rPr>
            </w:r>
          </w:p>
        </w:tc>
        <w:tc>
          <w:tcPr>
            <w:tcBorders/>
            <w:tcW w:w="2305" w:type="dxa"/>
            <w:vAlign w:val="center"/>
            <w:textDirection w:val="lrTb"/>
            <w:noWrap w:val="false"/>
          </w:tcPr>
          <w:p>
            <w:pPr>
              <w:pBdr/>
              <w:spacing/>
              <w:ind/>
              <w:jc w:val="center"/>
              <w:rPr>
                <w:rFonts w:ascii="Arial Narrow" w:hAnsi="Arial Narrow" w:eastAsia="仿宋_GB2312" w:cs="Arial"/>
              </w:rPr>
            </w:pPr>
            <w:r>
              <w:rPr>
                <w:rFonts w:hint="eastAsia" w:ascii="Arial Narrow" w:hAnsi="Arial Narrow" w:eastAsia="仿宋_GB2312" w:cs="Arial"/>
              </w:rPr>
              <w:t xml:space="preserve">7.29%</w:t>
            </w:r>
            <w:r>
              <w:rPr>
                <w:rFonts w:ascii="Arial Narrow" w:hAnsi="Arial Narrow" w:eastAsia="仿宋_GB2312" w:cs="Arial"/>
              </w:rPr>
            </w:r>
            <w:r>
              <w:rPr>
                <w:rFonts w:ascii="Arial Narrow" w:hAnsi="Arial Narrow" w:eastAsia="仿宋_GB2312" w:cs="Arial"/>
              </w:rPr>
            </w:r>
          </w:p>
        </w:tc>
        <w:tc>
          <w:tcPr>
            <w:tcBorders/>
            <w:tcW w:w="2244" w:type="dxa"/>
            <w:vAlign w:val="center"/>
            <w:textDirection w:val="lrTb"/>
            <w:noWrap w:val="false"/>
          </w:tcPr>
          <w:p>
            <w:pPr>
              <w:pBdr/>
              <w:spacing/>
              <w:ind/>
              <w:jc w:val="center"/>
              <w:rPr>
                <w:rFonts w:ascii="Arial Narrow" w:hAnsi="Arial Narrow" w:eastAsia="仿宋_GB2312" w:cs="Arial"/>
              </w:rPr>
            </w:pPr>
            <w:r>
              <w:rPr>
                <w:rFonts w:hint="eastAsia" w:ascii="Arial Narrow" w:hAnsi="Arial Narrow" w:eastAsia="仿宋_GB2312" w:cs="Arial"/>
              </w:rPr>
              <w:t xml:space="preserve">18.75%</w:t>
            </w:r>
            <w:r>
              <w:rPr>
                <w:rFonts w:ascii="Arial Narrow" w:hAnsi="Arial Narrow" w:eastAsia="仿宋_GB2312" w:cs="Arial"/>
              </w:rPr>
            </w:r>
            <w:r>
              <w:rPr>
                <w:rFonts w:ascii="Arial Narrow" w:hAnsi="Arial Narrow" w:eastAsia="仿宋_GB2312" w:cs="Arial"/>
              </w:rPr>
            </w:r>
          </w:p>
        </w:tc>
      </w:tr>
    </w:tbl>
    <w:p>
      <w:pPr>
        <w:pBdr/>
        <w:spacing w:line="240" w:lineRule="exact"/>
        <w:ind/>
        <w:rPr>
          <w:rFonts w:ascii="Arial Narrow" w:hAnsi="Arial Narrow" w:eastAsia="仿宋_GB2312" w:cs="Arial"/>
          <w:sz w:val="2"/>
          <w:szCs w:val="2"/>
        </w:rPr>
      </w:pPr>
      <w:r>
        <w:rPr>
          <w:rFonts w:ascii="Arial Narrow" w:hAnsi="Arial Narrow" w:eastAsia="仿宋_GB2312" w:cs="Arial"/>
          <w:sz w:val="2"/>
          <w:szCs w:val="2"/>
        </w:rPr>
      </w:r>
      <w:r>
        <w:rPr>
          <w:rFonts w:ascii="Arial Narrow" w:hAnsi="Arial Narrow" w:eastAsia="仿宋_GB2312" w:cs="Arial"/>
          <w:sz w:val="2"/>
          <w:szCs w:val="2"/>
        </w:rPr>
      </w:r>
    </w:p>
    <w:p>
      <w:pPr>
        <w:pBdr/>
        <w:spacing/>
        <w:ind/>
        <w:rPr/>
      </w:pPr>
      <w:r/>
      <w:r/>
    </w:p>
    <w:sectPr>
      <w:headerReference w:type="even" r:id="rId18"/>
      <w:headerReference w:type="first" r:id="rId19"/>
      <w:footerReference w:type="default" r:id="rId25"/>
      <w:footnotePr/>
      <w:endnotePr/>
      <w:type w:val="nextPage"/>
      <w:pgSz w:h="11907" w:orient="landscape" w:w="16839"/>
      <w:pgMar w:top="1800" w:right="1440" w:bottom="1800" w:left="1440" w:header="850" w:footer="992"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Yu Gothic UI">
    <w:panose1 w:val="020B0603030804020204"/>
  </w:font>
  <w:font w:name="仿宋">
    <w:panose1 w:val="02020603020101020101"/>
  </w:font>
  <w:font w:name="Symbol">
    <w:panose1 w:val="05010000000000000000"/>
  </w:font>
  <w:font w:name="EY Gothic Comp Book">
    <w:panose1 w:val="020B0603030804020204"/>
  </w:font>
  <w:font w:name="黑体">
    <w:panose1 w:val="02020603020101020101"/>
  </w:font>
  <w:font w:name="Arial Unicode MS">
    <w:panose1 w:val="020B0604020202020204"/>
  </w:font>
  <w:font w:name="EYInterstate">
    <w:panose1 w:val="020B0603030804020204"/>
  </w:font>
  <w:font w:name="Palatino">
    <w:panose1 w:val="020B0603030804020204"/>
  </w:font>
  <w:font w:name="华文细黑">
    <w:panose1 w:val="02020603020101020101"/>
  </w:font>
  <w:font w:name="楷体">
    <w:panose1 w:val="02020603020101020101"/>
  </w:font>
  <w:font w:name="Wingdings">
    <w:panose1 w:val="05010000000000000000"/>
  </w:font>
  <w:font w:name="华文楷体">
    <w:panose1 w:val="02000600040000000000"/>
  </w:font>
  <w:font w:name="MS Mincho">
    <w:panose1 w:val="02020603050405090304"/>
  </w:font>
  <w:font w:name="Tahoma">
    <w:panose1 w:val="020B0604030504040204"/>
  </w:font>
  <w:font w:name="Arial Bold">
    <w:panose1 w:val="020B0604020202020204"/>
  </w:font>
  <w:font w:name="Cambria">
    <w:panose1 w:val="02040503050406030204"/>
  </w:font>
  <w:font w:name="微软雅黑">
    <w:panose1 w:val="020B0603020202020204"/>
  </w:font>
  <w:font w:name="Calibri">
    <w:panose1 w:val="020F0502020204030204"/>
  </w:font>
  <w:font w:name="Courier New">
    <w:panose1 w:val="02070309020205020404"/>
  </w:font>
  <w:font w:name="&amp;apos;宋体">
    <w:panose1 w:val="020B0603030804020204"/>
  </w:font>
  <w:font w:name="仿宋_GB2312">
    <w:panose1 w:val="020B0603030804020204"/>
  </w:font>
  <w:font w:name="FZFangSong-Z02">
    <w:panose1 w:val="020B0603030804020204"/>
  </w:font>
  <w:font w:name="Verdana">
    <w:panose1 w:val="020B0604030504040204"/>
  </w:font>
  <w:font w:name="Arial">
    <w:panose1 w:val="020B0604020202020204"/>
  </w:font>
  <w:font w:name="Century">
    <w:panose1 w:val="02060603050605020204"/>
  </w:font>
  <w:font w:name="宋体">
    <w:panose1 w:val="02020603020101020101"/>
  </w:font>
  <w:font w:name="Times New Roman">
    <w:panose1 w:val="02020603050405020304"/>
  </w:font>
  <w:font w:name="Arial Narrow">
    <w:panose1 w:val="020B0604020202020204"/>
  </w:font>
  <w:font w:name="EYInterstate Light">
    <w:panose1 w:val="020B060303080402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54"/>
      <w:framePr w:hAnchor="margin" w:vAnchor="text" w:wrap="around" w:xAlign="center" w:y="1"/>
      <w:pBdr/>
      <w:spacing/>
      <w:ind/>
      <w:rPr>
        <w:rStyle w:val="1373"/>
      </w:rPr>
    </w:pPr>
    <w:r>
      <w:rPr>
        <w:rStyle w:val="1373"/>
      </w:rPr>
      <w:fldChar w:fldCharType="begin"/>
    </w:r>
    <w:r>
      <w:rPr>
        <w:rStyle w:val="1373"/>
      </w:rPr>
      <w:instrText xml:space="preserve">PAGE  </w:instrText>
    </w:r>
    <w:r>
      <w:rPr>
        <w:rStyle w:val="1373"/>
      </w:rPr>
      <w:fldChar w:fldCharType="end"/>
    </w:r>
    <w:r>
      <w:rPr>
        <w:rStyle w:val="1373"/>
      </w:rPr>
    </w:r>
  </w:p>
  <w:p>
    <w:pPr>
      <w:pStyle w:val="1354"/>
      <w:pBdr/>
      <w:spacing/>
      <w:ind w:right="360"/>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89948131"/>
      <w:rPr/>
    </w:sdtPr>
    <w:sdtContent>
      <w:p>
        <w:pPr>
          <w:pStyle w:val="1354"/>
          <w:pBdr/>
          <w:spacing/>
          <w:ind/>
          <w:jc w:val="center"/>
          <w:rPr/>
        </w:pP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rPr>
          <w:t xml:space="preserve">II</w:t>
        </w:r>
        <w:r>
          <w:rPr>
            <w:rFonts w:ascii="Arial Narrow" w:hAnsi="Arial Narrow"/>
            <w:sz w:val="16"/>
          </w:rPr>
          <w:fldChar w:fldCharType="end"/>
        </w:r>
        <w:r/>
      </w:p>
    </w:sdtContent>
  </w:sdt>
  <w:p>
    <w:pPr>
      <w:pStyle w:val="1354"/>
      <w:pBdr/>
      <w:spacing/>
      <w:ind w:right="420"/>
      <w:rPr>
        <w:rFonts w:ascii="楷体" w:hAnsi="楷体" w:eastAsia="楷体" w:cs="宋体"/>
        <w:sz w:val="15"/>
        <w:szCs w:val="15"/>
      </w:rPr>
    </w:pPr>
    <w:r>
      <w:rPr>
        <w:rFonts w:ascii="楷体" w:hAnsi="楷体" w:eastAsia="楷体" w:cs="宋体"/>
        <w:sz w:val="15"/>
        <w:szCs w:val="15"/>
      </w:rPr>
    </w:r>
    <w:r>
      <w:rPr>
        <w:rFonts w:ascii="楷体" w:hAnsi="楷体" w:eastAsia="楷体" w:cs="宋体"/>
        <w:sz w:val="15"/>
        <w:szCs w:val="15"/>
      </w:r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678078146"/>
      <w:rPr/>
    </w:sdtPr>
    <w:sdtContent>
      <w:p>
        <w:pPr>
          <w:pStyle w:val="1354"/>
          <w:pBdr/>
          <w:spacing/>
          <w:ind/>
          <w:jc w:val="center"/>
          <w:rPr>
            <w:rFonts w:ascii="Arial Narrow" w:hAnsi="Arial Narrow"/>
            <w:sz w:val="18"/>
          </w:rPr>
        </w:pPr>
        <w:r>
          <w:rPr>
            <w:rFonts w:ascii="Arial Narrow" w:hAnsi="Arial Narrow"/>
            <w:sz w:val="18"/>
          </w:rPr>
          <w:fldChar w:fldCharType="begin"/>
        </w:r>
        <w:r>
          <w:rPr>
            <w:rFonts w:ascii="Arial Narrow" w:hAnsi="Arial Narrow"/>
            <w:sz w:val="18"/>
          </w:rPr>
          <w:instrText xml:space="preserve">PAGE   \* MERGEFORMAT</w:instrText>
        </w:r>
        <w:r>
          <w:rPr>
            <w:rFonts w:ascii="Arial Narrow" w:hAnsi="Arial Narrow"/>
            <w:sz w:val="18"/>
          </w:rPr>
          <w:fldChar w:fldCharType="separate"/>
        </w:r>
        <w:r>
          <w:rPr>
            <w:rFonts w:ascii="Arial Narrow" w:hAnsi="Arial Narrow"/>
            <w:sz w:val="18"/>
            <w:lang w:val="zh-CN"/>
          </w:rPr>
          <w:t xml:space="preserve">iv</w:t>
        </w:r>
        <w:r>
          <w:rPr>
            <w:rFonts w:ascii="Arial Narrow" w:hAnsi="Arial Narrow"/>
            <w:sz w:val="18"/>
          </w:rPr>
          <w:fldChar w:fldCharType="end"/>
        </w:r>
        <w:r>
          <w:rPr>
            <w:rFonts w:ascii="Arial Narrow" w:hAnsi="Arial Narrow"/>
            <w:sz w:val="18"/>
          </w:rPr>
        </w:r>
      </w:p>
    </w:sdtContent>
  </w:sdt>
  <w:p>
    <w:pPr>
      <w:pStyle w:val="1354"/>
      <w:pBdr/>
      <w:spacing/>
      <w:ind/>
      <w:jc w:val="center"/>
      <w:rPr>
        <w:rFonts w:ascii="Arial" w:hAnsi="Arial" w:cs="Arial"/>
      </w:rPr>
    </w:pPr>
    <w:r>
      <w:rPr>
        <w:rFonts w:ascii="Arial" w:hAnsi="Arial" w:cs="Arial"/>
      </w:rPr>
    </w:r>
    <w:r>
      <w:rPr>
        <w:rFonts w:ascii="Arial" w:hAnsi="Arial" w:cs="Arial"/>
      </w:rP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54"/>
      <w:pBdr/>
      <w:spacing/>
      <w:ind/>
      <w:jc w:val="center"/>
      <w:rPr>
        <w:rFonts w:ascii="Arial Narrow" w:hAnsi="Arial Narrow" w:eastAsia="华文细黑"/>
        <w:sz w:val="18"/>
        <w:szCs w:val="18"/>
      </w:rPr>
    </w:pPr>
    <w:r>
      <w:rPr>
        <w:rFonts w:ascii="Arial Narrow" w:hAnsi="Arial Narrow" w:eastAsia="华文细黑"/>
        <w:sz w:val="18"/>
        <w:szCs w:val="18"/>
      </w:rPr>
      <w:fldChar w:fldCharType="begin"/>
    </w:r>
    <w:r>
      <w:rPr>
        <w:rFonts w:ascii="Arial Narrow" w:hAnsi="Arial Narrow" w:eastAsia="华文细黑"/>
        <w:sz w:val="18"/>
        <w:szCs w:val="18"/>
      </w:rPr>
      <w:instrText xml:space="preserve"> PAGE   \* MERGEFORMAT </w:instrText>
    </w:r>
    <w:r>
      <w:rPr>
        <w:rFonts w:ascii="Arial Narrow" w:hAnsi="Arial Narrow" w:eastAsia="华文细黑"/>
        <w:sz w:val="18"/>
        <w:szCs w:val="18"/>
      </w:rPr>
      <w:fldChar w:fldCharType="separate"/>
    </w:r>
    <w:r>
      <w:rPr>
        <w:rFonts w:ascii="Arial Narrow" w:hAnsi="Arial Narrow" w:eastAsia="华文细黑"/>
        <w:sz w:val="18"/>
        <w:szCs w:val="18"/>
      </w:rPr>
      <w:t xml:space="preserve">iv</w:t>
    </w:r>
    <w:r>
      <w:rPr>
        <w:rFonts w:ascii="Arial Narrow" w:hAnsi="Arial Narrow" w:eastAsia="华文细黑"/>
        <w:sz w:val="18"/>
        <w:szCs w:val="18"/>
      </w:rPr>
      <w:fldChar w:fldCharType="end"/>
    </w:r>
    <w:r>
      <w:rPr>
        <w:rFonts w:ascii="Arial Narrow" w:hAnsi="Arial Narrow" w:eastAsia="华文细黑"/>
        <w:sz w:val="18"/>
        <w:szCs w:val="18"/>
      </w:rPr>
    </w:r>
  </w:p>
  <w:p>
    <w:pPr>
      <w:pStyle w:val="1354"/>
      <w:pBdr/>
      <w:spacing/>
      <w:ind/>
      <w:jc w:val="center"/>
      <w:rPr>
        <w:rFonts w:ascii="Arial" w:hAnsi="Arial" w:cs="Arial"/>
      </w:rPr>
    </w:pPr>
    <w:r>
      <w:rPr>
        <w:rFonts w:ascii="Arial" w:hAnsi="Arial" w:cs="Arial"/>
      </w:rPr>
    </w:r>
    <w:r>
      <w:rPr>
        <w:rFonts w:ascii="Arial" w:hAnsi="Arial" w:cs="Arial"/>
      </w:rP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54"/>
      <w:pBdr/>
      <w:spacing/>
      <w:ind/>
      <w:jc w:val="both"/>
      <w:rPr>
        <w:rFonts w:ascii="Arial Narrow" w:hAnsi="Arial Narrow" w:eastAsia="华文细黑" w:cs="Arial"/>
        <w:sz w:val="16"/>
        <w:szCs w:val="16"/>
      </w:rPr>
    </w:pPr>
    <w:r>
      <w:rPr>
        <w:rFonts w:ascii="Arial Narrow" w:hAnsi="Arial Narrow" w:eastAsia="仿宋_GB2312" w:cs="Arial"/>
        <w:sz w:val="16"/>
        <w:lang w:val="fr-FR"/>
      </w:rPr>
      <w:t xml:space="preserve">©202</w:t>
    </w:r>
    <w:r>
      <w:rPr>
        <w:rFonts w:ascii="Arial Narrow" w:hAnsi="Arial Narrow" w:eastAsia="仿宋_GB2312" w:cs="Arial"/>
        <w:sz w:val="16"/>
      </w:rPr>
      <w:t xml:space="preserve">4</w:t>
    </w:r>
    <w:r>
      <w:rPr>
        <w:rFonts w:hint="eastAsia" w:ascii="Arial Narrow" w:hAnsi="Arial Narrow" w:eastAsia="仿宋_GB2312" w:cs="Arial"/>
        <w:bCs/>
        <w:sz w:val="16"/>
        <w:szCs w:val="24"/>
      </w:rPr>
      <w:t xml:space="preserve">立信税务师事务所有限公司</w:t>
    </w:r>
    <w:r>
      <w:rPr>
        <w:rFonts w:ascii="Arial Narrow" w:hAnsi="Arial Narrow" w:eastAsia="华文细黑" w:cs="Arial"/>
        <w:sz w:val="16"/>
        <w:szCs w:val="16"/>
      </w:rPr>
      <w:fldChar w:fldCharType="begin"/>
    </w:r>
    <w:r>
      <w:rPr>
        <w:rFonts w:ascii="Arial Narrow" w:hAnsi="Arial Narrow" w:eastAsia="华文细黑" w:cs="Arial"/>
        <w:sz w:val="16"/>
        <w:szCs w:val="16"/>
      </w:rPr>
      <w:instrText xml:space="preserve"> PAGE  \* Arabic  \* MERGEFORMAT </w:instrText>
    </w:r>
    <w:r>
      <w:rPr>
        <w:rFonts w:ascii="Arial Narrow" w:hAnsi="Arial Narrow" w:eastAsia="华文细黑" w:cs="Arial"/>
        <w:sz w:val="16"/>
        <w:szCs w:val="16"/>
      </w:rPr>
      <w:fldChar w:fldCharType="separate"/>
    </w:r>
    <w:r>
      <w:rPr>
        <w:rFonts w:ascii="Arial Narrow" w:hAnsi="Arial Narrow" w:eastAsia="华文细黑" w:cs="Arial"/>
        <w:sz w:val="16"/>
        <w:szCs w:val="16"/>
      </w:rPr>
      <w:t xml:space="preserve">12</w:t>
    </w:r>
    <w:r>
      <w:rPr>
        <w:rFonts w:ascii="Arial Narrow" w:hAnsi="Arial Narrow" w:eastAsia="华文细黑" w:cs="Arial"/>
        <w:sz w:val="16"/>
        <w:szCs w:val="16"/>
      </w:rPr>
      <w:fldChar w:fldCharType="end"/>
    </w:r>
    <w:r>
      <w:rPr>
        <w:rFonts w:ascii="Arial Narrow" w:hAnsi="Arial Narrow" w:eastAsia="华文细黑" w:cs="Arial"/>
        <w:sz w:val="16"/>
        <w:szCs w:val="16"/>
      </w:rPr>
    </w:r>
  </w:p>
  <w:p>
    <w:pPr>
      <w:pStyle w:val="1354"/>
      <w:pBdr/>
      <w:spacing/>
      <w:ind/>
      <w:jc w:val="center"/>
      <w:rPr>
        <w:rFonts w:ascii="Arial" w:hAnsi="Arial" w:cs="Arial"/>
      </w:rPr>
    </w:pPr>
    <w:r>
      <w:rPr>
        <w:rFonts w:ascii="Arial" w:hAnsi="Arial" w:cs="Arial"/>
      </w:rPr>
    </w:r>
    <w:r>
      <w:rPr>
        <w:rFonts w:ascii="Arial" w:hAnsi="Arial" w:cs="Arial"/>
      </w:rPr>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54"/>
      <w:pBdr/>
      <w:spacing/>
      <w:ind/>
      <w:rPr>
        <w:rFonts w:ascii="Verdana" w:hAnsi="Verdana" w:eastAsia="华文细黑" w:cs="Arial"/>
        <w:sz w:val="18"/>
        <w:szCs w:val="18"/>
      </w:rPr>
    </w:pPr>
    <w:r>
      <w:rPr>
        <w:rFonts w:ascii="Arial Narrow" w:hAnsi="Arial Narrow" w:eastAsia="仿宋_GB2312" w:cs="Arial"/>
        <w:sz w:val="16"/>
        <w:lang w:val="fr-FR"/>
      </w:rPr>
      <w:t xml:space="preserve">©202</w:t>
    </w:r>
    <w:r>
      <w:rPr>
        <w:rFonts w:hint="eastAsia" w:ascii="Arial Narrow" w:hAnsi="Arial Narrow" w:eastAsia="仿宋_GB2312" w:cs="Arial"/>
        <w:sz w:val="16"/>
      </w:rPr>
      <w:t xml:space="preserve">4</w:t>
    </w:r>
    <w:r>
      <w:rPr>
        <w:rFonts w:hint="eastAsia" w:ascii="Arial Narrow" w:hAnsi="Arial Narrow" w:eastAsia="仿宋_GB2312" w:cs="Arial"/>
        <w:bCs/>
        <w:sz w:val="16"/>
        <w:szCs w:val="24"/>
      </w:rPr>
      <w:t xml:space="preserve">立信税务师事务所有限公司</w:t>
    </w:r>
    <w:r>
      <w:rPr>
        <w:rFonts w:ascii="Arial Narrow" w:hAnsi="Arial Narrow" w:eastAsia="华文细黑" w:cs="Arial"/>
        <w:sz w:val="18"/>
        <w:szCs w:val="18"/>
      </w:rPr>
      <w:fldChar w:fldCharType="begin"/>
    </w:r>
    <w:r>
      <w:rPr>
        <w:rFonts w:ascii="Arial Narrow" w:hAnsi="Arial Narrow" w:eastAsia="华文细黑" w:cs="Arial"/>
        <w:sz w:val="18"/>
        <w:szCs w:val="18"/>
      </w:rPr>
      <w:instrText xml:space="preserve"> PAGE  \* Arabic  \* MERGEFORMAT </w:instrText>
    </w:r>
    <w:r>
      <w:rPr>
        <w:rFonts w:ascii="Arial Narrow" w:hAnsi="Arial Narrow" w:eastAsia="华文细黑" w:cs="Arial"/>
        <w:sz w:val="18"/>
        <w:szCs w:val="18"/>
      </w:rPr>
      <w:fldChar w:fldCharType="separate"/>
    </w:r>
    <w:r>
      <w:rPr>
        <w:rFonts w:ascii="Arial Narrow" w:hAnsi="Arial Narrow" w:eastAsia="华文细黑" w:cs="Arial"/>
        <w:sz w:val="18"/>
        <w:szCs w:val="18"/>
      </w:rPr>
      <w:t xml:space="preserve">55</w:t>
    </w:r>
    <w:r>
      <w:rPr>
        <w:rFonts w:ascii="Arial Narrow" w:hAnsi="Arial Narrow" w:eastAsia="华文细黑" w:cs="Arial"/>
        <w:sz w:val="18"/>
        <w:szCs w:val="18"/>
      </w:rPr>
      <w:fldChar w:fldCharType="end"/>
    </w:r>
    <w:r>
      <w:rPr>
        <w:rFonts w:ascii="Verdana" w:hAnsi="Verdana" w:eastAsia="华文细黑" w:cs="Arial"/>
        <w:sz w:val="18"/>
        <w:szCs w:val="18"/>
      </w:rPr>
    </w:r>
  </w:p>
  <w:p>
    <w:pPr>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 w:id="2">
    <w:p>
      <w:pPr>
        <w:pStyle w:val="1359"/>
        <w:pBdr/>
        <w:spacing/>
        <w:ind/>
        <w:rPr>
          <w:rFonts w:ascii="Arial Narrow" w:hAnsi="Arial Narrow" w:eastAsia="仿宋_GB2312" w:cs="Arial Narrow"/>
          <w:sz w:val="16"/>
          <w:szCs w:val="16"/>
          <w:lang w:eastAsia="zh-CN"/>
        </w:rPr>
      </w:pPr>
      <w:r>
        <w:rPr>
          <w:rStyle w:val="1377"/>
          <w:rFonts w:ascii="Arial Narrow" w:hAnsi="Arial Narrow" w:eastAsia="仿宋_GB2312" w:cs="Arial Narrow"/>
          <w:sz w:val="16"/>
          <w:szCs w:val="16"/>
        </w:rPr>
        <w:footnoteRef/>
      </w:r>
      <w:r>
        <w:rPr>
          <w:rFonts w:ascii="Arial Narrow" w:hAnsi="Arial Narrow" w:eastAsia="仿宋_GB2312" w:cs="Arial Narrow"/>
          <w:sz w:val="16"/>
          <w:szCs w:val="16"/>
        </w:rPr>
        <w:t xml:space="preserve"> </w:t>
      </w:r>
      <w:r>
        <w:rPr>
          <w:rFonts w:ascii="Arial Narrow" w:hAnsi="Arial Narrow" w:eastAsia="仿宋_GB2312" w:cs="Arial Narrow"/>
          <w:sz w:val="16"/>
          <w:szCs w:val="16"/>
          <w:lang w:eastAsia="zh-CN"/>
        </w:rPr>
        <w:t xml:space="preserve">资料</w:t>
      </w:r>
      <w:r>
        <w:rPr>
          <w:rFonts w:hint="eastAsia" w:ascii="Arial Narrow" w:hAnsi="Arial Narrow" w:eastAsia="仿宋_GB2312" w:cs="Arial Narrow"/>
          <w:sz w:val="16"/>
          <w:szCs w:val="16"/>
        </w:rPr>
        <w:t xml:space="preserve">来源：集</w:t>
      </w:r>
      <w:r>
        <w:rPr>
          <w:rFonts w:ascii="Arial Narrow" w:hAnsi="Arial Narrow" w:eastAsia="仿宋_GB2312" w:cs="Arial Narrow"/>
          <w:sz w:val="16"/>
          <w:szCs w:val="16"/>
        </w:rPr>
        <w:t xml:space="preserve">团官网</w:t>
      </w:r>
      <w:r>
        <w:rPr>
          <w:rFonts w:ascii="Arial Narrow" w:hAnsi="Arial Narrow" w:eastAsia="仿宋_GB2312" w:cs="Arial Narrow"/>
          <w:sz w:val="16"/>
          <w:szCs w:val="16"/>
        </w:rPr>
        <w:t xml:space="preserve">https://www.markwinsbeauty.com/about/who-we-are/</w:t>
      </w:r>
      <w:r>
        <w:rPr>
          <w:rFonts w:ascii="Arial Narrow" w:hAnsi="Arial Narrow" w:eastAsia="仿宋_GB2312" w:cs="Arial Narrow"/>
          <w:sz w:val="16"/>
          <w:szCs w:val="16"/>
          <w:lang w:eastAsia="zh-CN"/>
        </w:rPr>
      </w:r>
    </w:p>
  </w:footnote>
  <w:footnote w:id="3">
    <w:p>
      <w:pPr>
        <w:pStyle w:val="1359"/>
        <w:pBdr/>
        <w:spacing/>
        <w:ind/>
        <w:rPr>
          <w:rFonts w:ascii="Arial Narrow" w:hAnsi="Arial Narrow" w:eastAsia="仿宋_GB2312" w:cs="Arial Narrow"/>
          <w:sz w:val="16"/>
          <w:szCs w:val="16"/>
          <w:lang w:eastAsia="zh-CN"/>
        </w:rPr>
      </w:pPr>
      <w:r>
        <w:rPr>
          <w:rStyle w:val="1377"/>
          <w:rFonts w:ascii="Arial Narrow" w:hAnsi="Arial Narrow" w:eastAsia="仿宋_GB2312" w:cs="Arial Narrow"/>
          <w:sz w:val="16"/>
          <w:szCs w:val="16"/>
        </w:rPr>
        <w:footnoteRef/>
      </w:r>
      <w:r>
        <w:rPr>
          <w:rFonts w:hint="eastAsia" w:ascii="Arial Narrow" w:hAnsi="Arial Narrow" w:eastAsia="仿宋_GB2312" w:cs="Arial Narrow"/>
          <w:bCs/>
          <w:sz w:val="16"/>
          <w:szCs w:val="16"/>
          <w:lang w:eastAsia="zh-CN"/>
        </w:rPr>
        <w:t xml:space="preserve">《</w:t>
      </w:r>
      <w:r>
        <w:rPr>
          <w:rFonts w:ascii="Arial Narrow" w:hAnsi="Arial Narrow" w:eastAsia="仿宋_GB2312" w:cs="Arial Narrow"/>
          <w:bCs/>
          <w:sz w:val="16"/>
          <w:szCs w:val="16"/>
          <w:lang w:eastAsia="zh-CN"/>
        </w:rPr>
        <w:t xml:space="preserve">OECD</w:t>
      </w:r>
      <w:r>
        <w:rPr>
          <w:rFonts w:hint="eastAsia" w:ascii="Arial Narrow" w:hAnsi="Arial Narrow" w:eastAsia="仿宋_GB2312" w:cs="Arial Narrow"/>
          <w:bCs/>
          <w:sz w:val="16"/>
          <w:szCs w:val="16"/>
          <w:lang w:eastAsia="zh-CN"/>
        </w:rPr>
        <w:t xml:space="preserve">跨国企业与税务机关转让定价指南》，第</w:t>
      </w:r>
      <w:r>
        <w:rPr>
          <w:rFonts w:ascii="Arial Narrow" w:hAnsi="Arial Narrow" w:eastAsia="仿宋_GB2312" w:cs="Arial Narrow"/>
          <w:bCs/>
          <w:sz w:val="16"/>
          <w:szCs w:val="16"/>
          <w:lang w:eastAsia="zh-CN"/>
        </w:rPr>
        <w:t xml:space="preserve">V</w:t>
      </w:r>
      <w:r>
        <w:rPr>
          <w:rFonts w:hint="eastAsia" w:ascii="Arial Narrow" w:hAnsi="Arial Narrow" w:eastAsia="仿宋_GB2312" w:cs="Arial Narrow"/>
          <w:bCs/>
          <w:sz w:val="16"/>
          <w:szCs w:val="16"/>
          <w:lang w:eastAsia="zh-CN"/>
        </w:rPr>
        <w:t xml:space="preserve">章，</w:t>
      </w:r>
      <w:r>
        <w:rPr>
          <w:rFonts w:ascii="Arial Narrow" w:hAnsi="Arial Narrow" w:eastAsia="仿宋_GB2312" w:cs="Arial Narrow"/>
          <w:bCs/>
          <w:sz w:val="16"/>
          <w:szCs w:val="16"/>
          <w:lang w:eastAsia="zh-CN"/>
        </w:rPr>
        <w:t xml:space="preserve">C</w:t>
      </w:r>
      <w:r>
        <w:rPr>
          <w:rFonts w:hint="eastAsia" w:ascii="Arial Narrow" w:hAnsi="Arial Narrow" w:eastAsia="仿宋_GB2312" w:cs="Arial Narrow"/>
          <w:bCs/>
          <w:sz w:val="16"/>
          <w:szCs w:val="16"/>
          <w:lang w:eastAsia="zh-CN"/>
        </w:rPr>
        <w:t xml:space="preserve">部分，第</w:t>
      </w:r>
      <w:r>
        <w:rPr>
          <w:rFonts w:ascii="Arial Narrow" w:hAnsi="Arial Narrow" w:eastAsia="仿宋_GB2312" w:cs="Arial Narrow"/>
          <w:bCs/>
          <w:sz w:val="16"/>
          <w:szCs w:val="16"/>
          <w:lang w:eastAsia="zh-CN"/>
        </w:rPr>
        <w:t xml:space="preserve">5.22</w:t>
      </w:r>
      <w:r>
        <w:rPr>
          <w:rFonts w:hint="eastAsia" w:ascii="Arial Narrow" w:hAnsi="Arial Narrow" w:eastAsia="仿宋_GB2312" w:cs="Arial Narrow"/>
          <w:bCs/>
          <w:sz w:val="16"/>
          <w:szCs w:val="16"/>
          <w:lang w:eastAsia="zh-CN"/>
        </w:rPr>
        <w:t xml:space="preserve">段落</w:t>
      </w:r>
      <w:r>
        <w:rPr>
          <w:rFonts w:ascii="Arial Narrow" w:hAnsi="Arial Narrow" w:eastAsia="仿宋_GB2312" w:cs="Arial Narrow"/>
          <w:sz w:val="16"/>
          <w:szCs w:val="16"/>
          <w:lang w:eastAsia="zh-CN"/>
        </w:rPr>
      </w:r>
    </w:p>
  </w:footnote>
  <w:footnote w:id="4">
    <w:p>
      <w:pPr>
        <w:pStyle w:val="1359"/>
        <w:pBdr/>
        <w:spacing/>
        <w:ind/>
        <w:rPr>
          <w:rFonts w:ascii="Arial Narrow" w:hAnsi="Arial Narrow" w:eastAsia="仿宋_GB2312" w:cs="Arial Narrow"/>
          <w:sz w:val="16"/>
          <w:szCs w:val="16"/>
          <w:lang w:eastAsia="zh-CN"/>
        </w:rPr>
      </w:pPr>
      <w:r>
        <w:rPr>
          <w:rStyle w:val="1377"/>
          <w:rFonts w:ascii="Arial Narrow" w:hAnsi="Arial Narrow" w:eastAsia="仿宋_GB2312" w:cs="Arial Narrow"/>
          <w:sz w:val="16"/>
          <w:szCs w:val="16"/>
        </w:rPr>
        <w:footnoteRef/>
      </w:r>
      <w:r>
        <w:rPr>
          <w:rFonts w:ascii="Arial Narrow" w:hAnsi="Arial Narrow" w:eastAsia="仿宋_GB2312" w:cs="Arial Narrow"/>
          <w:sz w:val="16"/>
          <w:szCs w:val="16"/>
        </w:rPr>
        <w:t xml:space="preserve"> </w:t>
      </w:r>
      <w:r>
        <w:rPr>
          <w:rFonts w:hint="eastAsia" w:ascii="Arial Narrow" w:hAnsi="Arial Narrow" w:eastAsia="仿宋_GB2312" w:cs="Arial Narrow"/>
          <w:sz w:val="16"/>
          <w:szCs w:val="16"/>
        </w:rPr>
        <w:t xml:space="preserve">资料来源：百度百科，</w:t>
      </w:r>
      <w:r>
        <w:rPr>
          <w:rFonts w:ascii="Arial Narrow" w:hAnsi="Arial Narrow" w:eastAsia="仿宋_GB2312" w:cs="Arial Narrow"/>
          <w:sz w:val="16"/>
          <w:szCs w:val="16"/>
        </w:rPr>
        <w:t xml:space="preserve">https://baike.baidu.com/item/%E5%8C%96%E5%A6%86%E5%93%81/140644?fr=aladdin#</w:t>
      </w:r>
      <w:r>
        <w:rPr>
          <w:rFonts w:ascii="Arial Narrow" w:hAnsi="Arial Narrow" w:eastAsia="仿宋_GB2312" w:cs="Arial Narrow"/>
          <w:sz w:val="16"/>
          <w:szCs w:val="16"/>
          <w:lang w:eastAsia="zh-CN"/>
        </w:rPr>
      </w:r>
    </w:p>
  </w:footnote>
  <w:footnote w:id="5">
    <w:p>
      <w:pPr>
        <w:pStyle w:val="1359"/>
        <w:pBdr/>
        <w:spacing/>
        <w:ind/>
        <w:rPr>
          <w:rFonts w:ascii="Arial Narrow" w:hAnsi="Arial Narrow" w:eastAsia="仿宋" w:cs="Arial Narrow"/>
          <w:sz w:val="16"/>
          <w:szCs w:val="16"/>
          <w:lang w:eastAsia="zh-CN"/>
        </w:rPr>
      </w:pPr>
      <w:r>
        <w:rPr>
          <w:rStyle w:val="1377"/>
          <w:rFonts w:ascii="Arial Narrow" w:hAnsi="Arial Narrow" w:eastAsia="仿宋" w:cs="Arial Narrow"/>
          <w:sz w:val="16"/>
          <w:szCs w:val="16"/>
        </w:rPr>
        <w:footnoteRef/>
      </w:r>
      <w:r>
        <w:rPr>
          <w:rStyle w:val="1377"/>
          <w:rFonts w:ascii="Arial Narrow" w:hAnsi="Arial Narrow" w:eastAsia="仿宋" w:cs="Arial Narrow"/>
          <w:sz w:val="16"/>
          <w:szCs w:val="16"/>
        </w:rPr>
        <w:t xml:space="preserve"> </w:t>
      </w:r>
      <w:r>
        <w:rPr>
          <w:rFonts w:hint="eastAsia" w:ascii="Arial Narrow" w:hAnsi="Arial Narrow" w:eastAsia="仿宋" w:cs="Arial Narrow"/>
          <w:sz w:val="16"/>
          <w:szCs w:val="16"/>
        </w:rPr>
        <w:t xml:space="preserve">资料来源：立鼎产业研究网，</w:t>
      </w:r>
      <w:r>
        <w:rPr>
          <w:rFonts w:ascii="Arial Narrow" w:hAnsi="Arial Narrow" w:eastAsia="仿宋" w:cs="Arial Narrow"/>
          <w:sz w:val="16"/>
          <w:szCs w:val="16"/>
        </w:rPr>
        <w:t xml:space="preserve">http://www.leadingir.com/trend/view/8716.html</w:t>
      </w:r>
      <w:r>
        <w:rPr>
          <w:rFonts w:ascii="Arial Narrow" w:hAnsi="Arial Narrow" w:eastAsia="仿宋" w:cs="Arial Narrow"/>
          <w:sz w:val="16"/>
          <w:szCs w:val="16"/>
          <w:lang w:eastAsia="zh-CN"/>
        </w:rPr>
      </w:r>
    </w:p>
  </w:footnote>
  <w:footnote w:id="6">
    <w:p>
      <w:pPr>
        <w:pStyle w:val="1359"/>
        <w:pBdr/>
        <w:spacing/>
        <w:ind/>
        <w:rPr>
          <w:rFonts w:ascii="Arial Narrow" w:hAnsi="Arial Narrow" w:eastAsia="仿宋" w:cs="Arial Narrow"/>
          <w:lang w:eastAsia="zh-CN"/>
        </w:rPr>
      </w:pPr>
      <w:r>
        <w:rPr>
          <w:rStyle w:val="1377"/>
          <w:rFonts w:ascii="Arial Narrow" w:hAnsi="Arial Narrow" w:eastAsia="仿宋" w:cs="Arial Narrow"/>
          <w:sz w:val="16"/>
          <w:szCs w:val="16"/>
        </w:rPr>
        <w:footnoteRef/>
      </w:r>
      <w:r>
        <w:rPr>
          <w:rStyle w:val="1377"/>
          <w:rFonts w:ascii="Arial Narrow" w:hAnsi="Arial Narrow" w:eastAsia="仿宋" w:cs="Arial Narrow"/>
          <w:sz w:val="16"/>
          <w:szCs w:val="16"/>
          <w:lang w:eastAsia="zh-CN"/>
        </w:rPr>
        <w:t xml:space="preserve"> </w:t>
      </w:r>
      <w:r>
        <w:rPr>
          <w:rFonts w:hint="eastAsia" w:ascii="Arial Narrow" w:hAnsi="Arial Narrow" w:eastAsia="仿宋" w:cs="Arial Narrow"/>
          <w:sz w:val="16"/>
          <w:szCs w:val="16"/>
          <w:lang w:eastAsia="zh-CN"/>
        </w:rPr>
        <w:t xml:space="preserve">资料来源：前瞻经济学人，</w:t>
      </w:r>
      <w:r>
        <w:rPr>
          <w:rFonts w:ascii="Arial Narrow" w:hAnsi="Arial Narrow" w:eastAsia="仿宋" w:cs="Arial Narrow"/>
          <w:sz w:val="16"/>
          <w:szCs w:val="16"/>
          <w:lang w:eastAsia="zh-CN"/>
        </w:rPr>
        <w:t xml:space="preserve">https://bg.qianzhan.com/trends/detail/506/211126-284dcfa4.html</w:t>
      </w:r>
      <w:r>
        <w:rPr>
          <w:rFonts w:ascii="Arial Narrow" w:hAnsi="Arial Narrow" w:eastAsia="仿宋" w:cs="Arial Narrow"/>
          <w:lang w:eastAsia="zh-CN"/>
        </w:rPr>
      </w:r>
    </w:p>
  </w:footnote>
  <w:footnote w:id="7">
    <w:p>
      <w:pPr>
        <w:pStyle w:val="1359"/>
        <w:pBdr/>
        <w:spacing/>
        <w:ind/>
        <w:rPr>
          <w:rFonts w:ascii="Arial Narrow" w:hAnsi="Arial Narrow" w:eastAsia="仿宋" w:cs="Arial Narrow"/>
          <w:sz w:val="16"/>
          <w:szCs w:val="16"/>
          <w:lang w:eastAsia="zh-CN"/>
        </w:rPr>
      </w:pPr>
      <w:r>
        <w:rPr>
          <w:rStyle w:val="1377"/>
          <w:rFonts w:ascii="Arial Narrow" w:hAnsi="Arial Narrow" w:eastAsia="仿宋" w:cs="Arial Narrow"/>
          <w:sz w:val="16"/>
          <w:szCs w:val="16"/>
        </w:rPr>
        <w:footnoteRef/>
      </w:r>
      <w:r>
        <w:rPr>
          <w:rFonts w:ascii="Arial Narrow" w:hAnsi="Arial Narrow" w:eastAsia="仿宋" w:cs="Arial Narrow"/>
          <w:sz w:val="16"/>
          <w:szCs w:val="16"/>
          <w:lang w:eastAsia="zh-CN"/>
        </w:rPr>
        <w:t xml:space="preserve"> </w:t>
      </w:r>
      <w:r>
        <w:rPr>
          <w:rFonts w:hint="eastAsia" w:ascii="Arial Narrow" w:hAnsi="Arial Narrow" w:eastAsia="仿宋" w:cs="Arial Narrow"/>
          <w:sz w:val="16"/>
          <w:szCs w:val="16"/>
          <w:lang w:eastAsia="zh-CN"/>
        </w:rPr>
        <w:t xml:space="preserve">资料来源：欧莱雅</w:t>
      </w:r>
      <w:r>
        <w:rPr>
          <w:rFonts w:ascii="Arial Narrow" w:hAnsi="Arial Narrow" w:eastAsia="仿宋" w:cs="Arial Narrow"/>
          <w:sz w:val="16"/>
          <w:szCs w:val="16"/>
          <w:lang w:eastAsia="zh-CN"/>
        </w:rPr>
        <w:t xml:space="preserve">2023</w:t>
      </w:r>
      <w:r>
        <w:rPr>
          <w:rFonts w:hint="eastAsia" w:ascii="Arial Narrow" w:hAnsi="Arial Narrow" w:eastAsia="仿宋" w:cs="Arial Narrow"/>
          <w:sz w:val="16"/>
          <w:szCs w:val="16"/>
          <w:lang w:eastAsia="zh-CN"/>
        </w:rPr>
        <w:t xml:space="preserve">年度年报，</w:t>
      </w:r>
      <w:r>
        <w:rPr>
          <w:rFonts w:ascii="Arial Narrow" w:hAnsi="Arial Narrow" w:eastAsia="仿宋" w:cs="Arial Narrow"/>
          <w:sz w:val="16"/>
          <w:szCs w:val="16"/>
          <w:lang w:eastAsia="zh-CN"/>
        </w:rPr>
        <w:t xml:space="preserve">https://www.loreal-finance.com/eng/news-release/2023-annual-results</w:t>
      </w:r>
      <w:r>
        <w:rPr>
          <w:rFonts w:ascii="Arial Narrow" w:hAnsi="Arial Narrow" w:eastAsia="仿宋" w:cs="Arial Narrow"/>
          <w:sz w:val="16"/>
          <w:szCs w:val="16"/>
          <w:lang w:eastAsia="zh-CN"/>
        </w:rPr>
      </w:r>
    </w:p>
  </w:footnote>
  <w:footnote w:id="8">
    <w:p>
      <w:pPr>
        <w:pStyle w:val="1359"/>
        <w:pBdr/>
        <w:spacing/>
        <w:ind/>
        <w:rPr>
          <w:rFonts w:ascii="Times New Roman" w:hAnsi="Times New Roman" w:eastAsia="仿宋"/>
          <w:sz w:val="16"/>
          <w:szCs w:val="16"/>
          <w:lang w:eastAsia="zh-CN"/>
        </w:rPr>
      </w:pPr>
      <w:r>
        <w:rPr>
          <w:rStyle w:val="1377"/>
          <w:rFonts w:ascii="Arial Narrow" w:hAnsi="Arial Narrow" w:eastAsia="仿宋" w:cs="Arial Narrow"/>
          <w:sz w:val="16"/>
          <w:szCs w:val="16"/>
        </w:rPr>
        <w:footnoteRef/>
      </w:r>
      <w:r>
        <w:rPr>
          <w:rFonts w:ascii="Arial Narrow" w:hAnsi="Arial Narrow" w:eastAsia="仿宋" w:cs="Arial Narrow"/>
        </w:rPr>
        <w:t xml:space="preserve"> </w:t>
      </w:r>
      <w:r>
        <w:rPr>
          <w:rFonts w:hint="eastAsia" w:ascii="Arial Narrow" w:hAnsi="Arial Narrow" w:eastAsia="仿宋" w:cs="Arial Narrow"/>
          <w:sz w:val="16"/>
          <w:szCs w:val="16"/>
          <w:lang w:eastAsia="zh-CN"/>
        </w:rPr>
        <w:t xml:space="preserve">资料来源：欧莱雅</w:t>
      </w:r>
      <w:r>
        <w:rPr>
          <w:rFonts w:ascii="Arial Narrow" w:hAnsi="Arial Narrow" w:eastAsia="仿宋" w:cs="Arial Narrow"/>
          <w:sz w:val="16"/>
          <w:szCs w:val="16"/>
          <w:lang w:eastAsia="zh-CN"/>
        </w:rPr>
        <w:t xml:space="preserve">2023</w:t>
      </w:r>
      <w:r>
        <w:rPr>
          <w:rFonts w:hint="eastAsia" w:ascii="Arial Narrow" w:hAnsi="Arial Narrow" w:eastAsia="仿宋" w:cs="Arial Narrow"/>
          <w:sz w:val="16"/>
          <w:szCs w:val="16"/>
          <w:lang w:eastAsia="zh-CN"/>
        </w:rPr>
        <w:t xml:space="preserve">年度年报，</w:t>
      </w:r>
      <w:r>
        <w:rPr>
          <w:rFonts w:ascii="Arial Narrow" w:hAnsi="Arial Narrow" w:eastAsia="仿宋" w:cs="Arial Narrow"/>
          <w:sz w:val="16"/>
          <w:szCs w:val="16"/>
          <w:lang w:eastAsia="zh-CN"/>
        </w:rPr>
        <w:t xml:space="preserve">https://www.loreal-finance.com/eng/news-release/2023-annual-results</w:t>
      </w:r>
      <w:r>
        <w:rPr>
          <w:rFonts w:ascii="Times New Roman" w:hAnsi="Times New Roman" w:eastAsia="仿宋"/>
          <w:sz w:val="16"/>
          <w:szCs w:val="16"/>
          <w:lang w:eastAsia="zh-CN"/>
        </w:rPr>
      </w:r>
    </w:p>
  </w:footnote>
  <w:footnote w:id="9">
    <w:p>
      <w:pPr>
        <w:pStyle w:val="1359"/>
        <w:pBdr/>
        <w:spacing/>
        <w:ind/>
        <w:rPr>
          <w:rFonts w:ascii="Arial Narrow" w:hAnsi="Arial Narrow" w:eastAsia="仿宋" w:cs="Arial Narrow"/>
          <w:sz w:val="16"/>
          <w:szCs w:val="16"/>
        </w:rPr>
      </w:pPr>
      <w:r>
        <w:rPr>
          <w:rStyle w:val="1377"/>
          <w:rFonts w:ascii="Arial Narrow" w:hAnsi="Arial Narrow" w:eastAsia="仿宋" w:cs="Arial Narrow"/>
          <w:sz w:val="16"/>
          <w:szCs w:val="16"/>
        </w:rPr>
        <w:footnoteRef/>
      </w:r>
      <w:r>
        <w:rPr>
          <w:rFonts w:ascii="Arial Narrow" w:hAnsi="Arial Narrow" w:eastAsia="仿宋" w:cs="Arial Narrow"/>
          <w:sz w:val="16"/>
          <w:szCs w:val="16"/>
        </w:rPr>
        <w:t xml:space="preserve"> </w:t>
      </w:r>
      <w:r>
        <w:rPr>
          <w:rFonts w:ascii="Arial Narrow" w:hAnsi="Arial Narrow" w:eastAsia="仿宋" w:cs="Arial Narrow"/>
          <w:sz w:val="16"/>
          <w:szCs w:val="16"/>
        </w:rPr>
        <w:t xml:space="preserve">资料来源：</w:t>
      </w:r>
      <w:r>
        <w:rPr>
          <w:rFonts w:ascii="Arial Narrow" w:hAnsi="Arial Narrow" w:eastAsia="仿宋" w:cs="Arial Narrow"/>
          <w:sz w:val="16"/>
          <w:szCs w:val="16"/>
        </w:rPr>
        <w:t xml:space="preserve">2015-2019</w:t>
      </w:r>
      <w:r>
        <w:rPr>
          <w:rFonts w:ascii="Arial Narrow" w:hAnsi="Arial Narrow" w:eastAsia="仿宋" w:cs="Arial Narrow"/>
          <w:sz w:val="16"/>
          <w:szCs w:val="16"/>
        </w:rPr>
        <w:t xml:space="preserve">年中国化妆品行业规模以上企业零售总额情况，</w:t>
      </w:r>
      <w:r>
        <w:rPr>
          <w:rFonts w:ascii="Arial Narrow" w:hAnsi="Arial Narrow" w:eastAsia="仿宋" w:cs="Arial Narrow"/>
          <w:sz w:val="16"/>
          <w:szCs w:val="16"/>
        </w:rPr>
        <w:t xml:space="preserve">http://wukongzhiku.com/chart/61215.html</w:t>
      </w:r>
      <w:r>
        <w:rPr>
          <w:rFonts w:ascii="Arial Narrow" w:hAnsi="Arial Narrow" w:eastAsia="仿宋" w:cs="Arial Narrow"/>
          <w:sz w:val="16"/>
          <w:szCs w:val="16"/>
        </w:rPr>
      </w:r>
    </w:p>
  </w:footnote>
  <w:footnote w:id="10">
    <w:p>
      <w:pPr>
        <w:pStyle w:val="1359"/>
        <w:pBdr/>
        <w:spacing/>
        <w:ind/>
        <w:rPr>
          <w:rFonts w:ascii="Arial Narrow" w:hAnsi="Arial Narrow" w:eastAsia="仿宋" w:cs="Arial Narrow"/>
          <w:sz w:val="16"/>
          <w:szCs w:val="16"/>
        </w:rPr>
      </w:pPr>
      <w:r>
        <w:rPr>
          <w:rStyle w:val="1377"/>
          <w:rFonts w:ascii="Arial Narrow" w:hAnsi="Arial Narrow" w:eastAsia="仿宋" w:cs="Arial Narrow"/>
          <w:sz w:val="16"/>
          <w:szCs w:val="16"/>
        </w:rPr>
        <w:footnoteRef/>
      </w:r>
      <w:r>
        <w:rPr>
          <w:rFonts w:ascii="Arial Narrow" w:hAnsi="Arial Narrow" w:eastAsia="仿宋" w:cs="Arial Narrow"/>
          <w:sz w:val="16"/>
          <w:szCs w:val="16"/>
        </w:rPr>
        <w:t xml:space="preserve"> </w:t>
      </w:r>
      <w:r>
        <w:rPr>
          <w:rFonts w:ascii="Arial Narrow" w:hAnsi="Arial Narrow" w:eastAsia="仿宋" w:cs="Arial Narrow"/>
          <w:sz w:val="16"/>
          <w:szCs w:val="16"/>
        </w:rPr>
        <w:t xml:space="preserve">资料来源：国家统计局，</w:t>
      </w:r>
      <w:r>
        <w:rPr>
          <w:rFonts w:ascii="Arial Narrow" w:hAnsi="Arial Narrow" w:eastAsia="仿宋" w:cs="Arial Narrow"/>
          <w:sz w:val="16"/>
          <w:szCs w:val="16"/>
        </w:rPr>
        <w:t xml:space="preserve">https://www.stats.gov.cn/sj/zxfb/202401/t20240116_1946619.html</w:t>
      </w:r>
      <w:r>
        <w:rPr>
          <w:rFonts w:ascii="Arial Narrow" w:hAnsi="Arial Narrow" w:eastAsia="仿宋" w:cs="Arial Narrow"/>
          <w:sz w:val="16"/>
          <w:szCs w:val="16"/>
        </w:rPr>
      </w:r>
    </w:p>
  </w:footnote>
  <w:footnote w:id="11">
    <w:p>
      <w:pPr>
        <w:pStyle w:val="1359"/>
        <w:pBdr/>
        <w:spacing/>
        <w:ind/>
        <w:rPr>
          <w:rFonts w:ascii="Arial Narrow" w:hAnsi="Arial Narrow" w:eastAsia="仿宋" w:cs="Arial Narrow"/>
          <w:sz w:val="16"/>
          <w:szCs w:val="16"/>
        </w:rPr>
      </w:pPr>
      <w:r>
        <w:rPr>
          <w:rStyle w:val="1377"/>
          <w:rFonts w:ascii="Arial Narrow" w:hAnsi="Arial Narrow" w:eastAsia="仿宋" w:cs="Arial Narrow"/>
          <w:sz w:val="16"/>
          <w:szCs w:val="16"/>
        </w:rPr>
        <w:footnoteRef/>
      </w:r>
      <w:r>
        <w:rPr>
          <w:rFonts w:ascii="Arial Narrow" w:hAnsi="Arial Narrow" w:eastAsia="仿宋" w:cs="Arial Narrow"/>
          <w:sz w:val="16"/>
          <w:szCs w:val="16"/>
        </w:rPr>
        <w:t xml:space="preserve"> </w:t>
      </w:r>
      <w:r>
        <w:rPr>
          <w:rFonts w:ascii="Arial Narrow" w:hAnsi="Arial Narrow" w:eastAsia="仿宋" w:cs="Arial Narrow"/>
          <w:sz w:val="16"/>
          <w:szCs w:val="16"/>
        </w:rPr>
        <w:t xml:space="preserve">资料来源：国家统计局，</w:t>
      </w:r>
      <w:r>
        <w:rPr>
          <w:rFonts w:ascii="Arial Narrow" w:hAnsi="Arial Narrow" w:eastAsia="仿宋" w:cs="Arial Narrow"/>
          <w:sz w:val="16"/>
          <w:szCs w:val="16"/>
        </w:rPr>
        <w:t xml:space="preserve">https://www.stats.gov.cn/sj/zxfb/202401/t20240116_1946619.html</w:t>
      </w:r>
      <w:r>
        <w:rPr>
          <w:rFonts w:ascii="Arial Narrow" w:hAnsi="Arial Narrow" w:eastAsia="仿宋" w:cs="Arial Narrow"/>
          <w:sz w:val="16"/>
          <w:szCs w:val="16"/>
        </w:rPr>
      </w:r>
    </w:p>
  </w:footnote>
  <w:footnote w:id="12">
    <w:p>
      <w:pPr>
        <w:pStyle w:val="1359"/>
        <w:pBdr/>
        <w:spacing/>
        <w:ind/>
        <w:rPr/>
      </w:pPr>
      <w:r>
        <w:rPr>
          <w:rStyle w:val="1377"/>
          <w:rFonts w:ascii="Arial Narrow" w:hAnsi="Arial Narrow" w:eastAsia="仿宋" w:cs="Arial Narrow"/>
          <w:sz w:val="16"/>
          <w:szCs w:val="16"/>
        </w:rPr>
        <w:footnoteRef/>
      </w:r>
      <w:r>
        <w:rPr>
          <w:rFonts w:ascii="Arial Narrow" w:hAnsi="Arial Narrow" w:eastAsia="仿宋" w:cs="Arial Narrow"/>
          <w:sz w:val="16"/>
          <w:szCs w:val="16"/>
        </w:rPr>
        <w:t xml:space="preserve"> </w:t>
      </w:r>
      <w:r>
        <w:rPr>
          <w:rFonts w:hint="eastAsia" w:ascii="Arial Narrow" w:hAnsi="Arial Narrow" w:eastAsia="仿宋" w:cs="Arial Narrow"/>
          <w:sz w:val="16"/>
          <w:szCs w:val="16"/>
        </w:rPr>
        <w:t xml:space="preserve">资料来源：浦银国际，</w:t>
      </w:r>
      <w:r>
        <w:rPr>
          <w:rFonts w:ascii="Arial Narrow" w:hAnsi="Arial Narrow" w:eastAsia="仿宋" w:cs="Arial Narrow"/>
          <w:sz w:val="16"/>
          <w:szCs w:val="16"/>
        </w:rPr>
        <w:t xml:space="preserve">http://www.spdbi.com/getfile/index/action/images/name/6577fa4a86f77.pdf</w:t>
      </w:r>
      <w:r/>
    </w:p>
  </w:footnote>
  <w:footnote w:id="13">
    <w:p>
      <w:pPr>
        <w:pStyle w:val="1359"/>
        <w:pBdr/>
        <w:spacing w:line="240" w:lineRule="atLeast"/>
        <w:ind/>
        <w:rPr>
          <w:rFonts w:ascii="Arial Narrow" w:hAnsi="Arial Narrow" w:eastAsia="仿宋_GB2312"/>
          <w:sz w:val="16"/>
          <w:szCs w:val="16"/>
          <w:lang w:eastAsia="zh-CN"/>
        </w:rPr>
      </w:pPr>
      <w:r>
        <w:rPr>
          <w:rStyle w:val="1377"/>
          <w:rFonts w:ascii="Arial Narrow" w:hAnsi="Arial Narrow" w:eastAsia="仿宋_GB2312" w:cs="Arial"/>
          <w:sz w:val="16"/>
          <w:szCs w:val="16"/>
        </w:rPr>
        <w:footnoteRef/>
      </w:r>
      <w:r>
        <w:rPr>
          <w:rStyle w:val="1377"/>
          <w:rFonts w:ascii="Arial Narrow" w:hAnsi="Arial Narrow" w:eastAsia="仿宋_GB2312" w:cs="Arial"/>
          <w:sz w:val="16"/>
          <w:szCs w:val="16"/>
          <w:lang w:eastAsia="zh-CN"/>
        </w:rPr>
        <w:t xml:space="preserve"> </w:t>
      </w:r>
      <w:r>
        <w:rPr>
          <w:rFonts w:ascii="Arial Narrow" w:hAnsi="Arial Narrow" w:eastAsia="仿宋_GB2312"/>
          <w:sz w:val="16"/>
          <w:szCs w:val="16"/>
          <w:lang w:eastAsia="zh-CN"/>
        </w:rPr>
        <w:t xml:space="preserve">《</w:t>
      </w:r>
      <w:r>
        <w:rPr>
          <w:rFonts w:ascii="Arial Narrow" w:hAnsi="Arial Narrow" w:eastAsia="仿宋_GB2312"/>
          <w:sz w:val="16"/>
          <w:szCs w:val="16"/>
          <w:lang w:eastAsia="zh-CN"/>
        </w:rPr>
        <w:t xml:space="preserve">OECD </w:t>
      </w:r>
      <w:r>
        <w:rPr>
          <w:rFonts w:ascii="Arial Narrow" w:hAnsi="Arial Narrow" w:eastAsia="仿宋_GB2312"/>
          <w:sz w:val="16"/>
          <w:szCs w:val="16"/>
          <w:lang w:eastAsia="zh-CN"/>
        </w:rPr>
        <w:t xml:space="preserve">跨国企业与税务机关转让定价指南》，第</w:t>
      </w:r>
      <w:r>
        <w:rPr>
          <w:rFonts w:ascii="Arial Narrow" w:hAnsi="Arial Narrow" w:eastAsia="仿宋_GB2312"/>
          <w:sz w:val="16"/>
          <w:szCs w:val="16"/>
          <w:lang w:eastAsia="zh-CN"/>
        </w:rPr>
        <w:t xml:space="preserve"> III </w:t>
      </w:r>
      <w:r>
        <w:rPr>
          <w:rFonts w:ascii="Arial Narrow" w:hAnsi="Arial Narrow" w:eastAsia="仿宋_GB2312"/>
          <w:sz w:val="16"/>
          <w:szCs w:val="16"/>
          <w:lang w:eastAsia="zh-CN"/>
        </w:rPr>
        <w:t xml:space="preserve">章，</w:t>
      </w:r>
      <w:r>
        <w:rPr>
          <w:rFonts w:ascii="Arial Narrow" w:hAnsi="Arial Narrow" w:eastAsia="仿宋_GB2312"/>
          <w:sz w:val="16"/>
          <w:szCs w:val="16"/>
          <w:lang w:eastAsia="zh-CN"/>
        </w:rPr>
        <w:t xml:space="preserve">A </w:t>
      </w:r>
      <w:r>
        <w:rPr>
          <w:rFonts w:ascii="Arial Narrow" w:hAnsi="Arial Narrow" w:eastAsia="仿宋_GB2312"/>
          <w:sz w:val="16"/>
          <w:szCs w:val="16"/>
          <w:lang w:eastAsia="zh-CN"/>
        </w:rPr>
        <w:t xml:space="preserve">部分，第</w:t>
      </w:r>
      <w:r>
        <w:rPr>
          <w:rFonts w:ascii="Arial Narrow" w:hAnsi="Arial Narrow" w:eastAsia="仿宋_GB2312"/>
          <w:sz w:val="16"/>
          <w:szCs w:val="16"/>
          <w:lang w:eastAsia="zh-CN"/>
        </w:rPr>
        <w:t xml:space="preserve"> 3.9 </w:t>
      </w:r>
      <w:r>
        <w:rPr>
          <w:rFonts w:ascii="Arial Narrow" w:hAnsi="Arial Narrow" w:eastAsia="仿宋_GB2312"/>
          <w:sz w:val="16"/>
          <w:szCs w:val="16"/>
          <w:lang w:eastAsia="zh-CN"/>
        </w:rPr>
        <w:t xml:space="preserve">段落</w:t>
      </w:r>
      <w:r>
        <w:rPr>
          <w:rFonts w:ascii="Arial Narrow" w:hAnsi="Arial Narrow" w:eastAsia="仿宋_GB2312"/>
          <w:sz w:val="16"/>
          <w:szCs w:val="16"/>
          <w:lang w:eastAsia="zh-CN"/>
        </w:rPr>
      </w:r>
    </w:p>
  </w:footnote>
  <w:footnote w:id="14">
    <w:p>
      <w:pPr>
        <w:pStyle w:val="1359"/>
        <w:pBdr/>
        <w:spacing/>
        <w:ind/>
        <w:rPr>
          <w:rFonts w:ascii="仿宋_GB2312" w:hAnsi="Arial Narrow" w:eastAsia="仿宋_GB2312"/>
          <w:sz w:val="16"/>
          <w:szCs w:val="16"/>
          <w:lang w:eastAsia="zh-CN"/>
        </w:rPr>
      </w:pPr>
      <w:r>
        <w:rPr>
          <w:rStyle w:val="1377"/>
          <w:rFonts w:hint="eastAsia" w:ascii="Arial Narrow" w:hAnsi="Arial Narrow" w:eastAsia="仿宋_GB2312"/>
          <w:sz w:val="16"/>
          <w:szCs w:val="16"/>
        </w:rPr>
        <w:footnoteRef/>
      </w:r>
      <w:r>
        <w:rPr>
          <w:rStyle w:val="1377"/>
          <w:rFonts w:hint="eastAsia" w:ascii="仿宋_GB2312" w:hAnsi="Arial Narrow" w:eastAsia="仿宋_GB2312"/>
          <w:lang w:eastAsia="zh-CN"/>
        </w:rPr>
        <w:t xml:space="preserve"> </w:t>
      </w:r>
      <w:r>
        <w:rPr>
          <w:rFonts w:hint="eastAsia" w:ascii="仿宋_GB2312" w:hAnsi="Arial Narrow" w:eastAsia="仿宋_GB2312"/>
          <w:sz w:val="16"/>
          <w:szCs w:val="16"/>
          <w:lang w:eastAsia="zh-CN"/>
        </w:rPr>
        <w:t xml:space="preserve">资料来源：中华人民共和国人力资源和社会保障部</w:t>
      </w:r>
      <w:r>
        <w:rPr>
          <w:rFonts w:ascii="仿宋_GB2312" w:hAnsi="Arial Narrow" w:eastAsia="仿宋_GB2312"/>
          <w:sz w:val="16"/>
          <w:szCs w:val="16"/>
          <w:lang w:eastAsia="zh-CN"/>
        </w:rPr>
      </w:r>
    </w:p>
    <w:p>
      <w:pPr>
        <w:pStyle w:val="1359"/>
        <w:pBdr/>
        <w:spacing/>
        <w:ind/>
        <w:rPr>
          <w:rFonts w:ascii="仿宋_GB2312" w:hAnsi="Arial Narrow" w:eastAsia="仿宋_GB2312"/>
        </w:rPr>
      </w:pPr>
      <w:r>
        <w:rPr>
          <w:rFonts w:ascii="Arial Narrow" w:hAnsi="Arial Narrow" w:eastAsia="仿宋_GB2312" w:cs="Arial Narrow"/>
          <w:sz w:val="16"/>
          <w:szCs w:val="16"/>
        </w:rPr>
        <w:t xml:space="preserve">http://www.mohrss.gov.cn/SYrlzyhshbzb/laodongguanxi_/fwyd/202401/t20240119_512450.html</w:t>
      </w:r>
      <w:r>
        <w:rPr>
          <w:rFonts w:ascii="仿宋_GB2312" w:hAnsi="Arial Narrow" w:eastAsia="仿宋_GB2312"/>
        </w:rPr>
      </w:r>
    </w:p>
  </w:footnote>
  <w:footnote w:id="15">
    <w:p>
      <w:pPr>
        <w:pStyle w:val="1359"/>
        <w:pBdr/>
        <w:spacing w:line="240" w:lineRule="atLeast"/>
        <w:ind/>
        <w:rPr>
          <w:rFonts w:ascii="Arial Narrow" w:hAnsi="Arial Narrow" w:eastAsia="仿宋_GB2312" w:cs="楷体"/>
          <w:sz w:val="16"/>
          <w:szCs w:val="16"/>
        </w:rPr>
      </w:pPr>
      <w:r>
        <w:rPr>
          <w:rStyle w:val="1377"/>
          <w:rFonts w:ascii="Arial Narrow" w:hAnsi="Arial Narrow" w:eastAsia="仿宋_GB2312"/>
          <w:sz w:val="16"/>
          <w:szCs w:val="16"/>
        </w:rPr>
        <w:footnoteRef/>
      </w:r>
      <w:r>
        <w:rPr>
          <w:rStyle w:val="1377"/>
          <w:rFonts w:ascii="Arial Narrow" w:hAnsi="Arial Narrow" w:eastAsia="仿宋_GB2312"/>
          <w:sz w:val="16"/>
          <w:szCs w:val="16"/>
        </w:rPr>
        <w:t xml:space="preserve"> </w:t>
      </w:r>
      <w:r>
        <w:rPr>
          <w:rFonts w:ascii="Arial Narrow" w:hAnsi="Arial Narrow" w:eastAsia="仿宋_GB2312"/>
          <w:sz w:val="16"/>
          <w:szCs w:val="16"/>
        </w:rPr>
        <w:t xml:space="preserve"> </w:t>
      </w:r>
      <w:r>
        <w:rPr>
          <w:rFonts w:ascii="Arial Narrow" w:hAnsi="Arial Narrow" w:eastAsia="仿宋_GB2312" w:cs="楷体"/>
          <w:sz w:val="16"/>
          <w:szCs w:val="16"/>
        </w:rPr>
        <w:t xml:space="preserve">资料来源：国家统计局，</w:t>
      </w:r>
      <w:r>
        <w:rPr>
          <w:rFonts w:ascii="Arial Narrow" w:hAnsi="Arial Narrow" w:eastAsia="仿宋_GB2312" w:cs="楷体"/>
          <w:sz w:val="16"/>
          <w:szCs w:val="16"/>
        </w:rPr>
        <w:t xml:space="preserve">https://www.stats.gov.cn/sj/zxfb/202405/t20240520_1950434.html</w:t>
      </w:r>
      <w:r>
        <w:rPr>
          <w:rFonts w:ascii="Arial Narrow" w:hAnsi="Arial Narrow" w:eastAsia="仿宋_GB2312" w:cs="楷体"/>
          <w:sz w:val="16"/>
          <w:szCs w:val="16"/>
        </w:rPr>
      </w:r>
    </w:p>
  </w:footnote>
  <w:footnote w:id="16">
    <w:p>
      <w:pPr>
        <w:pStyle w:val="1359"/>
        <w:pBdr/>
        <w:spacing/>
        <w:ind/>
        <w:rPr>
          <w:rFonts w:ascii="Arial Narrow" w:hAnsi="Arial Narrow" w:eastAsia="仿宋_GB2312"/>
          <w:sz w:val="16"/>
          <w:szCs w:val="16"/>
          <w:lang w:eastAsia="zh-CN"/>
        </w:rPr>
      </w:pPr>
      <w:r>
        <w:rPr>
          <w:rStyle w:val="1377"/>
          <w:rFonts w:ascii="Arial Narrow" w:hAnsi="Arial Narrow" w:eastAsia="仿宋_GB2312"/>
          <w:sz w:val="16"/>
          <w:szCs w:val="16"/>
        </w:rPr>
        <w:footnoteRef/>
      </w:r>
      <w:r>
        <w:rPr>
          <w:rFonts w:ascii="Arial Narrow" w:hAnsi="Arial Narrow" w:eastAsia="仿宋_GB2312"/>
          <w:sz w:val="16"/>
          <w:szCs w:val="16"/>
          <w:lang w:eastAsia="zh-CN"/>
        </w:rPr>
        <w:t xml:space="preserve"> </w:t>
      </w:r>
      <w:r>
        <w:rPr>
          <w:rFonts w:ascii="Arial Narrow" w:hAnsi="Arial Narrow" w:eastAsia="仿宋_GB2312"/>
          <w:sz w:val="16"/>
          <w:szCs w:val="16"/>
          <w:lang w:eastAsia="zh-CN"/>
        </w:rPr>
        <w:t xml:space="preserve">《</w:t>
      </w:r>
      <w:r>
        <w:rPr>
          <w:rFonts w:ascii="Arial Narrow" w:hAnsi="Arial Narrow" w:eastAsia="仿宋_GB2312" w:cs="微软雅黑"/>
          <w:sz w:val="16"/>
          <w:szCs w:val="16"/>
          <w:lang w:eastAsia="zh-CN"/>
        </w:rPr>
        <w:t xml:space="preserve">联</w:t>
      </w:r>
      <w:r>
        <w:rPr>
          <w:rFonts w:ascii="Arial Narrow" w:hAnsi="Arial Narrow" w:eastAsia="仿宋_GB2312" w:cs="Yu Gothic UI"/>
          <w:sz w:val="16"/>
          <w:szCs w:val="16"/>
          <w:lang w:eastAsia="zh-CN"/>
        </w:rPr>
        <w:t xml:space="preserve">合国</w:t>
      </w:r>
      <w:r>
        <w:rPr>
          <w:rFonts w:ascii="Arial Narrow" w:hAnsi="Arial Narrow" w:eastAsia="仿宋_GB2312" w:cs="微软雅黑"/>
          <w:sz w:val="16"/>
          <w:szCs w:val="16"/>
          <w:lang w:eastAsia="zh-CN"/>
        </w:rPr>
        <w:t xml:space="preserve">发</w:t>
      </w:r>
      <w:r>
        <w:rPr>
          <w:rFonts w:ascii="Arial Narrow" w:hAnsi="Arial Narrow" w:eastAsia="仿宋_GB2312" w:cs="Yu Gothic UI"/>
          <w:sz w:val="16"/>
          <w:szCs w:val="16"/>
          <w:lang w:eastAsia="zh-CN"/>
        </w:rPr>
        <w:t xml:space="preserve">展中国家</w:t>
      </w:r>
      <w:r>
        <w:rPr>
          <w:rFonts w:ascii="Arial Narrow" w:hAnsi="Arial Narrow" w:eastAsia="仿宋_GB2312" w:cs="微软雅黑"/>
          <w:sz w:val="16"/>
          <w:szCs w:val="16"/>
          <w:lang w:eastAsia="zh-CN"/>
        </w:rPr>
        <w:t xml:space="preserve">转让</w:t>
      </w:r>
      <w:r>
        <w:rPr>
          <w:rFonts w:ascii="Arial Narrow" w:hAnsi="Arial Narrow" w:eastAsia="仿宋_GB2312" w:cs="Yu Gothic UI"/>
          <w:sz w:val="16"/>
          <w:szCs w:val="16"/>
          <w:lang w:eastAsia="zh-CN"/>
        </w:rPr>
        <w:t xml:space="preserve">定价操作手册》，第</w:t>
      </w:r>
      <w:r>
        <w:rPr>
          <w:rFonts w:ascii="Arial Narrow" w:hAnsi="Arial Narrow" w:eastAsia="仿宋_GB2312"/>
          <w:sz w:val="16"/>
          <w:szCs w:val="16"/>
          <w:lang w:eastAsia="zh-CN"/>
        </w:rPr>
        <w:t xml:space="preserve">10</w:t>
      </w:r>
      <w:r>
        <w:rPr>
          <w:rFonts w:ascii="Arial Narrow" w:hAnsi="Arial Narrow" w:eastAsia="仿宋_GB2312"/>
          <w:sz w:val="16"/>
          <w:szCs w:val="16"/>
          <w:lang w:eastAsia="zh-CN"/>
        </w:rPr>
        <w:t xml:space="preserve">章国家</w:t>
      </w:r>
      <w:r>
        <w:rPr>
          <w:rFonts w:ascii="Arial Narrow" w:hAnsi="Arial Narrow" w:eastAsia="仿宋_GB2312" w:cs="微软雅黑"/>
          <w:sz w:val="16"/>
          <w:szCs w:val="16"/>
          <w:lang w:eastAsia="zh-CN"/>
        </w:rPr>
        <w:t xml:space="preserve">实</w:t>
      </w:r>
      <w:r>
        <w:rPr>
          <w:rFonts w:ascii="Arial Narrow" w:hAnsi="Arial Narrow" w:eastAsia="仿宋_GB2312" w:cs="Yu Gothic UI"/>
          <w:sz w:val="16"/>
          <w:szCs w:val="16"/>
          <w:lang w:eastAsia="zh-CN"/>
        </w:rPr>
        <w:t xml:space="preserve">践，第</w:t>
      </w:r>
      <w:r>
        <w:rPr>
          <w:rFonts w:ascii="Arial Narrow" w:hAnsi="Arial Narrow" w:eastAsia="仿宋_GB2312"/>
          <w:sz w:val="16"/>
          <w:szCs w:val="16"/>
          <w:lang w:eastAsia="zh-CN"/>
        </w:rPr>
        <w:t xml:space="preserve">10.3.3.3</w:t>
      </w:r>
      <w:r>
        <w:rPr>
          <w:rFonts w:ascii="Arial Narrow" w:hAnsi="Arial Narrow" w:eastAsia="仿宋_GB2312"/>
          <w:sz w:val="16"/>
          <w:szCs w:val="16"/>
          <w:lang w:eastAsia="zh-CN"/>
        </w:rPr>
        <w:t xml:space="preserve">段落</w:t>
      </w:r>
      <w:r>
        <w:rPr>
          <w:rFonts w:ascii="Arial Narrow" w:hAnsi="Arial Narrow" w:eastAsia="仿宋_GB2312"/>
          <w:sz w:val="16"/>
          <w:szCs w:val="16"/>
          <w:lang w:eastAsia="zh-CN"/>
        </w:rPr>
      </w:r>
    </w:p>
  </w:footnote>
  <w:footnote w:id="17">
    <w:p>
      <w:pPr>
        <w:pStyle w:val="1359"/>
        <w:pBdr/>
        <w:spacing w:line="240" w:lineRule="atLeast"/>
        <w:ind/>
        <w:rPr>
          <w:rFonts w:ascii="Arial Narrow" w:hAnsi="Arial Narrow" w:eastAsia="仿宋_GB2312"/>
          <w:sz w:val="16"/>
          <w:szCs w:val="16"/>
          <w:lang w:eastAsia="zh-CN"/>
        </w:rPr>
      </w:pPr>
      <w:r>
        <w:rPr>
          <w:rStyle w:val="1377"/>
          <w:rFonts w:ascii="Arial Narrow" w:hAnsi="Arial Narrow" w:eastAsia="仿宋_GB2312"/>
          <w:sz w:val="16"/>
          <w:szCs w:val="16"/>
        </w:rPr>
        <w:footnoteRef/>
      </w:r>
      <w:r>
        <w:rPr>
          <w:rFonts w:ascii="Arial Narrow" w:hAnsi="Arial Narrow" w:eastAsia="仿宋_GB2312"/>
          <w:sz w:val="16"/>
          <w:szCs w:val="16"/>
          <w:lang w:eastAsia="zh-CN"/>
        </w:rPr>
        <w:t xml:space="preserve"> </w:t>
      </w:r>
      <w:r>
        <w:rPr>
          <w:rFonts w:ascii="Arial Narrow" w:hAnsi="Arial Narrow" w:eastAsia="仿宋_GB2312" w:cs="楷体"/>
          <w:sz w:val="16"/>
          <w:szCs w:val="16"/>
          <w:lang w:eastAsia="zh-CN"/>
        </w:rPr>
        <w:t xml:space="preserve">《</w:t>
      </w:r>
      <w:r>
        <w:rPr>
          <w:rFonts w:ascii="Arial Narrow" w:hAnsi="Arial Narrow" w:eastAsia="仿宋_GB2312" w:cs="楷体"/>
          <w:sz w:val="16"/>
          <w:szCs w:val="16"/>
          <w:lang w:eastAsia="zh-CN"/>
        </w:rPr>
        <w:t xml:space="preserve">OECD</w:t>
      </w:r>
      <w:r>
        <w:rPr>
          <w:rFonts w:ascii="Arial Narrow" w:hAnsi="Arial Narrow" w:eastAsia="仿宋_GB2312" w:cs="楷体"/>
          <w:sz w:val="16"/>
          <w:szCs w:val="16"/>
          <w:lang w:eastAsia="zh-CN"/>
        </w:rPr>
        <w:t xml:space="preserve">转让定价指南》</w:t>
      </w:r>
      <w:r>
        <w:rPr>
          <w:rFonts w:ascii="Arial Narrow" w:hAnsi="Arial Narrow" w:eastAsia="仿宋_GB2312" w:cs="楷体"/>
          <w:sz w:val="16"/>
          <w:szCs w:val="16"/>
          <w:lang w:eastAsia="zh-CN"/>
        </w:rPr>
        <w:t xml:space="preserve">2.11</w:t>
      </w:r>
      <w:r>
        <w:rPr>
          <w:rFonts w:ascii="Arial Narrow" w:hAnsi="Arial Narrow" w:eastAsia="仿宋_GB2312" w:cs="楷体"/>
          <w:sz w:val="16"/>
          <w:szCs w:val="16"/>
          <w:lang w:eastAsia="zh-CN"/>
        </w:rPr>
        <w:t xml:space="preserve">章</w:t>
      </w:r>
      <w:r>
        <w:rPr>
          <w:rFonts w:ascii="Arial Narrow" w:hAnsi="Arial Narrow" w:eastAsia="仿宋_GB2312"/>
          <w:sz w:val="16"/>
          <w:szCs w:val="16"/>
          <w:lang w:eastAsia="zh-CN"/>
        </w:rPr>
      </w:r>
    </w:p>
  </w:footnote>
  <w:footnote w:id="18">
    <w:p>
      <w:pPr>
        <w:pStyle w:val="1359"/>
        <w:pBdr/>
        <w:spacing w:line="240" w:lineRule="atLeast"/>
        <w:ind/>
        <w:rPr>
          <w:rFonts w:ascii="Arial Narrow" w:hAnsi="Arial Narrow" w:eastAsia="仿宋_GB2312"/>
          <w:sz w:val="16"/>
          <w:szCs w:val="16"/>
          <w:lang w:eastAsia="zh-CN"/>
        </w:rPr>
      </w:pPr>
      <w:r>
        <w:rPr>
          <w:rStyle w:val="1377"/>
          <w:rFonts w:ascii="Arial Narrow" w:hAnsi="Arial Narrow" w:eastAsia="仿宋_GB2312"/>
          <w:sz w:val="16"/>
          <w:szCs w:val="16"/>
        </w:rPr>
        <w:footnoteRef/>
      </w:r>
      <w:r>
        <w:rPr>
          <w:rFonts w:ascii="Arial Narrow" w:hAnsi="Arial Narrow" w:eastAsia="仿宋_GB2312"/>
          <w:sz w:val="16"/>
          <w:szCs w:val="16"/>
          <w:lang w:eastAsia="zh-CN"/>
        </w:rPr>
        <w:t xml:space="preserve"> </w:t>
      </w:r>
      <w:r>
        <w:rPr>
          <w:rFonts w:ascii="Arial Narrow" w:hAnsi="Arial Narrow" w:eastAsia="仿宋_GB2312" w:cs="楷体"/>
          <w:sz w:val="16"/>
          <w:szCs w:val="16"/>
          <w:lang w:eastAsia="zh-CN"/>
        </w:rPr>
        <w:t xml:space="preserve">《</w:t>
      </w:r>
      <w:r>
        <w:rPr>
          <w:rFonts w:ascii="Arial Narrow" w:hAnsi="Arial Narrow" w:eastAsia="仿宋_GB2312" w:cs="楷体"/>
          <w:sz w:val="16"/>
          <w:szCs w:val="16"/>
          <w:lang w:eastAsia="zh-CN"/>
        </w:rPr>
        <w:t xml:space="preserve">OECD</w:t>
      </w:r>
      <w:r>
        <w:rPr>
          <w:rFonts w:ascii="Arial Narrow" w:hAnsi="Arial Narrow" w:eastAsia="仿宋_GB2312" w:cs="楷体"/>
          <w:sz w:val="16"/>
          <w:szCs w:val="16"/>
          <w:lang w:eastAsia="zh-CN"/>
        </w:rPr>
        <w:t xml:space="preserve">转让定价指南》</w:t>
      </w:r>
      <w:r>
        <w:rPr>
          <w:rFonts w:ascii="Arial Narrow" w:hAnsi="Arial Narrow" w:eastAsia="仿宋_GB2312" w:cs="楷体"/>
          <w:sz w:val="16"/>
          <w:szCs w:val="16"/>
          <w:lang w:eastAsia="zh-CN"/>
        </w:rPr>
        <w:t xml:space="preserve">2.58</w:t>
      </w:r>
      <w:r>
        <w:rPr>
          <w:rFonts w:ascii="Arial Narrow" w:hAnsi="Arial Narrow" w:eastAsia="仿宋_GB2312" w:cs="楷体"/>
          <w:sz w:val="16"/>
          <w:szCs w:val="16"/>
          <w:lang w:eastAsia="zh-CN"/>
        </w:rPr>
        <w:t xml:space="preserve">章</w:t>
      </w:r>
      <w:r>
        <w:rPr>
          <w:rFonts w:ascii="Arial Narrow" w:hAnsi="Arial Narrow" w:eastAsia="仿宋_GB2312"/>
          <w:sz w:val="16"/>
          <w:szCs w:val="16"/>
          <w:lang w:eastAsia="zh-CN"/>
        </w:rPr>
      </w:r>
    </w:p>
  </w:footnote>
  <w:footnote w:id="19">
    <w:p>
      <w:pPr>
        <w:pStyle w:val="1359"/>
        <w:pBdr/>
        <w:spacing w:line="240" w:lineRule="atLeast"/>
        <w:ind/>
        <w:rPr>
          <w:rFonts w:ascii="Arial Narrow" w:hAnsi="Arial Narrow" w:eastAsia="仿宋_GB2312"/>
          <w:sz w:val="16"/>
          <w:szCs w:val="16"/>
          <w:lang w:eastAsia="zh-CN"/>
        </w:rPr>
      </w:pPr>
      <w:r>
        <w:rPr>
          <w:rStyle w:val="1377"/>
          <w:rFonts w:ascii="Arial Narrow" w:hAnsi="Arial Narrow" w:eastAsia="仿宋_GB2312"/>
          <w:sz w:val="16"/>
          <w:szCs w:val="16"/>
        </w:rPr>
        <w:footnoteRef/>
      </w:r>
      <w:r>
        <w:rPr>
          <w:rFonts w:ascii="Arial Narrow" w:hAnsi="Arial Narrow" w:eastAsia="仿宋_GB2312"/>
          <w:sz w:val="16"/>
          <w:szCs w:val="16"/>
          <w:lang w:eastAsia="zh-CN"/>
        </w:rPr>
        <w:t xml:space="preserve"> </w:t>
      </w:r>
      <w:r>
        <w:rPr>
          <w:rFonts w:ascii="Arial Narrow" w:hAnsi="Arial Narrow" w:eastAsia="仿宋_GB2312" w:cs="楷体"/>
          <w:sz w:val="16"/>
          <w:szCs w:val="16"/>
          <w:lang w:eastAsia="zh-CN"/>
        </w:rPr>
        <w:t xml:space="preserve">《</w:t>
      </w:r>
      <w:r>
        <w:rPr>
          <w:rFonts w:ascii="Arial Narrow" w:hAnsi="Arial Narrow" w:eastAsia="仿宋_GB2312" w:cs="楷体"/>
          <w:sz w:val="16"/>
          <w:szCs w:val="16"/>
          <w:lang w:eastAsia="zh-CN"/>
        </w:rPr>
        <w:t xml:space="preserve">OECD</w:t>
      </w:r>
      <w:r>
        <w:rPr>
          <w:rFonts w:ascii="Arial Narrow" w:hAnsi="Arial Narrow" w:eastAsia="仿宋_GB2312" w:cs="楷体"/>
          <w:sz w:val="16"/>
          <w:szCs w:val="16"/>
          <w:lang w:eastAsia="zh-CN"/>
        </w:rPr>
        <w:t xml:space="preserve">转让定价指南》</w:t>
      </w:r>
      <w:r>
        <w:rPr>
          <w:rFonts w:ascii="Arial Narrow" w:hAnsi="Arial Narrow" w:eastAsia="仿宋_GB2312" w:cs="楷体"/>
          <w:sz w:val="16"/>
          <w:szCs w:val="16"/>
          <w:lang w:eastAsia="zh-CN"/>
        </w:rPr>
        <w:t xml:space="preserve">3.76</w:t>
      </w:r>
      <w:r>
        <w:rPr>
          <w:rFonts w:ascii="Arial Narrow" w:hAnsi="Arial Narrow" w:eastAsia="仿宋_GB2312" w:cs="楷体"/>
          <w:sz w:val="16"/>
          <w:szCs w:val="16"/>
          <w:lang w:eastAsia="zh-CN"/>
        </w:rPr>
        <w:t xml:space="preserve">章</w:t>
      </w:r>
      <w:r>
        <w:rPr>
          <w:rFonts w:ascii="Arial Narrow" w:hAnsi="Arial Narrow" w:eastAsia="仿宋_GB2312"/>
          <w:sz w:val="16"/>
          <w:szCs w:val="16"/>
          <w:lang w:eastAsia="zh-CN"/>
        </w:rPr>
      </w:r>
    </w:p>
  </w:footnote>
  <w:footnote w:id="20">
    <w:p>
      <w:pPr>
        <w:pStyle w:val="1359"/>
        <w:pBdr/>
        <w:spacing w:line="240" w:lineRule="atLeast"/>
        <w:ind/>
        <w:rPr>
          <w:rFonts w:ascii="Arial Narrow" w:hAnsi="Arial Narrow" w:eastAsia="仿宋_GB2312"/>
          <w:sz w:val="16"/>
          <w:szCs w:val="16"/>
          <w:lang w:eastAsia="zh-CN"/>
        </w:rPr>
      </w:pPr>
      <w:r>
        <w:rPr>
          <w:rStyle w:val="1377"/>
          <w:rFonts w:ascii="Arial Narrow" w:hAnsi="Arial Narrow" w:eastAsia="仿宋_GB2312"/>
          <w:sz w:val="16"/>
          <w:szCs w:val="16"/>
        </w:rPr>
        <w:footnoteRef/>
      </w:r>
      <w:r>
        <w:rPr>
          <w:rFonts w:ascii="Arial Narrow" w:hAnsi="Arial Narrow" w:eastAsia="仿宋_GB2312"/>
          <w:sz w:val="16"/>
          <w:szCs w:val="16"/>
          <w:lang w:eastAsia="zh-CN"/>
        </w:rPr>
        <w:t xml:space="preserve"> </w:t>
      </w:r>
      <w:r>
        <w:rPr>
          <w:rFonts w:ascii="Arial Narrow" w:hAnsi="Arial Narrow" w:eastAsia="仿宋_GB2312" w:cs="楷体"/>
          <w:sz w:val="16"/>
          <w:szCs w:val="16"/>
          <w:lang w:eastAsia="zh-CN"/>
        </w:rPr>
        <w:t xml:space="preserve">《</w:t>
      </w:r>
      <w:r>
        <w:rPr>
          <w:rFonts w:ascii="Arial Narrow" w:hAnsi="Arial Narrow" w:eastAsia="仿宋_GB2312" w:cs="楷体"/>
          <w:sz w:val="16"/>
          <w:szCs w:val="16"/>
          <w:lang w:eastAsia="zh-CN"/>
        </w:rPr>
        <w:t xml:space="preserve">OECD</w:t>
      </w:r>
      <w:r>
        <w:rPr>
          <w:rFonts w:ascii="Arial Narrow" w:hAnsi="Arial Narrow" w:eastAsia="仿宋_GB2312" w:cs="楷体"/>
          <w:sz w:val="16"/>
          <w:szCs w:val="16"/>
          <w:lang w:eastAsia="zh-CN"/>
        </w:rPr>
        <w:t xml:space="preserve">转让定价指南》</w:t>
      </w:r>
      <w:r>
        <w:rPr>
          <w:rFonts w:ascii="Arial Narrow" w:hAnsi="Arial Narrow" w:eastAsia="仿宋_GB2312" w:cs="楷体"/>
          <w:sz w:val="16"/>
          <w:szCs w:val="16"/>
          <w:lang w:eastAsia="zh-CN"/>
        </w:rPr>
        <w:t xml:space="preserve">3.77</w:t>
      </w:r>
      <w:r>
        <w:rPr>
          <w:rFonts w:ascii="Arial Narrow" w:hAnsi="Arial Narrow" w:eastAsia="仿宋_GB2312" w:cs="楷体"/>
          <w:sz w:val="16"/>
          <w:szCs w:val="16"/>
          <w:lang w:eastAsia="zh-CN"/>
        </w:rPr>
        <w:t xml:space="preserve">章</w:t>
      </w:r>
      <w:r>
        <w:rPr>
          <w:rFonts w:ascii="Arial Narrow" w:hAnsi="Arial Narrow" w:eastAsia="仿宋_GB2312"/>
          <w:sz w:val="16"/>
          <w:szCs w:val="16"/>
          <w:lang w:eastAsia="zh-CN"/>
        </w:rPr>
      </w:r>
    </w:p>
  </w:footnote>
  <w:footnote w:id="21">
    <w:p>
      <w:pPr>
        <w:pStyle w:val="1359"/>
        <w:pBdr/>
        <w:spacing w:line="240" w:lineRule="atLeast"/>
        <w:ind/>
        <w:rPr>
          <w:rFonts w:ascii="Arial Narrow" w:hAnsi="Arial Narrow" w:eastAsia="仿宋_GB2312"/>
          <w:sz w:val="16"/>
          <w:szCs w:val="16"/>
          <w:lang w:eastAsia="zh-CN"/>
        </w:rPr>
      </w:pPr>
      <w:r>
        <w:rPr>
          <w:rStyle w:val="1377"/>
          <w:rFonts w:ascii="Arial Narrow" w:hAnsi="Arial Narrow" w:eastAsia="仿宋_GB2312"/>
          <w:sz w:val="16"/>
          <w:szCs w:val="16"/>
        </w:rPr>
        <w:footnoteRef/>
      </w:r>
      <w:r>
        <w:rPr>
          <w:rFonts w:ascii="Arial Narrow" w:hAnsi="Arial Narrow" w:eastAsia="仿宋_GB2312"/>
          <w:sz w:val="16"/>
          <w:szCs w:val="16"/>
          <w:lang w:eastAsia="zh-CN"/>
        </w:rPr>
        <w:t xml:space="preserve"> </w:t>
      </w:r>
      <w:r>
        <w:rPr>
          <w:rFonts w:ascii="Arial Narrow" w:hAnsi="Arial Narrow" w:eastAsia="仿宋_GB2312" w:cs="楷体"/>
          <w:sz w:val="16"/>
          <w:szCs w:val="16"/>
          <w:lang w:eastAsia="zh-CN"/>
        </w:rPr>
        <w:t xml:space="preserve">《</w:t>
      </w:r>
      <w:r>
        <w:rPr>
          <w:rFonts w:ascii="Arial Narrow" w:hAnsi="Arial Narrow" w:eastAsia="仿宋_GB2312" w:cs="楷体"/>
          <w:sz w:val="16"/>
          <w:szCs w:val="16"/>
          <w:lang w:eastAsia="zh-CN"/>
        </w:rPr>
        <w:t xml:space="preserve">OECD</w:t>
      </w:r>
      <w:r>
        <w:rPr>
          <w:rFonts w:ascii="Arial Narrow" w:hAnsi="Arial Narrow" w:eastAsia="仿宋_GB2312" w:cs="楷体"/>
          <w:sz w:val="16"/>
          <w:szCs w:val="16"/>
          <w:lang w:eastAsia="zh-CN"/>
        </w:rPr>
        <w:t xml:space="preserve">转让定价指南》</w:t>
      </w:r>
      <w:r>
        <w:rPr>
          <w:rFonts w:ascii="Arial Narrow" w:hAnsi="Arial Narrow" w:eastAsia="仿宋_GB2312" w:cs="楷体"/>
          <w:sz w:val="16"/>
          <w:szCs w:val="16"/>
          <w:lang w:eastAsia="zh-CN"/>
        </w:rPr>
        <w:t xml:space="preserve">3.55</w:t>
      </w:r>
      <w:r>
        <w:rPr>
          <w:rFonts w:ascii="Arial Narrow" w:hAnsi="Arial Narrow" w:eastAsia="仿宋_GB2312" w:cs="楷体"/>
          <w:sz w:val="16"/>
          <w:szCs w:val="16"/>
          <w:lang w:eastAsia="zh-CN"/>
        </w:rPr>
        <w:t xml:space="preserve">章</w:t>
      </w:r>
      <w:r>
        <w:rPr>
          <w:rFonts w:ascii="Arial Narrow" w:hAnsi="Arial Narrow" w:eastAsia="仿宋_GB2312"/>
          <w:sz w:val="16"/>
          <w:szCs w:val="16"/>
          <w:lang w:eastAsia="zh-CN"/>
        </w:rPr>
      </w:r>
    </w:p>
  </w:footnote>
  <w:footnote w:id="22">
    <w:p>
      <w:pPr>
        <w:pStyle w:val="1359"/>
        <w:pBdr/>
        <w:spacing w:line="240" w:lineRule="atLeast"/>
        <w:ind/>
        <w:rPr>
          <w:rFonts w:ascii="Arial Narrow" w:hAnsi="Arial Narrow" w:eastAsia="仿宋_GB2312"/>
          <w:sz w:val="16"/>
          <w:szCs w:val="16"/>
          <w:lang w:eastAsia="zh-CN"/>
        </w:rPr>
      </w:pPr>
      <w:r>
        <w:rPr>
          <w:rStyle w:val="1377"/>
          <w:rFonts w:ascii="Arial Narrow" w:hAnsi="Arial Narrow" w:eastAsia="仿宋_GB2312"/>
          <w:sz w:val="16"/>
          <w:szCs w:val="16"/>
        </w:rPr>
        <w:footnoteRef/>
      </w:r>
      <w:r>
        <w:rPr>
          <w:rFonts w:ascii="Arial Narrow" w:hAnsi="Arial Narrow" w:eastAsia="仿宋_GB2312" w:cs="楷体"/>
          <w:sz w:val="16"/>
          <w:szCs w:val="16"/>
          <w:lang w:eastAsia="zh-CN"/>
        </w:rPr>
        <w:t xml:space="preserve"> </w:t>
      </w:r>
      <w:r>
        <w:rPr>
          <w:rFonts w:ascii="Arial Narrow" w:hAnsi="Arial Narrow" w:eastAsia="仿宋_GB2312" w:cs="楷体"/>
          <w:sz w:val="16"/>
          <w:szCs w:val="16"/>
          <w:lang w:eastAsia="zh-CN"/>
        </w:rPr>
        <w:t xml:space="preserve">国家税务总局公告</w:t>
      </w:r>
      <w:r>
        <w:rPr>
          <w:rFonts w:ascii="Arial Narrow" w:hAnsi="Arial Narrow" w:eastAsia="仿宋_GB2312" w:cs="楷体"/>
          <w:sz w:val="16"/>
          <w:szCs w:val="16"/>
          <w:lang w:eastAsia="zh-CN"/>
        </w:rPr>
        <w:t xml:space="preserve">2017</w:t>
      </w:r>
      <w:r>
        <w:rPr>
          <w:rFonts w:ascii="Arial Narrow" w:hAnsi="Arial Narrow" w:eastAsia="仿宋_GB2312" w:cs="楷体"/>
          <w:sz w:val="16"/>
          <w:szCs w:val="16"/>
          <w:lang w:eastAsia="zh-CN"/>
        </w:rPr>
        <w:t xml:space="preserve">年第</w:t>
      </w:r>
      <w:r>
        <w:rPr>
          <w:rFonts w:ascii="Arial Narrow" w:hAnsi="Arial Narrow" w:eastAsia="仿宋_GB2312" w:cs="楷体"/>
          <w:sz w:val="16"/>
          <w:szCs w:val="16"/>
          <w:lang w:eastAsia="zh-CN"/>
        </w:rPr>
        <w:t xml:space="preserve">6</w:t>
      </w:r>
      <w:r>
        <w:rPr>
          <w:rFonts w:ascii="Arial Narrow" w:hAnsi="Arial Narrow" w:eastAsia="仿宋_GB2312" w:cs="楷体"/>
          <w:sz w:val="16"/>
          <w:szCs w:val="16"/>
          <w:lang w:eastAsia="zh-CN"/>
        </w:rPr>
        <w:t xml:space="preserve">号第</w:t>
      </w:r>
      <w:r>
        <w:rPr>
          <w:rFonts w:ascii="Arial Narrow" w:hAnsi="Arial Narrow" w:eastAsia="仿宋_GB2312" w:cs="楷体"/>
          <w:sz w:val="16"/>
          <w:szCs w:val="16"/>
          <w:lang w:eastAsia="zh-CN"/>
        </w:rPr>
        <w:t xml:space="preserve">25</w:t>
      </w:r>
      <w:r>
        <w:rPr>
          <w:rFonts w:ascii="Arial Narrow" w:hAnsi="Arial Narrow" w:eastAsia="仿宋_GB2312" w:cs="楷体"/>
          <w:sz w:val="16"/>
          <w:szCs w:val="16"/>
          <w:lang w:eastAsia="zh-CN"/>
        </w:rPr>
        <w:t xml:space="preserve">条提及</w:t>
      </w:r>
      <w:r>
        <w:rPr>
          <w:rFonts w:ascii="Arial Narrow" w:hAnsi="Arial Narrow" w:eastAsia="仿宋_GB2312" w:cs="楷体"/>
          <w:sz w:val="16"/>
          <w:szCs w:val="16"/>
          <w:lang w:eastAsia="zh-CN"/>
        </w:rPr>
        <w:t xml:space="preserve">“</w:t>
      </w:r>
      <w:r>
        <w:rPr>
          <w:rFonts w:ascii="Arial Narrow" w:hAnsi="Arial Narrow" w:eastAsia="仿宋_GB2312" w:cs="楷体"/>
          <w:sz w:val="16"/>
          <w:szCs w:val="16"/>
          <w:lang w:eastAsia="zh-CN"/>
        </w:rPr>
        <w:t xml:space="preserve">四分位法</w:t>
      </w:r>
      <w:r>
        <w:rPr>
          <w:rFonts w:ascii="Arial Narrow" w:hAnsi="Arial Narrow" w:eastAsia="仿宋_GB2312" w:cs="楷体"/>
          <w:sz w:val="16"/>
          <w:szCs w:val="16"/>
          <w:lang w:eastAsia="zh-CN"/>
        </w:rPr>
        <w:t xml:space="preserve">”</w:t>
      </w:r>
      <w:r>
        <w:rPr>
          <w:rFonts w:ascii="Arial Narrow" w:hAnsi="Arial Narrow" w:eastAsia="仿宋_GB2312" w:cs="楷体"/>
          <w:sz w:val="16"/>
          <w:szCs w:val="16"/>
          <w:lang w:eastAsia="zh-CN"/>
        </w:rPr>
        <w:t xml:space="preserve">的使用。四分位区间是指下四分位数至上四分位数之间的区间。</w:t>
      </w:r>
      <w:r>
        <w:rPr>
          <w:rFonts w:ascii="Arial Narrow" w:hAnsi="Arial Narrow" w:eastAsia="仿宋_GB2312"/>
          <w:sz w:val="16"/>
          <w:szCs w:val="16"/>
          <w:lang w:eastAsia="zh-CN"/>
        </w:rP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55"/>
      <w:pBdr/>
      <w:spacing/>
      <w:ind/>
      <w:jc w:val="both"/>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55"/>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55"/>
      <w:pBdr/>
      <w:spacing/>
      <w:ind/>
      <w:rPr/>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55"/>
      <w:pBdr/>
      <w:spacing/>
      <w:ind/>
      <w:rPr/>
    </w:pPr>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55"/>
      <w:pBdr>
        <w:bottom w:val="single" w:color="000000" w:sz="4" w:space="1"/>
      </w:pBdr>
      <w:tabs>
        <w:tab w:val="left" w:leader="none" w:pos="7830"/>
      </w:tabs>
      <w:spacing w:line="240" w:lineRule="atLeast"/>
      <w:ind/>
      <w:rPr>
        <w:rFonts w:ascii="Arial Narrow" w:hAnsi="Arial Narrow" w:eastAsia="仿宋_GB2312" w:cs="华文细黑"/>
        <w:sz w:val="18"/>
        <w:szCs w:val="18"/>
      </w:rPr>
    </w:pPr>
    <w:r>
      <w:rPr>
        <w:rFonts w:hint="eastAsia" w:ascii="Arial Narrow" w:hAnsi="Arial Narrow" w:eastAsia="仿宋_GB2312" w:cs="华文细黑"/>
        <w:sz w:val="18"/>
        <w:szCs w:val="18"/>
      </w:rPr>
      <w:t xml:space="preserve">松莉美容科技（上海）有限公司</w:t>
    </w:r>
    <w:r>
      <w:rPr>
        <w:rFonts w:ascii="Arial Narrow" w:hAnsi="Arial Narrow" w:eastAsia="仿宋_GB2312" w:cs="华文细黑"/>
        <w:sz w:val="18"/>
        <w:szCs w:val="18"/>
      </w:rPr>
    </w:r>
  </w:p>
  <w:p>
    <w:pPr>
      <w:pStyle w:val="1355"/>
      <w:pBdr>
        <w:bottom w:val="single" w:color="000000" w:sz="4" w:space="1"/>
      </w:pBdr>
      <w:tabs>
        <w:tab w:val="left" w:leader="none" w:pos="7830"/>
      </w:tabs>
      <w:spacing w:line="240" w:lineRule="atLeast"/>
      <w:ind/>
      <w:rPr>
        <w:rFonts w:ascii="Arial Narrow" w:hAnsi="Arial Narrow" w:eastAsia="仿宋_GB2312"/>
        <w:sz w:val="18"/>
        <w:szCs w:val="18"/>
      </w:rPr>
    </w:pPr>
    <w:r>
      <w:rPr>
        <w:rFonts w:hint="eastAsia" w:ascii="Arial Narrow" w:hAnsi="Arial Narrow" w:eastAsia="仿宋_GB2312"/>
        <w:sz w:val="18"/>
        <w:szCs w:val="18"/>
      </w:rPr>
      <w:t xml:space="preserve">关联交易同期资料报告（本地文档）</w:t>
    </w:r>
    <w:r>
      <w:rPr>
        <w:rFonts w:ascii="Arial Narrow" w:hAnsi="Arial Narrow" w:eastAsia="仿宋_GB2312"/>
        <w:sz w:val="18"/>
        <w:szCs w:val="18"/>
      </w:rPr>
    </w:r>
  </w:p>
  <w:p>
    <w:pPr>
      <w:pStyle w:val="1355"/>
      <w:pBdr>
        <w:bottom w:val="single" w:color="000000" w:sz="4" w:space="1"/>
      </w:pBdr>
      <w:tabs>
        <w:tab w:val="left" w:leader="none" w:pos="7830"/>
      </w:tabs>
      <w:spacing w:line="240" w:lineRule="atLeast"/>
      <w:ind/>
      <w:rPr>
        <w:rFonts w:ascii="Arial Narrow" w:hAnsi="Arial Narrow" w:eastAsia="仿宋_GB2312" w:cs="Arial"/>
      </w:rPr>
    </w:pPr>
    <w:r>
      <w:rPr>
        <w:rFonts w:hint="eastAsia" w:ascii="Arial Narrow" w:hAnsi="Arial Narrow" w:eastAsia="仿宋_GB2312" w:cs="Arial"/>
        <w:sz w:val="18"/>
        <w:szCs w:val="18"/>
      </w:rPr>
      <w:t xml:space="preserve">20</w:t>
    </w:r>
    <w:r>
      <w:rPr>
        <w:rFonts w:ascii="Arial Narrow" w:hAnsi="Arial Narrow" w:eastAsia="仿宋_GB2312" w:cs="Arial"/>
        <w:sz w:val="18"/>
        <w:szCs w:val="18"/>
      </w:rPr>
      <w:t xml:space="preserve">2</w:t>
    </w:r>
    <w:r>
      <w:rPr>
        <w:rFonts w:hint="eastAsia" w:ascii="Arial Narrow" w:hAnsi="Arial Narrow" w:eastAsia="仿宋_GB2312" w:cs="Arial"/>
        <w:sz w:val="18"/>
        <w:szCs w:val="18"/>
      </w:rPr>
      <w:t xml:space="preserve">3</w:t>
    </w:r>
    <w:r>
      <w:rPr>
        <w:rFonts w:hint="eastAsia" w:ascii="Arial Narrow" w:hAnsi="Arial Narrow" w:eastAsia="仿宋_GB2312"/>
        <w:sz w:val="18"/>
        <w:szCs w:val="18"/>
      </w:rPr>
      <w:t xml:space="preserve">财务年度（截至</w:t>
    </w:r>
    <w:r>
      <w:rPr>
        <w:rFonts w:hint="eastAsia" w:ascii="Arial Narrow" w:hAnsi="Arial Narrow" w:eastAsia="仿宋_GB2312" w:cs="Arial"/>
        <w:sz w:val="18"/>
        <w:szCs w:val="18"/>
      </w:rPr>
      <w:t xml:space="preserve">20</w:t>
    </w:r>
    <w:r>
      <w:rPr>
        <w:rFonts w:ascii="Arial Narrow" w:hAnsi="Arial Narrow" w:eastAsia="仿宋_GB2312" w:cs="Arial"/>
        <w:sz w:val="18"/>
        <w:szCs w:val="18"/>
      </w:rPr>
      <w:t xml:space="preserve">2</w:t>
    </w:r>
    <w:r>
      <w:rPr>
        <w:rFonts w:hint="eastAsia" w:ascii="Arial Narrow" w:hAnsi="Arial Narrow" w:eastAsia="仿宋_GB2312" w:cs="Arial"/>
        <w:sz w:val="18"/>
        <w:szCs w:val="18"/>
      </w:rPr>
      <w:t xml:space="preserve">3</w:t>
    </w:r>
    <w:r>
      <w:rPr>
        <w:rFonts w:hint="eastAsia" w:ascii="Arial Narrow" w:hAnsi="Arial Narrow" w:eastAsia="仿宋_GB2312"/>
        <w:sz w:val="18"/>
        <w:szCs w:val="18"/>
      </w:rPr>
      <w:t xml:space="preserve">年</w:t>
    </w:r>
    <w:r>
      <w:rPr>
        <w:rFonts w:hint="eastAsia" w:ascii="Arial Narrow" w:hAnsi="Arial Narrow" w:eastAsia="仿宋_GB2312" w:cs="Arial"/>
        <w:sz w:val="18"/>
        <w:szCs w:val="18"/>
      </w:rPr>
      <w:t xml:space="preserve">12</w:t>
    </w:r>
    <w:r>
      <w:rPr>
        <w:rFonts w:hint="eastAsia" w:ascii="Arial Narrow" w:hAnsi="Arial Narrow" w:eastAsia="仿宋_GB2312"/>
        <w:sz w:val="18"/>
        <w:szCs w:val="18"/>
      </w:rPr>
      <w:t xml:space="preserve">月</w:t>
    </w:r>
    <w:r>
      <w:rPr>
        <w:rFonts w:hint="eastAsia" w:ascii="Arial Narrow" w:hAnsi="Arial Narrow" w:eastAsia="仿宋_GB2312" w:cs="Arial"/>
        <w:sz w:val="18"/>
        <w:szCs w:val="18"/>
      </w:rPr>
      <w:t xml:space="preserve">31</w:t>
    </w:r>
    <w:r>
      <w:rPr>
        <w:rFonts w:hint="eastAsia" w:ascii="Arial Narrow" w:hAnsi="Arial Narrow" w:eastAsia="仿宋_GB2312"/>
        <w:sz w:val="18"/>
        <w:szCs w:val="18"/>
      </w:rPr>
      <w:t xml:space="preserve">日）</w:t>
    </w:r>
    <w:r>
      <w:rPr>
        <w:rFonts w:ascii="Verdana" w:hAnsi="Verdana" w:eastAsia="华文楷体"/>
        <w:sz w:val="18"/>
      </w:rPr>
      <w:tab/>
    </w:r>
    <w:r>
      <w:rPr>
        <w:rFonts w:ascii="Arial Narrow" w:hAnsi="Arial Narrow" w:eastAsia="仿宋_GB2312" w:cs="Arial"/>
      </w:rPr>
    </w:r>
  </w:p>
  <w:p>
    <w:pPr>
      <w:pStyle w:val="1355"/>
      <w:pBdr/>
      <w:spacing/>
      <w:ind/>
      <w:rPr/>
    </w:pPr>
    <w: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55"/>
      <w:pBdr/>
      <w:spacing/>
      <w:ind/>
      <w:rPr/>
    </w:pPr>
    <w:r/>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55"/>
      <w:pBdr/>
      <w:spacing/>
      <w:ind/>
      <w:rPr/>
    </w:pPr>
    <w:r/>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55"/>
      <w:pBdr/>
      <w:spacing/>
      <w:ind/>
      <w:rPr/>
    </w:pPr>
    <w:r/>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55"/>
      <w:pBdr/>
      <w:spacing/>
      <w:ind/>
      <w:rPr/>
    </w:pPr>
    <w:r/>
    <w:r/>
  </w:p>
  <w:p>
    <w:pPr>
      <w:pBdr/>
      <w:spacing/>
      <w:ind/>
      <w:rPr/>
    </w:pPr>
    <w:r>
      <w:t xml:space="preserve">X</w:t>
    </w:r>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55"/>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55"/>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420" w:left="18"/>
      </w:pPr>
      <w:rPr>
        <w:rFonts w:hint="default" w:ascii="Wingdings" w:hAnsi="Wingdings"/>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1">
    <w:lvl w:ilvl="0">
      <w:isLgl w:val="false"/>
      <w:lvlJc w:val="left"/>
      <w:lvlText w:val=""/>
      <w:numFmt w:val="bullet"/>
      <w:pPr>
        <w:pBdr/>
        <w:spacing/>
        <w:ind w:hanging="420" w:left="18"/>
      </w:pPr>
      <w:rPr>
        <w:rFonts w:hint="default" w:ascii="Wingdings" w:hAnsi="Wingdings"/>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2">
    <w:lvl w:ilvl="0">
      <w:isLgl w:val="false"/>
      <w:lvlJc w:val="left"/>
      <w:lvlText w:val=""/>
      <w:numFmt w:val="bullet"/>
      <w:pPr>
        <w:pBdr/>
        <w:spacing/>
        <w:ind w:hanging="420" w:left="860"/>
      </w:pPr>
      <w:rPr>
        <w:rFonts w:hint="default" w:ascii="Wingdings" w:hAnsi="Wingdings"/>
        <w:sz w:val="13"/>
      </w:rPr>
      <w:start w:val="1"/>
      <w:suff w:val="tab"/>
    </w:lvl>
    <w:lvl w:ilvl="1">
      <w:isLgl w:val="false"/>
      <w:lvlJc w:val="left"/>
      <w:lvlText w:val=""/>
      <w:numFmt w:val="bullet"/>
      <w:pPr>
        <w:pBdr/>
        <w:spacing/>
        <w:ind w:hanging="420" w:left="1280"/>
      </w:pPr>
      <w:rPr>
        <w:rFonts w:hint="default" w:ascii="Wingdings" w:hAnsi="Wingdings"/>
      </w:rPr>
      <w:start w:val="1"/>
      <w:suff w:val="tab"/>
    </w:lvl>
    <w:lvl w:ilvl="2">
      <w:isLgl w:val="false"/>
      <w:lvlJc w:val="left"/>
      <w:lvlText w:val=""/>
      <w:numFmt w:val="bullet"/>
      <w:pPr>
        <w:pBdr/>
        <w:spacing/>
        <w:ind w:hanging="420" w:left="1700"/>
      </w:pPr>
      <w:rPr>
        <w:rFonts w:hint="default" w:ascii="Wingdings" w:hAnsi="Wingdings"/>
      </w:rPr>
      <w:start w:val="1"/>
      <w:suff w:val="tab"/>
    </w:lvl>
    <w:lvl w:ilvl="3">
      <w:isLgl w:val="false"/>
      <w:lvlJc w:val="left"/>
      <w:lvlText w:val=""/>
      <w:numFmt w:val="bullet"/>
      <w:pPr>
        <w:pBdr/>
        <w:spacing/>
        <w:ind w:hanging="420" w:left="2120"/>
      </w:pPr>
      <w:rPr>
        <w:rFonts w:hint="default" w:ascii="Wingdings" w:hAnsi="Wingdings"/>
      </w:rPr>
      <w:start w:val="1"/>
      <w:suff w:val="tab"/>
    </w:lvl>
    <w:lvl w:ilvl="4">
      <w:isLgl w:val="false"/>
      <w:lvlJc w:val="left"/>
      <w:lvlText w:val=""/>
      <w:numFmt w:val="bullet"/>
      <w:pPr>
        <w:pBdr/>
        <w:spacing/>
        <w:ind w:hanging="420" w:left="2540"/>
      </w:pPr>
      <w:rPr>
        <w:rFonts w:hint="default" w:ascii="Wingdings" w:hAnsi="Wingdings"/>
      </w:rPr>
      <w:start w:val="1"/>
      <w:suff w:val="tab"/>
    </w:lvl>
    <w:lvl w:ilvl="5">
      <w:isLgl w:val="false"/>
      <w:lvlJc w:val="left"/>
      <w:lvlText w:val=""/>
      <w:numFmt w:val="bullet"/>
      <w:pPr>
        <w:pBdr/>
        <w:spacing/>
        <w:ind w:hanging="420" w:left="2960"/>
      </w:pPr>
      <w:rPr>
        <w:rFonts w:hint="default" w:ascii="Wingdings" w:hAnsi="Wingdings"/>
      </w:rPr>
      <w:start w:val="1"/>
      <w:suff w:val="tab"/>
    </w:lvl>
    <w:lvl w:ilvl="6">
      <w:isLgl w:val="false"/>
      <w:lvlJc w:val="left"/>
      <w:lvlText w:val=""/>
      <w:numFmt w:val="bullet"/>
      <w:pPr>
        <w:pBdr/>
        <w:spacing/>
        <w:ind w:hanging="420" w:left="3380"/>
      </w:pPr>
      <w:rPr>
        <w:rFonts w:hint="default" w:ascii="Wingdings" w:hAnsi="Wingdings"/>
      </w:rPr>
      <w:start w:val="1"/>
      <w:suff w:val="tab"/>
    </w:lvl>
    <w:lvl w:ilvl="7">
      <w:isLgl w:val="false"/>
      <w:lvlJc w:val="left"/>
      <w:lvlText w:val=""/>
      <w:numFmt w:val="bullet"/>
      <w:pPr>
        <w:pBdr/>
        <w:spacing/>
        <w:ind w:hanging="420" w:left="3800"/>
      </w:pPr>
      <w:rPr>
        <w:rFonts w:hint="default" w:ascii="Wingdings" w:hAnsi="Wingdings"/>
      </w:rPr>
      <w:start w:val="1"/>
      <w:suff w:val="tab"/>
    </w:lvl>
    <w:lvl w:ilvl="8">
      <w:isLgl w:val="false"/>
      <w:lvlJc w:val="left"/>
      <w:lvlText w:val=""/>
      <w:numFmt w:val="bullet"/>
      <w:pPr>
        <w:pBdr/>
        <w:spacing/>
        <w:ind w:hanging="420" w:left="4220"/>
      </w:pPr>
      <w:rPr>
        <w:rFonts w:hint="default" w:ascii="Wingdings" w:hAnsi="Wingdings"/>
      </w:rPr>
      <w:start w:val="1"/>
      <w:suff w:val="tab"/>
    </w:lvl>
  </w:abstractNum>
  <w:abstractNum w:abstractNumId="3">
    <w:lvl w:ilvl="0">
      <w:isLgl w:val="false"/>
      <w:lvlJc w:val="left"/>
      <w:lvlText w:val=""/>
      <w:numFmt w:val="bullet"/>
      <w:pPr>
        <w:pBdr/>
        <w:spacing/>
        <w:ind w:hanging="420" w:left="979"/>
      </w:pPr>
      <w:rPr>
        <w:rFonts w:hint="default" w:ascii="Wingdings" w:hAnsi="Wingdings"/>
        <w:sz w:val="13"/>
      </w:rPr>
      <w:start w:val="1"/>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4">
    <w:lvl w:ilvl="0">
      <w:isLgl w:val="false"/>
      <w:lvlJc w:val="left"/>
      <w:lvlText w:val="%1."/>
      <w:numFmt w:val="decimal"/>
      <w:pPr>
        <w:pBdr/>
        <w:spacing/>
        <w:ind w:hanging="360" w:left="1636"/>
      </w:pPr>
      <w:rPr/>
      <w:start w:val="1"/>
      <w:suff w:val="tab"/>
    </w:lvl>
    <w:lvl w:ilvl="1">
      <w:isLgl w:val="false"/>
      <w:lvlJc w:val="left"/>
      <w:lvlText w:val="%2."/>
      <w:numFmt w:val="lowerLetter"/>
      <w:pPr>
        <w:pBdr/>
        <w:spacing/>
        <w:ind w:hanging="360" w:left="2356"/>
      </w:pPr>
      <w:rPr/>
      <w:start w:val="1"/>
      <w:suff w:val="tab"/>
    </w:lvl>
    <w:lvl w:ilvl="2">
      <w:isLgl w:val="false"/>
      <w:lvlJc w:val="right"/>
      <w:lvlText w:val="%3."/>
      <w:numFmt w:val="lowerRoman"/>
      <w:pPr>
        <w:pBdr/>
        <w:spacing/>
        <w:ind w:hanging="180" w:left="3076"/>
      </w:pPr>
      <w:rPr/>
      <w:start w:val="1"/>
      <w:suff w:val="tab"/>
    </w:lvl>
    <w:lvl w:ilvl="3">
      <w:isLgl w:val="false"/>
      <w:lvlJc w:val="left"/>
      <w:lvlText w:val="%4."/>
      <w:numFmt w:val="decimal"/>
      <w:pPr>
        <w:pBdr/>
        <w:spacing/>
        <w:ind w:hanging="360" w:left="3796"/>
      </w:pPr>
      <w:rPr/>
      <w:start w:val="1"/>
      <w:suff w:val="tab"/>
    </w:lvl>
    <w:lvl w:ilvl="4">
      <w:isLgl w:val="false"/>
      <w:lvlJc w:val="left"/>
      <w:lvlText w:val="%5."/>
      <w:numFmt w:val="lowerLetter"/>
      <w:pPr>
        <w:pBdr/>
        <w:spacing/>
        <w:ind w:hanging="360" w:left="4516"/>
      </w:pPr>
      <w:rPr/>
      <w:start w:val="1"/>
      <w:suff w:val="tab"/>
    </w:lvl>
    <w:lvl w:ilvl="5">
      <w:isLgl w:val="false"/>
      <w:lvlJc w:val="right"/>
      <w:lvlText w:val="%6."/>
      <w:numFmt w:val="lowerRoman"/>
      <w:pPr>
        <w:pBdr/>
        <w:spacing/>
        <w:ind w:hanging="180" w:left="5236"/>
      </w:pPr>
      <w:rPr/>
      <w:start w:val="1"/>
      <w:suff w:val="tab"/>
    </w:lvl>
    <w:lvl w:ilvl="6">
      <w:isLgl w:val="false"/>
      <w:lvlJc w:val="left"/>
      <w:lvlText w:val="%7."/>
      <w:numFmt w:val="decimal"/>
      <w:pPr>
        <w:pBdr/>
        <w:spacing/>
        <w:ind w:hanging="360" w:left="5956"/>
      </w:pPr>
      <w:rPr/>
      <w:start w:val="1"/>
      <w:suff w:val="tab"/>
    </w:lvl>
    <w:lvl w:ilvl="7">
      <w:isLgl w:val="false"/>
      <w:lvlJc w:val="left"/>
      <w:lvlText w:val="%8."/>
      <w:numFmt w:val="lowerLetter"/>
      <w:pPr>
        <w:pBdr/>
        <w:spacing/>
        <w:ind w:hanging="360" w:left="6676"/>
      </w:pPr>
      <w:rPr/>
      <w:start w:val="1"/>
      <w:suff w:val="tab"/>
    </w:lvl>
    <w:lvl w:ilvl="8">
      <w:isLgl w:val="false"/>
      <w:lvlJc w:val="right"/>
      <w:lvlText w:val="%9."/>
      <w:numFmt w:val="lowerRoman"/>
      <w:pPr>
        <w:pBdr/>
        <w:spacing/>
        <w:ind w:hanging="180" w:left="7396"/>
      </w:pPr>
      <w:rPr/>
      <w:start w:val="1"/>
      <w:suff w:val="tab"/>
    </w:lvl>
  </w:abstractNum>
  <w:abstractNum w:abstractNumId="5">
    <w:lvl w:ilvl="0">
      <w:isLgl w:val="false"/>
      <w:lvlJc w:val="left"/>
      <w:lvlText w:val=""/>
      <w:numFmt w:val="bullet"/>
      <w:pPr>
        <w:pBdr/>
        <w:spacing/>
        <w:ind w:hanging="420" w:left="420"/>
      </w:pPr>
      <w:rPr>
        <w:rFonts w:hint="default" w:ascii="Wingdings" w:hAnsi="Wingdings"/>
        <w:color w:val="002060"/>
      </w:rPr>
      <w:start w:val="1"/>
      <w:suff w:val="tab"/>
    </w:lvl>
    <w:lvl w:ilvl="1">
      <w:isLgl w:val="false"/>
      <w:lvlJc w:val="left"/>
      <w:lvlText w:val=""/>
      <w:numFmt w:val="bullet"/>
      <w:pPr>
        <w:pBdr/>
        <w:spacing/>
        <w:ind w:hanging="420" w:left="840"/>
      </w:pPr>
      <w:rPr>
        <w:rFonts w:hint="default" w:ascii="Wingdings" w:hAnsi="Wingdings"/>
      </w:rPr>
      <w:start w:val="1"/>
      <w:suff w:val="tab"/>
    </w:lvl>
    <w:lvl w:ilvl="2">
      <w:isLgl w:val="false"/>
      <w:lvlJc w:val="left"/>
      <w:lvlText w:val=""/>
      <w:numFmt w:val="bullet"/>
      <w:pPr>
        <w:pBdr/>
        <w:spacing/>
        <w:ind w:hanging="420" w:left="1260"/>
      </w:pPr>
      <w:rPr>
        <w:rFonts w:hint="default" w:ascii="Wingdings" w:hAnsi="Wingdings"/>
      </w:rPr>
      <w:start w:val="1"/>
      <w:suff w:val="tab"/>
    </w:lvl>
    <w:lvl w:ilvl="3">
      <w:isLgl w:val="false"/>
      <w:lvlJc w:val="left"/>
      <w:lvlText w:val=""/>
      <w:numFmt w:val="bullet"/>
      <w:pPr>
        <w:pBdr/>
        <w:spacing/>
        <w:ind w:hanging="420" w:left="1680"/>
      </w:pPr>
      <w:rPr>
        <w:rFonts w:hint="default" w:ascii="Wingdings" w:hAnsi="Wingdings"/>
      </w:rPr>
      <w:start w:val="1"/>
      <w:suff w:val="tab"/>
    </w:lvl>
    <w:lvl w:ilvl="4">
      <w:isLgl w:val="false"/>
      <w:lvlJc w:val="left"/>
      <w:lvlText w:val=""/>
      <w:numFmt w:val="bullet"/>
      <w:pPr>
        <w:pBdr/>
        <w:spacing/>
        <w:ind w:hanging="420" w:left="2100"/>
      </w:pPr>
      <w:rPr>
        <w:rFonts w:hint="default" w:ascii="Wingdings" w:hAnsi="Wingdings"/>
      </w:rPr>
      <w:start w:val="1"/>
      <w:suff w:val="tab"/>
    </w:lvl>
    <w:lvl w:ilvl="5">
      <w:isLgl w:val="false"/>
      <w:lvlJc w:val="left"/>
      <w:lvlText w:val=""/>
      <w:numFmt w:val="bullet"/>
      <w:pPr>
        <w:pBdr/>
        <w:spacing/>
        <w:ind w:hanging="420" w:left="2520"/>
      </w:pPr>
      <w:rPr>
        <w:rFonts w:hint="default" w:ascii="Wingdings" w:hAnsi="Wingdings"/>
      </w:rPr>
      <w:start w:val="1"/>
      <w:suff w:val="tab"/>
    </w:lvl>
    <w:lvl w:ilvl="6">
      <w:isLgl w:val="false"/>
      <w:lvlJc w:val="left"/>
      <w:lvlText w:val=""/>
      <w:numFmt w:val="bullet"/>
      <w:pPr>
        <w:pBdr/>
        <w:spacing/>
        <w:ind w:hanging="420" w:left="2940"/>
      </w:pPr>
      <w:rPr>
        <w:rFonts w:hint="default" w:ascii="Wingdings" w:hAnsi="Wingdings"/>
      </w:rPr>
      <w:start w:val="1"/>
      <w:suff w:val="tab"/>
    </w:lvl>
    <w:lvl w:ilvl="7">
      <w:isLgl w:val="false"/>
      <w:lvlJc w:val="left"/>
      <w:lvlText w:val=""/>
      <w:numFmt w:val="bullet"/>
      <w:pPr>
        <w:pBdr/>
        <w:spacing/>
        <w:ind w:hanging="420" w:left="3360"/>
      </w:pPr>
      <w:rPr>
        <w:rFonts w:hint="default" w:ascii="Wingdings" w:hAnsi="Wingdings"/>
      </w:rPr>
      <w:start w:val="1"/>
      <w:suff w:val="tab"/>
    </w:lvl>
    <w:lvl w:ilvl="8">
      <w:isLgl w:val="false"/>
      <w:lvlJc w:val="left"/>
      <w:lvlText w:val=""/>
      <w:numFmt w:val="bullet"/>
      <w:pPr>
        <w:pBdr/>
        <w:spacing/>
        <w:ind w:hanging="420" w:left="3780"/>
      </w:pPr>
      <w:rPr>
        <w:rFonts w:hint="default" w:ascii="Wingdings" w:hAnsi="Wingdings"/>
      </w:rPr>
      <w:start w:val="1"/>
      <w:suff w:val="tab"/>
    </w:lvl>
  </w:abstractNum>
  <w:abstractNum w:abstractNumId="6">
    <w:lvl w:ilvl="0">
      <w:isLgl w:val="false"/>
      <w:lvlJc w:val="left"/>
      <w:lvlText w:val=""/>
      <w:numFmt w:val="bullet"/>
      <w:pPr>
        <w:pBdr/>
        <w:spacing/>
        <w:ind w:hanging="360" w:left="760"/>
      </w:pPr>
      <w:rPr>
        <w:rFonts w:hint="default" w:ascii="Wingdings" w:hAnsi="Wingdings"/>
      </w:rPr>
      <w:start w:val="1"/>
      <w:suff w:val="tab"/>
    </w:lvl>
    <w:lvl w:ilvl="1">
      <w:isLgl w:val="false"/>
      <w:lvlJc w:val="left"/>
      <w:lvlText w:val="o"/>
      <w:numFmt w:val="bullet"/>
      <w:pPr>
        <w:pBdr/>
        <w:spacing/>
        <w:ind w:hanging="360" w:left="1480"/>
      </w:pPr>
      <w:rPr>
        <w:rFonts w:hint="default" w:ascii="Courier New" w:hAnsi="Courier New" w:cs="Courier New"/>
      </w:rPr>
      <w:start w:val="1"/>
      <w:suff w:val="tab"/>
    </w:lvl>
    <w:lvl w:ilvl="2">
      <w:isLgl w:val="false"/>
      <w:lvlJc w:val="left"/>
      <w:lvlText w:val=""/>
      <w:numFmt w:val="bullet"/>
      <w:pPr>
        <w:pBdr/>
        <w:spacing/>
        <w:ind w:hanging="360" w:left="2200"/>
      </w:pPr>
      <w:rPr>
        <w:rFonts w:hint="default" w:ascii="Wingdings" w:hAnsi="Wingdings"/>
      </w:rPr>
      <w:start w:val="1"/>
      <w:suff w:val="tab"/>
    </w:lvl>
    <w:lvl w:ilvl="3">
      <w:isLgl w:val="false"/>
      <w:lvlJc w:val="left"/>
      <w:lvlText w:val=""/>
      <w:numFmt w:val="bullet"/>
      <w:pPr>
        <w:pBdr/>
        <w:spacing/>
        <w:ind w:hanging="360" w:left="2920"/>
      </w:pPr>
      <w:rPr>
        <w:rFonts w:hint="default" w:ascii="Symbol" w:hAnsi="Symbol"/>
      </w:rPr>
      <w:start w:val="1"/>
      <w:suff w:val="tab"/>
    </w:lvl>
    <w:lvl w:ilvl="4">
      <w:isLgl w:val="false"/>
      <w:lvlJc w:val="left"/>
      <w:lvlText w:val="o"/>
      <w:numFmt w:val="bullet"/>
      <w:pPr>
        <w:pBdr/>
        <w:spacing/>
        <w:ind w:hanging="360" w:left="3640"/>
      </w:pPr>
      <w:rPr>
        <w:rFonts w:hint="default" w:ascii="Courier New" w:hAnsi="Courier New" w:cs="Courier New"/>
      </w:rPr>
      <w:start w:val="1"/>
      <w:suff w:val="tab"/>
    </w:lvl>
    <w:lvl w:ilvl="5">
      <w:isLgl w:val="false"/>
      <w:lvlJc w:val="left"/>
      <w:lvlText w:val=""/>
      <w:numFmt w:val="bullet"/>
      <w:pPr>
        <w:pBdr/>
        <w:spacing/>
        <w:ind w:hanging="360" w:left="4360"/>
      </w:pPr>
      <w:rPr>
        <w:rFonts w:hint="default" w:ascii="Wingdings" w:hAnsi="Wingdings"/>
      </w:rPr>
      <w:start w:val="1"/>
      <w:suff w:val="tab"/>
    </w:lvl>
    <w:lvl w:ilvl="6">
      <w:isLgl w:val="false"/>
      <w:lvlJc w:val="left"/>
      <w:lvlText w:val=""/>
      <w:numFmt w:val="bullet"/>
      <w:pPr>
        <w:pBdr/>
        <w:spacing/>
        <w:ind w:hanging="360" w:left="5080"/>
      </w:pPr>
      <w:rPr>
        <w:rFonts w:hint="default" w:ascii="Symbol" w:hAnsi="Symbol"/>
      </w:rPr>
      <w:start w:val="1"/>
      <w:suff w:val="tab"/>
    </w:lvl>
    <w:lvl w:ilvl="7">
      <w:isLgl w:val="false"/>
      <w:lvlJc w:val="left"/>
      <w:lvlText w:val="o"/>
      <w:numFmt w:val="bullet"/>
      <w:pPr>
        <w:pBdr/>
        <w:spacing/>
        <w:ind w:hanging="360" w:left="5800"/>
      </w:pPr>
      <w:rPr>
        <w:rFonts w:hint="default" w:ascii="Courier New" w:hAnsi="Courier New" w:cs="Courier New"/>
      </w:rPr>
      <w:start w:val="1"/>
      <w:suff w:val="tab"/>
    </w:lvl>
    <w:lvl w:ilvl="8">
      <w:isLgl w:val="false"/>
      <w:lvlJc w:val="left"/>
      <w:lvlText w:val=""/>
      <w:numFmt w:val="bullet"/>
      <w:pPr>
        <w:pBdr/>
        <w:spacing/>
        <w:ind w:hanging="360" w:left="6520"/>
      </w:pPr>
      <w:rPr>
        <w:rFonts w:hint="default" w:ascii="Wingdings" w:hAnsi="Wingdings"/>
      </w:rPr>
      <w:start w:val="1"/>
      <w:suff w:val="tab"/>
    </w:lvl>
  </w:abstractNum>
  <w:abstractNum w:abstractNumId="7">
    <w:lvl w:ilvl="0">
      <w:isLgl w:val="false"/>
      <w:lvlJc w:val="left"/>
      <w:lvlText w:val=""/>
      <w:numFmt w:val="bullet"/>
      <w:pPr>
        <w:pBdr/>
        <w:spacing/>
        <w:ind w:hanging="360" w:left="919"/>
      </w:pPr>
      <w:rPr>
        <w:rFonts w:hint="default" w:ascii="Symbol" w:hAnsi="Symbol"/>
      </w:rPr>
      <w:start w:val="1"/>
      <w:suff w:val="tab"/>
    </w:lvl>
    <w:lvl w:ilvl="1">
      <w:isLgl w:val="false"/>
      <w:lvlJc w:val="left"/>
      <w:lvlText w:val="o"/>
      <w:numFmt w:val="bullet"/>
      <w:pPr>
        <w:pBdr/>
        <w:spacing/>
        <w:ind w:hanging="360" w:left="1639"/>
      </w:pPr>
      <w:rPr>
        <w:rFonts w:hint="default" w:ascii="Courier New" w:hAnsi="Courier New" w:cs="Courier New"/>
      </w:rPr>
      <w:start w:val="1"/>
      <w:suff w:val="tab"/>
    </w:lvl>
    <w:lvl w:ilvl="2">
      <w:isLgl w:val="false"/>
      <w:lvlJc w:val="left"/>
      <w:lvlText w:val=""/>
      <w:numFmt w:val="bullet"/>
      <w:pPr>
        <w:pBdr/>
        <w:spacing/>
        <w:ind w:hanging="360" w:left="2359"/>
      </w:pPr>
      <w:rPr>
        <w:rFonts w:hint="default" w:ascii="Wingdings" w:hAnsi="Wingdings"/>
      </w:rPr>
      <w:start w:val="1"/>
      <w:suff w:val="tab"/>
    </w:lvl>
    <w:lvl w:ilvl="3">
      <w:isLgl w:val="false"/>
      <w:lvlJc w:val="left"/>
      <w:lvlText w:val=""/>
      <w:numFmt w:val="bullet"/>
      <w:pPr>
        <w:pBdr/>
        <w:spacing/>
        <w:ind w:hanging="360" w:left="3079"/>
      </w:pPr>
      <w:rPr>
        <w:rFonts w:hint="default" w:ascii="Symbol" w:hAnsi="Symbol"/>
      </w:rPr>
      <w:start w:val="1"/>
      <w:suff w:val="tab"/>
    </w:lvl>
    <w:lvl w:ilvl="4">
      <w:isLgl w:val="false"/>
      <w:lvlJc w:val="left"/>
      <w:lvlText w:val="o"/>
      <w:numFmt w:val="bullet"/>
      <w:pPr>
        <w:pBdr/>
        <w:spacing/>
        <w:ind w:hanging="360" w:left="3799"/>
      </w:pPr>
      <w:rPr>
        <w:rFonts w:hint="default" w:ascii="Courier New" w:hAnsi="Courier New" w:cs="Courier New"/>
      </w:rPr>
      <w:start w:val="1"/>
      <w:suff w:val="tab"/>
    </w:lvl>
    <w:lvl w:ilvl="5">
      <w:isLgl w:val="false"/>
      <w:lvlJc w:val="left"/>
      <w:lvlText w:val=""/>
      <w:numFmt w:val="bullet"/>
      <w:pPr>
        <w:pBdr/>
        <w:spacing/>
        <w:ind w:hanging="360" w:left="4519"/>
      </w:pPr>
      <w:rPr>
        <w:rFonts w:hint="default" w:ascii="Wingdings" w:hAnsi="Wingdings"/>
      </w:rPr>
      <w:start w:val="1"/>
      <w:suff w:val="tab"/>
    </w:lvl>
    <w:lvl w:ilvl="6">
      <w:isLgl w:val="false"/>
      <w:lvlJc w:val="left"/>
      <w:lvlText w:val=""/>
      <w:numFmt w:val="bullet"/>
      <w:pPr>
        <w:pBdr/>
        <w:spacing/>
        <w:ind w:hanging="360" w:left="5239"/>
      </w:pPr>
      <w:rPr>
        <w:rFonts w:hint="default" w:ascii="Symbol" w:hAnsi="Symbol"/>
      </w:rPr>
      <w:start w:val="1"/>
      <w:suff w:val="tab"/>
    </w:lvl>
    <w:lvl w:ilvl="7">
      <w:isLgl w:val="false"/>
      <w:lvlJc w:val="left"/>
      <w:lvlText w:val="o"/>
      <w:numFmt w:val="bullet"/>
      <w:pPr>
        <w:pBdr/>
        <w:spacing/>
        <w:ind w:hanging="360" w:left="5959"/>
      </w:pPr>
      <w:rPr>
        <w:rFonts w:hint="default" w:ascii="Courier New" w:hAnsi="Courier New" w:cs="Courier New"/>
      </w:rPr>
      <w:start w:val="1"/>
      <w:suff w:val="tab"/>
    </w:lvl>
    <w:lvl w:ilvl="8">
      <w:isLgl w:val="false"/>
      <w:lvlJc w:val="left"/>
      <w:lvlText w:val=""/>
      <w:numFmt w:val="bullet"/>
      <w:pPr>
        <w:pBdr/>
        <w:spacing/>
        <w:ind w:hanging="360" w:left="6679"/>
      </w:pPr>
      <w:rPr>
        <w:rFonts w:hint="default" w:ascii="Wingdings" w:hAnsi="Wingdings"/>
      </w:rPr>
      <w:start w:val="1"/>
      <w:suff w:val="tab"/>
    </w:lvl>
  </w:abstractNum>
  <w:abstractNum w:abstractNumId="8">
    <w:lvl w:ilvl="0">
      <w:isLgl w:val="false"/>
      <w:lvlJc w:val="left"/>
      <w:lvlText w:val="%1."/>
      <w:numFmt w:val="decimal"/>
      <w:pPr>
        <w:pBdr/>
        <w:spacing/>
        <w:ind w:hanging="360" w:left="135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lvl w:ilvl="0">
      <w:isLgl w:val="false"/>
      <w:lvlJc w:val="left"/>
      <w:lvlText w:val="%1)"/>
      <w:numFmt w:val="decimal"/>
      <w:pPr>
        <w:pBdr/>
        <w:spacing/>
        <w:ind w:hanging="360" w:left="135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lvl w:ilvl="0">
      <w:isLgl w:val="false"/>
      <w:lvlJc w:val="left"/>
      <w:lvlText w:val=""/>
      <w:numFmt w:val="bullet"/>
      <w:pPr>
        <w:pBdr/>
        <w:spacing/>
        <w:ind w:hanging="420" w:left="18"/>
      </w:pPr>
      <w:rPr>
        <w:rFonts w:hint="default" w:ascii="Wingdings" w:hAnsi="Wingdings"/>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11">
    <w:lvl w:ilvl="0">
      <w:isLgl w:val="false"/>
      <w:lvlJc w:val="left"/>
      <w:lvlText w:val="%1."/>
      <w:numFmt w:val="decimal"/>
      <w:pPr>
        <w:pBdr/>
        <w:spacing/>
        <w:ind w:hanging="360" w:left="360"/>
      </w:pPr>
      <w:pStyle w:val="1323"/>
      <w:rPr>
        <w:rFonts w:hint="default" w:ascii="Arial Narrow" w:hAnsi="Arial Narrow" w:cs="Arial"/>
        <w:b w:val="0"/>
        <w:bCs/>
        <w:i w:val="0"/>
        <w:iCs w:val="0"/>
        <w:caps w:val="0"/>
        <w:smallCaps w:val="0"/>
        <w:strike w:val="0"/>
        <w:vanish w:val="0"/>
        <w:spacing w:val="0"/>
        <w:position w:val="0"/>
        <w:sz w:val="28"/>
        <w:szCs w:val="28"/>
        <w:u w:val="none"/>
        <w:vertAlign w:val="baseline"/>
        <w14:ligatures w14:val="none"/>
      </w:rPr>
      <w:start w:val="1"/>
      <w:suff w:val="tab"/>
    </w:lvl>
    <w:lvl w:ilvl="1">
      <w:isLgl w:val="true"/>
      <w:lvlJc w:val="left"/>
      <w:lvlText w:val="%1.%2"/>
      <w:numFmt w:val="decimal"/>
      <w:pPr>
        <w:pBdr/>
        <w:spacing/>
        <w:ind w:hanging="360" w:left="360"/>
      </w:pPr>
      <w:pStyle w:val="1324"/>
      <w:rPr>
        <w:rFonts w:hint="default" w:ascii="Arial Narrow" w:hAnsi="Arial Narrow" w:eastAsia="仿宋_GB2312" w:cs="Arial"/>
        <w:b w:val="0"/>
        <w:bCs/>
        <w:i w:val="0"/>
        <w:iCs w:val="0"/>
        <w:caps w:val="0"/>
        <w:smallCaps w:val="0"/>
        <w:strike w:val="0"/>
        <w:vanish w:val="0"/>
        <w:color w:val="002060"/>
        <w:spacing w:val="0"/>
        <w:position w:val="0"/>
        <w:sz w:val="22"/>
        <w:szCs w:val="22"/>
        <w:u w:val="none"/>
        <w:vertAlign w:val="baseline"/>
        <w14:ligatures w14:val="none"/>
      </w:rPr>
      <w:start w:val="1"/>
      <w:suff w:val="tab"/>
    </w:lvl>
    <w:lvl w:ilvl="2">
      <w:isLgl w:val="true"/>
      <w:lvlJc w:val="left"/>
      <w:lvlText w:val="%1.%2.%3"/>
      <w:numFmt w:val="decimal"/>
      <w:pPr>
        <w:pBdr/>
        <w:spacing/>
        <w:ind w:hanging="720" w:left="720"/>
      </w:pPr>
      <w:pStyle w:val="1325"/>
      <w:rPr>
        <w:rFonts w:hint="default" w:ascii="Arial Narrow" w:hAnsi="Arial Narrow" w:cs="Arial"/>
        <w:b w:val="0"/>
        <w:bCs/>
        <w:i w:val="0"/>
        <w:iCs w:val="0"/>
        <w:caps w:val="0"/>
        <w:smallCaps w:val="0"/>
        <w:strike w:val="0"/>
        <w:vanish w:val="0"/>
        <w:color w:val="002060"/>
        <w:spacing w:val="0"/>
        <w:position w:val="0"/>
        <w:sz w:val="22"/>
        <w:u w:val="none"/>
        <w:vertAlign w:val="baseline"/>
        <w14:ligatures w14:val="none"/>
      </w:rPr>
      <w:start w:val="1"/>
      <w:suff w:val="tab"/>
    </w:lvl>
    <w:lvl w:ilvl="3">
      <w:isLgl w:val="true"/>
      <w:lvlJc w:val="left"/>
      <w:lvlText w:val="%1.%2.%3.%4"/>
      <w:numFmt w:val="decimal"/>
      <w:pPr>
        <w:pBdr/>
        <w:spacing/>
        <w:ind w:hanging="1080" w:left="1080"/>
      </w:pPr>
      <w:pStyle w:val="1326"/>
      <w:rPr>
        <w:rFonts w:hint="default" w:ascii="Arial" w:hAnsi="Arial" w:cs="Arial"/>
        <w:b w:val="0"/>
        <w:bCs/>
        <w:i w:val="0"/>
        <w:iCs w:val="0"/>
        <w:caps w:val="0"/>
        <w:smallCaps w:val="0"/>
        <w:strike w:val="0"/>
        <w:vanish w:val="0"/>
        <w:spacing w:val="0"/>
        <w:position w:val="0"/>
        <w:u w:val="none"/>
        <w:vertAlign w:val="baseline"/>
        <w14:ligatures w14:val="none"/>
      </w:rPr>
      <w:start w:val="1"/>
      <w:suff w:val="tab"/>
    </w:lvl>
    <w:lvl w:ilvl="4">
      <w:isLgl w:val="true"/>
      <w:lvlJc w:val="left"/>
      <w:lvlText w:val="%1.%2.%3.%4.%5"/>
      <w:numFmt w:val="decimal"/>
      <w:pPr>
        <w:pBdr/>
        <w:spacing/>
        <w:ind w:hanging="1080" w:left="1080"/>
      </w:pPr>
      <w:rPr>
        <w:rFonts w:hint="default"/>
      </w:rPr>
      <w:start w:val="1"/>
      <w:suff w:val="tab"/>
    </w:lvl>
    <w:lvl w:ilvl="5">
      <w:isLgl w:val="true"/>
      <w:lvlJc w:val="left"/>
      <w:lvlText w:val="%1.%2.%3.%4.%5.%6"/>
      <w:numFmt w:val="decimal"/>
      <w:pPr>
        <w:pBdr/>
        <w:spacing/>
        <w:ind w:hanging="1440" w:left="1440"/>
      </w:pPr>
      <w:rPr>
        <w:rFonts w:hint="default"/>
      </w:rPr>
      <w:start w:val="1"/>
      <w:suff w:val="tab"/>
    </w:lvl>
    <w:lvl w:ilvl="6">
      <w:isLgl w:val="true"/>
      <w:lvlJc w:val="left"/>
      <w:lvlText w:val="%1.%2.%3.%4.%5.%6.%7"/>
      <w:numFmt w:val="decimal"/>
      <w:pPr>
        <w:pBdr/>
        <w:spacing/>
        <w:ind w:hanging="1440" w:left="1440"/>
      </w:pPr>
      <w:rPr>
        <w:rFonts w:hint="default"/>
      </w:rPr>
      <w:start w:val="1"/>
      <w:suff w:val="tab"/>
    </w:lvl>
    <w:lvl w:ilvl="7">
      <w:isLgl w:val="true"/>
      <w:lvlJc w:val="left"/>
      <w:lvlText w:val="%1.%2.%3.%4.%5.%6.%7.%8"/>
      <w:numFmt w:val="decimal"/>
      <w:pPr>
        <w:pBdr/>
        <w:spacing/>
        <w:ind w:hanging="1800" w:left="1800"/>
      </w:pPr>
      <w:rPr>
        <w:rFonts w:hint="default"/>
      </w:rPr>
      <w:start w:val="1"/>
      <w:suff w:val="tab"/>
    </w:lvl>
    <w:lvl w:ilvl="8">
      <w:isLgl w:val="true"/>
      <w:lvlJc w:val="left"/>
      <w:lvlText w:val="%1.%2.%3.%4.%5.%6.%7.%8.%9"/>
      <w:numFmt w:val="decimal"/>
      <w:pPr>
        <w:pBdr/>
        <w:spacing/>
        <w:ind w:hanging="1800" w:left="1800"/>
      </w:pPr>
      <w:rPr>
        <w:rFonts w:hint="default"/>
      </w:rPr>
      <w:start w:val="1"/>
      <w:suff w:val="tab"/>
    </w:lvl>
  </w:abstractNum>
  <w:abstractNum w:abstractNumId="12">
    <w:lvl w:ilvl="0">
      <w:isLgl w:val="false"/>
      <w:lvlJc w:val="left"/>
      <w:lvlText w:val=""/>
      <w:numFmt w:val="bullet"/>
      <w:pPr>
        <w:pBdr/>
        <w:spacing/>
        <w:ind w:hanging="360" w:left="760"/>
      </w:pPr>
      <w:rPr>
        <w:rFonts w:hint="default" w:ascii="Wingdings" w:hAnsi="Wingdings"/>
      </w:rPr>
      <w:start w:val="1"/>
      <w:suff w:val="tab"/>
    </w:lvl>
    <w:lvl w:ilvl="1">
      <w:isLgl w:val="false"/>
      <w:lvlJc w:val="left"/>
      <w:lvlText w:val="o"/>
      <w:numFmt w:val="bullet"/>
      <w:pPr>
        <w:pBdr/>
        <w:spacing/>
        <w:ind w:hanging="360" w:left="1480"/>
      </w:pPr>
      <w:rPr>
        <w:rFonts w:hint="default" w:ascii="Courier New" w:hAnsi="Courier New" w:cs="Courier New"/>
      </w:rPr>
      <w:start w:val="1"/>
      <w:suff w:val="tab"/>
    </w:lvl>
    <w:lvl w:ilvl="2">
      <w:isLgl w:val="false"/>
      <w:lvlJc w:val="left"/>
      <w:lvlText w:val=""/>
      <w:numFmt w:val="bullet"/>
      <w:pPr>
        <w:pBdr/>
        <w:spacing/>
        <w:ind w:hanging="360" w:left="2200"/>
      </w:pPr>
      <w:rPr>
        <w:rFonts w:hint="default" w:ascii="Wingdings" w:hAnsi="Wingdings"/>
      </w:rPr>
      <w:start w:val="1"/>
      <w:suff w:val="tab"/>
    </w:lvl>
    <w:lvl w:ilvl="3">
      <w:isLgl w:val="false"/>
      <w:lvlJc w:val="left"/>
      <w:lvlText w:val=""/>
      <w:numFmt w:val="bullet"/>
      <w:pPr>
        <w:pBdr/>
        <w:spacing/>
        <w:ind w:hanging="360" w:left="2920"/>
      </w:pPr>
      <w:rPr>
        <w:rFonts w:hint="default" w:ascii="Symbol" w:hAnsi="Symbol"/>
      </w:rPr>
      <w:start w:val="1"/>
      <w:suff w:val="tab"/>
    </w:lvl>
    <w:lvl w:ilvl="4">
      <w:isLgl w:val="false"/>
      <w:lvlJc w:val="left"/>
      <w:lvlText w:val="o"/>
      <w:numFmt w:val="bullet"/>
      <w:pPr>
        <w:pBdr/>
        <w:spacing/>
        <w:ind w:hanging="360" w:left="3640"/>
      </w:pPr>
      <w:rPr>
        <w:rFonts w:hint="default" w:ascii="Courier New" w:hAnsi="Courier New" w:cs="Courier New"/>
      </w:rPr>
      <w:start w:val="1"/>
      <w:suff w:val="tab"/>
    </w:lvl>
    <w:lvl w:ilvl="5">
      <w:isLgl w:val="false"/>
      <w:lvlJc w:val="left"/>
      <w:lvlText w:val=""/>
      <w:numFmt w:val="bullet"/>
      <w:pPr>
        <w:pBdr/>
        <w:spacing/>
        <w:ind w:hanging="360" w:left="4360"/>
      </w:pPr>
      <w:rPr>
        <w:rFonts w:hint="default" w:ascii="Wingdings" w:hAnsi="Wingdings"/>
      </w:rPr>
      <w:start w:val="1"/>
      <w:suff w:val="tab"/>
    </w:lvl>
    <w:lvl w:ilvl="6">
      <w:isLgl w:val="false"/>
      <w:lvlJc w:val="left"/>
      <w:lvlText w:val=""/>
      <w:numFmt w:val="bullet"/>
      <w:pPr>
        <w:pBdr/>
        <w:spacing/>
        <w:ind w:hanging="360" w:left="5080"/>
      </w:pPr>
      <w:rPr>
        <w:rFonts w:hint="default" w:ascii="Symbol" w:hAnsi="Symbol"/>
      </w:rPr>
      <w:start w:val="1"/>
      <w:suff w:val="tab"/>
    </w:lvl>
    <w:lvl w:ilvl="7">
      <w:isLgl w:val="false"/>
      <w:lvlJc w:val="left"/>
      <w:lvlText w:val="o"/>
      <w:numFmt w:val="bullet"/>
      <w:pPr>
        <w:pBdr/>
        <w:spacing/>
        <w:ind w:hanging="360" w:left="5800"/>
      </w:pPr>
      <w:rPr>
        <w:rFonts w:hint="default" w:ascii="Courier New" w:hAnsi="Courier New" w:cs="Courier New"/>
      </w:rPr>
      <w:start w:val="1"/>
      <w:suff w:val="tab"/>
    </w:lvl>
    <w:lvl w:ilvl="8">
      <w:isLgl w:val="false"/>
      <w:lvlJc w:val="left"/>
      <w:lvlText w:val=""/>
      <w:numFmt w:val="bullet"/>
      <w:pPr>
        <w:pBdr/>
        <w:spacing/>
        <w:ind w:hanging="360" w:left="6520"/>
      </w:pPr>
      <w:rPr>
        <w:rFonts w:hint="default" w:ascii="Wingdings" w:hAnsi="Wingdings"/>
      </w:rPr>
      <w:start w:val="1"/>
      <w:suff w:val="tab"/>
    </w:lvl>
  </w:abstractNum>
  <w:abstractNum w:abstractNumId="13">
    <w:lvl w:ilvl="0">
      <w:isLgl w:val="false"/>
      <w:lvlJc w:val="left"/>
      <w:lvlText w:val="附件%1、"/>
      <w:numFmt w:val="ideographDigital"/>
      <w:pPr>
        <w:pBdr/>
        <w:tabs>
          <w:tab w:val="left" w:leader="none" w:pos="860"/>
        </w:tabs>
        <w:spacing/>
        <w:ind w:hanging="360" w:left="860"/>
      </w:pPr>
      <w:pStyle w:val="1515"/>
      <w:rPr>
        <w:rFonts w:hint="eastAsia"/>
        <w:szCs w:val="22"/>
      </w:rPr>
      <w:start w:val="1"/>
      <w:suff w:val="tab"/>
    </w:lvl>
    <w:lvl w:ilvl="1">
      <w:isLgl w:val="false"/>
      <w:lvlJc w:val="left"/>
      <w:lvlText w:val="（%2）"/>
      <w:numFmt w:val="japaneseCounting"/>
      <w:pPr>
        <w:pBdr/>
        <w:tabs>
          <w:tab w:val="left" w:leader="none" w:pos="2300"/>
        </w:tabs>
        <w:spacing/>
        <w:ind w:hanging="720" w:left="2300"/>
      </w:pPr>
      <w:rPr>
        <w:rFonts w:hint="default"/>
      </w:rPr>
      <w:start w:val="1"/>
      <w:suff w:val="tab"/>
    </w:lvl>
    <w:lvl w:ilvl="2">
      <w:isLgl w:val="false"/>
      <w:lvlJc w:val="right"/>
      <w:lvlText w:val="%3."/>
      <w:numFmt w:val="lowerRoman"/>
      <w:pPr>
        <w:pBdr/>
        <w:tabs>
          <w:tab w:val="left" w:leader="none" w:pos="2660"/>
        </w:tabs>
        <w:spacing/>
        <w:ind w:hanging="180" w:left="2660"/>
      </w:pPr>
      <w:rPr/>
      <w:start w:val="1"/>
      <w:suff w:val="tab"/>
    </w:lvl>
    <w:lvl w:ilvl="3">
      <w:isLgl w:val="false"/>
      <w:lvlJc w:val="left"/>
      <w:lvlText w:val="%4."/>
      <w:numFmt w:val="decimal"/>
      <w:pPr>
        <w:pBdr/>
        <w:tabs>
          <w:tab w:val="left" w:leader="none" w:pos="3380"/>
        </w:tabs>
        <w:spacing/>
        <w:ind w:hanging="360" w:left="3380"/>
      </w:pPr>
      <w:rPr/>
      <w:start w:val="1"/>
      <w:suff w:val="tab"/>
    </w:lvl>
    <w:lvl w:ilvl="4">
      <w:isLgl w:val="false"/>
      <w:lvlJc w:val="left"/>
      <w:lvlText w:val="%5."/>
      <w:numFmt w:val="lowerLetter"/>
      <w:pPr>
        <w:pBdr/>
        <w:tabs>
          <w:tab w:val="left" w:leader="none" w:pos="4100"/>
        </w:tabs>
        <w:spacing/>
        <w:ind w:hanging="360" w:left="4100"/>
      </w:pPr>
      <w:rPr/>
      <w:start w:val="1"/>
      <w:suff w:val="tab"/>
    </w:lvl>
    <w:lvl w:ilvl="5">
      <w:isLgl w:val="false"/>
      <w:lvlJc w:val="right"/>
      <w:lvlText w:val="%6."/>
      <w:numFmt w:val="lowerRoman"/>
      <w:pPr>
        <w:pBdr/>
        <w:tabs>
          <w:tab w:val="left" w:leader="none" w:pos="4820"/>
        </w:tabs>
        <w:spacing/>
        <w:ind w:hanging="180" w:left="4820"/>
      </w:pPr>
      <w:rPr/>
      <w:start w:val="1"/>
      <w:suff w:val="tab"/>
    </w:lvl>
    <w:lvl w:ilvl="6">
      <w:isLgl w:val="false"/>
      <w:lvlJc w:val="left"/>
      <w:lvlText w:val="%7."/>
      <w:numFmt w:val="decimal"/>
      <w:pPr>
        <w:pBdr/>
        <w:tabs>
          <w:tab w:val="left" w:leader="none" w:pos="5540"/>
        </w:tabs>
        <w:spacing/>
        <w:ind w:hanging="360" w:left="5540"/>
      </w:pPr>
      <w:rPr/>
      <w:start w:val="1"/>
      <w:suff w:val="tab"/>
    </w:lvl>
    <w:lvl w:ilvl="7">
      <w:isLgl w:val="false"/>
      <w:lvlJc w:val="left"/>
      <w:lvlText w:val="%8."/>
      <w:numFmt w:val="lowerLetter"/>
      <w:pPr>
        <w:pBdr/>
        <w:tabs>
          <w:tab w:val="left" w:leader="none" w:pos="6260"/>
        </w:tabs>
        <w:spacing/>
        <w:ind w:hanging="360" w:left="6260"/>
      </w:pPr>
      <w:rPr/>
      <w:start w:val="1"/>
      <w:suff w:val="tab"/>
    </w:lvl>
    <w:lvl w:ilvl="8">
      <w:isLgl w:val="false"/>
      <w:lvlJc w:val="right"/>
      <w:lvlText w:val="%9."/>
      <w:numFmt w:val="lowerRoman"/>
      <w:pPr>
        <w:pBdr/>
        <w:tabs>
          <w:tab w:val="left" w:leader="none" w:pos="6980"/>
        </w:tabs>
        <w:spacing/>
        <w:ind w:hanging="180" w:left="6980"/>
      </w:pPr>
      <w:rPr/>
      <w:start w:val="1"/>
      <w:suff w:val="tab"/>
    </w:lvl>
  </w:abstractNum>
  <w:abstractNum w:abstractNumId="14">
    <w:lvl w:ilvl="0">
      <w:isLgl w:val="false"/>
      <w:lvlJc w:val="left"/>
      <w:lvlText w:val=""/>
      <w:numFmt w:val="bullet"/>
      <w:pPr>
        <w:pBdr/>
        <w:spacing/>
        <w:ind w:hanging="420" w:left="979"/>
      </w:pPr>
      <w:rPr>
        <w:rFonts w:hint="default" w:ascii="Wingdings" w:hAnsi="Wingdings" w:eastAsia="宋体" w:cs="Wingdings"/>
        <w:color w:val="auto"/>
        <w:sz w:val="22"/>
        <w:szCs w:val="22"/>
      </w:rPr>
      <w:start w:val="0"/>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15">
    <w:lvl w:ilvl="0">
      <w:isLgl w:val="false"/>
      <w:lvlJc w:val="left"/>
      <w:lvlText w:val=""/>
      <w:numFmt w:val="bullet"/>
      <w:pPr>
        <w:pBdr/>
        <w:tabs>
          <w:tab w:val="left" w:leader="none" w:pos="216"/>
        </w:tabs>
        <w:spacing/>
        <w:ind w:hanging="216" w:left="216"/>
      </w:pPr>
      <w:pStyle w:val="1466"/>
      <w:rPr>
        <w:rFonts w:hint="default" w:ascii="Symbol" w:hAnsi="Symbol"/>
        <w:b w:val="0"/>
        <w:i w:val="0"/>
        <w:sz w:val="18"/>
        <w:szCs w:val="18"/>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left" w:leader="none" w:pos="2160"/>
        </w:tabs>
        <w:spacing/>
        <w:ind w:hanging="360" w:left="2160"/>
      </w:pPr>
      <w:rPr>
        <w:rFonts w:hint="default" w:ascii="Wingdings" w:hAnsi="Wingdings"/>
      </w:rPr>
      <w:start w:val="1"/>
      <w:suff w:val="tab"/>
    </w:lvl>
    <w:lvl w:ilvl="3">
      <w:isLgl w:val="false"/>
      <w:lvlJc w:val="left"/>
      <w:lvlText w:val=""/>
      <w:numFmt w:val="bullet"/>
      <w:pPr>
        <w:pBdr/>
        <w:tabs>
          <w:tab w:val="left" w:leader="none" w:pos="2880"/>
        </w:tabs>
        <w:spacing/>
        <w:ind w:hanging="360" w:left="2880"/>
      </w:pPr>
      <w:rPr>
        <w:rFonts w:hint="default" w:ascii="Symbol" w:hAnsi="Symbol"/>
      </w:rPr>
      <w:start w:val="1"/>
      <w:suff w:val="tab"/>
    </w:lvl>
    <w:lvl w:ilvl="4">
      <w:isLgl w:val="false"/>
      <w:lvlJc w:val="left"/>
      <w:lvlText w:val="o"/>
      <w:numFmt w:val="bullet"/>
      <w:pPr>
        <w:pBdr/>
        <w:tabs>
          <w:tab w:val="left"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left" w:leader="none" w:pos="4320"/>
        </w:tabs>
        <w:spacing/>
        <w:ind w:hanging="360" w:left="4320"/>
      </w:pPr>
      <w:rPr>
        <w:rFonts w:hint="default" w:ascii="Wingdings" w:hAnsi="Wingdings"/>
      </w:rPr>
      <w:start w:val="1"/>
      <w:suff w:val="tab"/>
    </w:lvl>
    <w:lvl w:ilvl="6">
      <w:isLgl w:val="false"/>
      <w:lvlJc w:val="left"/>
      <w:lvlText w:val=""/>
      <w:numFmt w:val="bullet"/>
      <w:pPr>
        <w:pBdr/>
        <w:tabs>
          <w:tab w:val="left" w:leader="none" w:pos="5040"/>
        </w:tabs>
        <w:spacing/>
        <w:ind w:hanging="360" w:left="5040"/>
      </w:pPr>
      <w:rPr>
        <w:rFonts w:hint="default" w:ascii="Symbol" w:hAnsi="Symbol"/>
      </w:rPr>
      <w:start w:val="1"/>
      <w:suff w:val="tab"/>
    </w:lvl>
    <w:lvl w:ilvl="7">
      <w:isLgl w:val="false"/>
      <w:lvlJc w:val="left"/>
      <w:lvlText w:val="o"/>
      <w:numFmt w:val="bullet"/>
      <w:pPr>
        <w:pBdr/>
        <w:tabs>
          <w:tab w:val="left"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left" w:leader="none" w:pos="6480"/>
        </w:tabs>
        <w:spacing/>
        <w:ind w:hanging="360" w:left="6480"/>
      </w:pPr>
      <w:rPr>
        <w:rFonts w:hint="default" w:ascii="Wingdings" w:hAnsi="Wingdings"/>
      </w:rPr>
      <w:start w:val="1"/>
      <w:suff w:val="tab"/>
    </w:lvl>
  </w:abstractNum>
  <w:abstractNum w:abstractNumId="16">
    <w:lvl w:ilvl="0">
      <w:isLgl w:val="false"/>
      <w:lvlJc w:val="left"/>
      <w:lvlText w:val=""/>
      <w:numFmt w:val="bullet"/>
      <w:pPr>
        <w:pBdr/>
        <w:spacing/>
        <w:ind w:hanging="360" w:left="760"/>
      </w:pPr>
      <w:rPr>
        <w:rFonts w:hint="default" w:ascii="Wingdings" w:hAnsi="Wingdings"/>
      </w:rPr>
      <w:start w:val="1"/>
      <w:suff w:val="tab"/>
    </w:lvl>
    <w:lvl w:ilvl="1">
      <w:isLgl w:val="false"/>
      <w:lvlJc w:val="left"/>
      <w:lvlText w:val="o"/>
      <w:numFmt w:val="bullet"/>
      <w:pPr>
        <w:pBdr/>
        <w:spacing/>
        <w:ind w:hanging="360" w:left="1480"/>
      </w:pPr>
      <w:rPr>
        <w:rFonts w:hint="default" w:ascii="Courier New" w:hAnsi="Courier New" w:cs="Courier New"/>
      </w:rPr>
      <w:start w:val="1"/>
      <w:suff w:val="tab"/>
    </w:lvl>
    <w:lvl w:ilvl="2">
      <w:isLgl w:val="false"/>
      <w:lvlJc w:val="left"/>
      <w:lvlText w:val=""/>
      <w:numFmt w:val="bullet"/>
      <w:pPr>
        <w:pBdr/>
        <w:spacing/>
        <w:ind w:hanging="360" w:left="2200"/>
      </w:pPr>
      <w:rPr>
        <w:rFonts w:hint="default" w:ascii="Wingdings" w:hAnsi="Wingdings"/>
      </w:rPr>
      <w:start w:val="1"/>
      <w:suff w:val="tab"/>
    </w:lvl>
    <w:lvl w:ilvl="3">
      <w:isLgl w:val="false"/>
      <w:lvlJc w:val="left"/>
      <w:lvlText w:val=""/>
      <w:numFmt w:val="bullet"/>
      <w:pPr>
        <w:pBdr/>
        <w:spacing/>
        <w:ind w:hanging="360" w:left="2920"/>
      </w:pPr>
      <w:rPr>
        <w:rFonts w:hint="default" w:ascii="Symbol" w:hAnsi="Symbol"/>
      </w:rPr>
      <w:start w:val="1"/>
      <w:suff w:val="tab"/>
    </w:lvl>
    <w:lvl w:ilvl="4">
      <w:isLgl w:val="false"/>
      <w:lvlJc w:val="left"/>
      <w:lvlText w:val="o"/>
      <w:numFmt w:val="bullet"/>
      <w:pPr>
        <w:pBdr/>
        <w:spacing/>
        <w:ind w:hanging="360" w:left="3640"/>
      </w:pPr>
      <w:rPr>
        <w:rFonts w:hint="default" w:ascii="Courier New" w:hAnsi="Courier New" w:cs="Courier New"/>
      </w:rPr>
      <w:start w:val="1"/>
      <w:suff w:val="tab"/>
    </w:lvl>
    <w:lvl w:ilvl="5">
      <w:isLgl w:val="false"/>
      <w:lvlJc w:val="left"/>
      <w:lvlText w:val=""/>
      <w:numFmt w:val="bullet"/>
      <w:pPr>
        <w:pBdr/>
        <w:spacing/>
        <w:ind w:hanging="360" w:left="4360"/>
      </w:pPr>
      <w:rPr>
        <w:rFonts w:hint="default" w:ascii="Wingdings" w:hAnsi="Wingdings"/>
      </w:rPr>
      <w:start w:val="1"/>
      <w:suff w:val="tab"/>
    </w:lvl>
    <w:lvl w:ilvl="6">
      <w:isLgl w:val="false"/>
      <w:lvlJc w:val="left"/>
      <w:lvlText w:val=""/>
      <w:numFmt w:val="bullet"/>
      <w:pPr>
        <w:pBdr/>
        <w:spacing/>
        <w:ind w:hanging="360" w:left="5080"/>
      </w:pPr>
      <w:rPr>
        <w:rFonts w:hint="default" w:ascii="Symbol" w:hAnsi="Symbol"/>
      </w:rPr>
      <w:start w:val="1"/>
      <w:suff w:val="tab"/>
    </w:lvl>
    <w:lvl w:ilvl="7">
      <w:isLgl w:val="false"/>
      <w:lvlJc w:val="left"/>
      <w:lvlText w:val="o"/>
      <w:numFmt w:val="bullet"/>
      <w:pPr>
        <w:pBdr/>
        <w:spacing/>
        <w:ind w:hanging="360" w:left="5800"/>
      </w:pPr>
      <w:rPr>
        <w:rFonts w:hint="default" w:ascii="Courier New" w:hAnsi="Courier New" w:cs="Courier New"/>
      </w:rPr>
      <w:start w:val="1"/>
      <w:suff w:val="tab"/>
    </w:lvl>
    <w:lvl w:ilvl="8">
      <w:isLgl w:val="false"/>
      <w:lvlJc w:val="left"/>
      <w:lvlText w:val=""/>
      <w:numFmt w:val="bullet"/>
      <w:pPr>
        <w:pBdr/>
        <w:spacing/>
        <w:ind w:hanging="360" w:left="6520"/>
      </w:pPr>
      <w:rPr>
        <w:rFonts w:hint="default" w:ascii="Wingdings" w:hAnsi="Wingdings"/>
      </w:rPr>
      <w:start w:val="1"/>
      <w:suff w:val="tab"/>
    </w:lvl>
  </w:abstractNum>
  <w:abstractNum w:abstractNumId="1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lvl w:ilvl="0">
      <w:isLgl w:val="false"/>
      <w:lvlJc w:val="left"/>
      <w:lvlText w:val="%1"/>
      <w:numFmt w:val="decimal"/>
      <w:pPr>
        <w:pBdr/>
        <w:tabs>
          <w:tab w:val="left" w:leader="none" w:pos="720"/>
        </w:tabs>
        <w:spacing/>
        <w:ind w:hanging="720" w:left="720"/>
      </w:pPr>
      <w:rPr>
        <w:rFonts w:hint="default" w:ascii="Arial" w:hAnsi="Arial" w:cs="Arial"/>
      </w:rPr>
      <w:start w:val="1"/>
      <w:suff w:val="tab"/>
    </w:lvl>
    <w:lvl w:ilvl="1">
      <w:isLgl w:val="false"/>
      <w:lvlJc w:val="left"/>
      <w:lvlText w:val="%1.%2"/>
      <w:numFmt w:val="decimal"/>
      <w:pPr>
        <w:pBdr/>
        <w:tabs>
          <w:tab w:val="left" w:leader="none" w:pos="576"/>
        </w:tabs>
        <w:spacing/>
        <w:ind w:hanging="576" w:left="576"/>
      </w:pPr>
      <w:rPr>
        <w:rFonts w:hint="default" w:ascii="Arial" w:hAnsi="Arial" w:cs="Arial"/>
        <w:b/>
        <w:i w:val="0"/>
        <w:color w:val="auto"/>
        <w:sz w:val="22"/>
      </w:rPr>
      <w:start w:val="1"/>
      <w:suff w:val="tab"/>
    </w:lvl>
    <w:lvl w:ilvl="2">
      <w:isLgl w:val="false"/>
      <w:lvlJc w:val="left"/>
      <w:lvlText w:val="1.3.2.%3"/>
      <w:numFmt w:val="decimal"/>
      <w:pPr>
        <w:pBdr/>
        <w:tabs>
          <w:tab w:val="left" w:leader="none" w:pos="720"/>
        </w:tabs>
        <w:spacing/>
        <w:ind w:hanging="720" w:left="720"/>
      </w:pPr>
      <w:rPr>
        <w:rFonts w:hint="eastAsia" w:ascii="华文楷体" w:hAnsi="华文楷体" w:eastAsia="华文楷体"/>
      </w:rPr>
      <w:start w:val="1"/>
      <w:suff w:val="tab"/>
    </w:lvl>
    <w:lvl w:ilvl="3">
      <w:isLgl w:val="false"/>
      <w:lvlJc w:val="left"/>
      <w:lvlText w:val="%1.%2.%3.%4"/>
      <w:numFmt w:val="decimal"/>
      <w:pPr>
        <w:pBdr/>
        <w:tabs>
          <w:tab w:val="left" w:leader="none" w:pos="864"/>
        </w:tabs>
        <w:spacing/>
        <w:ind w:hanging="864" w:left="864"/>
      </w:pPr>
      <w:rPr>
        <w:rFonts w:hint="eastAsia"/>
        <w:sz w:val="22"/>
        <w:szCs w:val="22"/>
      </w:rPr>
      <w:start w:val="1"/>
      <w:suff w:val="tab"/>
    </w:lvl>
    <w:lvl w:ilvl="4">
      <w:isLgl w:val="false"/>
      <w:lvlJc w:val="left"/>
      <w:lvlText w:val="%1.%2.%3.%4.%5"/>
      <w:numFmt w:val="decimal"/>
      <w:pPr>
        <w:pBdr/>
        <w:tabs>
          <w:tab w:val="left" w:leader="none" w:pos="1008"/>
        </w:tabs>
        <w:spacing/>
        <w:ind w:hanging="1008" w:left="1008"/>
      </w:pPr>
      <w:pStyle w:val="1327"/>
      <w:rPr>
        <w:rFonts w:hint="eastAsia"/>
      </w:rPr>
      <w:start w:val="1"/>
      <w:suff w:val="tab"/>
    </w:lvl>
    <w:lvl w:ilvl="5">
      <w:isLgl w:val="false"/>
      <w:lvlJc w:val="left"/>
      <w:lvlText w:val="%1.%2.%3.%4.%5.%6"/>
      <w:numFmt w:val="decimal"/>
      <w:pPr>
        <w:pBdr/>
        <w:tabs>
          <w:tab w:val="left" w:leader="none" w:pos="1152"/>
        </w:tabs>
        <w:spacing/>
        <w:ind w:hanging="1152" w:left="1152"/>
      </w:pPr>
      <w:pStyle w:val="1328"/>
      <w:rPr>
        <w:rFonts w:hint="eastAsia"/>
      </w:rPr>
      <w:start w:val="1"/>
      <w:suff w:val="tab"/>
    </w:lvl>
    <w:lvl w:ilvl="6">
      <w:isLgl w:val="false"/>
      <w:lvlJc w:val="left"/>
      <w:lvlText w:val="%1.%2.%3.%4.%5.%6.%7"/>
      <w:numFmt w:val="decimal"/>
      <w:pPr>
        <w:pBdr/>
        <w:tabs>
          <w:tab w:val="left" w:leader="none" w:pos="1296"/>
        </w:tabs>
        <w:spacing/>
        <w:ind w:hanging="1296" w:left="1296"/>
      </w:pPr>
      <w:rPr>
        <w:rFonts w:hint="eastAsia"/>
      </w:rPr>
      <w:start w:val="1"/>
      <w:suff w:val="tab"/>
    </w:lvl>
    <w:lvl w:ilvl="7">
      <w:isLgl w:val="false"/>
      <w:lvlJc w:val="left"/>
      <w:lvlText w:val="%1.%2.%3.%4.%5.%6.%7.%8"/>
      <w:numFmt w:val="decimal"/>
      <w:pPr>
        <w:pBdr/>
        <w:tabs>
          <w:tab w:val="left" w:leader="none" w:pos="1440"/>
        </w:tabs>
        <w:spacing/>
        <w:ind w:hanging="1440" w:left="1440"/>
      </w:pPr>
      <w:rPr>
        <w:rFonts w:hint="eastAsia"/>
      </w:rPr>
      <w:start w:val="1"/>
      <w:suff w:val="tab"/>
    </w:lvl>
    <w:lvl w:ilvl="8">
      <w:isLgl w:val="false"/>
      <w:lvlJc w:val="left"/>
      <w:lvlText w:val="%1.%2.%3.%4.%5.%6.%7.%8.%9"/>
      <w:numFmt w:val="decimal"/>
      <w:pPr>
        <w:pBdr/>
        <w:tabs>
          <w:tab w:val="left" w:leader="none" w:pos="1584"/>
        </w:tabs>
        <w:spacing/>
        <w:ind w:hanging="1584" w:left="1584"/>
      </w:pPr>
      <w:rPr>
        <w:rFonts w:hint="eastAsia"/>
      </w:rPr>
      <w:start w:val="1"/>
      <w:suff w:val="tab"/>
    </w:lvl>
  </w:abstractNum>
  <w:abstractNum w:abstractNumId="19">
    <w:lvl w:ilvl="0">
      <w:isLgl w:val="false"/>
      <w:lvlJc w:val="left"/>
      <w:lvlText w:val="%1）"/>
      <w:numFmt w:val="decimal"/>
      <w:pPr>
        <w:pBdr/>
        <w:spacing/>
        <w:ind/>
      </w:pPr>
      <w:rPr/>
      <w:start w:val="1"/>
      <w:suff w:val="nothing"/>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20">
    <w:lvl w:ilvl="0">
      <w:isLgl w:val="false"/>
      <w:lvlJc w:val="left"/>
      <w:lvlText w:val=""/>
      <w:numFmt w:val="bullet"/>
      <w:pPr>
        <w:pBdr/>
        <w:spacing/>
        <w:ind w:hanging="360" w:left="720"/>
      </w:pPr>
      <w:pStyle w:val="1518"/>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2">
    <w:lvl w:ilvl="0">
      <w:isLgl w:val="false"/>
      <w:lvlJc w:val="left"/>
      <w:lvlText w:val=""/>
      <w:numFmt w:val="bullet"/>
      <w:pPr>
        <w:pBdr/>
        <w:spacing/>
        <w:ind w:hanging="420" w:left="-382"/>
      </w:pPr>
      <w:rPr>
        <w:rFonts w:hint="default" w:ascii="Wingdings" w:hAnsi="Wingdings"/>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23">
    <w:lvl w:ilvl="0">
      <w:isLgl w:val="false"/>
      <w:lvlJc w:val="left"/>
      <w:lvlText w:val=""/>
      <w:numFmt w:val="bullet"/>
      <w:pPr>
        <w:pBdr/>
        <w:spacing/>
        <w:ind w:hanging="420" w:left="-382"/>
      </w:pPr>
      <w:rPr>
        <w:rFonts w:hint="default" w:ascii="Wingdings" w:hAnsi="Wingdings"/>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24">
    <w:lvl w:ilvl="0">
      <w:isLgl w:val="false"/>
      <w:lvlJc w:val="left"/>
      <w:lvlText w:val=""/>
      <w:numFmt w:val="bullet"/>
      <w:pPr>
        <w:pBdr/>
        <w:spacing/>
        <w:ind w:hanging="360" w:left="1162"/>
      </w:pPr>
      <w:pStyle w:val="1536"/>
      <w:rPr>
        <w:rFonts w:hint="default" w:ascii="Symbol" w:hAnsi="Symbol"/>
      </w:rPr>
      <w:start w:val="1"/>
      <w:suff w:val="tab"/>
    </w:lvl>
    <w:lvl w:ilvl="1">
      <w:isLgl w:val="false"/>
      <w:lvlJc w:val="left"/>
      <w:lvlText w:val="o"/>
      <w:numFmt w:val="bullet"/>
      <w:pPr>
        <w:pBdr/>
        <w:spacing/>
        <w:ind w:hanging="360" w:left="1882"/>
      </w:pPr>
      <w:rPr>
        <w:rFonts w:hint="default" w:ascii="Courier New" w:hAnsi="Courier New" w:cs="Courier New"/>
      </w:rPr>
      <w:start w:val="1"/>
      <w:suff w:val="tab"/>
    </w:lvl>
    <w:lvl w:ilvl="2">
      <w:isLgl w:val="false"/>
      <w:lvlJc w:val="left"/>
      <w:lvlText w:val=""/>
      <w:numFmt w:val="bullet"/>
      <w:pPr>
        <w:pBdr/>
        <w:spacing/>
        <w:ind w:hanging="360" w:left="2602"/>
      </w:pPr>
      <w:rPr>
        <w:rFonts w:hint="default" w:ascii="Wingdings" w:hAnsi="Wingdings"/>
      </w:rPr>
      <w:start w:val="1"/>
      <w:suff w:val="tab"/>
    </w:lvl>
    <w:lvl w:ilvl="3">
      <w:isLgl w:val="false"/>
      <w:lvlJc w:val="left"/>
      <w:lvlText w:val=""/>
      <w:numFmt w:val="bullet"/>
      <w:pPr>
        <w:pBdr/>
        <w:spacing/>
        <w:ind w:hanging="360" w:left="3322"/>
      </w:pPr>
      <w:rPr>
        <w:rFonts w:hint="default" w:ascii="Symbol" w:hAnsi="Symbol"/>
      </w:rPr>
      <w:start w:val="1"/>
      <w:suff w:val="tab"/>
    </w:lvl>
    <w:lvl w:ilvl="4">
      <w:isLgl w:val="false"/>
      <w:lvlJc w:val="left"/>
      <w:lvlText w:val="o"/>
      <w:numFmt w:val="bullet"/>
      <w:pPr>
        <w:pBdr/>
        <w:spacing/>
        <w:ind w:hanging="360" w:left="4042"/>
      </w:pPr>
      <w:rPr>
        <w:rFonts w:hint="default" w:ascii="Courier New" w:hAnsi="Courier New" w:cs="Courier New"/>
      </w:rPr>
      <w:start w:val="1"/>
      <w:suff w:val="tab"/>
    </w:lvl>
    <w:lvl w:ilvl="5">
      <w:isLgl w:val="false"/>
      <w:lvlJc w:val="left"/>
      <w:lvlText w:val=""/>
      <w:numFmt w:val="bullet"/>
      <w:pPr>
        <w:pBdr/>
        <w:spacing/>
        <w:ind w:hanging="360" w:left="4762"/>
      </w:pPr>
      <w:rPr>
        <w:rFonts w:hint="default" w:ascii="Wingdings" w:hAnsi="Wingdings"/>
      </w:rPr>
      <w:start w:val="1"/>
      <w:suff w:val="tab"/>
    </w:lvl>
    <w:lvl w:ilvl="6">
      <w:isLgl w:val="false"/>
      <w:lvlJc w:val="left"/>
      <w:lvlText w:val=""/>
      <w:numFmt w:val="bullet"/>
      <w:pPr>
        <w:pBdr/>
        <w:spacing/>
        <w:ind w:hanging="360" w:left="5482"/>
      </w:pPr>
      <w:rPr>
        <w:rFonts w:hint="default" w:ascii="Symbol" w:hAnsi="Symbol"/>
      </w:rPr>
      <w:start w:val="1"/>
      <w:suff w:val="tab"/>
    </w:lvl>
    <w:lvl w:ilvl="7">
      <w:isLgl w:val="false"/>
      <w:lvlJc w:val="left"/>
      <w:lvlText w:val="o"/>
      <w:numFmt w:val="bullet"/>
      <w:pPr>
        <w:pBdr/>
        <w:spacing/>
        <w:ind w:hanging="360" w:left="6202"/>
      </w:pPr>
      <w:rPr>
        <w:rFonts w:hint="default" w:ascii="Courier New" w:hAnsi="Courier New" w:cs="Courier New"/>
      </w:rPr>
      <w:start w:val="1"/>
      <w:suff w:val="tab"/>
    </w:lvl>
    <w:lvl w:ilvl="8">
      <w:isLgl w:val="false"/>
      <w:lvlJc w:val="left"/>
      <w:lvlText w:val=""/>
      <w:numFmt w:val="bullet"/>
      <w:pPr>
        <w:pBdr/>
        <w:spacing/>
        <w:ind w:hanging="360" w:left="6922"/>
      </w:pPr>
      <w:rPr>
        <w:rFonts w:hint="default" w:ascii="Wingdings" w:hAnsi="Wingdings"/>
      </w:rPr>
      <w:start w:val="1"/>
      <w:suff w:val="tab"/>
    </w:lvl>
  </w:abstractNum>
  <w:abstractNum w:abstractNumId="25">
    <w:lvl w:ilvl="0">
      <w:isLgl w:val="false"/>
      <w:lvlJc w:val="left"/>
      <w:lvlText w:val=""/>
      <w:numFmt w:val="bullet"/>
      <w:pPr>
        <w:pBdr/>
        <w:spacing/>
        <w:ind w:hanging="360" w:left="919"/>
      </w:pPr>
      <w:rPr>
        <w:rFonts w:hint="default" w:ascii="Symbol" w:hAnsi="Symbol"/>
      </w:rPr>
      <w:start w:val="1"/>
      <w:suff w:val="tab"/>
    </w:lvl>
    <w:lvl w:ilvl="1">
      <w:isLgl w:val="false"/>
      <w:lvlJc w:val="left"/>
      <w:lvlText w:val="o"/>
      <w:numFmt w:val="bullet"/>
      <w:pPr>
        <w:pBdr/>
        <w:spacing/>
        <w:ind w:hanging="360" w:left="1639"/>
      </w:pPr>
      <w:rPr>
        <w:rFonts w:hint="default" w:ascii="Courier New" w:hAnsi="Courier New" w:cs="Courier New"/>
      </w:rPr>
      <w:start w:val="1"/>
      <w:suff w:val="tab"/>
    </w:lvl>
    <w:lvl w:ilvl="2">
      <w:isLgl w:val="false"/>
      <w:lvlJc w:val="left"/>
      <w:lvlText w:val=""/>
      <w:numFmt w:val="bullet"/>
      <w:pPr>
        <w:pBdr/>
        <w:spacing/>
        <w:ind w:hanging="360" w:left="2359"/>
      </w:pPr>
      <w:rPr>
        <w:rFonts w:hint="default" w:ascii="Wingdings" w:hAnsi="Wingdings"/>
      </w:rPr>
      <w:start w:val="1"/>
      <w:suff w:val="tab"/>
    </w:lvl>
    <w:lvl w:ilvl="3">
      <w:isLgl w:val="false"/>
      <w:lvlJc w:val="left"/>
      <w:lvlText w:val=""/>
      <w:numFmt w:val="bullet"/>
      <w:pPr>
        <w:pBdr/>
        <w:spacing/>
        <w:ind w:hanging="360" w:left="3079"/>
      </w:pPr>
      <w:rPr>
        <w:rFonts w:hint="default" w:ascii="Symbol" w:hAnsi="Symbol"/>
      </w:rPr>
      <w:start w:val="1"/>
      <w:suff w:val="tab"/>
    </w:lvl>
    <w:lvl w:ilvl="4">
      <w:isLgl w:val="false"/>
      <w:lvlJc w:val="left"/>
      <w:lvlText w:val="o"/>
      <w:numFmt w:val="bullet"/>
      <w:pPr>
        <w:pBdr/>
        <w:spacing/>
        <w:ind w:hanging="360" w:left="3799"/>
      </w:pPr>
      <w:rPr>
        <w:rFonts w:hint="default" w:ascii="Courier New" w:hAnsi="Courier New" w:cs="Courier New"/>
      </w:rPr>
      <w:start w:val="1"/>
      <w:suff w:val="tab"/>
    </w:lvl>
    <w:lvl w:ilvl="5">
      <w:isLgl w:val="false"/>
      <w:lvlJc w:val="left"/>
      <w:lvlText w:val=""/>
      <w:numFmt w:val="bullet"/>
      <w:pPr>
        <w:pBdr/>
        <w:spacing/>
        <w:ind w:hanging="360" w:left="4519"/>
      </w:pPr>
      <w:rPr>
        <w:rFonts w:hint="default" w:ascii="Wingdings" w:hAnsi="Wingdings"/>
      </w:rPr>
      <w:start w:val="1"/>
      <w:suff w:val="tab"/>
    </w:lvl>
    <w:lvl w:ilvl="6">
      <w:isLgl w:val="false"/>
      <w:lvlJc w:val="left"/>
      <w:lvlText w:val=""/>
      <w:numFmt w:val="bullet"/>
      <w:pPr>
        <w:pBdr/>
        <w:spacing/>
        <w:ind w:hanging="360" w:left="5239"/>
      </w:pPr>
      <w:rPr>
        <w:rFonts w:hint="default" w:ascii="Symbol" w:hAnsi="Symbol"/>
      </w:rPr>
      <w:start w:val="1"/>
      <w:suff w:val="tab"/>
    </w:lvl>
    <w:lvl w:ilvl="7">
      <w:isLgl w:val="false"/>
      <w:lvlJc w:val="left"/>
      <w:lvlText w:val="o"/>
      <w:numFmt w:val="bullet"/>
      <w:pPr>
        <w:pBdr/>
        <w:spacing/>
        <w:ind w:hanging="360" w:left="5959"/>
      </w:pPr>
      <w:rPr>
        <w:rFonts w:hint="default" w:ascii="Courier New" w:hAnsi="Courier New" w:cs="Courier New"/>
      </w:rPr>
      <w:start w:val="1"/>
      <w:suff w:val="tab"/>
    </w:lvl>
    <w:lvl w:ilvl="8">
      <w:isLgl w:val="false"/>
      <w:lvlJc w:val="left"/>
      <w:lvlText w:val=""/>
      <w:numFmt w:val="bullet"/>
      <w:pPr>
        <w:pBdr/>
        <w:spacing/>
        <w:ind w:hanging="360" w:left="6679"/>
      </w:pPr>
      <w:rPr>
        <w:rFonts w:hint="default" w:ascii="Wingdings" w:hAnsi="Wingdings"/>
      </w:rPr>
      <w:start w:val="1"/>
      <w:suff w:val="tab"/>
    </w:lvl>
  </w:abstractNum>
  <w:abstractNum w:abstractNumId="26">
    <w:lvl w:ilvl="0">
      <w:isLgl w:val="false"/>
      <w:lvlJc w:val="left"/>
      <w:lvlText w:val="%1)"/>
      <w:numFmt w:val="decimal"/>
      <w:pPr>
        <w:pBdr/>
        <w:spacing/>
        <w:ind w:hanging="360" w:left="135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7">
    <w:lvl w:ilvl="0">
      <w:isLgl w:val="false"/>
      <w:lvlJc w:val="left"/>
      <w:lvlText w:val="%1)"/>
      <w:numFmt w:val="decimal"/>
      <w:pPr>
        <w:pBdr/>
        <w:spacing/>
        <w:ind w:hanging="360" w:left="135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lvl w:ilvl="0">
      <w:isLgl w:val="false"/>
      <w:lvlJc w:val="left"/>
      <w:lvlText w:val="%1)"/>
      <w:numFmt w:val="decimal"/>
      <w:pPr>
        <w:pBdr/>
        <w:spacing/>
        <w:ind w:hanging="360" w:left="135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
    <w:lvl w:ilvl="0">
      <w:isLgl w:val="false"/>
      <w:lvlJc w:val="left"/>
      <w:lvlText w:val=""/>
      <w:numFmt w:val="bullet"/>
      <w:pPr>
        <w:pBdr/>
        <w:tabs>
          <w:tab w:val="left" w:leader="none" w:pos="595"/>
        </w:tabs>
        <w:spacing/>
        <w:ind w:hanging="595" w:left="595"/>
      </w:pPr>
      <w:pStyle w:val="1473"/>
      <w:rPr>
        <w:rFonts w:hint="default" w:ascii="Symbol" w:hAnsi="Symbol"/>
        <w:sz w:val="18"/>
      </w:rPr>
      <w:start w:val="1"/>
      <w:suff w:val="tab"/>
    </w:lvl>
    <w:lvl w:ilvl="1">
      <w:isLgl w:val="false"/>
      <w:lvlJc w:val="left"/>
      <w:lvlText w:val=""/>
      <w:numFmt w:val="bullet"/>
      <w:pPr>
        <w:pBdr/>
        <w:tabs>
          <w:tab w:val="left" w:leader="none" w:pos="1191"/>
        </w:tabs>
        <w:spacing/>
        <w:ind w:hanging="595" w:left="1191"/>
      </w:pPr>
      <w:rPr>
        <w:rFonts w:hint="default" w:ascii="Symbol" w:hAnsi="Symbol"/>
        <w:sz w:val="18"/>
      </w:rPr>
      <w:start w:val="1"/>
      <w:suff w:val="tab"/>
    </w:lvl>
    <w:lvl w:ilvl="2">
      <w:isLgl w:val="false"/>
      <w:lvlJc w:val="left"/>
      <w:lvlText w:val=""/>
      <w:numFmt w:val="bullet"/>
      <w:pPr>
        <w:pBdr/>
        <w:tabs>
          <w:tab w:val="left" w:leader="none" w:pos="1786"/>
        </w:tabs>
        <w:spacing/>
        <w:ind w:hanging="595" w:left="1786"/>
      </w:pPr>
      <w:rPr>
        <w:rFonts w:hint="default" w:ascii="Symbol" w:hAnsi="Symbol"/>
        <w:sz w:val="18"/>
      </w:rPr>
      <w:start w:val="1"/>
      <w:suff w:val="tab"/>
    </w:lvl>
    <w:lvl w:ilvl="3">
      <w:isLgl w:val="false"/>
      <w:lvlJc w:val="left"/>
      <w:lvlText w:val=""/>
      <w:numFmt w:val="bullet"/>
      <w:pPr>
        <w:pBdr/>
        <w:tabs>
          <w:tab w:val="left" w:leader="none" w:pos="2381"/>
        </w:tabs>
        <w:spacing/>
        <w:ind w:hanging="595" w:left="2381"/>
      </w:pPr>
      <w:rPr>
        <w:rFonts w:hint="default" w:ascii="Symbol" w:hAnsi="Symbol"/>
        <w:sz w:val="18"/>
      </w:rPr>
      <w:start w:val="1"/>
      <w:suff w:val="tab"/>
    </w:lvl>
    <w:lvl w:ilvl="4">
      <w:isLgl w:val="false"/>
      <w:lvlJc w:val="left"/>
      <w:lvlText w:val=""/>
      <w:numFmt w:val="bullet"/>
      <w:pPr>
        <w:pBdr/>
        <w:tabs>
          <w:tab w:val="left" w:leader="none" w:pos="2976"/>
        </w:tabs>
        <w:spacing/>
        <w:ind w:hanging="595" w:left="2976"/>
      </w:pPr>
      <w:rPr>
        <w:rFonts w:hint="default" w:ascii="Symbol" w:hAnsi="Symbol"/>
        <w:sz w:val="18"/>
      </w:rPr>
      <w:start w:val="1"/>
      <w:suff w:val="tab"/>
    </w:lvl>
    <w:lvl w:ilvl="5">
      <w:isLgl w:val="false"/>
      <w:lvlJc w:val="left"/>
      <w:lvlText w:val=""/>
      <w:numFmt w:val="bullet"/>
      <w:pPr>
        <w:pBdr/>
        <w:tabs>
          <w:tab w:val="left" w:leader="none" w:pos="3572"/>
        </w:tabs>
        <w:spacing/>
        <w:ind w:hanging="595" w:left="3572"/>
      </w:pPr>
      <w:rPr>
        <w:rFonts w:hint="default" w:ascii="Symbol" w:hAnsi="Symbol"/>
        <w:sz w:val="18"/>
      </w:rPr>
      <w:start w:val="1"/>
      <w:suff w:val="tab"/>
    </w:lvl>
    <w:lvl w:ilvl="6">
      <w:isLgl w:val="false"/>
      <w:lvlJc w:val="left"/>
      <w:lvlText w:val=""/>
      <w:numFmt w:val="bullet"/>
      <w:pPr>
        <w:pBdr/>
        <w:tabs>
          <w:tab w:val="left" w:leader="none" w:pos="4167"/>
        </w:tabs>
        <w:spacing/>
        <w:ind w:hanging="595" w:left="4167"/>
      </w:pPr>
      <w:rPr>
        <w:rFonts w:hint="default" w:ascii="Symbol" w:hAnsi="Symbol"/>
        <w:sz w:val="18"/>
      </w:rPr>
      <w:start w:val="1"/>
      <w:suff w:val="tab"/>
    </w:lvl>
    <w:lvl w:ilvl="7">
      <w:isLgl w:val="false"/>
      <w:lvlJc w:val="left"/>
      <w:lvlText w:val=""/>
      <w:numFmt w:val="bullet"/>
      <w:pPr>
        <w:pBdr/>
        <w:tabs>
          <w:tab w:val="left" w:leader="none" w:pos="4762"/>
        </w:tabs>
        <w:spacing/>
        <w:ind w:hanging="595" w:left="4762"/>
      </w:pPr>
      <w:rPr>
        <w:rFonts w:hint="default" w:ascii="Symbol" w:hAnsi="Symbol"/>
        <w:sz w:val="18"/>
      </w:rPr>
      <w:start w:val="1"/>
      <w:suff w:val="tab"/>
    </w:lvl>
    <w:lvl w:ilvl="8">
      <w:isLgl w:val="false"/>
      <w:lvlJc w:val="left"/>
      <w:lvlText w:val=""/>
      <w:numFmt w:val="bullet"/>
      <w:pPr>
        <w:pBdr/>
        <w:tabs>
          <w:tab w:val="left" w:leader="none" w:pos="4762"/>
        </w:tabs>
        <w:spacing/>
        <w:ind w:hanging="595" w:left="4762"/>
      </w:pPr>
      <w:rPr>
        <w:rFonts w:hint="default" w:ascii="Symbol" w:hAnsi="Symbol"/>
        <w:sz w:val="18"/>
      </w:rPr>
      <w:start w:val="1"/>
      <w:suff w:val="tab"/>
    </w:lvl>
  </w:abstractNum>
  <w:abstractNum w:abstractNumId="30">
    <w:lvl w:ilvl="0">
      <w:isLgl w:val="false"/>
      <w:lvlJc w:val="left"/>
      <w:lvlText/>
      <w:numFmt w:val="decimal"/>
      <w:pPr>
        <w:pBdr/>
        <w:tabs>
          <w:tab w:val="left" w:leader="none" w:pos="0"/>
        </w:tabs>
        <w:spacing/>
        <w:ind w:firstLine="0" w:left="0"/>
      </w:pPr>
      <w:rPr>
        <w:b/>
        <w:color w:val="7f7e82"/>
        <w:sz w:val="40"/>
      </w:rPr>
      <w:start w:val="1"/>
      <w:suff w:val="tab"/>
    </w:lvl>
    <w:lvl w:ilvl="1">
      <w:isLgl w:val="false"/>
      <w:lvlJc w:val="left"/>
      <w:lvlText/>
      <w:numFmt w:val="decimal"/>
      <w:pPr>
        <w:pBdr/>
        <w:tabs>
          <w:tab w:val="left" w:leader="none" w:pos="0"/>
        </w:tabs>
        <w:spacing/>
        <w:ind w:firstLine="0" w:left="0"/>
      </w:pPr>
      <w:rPr>
        <w:rFonts w:hint="default"/>
        <w:b/>
        <w:color w:val="000000"/>
        <w:sz w:val="28"/>
      </w:rPr>
      <w:start w:val="1"/>
      <w:suff w:val="tab"/>
    </w:lvl>
    <w:lvl w:ilvl="2">
      <w:isLgl w:val="false"/>
      <w:lvlJc w:val="left"/>
      <w:lvlRestart w:val="1"/>
      <w:lvlText/>
      <w:numFmt w:val="decimal"/>
      <w:pPr>
        <w:pBdr/>
        <w:tabs>
          <w:tab w:val="left" w:leader="none" w:pos="0"/>
        </w:tabs>
        <w:spacing/>
        <w:ind w:firstLine="0" w:left="0"/>
      </w:pPr>
      <w:rPr>
        <w:rFonts w:hint="default"/>
        <w:b/>
        <w:color w:val="000000"/>
        <w:sz w:val="24"/>
      </w:rPr>
      <w:start w:val="1"/>
      <w:suff w:val="tab"/>
    </w:lvl>
    <w:lvl w:ilvl="3">
      <w:isLgl w:val="false"/>
      <w:lvlJc w:val="left"/>
      <w:lvlRestart w:val="1"/>
      <w:lvlText/>
      <w:numFmt w:val="decimal"/>
      <w:pPr>
        <w:pBdr/>
        <w:tabs>
          <w:tab w:val="left" w:leader="none" w:pos="0"/>
        </w:tabs>
        <w:spacing/>
        <w:ind w:firstLine="0" w:left="0"/>
      </w:pPr>
      <w:rPr>
        <w:rFonts w:hint="default"/>
        <w:b/>
        <w:color w:val="000000"/>
        <w:sz w:val="20"/>
      </w:rPr>
      <w:start w:val="1"/>
      <w:suff w:val="tab"/>
    </w:lvl>
    <w:lvl w:ilvl="4">
      <w:isLgl w:val="false"/>
      <w:lvlJc w:val="left"/>
      <w:lvlRestart w:val="1"/>
      <w:lvlText/>
      <w:numFmt w:val="decimal"/>
      <w:pPr>
        <w:pBdr/>
        <w:tabs>
          <w:tab w:val="left" w:leader="none" w:pos="0"/>
        </w:tabs>
        <w:spacing/>
        <w:ind w:firstLine="0" w:left="0"/>
      </w:pPr>
      <w:pStyle w:val="1477"/>
      <w:rPr>
        <w:rFonts w:hint="default"/>
        <w:b w:val="0"/>
        <w:color w:val="000000"/>
        <w:sz w:val="20"/>
      </w:rPr>
      <w:start w:val="1"/>
      <w:suff w:val="tab"/>
    </w:lvl>
    <w:lvl w:ilvl="5">
      <w:isLgl w:val="false"/>
      <w:lvlJc w:val="left"/>
      <w:lvlText/>
      <w:numFmt w:val="none"/>
      <w:pPr>
        <w:pBdr/>
        <w:tabs>
          <w:tab w:val="left" w:leader="none" w:pos="0"/>
        </w:tabs>
        <w:spacing/>
        <w:ind w:firstLine="0" w:left="0"/>
      </w:pPr>
      <w:rPr>
        <w:rFonts w:hint="default"/>
      </w:rPr>
      <w:start w:val="1"/>
      <w:suff w:val="tab"/>
    </w:lvl>
    <w:lvl w:ilvl="6">
      <w:isLgl w:val="false"/>
      <w:lvlJc w:val="left"/>
      <w:lvlText/>
      <w:numFmt w:val="none"/>
      <w:pPr>
        <w:pBdr/>
        <w:tabs>
          <w:tab w:val="left" w:leader="none" w:pos="0"/>
        </w:tabs>
        <w:spacing/>
        <w:ind w:firstLine="0" w:left="0"/>
      </w:pPr>
      <w:rPr>
        <w:rFonts w:hint="default"/>
      </w:rPr>
      <w:start w:val="1"/>
      <w:suff w:val="tab"/>
    </w:lvl>
    <w:lvl w:ilvl="7">
      <w:isLgl w:val="false"/>
      <w:lvlJc w:val="left"/>
      <w:lvlText/>
      <w:numFmt w:val="none"/>
      <w:pPr>
        <w:pBdr/>
        <w:tabs>
          <w:tab w:val="left" w:leader="none" w:pos="0"/>
        </w:tabs>
        <w:spacing/>
        <w:ind w:firstLine="0" w:left="0"/>
      </w:pPr>
      <w:rPr>
        <w:rFonts w:hint="default"/>
      </w:rPr>
      <w:start w:val="1"/>
      <w:suff w:val="tab"/>
    </w:lvl>
    <w:lvl w:ilvl="8">
      <w:isLgl w:val="false"/>
      <w:lvlJc w:val="left"/>
      <w:lvlText/>
      <w:numFmt w:val="none"/>
      <w:pPr>
        <w:pBdr/>
        <w:tabs>
          <w:tab w:val="left" w:leader="none" w:pos="0"/>
        </w:tabs>
        <w:spacing/>
        <w:ind w:firstLine="0" w:left="0"/>
      </w:pPr>
      <w:rPr>
        <w:rFonts w:hint="default"/>
      </w:rPr>
      <w:start w:val="1"/>
      <w:suff w:val="tab"/>
    </w:lvl>
  </w:abstractNum>
  <w:abstractNum w:abstractNumId="31">
    <w:lvl w:ilvl="0">
      <w:isLgl w:val="false"/>
      <w:lvlJc w:val="left"/>
      <w:lvlText w:val="%1."/>
      <w:numFmt w:val="decimal"/>
      <w:pPr>
        <w:pBdr/>
        <w:spacing/>
        <w:ind w:hanging="360" w:left="516"/>
      </w:pPr>
      <w:rPr/>
      <w:start w:val="1"/>
      <w:suff w:val="tab"/>
    </w:lvl>
    <w:lvl w:ilvl="1">
      <w:isLgl w:val="false"/>
      <w:lvlJc w:val="left"/>
      <w:lvlText w:val="%2."/>
      <w:numFmt w:val="lowerLetter"/>
      <w:pPr>
        <w:pBdr/>
        <w:spacing/>
        <w:ind w:hanging="360" w:left="2356"/>
      </w:pPr>
      <w:rPr/>
      <w:start w:val="1"/>
      <w:suff w:val="tab"/>
    </w:lvl>
    <w:lvl w:ilvl="2">
      <w:isLgl w:val="false"/>
      <w:lvlJc w:val="right"/>
      <w:lvlText w:val="%3."/>
      <w:numFmt w:val="lowerRoman"/>
      <w:pPr>
        <w:pBdr/>
        <w:spacing/>
        <w:ind w:hanging="180" w:left="3076"/>
      </w:pPr>
      <w:rPr/>
      <w:start w:val="1"/>
      <w:suff w:val="tab"/>
    </w:lvl>
    <w:lvl w:ilvl="3">
      <w:isLgl w:val="false"/>
      <w:lvlJc w:val="left"/>
      <w:lvlText w:val="%4."/>
      <w:numFmt w:val="decimal"/>
      <w:pPr>
        <w:pBdr/>
        <w:spacing/>
        <w:ind w:hanging="360" w:left="3796"/>
      </w:pPr>
      <w:rPr/>
      <w:start w:val="1"/>
      <w:suff w:val="tab"/>
    </w:lvl>
    <w:lvl w:ilvl="4">
      <w:isLgl w:val="false"/>
      <w:lvlJc w:val="left"/>
      <w:lvlText w:val="%5."/>
      <w:numFmt w:val="lowerLetter"/>
      <w:pPr>
        <w:pBdr/>
        <w:spacing/>
        <w:ind w:hanging="360" w:left="4516"/>
      </w:pPr>
      <w:rPr/>
      <w:start w:val="1"/>
      <w:suff w:val="tab"/>
    </w:lvl>
    <w:lvl w:ilvl="5">
      <w:isLgl w:val="false"/>
      <w:lvlJc w:val="right"/>
      <w:lvlText w:val="%6."/>
      <w:numFmt w:val="lowerRoman"/>
      <w:pPr>
        <w:pBdr/>
        <w:spacing/>
        <w:ind w:hanging="180" w:left="5236"/>
      </w:pPr>
      <w:rPr/>
      <w:start w:val="1"/>
      <w:suff w:val="tab"/>
    </w:lvl>
    <w:lvl w:ilvl="6">
      <w:isLgl w:val="false"/>
      <w:lvlJc w:val="left"/>
      <w:lvlText w:val="%7."/>
      <w:numFmt w:val="decimal"/>
      <w:pPr>
        <w:pBdr/>
        <w:spacing/>
        <w:ind w:hanging="360" w:left="5956"/>
      </w:pPr>
      <w:rPr/>
      <w:start w:val="1"/>
      <w:suff w:val="tab"/>
    </w:lvl>
    <w:lvl w:ilvl="7">
      <w:isLgl w:val="false"/>
      <w:lvlJc w:val="left"/>
      <w:lvlText w:val="%8."/>
      <w:numFmt w:val="lowerLetter"/>
      <w:pPr>
        <w:pBdr/>
        <w:spacing/>
        <w:ind w:hanging="360" w:left="6676"/>
      </w:pPr>
      <w:rPr/>
      <w:start w:val="1"/>
      <w:suff w:val="tab"/>
    </w:lvl>
    <w:lvl w:ilvl="8">
      <w:isLgl w:val="false"/>
      <w:lvlJc w:val="right"/>
      <w:lvlText w:val="%9."/>
      <w:numFmt w:val="lowerRoman"/>
      <w:pPr>
        <w:pBdr/>
        <w:spacing/>
        <w:ind w:hanging="180" w:left="7396"/>
      </w:pPr>
      <w:rPr/>
      <w:start w:val="1"/>
      <w:suff w:val="tab"/>
    </w:lvl>
  </w:abstractNum>
  <w:num w:numId="1">
    <w:abstractNumId w:val="11"/>
  </w:num>
  <w:num w:numId="2">
    <w:abstractNumId w:val="18"/>
  </w:num>
  <w:num w:numId="3">
    <w:abstractNumId w:val="15"/>
  </w:num>
  <w:num w:numId="4">
    <w:abstractNumId w:val="29"/>
  </w:num>
  <w:num w:numId="5">
    <w:abstractNumId w:val="30"/>
  </w:num>
  <w:num w:numId="6">
    <w:abstractNumId w:val="13"/>
  </w:num>
  <w:num w:numId="7">
    <w:abstractNumId w:val="20"/>
  </w:num>
  <w:num w:numId="8">
    <w:abstractNumId w:val="24"/>
  </w:num>
  <w:num w:numId="9">
    <w:abstractNumId w:val="21"/>
  </w:num>
  <w:num w:numId="10">
    <w:abstractNumId w:val="17"/>
  </w:num>
  <w:num w:numId="11">
    <w:abstractNumId w:val="27"/>
  </w:num>
  <w:num w:numId="12">
    <w:abstractNumId w:val="28"/>
  </w:num>
  <w:num w:numId="13">
    <w:abstractNumId w:val="9"/>
  </w:num>
  <w:num w:numId="14">
    <w:abstractNumId w:val="26"/>
  </w:num>
  <w:num w:numId="15">
    <w:abstractNumId w:val="8"/>
  </w:num>
  <w:num w:numId="16">
    <w:abstractNumId w:val="4"/>
  </w:num>
  <w:num w:numId="17">
    <w:abstractNumId w:val="31"/>
  </w:num>
  <w:num w:numId="18">
    <w:abstractNumId w:val="2"/>
  </w:num>
  <w:num w:numId="19">
    <w:abstractNumId w:val="19"/>
  </w:num>
  <w:num w:numId="20">
    <w:abstractNumId w:val="0"/>
  </w:num>
  <w:num w:numId="21">
    <w:abstractNumId w:val="23"/>
  </w:num>
  <w:num w:numId="22">
    <w:abstractNumId w:val="22"/>
  </w:num>
  <w:num w:numId="23">
    <w:abstractNumId w:val="1"/>
  </w:num>
  <w:num w:numId="24">
    <w:abstractNumId w:val="10"/>
  </w:num>
  <w:num w:numId="25">
    <w:abstractNumId w:val="6"/>
  </w:num>
  <w:num w:numId="26">
    <w:abstractNumId w:val="16"/>
  </w:num>
  <w:num w:numId="27">
    <w:abstractNumId w:val="12"/>
  </w:num>
  <w:num w:numId="28">
    <w:abstractNumId w:val="14"/>
  </w:num>
  <w:num w:numId="29">
    <w:abstractNumId w:val="7"/>
  </w:num>
  <w:num w:numId="30">
    <w:abstractNumId w:val="3"/>
  </w:num>
  <w:num w:numId="31">
    <w:abstractNumId w:val="25"/>
  </w:num>
  <w:num w:numId="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dit="readOnly" w:formatting="1" w:enforcement="0"/>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33">
    <w:name w:val="No Spacing"/>
    <w:uiPriority w:val="1"/>
    <w:qFormat/>
    <w:pPr>
      <w:pBdr/>
      <w:spacing w:after="0" w:before="0" w:line="240" w:lineRule="auto"/>
      <w:ind/>
    </w:pPr>
  </w:style>
  <w:style w:type="paragraph" w:styleId="36">
    <w:name w:val="Subtitle"/>
    <w:basedOn w:val="1322"/>
    <w:next w:val="1322"/>
    <w:link w:val="37"/>
    <w:uiPriority w:val="11"/>
    <w:qFormat/>
    <w:pPr>
      <w:pBdr/>
      <w:spacing w:after="200" w:before="200"/>
      <w:ind/>
    </w:pPr>
    <w:rPr>
      <w:sz w:val="24"/>
      <w:szCs w:val="24"/>
    </w:rPr>
  </w:style>
  <w:style w:type="character" w:styleId="37">
    <w:name w:val="Subtitle Char"/>
    <w:basedOn w:val="1332"/>
    <w:link w:val="36"/>
    <w:uiPriority w:val="11"/>
    <w:pPr>
      <w:pBdr/>
      <w:spacing/>
      <w:ind/>
    </w:pPr>
    <w:rPr>
      <w:sz w:val="24"/>
      <w:szCs w:val="24"/>
    </w:rPr>
  </w:style>
  <w:style w:type="paragraph" w:styleId="38">
    <w:name w:val="Quote"/>
    <w:basedOn w:val="1322"/>
    <w:next w:val="1322"/>
    <w:link w:val="39"/>
    <w:uiPriority w:val="29"/>
    <w:qFormat/>
    <w:pPr>
      <w:pBdr/>
      <w:spacing/>
      <w:ind w:right="720" w:left="720"/>
    </w:pPr>
    <w:rPr>
      <w:i/>
    </w:rPr>
  </w:style>
  <w:style w:type="character" w:styleId="39">
    <w:name w:val="Quote Char"/>
    <w:link w:val="38"/>
    <w:uiPriority w:val="29"/>
    <w:pPr>
      <w:pBdr/>
      <w:spacing/>
      <w:ind/>
    </w:pPr>
    <w:rPr>
      <w:i/>
    </w:rPr>
  </w:style>
  <w:style w:type="paragraph" w:styleId="40">
    <w:name w:val="Intense Quote"/>
    <w:basedOn w:val="1322"/>
    <w:next w:val="1322"/>
    <w:link w:val="41"/>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contextualSpacing w:val="false"/>
    </w:pPr>
    <w:rPr>
      <w:i/>
    </w:rPr>
  </w:style>
  <w:style w:type="character" w:styleId="41">
    <w:name w:val="Intense Quote Char"/>
    <w:link w:val="40"/>
    <w:uiPriority w:val="30"/>
    <w:pPr>
      <w:pBdr/>
      <w:spacing/>
      <w:ind/>
    </w:pPr>
    <w:rPr>
      <w:i/>
    </w:rPr>
  </w:style>
  <w:style w:type="table" w:styleId="49">
    <w:name w:val="Table Grid Light"/>
    <w:basedOn w:val="133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Plain Table 1"/>
    <w:basedOn w:val="133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Plain Table 2"/>
    <w:basedOn w:val="1333"/>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Plain Table 3"/>
    <w:basedOn w:val="133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Plain Table 4"/>
    <w:basedOn w:val="133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Plain Table 5"/>
    <w:basedOn w:val="133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5">
    <w:name w:val="Grid Table 1 Light"/>
    <w:basedOn w:val="133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6">
    <w:name w:val="Grid Table 1 Light - Accent 1"/>
    <w:basedOn w:val="133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7">
    <w:name w:val="Grid Table 1 Light - Accent 2"/>
    <w:basedOn w:val="133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8">
    <w:name w:val="Grid Table 1 Light - Accent 3"/>
    <w:basedOn w:val="133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9">
    <w:name w:val="Grid Table 1 Light - Accent 4"/>
    <w:basedOn w:val="133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0">
    <w:name w:val="Grid Table 1 Light - Accent 5"/>
    <w:basedOn w:val="133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1 Light - Accent 6"/>
    <w:basedOn w:val="133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2"/>
    <w:basedOn w:val="133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2 - Accent 1"/>
    <w:basedOn w:val="133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afc9ff"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afc9ff"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2 - Accent 2"/>
    <w:basedOn w:val="133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edffc5"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edffc5"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2 - Accent 3"/>
    <w:basedOn w:val="133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4efff"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4efff"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2 - Accent 4"/>
    <w:basedOn w:val="133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d2eecd"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d2eecd"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2 - Accent 5"/>
    <w:basedOn w:val="133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e2f4fa"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e2f4fa"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Grid Table 2 - Accent 6"/>
    <w:basedOn w:val="133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9fec5"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9fec5"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Grid Table 3"/>
    <w:basedOn w:val="133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Grid Table 3 - Accent 1"/>
    <w:basedOn w:val="133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afc9ff"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afc9ff"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Grid Table 3 - Accent 2"/>
    <w:basedOn w:val="133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edffc5"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edffc5"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Grid Table 3 - Accent 3"/>
    <w:basedOn w:val="133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4efff"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4efff"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Grid Table 3 - Accent 4"/>
    <w:basedOn w:val="133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d2eecd"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d2eecd"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Grid Table 3 - Accent 5"/>
    <w:basedOn w:val="133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e2f4fa"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e2f4fa"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Grid Table 3 - Accent 6"/>
    <w:basedOn w:val="133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9fec5"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9fec5"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Grid Table 4"/>
    <w:basedOn w:val="133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Grid Table 4 - Accent 1"/>
    <w:basedOn w:val="133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b2ccff"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b2ccff"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003296"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Grid Table 4 - Accent 2"/>
    <w:basedOn w:val="133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edffc5"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edffc5"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c8ff4f"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Grid Table 4 - Accent 3"/>
    <w:basedOn w:val="133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4efff"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4efff"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00a2df"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Grid Table 4 - Accent 4"/>
    <w:basedOn w:val="133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d2eecd"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d2eecd"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7ace6b"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Grid Table 4 - Accent 5"/>
    <w:basedOn w:val="133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e2f4fa"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e2f4fa"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72c7e7"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Grid Table 4 - Accent 6"/>
    <w:basedOn w:val="133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9fec5"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9fec5"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dd03"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Grid Table 5 Dark"/>
    <w:basedOn w:val="13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Grid Table 5 Dark- Accent 1"/>
    <w:basedOn w:val="13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afc9ff" w:themeFill="accent1" w:themeFillTint="34"/>
    </w:tblPr>
    <w:tcPr>
      <w:tcBorders/>
    </w:tcPr>
    <w:tblStylePr w:type="band1Horz">
      <w:pPr>
        <w:pBdr/>
        <w:spacing/>
        <w:ind/>
      </w:pPr>
      <w:tblPr>
        <w:tblBorders/>
      </w:tblPr>
      <w:tcPr>
        <w:shd w:val="clear" w:color="ffffff" w:themeColor="accent1" w:themeTint="75" w:fill="4b87ff" w:themeFill="accent1" w:themeFillTint="75"/>
        <w:tcBorders/>
      </w:tcPr>
    </w:tblStylePr>
    <w:tblStylePr w:type="band1Vert">
      <w:pPr>
        <w:pBdr/>
        <w:spacing/>
        <w:ind/>
      </w:pPr>
      <w:tblPr>
        <w:tblBorders/>
      </w:tblPr>
      <w:tcPr>
        <w:shd w:val="clear" w:color="ffffff" w:themeColor="accent1" w:themeTint="75" w:fill="4b87ff"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002776" w:themeFill="accent1"/>
        <w:tcBorders/>
      </w:tcPr>
    </w:tblStylePr>
    <w:tblStylePr w:type="firstRow">
      <w:rPr>
        <w:rFonts w:ascii="Arial" w:hAnsi="Arial"/>
        <w:b/>
        <w:color w:val="ffffff"/>
        <w:sz w:val="22"/>
      </w:rPr>
      <w:pPr>
        <w:pBdr/>
        <w:spacing/>
        <w:ind/>
      </w:pPr>
      <w:tblPr>
        <w:tblBorders/>
      </w:tblPr>
      <w:tcPr>
        <w:shd w:val="clear" w:color="ffffff" w:themeColor="accent1" w:fill="002776" w:themeFill="accent1"/>
        <w:tcBorders/>
      </w:tcPr>
    </w:tblStylePr>
    <w:tblStylePr w:type="lastCol">
      <w:rPr>
        <w:rFonts w:ascii="Arial" w:hAnsi="Arial"/>
        <w:b/>
        <w:color w:val="ffffff"/>
        <w:sz w:val="22"/>
      </w:rPr>
      <w:pPr>
        <w:pBdr/>
        <w:spacing/>
        <w:ind/>
      </w:pPr>
      <w:tblPr>
        <w:tblBorders/>
      </w:tblPr>
      <w:tcPr>
        <w:shd w:val="clear" w:color="ffffff" w:themeColor="accent1" w:fill="002776" w:themeFill="accent1"/>
        <w:tcBorders/>
      </w:tcPr>
    </w:tblStylePr>
    <w:tblStylePr w:type="lastRow">
      <w:rPr>
        <w:rFonts w:ascii="Arial" w:hAnsi="Arial"/>
        <w:b/>
        <w:color w:val="ffffff"/>
        <w:sz w:val="22"/>
      </w:rPr>
      <w:pPr>
        <w:pBdr/>
        <w:spacing/>
        <w:ind/>
      </w:pPr>
      <w:tblPr>
        <w:tblBorders/>
      </w:tblPr>
      <w:tcPr>
        <w:shd w:val="clear" w:color="ffffff" w:themeColor="accent1" w:fill="002776"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Grid Table 5 Dark - Accent 2"/>
    <w:basedOn w:val="13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edffc5" w:themeFill="accent2" w:themeFillTint="32"/>
    </w:tblPr>
    <w:tcPr>
      <w:tcBorders/>
    </w:tcPr>
    <w:tblStylePr w:type="band1Horz">
      <w:pPr>
        <w:pBdr/>
        <w:spacing/>
        <w:ind/>
      </w:pPr>
      <w:tblPr>
        <w:tblBorders/>
      </w:tblPr>
      <w:tcPr>
        <w:shd w:val="clear" w:color="ffffff" w:themeColor="accent2" w:themeTint="75" w:fill="d4ff76" w:themeFill="accent2" w:themeFillTint="75"/>
        <w:tcBorders/>
      </w:tcPr>
    </w:tblStylePr>
    <w:tblStylePr w:type="band1Vert">
      <w:pPr>
        <w:pBdr/>
        <w:spacing/>
        <w:ind/>
      </w:pPr>
      <w:tblPr>
        <w:tblBorders/>
      </w:tblPr>
      <w:tcPr>
        <w:shd w:val="clear" w:color="ffffff" w:themeColor="accent2" w:themeTint="75" w:fill="d4ff76"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92d400" w:themeFill="accent2"/>
        <w:tcBorders/>
      </w:tcPr>
    </w:tblStylePr>
    <w:tblStylePr w:type="firstRow">
      <w:rPr>
        <w:rFonts w:ascii="Arial" w:hAnsi="Arial"/>
        <w:b/>
        <w:color w:val="ffffff"/>
        <w:sz w:val="22"/>
      </w:rPr>
      <w:pPr>
        <w:pBdr/>
        <w:spacing/>
        <w:ind/>
      </w:pPr>
      <w:tblPr>
        <w:tblBorders/>
      </w:tblPr>
      <w:tcPr>
        <w:shd w:val="clear" w:color="ffffff" w:themeColor="accent2" w:fill="92d400" w:themeFill="accent2"/>
        <w:tcBorders/>
      </w:tcPr>
    </w:tblStylePr>
    <w:tblStylePr w:type="lastCol">
      <w:rPr>
        <w:rFonts w:ascii="Arial" w:hAnsi="Arial"/>
        <w:b/>
        <w:color w:val="ffffff"/>
        <w:sz w:val="22"/>
      </w:rPr>
      <w:pPr>
        <w:pBdr/>
        <w:spacing/>
        <w:ind/>
      </w:pPr>
      <w:tblPr>
        <w:tblBorders/>
      </w:tblPr>
      <w:tcPr>
        <w:shd w:val="clear" w:color="ffffff" w:themeColor="accent2" w:fill="92d400" w:themeFill="accent2"/>
        <w:tcBorders/>
      </w:tcPr>
    </w:tblStylePr>
    <w:tblStylePr w:type="lastRow">
      <w:rPr>
        <w:rFonts w:ascii="Arial" w:hAnsi="Arial"/>
        <w:b/>
        <w:color w:val="ffffff"/>
        <w:sz w:val="22"/>
      </w:rPr>
      <w:pPr>
        <w:pBdr/>
        <w:spacing/>
        <w:ind/>
      </w:pPr>
      <w:tblPr>
        <w:tblBorders/>
      </w:tblPr>
      <w:tcPr>
        <w:shd w:val="clear" w:color="ffffff" w:themeColor="accent2" w:fill="92d400"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Grid Table 5 Dark - Accent 3"/>
    <w:basedOn w:val="13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4efff" w:themeFill="accent3" w:themeFillTint="34"/>
    </w:tblPr>
    <w:tcPr>
      <w:tcBorders/>
    </w:tcPr>
    <w:tblStylePr w:type="band1Horz">
      <w:pPr>
        <w:pBdr/>
        <w:spacing/>
        <w:ind/>
      </w:pPr>
      <w:tblPr>
        <w:tblBorders/>
      </w:tblPr>
      <w:tcPr>
        <w:shd w:val="clear" w:color="ffffff" w:themeColor="accent3" w:themeTint="75" w:fill="7bdbff" w:themeFill="accent3" w:themeFillTint="75"/>
        <w:tcBorders/>
      </w:tcPr>
    </w:tblStylePr>
    <w:tblStylePr w:type="band1Vert">
      <w:pPr>
        <w:pBdr/>
        <w:spacing/>
        <w:ind/>
      </w:pPr>
      <w:tblPr>
        <w:tblBorders/>
      </w:tblPr>
      <w:tcPr>
        <w:shd w:val="clear" w:color="ffffff" w:themeColor="accent3" w:themeTint="75" w:fill="7bdbff"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00a1de" w:themeFill="accent3"/>
        <w:tcBorders/>
      </w:tcPr>
    </w:tblStylePr>
    <w:tblStylePr w:type="firstRow">
      <w:rPr>
        <w:rFonts w:ascii="Arial" w:hAnsi="Arial"/>
        <w:b/>
        <w:color w:val="ffffff"/>
        <w:sz w:val="22"/>
      </w:rPr>
      <w:pPr>
        <w:pBdr/>
        <w:spacing/>
        <w:ind/>
      </w:pPr>
      <w:tblPr>
        <w:tblBorders/>
      </w:tblPr>
      <w:tcPr>
        <w:shd w:val="clear" w:color="ffffff" w:themeColor="accent3" w:fill="00a1de" w:themeFill="accent3"/>
        <w:tcBorders/>
      </w:tcPr>
    </w:tblStylePr>
    <w:tblStylePr w:type="lastCol">
      <w:rPr>
        <w:rFonts w:ascii="Arial" w:hAnsi="Arial"/>
        <w:b/>
        <w:color w:val="ffffff"/>
        <w:sz w:val="22"/>
      </w:rPr>
      <w:pPr>
        <w:pBdr/>
        <w:spacing/>
        <w:ind/>
      </w:pPr>
      <w:tblPr>
        <w:tblBorders/>
      </w:tblPr>
      <w:tcPr>
        <w:shd w:val="clear" w:color="ffffff" w:themeColor="accent3" w:fill="00a1de" w:themeFill="accent3"/>
        <w:tcBorders/>
      </w:tcPr>
    </w:tblStylePr>
    <w:tblStylePr w:type="lastRow">
      <w:rPr>
        <w:rFonts w:ascii="Arial" w:hAnsi="Arial"/>
        <w:b/>
        <w:color w:val="ffffff"/>
        <w:sz w:val="22"/>
      </w:rPr>
      <w:pPr>
        <w:pBdr/>
        <w:spacing/>
        <w:ind/>
      </w:pPr>
      <w:tblPr>
        <w:tblBorders/>
      </w:tblPr>
      <w:tcPr>
        <w:shd w:val="clear" w:color="ffffff" w:themeColor="accent3" w:fill="00a1de"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Grid Table 5 Dark- Accent 4"/>
    <w:basedOn w:val="13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d2eecd" w:themeFill="accent4" w:themeFillTint="34"/>
    </w:tblPr>
    <w:tcPr>
      <w:tcBorders/>
    </w:tcPr>
    <w:tblStylePr w:type="band1Horz">
      <w:pPr>
        <w:pBdr/>
        <w:spacing/>
        <w:ind/>
      </w:pPr>
      <w:tblPr>
        <w:tblBorders/>
      </w:tblPr>
      <w:tcPr>
        <w:shd w:val="clear" w:color="ffffff" w:themeColor="accent4" w:themeTint="75" w:fill="9ada8f" w:themeFill="accent4" w:themeFillTint="75"/>
        <w:tcBorders/>
      </w:tcPr>
    </w:tblStylePr>
    <w:tblStylePr w:type="band1Vert">
      <w:pPr>
        <w:pBdr/>
        <w:spacing/>
        <w:ind/>
      </w:pPr>
      <w:tblPr>
        <w:tblBorders/>
      </w:tblPr>
      <w:tcPr>
        <w:shd w:val="clear" w:color="ffffff" w:themeColor="accent4" w:themeTint="75" w:fill="9ada8f"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3c8a2e" w:themeFill="accent4"/>
        <w:tcBorders/>
      </w:tcPr>
    </w:tblStylePr>
    <w:tblStylePr w:type="firstRow">
      <w:rPr>
        <w:rFonts w:ascii="Arial" w:hAnsi="Arial"/>
        <w:b/>
        <w:color w:val="ffffff"/>
        <w:sz w:val="22"/>
      </w:rPr>
      <w:pPr>
        <w:pBdr/>
        <w:spacing/>
        <w:ind/>
      </w:pPr>
      <w:tblPr>
        <w:tblBorders/>
      </w:tblPr>
      <w:tcPr>
        <w:shd w:val="clear" w:color="ffffff" w:themeColor="accent4" w:fill="3c8a2e" w:themeFill="accent4"/>
        <w:tcBorders/>
      </w:tcPr>
    </w:tblStylePr>
    <w:tblStylePr w:type="lastCol">
      <w:rPr>
        <w:rFonts w:ascii="Arial" w:hAnsi="Arial"/>
        <w:b/>
        <w:color w:val="ffffff"/>
        <w:sz w:val="22"/>
      </w:rPr>
      <w:pPr>
        <w:pBdr/>
        <w:spacing/>
        <w:ind/>
      </w:pPr>
      <w:tblPr>
        <w:tblBorders/>
      </w:tblPr>
      <w:tcPr>
        <w:shd w:val="clear" w:color="ffffff" w:themeColor="accent4" w:fill="3c8a2e" w:themeFill="accent4"/>
        <w:tcBorders/>
      </w:tcPr>
    </w:tblStylePr>
    <w:tblStylePr w:type="lastRow">
      <w:rPr>
        <w:rFonts w:ascii="Arial" w:hAnsi="Arial"/>
        <w:b/>
        <w:color w:val="ffffff"/>
        <w:sz w:val="22"/>
      </w:rPr>
      <w:pPr>
        <w:pBdr/>
        <w:spacing/>
        <w:ind/>
      </w:pPr>
      <w:tblPr>
        <w:tblBorders/>
      </w:tblPr>
      <w:tcPr>
        <w:shd w:val="clear" w:color="ffffff" w:themeColor="accent4" w:fill="3c8a2e"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Grid Table 5 Dark - Accent 5"/>
    <w:basedOn w:val="13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e2f4fa" w:themeFill="accent5" w:themeFillTint="34"/>
    </w:tblPr>
    <w:tcPr>
      <w:tcBorders/>
    </w:tcPr>
    <w:tblStylePr w:type="band1Horz">
      <w:pPr>
        <w:pBdr/>
        <w:spacing/>
        <w:ind/>
      </w:pPr>
      <w:tblPr>
        <w:tblBorders/>
      </w:tblPr>
      <w:tcPr>
        <w:shd w:val="clear" w:color="ffffff" w:themeColor="accent5" w:themeTint="75" w:fill="bee5f4" w:themeFill="accent5" w:themeFillTint="75"/>
        <w:tcBorders/>
      </w:tcPr>
    </w:tblStylePr>
    <w:tblStylePr w:type="band1Vert">
      <w:pPr>
        <w:pBdr/>
        <w:spacing/>
        <w:ind/>
      </w:pPr>
      <w:tblPr>
        <w:tblBorders/>
      </w:tblPr>
      <w:tcPr>
        <w:shd w:val="clear" w:color="ffffff" w:themeColor="accent5" w:themeTint="75" w:fill="bee5f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72c7e7" w:themeFill="accent5"/>
        <w:tcBorders/>
      </w:tcPr>
    </w:tblStylePr>
    <w:tblStylePr w:type="firstRow">
      <w:rPr>
        <w:rFonts w:ascii="Arial" w:hAnsi="Arial"/>
        <w:b/>
        <w:color w:val="ffffff"/>
        <w:sz w:val="22"/>
      </w:rPr>
      <w:pPr>
        <w:pBdr/>
        <w:spacing/>
        <w:ind/>
      </w:pPr>
      <w:tblPr>
        <w:tblBorders/>
      </w:tblPr>
      <w:tcPr>
        <w:shd w:val="clear" w:color="ffffff" w:themeColor="accent5" w:fill="72c7e7" w:themeFill="accent5"/>
        <w:tcBorders/>
      </w:tcPr>
    </w:tblStylePr>
    <w:tblStylePr w:type="lastCol">
      <w:rPr>
        <w:rFonts w:ascii="Arial" w:hAnsi="Arial"/>
        <w:b/>
        <w:color w:val="ffffff"/>
        <w:sz w:val="22"/>
      </w:rPr>
      <w:pPr>
        <w:pBdr/>
        <w:spacing/>
        <w:ind/>
      </w:pPr>
      <w:tblPr>
        <w:tblBorders/>
      </w:tblPr>
      <w:tcPr>
        <w:shd w:val="clear" w:color="ffffff" w:themeColor="accent5" w:fill="72c7e7" w:themeFill="accent5"/>
        <w:tcBorders/>
      </w:tcPr>
    </w:tblStylePr>
    <w:tblStylePr w:type="lastRow">
      <w:rPr>
        <w:rFonts w:ascii="Arial" w:hAnsi="Arial"/>
        <w:b/>
        <w:color w:val="ffffff"/>
        <w:sz w:val="22"/>
      </w:rPr>
      <w:pPr>
        <w:pBdr/>
        <w:spacing/>
        <w:ind/>
      </w:pPr>
      <w:tblPr>
        <w:tblBorders/>
      </w:tblPr>
      <w:tcPr>
        <w:shd w:val="clear" w:color="ffffff" w:themeColor="accent5" w:fill="72c7e7"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Grid Table 5 Dark - Accent 6"/>
    <w:basedOn w:val="13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9fec5" w:themeFill="accent6" w:themeFillTint="34"/>
    </w:tblPr>
    <w:tcPr>
      <w:tcBorders/>
    </w:tcPr>
    <w:tblStylePr w:type="band1Horz">
      <w:pPr>
        <w:pBdr/>
        <w:spacing/>
        <w:ind/>
      </w:pPr>
      <w:tblPr>
        <w:tblBorders/>
      </w:tblPr>
      <w:tcPr>
        <w:shd w:val="clear" w:color="ffffff" w:themeColor="accent6" w:themeTint="75" w:fill="f2fd7e" w:themeFill="accent6" w:themeFillTint="75"/>
        <w:tcBorders/>
      </w:tcPr>
    </w:tblStylePr>
    <w:tblStylePr w:type="band1Vert">
      <w:pPr>
        <w:pBdr/>
        <w:spacing/>
        <w:ind/>
      </w:pPr>
      <w:tblPr>
        <w:tblBorders/>
      </w:tblPr>
      <w:tcPr>
        <w:shd w:val="clear" w:color="ffffff" w:themeColor="accent6" w:themeTint="75" w:fill="f2fd7e"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c9dd03" w:themeFill="accent6"/>
        <w:tcBorders/>
      </w:tcPr>
    </w:tblStylePr>
    <w:tblStylePr w:type="firstRow">
      <w:rPr>
        <w:rFonts w:ascii="Arial" w:hAnsi="Arial"/>
        <w:b/>
        <w:color w:val="ffffff"/>
        <w:sz w:val="22"/>
      </w:rPr>
      <w:pPr>
        <w:pBdr/>
        <w:spacing/>
        <w:ind/>
      </w:pPr>
      <w:tblPr>
        <w:tblBorders/>
      </w:tblPr>
      <w:tcPr>
        <w:shd w:val="clear" w:color="ffffff" w:themeColor="accent6" w:fill="c9dd03" w:themeFill="accent6"/>
        <w:tcBorders/>
      </w:tcPr>
    </w:tblStylePr>
    <w:tblStylePr w:type="lastCol">
      <w:rPr>
        <w:rFonts w:ascii="Arial" w:hAnsi="Arial"/>
        <w:b/>
        <w:color w:val="ffffff"/>
        <w:sz w:val="22"/>
      </w:rPr>
      <w:pPr>
        <w:pBdr/>
        <w:spacing/>
        <w:ind/>
      </w:pPr>
      <w:tblPr>
        <w:tblBorders/>
      </w:tblPr>
      <w:tcPr>
        <w:shd w:val="clear" w:color="ffffff" w:themeColor="accent6" w:fill="c9dd03" w:themeFill="accent6"/>
        <w:tcBorders/>
      </w:tcPr>
    </w:tblStylePr>
    <w:tblStylePr w:type="lastRow">
      <w:rPr>
        <w:rFonts w:ascii="Arial" w:hAnsi="Arial"/>
        <w:b/>
        <w:color w:val="ffffff"/>
        <w:sz w:val="22"/>
      </w:rPr>
      <w:pPr>
        <w:pBdr/>
        <w:spacing/>
        <w:ind/>
      </w:pPr>
      <w:tblPr>
        <w:tblBorders/>
      </w:tblPr>
      <w:tcPr>
        <w:shd w:val="clear" w:color="ffffff" w:themeColor="accent6" w:fill="c9dd03"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Grid Table 6 Colorful"/>
    <w:basedOn w:val="133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1">
    <w:name w:val="Grid Table 6 Colorful - Accent 1"/>
    <w:basedOn w:val="133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afc9ff" w:themeFill="accent1" w:themeFillTint="34"/>
        <w:tcBorders/>
      </w:tcPr>
    </w:tblStylePr>
    <w:tblStylePr w:type="band1Vert">
      <w:pPr>
        <w:pBdr/>
        <w:spacing/>
        <w:ind/>
      </w:pPr>
      <w:tblPr>
        <w:tblBorders/>
      </w:tblPr>
      <w:tcPr>
        <w:shd w:val="clear" w:color="ffffff" w:themeColor="accent1" w:themeTint="34" w:fill="afc9ff"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03cb7" w:themeColor="accent1" w:themeTint="80" w:themeShade="95"/>
      </w:rPr>
      <w:pPr>
        <w:pBdr/>
        <w:spacing/>
        <w:ind/>
      </w:pPr>
      <w:tblPr>
        <w:tblBorders/>
      </w:tblPr>
      <w:tcPr>
        <w:tcBorders/>
      </w:tcPr>
    </w:tblStylePr>
    <w:tblStylePr w:type="firstRow">
      <w:rPr>
        <w:b/>
        <w:color w:val="003cb7" w:themeColor="accent1" w:themeTint="80" w:themeShade="95"/>
      </w:rPr>
      <w:pPr>
        <w:pBdr/>
        <w:spacing/>
        <w:ind/>
      </w:pPr>
      <w:tblPr>
        <w:tblBorders/>
      </w:tblPr>
      <w:tcPr>
        <w:tcBorders>
          <w:bottom w:val="single" w:color="000000" w:themeColor="accent1" w:themeTint="80" w:sz="12" w:space="0"/>
        </w:tcBorders>
      </w:tcPr>
    </w:tblStylePr>
    <w:tblStylePr w:type="lastCol">
      <w:rPr>
        <w:b/>
        <w:color w:val="003cb7" w:themeColor="accent1" w:themeTint="80" w:themeShade="95"/>
      </w:rPr>
      <w:pPr>
        <w:pBdr/>
        <w:spacing/>
        <w:ind/>
      </w:pPr>
      <w:tblPr>
        <w:tblBorders/>
      </w:tblPr>
      <w:tcPr>
        <w:tcBorders/>
      </w:tcPr>
    </w:tblStylePr>
    <w:tblStylePr w:type="lastRow">
      <w:rPr>
        <w:b/>
        <w:color w:val="003cb7"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2">
    <w:name w:val="Grid Table 6 Colorful - Accent 2"/>
    <w:basedOn w:val="133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edffc5" w:themeFill="accent2" w:themeFillTint="32"/>
        <w:tcBorders/>
      </w:tcPr>
    </w:tblStylePr>
    <w:tblStylePr w:type="band1Vert">
      <w:pPr>
        <w:pBdr/>
        <w:spacing/>
        <w:ind/>
      </w:pPr>
      <w:tblPr>
        <w:tblBorders/>
      </w:tblPr>
      <w:tcPr>
        <w:shd w:val="clear" w:color="ffffff" w:themeColor="accent2" w:themeTint="32" w:fill="edffc5"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6c300" w:themeColor="accent2" w:themeTint="97" w:themeShade="95"/>
      </w:rPr>
      <w:pPr>
        <w:pBdr/>
        <w:spacing/>
        <w:ind/>
      </w:pPr>
      <w:tblPr>
        <w:tblBorders/>
      </w:tblPr>
      <w:tcPr>
        <w:tcBorders/>
      </w:tcPr>
    </w:tblStylePr>
    <w:tblStylePr w:type="firstRow">
      <w:rPr>
        <w:b/>
        <w:color w:val="86c300" w:themeColor="accent2" w:themeTint="97" w:themeShade="95"/>
      </w:rPr>
      <w:pPr>
        <w:pBdr/>
        <w:spacing/>
        <w:ind/>
      </w:pPr>
      <w:tblPr>
        <w:tblBorders/>
      </w:tblPr>
      <w:tcPr>
        <w:tcBorders>
          <w:bottom w:val="single" w:color="000000" w:themeColor="accent2" w:themeTint="97" w:sz="12" w:space="0"/>
        </w:tcBorders>
      </w:tcPr>
    </w:tblStylePr>
    <w:tblStylePr w:type="lastCol">
      <w:rPr>
        <w:b/>
        <w:color w:val="86c300" w:themeColor="accent2" w:themeTint="97" w:themeShade="95"/>
      </w:rPr>
      <w:pPr>
        <w:pBdr/>
        <w:spacing/>
        <w:ind/>
      </w:pPr>
      <w:tblPr>
        <w:tblBorders/>
      </w:tblPr>
      <w:tcPr>
        <w:tcBorders/>
      </w:tcPr>
    </w:tblStylePr>
    <w:tblStylePr w:type="lastRow">
      <w:rPr>
        <w:b/>
        <w:color w:val="86c300"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3">
    <w:name w:val="Grid Table 6 Colorful - Accent 3"/>
    <w:basedOn w:val="133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4efff" w:themeFill="accent3" w:themeFillTint="34"/>
        <w:tcBorders/>
      </w:tcPr>
    </w:tblStylePr>
    <w:tblStylePr w:type="band1Vert">
      <w:pPr>
        <w:pBdr/>
        <w:spacing/>
        <w:ind/>
      </w:pPr>
      <w:tblPr>
        <w:tblBorders/>
      </w:tblPr>
      <w:tcPr>
        <w:shd w:val="clear" w:color="ffffff" w:themeColor="accent3" w:themeTint="34" w:fill="c4efff"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05f82" w:themeColor="accent3" w:themeTint="FE" w:themeShade="95"/>
      </w:rPr>
      <w:pPr>
        <w:pBdr/>
        <w:spacing/>
        <w:ind/>
      </w:pPr>
      <w:tblPr>
        <w:tblBorders/>
      </w:tblPr>
      <w:tcPr>
        <w:tcBorders/>
      </w:tcPr>
    </w:tblStylePr>
    <w:tblStylePr w:type="firstRow">
      <w:rPr>
        <w:b/>
        <w:color w:val="005f82" w:themeColor="accent3" w:themeTint="FE" w:themeShade="95"/>
      </w:rPr>
      <w:pPr>
        <w:pBdr/>
        <w:spacing/>
        <w:ind/>
      </w:pPr>
      <w:tblPr>
        <w:tblBorders/>
      </w:tblPr>
      <w:tcPr>
        <w:tcBorders>
          <w:bottom w:val="single" w:color="000000" w:themeColor="accent3" w:themeTint="FE" w:sz="12" w:space="0"/>
        </w:tcBorders>
      </w:tcPr>
    </w:tblStylePr>
    <w:tblStylePr w:type="lastCol">
      <w:rPr>
        <w:b/>
        <w:color w:val="005f82" w:themeColor="accent3" w:themeTint="FE" w:themeShade="95"/>
      </w:rPr>
      <w:pPr>
        <w:pBdr/>
        <w:spacing/>
        <w:ind/>
      </w:pPr>
      <w:tblPr>
        <w:tblBorders/>
      </w:tblPr>
      <w:tcPr>
        <w:tcBorders/>
      </w:tcPr>
    </w:tblStylePr>
    <w:tblStylePr w:type="lastRow">
      <w:rPr>
        <w:b/>
        <w:color w:val="005f82"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4">
    <w:name w:val="Grid Table 6 Colorful - Accent 4"/>
    <w:basedOn w:val="133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d2eecd" w:themeFill="accent4" w:themeFillTint="34"/>
        <w:tcBorders/>
      </w:tcPr>
    </w:tblStylePr>
    <w:tblStylePr w:type="band1Vert">
      <w:pPr>
        <w:pBdr/>
        <w:spacing/>
        <w:ind/>
      </w:pPr>
      <w:tblPr>
        <w:tblBorders/>
      </w:tblPr>
      <w:tcPr>
        <w:shd w:val="clear" w:color="ffffff" w:themeColor="accent4" w:themeTint="34" w:fill="d2eecd"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b892d" w:themeColor="accent4" w:themeTint="9A" w:themeShade="95"/>
      </w:rPr>
      <w:pPr>
        <w:pBdr/>
        <w:spacing/>
        <w:ind/>
      </w:pPr>
      <w:tblPr>
        <w:tblBorders/>
      </w:tblPr>
      <w:tcPr>
        <w:tcBorders/>
      </w:tcPr>
    </w:tblStylePr>
    <w:tblStylePr w:type="firstRow">
      <w:rPr>
        <w:b/>
        <w:color w:val="3b892d" w:themeColor="accent4" w:themeTint="9A" w:themeShade="95"/>
      </w:rPr>
      <w:pPr>
        <w:pBdr/>
        <w:spacing/>
        <w:ind/>
      </w:pPr>
      <w:tblPr>
        <w:tblBorders/>
      </w:tblPr>
      <w:tcPr>
        <w:tcBorders>
          <w:bottom w:val="single" w:color="000000" w:themeColor="accent4" w:themeTint="9A" w:sz="12" w:space="0"/>
        </w:tcBorders>
      </w:tcPr>
    </w:tblStylePr>
    <w:tblStylePr w:type="lastCol">
      <w:rPr>
        <w:b/>
        <w:color w:val="3b892d" w:themeColor="accent4" w:themeTint="9A" w:themeShade="95"/>
      </w:rPr>
      <w:pPr>
        <w:pBdr/>
        <w:spacing/>
        <w:ind/>
      </w:pPr>
      <w:tblPr>
        <w:tblBorders/>
      </w:tblPr>
      <w:tcPr>
        <w:tcBorders/>
      </w:tcPr>
    </w:tblStylePr>
    <w:tblStylePr w:type="lastRow">
      <w:rPr>
        <w:b/>
        <w:color w:val="3b892d"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5">
    <w:name w:val="Grid Table 6 Colorful - Accent 5"/>
    <w:basedOn w:val="133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e2f4fa" w:themeFill="accent5" w:themeFillTint="34"/>
        <w:tcBorders/>
      </w:tcPr>
    </w:tblStylePr>
    <w:tblStylePr w:type="band1Vert">
      <w:pPr>
        <w:pBdr/>
        <w:spacing/>
        <w:ind/>
      </w:pPr>
      <w:tblPr>
        <w:tblBorders/>
      </w:tblPr>
      <w:tcPr>
        <w:shd w:val="clear" w:color="ffffff" w:themeColor="accent5" w:themeTint="34" w:fill="e2f4fa"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d85ac" w:themeColor="accent5" w:themeShade="95"/>
      </w:rPr>
      <w:pPr>
        <w:pBdr/>
        <w:spacing/>
        <w:ind/>
      </w:pPr>
      <w:tblPr>
        <w:tblBorders/>
      </w:tblPr>
      <w:tcPr>
        <w:tcBorders/>
      </w:tcPr>
    </w:tblStylePr>
    <w:tblStylePr w:type="firstRow">
      <w:rPr>
        <w:b/>
        <w:color w:val="1d85ac" w:themeColor="accent5" w:themeShade="95"/>
      </w:rPr>
      <w:pPr>
        <w:pBdr/>
        <w:spacing/>
        <w:ind/>
      </w:pPr>
      <w:tblPr>
        <w:tblBorders/>
      </w:tblPr>
      <w:tcPr>
        <w:tcBorders>
          <w:bottom w:val="single" w:color="000000" w:themeColor="accent5" w:sz="12" w:space="0"/>
        </w:tcBorders>
      </w:tcPr>
    </w:tblStylePr>
    <w:tblStylePr w:type="lastCol">
      <w:rPr>
        <w:b/>
        <w:color w:val="1d85ac" w:themeColor="accent5" w:themeShade="95"/>
      </w:rPr>
      <w:pPr>
        <w:pBdr/>
        <w:spacing/>
        <w:ind/>
      </w:pPr>
      <w:tblPr>
        <w:tblBorders/>
      </w:tblPr>
      <w:tcPr>
        <w:tcBorders/>
      </w:tcPr>
    </w:tblStylePr>
    <w:tblStylePr w:type="lastRow">
      <w:rPr>
        <w:b/>
        <w:color w:val="1d85ac"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6">
    <w:name w:val="Grid Table 6 Colorful - Accent 6"/>
    <w:basedOn w:val="133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9fec5" w:themeFill="accent6" w:themeFillTint="34"/>
        <w:tcBorders/>
      </w:tcPr>
    </w:tblStylePr>
    <w:tblStylePr w:type="band1Vert">
      <w:pPr>
        <w:pBdr/>
        <w:spacing/>
        <w:ind/>
      </w:pPr>
      <w:tblPr>
        <w:tblBorders/>
      </w:tblPr>
      <w:tcPr>
        <w:shd w:val="clear" w:color="ffffff" w:themeColor="accent6" w:themeTint="34" w:fill="f9fec5"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d85ac" w:themeColor="accent5" w:themeShade="95"/>
      </w:rPr>
      <w:pPr>
        <w:pBdr/>
        <w:spacing/>
        <w:ind/>
      </w:pPr>
      <w:tblPr>
        <w:tblBorders/>
      </w:tblPr>
      <w:tcPr>
        <w:tcBorders/>
      </w:tcPr>
    </w:tblStylePr>
    <w:tblStylePr w:type="firstRow">
      <w:rPr>
        <w:b/>
        <w:color w:val="1d85ac" w:themeColor="accent5" w:themeShade="95"/>
      </w:rPr>
      <w:pPr>
        <w:pBdr/>
        <w:spacing/>
        <w:ind/>
      </w:pPr>
      <w:tblPr>
        <w:tblBorders/>
      </w:tblPr>
      <w:tcPr>
        <w:tcBorders>
          <w:bottom w:val="single" w:color="000000" w:themeColor="accent6" w:sz="12" w:space="0"/>
        </w:tcBorders>
      </w:tcPr>
    </w:tblStylePr>
    <w:tblStylePr w:type="lastCol">
      <w:rPr>
        <w:b/>
        <w:color w:val="1d85ac" w:themeColor="accent5" w:themeShade="95"/>
      </w:rPr>
      <w:pPr>
        <w:pBdr/>
        <w:spacing/>
        <w:ind/>
      </w:pPr>
      <w:tblPr>
        <w:tblBorders/>
      </w:tblPr>
      <w:tcPr>
        <w:tcBorders/>
      </w:tcPr>
    </w:tblStylePr>
    <w:tblStylePr w:type="lastRow">
      <w:rPr>
        <w:b/>
        <w:color w:val="1d85ac"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7">
    <w:name w:val="Grid Table 7 Colorful"/>
    <w:basedOn w:val="133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
    <w:name w:val="Grid Table 7 Colorful - Accent 1"/>
    <w:basedOn w:val="133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003cb7" w:themeColor="accent1" w:themeTint="80" w:themeShade="95"/>
        <w:sz w:val="22"/>
      </w:rPr>
      <w:pPr>
        <w:pBdr/>
        <w:spacing/>
        <w:ind/>
      </w:pPr>
      <w:tblPr>
        <w:tblBorders/>
      </w:tblPr>
      <w:tcPr>
        <w:shd w:val="clear" w:color="ffffff" w:themeColor="accent1" w:themeTint="34" w:fill="afc9ff" w:themeFill="accent1" w:themeFillTint="34"/>
        <w:tcBorders/>
      </w:tcPr>
    </w:tblStylePr>
    <w:tblStylePr w:type="band1Vert">
      <w:pPr>
        <w:pBdr/>
        <w:spacing/>
        <w:ind/>
      </w:pPr>
      <w:tblPr>
        <w:tblBorders/>
      </w:tblPr>
      <w:tcPr>
        <w:shd w:val="clear" w:color="ffffff" w:themeColor="accent1" w:themeTint="34" w:fill="afc9ff" w:themeFill="accent1" w:themeFillTint="34"/>
        <w:tcBorders/>
      </w:tcPr>
    </w:tblStylePr>
    <w:tblStylePr w:type="band2Horz">
      <w:rPr>
        <w:rFonts w:ascii="Arial" w:hAnsi="Arial"/>
        <w:color w:val="003cb7"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03cb7"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003cb7"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003cb7"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003cb7"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
    <w:name w:val="Grid Table 7 Colorful - Accent 2"/>
    <w:basedOn w:val="133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86c300" w:themeColor="accent2" w:themeTint="97" w:themeShade="95"/>
        <w:sz w:val="22"/>
      </w:rPr>
      <w:pPr>
        <w:pBdr/>
        <w:spacing/>
        <w:ind/>
      </w:pPr>
      <w:tblPr>
        <w:tblBorders/>
      </w:tblPr>
      <w:tcPr>
        <w:shd w:val="clear" w:color="ffffff" w:themeColor="accent2" w:themeTint="32" w:fill="edffc5" w:themeFill="accent2" w:themeFillTint="32"/>
        <w:tcBorders/>
      </w:tcPr>
    </w:tblStylePr>
    <w:tblStylePr w:type="band1Vert">
      <w:pPr>
        <w:pBdr/>
        <w:spacing/>
        <w:ind/>
      </w:pPr>
      <w:tblPr>
        <w:tblBorders/>
      </w:tblPr>
      <w:tcPr>
        <w:shd w:val="clear" w:color="ffffff" w:themeColor="accent2" w:themeTint="32" w:fill="edffc5" w:themeFill="accent2" w:themeFillTint="32"/>
        <w:tcBorders/>
      </w:tcPr>
    </w:tblStylePr>
    <w:tblStylePr w:type="band2Horz">
      <w:rPr>
        <w:rFonts w:ascii="Arial" w:hAnsi="Arial"/>
        <w:color w:val="86c30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6c300"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86c300"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86c300"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86c30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
    <w:name w:val="Grid Table 7 Colorful - Accent 3"/>
    <w:basedOn w:val="133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05f82" w:themeColor="accent3" w:themeTint="FE" w:themeShade="95"/>
        <w:sz w:val="22"/>
      </w:rPr>
      <w:pPr>
        <w:pBdr/>
        <w:spacing/>
        <w:ind/>
      </w:pPr>
      <w:tblPr>
        <w:tblBorders/>
      </w:tblPr>
      <w:tcPr>
        <w:shd w:val="clear" w:color="ffffff" w:themeColor="accent3" w:themeTint="34" w:fill="c4efff" w:themeFill="accent3" w:themeFillTint="34"/>
        <w:tcBorders/>
      </w:tcPr>
    </w:tblStylePr>
    <w:tblStylePr w:type="band1Vert">
      <w:pPr>
        <w:pBdr/>
        <w:spacing/>
        <w:ind/>
      </w:pPr>
      <w:tblPr>
        <w:tblBorders/>
      </w:tblPr>
      <w:tcPr>
        <w:shd w:val="clear" w:color="ffffff" w:themeColor="accent3" w:themeTint="34" w:fill="c4efff" w:themeFill="accent3" w:themeFillTint="34"/>
        <w:tcBorders/>
      </w:tcPr>
    </w:tblStylePr>
    <w:tblStylePr w:type="band2Horz">
      <w:rPr>
        <w:rFonts w:ascii="Arial" w:hAnsi="Arial"/>
        <w:color w:val="005f82"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05f82"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05f82"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05f82"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05f82"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
    <w:name w:val="Grid Table 7 Colorful - Accent 4"/>
    <w:basedOn w:val="133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3b892d" w:themeColor="accent4" w:themeTint="9A" w:themeShade="95"/>
        <w:sz w:val="22"/>
      </w:rPr>
      <w:pPr>
        <w:pBdr/>
        <w:spacing/>
        <w:ind/>
      </w:pPr>
      <w:tblPr>
        <w:tblBorders/>
      </w:tblPr>
      <w:tcPr>
        <w:shd w:val="clear" w:color="ffffff" w:themeColor="accent4" w:themeTint="34" w:fill="d2eecd" w:themeFill="accent4" w:themeFillTint="34"/>
        <w:tcBorders/>
      </w:tcPr>
    </w:tblStylePr>
    <w:tblStylePr w:type="band1Vert">
      <w:pPr>
        <w:pBdr/>
        <w:spacing/>
        <w:ind/>
      </w:pPr>
      <w:tblPr>
        <w:tblBorders/>
      </w:tblPr>
      <w:tcPr>
        <w:shd w:val="clear" w:color="ffffff" w:themeColor="accent4" w:themeTint="34" w:fill="d2eecd" w:themeFill="accent4" w:themeFillTint="34"/>
        <w:tcBorders/>
      </w:tcPr>
    </w:tblStylePr>
    <w:tblStylePr w:type="band2Horz">
      <w:rPr>
        <w:rFonts w:ascii="Arial" w:hAnsi="Arial"/>
        <w:color w:val="3b892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b892d"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3b892d"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3b892d"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3b892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
    <w:name w:val="Grid Table 7 Colorful - Accent 5"/>
    <w:basedOn w:val="133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d85ac" w:themeColor="accent5" w:themeShade="95"/>
        <w:sz w:val="22"/>
      </w:rPr>
      <w:pPr>
        <w:pBdr/>
        <w:spacing/>
        <w:ind/>
      </w:pPr>
      <w:tblPr>
        <w:tblBorders/>
      </w:tblPr>
      <w:tcPr>
        <w:shd w:val="clear" w:color="ffffff" w:themeColor="accent5" w:themeTint="34" w:fill="e2f4fa" w:themeFill="accent5" w:themeFillTint="34"/>
        <w:tcBorders/>
      </w:tcPr>
    </w:tblStylePr>
    <w:tblStylePr w:type="band1Vert">
      <w:pPr>
        <w:pBdr/>
        <w:spacing/>
        <w:ind/>
      </w:pPr>
      <w:tblPr>
        <w:tblBorders/>
      </w:tblPr>
      <w:tcPr>
        <w:shd w:val="clear" w:color="ffffff" w:themeColor="accent5" w:themeTint="34" w:fill="e2f4fa" w:themeFill="accent5" w:themeFillTint="34"/>
        <w:tcBorders/>
      </w:tcPr>
    </w:tblStylePr>
    <w:tblStylePr w:type="band2Horz">
      <w:rPr>
        <w:rFonts w:ascii="Arial" w:hAnsi="Arial"/>
        <w:color w:val="1d85ac"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d85ac"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1d85ac"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1d85ac"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1d85ac"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Grid Table 7 Colorful - Accent 6"/>
    <w:basedOn w:val="133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758102" w:themeColor="accent6" w:themeShade="95"/>
        <w:sz w:val="22"/>
      </w:rPr>
      <w:pPr>
        <w:pBdr/>
        <w:spacing/>
        <w:ind/>
      </w:pPr>
      <w:tblPr>
        <w:tblBorders/>
      </w:tblPr>
      <w:tcPr>
        <w:shd w:val="clear" w:color="ffffff" w:themeColor="accent6" w:themeTint="34" w:fill="f9fec5" w:themeFill="accent6" w:themeFillTint="34"/>
        <w:tcBorders/>
      </w:tcPr>
    </w:tblStylePr>
    <w:tblStylePr w:type="band1Vert">
      <w:pPr>
        <w:pBdr/>
        <w:spacing/>
        <w:ind/>
      </w:pPr>
      <w:tblPr>
        <w:tblBorders/>
      </w:tblPr>
      <w:tcPr>
        <w:shd w:val="clear" w:color="ffffff" w:themeColor="accent6" w:themeTint="34" w:fill="f9fec5" w:themeFill="accent6" w:themeFillTint="34"/>
        <w:tcBorders/>
      </w:tcPr>
    </w:tblStylePr>
    <w:tblStylePr w:type="band2Horz">
      <w:rPr>
        <w:rFonts w:ascii="Arial" w:hAnsi="Arial"/>
        <w:color w:val="758102"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8102"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758102"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758102"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758102"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1 Light"/>
    <w:basedOn w:val="13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1 Light - Accent 1"/>
    <w:basedOn w:val="13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9dbdff" w:themeFill="accent1" w:themeFillTint="40"/>
        <w:tcBorders/>
      </w:tcPr>
    </w:tblStylePr>
    <w:tblStylePr w:type="band1Vert">
      <w:pPr>
        <w:pBdr/>
        <w:spacing/>
        <w:ind/>
      </w:pPr>
      <w:tblPr>
        <w:tblBorders/>
      </w:tblPr>
      <w:tcPr>
        <w:shd w:val="clear" w:color="ffffff" w:themeColor="accent1" w:themeTint="40" w:fill="9dbdff"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1 Light - Accent 2"/>
    <w:basedOn w:val="13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8ffb4" w:themeFill="accent2" w:themeFillTint="40"/>
        <w:tcBorders/>
      </w:tcPr>
    </w:tblStylePr>
    <w:tblStylePr w:type="band1Vert">
      <w:pPr>
        <w:pBdr/>
        <w:spacing/>
        <w:ind/>
      </w:pPr>
      <w:tblPr>
        <w:tblBorders/>
      </w:tblPr>
      <w:tcPr>
        <w:shd w:val="clear" w:color="ffffff" w:themeColor="accent2" w:themeTint="40" w:fill="e8ffb4"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1 Light - Accent 3"/>
    <w:basedOn w:val="13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7ebff" w:themeFill="accent3" w:themeFillTint="40"/>
        <w:tcBorders/>
      </w:tcPr>
    </w:tblStylePr>
    <w:tblStylePr w:type="band1Vert">
      <w:pPr>
        <w:pBdr/>
        <w:spacing/>
        <w:ind/>
      </w:pPr>
      <w:tblPr>
        <w:tblBorders/>
      </w:tblPr>
      <w:tcPr>
        <w:shd w:val="clear" w:color="ffffff" w:themeColor="accent3" w:themeTint="40" w:fill="b7ebff"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1 Light - Accent 4"/>
    <w:basedOn w:val="13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c8ebc2" w:themeFill="accent4" w:themeFillTint="40"/>
        <w:tcBorders/>
      </w:tcPr>
    </w:tblStylePr>
    <w:tblStylePr w:type="band1Vert">
      <w:pPr>
        <w:pBdr/>
        <w:spacing/>
        <w:ind/>
      </w:pPr>
      <w:tblPr>
        <w:tblBorders/>
      </w:tblPr>
      <w:tcPr>
        <w:shd w:val="clear" w:color="ffffff" w:themeColor="accent4" w:themeTint="40" w:fill="c8ebc2"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1 Light - Accent 5"/>
    <w:basedOn w:val="13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cf1f9" w:themeFill="accent5" w:themeFillTint="40"/>
        <w:tcBorders/>
      </w:tcPr>
    </w:tblStylePr>
    <w:tblStylePr w:type="band1Vert">
      <w:pPr>
        <w:pBdr/>
        <w:spacing/>
        <w:ind/>
      </w:pPr>
      <w:tblPr>
        <w:tblBorders/>
      </w:tblPr>
      <w:tcPr>
        <w:shd w:val="clear" w:color="ffffff" w:themeColor="accent5" w:themeTint="40" w:fill="dcf1f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1 Light - Accent 6"/>
    <w:basedOn w:val="13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feb8" w:themeFill="accent6" w:themeFillTint="40"/>
        <w:tcBorders/>
      </w:tcPr>
    </w:tblStylePr>
    <w:tblStylePr w:type="band1Vert">
      <w:pPr>
        <w:pBdr/>
        <w:spacing/>
        <w:ind/>
      </w:pPr>
      <w:tblPr>
        <w:tblBorders/>
      </w:tblPr>
      <w:tcPr>
        <w:shd w:val="clear" w:color="ffffff" w:themeColor="accent6" w:themeTint="40" w:fill="f8feb8"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
    <w:name w:val="List Table 2"/>
    <w:basedOn w:val="133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
    <w:name w:val="List Table 2 - Accent 1"/>
    <w:basedOn w:val="133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9dbdff"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9dbdff"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
    <w:name w:val="List Table 2 - Accent 2"/>
    <w:basedOn w:val="133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8ffb4"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8ffb4"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
    <w:name w:val="List Table 2 - Accent 3"/>
    <w:basedOn w:val="133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7ebff"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7ebff"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
    <w:name w:val="List Table 2 - Accent 4"/>
    <w:basedOn w:val="133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c8ebc2"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c8ebc2"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
    <w:name w:val="List Table 2 - Accent 5"/>
    <w:basedOn w:val="133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cf1f9"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cf1f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st Table 2 - Accent 6"/>
    <w:basedOn w:val="133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feb8"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feb8"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st Table 3"/>
    <w:basedOn w:val="133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st Table 3 - Accent 1"/>
    <w:basedOn w:val="133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002776"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st Table 3 - Accent 2"/>
    <w:basedOn w:val="133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c8ff4f"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st Table 3 - Accent 3"/>
    <w:basedOn w:val="133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53d0ff"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st Table 3 - Accent 4"/>
    <w:basedOn w:val="133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7ace6b"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st Table 3 - Accent 5"/>
    <w:basedOn w:val="133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aaddf1"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List Table 3 - Accent 6"/>
    <w:basedOn w:val="133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edfd57"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List Table 4"/>
    <w:basedOn w:val="133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List Table 4 - Accent 1"/>
    <w:basedOn w:val="133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9dbdff"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9dbdff"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002776"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List Table 4 - Accent 2"/>
    <w:basedOn w:val="133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8ffb4"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8ffb4"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92d400"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List Table 4 - Accent 3"/>
    <w:basedOn w:val="133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7ebff"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7ebff"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00a1de"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List Table 4 - Accent 4"/>
    <w:basedOn w:val="133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c8ebc2"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c8ebc2"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3c8a2e"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List Table 4 - Accent 5"/>
    <w:basedOn w:val="133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cf1f9"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cf1f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72c7e7"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List Table 4 - Accent 6"/>
    <w:basedOn w:val="133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feb8"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feb8"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dd03"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List Table 5 Dark"/>
    <w:basedOn w:val="133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3">
    <w:name w:val="List Table 5 Dark - Accent 1"/>
    <w:basedOn w:val="133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002776" w:themeFill="accent1"/>
    </w:tblPr>
    <w:tcPr>
      <w:tcBorders/>
    </w:tcPr>
    <w:tblStylePr w:type="band1Horz">
      <w:pPr>
        <w:pBdr/>
        <w:spacing/>
        <w:ind/>
      </w:pPr>
      <w:tblPr>
        <w:tblBorders/>
      </w:tblPr>
      <w:tcPr>
        <w:shd w:val="clear" w:color="ffffff" w:themeColor="accent1" w:fill="002776"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002776"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002776"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002776"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4">
    <w:name w:val="List Table 5 Dark - Accent 2"/>
    <w:basedOn w:val="133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c8ff4f" w:themeFill="accent2" w:themeFillTint="97"/>
    </w:tblPr>
    <w:tcPr>
      <w:tcBorders/>
    </w:tcPr>
    <w:tblStylePr w:type="band1Horz">
      <w:pPr>
        <w:pBdr/>
        <w:spacing/>
        <w:ind/>
      </w:pPr>
      <w:tblPr>
        <w:tblBorders/>
      </w:tblPr>
      <w:tcPr>
        <w:shd w:val="clear" w:color="ffffff" w:themeColor="accent2" w:themeTint="97" w:fill="c8ff4f"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c8ff4f"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c8ff4f"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c8ff4f"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5">
    <w:name w:val="List Table 5 Dark - Accent 3"/>
    <w:basedOn w:val="133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53d0ff" w:themeFill="accent3" w:themeFillTint="98"/>
    </w:tblPr>
    <w:tcPr>
      <w:tcBorders/>
    </w:tcPr>
    <w:tblStylePr w:type="band1Horz">
      <w:pPr>
        <w:pBdr/>
        <w:spacing/>
        <w:ind/>
      </w:pPr>
      <w:tblPr>
        <w:tblBorders/>
      </w:tblPr>
      <w:tcPr>
        <w:shd w:val="clear" w:color="ffffff" w:themeColor="accent3" w:themeTint="98" w:fill="53d0ff"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53d0ff"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53d0ff"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53d0ff"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6">
    <w:name w:val="List Table 5 Dark - Accent 4"/>
    <w:basedOn w:val="133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7ace6b" w:themeFill="accent4" w:themeFillTint="9A"/>
    </w:tblPr>
    <w:tcPr>
      <w:tcBorders/>
    </w:tcPr>
    <w:tblStylePr w:type="band1Horz">
      <w:pPr>
        <w:pBdr/>
        <w:spacing/>
        <w:ind/>
      </w:pPr>
      <w:tblPr>
        <w:tblBorders/>
      </w:tblPr>
      <w:tcPr>
        <w:shd w:val="clear" w:color="ffffff" w:themeColor="accent4" w:themeTint="9A" w:fill="7ace6b"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7ace6b"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7ace6b"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7ace6b"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7">
    <w:name w:val="List Table 5 Dark - Accent 5"/>
    <w:basedOn w:val="133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aaddf1" w:themeFill="accent5" w:themeFillTint="9A"/>
    </w:tblPr>
    <w:tcPr>
      <w:tcBorders/>
    </w:tcPr>
    <w:tblStylePr w:type="band1Horz">
      <w:pPr>
        <w:pBdr/>
        <w:spacing/>
        <w:ind/>
      </w:pPr>
      <w:tblPr>
        <w:tblBorders/>
      </w:tblPr>
      <w:tcPr>
        <w:shd w:val="clear" w:color="ffffff" w:themeColor="accent5" w:themeTint="9A" w:fill="aaddf1"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aaddf1"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aaddf1"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aaddf1"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8">
    <w:name w:val="List Table 5 Dark - Accent 6"/>
    <w:basedOn w:val="133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edfd57" w:themeFill="accent6" w:themeFillTint="98"/>
    </w:tblPr>
    <w:tcPr>
      <w:tcBorders/>
    </w:tcPr>
    <w:tblStylePr w:type="band1Horz">
      <w:pPr>
        <w:pBdr/>
        <w:spacing/>
        <w:ind/>
      </w:pPr>
      <w:tblPr>
        <w:tblBorders/>
      </w:tblPr>
      <w:tcPr>
        <w:shd w:val="clear" w:color="ffffff" w:themeColor="accent6" w:themeTint="98" w:fill="edfd57"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edfd57"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edfd57"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edfd57"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9">
    <w:name w:val="List Table 6 Colorful"/>
    <w:basedOn w:val="133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
    <w:name w:val="List Table 6 Colorful - Accent 1"/>
    <w:basedOn w:val="133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9dbdff" w:themeFill="accent1" w:themeFillTint="40"/>
        <w:tcBorders/>
      </w:tcPr>
    </w:tblStylePr>
    <w:tblStylePr w:type="band1Vert">
      <w:pPr>
        <w:pBdr/>
        <w:spacing/>
        <w:ind/>
      </w:pPr>
      <w:tblPr>
        <w:tblBorders/>
      </w:tblPr>
      <w:tcPr>
        <w:shd w:val="clear" w:color="ffffff" w:themeColor="accent1" w:themeTint="40" w:fill="9dbdff"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01745" w:themeColor="accent1" w:themeShade="95"/>
      </w:rPr>
      <w:pPr>
        <w:pBdr/>
        <w:spacing/>
        <w:ind/>
      </w:pPr>
      <w:tblPr>
        <w:tblBorders/>
      </w:tblPr>
      <w:tcPr>
        <w:tcBorders/>
      </w:tcPr>
    </w:tblStylePr>
    <w:tblStylePr w:type="firstRow">
      <w:rPr>
        <w:b/>
        <w:color w:val="001745" w:themeColor="accent1" w:themeShade="95"/>
      </w:rPr>
      <w:pPr>
        <w:pBdr/>
        <w:spacing/>
        <w:ind/>
      </w:pPr>
      <w:tblPr>
        <w:tblBorders/>
      </w:tblPr>
      <w:tcPr>
        <w:tcBorders>
          <w:bottom w:val="single" w:color="000000" w:themeColor="accent1" w:sz="4" w:space="0"/>
        </w:tcBorders>
      </w:tcPr>
    </w:tblStylePr>
    <w:tblStylePr w:type="lastCol">
      <w:rPr>
        <w:b/>
        <w:color w:val="001745" w:themeColor="accent1" w:themeShade="95"/>
      </w:rPr>
      <w:pPr>
        <w:pBdr/>
        <w:spacing/>
        <w:ind/>
      </w:pPr>
      <w:tblPr>
        <w:tblBorders/>
      </w:tblPr>
      <w:tcPr>
        <w:tcBorders/>
      </w:tcPr>
    </w:tblStylePr>
    <w:tblStylePr w:type="lastRow">
      <w:rPr>
        <w:b/>
        <w:color w:val="00174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
    <w:name w:val="List Table 6 Colorful - Accent 2"/>
    <w:basedOn w:val="133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8ffb4" w:themeFill="accent2" w:themeFillTint="40"/>
        <w:tcBorders/>
      </w:tcPr>
    </w:tblStylePr>
    <w:tblStylePr w:type="band1Vert">
      <w:pPr>
        <w:pBdr/>
        <w:spacing/>
        <w:ind/>
      </w:pPr>
      <w:tblPr>
        <w:tblBorders/>
      </w:tblPr>
      <w:tcPr>
        <w:shd w:val="clear" w:color="ffffff" w:themeColor="accent2" w:themeTint="40" w:fill="e8ffb4"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6c300" w:themeColor="accent2" w:themeTint="97" w:themeShade="95"/>
      </w:rPr>
      <w:pPr>
        <w:pBdr/>
        <w:spacing/>
        <w:ind/>
      </w:pPr>
      <w:tblPr>
        <w:tblBorders/>
      </w:tblPr>
      <w:tcPr>
        <w:tcBorders/>
      </w:tcPr>
    </w:tblStylePr>
    <w:tblStylePr w:type="firstRow">
      <w:rPr>
        <w:b/>
        <w:color w:val="86c300" w:themeColor="accent2" w:themeTint="97" w:themeShade="95"/>
      </w:rPr>
      <w:pPr>
        <w:pBdr/>
        <w:spacing/>
        <w:ind/>
      </w:pPr>
      <w:tblPr>
        <w:tblBorders/>
      </w:tblPr>
      <w:tcPr>
        <w:tcBorders>
          <w:bottom w:val="single" w:color="000000" w:themeColor="accent2" w:themeTint="97" w:sz="4" w:space="0"/>
        </w:tcBorders>
      </w:tcPr>
    </w:tblStylePr>
    <w:tblStylePr w:type="lastCol">
      <w:rPr>
        <w:b/>
        <w:color w:val="86c300" w:themeColor="accent2" w:themeTint="97" w:themeShade="95"/>
      </w:rPr>
      <w:pPr>
        <w:pBdr/>
        <w:spacing/>
        <w:ind/>
      </w:pPr>
      <w:tblPr>
        <w:tblBorders/>
      </w:tblPr>
      <w:tcPr>
        <w:tcBorders/>
      </w:tcPr>
    </w:tblStylePr>
    <w:tblStylePr w:type="lastRow">
      <w:rPr>
        <w:b/>
        <w:color w:val="86c300"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
    <w:name w:val="List Table 6 Colorful - Accent 3"/>
    <w:basedOn w:val="133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7ebff" w:themeFill="accent3" w:themeFillTint="40"/>
        <w:tcBorders/>
      </w:tcPr>
    </w:tblStylePr>
    <w:tblStylePr w:type="band1Vert">
      <w:pPr>
        <w:pBdr/>
        <w:spacing/>
        <w:ind/>
      </w:pPr>
      <w:tblPr>
        <w:tblBorders/>
      </w:tblPr>
      <w:tcPr>
        <w:shd w:val="clear" w:color="ffffff" w:themeColor="accent3" w:themeTint="40" w:fill="b7ebff"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090c5" w:themeColor="accent3" w:themeTint="98" w:themeShade="95"/>
      </w:rPr>
      <w:pPr>
        <w:pBdr/>
        <w:spacing/>
        <w:ind/>
      </w:pPr>
      <w:tblPr>
        <w:tblBorders/>
      </w:tblPr>
      <w:tcPr>
        <w:tcBorders/>
      </w:tcPr>
    </w:tblStylePr>
    <w:tblStylePr w:type="firstRow">
      <w:rPr>
        <w:b/>
        <w:color w:val="0090c5" w:themeColor="accent3" w:themeTint="98" w:themeShade="95"/>
      </w:rPr>
      <w:pPr>
        <w:pBdr/>
        <w:spacing/>
        <w:ind/>
      </w:pPr>
      <w:tblPr>
        <w:tblBorders/>
      </w:tblPr>
      <w:tcPr>
        <w:tcBorders>
          <w:bottom w:val="single" w:color="000000" w:themeColor="accent3" w:themeTint="98" w:sz="4" w:space="0"/>
        </w:tcBorders>
      </w:tcPr>
    </w:tblStylePr>
    <w:tblStylePr w:type="lastCol">
      <w:rPr>
        <w:b/>
        <w:color w:val="0090c5" w:themeColor="accent3" w:themeTint="98" w:themeShade="95"/>
      </w:rPr>
      <w:pPr>
        <w:pBdr/>
        <w:spacing/>
        <w:ind/>
      </w:pPr>
      <w:tblPr>
        <w:tblBorders/>
      </w:tblPr>
      <w:tcPr>
        <w:tcBorders/>
      </w:tcPr>
    </w:tblStylePr>
    <w:tblStylePr w:type="lastRow">
      <w:rPr>
        <w:b/>
        <w:color w:val="0090c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
    <w:name w:val="List Table 6 Colorful - Accent 4"/>
    <w:basedOn w:val="133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c8ebc2" w:themeFill="accent4" w:themeFillTint="40"/>
        <w:tcBorders/>
      </w:tcPr>
    </w:tblStylePr>
    <w:tblStylePr w:type="band1Vert">
      <w:pPr>
        <w:pBdr/>
        <w:spacing/>
        <w:ind/>
      </w:pPr>
      <w:tblPr>
        <w:tblBorders/>
      </w:tblPr>
      <w:tcPr>
        <w:shd w:val="clear" w:color="ffffff" w:themeColor="accent4" w:themeTint="40" w:fill="c8ebc2"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b892d" w:themeColor="accent4" w:themeTint="9A" w:themeShade="95"/>
      </w:rPr>
      <w:pPr>
        <w:pBdr/>
        <w:spacing/>
        <w:ind/>
      </w:pPr>
      <w:tblPr>
        <w:tblBorders/>
      </w:tblPr>
      <w:tcPr>
        <w:tcBorders/>
      </w:tcPr>
    </w:tblStylePr>
    <w:tblStylePr w:type="firstRow">
      <w:rPr>
        <w:b/>
        <w:color w:val="3b892d" w:themeColor="accent4" w:themeTint="9A" w:themeShade="95"/>
      </w:rPr>
      <w:pPr>
        <w:pBdr/>
        <w:spacing/>
        <w:ind/>
      </w:pPr>
      <w:tblPr>
        <w:tblBorders/>
      </w:tblPr>
      <w:tcPr>
        <w:tcBorders>
          <w:bottom w:val="single" w:color="000000" w:themeColor="accent4" w:themeTint="9A" w:sz="4" w:space="0"/>
        </w:tcBorders>
      </w:tcPr>
    </w:tblStylePr>
    <w:tblStylePr w:type="lastCol">
      <w:rPr>
        <w:b/>
        <w:color w:val="3b892d" w:themeColor="accent4" w:themeTint="9A" w:themeShade="95"/>
      </w:rPr>
      <w:pPr>
        <w:pBdr/>
        <w:spacing/>
        <w:ind/>
      </w:pPr>
      <w:tblPr>
        <w:tblBorders/>
      </w:tblPr>
      <w:tcPr>
        <w:tcBorders/>
      </w:tcPr>
    </w:tblStylePr>
    <w:tblStylePr w:type="lastRow">
      <w:rPr>
        <w:b/>
        <w:color w:val="3b892d"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
    <w:name w:val="List Table 6 Colorful - Accent 5"/>
    <w:basedOn w:val="133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cf1f9" w:themeFill="accent5" w:themeFillTint="40"/>
        <w:tcBorders/>
      </w:tcPr>
    </w:tblStylePr>
    <w:tblStylePr w:type="band1Vert">
      <w:pPr>
        <w:pBdr/>
        <w:spacing/>
        <w:ind/>
      </w:pPr>
      <w:tblPr>
        <w:tblBorders/>
      </w:tblPr>
      <w:tcPr>
        <w:shd w:val="clear" w:color="ffffff" w:themeColor="accent5" w:themeTint="40" w:fill="dcf1f9"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29ece" w:themeColor="accent5" w:themeTint="9A" w:themeShade="95"/>
      </w:rPr>
      <w:pPr>
        <w:pBdr/>
        <w:spacing/>
        <w:ind/>
      </w:pPr>
      <w:tblPr>
        <w:tblBorders/>
      </w:tblPr>
      <w:tcPr>
        <w:tcBorders/>
      </w:tcPr>
    </w:tblStylePr>
    <w:tblStylePr w:type="firstRow">
      <w:rPr>
        <w:b/>
        <w:color w:val="229ece" w:themeColor="accent5" w:themeTint="9A" w:themeShade="95"/>
      </w:rPr>
      <w:pPr>
        <w:pBdr/>
        <w:spacing/>
        <w:ind/>
      </w:pPr>
      <w:tblPr>
        <w:tblBorders/>
      </w:tblPr>
      <w:tcPr>
        <w:tcBorders>
          <w:bottom w:val="single" w:color="000000" w:themeColor="accent5" w:themeTint="9A" w:sz="4" w:space="0"/>
        </w:tcBorders>
      </w:tcPr>
    </w:tblStylePr>
    <w:tblStylePr w:type="lastCol">
      <w:rPr>
        <w:b/>
        <w:color w:val="229ece" w:themeColor="accent5" w:themeTint="9A" w:themeShade="95"/>
      </w:rPr>
      <w:pPr>
        <w:pBdr/>
        <w:spacing/>
        <w:ind/>
      </w:pPr>
      <w:tblPr>
        <w:tblBorders/>
      </w:tblPr>
      <w:tcPr>
        <w:tcBorders/>
      </w:tcPr>
    </w:tblStylePr>
    <w:tblStylePr w:type="lastRow">
      <w:rPr>
        <w:b/>
        <w:color w:val="229ece"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
    <w:name w:val="List Table 6 Colorful - Accent 6"/>
    <w:basedOn w:val="133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feb8" w:themeFill="accent6" w:themeFillTint="40"/>
        <w:tcBorders/>
      </w:tcPr>
    </w:tblStylePr>
    <w:tblStylePr w:type="band1Vert">
      <w:pPr>
        <w:pBdr/>
        <w:spacing/>
        <w:ind/>
      </w:pPr>
      <w:tblPr>
        <w:tblBorders/>
      </w:tblPr>
      <w:tcPr>
        <w:shd w:val="clear" w:color="ffffff" w:themeColor="accent6" w:themeTint="40" w:fill="f8feb8"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c402" w:themeColor="accent6" w:themeTint="98" w:themeShade="95"/>
      </w:rPr>
      <w:pPr>
        <w:pBdr/>
        <w:spacing/>
        <w:ind/>
      </w:pPr>
      <w:tblPr>
        <w:tblBorders/>
      </w:tblPr>
      <w:tcPr>
        <w:tcBorders/>
      </w:tcPr>
    </w:tblStylePr>
    <w:tblStylePr w:type="firstRow">
      <w:rPr>
        <w:b/>
        <w:color w:val="b2c402" w:themeColor="accent6" w:themeTint="98" w:themeShade="95"/>
      </w:rPr>
      <w:pPr>
        <w:pBdr/>
        <w:spacing/>
        <w:ind/>
      </w:pPr>
      <w:tblPr>
        <w:tblBorders/>
      </w:tblPr>
      <w:tcPr>
        <w:tcBorders>
          <w:bottom w:val="single" w:color="000000" w:themeColor="accent6" w:themeTint="98" w:sz="4" w:space="0"/>
        </w:tcBorders>
      </w:tcPr>
    </w:tblStylePr>
    <w:tblStylePr w:type="lastCol">
      <w:rPr>
        <w:b/>
        <w:color w:val="b2c402" w:themeColor="accent6" w:themeTint="98" w:themeShade="95"/>
      </w:rPr>
      <w:pPr>
        <w:pBdr/>
        <w:spacing/>
        <w:ind/>
      </w:pPr>
      <w:tblPr>
        <w:tblBorders/>
      </w:tblPr>
      <w:tcPr>
        <w:tcBorders/>
      </w:tcPr>
    </w:tblStylePr>
    <w:tblStylePr w:type="lastRow">
      <w:rPr>
        <w:b/>
        <w:color w:val="b2c402"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
    <w:name w:val="List Table 7 Colorful"/>
    <w:basedOn w:val="133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47">
    <w:name w:val="List Table 7 Colorful - Accent 1"/>
    <w:basedOn w:val="133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01745" w:themeColor="accent1" w:themeShade="95"/>
        <w:sz w:val="22"/>
      </w:rPr>
      <w:pPr>
        <w:pBdr/>
        <w:spacing/>
        <w:ind/>
      </w:pPr>
      <w:tblPr>
        <w:tblBorders/>
      </w:tblPr>
      <w:tcPr>
        <w:shd w:val="clear" w:color="ffffff" w:themeColor="accent1" w:themeTint="40" w:fill="9dbdff" w:themeFill="accent1" w:themeFillTint="40"/>
        <w:tcBorders/>
      </w:tcPr>
    </w:tblStylePr>
    <w:tblStylePr w:type="band1Vert">
      <w:pPr>
        <w:pBdr/>
        <w:spacing/>
        <w:ind/>
      </w:pPr>
      <w:tblPr>
        <w:tblBorders/>
      </w:tblPr>
      <w:tcPr>
        <w:shd w:val="clear" w:color="ffffff" w:themeColor="accent1" w:themeTint="40" w:fill="9dbdff" w:themeFill="accent1" w:themeFillTint="40"/>
        <w:tcBorders/>
      </w:tcPr>
    </w:tblStylePr>
    <w:tblStylePr w:type="band2Horz">
      <w:rPr>
        <w:rFonts w:ascii="Arial" w:hAnsi="Arial"/>
        <w:color w:val="00174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0174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0174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0174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0174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01745" w:themeColor="accent1" w:themeShade="95"/>
        <w:sz w:val="22"/>
      </w:rPr>
      <w:pPr>
        <w:pBdr/>
        <w:spacing/>
        <w:ind/>
      </w:pPr>
      <w:tblPr>
        <w:tblBorders/>
      </w:tblPr>
      <w:tcPr>
        <w:tcBorders/>
      </w:tcPr>
    </w:tblStylePr>
  </w:style>
  <w:style w:type="table" w:styleId="148">
    <w:name w:val="List Table 7 Colorful - Accent 2"/>
    <w:basedOn w:val="133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86c300" w:themeColor="accent2" w:themeTint="97" w:themeShade="95"/>
        <w:sz w:val="22"/>
      </w:rPr>
      <w:pPr>
        <w:pBdr/>
        <w:spacing/>
        <w:ind/>
      </w:pPr>
      <w:tblPr>
        <w:tblBorders/>
      </w:tblPr>
      <w:tcPr>
        <w:shd w:val="clear" w:color="ffffff" w:themeColor="accent2" w:themeTint="40" w:fill="e8ffb4" w:themeFill="accent2" w:themeFillTint="40"/>
        <w:tcBorders/>
      </w:tcPr>
    </w:tblStylePr>
    <w:tblStylePr w:type="band1Vert">
      <w:pPr>
        <w:pBdr/>
        <w:spacing/>
        <w:ind/>
      </w:pPr>
      <w:tblPr>
        <w:tblBorders/>
      </w:tblPr>
      <w:tcPr>
        <w:shd w:val="clear" w:color="ffffff" w:themeColor="accent2" w:themeTint="40" w:fill="e8ffb4" w:themeFill="accent2" w:themeFillTint="40"/>
        <w:tcBorders/>
      </w:tcPr>
    </w:tblStylePr>
    <w:tblStylePr w:type="band2Horz">
      <w:rPr>
        <w:rFonts w:ascii="Arial" w:hAnsi="Arial"/>
        <w:color w:val="86c30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6c300"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86c300"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86c300"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86c30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86c300" w:themeColor="accent2" w:themeTint="97" w:themeShade="95"/>
        <w:sz w:val="22"/>
      </w:rPr>
      <w:pPr>
        <w:pBdr/>
        <w:spacing/>
        <w:ind/>
      </w:pPr>
      <w:tblPr>
        <w:tblBorders/>
      </w:tblPr>
      <w:tcPr>
        <w:tcBorders/>
      </w:tcPr>
    </w:tblStylePr>
  </w:style>
  <w:style w:type="table" w:styleId="149">
    <w:name w:val="List Table 7 Colorful - Accent 3"/>
    <w:basedOn w:val="133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0090c5" w:themeColor="accent3" w:themeTint="98" w:themeShade="95"/>
        <w:sz w:val="22"/>
      </w:rPr>
      <w:pPr>
        <w:pBdr/>
        <w:spacing/>
        <w:ind/>
      </w:pPr>
      <w:tblPr>
        <w:tblBorders/>
      </w:tblPr>
      <w:tcPr>
        <w:shd w:val="clear" w:color="ffffff" w:themeColor="accent3" w:themeTint="40" w:fill="b7ebff" w:themeFill="accent3" w:themeFillTint="40"/>
        <w:tcBorders/>
      </w:tcPr>
    </w:tblStylePr>
    <w:tblStylePr w:type="band1Vert">
      <w:pPr>
        <w:pBdr/>
        <w:spacing/>
        <w:ind/>
      </w:pPr>
      <w:tblPr>
        <w:tblBorders/>
      </w:tblPr>
      <w:tcPr>
        <w:shd w:val="clear" w:color="ffffff" w:themeColor="accent3" w:themeTint="40" w:fill="b7ebff" w:themeFill="accent3" w:themeFillTint="40"/>
        <w:tcBorders/>
      </w:tcPr>
    </w:tblStylePr>
    <w:tblStylePr w:type="band2Horz">
      <w:rPr>
        <w:rFonts w:ascii="Arial" w:hAnsi="Arial"/>
        <w:color w:val="0090c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090c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0090c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0090c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0090c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090c5" w:themeColor="accent3" w:themeTint="98" w:themeShade="95"/>
        <w:sz w:val="22"/>
      </w:rPr>
      <w:pPr>
        <w:pBdr/>
        <w:spacing/>
        <w:ind/>
      </w:pPr>
      <w:tblPr>
        <w:tblBorders/>
      </w:tblPr>
      <w:tcPr>
        <w:tcBorders/>
      </w:tcPr>
    </w:tblStylePr>
  </w:style>
  <w:style w:type="table" w:styleId="150">
    <w:name w:val="List Table 7 Colorful - Accent 4"/>
    <w:basedOn w:val="133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3b892d" w:themeColor="accent4" w:themeTint="9A" w:themeShade="95"/>
        <w:sz w:val="22"/>
      </w:rPr>
      <w:pPr>
        <w:pBdr/>
        <w:spacing/>
        <w:ind/>
      </w:pPr>
      <w:tblPr>
        <w:tblBorders/>
      </w:tblPr>
      <w:tcPr>
        <w:shd w:val="clear" w:color="ffffff" w:themeColor="accent4" w:themeTint="40" w:fill="c8ebc2" w:themeFill="accent4" w:themeFillTint="40"/>
        <w:tcBorders/>
      </w:tcPr>
    </w:tblStylePr>
    <w:tblStylePr w:type="band1Vert">
      <w:pPr>
        <w:pBdr/>
        <w:spacing/>
        <w:ind/>
      </w:pPr>
      <w:tblPr>
        <w:tblBorders/>
      </w:tblPr>
      <w:tcPr>
        <w:shd w:val="clear" w:color="ffffff" w:themeColor="accent4" w:themeTint="40" w:fill="c8ebc2" w:themeFill="accent4" w:themeFillTint="40"/>
        <w:tcBorders/>
      </w:tcPr>
    </w:tblStylePr>
    <w:tblStylePr w:type="band2Horz">
      <w:rPr>
        <w:rFonts w:ascii="Arial" w:hAnsi="Arial"/>
        <w:color w:val="3b892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b892d"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3b892d"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3b892d"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3b892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b892d" w:themeColor="accent4" w:themeTint="9A" w:themeShade="95"/>
        <w:sz w:val="22"/>
      </w:rPr>
      <w:pPr>
        <w:pBdr/>
        <w:spacing/>
        <w:ind/>
      </w:pPr>
      <w:tblPr>
        <w:tblBorders/>
      </w:tblPr>
      <w:tcPr>
        <w:tcBorders/>
      </w:tcPr>
    </w:tblStylePr>
  </w:style>
  <w:style w:type="table" w:styleId="151">
    <w:name w:val="List Table 7 Colorful - Accent 5"/>
    <w:basedOn w:val="133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29ece" w:themeColor="accent5" w:themeTint="9A" w:themeShade="95"/>
        <w:sz w:val="22"/>
      </w:rPr>
      <w:pPr>
        <w:pBdr/>
        <w:spacing/>
        <w:ind/>
      </w:pPr>
      <w:tblPr>
        <w:tblBorders/>
      </w:tblPr>
      <w:tcPr>
        <w:shd w:val="clear" w:color="ffffff" w:themeColor="accent5" w:themeTint="40" w:fill="dcf1f9" w:themeFill="accent5" w:themeFillTint="40"/>
        <w:tcBorders/>
      </w:tcPr>
    </w:tblStylePr>
    <w:tblStylePr w:type="band1Vert">
      <w:pPr>
        <w:pBdr/>
        <w:spacing/>
        <w:ind/>
      </w:pPr>
      <w:tblPr>
        <w:tblBorders/>
      </w:tblPr>
      <w:tcPr>
        <w:shd w:val="clear" w:color="ffffff" w:themeColor="accent5" w:themeTint="40" w:fill="dcf1f9" w:themeFill="accent5" w:themeFillTint="40"/>
        <w:tcBorders/>
      </w:tcPr>
    </w:tblStylePr>
    <w:tblStylePr w:type="band2Horz">
      <w:rPr>
        <w:rFonts w:ascii="Arial" w:hAnsi="Arial"/>
        <w:color w:val="229ece"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29ece"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29ece"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29ece"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29ece"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29ece" w:themeColor="accent5" w:themeTint="9A" w:themeShade="95"/>
        <w:sz w:val="22"/>
      </w:rPr>
      <w:pPr>
        <w:pBdr/>
        <w:spacing/>
        <w:ind/>
      </w:pPr>
      <w:tblPr>
        <w:tblBorders/>
      </w:tblPr>
      <w:tcPr>
        <w:tcBorders/>
      </w:tcPr>
    </w:tblStylePr>
  </w:style>
  <w:style w:type="table" w:styleId="152">
    <w:name w:val="List Table 7 Colorful - Accent 6"/>
    <w:basedOn w:val="133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b2c402" w:themeColor="accent6" w:themeTint="98" w:themeShade="95"/>
        <w:sz w:val="22"/>
      </w:rPr>
      <w:pPr>
        <w:pBdr/>
        <w:spacing/>
        <w:ind/>
      </w:pPr>
      <w:tblPr>
        <w:tblBorders/>
      </w:tblPr>
      <w:tcPr>
        <w:shd w:val="clear" w:color="ffffff" w:themeColor="accent6" w:themeTint="40" w:fill="f8feb8" w:themeFill="accent6" w:themeFillTint="40"/>
        <w:tcBorders/>
      </w:tcPr>
    </w:tblStylePr>
    <w:tblStylePr w:type="band1Vert">
      <w:pPr>
        <w:pBdr/>
        <w:spacing/>
        <w:ind/>
      </w:pPr>
      <w:tblPr>
        <w:tblBorders/>
      </w:tblPr>
      <w:tcPr>
        <w:shd w:val="clear" w:color="ffffff" w:themeColor="accent6" w:themeTint="40" w:fill="f8feb8" w:themeFill="accent6" w:themeFillTint="40"/>
        <w:tcBorders/>
      </w:tcPr>
    </w:tblStylePr>
    <w:tblStylePr w:type="band2Horz">
      <w:rPr>
        <w:rFonts w:ascii="Arial" w:hAnsi="Arial"/>
        <w:color w:val="b2c402"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c402"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b2c402"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b2c402"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b2c402"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b2c402" w:themeColor="accent6" w:themeTint="98" w:themeShade="95"/>
        <w:sz w:val="22"/>
      </w:rPr>
      <w:pPr>
        <w:pBdr/>
        <w:spacing/>
        <w:ind/>
      </w:pPr>
      <w:tblPr>
        <w:tblBorders/>
      </w:tblPr>
      <w:tcPr>
        <w:tcBorders/>
      </w:tcPr>
    </w:tblStylePr>
  </w:style>
  <w:style w:type="table" w:styleId="153">
    <w:name w:val="Lined - Accent"/>
    <w:basedOn w:val="13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
    <w:name w:val="Lined - Accent 1"/>
    <w:basedOn w:val="13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84adf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84adf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003296"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003296"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003296"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003296"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
    <w:name w:val="Lined - Accent 2"/>
    <w:basedOn w:val="13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edffc5"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edffc5"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c8ff4f"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c8ff4f"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c8ff4f"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c8ff4f"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
    <w:name w:val="Lined - Accent 3"/>
    <w:basedOn w:val="13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4efff"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4efff"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00a2df"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00a2df"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00a2df"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00a2df"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
    <w:name w:val="Lined - Accent 4"/>
    <w:basedOn w:val="13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d2eecd"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d2eecd"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7ace6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7ace6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7ace6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7ace6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
    <w:name w:val="Lined - Accent 5"/>
    <w:basedOn w:val="13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e2f4fa"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e2f4fa" w:themeFill="accent5" w:themeFillTint="34"/>
        <w:tcBorders/>
      </w:tcPr>
    </w:tblStylePr>
    <w:tblStylePr w:type="firstCol">
      <w:rPr>
        <w:rFonts w:ascii="Arial" w:hAnsi="Arial"/>
        <w:color w:val="f2f2f2"/>
        <w:sz w:val="22"/>
      </w:rPr>
      <w:pPr>
        <w:pBdr/>
        <w:spacing/>
        <w:ind/>
      </w:pPr>
      <w:tblPr>
        <w:tblBorders/>
      </w:tblPr>
      <w:tcPr>
        <w:shd w:val="clear" w:color="ffffff" w:themeColor="accent5" w:fill="72c7e7" w:themeFill="accent5"/>
        <w:tcBorders/>
      </w:tcPr>
    </w:tblStylePr>
    <w:tblStylePr w:type="firstRow">
      <w:rPr>
        <w:rFonts w:ascii="Arial" w:hAnsi="Arial"/>
        <w:color w:val="f2f2f2"/>
        <w:sz w:val="22"/>
      </w:rPr>
      <w:pPr>
        <w:pBdr/>
        <w:spacing/>
        <w:ind/>
      </w:pPr>
      <w:tblPr>
        <w:tblBorders/>
      </w:tblPr>
      <w:tcPr>
        <w:shd w:val="clear" w:color="ffffff" w:themeColor="accent5" w:fill="72c7e7" w:themeFill="accent5"/>
        <w:tcBorders/>
      </w:tcPr>
    </w:tblStylePr>
    <w:tblStylePr w:type="lastCol">
      <w:rPr>
        <w:rFonts w:ascii="Arial" w:hAnsi="Arial"/>
        <w:color w:val="f2f2f2"/>
        <w:sz w:val="22"/>
      </w:rPr>
      <w:pPr>
        <w:pBdr/>
        <w:spacing/>
        <w:ind/>
      </w:pPr>
      <w:tblPr>
        <w:tblBorders/>
      </w:tblPr>
      <w:tcPr>
        <w:shd w:val="clear" w:color="ffffff" w:themeColor="accent5" w:fill="72c7e7" w:themeFill="accent5"/>
        <w:tcBorders/>
      </w:tcPr>
    </w:tblStylePr>
    <w:tblStylePr w:type="lastRow">
      <w:rPr>
        <w:rFonts w:ascii="Arial" w:hAnsi="Arial"/>
        <w:color w:val="f2f2f2"/>
        <w:sz w:val="22"/>
      </w:rPr>
      <w:pPr>
        <w:pBdr/>
        <w:spacing/>
        <w:ind/>
      </w:pPr>
      <w:tblPr>
        <w:tblBorders/>
      </w:tblPr>
      <w:tcPr>
        <w:shd w:val="clear" w:color="ffffff" w:themeColor="accent5" w:fill="72c7e7"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
    <w:name w:val="Lined - Accent 6"/>
    <w:basedOn w:val="13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9fec5"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9fec5" w:themeFill="accent6" w:themeFillTint="34"/>
        <w:tcBorders/>
      </w:tcPr>
    </w:tblStylePr>
    <w:tblStylePr w:type="firstCol">
      <w:rPr>
        <w:rFonts w:ascii="Arial" w:hAnsi="Arial"/>
        <w:color w:val="f2f2f2"/>
        <w:sz w:val="22"/>
      </w:rPr>
      <w:pPr>
        <w:pBdr/>
        <w:spacing/>
        <w:ind/>
      </w:pPr>
      <w:tblPr>
        <w:tblBorders/>
      </w:tblPr>
      <w:tcPr>
        <w:shd w:val="clear" w:color="ffffff" w:themeColor="accent6" w:fill="c9dd03" w:themeFill="accent6"/>
        <w:tcBorders/>
      </w:tcPr>
    </w:tblStylePr>
    <w:tblStylePr w:type="firstRow">
      <w:rPr>
        <w:rFonts w:ascii="Arial" w:hAnsi="Arial"/>
        <w:color w:val="f2f2f2"/>
        <w:sz w:val="22"/>
      </w:rPr>
      <w:pPr>
        <w:pBdr/>
        <w:spacing/>
        <w:ind/>
      </w:pPr>
      <w:tblPr>
        <w:tblBorders/>
      </w:tblPr>
      <w:tcPr>
        <w:shd w:val="clear" w:color="ffffff" w:themeColor="accent6" w:fill="c9dd03" w:themeFill="accent6"/>
        <w:tcBorders/>
      </w:tcPr>
    </w:tblStylePr>
    <w:tblStylePr w:type="lastCol">
      <w:rPr>
        <w:rFonts w:ascii="Arial" w:hAnsi="Arial"/>
        <w:color w:val="f2f2f2"/>
        <w:sz w:val="22"/>
      </w:rPr>
      <w:pPr>
        <w:pBdr/>
        <w:spacing/>
        <w:ind/>
      </w:pPr>
      <w:tblPr>
        <w:tblBorders/>
      </w:tblPr>
      <w:tcPr>
        <w:shd w:val="clear" w:color="ffffff" w:themeColor="accent6" w:fill="c9dd03" w:themeFill="accent6"/>
        <w:tcBorders/>
      </w:tcPr>
    </w:tblStylePr>
    <w:tblStylePr w:type="lastRow">
      <w:rPr>
        <w:rFonts w:ascii="Arial" w:hAnsi="Arial"/>
        <w:color w:val="f2f2f2"/>
        <w:sz w:val="22"/>
      </w:rPr>
      <w:pPr>
        <w:pBdr/>
        <w:spacing/>
        <w:ind/>
      </w:pPr>
      <w:tblPr>
        <w:tblBorders/>
      </w:tblPr>
      <w:tcPr>
        <w:shd w:val="clear" w:color="ffffff" w:themeColor="accent6" w:fill="c9dd03"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
    <w:name w:val="Bordered &amp; Lined - Accent"/>
    <w:basedOn w:val="133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
    <w:name w:val="Bordered &amp; Lined - Accent 1"/>
    <w:basedOn w:val="133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84adf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84adf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003296"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003296"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003296"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003296"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
    <w:name w:val="Bordered &amp; Lined - Accent 2"/>
    <w:basedOn w:val="133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edffc5"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edffc5"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c8ff4f"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c8ff4f"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c8ff4f"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c8ff4f"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
    <w:name w:val="Bordered &amp; Lined - Accent 3"/>
    <w:basedOn w:val="133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4efff"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4efff"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00a2df"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00a2df"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00a2df"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00a2df"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
    <w:name w:val="Bordered &amp; Lined - Accent 4"/>
    <w:basedOn w:val="133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d2eecd"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d2eecd"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7ace6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7ace6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7ace6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7ace6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
    <w:name w:val="Bordered &amp; Lined - Accent 5"/>
    <w:basedOn w:val="133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e2f4fa"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e2f4fa" w:themeFill="accent5" w:themeFillTint="34"/>
        <w:tcBorders/>
      </w:tcPr>
    </w:tblStylePr>
    <w:tblStylePr w:type="firstCol">
      <w:rPr>
        <w:rFonts w:ascii="Arial" w:hAnsi="Arial"/>
        <w:color w:val="f2f2f2"/>
        <w:sz w:val="22"/>
      </w:rPr>
      <w:pPr>
        <w:pBdr/>
        <w:spacing/>
        <w:ind/>
      </w:pPr>
      <w:tblPr>
        <w:tblBorders/>
      </w:tblPr>
      <w:tcPr>
        <w:shd w:val="clear" w:color="ffffff" w:themeColor="accent5" w:fill="72c7e7" w:themeFill="accent5"/>
        <w:tcBorders/>
      </w:tcPr>
    </w:tblStylePr>
    <w:tblStylePr w:type="firstRow">
      <w:rPr>
        <w:rFonts w:ascii="Arial" w:hAnsi="Arial"/>
        <w:color w:val="f2f2f2"/>
        <w:sz w:val="22"/>
      </w:rPr>
      <w:pPr>
        <w:pBdr/>
        <w:spacing/>
        <w:ind/>
      </w:pPr>
      <w:tblPr>
        <w:tblBorders/>
      </w:tblPr>
      <w:tcPr>
        <w:shd w:val="clear" w:color="ffffff" w:themeColor="accent5" w:fill="72c7e7" w:themeFill="accent5"/>
        <w:tcBorders/>
      </w:tcPr>
    </w:tblStylePr>
    <w:tblStylePr w:type="lastCol">
      <w:rPr>
        <w:rFonts w:ascii="Arial" w:hAnsi="Arial"/>
        <w:color w:val="f2f2f2"/>
        <w:sz w:val="22"/>
      </w:rPr>
      <w:pPr>
        <w:pBdr/>
        <w:spacing/>
        <w:ind/>
      </w:pPr>
      <w:tblPr>
        <w:tblBorders/>
      </w:tblPr>
      <w:tcPr>
        <w:shd w:val="clear" w:color="ffffff" w:themeColor="accent5" w:fill="72c7e7" w:themeFill="accent5"/>
        <w:tcBorders/>
      </w:tcPr>
    </w:tblStylePr>
    <w:tblStylePr w:type="lastRow">
      <w:rPr>
        <w:rFonts w:ascii="Arial" w:hAnsi="Arial"/>
        <w:color w:val="f2f2f2"/>
        <w:sz w:val="22"/>
      </w:rPr>
      <w:pPr>
        <w:pBdr/>
        <w:spacing/>
        <w:ind/>
      </w:pPr>
      <w:tblPr>
        <w:tblBorders/>
      </w:tblPr>
      <w:tcPr>
        <w:shd w:val="clear" w:color="ffffff" w:themeColor="accent5" w:fill="72c7e7"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
    <w:name w:val="Bordered &amp; Lined - Accent 6"/>
    <w:basedOn w:val="133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9fec5"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9fec5" w:themeFill="accent6" w:themeFillTint="34"/>
        <w:tcBorders/>
      </w:tcPr>
    </w:tblStylePr>
    <w:tblStylePr w:type="firstCol">
      <w:rPr>
        <w:rFonts w:ascii="Arial" w:hAnsi="Arial"/>
        <w:color w:val="f2f2f2"/>
        <w:sz w:val="22"/>
      </w:rPr>
      <w:pPr>
        <w:pBdr/>
        <w:spacing/>
        <w:ind/>
      </w:pPr>
      <w:tblPr>
        <w:tblBorders/>
      </w:tblPr>
      <w:tcPr>
        <w:shd w:val="clear" w:color="ffffff" w:themeColor="accent6" w:fill="c9dd03" w:themeFill="accent6"/>
        <w:tcBorders/>
      </w:tcPr>
    </w:tblStylePr>
    <w:tblStylePr w:type="firstRow">
      <w:rPr>
        <w:rFonts w:ascii="Arial" w:hAnsi="Arial"/>
        <w:color w:val="f2f2f2"/>
        <w:sz w:val="22"/>
      </w:rPr>
      <w:pPr>
        <w:pBdr/>
        <w:spacing/>
        <w:ind/>
      </w:pPr>
      <w:tblPr>
        <w:tblBorders/>
      </w:tblPr>
      <w:tcPr>
        <w:shd w:val="clear" w:color="ffffff" w:themeColor="accent6" w:fill="c9dd03" w:themeFill="accent6"/>
        <w:tcBorders/>
      </w:tcPr>
    </w:tblStylePr>
    <w:tblStylePr w:type="lastCol">
      <w:rPr>
        <w:rFonts w:ascii="Arial" w:hAnsi="Arial"/>
        <w:color w:val="f2f2f2"/>
        <w:sz w:val="22"/>
      </w:rPr>
      <w:pPr>
        <w:pBdr/>
        <w:spacing/>
        <w:ind/>
      </w:pPr>
      <w:tblPr>
        <w:tblBorders/>
      </w:tblPr>
      <w:tcPr>
        <w:shd w:val="clear" w:color="ffffff" w:themeColor="accent6" w:fill="c9dd03" w:themeFill="accent6"/>
        <w:tcBorders/>
      </w:tcPr>
    </w:tblStylePr>
    <w:tblStylePr w:type="lastRow">
      <w:rPr>
        <w:rFonts w:ascii="Arial" w:hAnsi="Arial"/>
        <w:color w:val="f2f2f2"/>
        <w:sz w:val="22"/>
      </w:rPr>
      <w:pPr>
        <w:pBdr/>
        <w:spacing/>
        <w:ind/>
      </w:pPr>
      <w:tblPr>
        <w:tblBorders/>
      </w:tblPr>
      <w:tcPr>
        <w:shd w:val="clear" w:color="ffffff" w:themeColor="accent6" w:fill="c9dd03"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
    <w:name w:val="Bordered"/>
    <w:basedOn w:val="133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
    <w:name w:val="Bordered - Accent 1"/>
    <w:basedOn w:val="133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
    <w:name w:val="Bordered - Accent 2"/>
    <w:basedOn w:val="133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
    <w:name w:val="Bordered - Accent 3"/>
    <w:basedOn w:val="133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
    <w:name w:val="Bordered - Accent 4"/>
    <w:basedOn w:val="133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
    <w:name w:val="Bordered - Accent 5"/>
    <w:basedOn w:val="133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
    <w:name w:val="Bordered - Accent 6"/>
    <w:basedOn w:val="133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90">
    <w:name w:val="TOC Heading"/>
    <w:uiPriority w:val="39"/>
    <w:unhideWhenUsed/>
    <w:pPr>
      <w:pBdr/>
      <w:spacing/>
      <w:ind/>
    </w:pPr>
  </w:style>
  <w:style w:type="paragraph" w:styleId="1322" w:default="1">
    <w:name w:val="Normal"/>
    <w:qFormat/>
    <w:pPr>
      <w:pBdr/>
      <w:spacing/>
      <w:ind/>
    </w:pPr>
  </w:style>
  <w:style w:type="paragraph" w:styleId="1323">
    <w:name w:val="Heading 1"/>
    <w:basedOn w:val="1322"/>
    <w:next w:val="1322"/>
    <w:link w:val="1378"/>
    <w:uiPriority w:val="1"/>
    <w:qFormat/>
    <w:pPr>
      <w:keepNext w:val="true"/>
      <w:numPr>
        <w:ilvl w:val="0"/>
        <w:numId w:val="1"/>
      </w:numPr>
      <w:pBdr/>
      <w:spacing w:after="240"/>
      <w:ind/>
      <w:jc w:val="both"/>
      <w:outlineLvl w:val="0"/>
    </w:pPr>
    <w:rPr>
      <w:rFonts w:ascii="Arial Narrow" w:hAnsi="Arial Narrow" w:eastAsia="仿宋_GB2312" w:cs="Arial"/>
      <w:bCs/>
      <w:color w:val="486a00" w:themeColor="accent2" w:themeShade="80"/>
      <w:sz w:val="28"/>
      <w:szCs w:val="28"/>
    </w:rPr>
  </w:style>
  <w:style w:type="paragraph" w:styleId="1324">
    <w:name w:val="Heading 2"/>
    <w:basedOn w:val="1322"/>
    <w:next w:val="1322"/>
    <w:link w:val="1379"/>
    <w:uiPriority w:val="1"/>
    <w:qFormat/>
    <w:pPr>
      <w:keepNext w:val="true"/>
      <w:numPr>
        <w:ilvl w:val="1"/>
        <w:numId w:val="1"/>
      </w:numPr>
      <w:pBdr/>
      <w:spacing w:after="240" w:before="240"/>
      <w:ind/>
      <w:jc w:val="both"/>
      <w:outlineLvl w:val="1"/>
    </w:pPr>
    <w:rPr>
      <w:rFonts w:ascii="Arial Narrow" w:hAnsi="Arial Narrow" w:eastAsia="仿宋_GB2312" w:cs="Arial"/>
      <w:iCs/>
      <w:color w:val="002060"/>
      <w:sz w:val="22"/>
      <w:szCs w:val="22"/>
    </w:rPr>
  </w:style>
  <w:style w:type="paragraph" w:styleId="1325">
    <w:name w:val="Heading 3"/>
    <w:basedOn w:val="1324"/>
    <w:next w:val="1322"/>
    <w:link w:val="1380"/>
    <w:uiPriority w:val="1"/>
    <w:qFormat/>
    <w:pPr>
      <w:numPr>
        <w:ilvl w:val="2"/>
      </w:numPr>
      <w:pBdr/>
      <w:spacing/>
      <w:ind/>
      <w:outlineLvl w:val="2"/>
    </w:pPr>
    <w:rPr>
      <w:sz w:val="24"/>
    </w:rPr>
  </w:style>
  <w:style w:type="paragraph" w:styleId="1326">
    <w:name w:val="Heading 4"/>
    <w:basedOn w:val="1325"/>
    <w:next w:val="1322"/>
    <w:link w:val="1381"/>
    <w:uiPriority w:val="1"/>
    <w:qFormat/>
    <w:pPr>
      <w:numPr>
        <w:ilvl w:val="3"/>
      </w:numPr>
      <w:pBdr/>
      <w:spacing/>
      <w:ind/>
      <w:outlineLvl w:val="3"/>
    </w:pPr>
    <w:rPr>
      <w:sz w:val="22"/>
    </w:rPr>
  </w:style>
  <w:style w:type="paragraph" w:styleId="1327">
    <w:name w:val="Heading 5"/>
    <w:basedOn w:val="1322"/>
    <w:next w:val="1322"/>
    <w:link w:val="1382"/>
    <w:qFormat/>
    <w:pPr>
      <w:keepNext w:val="true"/>
      <w:numPr>
        <w:ilvl w:val="4"/>
        <w:numId w:val="2"/>
      </w:numPr>
      <w:pBdr/>
      <w:tabs>
        <w:tab w:val="left" w:leader="none" w:pos="540"/>
      </w:tabs>
      <w:spacing w:before="240"/>
      <w:ind/>
      <w:outlineLvl w:val="4"/>
    </w:pPr>
    <w:rPr>
      <w:rFonts w:ascii="'宋体" w:eastAsia="'宋体"/>
    </w:rPr>
  </w:style>
  <w:style w:type="paragraph" w:styleId="1328">
    <w:name w:val="Heading 6"/>
    <w:basedOn w:val="1322"/>
    <w:next w:val="1322"/>
    <w:link w:val="1383"/>
    <w:qFormat/>
    <w:pPr>
      <w:keepNext w:val="true"/>
      <w:numPr>
        <w:ilvl w:val="5"/>
        <w:numId w:val="2"/>
      </w:numPr>
      <w:pBdr/>
      <w:tabs>
        <w:tab w:val="left" w:leader="none" w:pos="540"/>
      </w:tabs>
      <w:spacing/>
      <w:ind/>
      <w:outlineLvl w:val="5"/>
    </w:pPr>
    <w:rPr>
      <w:lang w:eastAsia="en-US"/>
    </w:rPr>
  </w:style>
  <w:style w:type="paragraph" w:styleId="1329">
    <w:name w:val="Heading 7"/>
    <w:basedOn w:val="1322"/>
    <w:next w:val="1322"/>
    <w:link w:val="1459"/>
    <w:uiPriority w:val="9"/>
    <w:unhideWhenUsed/>
    <w:qFormat/>
    <w:pPr>
      <w:pBdr/>
      <w:spacing w:after="60" w:before="240"/>
      <w:ind/>
      <w:outlineLvl w:val="6"/>
    </w:pPr>
    <w:rPr>
      <w:rFonts w:ascii="Calibri" w:hAnsi="Calibri"/>
      <w:sz w:val="24"/>
      <w:szCs w:val="24"/>
    </w:rPr>
  </w:style>
  <w:style w:type="paragraph" w:styleId="1330">
    <w:name w:val="Heading 8"/>
    <w:basedOn w:val="1322"/>
    <w:next w:val="1322"/>
    <w:link w:val="1460"/>
    <w:uiPriority w:val="9"/>
    <w:unhideWhenUsed/>
    <w:qFormat/>
    <w:pPr>
      <w:pBdr/>
      <w:spacing w:after="60" w:before="240"/>
      <w:ind/>
      <w:outlineLvl w:val="7"/>
    </w:pPr>
    <w:rPr>
      <w:rFonts w:ascii="Calibri" w:hAnsi="Calibri"/>
      <w:i/>
      <w:iCs/>
      <w:sz w:val="24"/>
      <w:szCs w:val="24"/>
    </w:rPr>
  </w:style>
  <w:style w:type="paragraph" w:styleId="1331">
    <w:name w:val="Heading 9"/>
    <w:basedOn w:val="1322"/>
    <w:next w:val="1322"/>
    <w:link w:val="1461"/>
    <w:uiPriority w:val="9"/>
    <w:unhideWhenUsed/>
    <w:qFormat/>
    <w:pPr>
      <w:pBdr/>
      <w:spacing w:after="60" w:before="240"/>
      <w:ind/>
      <w:outlineLvl w:val="8"/>
    </w:pPr>
    <w:rPr>
      <w:rFonts w:ascii="Cambria" w:hAnsi="Cambria"/>
      <w:sz w:val="22"/>
      <w:szCs w:val="22"/>
    </w:rPr>
  </w:style>
  <w:style w:type="character" w:styleId="1332" w:default="1">
    <w:name w:val="Default Paragraph Font"/>
    <w:uiPriority w:val="1"/>
    <w:semiHidden/>
    <w:unhideWhenUsed/>
    <w:pPr>
      <w:pBdr/>
      <w:spacing/>
      <w:ind/>
    </w:pPr>
  </w:style>
  <w:style w:type="table" w:styleId="1333"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334" w:default="1">
    <w:name w:val="No List"/>
    <w:uiPriority w:val="99"/>
    <w:semiHidden/>
    <w:unhideWhenUsed/>
    <w:pPr>
      <w:pBdr/>
      <w:spacing/>
      <w:ind/>
    </w:pPr>
  </w:style>
  <w:style w:type="paragraph" w:styleId="1335">
    <w:name w:val="toc 7"/>
    <w:basedOn w:val="1322"/>
    <w:next w:val="1322"/>
    <w:uiPriority w:val="39"/>
    <w:unhideWhenUsed/>
    <w:qFormat/>
    <w:pPr>
      <w:pBdr/>
      <w:spacing w:after="100" w:line="276" w:lineRule="auto"/>
      <w:ind w:left="1320"/>
    </w:pPr>
    <w:rPr>
      <w:rFonts w:ascii="Arial" w:hAnsi="Arial"/>
      <w:sz w:val="22"/>
      <w:szCs w:val="22"/>
    </w:rPr>
  </w:style>
  <w:style w:type="paragraph" w:styleId="1336">
    <w:name w:val="Note Heading"/>
    <w:basedOn w:val="1322"/>
    <w:next w:val="1322"/>
    <w:link w:val="1455"/>
    <w:qFormat/>
    <w:pPr>
      <w:pBdr/>
      <w:spacing w:after="120" w:before="120"/>
      <w:ind/>
    </w:pPr>
    <w:rPr>
      <w:rFonts w:ascii="EYInterstate Light" w:hAnsi="EYInterstate Light" w:cs="Arial"/>
      <w:b/>
      <w:sz w:val="18"/>
      <w:lang w:eastAsia="en-US"/>
    </w:rPr>
  </w:style>
  <w:style w:type="paragraph" w:styleId="1337">
    <w:name w:val="Normal Indent"/>
    <w:basedOn w:val="1322"/>
    <w:qFormat/>
    <w:pPr>
      <w:widowControl w:val="false"/>
      <w:pBdr/>
      <w:spacing/>
      <w:ind/>
      <w:jc w:val="both"/>
    </w:pPr>
    <w:rPr>
      <w:rFonts w:ascii="MS Mincho" w:hAnsi="Arial"/>
      <w:b/>
    </w:rPr>
  </w:style>
  <w:style w:type="paragraph" w:styleId="1338">
    <w:name w:val="Caption"/>
    <w:basedOn w:val="1322"/>
    <w:next w:val="1322"/>
    <w:link w:val="1533"/>
    <w:uiPriority w:val="35"/>
    <w:unhideWhenUsed/>
    <w:qFormat/>
    <w:pPr>
      <w:pBdr/>
      <w:spacing/>
      <w:ind/>
    </w:pPr>
    <w:rPr>
      <w:b/>
      <w:bCs/>
    </w:rPr>
  </w:style>
  <w:style w:type="paragraph" w:styleId="1339">
    <w:name w:val="List Bullet"/>
    <w:basedOn w:val="1322"/>
    <w:qFormat/>
    <w:pPr>
      <w:pBdr/>
      <w:spacing w:after="240" w:line="240" w:lineRule="atLeast"/>
      <w:ind/>
    </w:pPr>
  </w:style>
  <w:style w:type="paragraph" w:styleId="1340">
    <w:name w:val="Document Map"/>
    <w:basedOn w:val="1322"/>
    <w:link w:val="1465"/>
    <w:unhideWhenUsed/>
    <w:qFormat/>
    <w:pPr>
      <w:pBdr/>
      <w:spacing/>
      <w:ind/>
    </w:pPr>
    <w:rPr>
      <w:rFonts w:ascii="Tahoma" w:hAnsi="Tahoma" w:cs="Tahoma"/>
      <w:sz w:val="16"/>
      <w:szCs w:val="16"/>
    </w:rPr>
  </w:style>
  <w:style w:type="paragraph" w:styleId="1341">
    <w:name w:val="annotation text"/>
    <w:basedOn w:val="1322"/>
    <w:link w:val="1439"/>
    <w:semiHidden/>
    <w:qFormat/>
    <w:pPr>
      <w:pBdr/>
      <w:spacing/>
      <w:ind/>
    </w:pPr>
  </w:style>
  <w:style w:type="paragraph" w:styleId="1342">
    <w:name w:val="Body Text 3"/>
    <w:basedOn w:val="1322"/>
    <w:link w:val="1387"/>
    <w:qFormat/>
    <w:pPr>
      <w:pBdr/>
      <w:spacing/>
      <w:ind/>
      <w:jc w:val="center"/>
    </w:pPr>
    <w:rPr>
      <w:rFonts w:ascii="宋体" w:hAnsi="宋体"/>
      <w:sz w:val="16"/>
      <w:lang w:eastAsia="en-US"/>
    </w:rPr>
  </w:style>
  <w:style w:type="paragraph" w:styleId="1343">
    <w:name w:val="Body Text"/>
    <w:basedOn w:val="1322"/>
    <w:link w:val="1391"/>
    <w:uiPriority w:val="1"/>
    <w:qFormat/>
    <w:pPr>
      <w:pBdr/>
      <w:spacing w:before="240" w:line="360" w:lineRule="auto"/>
      <w:ind w:right="-91"/>
      <w:jc w:val="both"/>
    </w:pPr>
    <w:rPr>
      <w:rFonts w:ascii="FZFangSong-Z02" w:eastAsia="FZFangSong-Z02"/>
    </w:rPr>
  </w:style>
  <w:style w:type="paragraph" w:styleId="1344">
    <w:name w:val="Body Text Indent"/>
    <w:basedOn w:val="1322"/>
    <w:link w:val="1386"/>
    <w:qFormat/>
    <w:pPr>
      <w:pBdr/>
      <w:spacing w:before="240"/>
      <w:ind w:right="-180" w:firstLine="540"/>
      <w:jc w:val="both"/>
    </w:pPr>
    <w:rPr>
      <w:rFonts w:ascii="宋体" w:hAnsi="宋体"/>
      <w:spacing w:val="-6"/>
    </w:rPr>
  </w:style>
  <w:style w:type="paragraph" w:styleId="1345">
    <w:name w:val="List 2"/>
    <w:basedOn w:val="1322"/>
    <w:qFormat/>
    <w:pPr>
      <w:pBdr/>
      <w:spacing/>
      <w:ind w:hanging="360" w:left="720"/>
    </w:pPr>
  </w:style>
  <w:style w:type="paragraph" w:styleId="1346">
    <w:name w:val="List Continue"/>
    <w:basedOn w:val="1322"/>
    <w:qFormat/>
    <w:pPr>
      <w:pBdr/>
      <w:spacing w:after="120"/>
      <w:ind w:left="360"/>
    </w:pPr>
  </w:style>
  <w:style w:type="paragraph" w:styleId="1347">
    <w:name w:val="Block Text"/>
    <w:basedOn w:val="1322"/>
    <w:qFormat/>
    <w:pPr>
      <w:pBdr/>
      <w:spacing w:before="240" w:line="360" w:lineRule="auto"/>
      <w:ind w:right="-91" w:firstLine="360" w:left="360"/>
      <w:jc w:val="both"/>
    </w:pPr>
    <w:rPr>
      <w:rFonts w:ascii="FZFangSong-Z02" w:eastAsia="FZFangSong-Z02"/>
    </w:rPr>
  </w:style>
  <w:style w:type="paragraph" w:styleId="1348">
    <w:name w:val="toc 5"/>
    <w:basedOn w:val="1322"/>
    <w:next w:val="1322"/>
    <w:uiPriority w:val="39"/>
    <w:unhideWhenUsed/>
    <w:qFormat/>
    <w:pPr>
      <w:pBdr/>
      <w:spacing w:after="100" w:line="276" w:lineRule="auto"/>
      <w:ind w:left="880"/>
    </w:pPr>
    <w:rPr>
      <w:rFonts w:ascii="Arial" w:hAnsi="Arial"/>
      <w:sz w:val="22"/>
      <w:szCs w:val="22"/>
    </w:rPr>
  </w:style>
  <w:style w:type="paragraph" w:styleId="1349">
    <w:name w:val="toc 3"/>
    <w:basedOn w:val="1322"/>
    <w:next w:val="1322"/>
    <w:uiPriority w:val="39"/>
    <w:qFormat/>
    <w:pPr>
      <w:pBdr/>
      <w:tabs>
        <w:tab w:val="left" w:leader="none" w:pos="1100"/>
        <w:tab w:val="right" w:leader="dot" w:pos="8297"/>
      </w:tabs>
      <w:spacing/>
      <w:ind w:left="480"/>
    </w:pPr>
    <w:rPr>
      <w:rFonts w:ascii="华文楷体" w:hAnsi="华文楷体"/>
      <w:i/>
      <w:iCs/>
    </w:rPr>
  </w:style>
  <w:style w:type="paragraph" w:styleId="1350">
    <w:name w:val="toc 8"/>
    <w:basedOn w:val="1322"/>
    <w:next w:val="1322"/>
    <w:uiPriority w:val="39"/>
    <w:unhideWhenUsed/>
    <w:qFormat/>
    <w:pPr>
      <w:pBdr/>
      <w:spacing w:after="100" w:line="276" w:lineRule="auto"/>
      <w:ind w:left="1540"/>
    </w:pPr>
    <w:rPr>
      <w:rFonts w:ascii="Arial" w:hAnsi="Arial"/>
      <w:sz w:val="22"/>
      <w:szCs w:val="22"/>
    </w:rPr>
  </w:style>
  <w:style w:type="paragraph" w:styleId="1351">
    <w:name w:val="Body Text Indent 2"/>
    <w:basedOn w:val="1322"/>
    <w:link w:val="1388"/>
    <w:qFormat/>
    <w:pPr>
      <w:pBdr/>
      <w:spacing w:line="360" w:lineRule="auto"/>
      <w:ind w:firstLine="720"/>
    </w:pPr>
    <w:rPr>
      <w:rFonts w:ascii="楷体" w:eastAsia="楷体"/>
    </w:rPr>
  </w:style>
  <w:style w:type="paragraph" w:styleId="1352">
    <w:name w:val="endnote text"/>
    <w:basedOn w:val="1322"/>
    <w:link w:val="1441"/>
    <w:semiHidden/>
    <w:qFormat/>
    <w:pPr>
      <w:pBdr/>
      <w:spacing/>
      <w:ind/>
    </w:pPr>
  </w:style>
  <w:style w:type="paragraph" w:styleId="1353">
    <w:name w:val="Balloon Text"/>
    <w:basedOn w:val="1322"/>
    <w:link w:val="1438"/>
    <w:semiHidden/>
    <w:qFormat/>
    <w:pPr>
      <w:pBdr/>
      <w:spacing/>
      <w:ind/>
    </w:pPr>
    <w:rPr>
      <w:rFonts w:ascii="Tahoma" w:hAnsi="Tahoma" w:cs="Tahoma"/>
      <w:sz w:val="16"/>
      <w:szCs w:val="16"/>
    </w:rPr>
  </w:style>
  <w:style w:type="paragraph" w:styleId="1354">
    <w:name w:val="Footer"/>
    <w:basedOn w:val="1322"/>
    <w:link w:val="1385"/>
    <w:uiPriority w:val="99"/>
    <w:unhideWhenUsed/>
    <w:qFormat/>
    <w:pPr>
      <w:pBdr/>
      <w:tabs>
        <w:tab w:val="center" w:leader="none" w:pos="4320"/>
        <w:tab w:val="right" w:leader="none" w:pos="8640"/>
      </w:tabs>
      <w:spacing/>
      <w:ind/>
    </w:pPr>
  </w:style>
  <w:style w:type="paragraph" w:styleId="1355">
    <w:name w:val="Header"/>
    <w:basedOn w:val="1322"/>
    <w:link w:val="1384"/>
    <w:unhideWhenUsed/>
    <w:qFormat/>
    <w:pPr>
      <w:pBdr/>
      <w:tabs>
        <w:tab w:val="center" w:leader="none" w:pos="4320"/>
        <w:tab w:val="right" w:leader="none" w:pos="8640"/>
      </w:tabs>
      <w:spacing/>
      <w:ind/>
    </w:pPr>
  </w:style>
  <w:style w:type="paragraph" w:styleId="1356">
    <w:name w:val="toc 1"/>
    <w:basedOn w:val="1322"/>
    <w:next w:val="1322"/>
    <w:uiPriority w:val="39"/>
    <w:qFormat/>
    <w:pPr>
      <w:pBdr/>
      <w:tabs>
        <w:tab w:val="right" w:leader="dot" w:pos="8280"/>
      </w:tabs>
      <w:spacing/>
      <w:ind/>
      <w:jc w:val="both"/>
    </w:pPr>
    <w:rPr>
      <w:rFonts w:ascii="Verdana" w:hAnsi="Verdana" w:eastAsia="Verdana"/>
      <w:bCs/>
      <w:caps/>
      <w:szCs w:val="36"/>
    </w:rPr>
  </w:style>
  <w:style w:type="paragraph" w:styleId="1357">
    <w:name w:val="toc 4"/>
    <w:basedOn w:val="1322"/>
    <w:next w:val="1322"/>
    <w:uiPriority w:val="39"/>
    <w:unhideWhenUsed/>
    <w:qFormat/>
    <w:pPr>
      <w:pBdr/>
      <w:spacing w:after="100" w:line="276" w:lineRule="auto"/>
      <w:ind w:left="660"/>
    </w:pPr>
    <w:rPr>
      <w:rFonts w:ascii="Arial" w:hAnsi="Arial"/>
      <w:sz w:val="22"/>
      <w:szCs w:val="22"/>
    </w:rPr>
  </w:style>
  <w:style w:type="paragraph" w:styleId="1358">
    <w:name w:val="List"/>
    <w:basedOn w:val="1322"/>
    <w:qFormat/>
    <w:pPr>
      <w:pBdr/>
      <w:spacing/>
      <w:ind w:hanging="360" w:left="360"/>
    </w:pPr>
  </w:style>
  <w:style w:type="paragraph" w:styleId="1359">
    <w:name w:val="footnote text"/>
    <w:basedOn w:val="1322"/>
    <w:link w:val="1392"/>
    <w:qFormat/>
    <w:pPr>
      <w:widowControl w:val="false"/>
      <w:pBdr/>
      <w:spacing/>
      <w:ind/>
    </w:pPr>
    <w:rPr>
      <w:rFonts w:ascii="Century" w:hAnsi="Century" w:eastAsia="MS Mincho"/>
      <w:sz w:val="21"/>
      <w:lang w:eastAsia="ja-JP"/>
    </w:rPr>
  </w:style>
  <w:style w:type="paragraph" w:styleId="1360">
    <w:name w:val="toc 6"/>
    <w:basedOn w:val="1322"/>
    <w:next w:val="1322"/>
    <w:uiPriority w:val="39"/>
    <w:unhideWhenUsed/>
    <w:qFormat/>
    <w:pPr>
      <w:pBdr/>
      <w:spacing w:after="100" w:line="276" w:lineRule="auto"/>
      <w:ind w:left="1100"/>
    </w:pPr>
    <w:rPr>
      <w:rFonts w:ascii="Arial" w:hAnsi="Arial"/>
      <w:sz w:val="22"/>
      <w:szCs w:val="22"/>
    </w:rPr>
  </w:style>
  <w:style w:type="paragraph" w:styleId="1361">
    <w:name w:val="Body Text Indent 3"/>
    <w:basedOn w:val="1322"/>
    <w:link w:val="1389"/>
    <w:qFormat/>
    <w:pPr>
      <w:pBdr/>
      <w:spacing/>
      <w:ind w:right="-90" w:firstLine="540"/>
    </w:pPr>
    <w:rPr>
      <w:rFonts w:eastAsia="'宋体"/>
    </w:rPr>
  </w:style>
  <w:style w:type="paragraph" w:styleId="1362">
    <w:name w:val="table of figures"/>
    <w:basedOn w:val="1322"/>
    <w:next w:val="1322"/>
    <w:uiPriority w:val="99"/>
    <w:unhideWhenUsed/>
    <w:qFormat/>
    <w:pPr>
      <w:pBdr/>
      <w:spacing/>
      <w:ind/>
    </w:pPr>
    <w:rPr>
      <w:rFonts w:ascii="华文细黑" w:hAnsi="华文细黑" w:eastAsia="华文楷体"/>
      <w:sz w:val="21"/>
    </w:rPr>
  </w:style>
  <w:style w:type="paragraph" w:styleId="1363">
    <w:name w:val="toc 2"/>
    <w:basedOn w:val="1322"/>
    <w:next w:val="1322"/>
    <w:uiPriority w:val="39"/>
    <w:qFormat/>
    <w:pPr>
      <w:pBdr/>
      <w:tabs>
        <w:tab w:val="left" w:leader="none" w:pos="880"/>
        <w:tab w:val="right" w:leader="dot" w:pos="8299"/>
      </w:tabs>
      <w:spacing/>
      <w:ind w:left="238"/>
    </w:pPr>
    <w:rPr>
      <w:rFonts w:ascii="Verdana" w:hAnsi="Verdana" w:eastAsia="Verdana"/>
    </w:rPr>
  </w:style>
  <w:style w:type="paragraph" w:styleId="1364">
    <w:name w:val="toc 9"/>
    <w:basedOn w:val="1322"/>
    <w:next w:val="1322"/>
    <w:uiPriority w:val="39"/>
    <w:unhideWhenUsed/>
    <w:qFormat/>
    <w:pPr>
      <w:pBdr/>
      <w:spacing w:after="100" w:line="276" w:lineRule="auto"/>
      <w:ind w:left="1760"/>
    </w:pPr>
    <w:rPr>
      <w:rFonts w:ascii="Arial" w:hAnsi="Arial"/>
      <w:sz w:val="22"/>
      <w:szCs w:val="22"/>
    </w:rPr>
  </w:style>
  <w:style w:type="paragraph" w:styleId="1365">
    <w:name w:val="Body Text 2"/>
    <w:basedOn w:val="1322"/>
    <w:link w:val="1393"/>
    <w:qFormat/>
    <w:pPr>
      <w:pBdr/>
      <w:spacing w:line="360" w:lineRule="auto"/>
      <w:ind/>
      <w:jc w:val="both"/>
    </w:pPr>
    <w:rPr>
      <w:rFonts w:ascii="FZFangSong-Z02" w:eastAsia="FZFangSong-Z02"/>
    </w:rPr>
  </w:style>
  <w:style w:type="paragraph" w:styleId="1366">
    <w:name w:val="HTML Preformatted"/>
    <w:basedOn w:val="1322"/>
    <w:link w:val="1524"/>
    <w:uiPriority w:val="99"/>
    <w:unhideWhenUsed/>
    <w:qFormat/>
    <w:pPr>
      <w:pBdr/>
      <w:spacing/>
      <w:ind/>
    </w:pPr>
    <w:rPr>
      <w:rFonts w:ascii="Courier New" w:hAnsi="Courier New" w:cs="Courier New"/>
    </w:rPr>
  </w:style>
  <w:style w:type="paragraph" w:styleId="1367">
    <w:name w:val="Normal (Web)"/>
    <w:basedOn w:val="1322"/>
    <w:uiPriority w:val="99"/>
    <w:unhideWhenUsed/>
    <w:qFormat/>
    <w:pPr>
      <w:pBdr/>
      <w:spacing w:after="100" w:afterAutospacing="1" w:before="100" w:beforeAutospacing="1"/>
      <w:ind/>
    </w:pPr>
    <w:rPr>
      <w:rFonts w:eastAsia="Times New Roman"/>
      <w:sz w:val="24"/>
      <w:szCs w:val="24"/>
    </w:rPr>
  </w:style>
  <w:style w:type="paragraph" w:styleId="1368">
    <w:name w:val="Title"/>
    <w:basedOn w:val="1322"/>
    <w:next w:val="1322"/>
    <w:link w:val="1499"/>
    <w:uiPriority w:val="10"/>
    <w:qFormat/>
    <w:pPr>
      <w:pBdr/>
      <w:spacing w:after="240"/>
      <w:ind/>
      <w:contextualSpacing w:val="true"/>
    </w:pPr>
    <w:rPr>
      <w:rFonts w:ascii="华文细黑" w:hAnsi="华文细黑" w:eastAsia="华文细黑" w:cstheme="majorBidi"/>
      <w:b/>
      <w:spacing w:val="-10"/>
      <w:sz w:val="36"/>
      <w:szCs w:val="56"/>
    </w:rPr>
  </w:style>
  <w:style w:type="paragraph" w:styleId="1369">
    <w:name w:val="annotation subject"/>
    <w:basedOn w:val="1341"/>
    <w:next w:val="1341"/>
    <w:link w:val="1440"/>
    <w:semiHidden/>
    <w:qFormat/>
    <w:pPr>
      <w:pBdr/>
      <w:spacing/>
      <w:ind/>
    </w:pPr>
    <w:rPr>
      <w:b/>
      <w:bCs/>
    </w:rPr>
  </w:style>
  <w:style w:type="table" w:styleId="1370">
    <w:name w:val="Table Grid"/>
    <w:basedOn w:val="1333"/>
    <w:uiPriority w:val="59"/>
    <w:qFormat/>
    <w:pPr>
      <w:pBdr/>
      <w:spacing/>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371">
    <w:name w:val="Strong"/>
    <w:qFormat/>
    <w:pPr>
      <w:pBdr/>
      <w:spacing/>
      <w:ind/>
    </w:pPr>
    <w:rPr>
      <w:b/>
    </w:rPr>
  </w:style>
  <w:style w:type="character" w:styleId="1372">
    <w:name w:val="endnote reference"/>
    <w:semiHidden/>
    <w:qFormat/>
    <w:pPr>
      <w:pBdr/>
      <w:spacing/>
      <w:ind/>
    </w:pPr>
    <w:rPr>
      <w:vertAlign w:val="superscript"/>
    </w:rPr>
  </w:style>
  <w:style w:type="character" w:styleId="1373">
    <w:name w:val="page number"/>
    <w:basedOn w:val="1332"/>
    <w:uiPriority w:val="99"/>
    <w:qFormat/>
    <w:pPr>
      <w:pBdr/>
      <w:spacing/>
      <w:ind/>
    </w:pPr>
  </w:style>
  <w:style w:type="character" w:styleId="1374">
    <w:name w:val="FollowedHyperlink"/>
    <w:qFormat/>
    <w:pPr>
      <w:pBdr/>
      <w:spacing/>
      <w:ind/>
    </w:pPr>
    <w:rPr>
      <w:color w:val="800080"/>
      <w:u w:val="single"/>
    </w:rPr>
  </w:style>
  <w:style w:type="character" w:styleId="1375">
    <w:name w:val="Hyperlink"/>
    <w:uiPriority w:val="99"/>
    <w:qFormat/>
    <w:pPr>
      <w:pBdr/>
      <w:spacing/>
      <w:ind/>
    </w:pPr>
    <w:rPr>
      <w:color w:val="0000ff"/>
      <w:u w:val="single"/>
    </w:rPr>
  </w:style>
  <w:style w:type="character" w:styleId="1376">
    <w:name w:val="annotation reference"/>
    <w:uiPriority w:val="99"/>
    <w:qFormat/>
    <w:pPr>
      <w:pBdr/>
      <w:spacing/>
      <w:ind/>
    </w:pPr>
    <w:rPr>
      <w:sz w:val="16"/>
      <w:szCs w:val="16"/>
    </w:rPr>
  </w:style>
  <w:style w:type="character" w:styleId="1377">
    <w:name w:val="footnote reference"/>
    <w:qFormat/>
    <w:pPr>
      <w:pBdr/>
      <w:spacing/>
      <w:ind/>
    </w:pPr>
    <w:rPr>
      <w:vertAlign w:val="superscript"/>
    </w:rPr>
  </w:style>
  <w:style w:type="character" w:styleId="1378" w:customStyle="1">
    <w:name w:val="Heading 1 Char"/>
    <w:link w:val="1323"/>
    <w:uiPriority w:val="1"/>
    <w:qFormat/>
    <w:pPr>
      <w:pBdr/>
      <w:spacing/>
      <w:ind/>
    </w:pPr>
    <w:rPr>
      <w:rFonts w:ascii="Arial Narrow" w:hAnsi="Arial Narrow" w:eastAsia="仿宋_GB2312" w:cs="Arial"/>
      <w:bCs/>
      <w:color w:val="486a00" w:themeColor="accent2" w:themeShade="80"/>
      <w:sz w:val="28"/>
      <w:szCs w:val="28"/>
    </w:rPr>
  </w:style>
  <w:style w:type="character" w:styleId="1379" w:customStyle="1">
    <w:name w:val="Heading 2 Char"/>
    <w:link w:val="1324"/>
    <w:uiPriority w:val="1"/>
    <w:qFormat/>
    <w:pPr>
      <w:pBdr/>
      <w:spacing/>
      <w:ind/>
    </w:pPr>
    <w:rPr>
      <w:rFonts w:ascii="Arial Narrow" w:hAnsi="Arial Narrow" w:eastAsia="仿宋_GB2312" w:cs="Arial"/>
      <w:iCs/>
      <w:color w:val="002060"/>
      <w:sz w:val="22"/>
      <w:szCs w:val="22"/>
    </w:rPr>
  </w:style>
  <w:style w:type="character" w:styleId="1380" w:customStyle="1">
    <w:name w:val="Heading 3 Char"/>
    <w:link w:val="1325"/>
    <w:uiPriority w:val="1"/>
    <w:qFormat/>
    <w:pPr>
      <w:pBdr/>
      <w:spacing/>
      <w:ind/>
    </w:pPr>
    <w:rPr>
      <w:rFonts w:ascii="Verdana" w:hAnsi="Verdana" w:eastAsia="华文细黑" w:cstheme="majorBidi"/>
      <w:b/>
      <w:bCs/>
      <w:iCs/>
      <w:color w:val="009cde"/>
      <w:sz w:val="24"/>
      <w:szCs w:val="24"/>
    </w:rPr>
  </w:style>
  <w:style w:type="character" w:styleId="1381" w:customStyle="1">
    <w:name w:val="Heading 4 Char"/>
    <w:link w:val="1326"/>
    <w:uiPriority w:val="1"/>
    <w:qFormat/>
    <w:pPr>
      <w:pBdr/>
      <w:spacing/>
      <w:ind/>
    </w:pPr>
    <w:rPr>
      <w:rFonts w:ascii="Verdana" w:hAnsi="Verdana" w:eastAsia="仿宋_GB2312" w:cstheme="majorBidi"/>
      <w:b/>
      <w:bCs/>
      <w:iCs/>
      <w:color w:val="009cde"/>
      <w:sz w:val="22"/>
      <w:szCs w:val="24"/>
    </w:rPr>
  </w:style>
  <w:style w:type="character" w:styleId="1382" w:customStyle="1">
    <w:name w:val="Heading 5 Char"/>
    <w:link w:val="1327"/>
    <w:qFormat/>
    <w:pPr>
      <w:pBdr/>
      <w:spacing/>
      <w:ind/>
    </w:pPr>
    <w:rPr>
      <w:rFonts w:ascii="'宋体" w:hAnsi="Times New Roman" w:eastAsia="'宋体"/>
    </w:rPr>
  </w:style>
  <w:style w:type="character" w:styleId="1383" w:customStyle="1">
    <w:name w:val="Heading 6 Char"/>
    <w:link w:val="1328"/>
    <w:qFormat/>
    <w:pPr>
      <w:pBdr/>
      <w:spacing/>
      <w:ind/>
    </w:pPr>
    <w:rPr>
      <w:rFonts w:ascii="Times New Roman" w:hAnsi="Times New Roman"/>
      <w:lang w:eastAsia="en-US"/>
    </w:rPr>
  </w:style>
  <w:style w:type="character" w:styleId="1384" w:customStyle="1">
    <w:name w:val="Header Char"/>
    <w:basedOn w:val="1332"/>
    <w:link w:val="1355"/>
    <w:qFormat/>
    <w:pPr>
      <w:pBdr/>
      <w:spacing/>
      <w:ind/>
    </w:pPr>
  </w:style>
  <w:style w:type="character" w:styleId="1385" w:customStyle="1">
    <w:name w:val="Footer Char"/>
    <w:basedOn w:val="1332"/>
    <w:link w:val="1354"/>
    <w:uiPriority w:val="99"/>
    <w:qFormat/>
    <w:pPr>
      <w:pBdr/>
      <w:spacing/>
      <w:ind/>
    </w:pPr>
  </w:style>
  <w:style w:type="character" w:styleId="1386" w:customStyle="1">
    <w:name w:val="Body Text Indent Char"/>
    <w:link w:val="1344"/>
    <w:qFormat/>
    <w:pPr>
      <w:pBdr/>
      <w:spacing/>
      <w:ind/>
    </w:pPr>
    <w:rPr>
      <w:rFonts w:ascii="宋体" w:hAnsi="宋体" w:eastAsia="宋体" w:cs="Times New Roman"/>
      <w:spacing w:val="-6"/>
      <w:sz w:val="20"/>
      <w:szCs w:val="20"/>
    </w:rPr>
  </w:style>
  <w:style w:type="character" w:styleId="1387" w:customStyle="1">
    <w:name w:val="Body Text 3 Char"/>
    <w:link w:val="1342"/>
    <w:qFormat/>
    <w:pPr>
      <w:pBdr/>
      <w:spacing/>
      <w:ind/>
    </w:pPr>
    <w:rPr>
      <w:rFonts w:ascii="宋体" w:hAnsi="宋体" w:eastAsia="宋体" w:cs="Times New Roman"/>
      <w:sz w:val="16"/>
      <w:szCs w:val="20"/>
      <w:lang w:eastAsia="en-US"/>
    </w:rPr>
  </w:style>
  <w:style w:type="character" w:styleId="1388" w:customStyle="1">
    <w:name w:val="Body Text Indent 2 Char"/>
    <w:link w:val="1351"/>
    <w:qFormat/>
    <w:pPr>
      <w:pBdr/>
      <w:spacing/>
      <w:ind/>
    </w:pPr>
    <w:rPr>
      <w:rFonts w:ascii="楷体" w:hAnsi="Times New Roman" w:eastAsia="楷体" w:cs="Times New Roman"/>
      <w:sz w:val="20"/>
      <w:szCs w:val="20"/>
    </w:rPr>
  </w:style>
  <w:style w:type="character" w:styleId="1389" w:customStyle="1">
    <w:name w:val="Body Text Indent 3 Char"/>
    <w:link w:val="1361"/>
    <w:qFormat/>
    <w:pPr>
      <w:pBdr/>
      <w:spacing/>
      <w:ind/>
    </w:pPr>
    <w:rPr>
      <w:rFonts w:ascii="Times New Roman" w:hAnsi="Times New Roman" w:eastAsia="'宋体" w:cs="Times New Roman"/>
      <w:sz w:val="20"/>
      <w:szCs w:val="20"/>
    </w:rPr>
  </w:style>
  <w:style w:type="paragraph" w:styleId="1390" w:customStyle="1">
    <w:name w:val="AD"/>
    <w:qFormat/>
    <w:pPr>
      <w:pBdr/>
      <w:spacing w:line="240" w:lineRule="atLeast"/>
      <w:ind/>
    </w:pPr>
    <w:rPr>
      <w:rFonts w:ascii="Palatino" w:hAnsi="Palatino"/>
      <w:sz w:val="24"/>
      <w:lang w:eastAsia="en-US"/>
    </w:rPr>
  </w:style>
  <w:style w:type="character" w:styleId="1391" w:customStyle="1">
    <w:name w:val="Body Text Char"/>
    <w:link w:val="1343"/>
    <w:qFormat/>
    <w:pPr>
      <w:pBdr/>
      <w:spacing/>
      <w:ind/>
    </w:pPr>
    <w:rPr>
      <w:rFonts w:ascii="FZFangSong-Z02" w:hAnsi="Times New Roman" w:eastAsia="FZFangSong-Z02" w:cs="Times New Roman"/>
      <w:sz w:val="20"/>
      <w:szCs w:val="20"/>
    </w:rPr>
  </w:style>
  <w:style w:type="character" w:styleId="1392" w:customStyle="1">
    <w:name w:val="Footnote Text Char"/>
    <w:link w:val="1359"/>
    <w:qFormat/>
    <w:pPr>
      <w:pBdr/>
      <w:spacing/>
      <w:ind/>
    </w:pPr>
    <w:rPr>
      <w:rFonts w:ascii="Century" w:hAnsi="Century" w:eastAsia="MS Mincho" w:cs="Times New Roman"/>
      <w:sz w:val="21"/>
      <w:szCs w:val="20"/>
      <w:lang w:eastAsia="ja-JP"/>
    </w:rPr>
  </w:style>
  <w:style w:type="character" w:styleId="1393" w:customStyle="1">
    <w:name w:val="Body Text 2 Char"/>
    <w:link w:val="1365"/>
    <w:qFormat/>
    <w:pPr>
      <w:pBdr/>
      <w:spacing/>
      <w:ind/>
    </w:pPr>
    <w:rPr>
      <w:rFonts w:ascii="FZFangSong-Z02" w:hAnsi="Times New Roman" w:eastAsia="FZFangSong-Z02" w:cs="Times New Roman"/>
      <w:sz w:val="20"/>
      <w:szCs w:val="20"/>
    </w:rPr>
  </w:style>
  <w:style w:type="paragraph" w:styleId="1394" w:customStyle="1">
    <w:name w:val="Short Return Address"/>
    <w:basedOn w:val="1322"/>
    <w:qFormat/>
    <w:pPr>
      <w:pBdr/>
      <w:spacing/>
      <w:ind/>
    </w:pPr>
  </w:style>
  <w:style w:type="paragraph" w:styleId="1395" w:customStyle="1">
    <w:name w:val="font5"/>
    <w:basedOn w:val="1322"/>
    <w:qFormat/>
    <w:pPr>
      <w:pBdr/>
      <w:spacing w:after="100" w:afterAutospacing="1" w:before="100" w:beforeAutospacing="1"/>
      <w:ind/>
    </w:pPr>
    <w:rPr>
      <w:rFonts w:ascii="Arial" w:hAnsi="Arial" w:eastAsia="Arial Unicode MS" w:cs="Arial"/>
      <w:lang w:eastAsia="en-US"/>
    </w:rPr>
  </w:style>
  <w:style w:type="paragraph" w:styleId="1396" w:customStyle="1">
    <w:name w:val="font6"/>
    <w:basedOn w:val="1322"/>
    <w:qFormat/>
    <w:pPr>
      <w:pBdr/>
      <w:spacing w:after="100" w:afterAutospacing="1" w:before="100" w:beforeAutospacing="1"/>
      <w:ind/>
    </w:pPr>
    <w:rPr>
      <w:rFonts w:hint="eastAsia" w:ascii="宋体" w:hAnsi="宋体" w:cs="Arial Unicode MS"/>
      <w:b/>
      <w:bCs/>
      <w:lang w:eastAsia="en-US"/>
    </w:rPr>
  </w:style>
  <w:style w:type="paragraph" w:styleId="1397" w:customStyle="1">
    <w:name w:val="font7"/>
    <w:basedOn w:val="1322"/>
    <w:qFormat/>
    <w:pPr>
      <w:pBdr/>
      <w:spacing w:after="100" w:afterAutospacing="1" w:before="100" w:beforeAutospacing="1"/>
      <w:ind/>
    </w:pPr>
    <w:rPr>
      <w:rFonts w:ascii="Tahoma" w:hAnsi="Tahoma" w:eastAsia="Arial Unicode MS" w:cs="Tahoma"/>
      <w:color w:val="000000"/>
      <w:sz w:val="16"/>
      <w:szCs w:val="16"/>
      <w:lang w:eastAsia="en-US"/>
    </w:rPr>
  </w:style>
  <w:style w:type="paragraph" w:styleId="1398" w:customStyle="1">
    <w:name w:val="font8"/>
    <w:basedOn w:val="1322"/>
    <w:qFormat/>
    <w:pPr>
      <w:pBdr/>
      <w:spacing w:after="100" w:afterAutospacing="1" w:before="100" w:beforeAutospacing="1"/>
      <w:ind/>
    </w:pPr>
    <w:rPr>
      <w:rFonts w:ascii="Tahoma" w:hAnsi="Tahoma" w:eastAsia="Arial Unicode MS" w:cs="Tahoma"/>
      <w:b/>
      <w:bCs/>
      <w:color w:val="000000"/>
      <w:sz w:val="16"/>
      <w:szCs w:val="16"/>
      <w:lang w:eastAsia="en-US"/>
    </w:rPr>
  </w:style>
  <w:style w:type="paragraph" w:styleId="1399" w:customStyle="1">
    <w:name w:val="font9"/>
    <w:basedOn w:val="1322"/>
    <w:qFormat/>
    <w:pPr>
      <w:pBdr/>
      <w:spacing w:after="100" w:afterAutospacing="1" w:before="100" w:beforeAutospacing="1"/>
      <w:ind/>
    </w:pPr>
    <w:rPr>
      <w:rFonts w:hint="eastAsia" w:ascii="宋体" w:hAnsi="宋体" w:cs="Arial Unicode MS"/>
      <w:color w:val="000000"/>
      <w:sz w:val="16"/>
      <w:szCs w:val="16"/>
      <w:lang w:eastAsia="en-US"/>
    </w:rPr>
  </w:style>
  <w:style w:type="paragraph" w:styleId="1400" w:customStyle="1">
    <w:name w:val="xl26"/>
    <w:basedOn w:val="1322"/>
    <w:qFormat/>
    <w:pPr>
      <w:pBdr/>
      <w:shd w:val="clear" w:color="auto" w:fill="ffffff"/>
      <w:spacing w:after="100" w:afterAutospacing="1" w:before="100" w:beforeAutospacing="1"/>
      <w:ind/>
    </w:pPr>
    <w:rPr>
      <w:rFonts w:ascii="Arial Unicode MS" w:hAnsi="Arial Unicode MS" w:eastAsia="Arial Unicode MS" w:cs="Arial Unicode MS"/>
      <w:lang w:eastAsia="en-US"/>
    </w:rPr>
  </w:style>
  <w:style w:type="paragraph" w:styleId="1401" w:customStyle="1">
    <w:name w:val="xl27"/>
    <w:basedOn w:val="1322"/>
    <w:qFormat/>
    <w:pPr>
      <w:pBdr/>
      <w:shd w:val="clear" w:color="auto" w:fill="ffffff"/>
      <w:spacing w:after="100" w:afterAutospacing="1" w:before="100" w:beforeAutospacing="1"/>
      <w:ind/>
      <w:jc w:val="right"/>
    </w:pPr>
    <w:rPr>
      <w:rFonts w:hint="eastAsia" w:ascii="宋体" w:hAnsi="宋体" w:cs="Arial Unicode MS"/>
      <w:lang w:eastAsia="en-US"/>
    </w:rPr>
  </w:style>
  <w:style w:type="paragraph" w:styleId="1402" w:customStyle="1">
    <w:name w:val="xl28"/>
    <w:basedOn w:val="1322"/>
    <w:qFormat/>
    <w:pPr>
      <w:pBdr>
        <w:top w:val="single" w:color="000000" w:sz="4" w:space="0"/>
        <w:left w:val="single" w:color="000000" w:sz="4" w:space="0"/>
        <w:bottom w:val="single" w:color="000000" w:sz="4" w:space="0"/>
        <w:right w:val="single" w:color="000000" w:sz="4" w:space="0"/>
      </w:pBdr>
      <w:shd w:val="clear" w:color="auto" w:fill="ffffff"/>
      <w:spacing w:after="100" w:afterAutospacing="1" w:before="100" w:beforeAutospacing="1"/>
      <w:ind/>
      <w:jc w:val="center"/>
    </w:pPr>
    <w:rPr>
      <w:rFonts w:hint="eastAsia" w:ascii="宋体" w:hAnsi="宋体" w:cs="Arial Unicode MS"/>
      <w:b/>
      <w:bCs/>
      <w:lang w:eastAsia="en-US"/>
    </w:rPr>
  </w:style>
  <w:style w:type="paragraph" w:styleId="1403" w:customStyle="1">
    <w:name w:val="xl29"/>
    <w:basedOn w:val="1322"/>
    <w:qFormat/>
    <w:pPr>
      <w:pBdr>
        <w:left w:val="single" w:color="000000" w:sz="4" w:space="0"/>
        <w:right w:val="single" w:color="000000" w:sz="4" w:space="0"/>
      </w:pBdr>
      <w:shd w:val="clear" w:color="auto" w:fill="ffffff"/>
      <w:spacing w:after="100" w:afterAutospacing="1" w:before="100" w:beforeAutospacing="1"/>
      <w:ind/>
    </w:pPr>
    <w:rPr>
      <w:rFonts w:hint="eastAsia" w:ascii="宋体" w:hAnsi="宋体" w:cs="Arial Unicode MS"/>
      <w:lang w:eastAsia="en-US"/>
    </w:rPr>
  </w:style>
  <w:style w:type="paragraph" w:styleId="1404" w:customStyle="1">
    <w:name w:val="xl30"/>
    <w:basedOn w:val="1322"/>
    <w:qFormat/>
    <w:pPr>
      <w:pBdr>
        <w:left w:val="single" w:color="000000" w:sz="4" w:space="0"/>
        <w:right w:val="single" w:color="000000" w:sz="4" w:space="0"/>
      </w:pBdr>
      <w:shd w:val="clear" w:color="auto" w:fill="ffffff"/>
      <w:spacing w:after="100" w:afterAutospacing="1" w:before="100" w:beforeAutospacing="1"/>
      <w:ind/>
      <w:jc w:val="center"/>
    </w:pPr>
    <w:rPr>
      <w:rFonts w:ascii="Arial Unicode MS" w:hAnsi="Arial Unicode MS" w:eastAsia="Arial Unicode MS" w:cs="Arial Unicode MS"/>
      <w:b/>
      <w:bCs/>
      <w:lang w:eastAsia="en-US"/>
    </w:rPr>
  </w:style>
  <w:style w:type="paragraph" w:styleId="1405" w:customStyle="1">
    <w:name w:val="xl31"/>
    <w:basedOn w:val="1322"/>
    <w:qFormat/>
    <w:pPr>
      <w:pBdr>
        <w:left w:val="single" w:color="000000" w:sz="4" w:space="0"/>
        <w:right w:val="single" w:color="000000" w:sz="4" w:space="0"/>
      </w:pBdr>
      <w:shd w:val="clear" w:color="auto" w:fill="ffffff"/>
      <w:spacing w:after="100" w:afterAutospacing="1" w:before="100" w:beforeAutospacing="1"/>
      <w:ind/>
    </w:pPr>
    <w:rPr>
      <w:rFonts w:ascii="Arial Unicode MS" w:hAnsi="Arial Unicode MS" w:eastAsia="Arial Unicode MS" w:cs="Arial Unicode MS"/>
      <w:lang w:eastAsia="en-US"/>
    </w:rPr>
  </w:style>
  <w:style w:type="paragraph" w:styleId="1406" w:customStyle="1">
    <w:name w:val="xl32"/>
    <w:basedOn w:val="1322"/>
    <w:qFormat/>
    <w:pPr>
      <w:pBdr>
        <w:left w:val="single" w:color="000000" w:sz="4" w:space="0"/>
        <w:right w:val="single" w:color="000000" w:sz="4" w:space="0"/>
      </w:pBdr>
      <w:shd w:val="clear" w:color="auto" w:fill="ffffff"/>
      <w:spacing w:after="100" w:afterAutospacing="1" w:before="100" w:beforeAutospacing="1"/>
      <w:ind/>
    </w:pPr>
    <w:rPr>
      <w:rFonts w:ascii="Arial Unicode MS" w:hAnsi="Arial Unicode MS" w:eastAsia="Arial Unicode MS" w:cs="Arial Unicode MS"/>
      <w:lang w:eastAsia="en-US"/>
    </w:rPr>
  </w:style>
  <w:style w:type="paragraph" w:styleId="1407" w:customStyle="1">
    <w:name w:val="xl33"/>
    <w:basedOn w:val="1322"/>
    <w:qFormat/>
    <w:pPr>
      <w:pBdr>
        <w:left w:val="single" w:color="000000" w:sz="4" w:space="0"/>
        <w:right w:val="single" w:color="000000" w:sz="4" w:space="0"/>
      </w:pBdr>
      <w:shd w:val="clear" w:color="auto" w:fill="ffffff"/>
      <w:spacing w:after="100" w:afterAutospacing="1" w:before="100" w:beforeAutospacing="1"/>
      <w:ind/>
    </w:pPr>
    <w:rPr>
      <w:rFonts w:ascii="Arial Unicode MS" w:hAnsi="Arial Unicode MS" w:eastAsia="Arial Unicode MS" w:cs="Arial Unicode MS"/>
      <w:u w:val="single"/>
      <w:lang w:eastAsia="en-US"/>
    </w:rPr>
  </w:style>
  <w:style w:type="paragraph" w:styleId="1408" w:customStyle="1">
    <w:name w:val="xl34"/>
    <w:basedOn w:val="1322"/>
    <w:qFormat/>
    <w:pPr>
      <w:pBdr>
        <w:left w:val="single" w:color="000000" w:sz="4" w:space="0"/>
        <w:right w:val="single" w:color="000000" w:sz="4" w:space="0"/>
      </w:pBdr>
      <w:shd w:val="clear" w:color="auto" w:fill="ffffff"/>
      <w:spacing w:after="100" w:afterAutospacing="1" w:before="100" w:beforeAutospacing="1"/>
      <w:ind/>
    </w:pPr>
    <w:rPr>
      <w:rFonts w:ascii="Arial Unicode MS" w:hAnsi="Arial Unicode MS" w:eastAsia="Arial Unicode MS" w:cs="Arial Unicode MS"/>
      <w:u w:val="single"/>
      <w:lang w:eastAsia="en-US"/>
    </w:rPr>
  </w:style>
  <w:style w:type="paragraph" w:styleId="1409" w:customStyle="1">
    <w:name w:val="xl35"/>
    <w:basedOn w:val="1322"/>
    <w:qFormat/>
    <w:pPr>
      <w:pBdr>
        <w:left w:val="single" w:color="000000" w:sz="4" w:space="0"/>
        <w:right w:val="single" w:color="000000" w:sz="4" w:space="0"/>
      </w:pBdr>
      <w:shd w:val="clear" w:color="auto" w:fill="ffffff"/>
      <w:spacing w:after="100" w:afterAutospacing="1" w:before="100" w:beforeAutospacing="1"/>
      <w:ind/>
    </w:pPr>
    <w:rPr>
      <w:rFonts w:ascii="Arial Unicode MS" w:hAnsi="Arial Unicode MS" w:eastAsia="Arial Unicode MS" w:cs="Arial Unicode MS"/>
      <w:lang w:eastAsia="en-US"/>
    </w:rPr>
  </w:style>
  <w:style w:type="paragraph" w:styleId="1410" w:customStyle="1">
    <w:name w:val="xl36"/>
    <w:basedOn w:val="1322"/>
    <w:qFormat/>
    <w:pPr>
      <w:pBdr>
        <w:left w:val="single" w:color="000000" w:sz="4" w:space="0"/>
        <w:right w:val="single" w:color="000000" w:sz="4" w:space="0"/>
      </w:pBdr>
      <w:shd w:val="clear" w:color="auto" w:fill="ffffff"/>
      <w:spacing w:after="100" w:afterAutospacing="1" w:before="100" w:beforeAutospacing="1"/>
      <w:ind/>
    </w:pPr>
    <w:rPr>
      <w:rFonts w:ascii="Arial Unicode MS" w:hAnsi="Arial Unicode MS" w:eastAsia="Arial Unicode MS" w:cs="Arial Unicode MS"/>
      <w:b/>
      <w:bCs/>
      <w:lang w:eastAsia="en-US"/>
    </w:rPr>
  </w:style>
  <w:style w:type="paragraph" w:styleId="1411" w:customStyle="1">
    <w:name w:val="xl37"/>
    <w:basedOn w:val="1322"/>
    <w:qFormat/>
    <w:pPr>
      <w:pBdr>
        <w:left w:val="single" w:color="000000" w:sz="4" w:space="0"/>
        <w:right w:val="single" w:color="000000" w:sz="4" w:space="0"/>
      </w:pBdr>
      <w:shd w:val="clear" w:color="auto" w:fill="ffffff"/>
      <w:spacing w:after="100" w:afterAutospacing="1" w:before="100" w:beforeAutospacing="1"/>
      <w:ind/>
    </w:pPr>
    <w:rPr>
      <w:rFonts w:ascii="Arial Unicode MS" w:hAnsi="Arial Unicode MS" w:eastAsia="Arial Unicode MS" w:cs="Arial Unicode MS"/>
      <w:lang w:eastAsia="en-US"/>
    </w:rPr>
  </w:style>
  <w:style w:type="paragraph" w:styleId="1412" w:customStyle="1">
    <w:name w:val="xl38"/>
    <w:basedOn w:val="1322"/>
    <w:qFormat/>
    <w:pPr>
      <w:pBdr>
        <w:left w:val="single" w:color="000000" w:sz="4" w:space="0"/>
        <w:right w:val="single" w:color="000000" w:sz="4" w:space="0"/>
      </w:pBdr>
      <w:shd w:val="clear" w:color="auto" w:fill="ffffff"/>
      <w:spacing w:after="100" w:afterAutospacing="1" w:before="100" w:beforeAutospacing="1"/>
      <w:ind/>
    </w:pPr>
    <w:rPr>
      <w:rFonts w:ascii="Courier New" w:hAnsi="Courier New" w:eastAsia="Arial Unicode MS" w:cs="Courier New"/>
      <w:lang w:eastAsia="en-US"/>
    </w:rPr>
  </w:style>
  <w:style w:type="paragraph" w:styleId="1413" w:customStyle="1">
    <w:name w:val="xl39"/>
    <w:basedOn w:val="1322"/>
    <w:qFormat/>
    <w:pPr>
      <w:pBdr>
        <w:left w:val="single" w:color="000000" w:sz="4" w:space="0"/>
        <w:bottom w:val="single" w:color="000000" w:sz="4" w:space="0"/>
        <w:right w:val="single" w:color="000000" w:sz="4" w:space="0"/>
      </w:pBdr>
      <w:shd w:val="clear" w:color="auto" w:fill="ffffff"/>
      <w:spacing w:after="100" w:afterAutospacing="1" w:before="100" w:beforeAutospacing="1"/>
      <w:ind/>
    </w:pPr>
    <w:rPr>
      <w:rFonts w:ascii="Courier New" w:hAnsi="Courier New" w:eastAsia="Arial Unicode MS" w:cs="Courier New"/>
      <w:lang w:eastAsia="en-US"/>
    </w:rPr>
  </w:style>
  <w:style w:type="paragraph" w:styleId="1414" w:customStyle="1">
    <w:name w:val="xl40"/>
    <w:basedOn w:val="1322"/>
    <w:qFormat/>
    <w:pPr>
      <w:pBdr>
        <w:top w:val="single" w:color="000000" w:sz="4" w:space="0"/>
        <w:left w:val="single" w:color="000000" w:sz="4" w:space="0"/>
        <w:bottom w:val="single" w:color="000000" w:sz="4" w:space="0"/>
      </w:pBdr>
      <w:shd w:val="clear" w:color="auto" w:fill="ffffff"/>
      <w:spacing w:after="100" w:afterAutospacing="1" w:before="100" w:beforeAutospacing="1"/>
      <w:ind/>
      <w:jc w:val="center"/>
    </w:pPr>
    <w:rPr>
      <w:rFonts w:hint="eastAsia" w:ascii="宋体" w:hAnsi="宋体" w:cs="Arial Unicode MS"/>
      <w:b/>
      <w:bCs/>
      <w:lang w:eastAsia="en-US"/>
    </w:rPr>
  </w:style>
  <w:style w:type="paragraph" w:styleId="1415" w:customStyle="1">
    <w:name w:val="xl41"/>
    <w:basedOn w:val="1322"/>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hint="eastAsia" w:ascii="宋体" w:hAnsi="宋体" w:cs="Arial Unicode MS"/>
      <w:b/>
      <w:bCs/>
      <w:lang w:eastAsia="en-US"/>
    </w:rPr>
  </w:style>
  <w:style w:type="paragraph" w:styleId="1416" w:customStyle="1">
    <w:name w:val="xl42"/>
    <w:basedOn w:val="1322"/>
    <w:qFormat/>
    <w:pPr>
      <w:pBdr>
        <w:left w:val="single" w:color="000000" w:sz="4" w:space="0"/>
        <w:right w:val="single" w:color="000000" w:sz="4" w:space="0"/>
      </w:pBdr>
      <w:shd w:val="clear" w:color="auto" w:fill="ffffff"/>
      <w:spacing w:after="100" w:afterAutospacing="1" w:before="100" w:beforeAutospacing="1"/>
      <w:ind/>
    </w:pPr>
    <w:rPr>
      <w:rFonts w:ascii="Arial Unicode MS" w:hAnsi="Arial Unicode MS" w:eastAsia="Arial Unicode MS" w:cs="Arial Unicode MS"/>
      <w:u w:val="single"/>
      <w:lang w:eastAsia="en-US"/>
    </w:rPr>
  </w:style>
  <w:style w:type="paragraph" w:styleId="1417" w:customStyle="1">
    <w:name w:val="xl43"/>
    <w:basedOn w:val="1322"/>
    <w:qFormat/>
    <w:pPr>
      <w:pBdr>
        <w:left w:val="single" w:color="000000" w:sz="4" w:space="0"/>
        <w:bottom w:val="single" w:color="000000" w:sz="4" w:space="0"/>
        <w:right w:val="single" w:color="000000" w:sz="4" w:space="0"/>
      </w:pBdr>
      <w:shd w:val="clear" w:color="auto" w:fill="ffffff"/>
      <w:spacing w:after="100" w:afterAutospacing="1" w:before="100" w:beforeAutospacing="1"/>
      <w:ind/>
      <w:jc w:val="center"/>
    </w:pPr>
    <w:rPr>
      <w:rFonts w:ascii="Arial Unicode MS" w:hAnsi="Arial Unicode MS" w:eastAsia="Arial Unicode MS" w:cs="Arial Unicode MS"/>
      <w:b/>
      <w:bCs/>
      <w:lang w:eastAsia="en-US"/>
    </w:rPr>
  </w:style>
  <w:style w:type="paragraph" w:styleId="1418" w:customStyle="1">
    <w:name w:val="xl44"/>
    <w:basedOn w:val="1322"/>
    <w:qFormat/>
    <w:pPr>
      <w:pBdr>
        <w:left w:val="single" w:color="000000" w:sz="4" w:space="0"/>
        <w:bottom w:val="single" w:color="000000" w:sz="4" w:space="0"/>
        <w:right w:val="single" w:color="000000" w:sz="4" w:space="0"/>
      </w:pBdr>
      <w:shd w:val="clear" w:color="auto" w:fill="ffffff"/>
      <w:spacing w:after="100" w:afterAutospacing="1" w:before="100" w:beforeAutospacing="1"/>
      <w:ind/>
    </w:pPr>
    <w:rPr>
      <w:rFonts w:ascii="Arial Unicode MS" w:hAnsi="Arial Unicode MS" w:eastAsia="Arial Unicode MS" w:cs="Arial Unicode MS"/>
      <w:lang w:eastAsia="en-US"/>
    </w:rPr>
  </w:style>
  <w:style w:type="paragraph" w:styleId="1419" w:customStyle="1">
    <w:name w:val="xl45"/>
    <w:basedOn w:val="1322"/>
    <w:qFormat/>
    <w:pPr>
      <w:pBdr>
        <w:left w:val="single" w:color="000000" w:sz="4" w:space="0"/>
        <w:right w:val="single" w:color="000000" w:sz="4" w:space="0"/>
      </w:pBdr>
      <w:shd w:val="clear" w:color="auto" w:fill="ccffcc"/>
      <w:spacing w:after="100" w:afterAutospacing="1" w:before="100" w:beforeAutospacing="1"/>
      <w:ind/>
    </w:pPr>
    <w:rPr>
      <w:rFonts w:ascii="Arial Unicode MS" w:hAnsi="Arial Unicode MS" w:eastAsia="Arial Unicode MS" w:cs="Arial Unicode MS"/>
      <w:lang w:eastAsia="en-US"/>
    </w:rPr>
  </w:style>
  <w:style w:type="paragraph" w:styleId="1420" w:customStyle="1">
    <w:name w:val="xl46"/>
    <w:basedOn w:val="1322"/>
    <w:qFormat/>
    <w:pPr>
      <w:pBdr>
        <w:left w:val="single" w:color="000000" w:sz="4" w:space="0"/>
        <w:right w:val="single" w:color="000000" w:sz="4" w:space="0"/>
      </w:pBdr>
      <w:shd w:val="clear" w:color="auto" w:fill="ccffcc"/>
      <w:spacing w:after="100" w:afterAutospacing="1" w:before="100" w:beforeAutospacing="1"/>
      <w:ind/>
    </w:pPr>
    <w:rPr>
      <w:rFonts w:ascii="Arial Unicode MS" w:hAnsi="Arial Unicode MS" w:eastAsia="Arial Unicode MS" w:cs="Arial Unicode MS"/>
      <w:u w:val="single"/>
      <w:lang w:eastAsia="en-US"/>
    </w:rPr>
  </w:style>
  <w:style w:type="paragraph" w:styleId="1421" w:customStyle="1">
    <w:name w:val="xl47"/>
    <w:basedOn w:val="1322"/>
    <w:qFormat/>
    <w:pPr>
      <w:pBdr>
        <w:left w:val="single" w:color="000000" w:sz="4" w:space="0"/>
        <w:right w:val="single" w:color="000000" w:sz="4" w:space="0"/>
      </w:pBdr>
      <w:shd w:val="clear" w:color="auto" w:fill="ccffcc"/>
      <w:spacing w:after="100" w:afterAutospacing="1" w:before="100" w:beforeAutospacing="1"/>
      <w:ind/>
    </w:pPr>
    <w:rPr>
      <w:rFonts w:ascii="Arial Unicode MS" w:hAnsi="Arial Unicode MS" w:eastAsia="Arial Unicode MS" w:cs="Arial Unicode MS"/>
      <w:lang w:eastAsia="en-US"/>
    </w:rPr>
  </w:style>
  <w:style w:type="paragraph" w:styleId="1422" w:customStyle="1">
    <w:name w:val="xl48"/>
    <w:basedOn w:val="1322"/>
    <w:qFormat/>
    <w:pPr>
      <w:pBdr>
        <w:left w:val="single" w:color="000000" w:sz="4" w:space="0"/>
        <w:right w:val="single" w:color="000000" w:sz="4" w:space="0"/>
      </w:pBdr>
      <w:shd w:val="clear" w:color="auto" w:fill="ccffcc"/>
      <w:spacing w:after="100" w:afterAutospacing="1" w:before="100" w:beforeAutospacing="1"/>
      <w:ind/>
    </w:pPr>
    <w:rPr>
      <w:rFonts w:ascii="Arial Unicode MS" w:hAnsi="Arial Unicode MS" w:eastAsia="Arial Unicode MS" w:cs="Arial Unicode MS"/>
      <w:lang w:eastAsia="en-US"/>
    </w:rPr>
  </w:style>
  <w:style w:type="paragraph" w:styleId="1423" w:customStyle="1">
    <w:name w:val="xl49"/>
    <w:basedOn w:val="1322"/>
    <w:qFormat/>
    <w:pPr>
      <w:pBdr>
        <w:left w:val="single" w:color="000000" w:sz="4" w:space="0"/>
        <w:bottom w:val="single" w:color="000000" w:sz="4" w:space="0"/>
        <w:right w:val="single" w:color="000000" w:sz="4" w:space="0"/>
      </w:pBdr>
      <w:shd w:val="clear" w:color="auto" w:fill="ccffcc"/>
      <w:spacing w:after="100" w:afterAutospacing="1" w:before="100" w:beforeAutospacing="1"/>
      <w:ind/>
    </w:pPr>
    <w:rPr>
      <w:rFonts w:ascii="Arial Unicode MS" w:hAnsi="Arial Unicode MS" w:eastAsia="Arial Unicode MS" w:cs="Arial Unicode MS"/>
      <w:lang w:eastAsia="en-US"/>
    </w:rPr>
  </w:style>
  <w:style w:type="paragraph" w:styleId="1424" w:customStyle="1">
    <w:name w:val="xl50"/>
    <w:basedOn w:val="1322"/>
    <w:qFormat/>
    <w:pPr>
      <w:pBdr>
        <w:left w:val="single" w:color="000000" w:sz="4" w:space="0"/>
        <w:right w:val="single" w:color="000000" w:sz="4" w:space="0"/>
      </w:pBdr>
      <w:shd w:val="clear" w:color="auto" w:fill="ccffcc"/>
      <w:spacing w:after="100" w:afterAutospacing="1" w:before="100" w:beforeAutospacing="1"/>
      <w:ind/>
    </w:pPr>
    <w:rPr>
      <w:rFonts w:ascii="Arial Unicode MS" w:hAnsi="Arial Unicode MS" w:eastAsia="Arial Unicode MS" w:cs="Arial Unicode MS"/>
      <w:u w:val="single"/>
      <w:lang w:eastAsia="en-US"/>
    </w:rPr>
  </w:style>
  <w:style w:type="paragraph" w:styleId="1425" w:customStyle="1">
    <w:name w:val="xl51"/>
    <w:basedOn w:val="1322"/>
    <w:qFormat/>
    <w:pPr>
      <w:pBdr>
        <w:top w:val="single" w:color="000000" w:sz="4" w:space="0"/>
        <w:left w:val="single" w:color="000000" w:sz="4" w:space="0"/>
        <w:bottom w:val="single" w:color="000000" w:sz="4" w:space="0"/>
      </w:pBdr>
      <w:shd w:val="clear" w:color="auto" w:fill="ffffff"/>
      <w:spacing w:after="100" w:afterAutospacing="1" w:before="100" w:beforeAutospacing="1"/>
      <w:ind/>
      <w:jc w:val="center"/>
    </w:pPr>
    <w:rPr>
      <w:rFonts w:ascii="Arial Unicode MS" w:hAnsi="Arial Unicode MS" w:eastAsia="Arial Unicode MS" w:cs="Arial Unicode MS"/>
      <w:b/>
      <w:bCs/>
      <w:lang w:eastAsia="en-US"/>
    </w:rPr>
  </w:style>
  <w:style w:type="paragraph" w:styleId="1426" w:customStyle="1">
    <w:name w:val="xl52"/>
    <w:basedOn w:val="1322"/>
    <w:qFormat/>
    <w:pPr>
      <w:pBdr>
        <w:top w:val="single" w:color="000000" w:sz="4" w:space="0"/>
        <w:bottom w:val="single" w:color="000000" w:sz="4" w:space="0"/>
      </w:pBdr>
      <w:shd w:val="clear" w:color="auto" w:fill="ffffff"/>
      <w:spacing w:after="100" w:afterAutospacing="1" w:before="100" w:beforeAutospacing="1"/>
      <w:ind/>
      <w:jc w:val="center"/>
    </w:pPr>
    <w:rPr>
      <w:rFonts w:ascii="Arial Unicode MS" w:hAnsi="Arial Unicode MS" w:eastAsia="Arial Unicode MS" w:cs="Arial Unicode MS"/>
      <w:b/>
      <w:bCs/>
      <w:lang w:eastAsia="en-US"/>
    </w:rPr>
  </w:style>
  <w:style w:type="paragraph" w:styleId="1427" w:customStyle="1">
    <w:name w:val="xl53"/>
    <w:basedOn w:val="1322"/>
    <w:qFormat/>
    <w:pPr>
      <w:pBdr>
        <w:top w:val="single" w:color="000000" w:sz="4" w:space="0"/>
        <w:bottom w:val="single" w:color="000000" w:sz="4" w:space="0"/>
        <w:right w:val="single" w:color="000000" w:sz="4" w:space="0"/>
      </w:pBdr>
      <w:shd w:val="clear" w:color="auto" w:fill="ffffff"/>
      <w:spacing w:after="100" w:afterAutospacing="1" w:before="100" w:beforeAutospacing="1"/>
      <w:ind/>
      <w:jc w:val="center"/>
    </w:pPr>
    <w:rPr>
      <w:rFonts w:ascii="Arial Unicode MS" w:hAnsi="Arial Unicode MS" w:eastAsia="Arial Unicode MS" w:cs="Arial Unicode MS"/>
      <w:b/>
      <w:bCs/>
      <w:lang w:eastAsia="en-US"/>
    </w:rPr>
  </w:style>
  <w:style w:type="paragraph" w:styleId="1428" w:customStyle="1">
    <w:name w:val="xl54"/>
    <w:basedOn w:val="1322"/>
    <w:qFormat/>
    <w:pPr>
      <w:pBdr>
        <w:top w:val="single" w:color="000000" w:sz="4" w:space="0"/>
        <w:left w:val="single" w:color="000000" w:sz="4" w:space="0"/>
        <w:bottom w:val="single" w:color="000000" w:sz="4" w:space="0"/>
        <w:right w:val="single" w:color="000000" w:sz="4" w:space="0"/>
      </w:pBdr>
      <w:shd w:val="clear" w:color="auto" w:fill="ffffff"/>
      <w:spacing w:after="100" w:afterAutospacing="1" w:before="100" w:beforeAutospacing="1"/>
      <w:ind/>
      <w:jc w:val="center"/>
    </w:pPr>
    <w:rPr>
      <w:rFonts w:ascii="Arial Unicode MS" w:hAnsi="Arial Unicode MS" w:eastAsia="Arial Unicode MS" w:cs="Arial Unicode MS"/>
      <w:b/>
      <w:bCs/>
      <w:lang w:eastAsia="en-US"/>
    </w:rPr>
  </w:style>
  <w:style w:type="paragraph" w:styleId="1429" w:customStyle="1">
    <w:name w:val="xl55"/>
    <w:basedOn w:val="1322"/>
    <w:qFormat/>
    <w:pPr>
      <w:pBdr>
        <w:top w:val="single" w:color="000000" w:sz="4" w:space="0"/>
        <w:left w:val="single" w:color="000000" w:sz="4" w:space="0"/>
        <w:right w:val="single" w:color="000000" w:sz="4" w:space="0"/>
      </w:pBdr>
      <w:shd w:val="clear" w:color="auto" w:fill="ccffcc"/>
      <w:spacing w:after="100" w:afterAutospacing="1" w:before="100" w:beforeAutospacing="1"/>
      <w:ind/>
      <w:jc w:val="center"/>
    </w:pPr>
    <w:rPr>
      <w:rFonts w:hint="eastAsia" w:ascii="宋体" w:hAnsi="宋体" w:cs="Arial Unicode MS"/>
      <w:b/>
      <w:bCs/>
      <w:lang w:eastAsia="en-US"/>
    </w:rPr>
  </w:style>
  <w:style w:type="paragraph" w:styleId="1430" w:customStyle="1">
    <w:name w:val="xl56"/>
    <w:basedOn w:val="1322"/>
    <w:qFormat/>
    <w:pPr>
      <w:pBdr>
        <w:left w:val="single" w:color="000000" w:sz="4" w:space="0"/>
        <w:right w:val="single" w:color="000000" w:sz="4" w:space="0"/>
      </w:pBdr>
      <w:shd w:val="clear" w:color="auto" w:fill="ccffcc"/>
      <w:spacing w:after="100" w:afterAutospacing="1" w:before="100" w:beforeAutospacing="1"/>
      <w:ind/>
      <w:jc w:val="center"/>
    </w:pPr>
    <w:rPr>
      <w:rFonts w:ascii="Arial Unicode MS" w:hAnsi="Arial Unicode MS" w:eastAsia="Arial Unicode MS" w:cs="Arial Unicode MS"/>
      <w:lang w:eastAsia="en-US"/>
    </w:rPr>
  </w:style>
  <w:style w:type="paragraph" w:styleId="1431" w:customStyle="1">
    <w:name w:val="xl57"/>
    <w:basedOn w:val="1322"/>
    <w:qFormat/>
    <w:pPr>
      <w:pBdr>
        <w:left w:val="single" w:color="000000" w:sz="4" w:space="0"/>
        <w:bottom w:val="single" w:color="000000" w:sz="4" w:space="0"/>
        <w:right w:val="single" w:color="000000" w:sz="4" w:space="0"/>
      </w:pBdr>
      <w:shd w:val="clear" w:color="auto" w:fill="ccffcc"/>
      <w:spacing w:after="100" w:afterAutospacing="1" w:before="100" w:beforeAutospacing="1"/>
      <w:ind/>
      <w:jc w:val="center"/>
    </w:pPr>
    <w:rPr>
      <w:rFonts w:ascii="Arial Unicode MS" w:hAnsi="Arial Unicode MS" w:eastAsia="Arial Unicode MS" w:cs="Arial Unicode MS"/>
      <w:lang w:eastAsia="en-US"/>
    </w:rPr>
  </w:style>
  <w:style w:type="paragraph" w:styleId="1432" w:customStyle="1">
    <w:name w:val="xl58"/>
    <w:basedOn w:val="1322"/>
    <w:qFormat/>
    <w:pPr>
      <w:pBdr>
        <w:top w:val="single" w:color="000000" w:sz="4" w:space="0"/>
        <w:left w:val="single" w:color="000000" w:sz="4" w:space="0"/>
        <w:right w:val="single" w:color="000000" w:sz="4" w:space="0"/>
      </w:pBdr>
      <w:shd w:val="clear" w:color="auto" w:fill="ffffff"/>
      <w:spacing w:after="100" w:afterAutospacing="1" w:before="100" w:beforeAutospacing="1"/>
      <w:ind/>
      <w:jc w:val="center"/>
    </w:pPr>
    <w:rPr>
      <w:rFonts w:hint="eastAsia" w:ascii="宋体" w:hAnsi="宋体" w:cs="Arial Unicode MS"/>
      <w:b/>
      <w:bCs/>
      <w:lang w:eastAsia="en-US"/>
    </w:rPr>
  </w:style>
  <w:style w:type="paragraph" w:styleId="1433" w:customStyle="1">
    <w:name w:val="xl59"/>
    <w:basedOn w:val="1322"/>
    <w:qFormat/>
    <w:pPr>
      <w:pBdr>
        <w:left w:val="single" w:color="000000" w:sz="4" w:space="0"/>
        <w:right w:val="single" w:color="000000" w:sz="4" w:space="0"/>
      </w:pBdr>
      <w:shd w:val="clear" w:color="auto" w:fill="ffffff"/>
      <w:spacing w:after="100" w:afterAutospacing="1" w:before="100" w:beforeAutospacing="1"/>
      <w:ind/>
      <w:jc w:val="center"/>
    </w:pPr>
    <w:rPr>
      <w:rFonts w:hint="eastAsia" w:ascii="宋体" w:hAnsi="宋体" w:cs="Arial Unicode MS"/>
      <w:b/>
      <w:bCs/>
      <w:lang w:eastAsia="en-US"/>
    </w:rPr>
  </w:style>
  <w:style w:type="paragraph" w:styleId="1434" w:customStyle="1">
    <w:name w:val="xl60"/>
    <w:basedOn w:val="1322"/>
    <w:qFormat/>
    <w:pPr>
      <w:pBdr>
        <w:left w:val="single" w:color="000000" w:sz="4" w:space="0"/>
        <w:bottom w:val="single" w:color="000000" w:sz="4" w:space="0"/>
        <w:right w:val="single" w:color="000000" w:sz="4" w:space="0"/>
      </w:pBdr>
      <w:shd w:val="clear" w:color="auto" w:fill="ffffff"/>
      <w:spacing w:after="100" w:afterAutospacing="1" w:before="100" w:beforeAutospacing="1"/>
      <w:ind/>
      <w:jc w:val="center"/>
    </w:pPr>
    <w:rPr>
      <w:rFonts w:ascii="Arial Unicode MS" w:hAnsi="Arial Unicode MS" w:eastAsia="Arial Unicode MS" w:cs="Arial Unicode MS"/>
      <w:b/>
      <w:bCs/>
      <w:lang w:eastAsia="en-US"/>
    </w:rPr>
  </w:style>
  <w:style w:type="paragraph" w:styleId="1435" w:customStyle="1">
    <w:name w:val="xl61"/>
    <w:basedOn w:val="1322"/>
    <w:qFormat/>
    <w:pPr>
      <w:pBdr>
        <w:left w:val="single" w:color="000000" w:sz="4" w:space="0"/>
        <w:bottom w:val="single" w:color="000000" w:sz="4" w:space="0"/>
        <w:right w:val="single" w:color="000000" w:sz="4" w:space="0"/>
      </w:pBdr>
      <w:shd w:val="clear" w:color="auto" w:fill="ffffff"/>
      <w:spacing w:after="100" w:afterAutospacing="1" w:before="100" w:beforeAutospacing="1"/>
      <w:ind/>
      <w:jc w:val="center"/>
    </w:pPr>
    <w:rPr>
      <w:rFonts w:hint="eastAsia" w:ascii="宋体" w:hAnsi="宋体" w:cs="Arial Unicode MS"/>
      <w:b/>
      <w:bCs/>
      <w:lang w:eastAsia="en-US"/>
    </w:rPr>
  </w:style>
  <w:style w:type="character" w:styleId="1436" w:customStyle="1">
    <w:name w:val="new-1"/>
    <w:basedOn w:val="1332"/>
    <w:qFormat/>
    <w:pPr>
      <w:pBdr/>
      <w:spacing/>
      <w:ind/>
    </w:pPr>
  </w:style>
  <w:style w:type="paragraph" w:styleId="1437" w:customStyle="1">
    <w:name w:val="MC Text"/>
    <w:basedOn w:val="1322"/>
    <w:qFormat/>
    <w:pPr>
      <w:pBdr/>
      <w:spacing w:before="240" w:line="360" w:lineRule="auto"/>
      <w:ind/>
      <w:jc w:val="both"/>
    </w:pPr>
    <w:rPr>
      <w:sz w:val="22"/>
    </w:rPr>
  </w:style>
  <w:style w:type="character" w:styleId="1438" w:customStyle="1">
    <w:name w:val="Balloon Text Char"/>
    <w:link w:val="1353"/>
    <w:semiHidden/>
    <w:qFormat/>
    <w:pPr>
      <w:pBdr/>
      <w:spacing/>
      <w:ind/>
    </w:pPr>
    <w:rPr>
      <w:rFonts w:ascii="Tahoma" w:hAnsi="Tahoma" w:eastAsia="宋体" w:cs="Tahoma"/>
      <w:sz w:val="16"/>
      <w:szCs w:val="16"/>
    </w:rPr>
  </w:style>
  <w:style w:type="character" w:styleId="1439" w:customStyle="1">
    <w:name w:val="Comment Text Char"/>
    <w:link w:val="1341"/>
    <w:semiHidden/>
    <w:qFormat/>
    <w:pPr>
      <w:pBdr/>
      <w:spacing/>
      <w:ind/>
    </w:pPr>
    <w:rPr>
      <w:rFonts w:ascii="Times New Roman" w:hAnsi="Times New Roman" w:eastAsia="宋体" w:cs="Times New Roman"/>
      <w:sz w:val="20"/>
      <w:szCs w:val="20"/>
    </w:rPr>
  </w:style>
  <w:style w:type="character" w:styleId="1440" w:customStyle="1">
    <w:name w:val="Comment Subject Char"/>
    <w:link w:val="1369"/>
    <w:semiHidden/>
    <w:qFormat/>
    <w:pPr>
      <w:pBdr/>
      <w:spacing/>
      <w:ind/>
    </w:pPr>
    <w:rPr>
      <w:rFonts w:ascii="Times New Roman" w:hAnsi="Times New Roman" w:eastAsia="宋体" w:cs="Times New Roman"/>
      <w:b/>
      <w:bCs/>
      <w:sz w:val="20"/>
      <w:szCs w:val="20"/>
    </w:rPr>
  </w:style>
  <w:style w:type="character" w:styleId="1441" w:customStyle="1">
    <w:name w:val="Endnote Text Char"/>
    <w:link w:val="1352"/>
    <w:semiHidden/>
    <w:qFormat/>
    <w:pPr>
      <w:pBdr/>
      <w:spacing/>
      <w:ind/>
    </w:pPr>
    <w:rPr>
      <w:rFonts w:ascii="Times New Roman" w:hAnsi="Times New Roman" w:eastAsia="宋体" w:cs="Times New Roman"/>
      <w:sz w:val="20"/>
      <w:szCs w:val="20"/>
    </w:rPr>
  </w:style>
  <w:style w:type="paragraph" w:styleId="1442" w:customStyle="1">
    <w:name w:val="修订1"/>
    <w:hidden/>
    <w:uiPriority w:val="99"/>
    <w:semiHidden/>
    <w:qFormat/>
    <w:pPr>
      <w:pBdr/>
      <w:spacing/>
      <w:ind/>
    </w:pPr>
  </w:style>
  <w:style w:type="paragraph" w:styleId="1443" w:customStyle="1">
    <w:name w:val="列出段落1"/>
    <w:basedOn w:val="1322"/>
    <w:link w:val="1505"/>
    <w:uiPriority w:val="99"/>
    <w:qFormat/>
    <w:pPr>
      <w:pBdr/>
      <w:spacing w:after="120"/>
      <w:ind w:left="720"/>
      <w:contextualSpacing w:val="true"/>
    </w:pPr>
    <w:rPr>
      <w:rFonts w:ascii="Calibri" w:hAnsi="Calibri"/>
      <w:sz w:val="22"/>
      <w:szCs w:val="22"/>
      <w:lang w:val="en-GB"/>
    </w:rPr>
  </w:style>
  <w:style w:type="paragraph" w:styleId="1444" w:customStyle="1">
    <w:name w:val="Coverpage Title"/>
    <w:basedOn w:val="1322"/>
    <w:qFormat/>
    <w:pPr>
      <w:keepNext w:val="true"/>
      <w:widowControl w:val="false"/>
      <w:pBdr/>
      <w:spacing w:after="290" w:before="1800" w:line="240" w:lineRule="atLeast"/>
      <w:ind/>
      <w:outlineLvl w:val="3"/>
    </w:pPr>
    <w:rPr>
      <w:rFonts w:ascii="Arial" w:hAnsi="Arial" w:eastAsia="华文楷体"/>
      <w:b/>
      <w:bCs/>
      <w:sz w:val="72"/>
      <w:lang w:val="en-GB" w:eastAsia="en-US"/>
    </w:rPr>
  </w:style>
  <w:style w:type="paragraph" w:styleId="1445" w:customStyle="1">
    <w:name w:val="Coverpage Subtitle"/>
    <w:basedOn w:val="1322"/>
    <w:qFormat/>
    <w:pPr>
      <w:pBdr/>
      <w:spacing/>
      <w:ind/>
    </w:pPr>
    <w:rPr>
      <w:rFonts w:ascii="Arial" w:hAnsi="Arial" w:eastAsia="华文楷体"/>
      <w:b/>
      <w:sz w:val="44"/>
      <w:szCs w:val="24"/>
    </w:rPr>
  </w:style>
  <w:style w:type="paragraph" w:styleId="1446" w:customStyle="1">
    <w:name w:val="Coverpage Text"/>
    <w:basedOn w:val="1322"/>
    <w:qFormat/>
    <w:pPr>
      <w:pBdr/>
      <w:spacing w:line="240" w:lineRule="atLeast"/>
      <w:ind/>
    </w:pPr>
    <w:rPr>
      <w:rFonts w:ascii="Arial" w:hAnsi="Arial" w:eastAsia="华文楷体"/>
      <w:sz w:val="32"/>
      <w:szCs w:val="24"/>
      <w:lang w:val="en-GB"/>
    </w:rPr>
  </w:style>
  <w:style w:type="paragraph" w:styleId="1447" w:customStyle="1">
    <w:name w:val="Table Text"/>
    <w:basedOn w:val="1322"/>
    <w:link w:val="1448"/>
    <w:qFormat/>
    <w:pPr>
      <w:pBdr/>
      <w:spacing w:after="20" w:before="20" w:line="240" w:lineRule="atLeast"/>
      <w:ind/>
    </w:pPr>
    <w:rPr>
      <w:rFonts w:ascii="Arial" w:hAnsi="Arial" w:eastAsia="华文楷体"/>
      <w:sz w:val="22"/>
      <w:szCs w:val="18"/>
      <w:lang w:val="en-GB" w:eastAsia="en-US"/>
    </w:rPr>
  </w:style>
  <w:style w:type="character" w:styleId="1448" w:customStyle="1">
    <w:name w:val="Table Text Char"/>
    <w:link w:val="1447"/>
    <w:qFormat/>
    <w:pPr>
      <w:pBdr/>
      <w:spacing/>
      <w:ind/>
    </w:pPr>
    <w:rPr>
      <w:rFonts w:ascii="Arial" w:hAnsi="Arial" w:eastAsia="华文楷体" w:cs="Times New Roman"/>
      <w:szCs w:val="18"/>
      <w:lang w:val="en-GB" w:eastAsia="en-US"/>
    </w:rPr>
  </w:style>
  <w:style w:type="paragraph" w:styleId="1449" w:customStyle="1">
    <w:name w:val="Body copy"/>
    <w:basedOn w:val="1322"/>
    <w:link w:val="1450"/>
    <w:qFormat/>
    <w:pPr>
      <w:pBdr/>
      <w:spacing w:after="113" w:line="240" w:lineRule="atLeast"/>
      <w:ind/>
    </w:pPr>
    <w:rPr>
      <w:sz w:val="22"/>
      <w:szCs w:val="24"/>
      <w:lang w:val="en-AU" w:eastAsia="en-US"/>
    </w:rPr>
  </w:style>
  <w:style w:type="character" w:styleId="1450" w:customStyle="1">
    <w:name w:val="Body copy Char"/>
    <w:link w:val="1449"/>
    <w:qFormat/>
    <w:pPr>
      <w:pBdr/>
      <w:spacing/>
      <w:ind/>
    </w:pPr>
    <w:rPr>
      <w:rFonts w:ascii="Times New Roman" w:hAnsi="Times New Roman" w:eastAsia="宋体" w:cs="Times New Roman"/>
      <w:szCs w:val="24"/>
      <w:lang w:val="en-AU" w:eastAsia="en-US"/>
    </w:rPr>
  </w:style>
  <w:style w:type="character" w:styleId="1451" w:customStyle="1">
    <w:name w:val="medium_text1"/>
    <w:qFormat/>
    <w:pPr>
      <w:pBdr/>
      <w:spacing/>
      <w:ind/>
    </w:pPr>
    <w:rPr>
      <w:sz w:val="24"/>
      <w:szCs w:val="24"/>
    </w:rPr>
  </w:style>
  <w:style w:type="character" w:styleId="1452" w:customStyle="1">
    <w:name w:val="short_text1"/>
    <w:qFormat/>
    <w:pPr>
      <w:pBdr/>
      <w:spacing/>
      <w:ind/>
    </w:pPr>
    <w:rPr>
      <w:sz w:val="29"/>
      <w:szCs w:val="29"/>
    </w:rPr>
  </w:style>
  <w:style w:type="paragraph" w:styleId="1453" w:customStyle="1">
    <w:name w:val="F中文正文"/>
    <w:basedOn w:val="1322"/>
    <w:link w:val="1454"/>
    <w:qFormat/>
    <w:pPr>
      <w:pBdr/>
      <w:spacing w:after="120" w:before="120" w:line="360" w:lineRule="auto"/>
      <w:ind w:firstLine="432"/>
      <w:jc w:val="both"/>
    </w:pPr>
    <w:rPr>
      <w:sz w:val="22"/>
      <w:szCs w:val="22"/>
      <w:lang w:eastAsia="en-US"/>
    </w:rPr>
  </w:style>
  <w:style w:type="character" w:styleId="1454" w:customStyle="1">
    <w:name w:val="F中文正文 Char"/>
    <w:link w:val="1453"/>
    <w:qFormat/>
    <w:pPr>
      <w:pBdr/>
      <w:spacing/>
      <w:ind/>
    </w:pPr>
    <w:rPr>
      <w:rFonts w:ascii="Times New Roman" w:hAnsi="Times New Roman" w:eastAsia="宋体" w:cs="Times New Roman"/>
      <w:lang w:eastAsia="en-US"/>
    </w:rPr>
  </w:style>
  <w:style w:type="character" w:styleId="1455" w:customStyle="1">
    <w:name w:val="Note Heading Char"/>
    <w:link w:val="1336"/>
    <w:qFormat/>
    <w:pPr>
      <w:pBdr/>
      <w:spacing/>
      <w:ind/>
    </w:pPr>
    <w:rPr>
      <w:rFonts w:ascii="EYInterstate Light" w:hAnsi="EYInterstate Light" w:cs="Arial"/>
      <w:b/>
      <w:sz w:val="18"/>
      <w:lang w:eastAsia="en-US"/>
    </w:rPr>
  </w:style>
  <w:style w:type="character" w:styleId="1456" w:customStyle="1">
    <w:name w:val="main_content_text1"/>
    <w:qFormat/>
    <w:pPr>
      <w:pBdr/>
      <w:spacing/>
      <w:ind/>
    </w:pPr>
    <w:rPr>
      <w:rFonts w:hint="default" w:ascii="Arial" w:hAnsi="Arial" w:cs="Arial"/>
      <w:color w:val="000000"/>
      <w:sz w:val="18"/>
      <w:szCs w:val="18"/>
    </w:rPr>
  </w:style>
  <w:style w:type="paragraph" w:styleId="1457" w:customStyle="1">
    <w:name w:val="Instructions - body text"/>
    <w:basedOn w:val="1322"/>
    <w:next w:val="1322"/>
    <w:link w:val="1458"/>
    <w:qFormat/>
    <w:pPr>
      <w:pBdr/>
      <w:spacing w:after="120" w:before="120" w:line="360" w:lineRule="auto"/>
      <w:ind/>
    </w:pPr>
    <w:rPr>
      <w:rFonts w:ascii="Arial" w:hAnsi="Arial" w:cs="Arial"/>
      <w:iCs/>
      <w:color w:val="0000ff"/>
      <w:lang w:eastAsia="en-US"/>
    </w:rPr>
  </w:style>
  <w:style w:type="character" w:styleId="1458" w:customStyle="1">
    <w:name w:val="Instructions - body text Char"/>
    <w:link w:val="1457"/>
    <w:qFormat/>
    <w:pPr>
      <w:pBdr/>
      <w:spacing/>
      <w:ind/>
    </w:pPr>
    <w:rPr>
      <w:rFonts w:cs="Arial"/>
      <w:iCs/>
      <w:color w:val="0000ff"/>
      <w:lang w:eastAsia="en-US"/>
    </w:rPr>
  </w:style>
  <w:style w:type="character" w:styleId="1459" w:customStyle="1">
    <w:name w:val="Heading 7 Char"/>
    <w:link w:val="1329"/>
    <w:uiPriority w:val="9"/>
    <w:semiHidden/>
    <w:qFormat/>
    <w:pPr>
      <w:pBdr/>
      <w:spacing/>
      <w:ind/>
    </w:pPr>
    <w:rPr>
      <w:rFonts w:ascii="Calibri" w:hAnsi="Calibri" w:eastAsia="宋体" w:cs="Times New Roman"/>
      <w:sz w:val="24"/>
      <w:szCs w:val="24"/>
    </w:rPr>
  </w:style>
  <w:style w:type="character" w:styleId="1460" w:customStyle="1">
    <w:name w:val="Heading 8 Char"/>
    <w:link w:val="1330"/>
    <w:uiPriority w:val="9"/>
    <w:semiHidden/>
    <w:qFormat/>
    <w:pPr>
      <w:pBdr/>
      <w:spacing/>
      <w:ind/>
    </w:pPr>
    <w:rPr>
      <w:rFonts w:ascii="Calibri" w:hAnsi="Calibri" w:eastAsia="宋体" w:cs="Times New Roman"/>
      <w:i/>
      <w:iCs/>
      <w:sz w:val="24"/>
      <w:szCs w:val="24"/>
    </w:rPr>
  </w:style>
  <w:style w:type="character" w:styleId="1461" w:customStyle="1">
    <w:name w:val="Heading 9 Char"/>
    <w:link w:val="1331"/>
    <w:uiPriority w:val="9"/>
    <w:semiHidden/>
    <w:qFormat/>
    <w:pPr>
      <w:pBdr/>
      <w:spacing/>
      <w:ind/>
    </w:pPr>
    <w:rPr>
      <w:rFonts w:ascii="Cambria" w:hAnsi="Cambria" w:eastAsia="宋体" w:cs="Times New Roman"/>
      <w:sz w:val="22"/>
      <w:szCs w:val="22"/>
    </w:rPr>
  </w:style>
  <w:style w:type="paragraph" w:styleId="1462" w:customStyle="1">
    <w:name w:val="Bullet numbers"/>
    <w:basedOn w:val="1322"/>
    <w:next w:val="1322"/>
    <w:qFormat/>
    <w:pPr>
      <w:pBdr/>
      <w:spacing w:after="120" w:before="120" w:line="360" w:lineRule="auto"/>
      <w:ind/>
    </w:pPr>
    <w:rPr>
      <w:rFonts w:ascii="EYInterstate Light" w:hAnsi="EYInterstate Light" w:cs="Arial"/>
      <w:lang w:val="en-GB"/>
    </w:rPr>
  </w:style>
  <w:style w:type="paragraph" w:styleId="1463" w:customStyle="1">
    <w:name w:val="TOC 标题1"/>
    <w:basedOn w:val="1323"/>
    <w:next w:val="1322"/>
    <w:uiPriority w:val="39"/>
    <w:unhideWhenUsed/>
    <w:qFormat/>
    <w:pPr>
      <w:keepLines w:val="true"/>
      <w:pBdr/>
      <w:spacing w:after="0" w:before="480" w:line="276" w:lineRule="auto"/>
      <w:ind/>
      <w:outlineLvl w:val="9"/>
    </w:pPr>
    <w:rPr>
      <w:rFonts w:ascii="Cambria" w:hAnsi="Cambria" w:cs="Times New Roman"/>
      <w:color w:val="365f91"/>
      <w:lang w:eastAsia="en-US"/>
    </w:rPr>
  </w:style>
  <w:style w:type="paragraph" w:styleId="1464" w:customStyle="1">
    <w:name w:val="Headline 2"/>
    <w:qFormat/>
    <w:pPr>
      <w:pBdr/>
      <w:spacing w:line="470" w:lineRule="exact"/>
      <w:ind/>
    </w:pPr>
    <w:rPr>
      <w:rFonts w:ascii="Arial" w:hAnsi="Arial" w:eastAsia="黑体" w:cs="Arial"/>
      <w:bCs/>
      <w:sz w:val="36"/>
      <w:szCs w:val="48"/>
      <w:lang w:val="en-GB" w:eastAsia="en-US"/>
    </w:rPr>
  </w:style>
  <w:style w:type="character" w:styleId="1465" w:customStyle="1">
    <w:name w:val="Document Map Char"/>
    <w:link w:val="1340"/>
    <w:uiPriority w:val="99"/>
    <w:semiHidden/>
    <w:qFormat/>
    <w:pPr>
      <w:pBdr/>
      <w:spacing/>
      <w:ind/>
    </w:pPr>
    <w:rPr>
      <w:rFonts w:ascii="Tahoma" w:hAnsi="Tahoma" w:cs="Tahoma"/>
      <w:sz w:val="16"/>
      <w:szCs w:val="16"/>
    </w:rPr>
  </w:style>
  <w:style w:type="paragraph" w:styleId="1466" w:customStyle="1">
    <w:name w:val="Table bullet"/>
    <w:basedOn w:val="1322"/>
    <w:qFormat/>
    <w:pPr>
      <w:numPr>
        <w:ilvl w:val="0"/>
        <w:numId w:val="3"/>
      </w:numPr>
      <w:pBdr/>
      <w:spacing w:before="120"/>
      <w:ind/>
    </w:pPr>
    <w:rPr>
      <w:lang w:eastAsia="en-US"/>
    </w:rPr>
  </w:style>
  <w:style w:type="paragraph" w:styleId="1467" w:customStyle="1">
    <w:name w:val="Tableau texte"/>
    <w:basedOn w:val="1322"/>
    <w:qFormat/>
    <w:pPr>
      <w:pBdr/>
      <w:spacing w:before="60" w:line="240" w:lineRule="exact"/>
      <w:ind/>
    </w:pPr>
    <w:rPr>
      <w:rFonts w:ascii="EY Gothic Comp Book" w:hAnsi="EY Gothic Comp Book" w:eastAsia="Times New Roman"/>
      <w:lang w:eastAsia="en-US"/>
    </w:rPr>
  </w:style>
  <w:style w:type="paragraph" w:styleId="1468" w:customStyle="1">
    <w:name w:val="引用1"/>
    <w:basedOn w:val="1322"/>
    <w:link w:val="1469"/>
    <w:qFormat/>
    <w:pPr>
      <w:pBdr/>
      <w:spacing w:after="180" w:before="120" w:line="360" w:lineRule="exact"/>
      <w:ind w:left="720"/>
    </w:pPr>
    <w:rPr>
      <w:rFonts w:ascii="EYInterstate Light" w:hAnsi="EYInterstate Light" w:cs="Arial"/>
      <w:bCs/>
      <w:i/>
      <w:spacing w:val="-10"/>
      <w:szCs w:val="48"/>
      <w:lang w:eastAsia="en-US"/>
    </w:rPr>
  </w:style>
  <w:style w:type="character" w:styleId="1469" w:customStyle="1">
    <w:name w:val="引用 字符"/>
    <w:link w:val="1468"/>
    <w:qFormat/>
    <w:pPr>
      <w:pBdr/>
      <w:spacing/>
      <w:ind/>
    </w:pPr>
    <w:rPr>
      <w:rFonts w:ascii="EYInterstate Light" w:hAnsi="EYInterstate Light" w:cs="Arial"/>
      <w:bCs/>
      <w:i/>
      <w:spacing w:val="-10"/>
      <w:szCs w:val="48"/>
      <w:lang w:eastAsia="en-US"/>
    </w:rPr>
  </w:style>
  <w:style w:type="paragraph" w:styleId="1470" w:customStyle="1">
    <w:name w:val="List Bullet + Blue"/>
    <w:basedOn w:val="1339"/>
    <w:link w:val="1471"/>
    <w:qFormat/>
    <w:pPr>
      <w:pBdr/>
      <w:tabs>
        <w:tab w:val="left" w:leader="none" w:pos="595"/>
      </w:tabs>
      <w:spacing/>
      <w:ind w:hanging="595" w:left="595"/>
    </w:pPr>
    <w:rPr>
      <w:rFonts w:ascii="Arial" w:hAnsi="Arial" w:eastAsia="华文楷体"/>
      <w:color w:val="0099cc"/>
      <w:sz w:val="22"/>
      <w:lang w:val="en-GB" w:eastAsia="en-US"/>
    </w:rPr>
  </w:style>
  <w:style w:type="character" w:styleId="1471" w:customStyle="1">
    <w:name w:val="List Bullet + Blue Char"/>
    <w:link w:val="1470"/>
    <w:qFormat/>
    <w:pPr>
      <w:pBdr/>
      <w:spacing/>
      <w:ind/>
    </w:pPr>
    <w:rPr>
      <w:rFonts w:eastAsia="华文楷体"/>
      <w:color w:val="0099cc"/>
      <w:sz w:val="22"/>
      <w:lang w:val="en-GB" w:eastAsia="en-US"/>
    </w:rPr>
  </w:style>
  <w:style w:type="paragraph" w:styleId="1472" w:customStyle="1">
    <w:name w:val="Bullet EY"/>
    <w:basedOn w:val="1322"/>
    <w:next w:val="1322"/>
    <w:qFormat/>
    <w:pPr>
      <w:pBdr/>
      <w:spacing w:after="240" w:before="120" w:line="360" w:lineRule="auto"/>
      <w:ind/>
    </w:pPr>
    <w:rPr>
      <w:rFonts w:ascii="EYInterstate Light" w:hAnsi="EYInterstate Light" w:cs="Arial"/>
      <w:szCs w:val="18"/>
      <w:lang w:eastAsia="en-US"/>
    </w:rPr>
  </w:style>
  <w:style w:type="paragraph" w:styleId="1473" w:customStyle="1">
    <w:name w:val="Body Text  Bold"/>
    <w:basedOn w:val="1343"/>
    <w:qFormat/>
    <w:pPr>
      <w:numPr>
        <w:ilvl w:val="0"/>
        <w:numId w:val="4"/>
      </w:numPr>
      <w:pBdr/>
      <w:tabs>
        <w:tab w:val="clear" w:leader="none" w:pos="595"/>
      </w:tabs>
      <w:spacing w:after="240" w:before="0" w:line="240" w:lineRule="atLeast"/>
      <w:ind w:right="0" w:firstLine="0" w:left="0"/>
      <w:jc w:val="left"/>
    </w:pPr>
    <w:rPr>
      <w:rFonts w:ascii="Arial" w:hAnsi="Arial" w:eastAsia="华文楷体"/>
      <w:b/>
      <w:bCs/>
      <w:sz w:val="22"/>
      <w:szCs w:val="22"/>
      <w:lang w:val="en-GB" w:eastAsia="en-US"/>
    </w:rPr>
  </w:style>
  <w:style w:type="paragraph" w:styleId="1474" w:customStyle="1">
    <w:name w:val="Exhibit Textbox Text"/>
    <w:basedOn w:val="1322"/>
    <w:qFormat/>
    <w:pPr>
      <w:pBdr/>
      <w:spacing w:after="120" w:before="120"/>
      <w:ind/>
      <w:jc w:val="center"/>
    </w:pPr>
    <w:rPr>
      <w:rFonts w:ascii="Arial" w:hAnsi="Arial" w:eastAsia="华文楷体"/>
      <w:szCs w:val="18"/>
      <w:lang w:val="en-GB" w:eastAsia="en-US"/>
    </w:rPr>
  </w:style>
  <w:style w:type="paragraph" w:styleId="1475" w:customStyle="1">
    <w:name w:val="Body Text Blue"/>
    <w:basedOn w:val="1343"/>
    <w:link w:val="1476"/>
    <w:qFormat/>
    <w:pPr>
      <w:pBdr/>
      <w:spacing w:after="240" w:before="0" w:line="240" w:lineRule="atLeast"/>
      <w:ind w:right="0"/>
      <w:jc w:val="left"/>
    </w:pPr>
    <w:rPr>
      <w:rFonts w:ascii="Arial" w:hAnsi="Arial" w:eastAsia="华文楷体"/>
      <w:color w:val="0099cc"/>
      <w:sz w:val="22"/>
      <w:szCs w:val="22"/>
      <w:lang w:val="en-GB" w:eastAsia="en-US"/>
    </w:rPr>
  </w:style>
  <w:style w:type="character" w:styleId="1476" w:customStyle="1">
    <w:name w:val="Body Text Blue Char"/>
    <w:link w:val="1475"/>
    <w:qFormat/>
    <w:pPr>
      <w:pBdr/>
      <w:spacing/>
      <w:ind/>
    </w:pPr>
    <w:rPr>
      <w:rFonts w:ascii="FZFangSong-Z02" w:hAnsi="Times New Roman" w:eastAsia="华文楷体" w:cs="Times New Roman"/>
      <w:color w:val="0099cc"/>
      <w:sz w:val="22"/>
      <w:szCs w:val="22"/>
      <w:lang w:val="en-GB" w:eastAsia="en-US"/>
    </w:rPr>
  </w:style>
  <w:style w:type="paragraph" w:styleId="1477" w:customStyle="1">
    <w:name w:val="EY Body text (with para space)"/>
    <w:basedOn w:val="1322"/>
    <w:link w:val="1478"/>
    <w:qFormat/>
    <w:pPr>
      <w:numPr>
        <w:ilvl w:val="4"/>
        <w:numId w:val="5"/>
      </w:numPr>
      <w:pBdr/>
      <w:spacing w:after="240"/>
      <w:ind/>
      <w:outlineLvl w:val="0"/>
    </w:pPr>
    <w:rPr>
      <w:rFonts w:ascii="EYInterstate Light" w:hAnsi="EYInterstate Light"/>
      <w:szCs w:val="24"/>
      <w:lang w:val="en-GB" w:eastAsia="en-US"/>
    </w:rPr>
  </w:style>
  <w:style w:type="character" w:styleId="1478" w:customStyle="1">
    <w:name w:val="EY Body text (with para space) Char"/>
    <w:link w:val="1477"/>
    <w:qFormat/>
    <w:pPr>
      <w:pBdr/>
      <w:spacing/>
      <w:ind/>
    </w:pPr>
    <w:rPr>
      <w:rFonts w:ascii="EYInterstate Light" w:hAnsi="EYInterstate Light"/>
      <w:szCs w:val="24"/>
      <w:lang w:val="en-GB" w:eastAsia="en-US"/>
    </w:rPr>
  </w:style>
  <w:style w:type="paragraph" w:styleId="1479" w:customStyle="1">
    <w:name w:val="BodyCopy"/>
    <w:basedOn w:val="1322"/>
    <w:qFormat/>
    <w:pPr>
      <w:pBdr/>
      <w:spacing w:after="260"/>
      <w:ind/>
    </w:pPr>
    <w:rPr>
      <w:sz w:val="22"/>
      <w:szCs w:val="24"/>
      <w:lang w:eastAsia="en-US"/>
    </w:rPr>
  </w:style>
  <w:style w:type="table" w:styleId="1480" w:customStyle="1">
    <w:name w:val="清单表 2 - 着色 41"/>
    <w:basedOn w:val="1333"/>
    <w:uiPriority w:val="47"/>
    <w:qFormat/>
    <w:pPr>
      <w:pBdr/>
      <w:spacing/>
      <w:ind/>
    </w:pPr>
    <w:tblPr>
      <w:tblInd w:w="0" w:type="dxa"/>
      <w:tblBorders>
        <w:top w:val="single" w:color="7ace6c" w:themeColor="accent4" w:themeTint="99" w:sz="4" w:space="0"/>
        <w:bottom w:val="single" w:color="7ace6c" w:themeColor="accent4" w:themeTint="99" w:sz="4" w:space="0"/>
        <w:insideH w:val="single" w:color="7ace6c" w:themeColor="accent4" w:themeTint="99" w:sz="4" w:space="0"/>
      </w:tblBorders>
      <w:tblCellMar>
        <w:left w:w="108" w:type="dxa"/>
        <w:top w:w="0" w:type="dxa"/>
        <w:right w:w="108" w:type="dxa"/>
        <w:bottom w:w="0" w:type="dxa"/>
      </w:tblCellMar>
    </w:tblPr>
    <w:tcPr>
      <w:tcBorders/>
    </w:tcPr>
    <w:tblStylePr w:type="band1Horz">
      <w:pPr>
        <w:pBdr/>
        <w:spacing/>
        <w:ind/>
      </w:pPr>
      <w:tblPr>
        <w:tblBorders/>
      </w:tblPr>
      <w:tcPr>
        <w:shd w:val="clear" w:color="auto" w:fill="d2eece" w:themeFill="accent4" w:themeFillTint="33"/>
        <w:tcBorders/>
      </w:tcPr>
    </w:tblStylePr>
    <w:tblStylePr w:type="band1Vert">
      <w:pPr>
        <w:pBdr/>
        <w:spacing/>
        <w:ind/>
      </w:pPr>
      <w:tblPr>
        <w:tblBorders/>
      </w:tblPr>
      <w:tcPr>
        <w:shd w:val="clear" w:color="auto" w:fill="d2eece"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1" w:customStyle="1">
    <w:name w:val="清单表 7 彩色 - 着色 41"/>
    <w:basedOn w:val="1333"/>
    <w:uiPriority w:val="52"/>
    <w:qFormat/>
    <w:pPr>
      <w:pBdr/>
      <w:spacing/>
      <w:ind/>
    </w:pPr>
    <w:rPr>
      <w:color w:val="2c6722" w:themeColor="accent4" w:themeShade="BF"/>
    </w:rPr>
    <w:tblPr>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auto" w:fill="d2eece" w:themeFill="accent4" w:themeFillTint="33"/>
        <w:tcBorders/>
      </w:tcPr>
    </w:tblStylePr>
    <w:tblStylePr w:type="band1Vert">
      <w:pPr>
        <w:pBdr/>
        <w:spacing/>
        <w:ind/>
      </w:pPr>
      <w:tblPr>
        <w:tblBorders/>
      </w:tblPr>
      <w:tcPr>
        <w:shd w:val="clear" w:color="auto" w:fill="d2eece"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Theme="majorHAnsi" w:hAnsiTheme="majorHAnsi" w:eastAsiaTheme="majorEastAsia" w:cstheme="majorBidi"/>
        <w:i/>
        <w:iCs/>
        <w:sz w:val="26"/>
      </w:rPr>
      <w:pPr>
        <w:pBdr/>
        <w:spacing/>
        <w:ind/>
        <w:jc w:val="right"/>
      </w:pPr>
      <w:tblPr>
        <w:tblBorders/>
      </w:tblPr>
      <w:tcPr>
        <w:shd w:val="clear" w:color="auto" w:fill="ffffff" w:themeFill="background1"/>
        <w:tcBorders>
          <w:right w:val="single" w:color="3c8a2e" w:themeColor="accent4" w:sz="4" w:space="0"/>
        </w:tcBorders>
      </w:tcPr>
    </w:tblStylePr>
    <w:tblStylePr w:type="firstRow">
      <w:rPr>
        <w:rFonts w:asciiTheme="majorHAnsi" w:hAnsiTheme="majorHAnsi" w:eastAsiaTheme="majorEastAsia" w:cstheme="majorBidi"/>
        <w:i/>
        <w:iCs/>
        <w:sz w:val="26"/>
      </w:rPr>
      <w:pPr>
        <w:pBdr/>
        <w:spacing/>
        <w:ind/>
      </w:pPr>
      <w:tblPr>
        <w:tblBorders/>
      </w:tblPr>
      <w:tcPr>
        <w:shd w:val="clear" w:color="auto" w:fill="ffffff" w:themeFill="background1"/>
        <w:tcBorders>
          <w:bottom w:val="single" w:color="3c8a2e" w:themeColor="accent4" w:sz="4" w:space="0"/>
        </w:tcBorders>
      </w:tcPr>
    </w:tblStylePr>
    <w:tblStylePr w:type="lastCol">
      <w:rPr>
        <w:rFonts w:asciiTheme="majorHAnsi" w:hAnsiTheme="majorHAnsi" w:eastAsiaTheme="majorEastAsia" w:cstheme="majorBidi"/>
        <w:i/>
        <w:iCs/>
        <w:sz w:val="26"/>
      </w:rPr>
      <w:pPr>
        <w:pBdr/>
        <w:spacing/>
        <w:ind/>
      </w:pPr>
      <w:tblPr>
        <w:tblBorders/>
      </w:tblPr>
      <w:tcPr>
        <w:shd w:val="clear" w:color="auto" w:fill="ffffff" w:themeFill="background1"/>
        <w:tcBorders>
          <w:left w:val="single" w:color="3c8a2e" w:themeColor="accent4" w:sz="4" w:space="0"/>
        </w:tcBorders>
      </w:tcPr>
    </w:tblStylePr>
    <w:tblStylePr w:type="lastRow">
      <w:rPr>
        <w:rFonts w:asciiTheme="majorHAnsi" w:hAnsiTheme="majorHAnsi" w:eastAsiaTheme="majorEastAsia" w:cstheme="majorBidi"/>
        <w:i/>
        <w:iCs/>
        <w:sz w:val="26"/>
      </w:rPr>
      <w:pPr>
        <w:pBdr/>
        <w:spacing/>
        <w:ind/>
      </w:pPr>
      <w:tblPr>
        <w:tblBorders/>
      </w:tblPr>
      <w:tcPr>
        <w:shd w:val="clear" w:color="auto" w:fill="ffffff" w:themeFill="background1"/>
        <w:tcBorders>
          <w:top w:val="single" w:color="3c8a2e" w:themeColor="accent4"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right w:val="none" w:color="000000" w:sz="4" w:space="0"/>
        </w:tcBorders>
      </w:tcPr>
    </w:tblStylePr>
    <w:tblStylePr w:type="seCell">
      <w:pPr>
        <w:pBdr/>
        <w:spacing/>
        <w:ind/>
      </w:pPr>
      <w:tblPr>
        <w:tblBorders/>
      </w:tblPr>
      <w:tcPr>
        <w:tcBorders>
          <w:left w:val="none" w:color="000000" w:sz="4" w:space="0"/>
        </w:tcBorders>
      </w:tcPr>
    </w:tblStylePr>
    <w:tblStylePr w:type="wholeTable">
      <w:pPr>
        <w:pBdr/>
        <w:spacing/>
        <w:ind/>
      </w:pPr>
      <w:tblPr>
        <w:tblBorders/>
      </w:tblPr>
      <w:tcPr>
        <w:tcBorders/>
      </w:tcPr>
    </w:tblStylePr>
  </w:style>
  <w:style w:type="table" w:styleId="1482" w:customStyle="1">
    <w:name w:val="清单表 6 彩色 - 着色 41"/>
    <w:basedOn w:val="1333"/>
    <w:uiPriority w:val="51"/>
    <w:qFormat/>
    <w:pPr>
      <w:pBdr/>
      <w:spacing/>
      <w:ind/>
    </w:pPr>
    <w:rPr>
      <w:color w:val="2c6722" w:themeColor="accent4" w:themeShade="BF"/>
    </w:rPr>
    <w:tblPr>
      <w:tblInd w:w="0" w:type="dxa"/>
      <w:tblBorders>
        <w:top w:val="single" w:color="3c8a2e" w:themeColor="accent4" w:sz="4" w:space="0"/>
        <w:bottom w:val="single" w:color="3c8a2e" w:themeColor="accent4" w:sz="4" w:space="0"/>
      </w:tblBorders>
      <w:tblCellMar>
        <w:left w:w="108" w:type="dxa"/>
        <w:top w:w="0" w:type="dxa"/>
        <w:right w:w="108" w:type="dxa"/>
        <w:bottom w:w="0" w:type="dxa"/>
      </w:tblCellMar>
    </w:tblPr>
    <w:tcPr>
      <w:tcBorders/>
    </w:tcPr>
    <w:tblStylePr w:type="band1Horz">
      <w:pPr>
        <w:pBdr/>
        <w:spacing/>
        <w:ind/>
      </w:pPr>
      <w:tblPr>
        <w:tblBorders/>
      </w:tblPr>
      <w:tcPr>
        <w:shd w:val="clear" w:color="auto" w:fill="d2eece" w:themeFill="accent4" w:themeFillTint="33"/>
        <w:tcBorders/>
      </w:tcPr>
    </w:tblStylePr>
    <w:tblStylePr w:type="band1Vert">
      <w:pPr>
        <w:pBdr/>
        <w:spacing/>
        <w:ind/>
      </w:pPr>
      <w:tblPr>
        <w:tblBorders/>
      </w:tblPr>
      <w:tcPr>
        <w:shd w:val="clear" w:color="auto" w:fill="d2eece"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3c8a2e" w:themeColor="accent4"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3c8a2e"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3" w:customStyle="1">
    <w:name w:val="清单表 3 - 着色 41"/>
    <w:basedOn w:val="1333"/>
    <w:uiPriority w:val="48"/>
    <w:qFormat/>
    <w:pPr>
      <w:pBdr/>
      <w:spacing/>
      <w:ind/>
    </w:pPr>
    <w:tblPr>
      <w:tblInd w:w="0" w:type="dxa"/>
      <w:tblBorders>
        <w:top w:val="single" w:color="3c8a2e" w:themeColor="accent4" w:sz="4" w:space="0"/>
        <w:left w:val="single" w:color="3c8a2e" w:themeColor="accent4" w:sz="4" w:space="0"/>
        <w:bottom w:val="single" w:color="3c8a2e" w:themeColor="accent4" w:sz="4" w:space="0"/>
        <w:right w:val="single" w:color="3c8a2e" w:themeColor="accent4"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3c8a2e" w:themeColor="accent4" w:sz="4" w:space="0"/>
          <w:bottom w:val="single" w:color="3c8a2e" w:themeColor="accent4" w:sz="4" w:space="0"/>
        </w:tcBorders>
      </w:tcPr>
    </w:tblStylePr>
    <w:tblStylePr w:type="band1Vert">
      <w:pPr>
        <w:pBdr/>
        <w:spacing/>
        <w:ind/>
      </w:pPr>
      <w:tblPr>
        <w:tblBorders/>
      </w:tblPr>
      <w:tcPr>
        <w:tcBorders>
          <w:left w:val="single" w:color="3c8a2e" w:themeColor="accent4" w:sz="4" w:space="0"/>
          <w:right w:val="single" w:color="3c8a2e" w:themeColor="accent4"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shd w:val="clear" w:color="auto" w:fill="ffffff" w:themeFill="background1"/>
        <w:tcBorders>
          <w:right w:val="none" w:color="000000" w:sz="4" w:space="0"/>
        </w:tcBorders>
      </w:tcPr>
    </w:tblStylePr>
    <w:tblStylePr w:type="firstRow">
      <w:rPr>
        <w:b/>
        <w:bCs/>
        <w:color w:val="ffffff" w:themeColor="background1"/>
      </w:rPr>
      <w:pPr>
        <w:pBdr/>
        <w:spacing/>
        <w:ind/>
      </w:pPr>
      <w:tblPr>
        <w:tblBorders/>
      </w:tblPr>
      <w:tcPr>
        <w:shd w:val="clear" w:color="auto" w:fill="3c8a2e" w:themeFill="accent4"/>
        <w:tcBorders/>
      </w:tcPr>
    </w:tblStylePr>
    <w:tblStylePr w:type="lastCol">
      <w:rPr>
        <w:b/>
        <w:bCs/>
      </w:rPr>
      <w:pPr>
        <w:pBdr/>
        <w:spacing/>
        <w:ind/>
      </w:pPr>
      <w:tblPr>
        <w:tblBorders/>
      </w:tblPr>
      <w:tcPr>
        <w:shd w:val="clear" w:color="auto" w:fill="ffffff" w:themeFill="background1"/>
        <w:tcBorders>
          <w:left w:val="none" w:color="000000" w:sz="4" w:space="0"/>
        </w:tcBorders>
      </w:tcPr>
    </w:tblStylePr>
    <w:tblStylePr w:type="lastRow">
      <w:rPr>
        <w:b/>
        <w:bCs/>
      </w:rPr>
      <w:pPr>
        <w:pBdr/>
        <w:spacing/>
        <w:ind/>
      </w:pPr>
      <w:tblPr>
        <w:tblBorders/>
      </w:tblPr>
      <w:tcPr>
        <w:shd w:val="clear" w:color="auto" w:fill="ffffff" w:themeFill="background1"/>
        <w:tcBorders>
          <w:top w:val="single" w:color="3c8a2e" w:themeColor="accent4" w:sz="4" w:space="0"/>
        </w:tcBorders>
      </w:tcPr>
    </w:tblStylePr>
    <w:tblStylePr w:type="nwCell">
      <w:pPr>
        <w:pBdr/>
        <w:spacing/>
        <w:ind/>
      </w:pPr>
      <w:tblPr>
        <w:tblBorders/>
      </w:tblPr>
      <w:tcPr>
        <w:tcBorders>
          <w:bottom w:val="none" w:color="000000" w:sz="4" w:space="0"/>
          <w:right w:val="none" w:color="000000" w:sz="4" w:space="0"/>
        </w:tcBorders>
      </w:tcPr>
    </w:tblStylePr>
    <w:tblStylePr w:type="neCell">
      <w:pPr>
        <w:pBdr/>
        <w:spacing/>
        <w:ind/>
      </w:pPr>
      <w:tblPr>
        <w:tblBorders/>
      </w:tblPr>
      <w:tcPr>
        <w:tcBorders>
          <w:left w:val="none" w:color="000000" w:sz="4" w:space="0"/>
          <w:bottom w:val="none" w:color="000000" w:sz="4" w:space="0"/>
        </w:tcBorders>
      </w:tcPr>
    </w:tblStylePr>
    <w:tblStylePr w:type="swCell">
      <w:pPr>
        <w:pBdr/>
        <w:spacing/>
        <w:ind/>
      </w:pPr>
      <w:tblPr>
        <w:tblBorders/>
      </w:tblPr>
      <w:tcPr>
        <w:tcBorders>
          <w:top w:val="single" w:color="3c8a2e" w:themeColor="accent4" w:sz="4" w:space="0"/>
          <w:right w:val="none" w:color="000000" w:sz="4" w:space="0"/>
        </w:tcBorders>
      </w:tcPr>
    </w:tblStylePr>
    <w:tblStylePr w:type="seCell">
      <w:pPr>
        <w:pBdr/>
        <w:spacing/>
        <w:ind/>
      </w:pPr>
      <w:tblPr>
        <w:tblBorders/>
      </w:tblPr>
      <w:tcPr>
        <w:tcBorders>
          <w:top w:val="single" w:color="3c8a2e" w:themeColor="accent4" w:sz="4" w:space="0"/>
          <w:left w:val="none" w:color="000000" w:sz="4" w:space="0"/>
        </w:tcBorders>
      </w:tcPr>
    </w:tblStylePr>
    <w:tblStylePr w:type="wholeTable">
      <w:pPr>
        <w:pBdr/>
        <w:spacing/>
        <w:ind/>
      </w:pPr>
      <w:tblPr>
        <w:tblBorders/>
      </w:tblPr>
      <w:tcPr>
        <w:tcBorders/>
      </w:tcPr>
    </w:tblStylePr>
  </w:style>
  <w:style w:type="table" w:styleId="1484" w:customStyle="1">
    <w:name w:val="清单表 3 - 着色 51"/>
    <w:basedOn w:val="1333"/>
    <w:uiPriority w:val="48"/>
    <w:qFormat/>
    <w:pPr>
      <w:pBdr/>
      <w:spacing/>
      <w:ind/>
    </w:pPr>
    <w:tblPr>
      <w:tblInd w:w="0" w:type="dxa"/>
      <w:tblBorders>
        <w:top w:val="single" w:color="72c7e7" w:themeColor="accent5" w:sz="4" w:space="0"/>
        <w:left w:val="single" w:color="72c7e7" w:themeColor="accent5" w:sz="4" w:space="0"/>
        <w:bottom w:val="single" w:color="72c7e7" w:themeColor="accent5" w:sz="4" w:space="0"/>
        <w:right w:val="single" w:color="72c7e7" w:themeColor="accent5"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72c7e7" w:themeColor="accent5" w:sz="4" w:space="0"/>
          <w:bottom w:val="single" w:color="72c7e7" w:themeColor="accent5" w:sz="4" w:space="0"/>
        </w:tcBorders>
      </w:tcPr>
    </w:tblStylePr>
    <w:tblStylePr w:type="band1Vert">
      <w:pPr>
        <w:pBdr/>
        <w:spacing/>
        <w:ind/>
      </w:pPr>
      <w:tblPr>
        <w:tblBorders/>
      </w:tblPr>
      <w:tcPr>
        <w:tcBorders>
          <w:left w:val="single" w:color="72c7e7" w:themeColor="accent5" w:sz="4" w:space="0"/>
          <w:right w:val="single" w:color="72c7e7" w:themeColor="accent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shd w:val="clear" w:color="auto" w:fill="ffffff" w:themeFill="background1"/>
        <w:tcBorders>
          <w:right w:val="none" w:color="000000" w:sz="4" w:space="0"/>
        </w:tcBorders>
      </w:tcPr>
    </w:tblStylePr>
    <w:tblStylePr w:type="firstRow">
      <w:rPr>
        <w:b/>
        <w:bCs/>
        <w:color w:val="ffffff" w:themeColor="background1"/>
      </w:rPr>
      <w:pPr>
        <w:pBdr/>
        <w:spacing/>
        <w:ind/>
      </w:pPr>
      <w:tblPr>
        <w:tblBorders/>
      </w:tblPr>
      <w:tcPr>
        <w:shd w:val="clear" w:color="auto" w:fill="72c7e7" w:themeFill="accent5"/>
        <w:tcBorders/>
      </w:tcPr>
    </w:tblStylePr>
    <w:tblStylePr w:type="lastCol">
      <w:rPr>
        <w:b/>
        <w:bCs/>
      </w:rPr>
      <w:pPr>
        <w:pBdr/>
        <w:spacing/>
        <w:ind/>
      </w:pPr>
      <w:tblPr>
        <w:tblBorders/>
      </w:tblPr>
      <w:tcPr>
        <w:shd w:val="clear" w:color="auto" w:fill="ffffff" w:themeFill="background1"/>
        <w:tcBorders>
          <w:left w:val="none" w:color="000000" w:sz="4" w:space="0"/>
        </w:tcBorders>
      </w:tcPr>
    </w:tblStylePr>
    <w:tblStylePr w:type="lastRow">
      <w:rPr>
        <w:b/>
        <w:bCs/>
      </w:rPr>
      <w:pPr>
        <w:pBdr/>
        <w:spacing/>
        <w:ind/>
      </w:pPr>
      <w:tblPr>
        <w:tblBorders/>
      </w:tblPr>
      <w:tcPr>
        <w:shd w:val="clear" w:color="auto" w:fill="ffffff" w:themeFill="background1"/>
        <w:tcBorders>
          <w:top w:val="single" w:color="72c7e7" w:themeColor="accent5" w:sz="4" w:space="0"/>
        </w:tcBorders>
      </w:tcPr>
    </w:tblStylePr>
    <w:tblStylePr w:type="nwCell">
      <w:pPr>
        <w:pBdr/>
        <w:spacing/>
        <w:ind/>
      </w:pPr>
      <w:tblPr>
        <w:tblBorders/>
      </w:tblPr>
      <w:tcPr>
        <w:tcBorders>
          <w:bottom w:val="none" w:color="000000" w:sz="4" w:space="0"/>
          <w:right w:val="none" w:color="000000" w:sz="4" w:space="0"/>
        </w:tcBorders>
      </w:tcPr>
    </w:tblStylePr>
    <w:tblStylePr w:type="neCell">
      <w:pPr>
        <w:pBdr/>
        <w:spacing/>
        <w:ind/>
      </w:pPr>
      <w:tblPr>
        <w:tblBorders/>
      </w:tblPr>
      <w:tcPr>
        <w:tcBorders>
          <w:left w:val="none" w:color="000000" w:sz="4" w:space="0"/>
          <w:bottom w:val="none" w:color="000000" w:sz="4" w:space="0"/>
        </w:tcBorders>
      </w:tcPr>
    </w:tblStylePr>
    <w:tblStylePr w:type="swCell">
      <w:pPr>
        <w:pBdr/>
        <w:spacing/>
        <w:ind/>
      </w:pPr>
      <w:tblPr>
        <w:tblBorders/>
      </w:tblPr>
      <w:tcPr>
        <w:tcBorders>
          <w:top w:val="single" w:color="72c7e7" w:themeColor="accent5" w:sz="4" w:space="0"/>
          <w:right w:val="none" w:color="000000" w:sz="4" w:space="0"/>
        </w:tcBorders>
      </w:tcPr>
    </w:tblStylePr>
    <w:tblStylePr w:type="seCell">
      <w:pPr>
        <w:pBdr/>
        <w:spacing/>
        <w:ind/>
      </w:pPr>
      <w:tblPr>
        <w:tblBorders/>
      </w:tblPr>
      <w:tcPr>
        <w:tcBorders>
          <w:top w:val="single" w:color="72c7e7" w:themeColor="accent5" w:sz="4" w:space="0"/>
          <w:left w:val="none" w:color="000000" w:sz="4" w:space="0"/>
        </w:tcBorders>
      </w:tcPr>
    </w:tblStylePr>
    <w:tblStylePr w:type="wholeTable">
      <w:pPr>
        <w:pBdr/>
        <w:spacing/>
        <w:ind/>
      </w:pPr>
      <w:tblPr>
        <w:tblBorders/>
      </w:tblPr>
      <w:tcPr>
        <w:tcBorders/>
      </w:tcPr>
    </w:tblStylePr>
  </w:style>
  <w:style w:type="table" w:styleId="1485" w:customStyle="1">
    <w:name w:val="清单表 7 彩色 - 着色 51"/>
    <w:basedOn w:val="1333"/>
    <w:uiPriority w:val="52"/>
    <w:qFormat/>
    <w:pPr>
      <w:pBdr/>
      <w:spacing/>
      <w:ind/>
    </w:pPr>
    <w:rPr>
      <w:color w:val="28a9da" w:themeColor="accent5" w:themeShade="BF"/>
    </w:rPr>
    <w:tblPr>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auto" w:fill="e2f3fa" w:themeFill="accent5" w:themeFillTint="33"/>
        <w:tcBorders/>
      </w:tcPr>
    </w:tblStylePr>
    <w:tblStylePr w:type="band1Vert">
      <w:pPr>
        <w:pBdr/>
        <w:spacing/>
        <w:ind/>
      </w:pPr>
      <w:tblPr>
        <w:tblBorders/>
      </w:tblPr>
      <w:tcPr>
        <w:shd w:val="clear" w:color="auto" w:fill="e2f3fa"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Theme="majorHAnsi" w:hAnsiTheme="majorHAnsi" w:eastAsiaTheme="majorEastAsia" w:cstheme="majorBidi"/>
        <w:i/>
        <w:iCs/>
        <w:sz w:val="26"/>
      </w:rPr>
      <w:pPr>
        <w:pBdr/>
        <w:spacing/>
        <w:ind/>
        <w:jc w:val="right"/>
      </w:pPr>
      <w:tblPr>
        <w:tblBorders/>
      </w:tblPr>
      <w:tcPr>
        <w:shd w:val="clear" w:color="auto" w:fill="ffffff" w:themeFill="background1"/>
        <w:tcBorders>
          <w:right w:val="single" w:color="72c7e7" w:themeColor="accent5" w:sz="4" w:space="0"/>
        </w:tcBorders>
      </w:tcPr>
    </w:tblStylePr>
    <w:tblStylePr w:type="firstRow">
      <w:rPr>
        <w:rFonts w:asciiTheme="majorHAnsi" w:hAnsiTheme="majorHAnsi" w:eastAsiaTheme="majorEastAsia" w:cstheme="majorBidi"/>
        <w:i/>
        <w:iCs/>
        <w:sz w:val="26"/>
      </w:rPr>
      <w:pPr>
        <w:pBdr/>
        <w:spacing/>
        <w:ind/>
      </w:pPr>
      <w:tblPr>
        <w:tblBorders/>
      </w:tblPr>
      <w:tcPr>
        <w:shd w:val="clear" w:color="auto" w:fill="ffffff" w:themeFill="background1"/>
        <w:tcBorders>
          <w:bottom w:val="single" w:color="72c7e7" w:themeColor="accent5" w:sz="4" w:space="0"/>
        </w:tcBorders>
      </w:tcPr>
    </w:tblStylePr>
    <w:tblStylePr w:type="lastCol">
      <w:rPr>
        <w:rFonts w:asciiTheme="majorHAnsi" w:hAnsiTheme="majorHAnsi" w:eastAsiaTheme="majorEastAsia" w:cstheme="majorBidi"/>
        <w:i/>
        <w:iCs/>
        <w:sz w:val="26"/>
      </w:rPr>
      <w:pPr>
        <w:pBdr/>
        <w:spacing/>
        <w:ind/>
      </w:pPr>
      <w:tblPr>
        <w:tblBorders/>
      </w:tblPr>
      <w:tcPr>
        <w:shd w:val="clear" w:color="auto" w:fill="ffffff" w:themeFill="background1"/>
        <w:tcBorders>
          <w:left w:val="single" w:color="72c7e7" w:themeColor="accent5" w:sz="4" w:space="0"/>
        </w:tcBorders>
      </w:tcPr>
    </w:tblStylePr>
    <w:tblStylePr w:type="lastRow">
      <w:rPr>
        <w:rFonts w:asciiTheme="majorHAnsi" w:hAnsiTheme="majorHAnsi" w:eastAsiaTheme="majorEastAsia" w:cstheme="majorBidi"/>
        <w:i/>
        <w:iCs/>
        <w:sz w:val="26"/>
      </w:rPr>
      <w:pPr>
        <w:pBdr/>
        <w:spacing/>
        <w:ind/>
      </w:pPr>
      <w:tblPr>
        <w:tblBorders/>
      </w:tblPr>
      <w:tcPr>
        <w:shd w:val="clear" w:color="auto" w:fill="ffffff" w:themeFill="background1"/>
        <w:tcBorders>
          <w:top w:val="single" w:color="72c7e7" w:themeColor="accent5"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right w:val="none" w:color="000000" w:sz="4" w:space="0"/>
        </w:tcBorders>
      </w:tcPr>
    </w:tblStylePr>
    <w:tblStylePr w:type="seCell">
      <w:pPr>
        <w:pBdr/>
        <w:spacing/>
        <w:ind/>
      </w:pPr>
      <w:tblPr>
        <w:tblBorders/>
      </w:tblPr>
      <w:tcPr>
        <w:tcBorders>
          <w:left w:val="none" w:color="000000" w:sz="4" w:space="0"/>
        </w:tcBorders>
      </w:tcPr>
    </w:tblStylePr>
    <w:tblStylePr w:type="wholeTable">
      <w:pPr>
        <w:pBdr/>
        <w:spacing/>
        <w:ind/>
      </w:pPr>
      <w:tblPr>
        <w:tblBorders/>
      </w:tblPr>
      <w:tcPr>
        <w:tcBorders/>
      </w:tcPr>
    </w:tblStylePr>
  </w:style>
  <w:style w:type="table" w:styleId="1486" w:customStyle="1">
    <w:name w:val="清单表 7 彩色 - 着色 31"/>
    <w:basedOn w:val="1333"/>
    <w:uiPriority w:val="52"/>
    <w:qFormat/>
    <w:pPr>
      <w:pBdr/>
      <w:spacing/>
      <w:ind/>
    </w:pPr>
    <w:rPr>
      <w:color w:val="0077a6" w:themeColor="accent3" w:themeShade="BF"/>
    </w:rPr>
    <w:tblPr>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auto" w:fill="c5eeff" w:themeFill="accent3" w:themeFillTint="33"/>
        <w:tcBorders/>
      </w:tcPr>
    </w:tblStylePr>
    <w:tblStylePr w:type="band1Vert">
      <w:pPr>
        <w:pBdr/>
        <w:spacing/>
        <w:ind/>
      </w:pPr>
      <w:tblPr>
        <w:tblBorders/>
      </w:tblPr>
      <w:tcPr>
        <w:shd w:val="clear" w:color="auto" w:fill="c5eeff" w:themeFill="accent3"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Theme="majorHAnsi" w:hAnsiTheme="majorHAnsi" w:eastAsiaTheme="majorEastAsia" w:cstheme="majorBidi"/>
        <w:i/>
        <w:iCs/>
        <w:sz w:val="26"/>
      </w:rPr>
      <w:pPr>
        <w:pBdr/>
        <w:spacing/>
        <w:ind/>
        <w:jc w:val="right"/>
      </w:pPr>
      <w:tblPr>
        <w:tblBorders/>
      </w:tblPr>
      <w:tcPr>
        <w:shd w:val="clear" w:color="auto" w:fill="ffffff" w:themeFill="background1"/>
        <w:tcBorders>
          <w:right w:val="single" w:color="00a1de" w:themeColor="accent3" w:sz="4" w:space="0"/>
        </w:tcBorders>
      </w:tcPr>
    </w:tblStylePr>
    <w:tblStylePr w:type="firstRow">
      <w:rPr>
        <w:rFonts w:asciiTheme="majorHAnsi" w:hAnsiTheme="majorHAnsi" w:eastAsiaTheme="majorEastAsia" w:cstheme="majorBidi"/>
        <w:i/>
        <w:iCs/>
        <w:sz w:val="26"/>
      </w:rPr>
      <w:pPr>
        <w:pBdr/>
        <w:spacing/>
        <w:ind/>
      </w:pPr>
      <w:tblPr>
        <w:tblBorders/>
      </w:tblPr>
      <w:tcPr>
        <w:shd w:val="clear" w:color="auto" w:fill="ffffff" w:themeFill="background1"/>
        <w:tcBorders>
          <w:bottom w:val="single" w:color="00a1de" w:themeColor="accent3" w:sz="4" w:space="0"/>
        </w:tcBorders>
      </w:tcPr>
    </w:tblStylePr>
    <w:tblStylePr w:type="lastCol">
      <w:rPr>
        <w:rFonts w:asciiTheme="majorHAnsi" w:hAnsiTheme="majorHAnsi" w:eastAsiaTheme="majorEastAsia" w:cstheme="majorBidi"/>
        <w:i/>
        <w:iCs/>
        <w:sz w:val="26"/>
      </w:rPr>
      <w:pPr>
        <w:pBdr/>
        <w:spacing/>
        <w:ind/>
      </w:pPr>
      <w:tblPr>
        <w:tblBorders/>
      </w:tblPr>
      <w:tcPr>
        <w:shd w:val="clear" w:color="auto" w:fill="ffffff" w:themeFill="background1"/>
        <w:tcBorders>
          <w:left w:val="single" w:color="00a1de" w:themeColor="accent3" w:sz="4" w:space="0"/>
        </w:tcBorders>
      </w:tcPr>
    </w:tblStylePr>
    <w:tblStylePr w:type="lastRow">
      <w:rPr>
        <w:rFonts w:asciiTheme="majorHAnsi" w:hAnsiTheme="majorHAnsi" w:eastAsiaTheme="majorEastAsia" w:cstheme="majorBidi"/>
        <w:i/>
        <w:iCs/>
        <w:sz w:val="26"/>
      </w:rPr>
      <w:pPr>
        <w:pBdr/>
        <w:spacing/>
        <w:ind/>
      </w:pPr>
      <w:tblPr>
        <w:tblBorders/>
      </w:tblPr>
      <w:tcPr>
        <w:shd w:val="clear" w:color="auto" w:fill="ffffff" w:themeFill="background1"/>
        <w:tcBorders>
          <w:top w:val="single" w:color="00a1de" w:themeColor="accent3"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right w:val="none" w:color="000000" w:sz="4" w:space="0"/>
        </w:tcBorders>
      </w:tcPr>
    </w:tblStylePr>
    <w:tblStylePr w:type="seCell">
      <w:pPr>
        <w:pBdr/>
        <w:spacing/>
        <w:ind/>
      </w:pPr>
      <w:tblPr>
        <w:tblBorders/>
      </w:tblPr>
      <w:tcPr>
        <w:tcBorders>
          <w:left w:val="none" w:color="000000" w:sz="4" w:space="0"/>
        </w:tcBorders>
      </w:tcPr>
    </w:tblStylePr>
    <w:tblStylePr w:type="wholeTable">
      <w:pPr>
        <w:pBdr/>
        <w:spacing/>
        <w:ind/>
      </w:pPr>
      <w:tblPr>
        <w:tblBorders/>
      </w:tblPr>
      <w:tcPr>
        <w:tcBorders/>
      </w:tcPr>
    </w:tblStylePr>
  </w:style>
  <w:style w:type="table" w:styleId="1487" w:customStyle="1">
    <w:name w:val="网格表 7 彩色 - 着色 51"/>
    <w:basedOn w:val="1333"/>
    <w:uiPriority w:val="52"/>
    <w:qFormat/>
    <w:pPr>
      <w:pBdr/>
      <w:spacing/>
      <w:ind/>
    </w:pPr>
    <w:rPr>
      <w:color w:val="28a9da" w:themeColor="accent5" w:themeShade="BF"/>
    </w:rPr>
    <w:tblPr>
      <w:tblInd w:w="0" w:type="dxa"/>
      <w:tblBorders>
        <w:top w:val="single" w:color="aaddf0" w:themeColor="accent5" w:themeTint="99" w:sz="4" w:space="0"/>
        <w:left w:val="single" w:color="aaddf0" w:themeColor="accent5" w:themeTint="99" w:sz="4" w:space="0"/>
        <w:bottom w:val="single" w:color="aaddf0" w:themeColor="accent5" w:themeTint="99" w:sz="4" w:space="0"/>
        <w:right w:val="single" w:color="aaddf0" w:themeColor="accent5" w:themeTint="99" w:sz="4" w:space="0"/>
        <w:insideH w:val="single" w:color="aaddf0" w:themeColor="accent5" w:themeTint="99" w:sz="4" w:space="0"/>
        <w:insideV w:val="single" w:color="aaddf0" w:themeColor="accent5" w:themeTint="99" w:sz="4" w:space="0"/>
      </w:tblBorders>
      <w:tblCellMar>
        <w:left w:w="108" w:type="dxa"/>
        <w:top w:w="0" w:type="dxa"/>
        <w:right w:w="108" w:type="dxa"/>
        <w:bottom w:w="0" w:type="dxa"/>
      </w:tblCellMar>
    </w:tblPr>
    <w:tcPr>
      <w:tcBorders/>
    </w:tcPr>
    <w:tblStylePr w:type="band1Horz">
      <w:pPr>
        <w:pBdr/>
        <w:spacing/>
        <w:ind/>
      </w:pPr>
      <w:tblPr>
        <w:tblBorders/>
      </w:tblPr>
      <w:tcPr>
        <w:shd w:val="clear" w:color="auto" w:fill="e2f3fa" w:themeFill="accent5" w:themeFillTint="33"/>
        <w:tcBorders/>
      </w:tcPr>
    </w:tblStylePr>
    <w:tblStylePr w:type="band1Vert">
      <w:pPr>
        <w:pBdr/>
        <w:spacing/>
        <w:ind/>
      </w:pPr>
      <w:tblPr>
        <w:tblBorders/>
      </w:tblPr>
      <w:tcPr>
        <w:shd w:val="clear" w:color="auto" w:fill="e2f3fa"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aaddf0" w:themeColor="accent5" w:themeTint="99" w:sz="4" w:space="0"/>
        </w:tcBorders>
      </w:tcPr>
    </w:tblStylePr>
    <w:tblStylePr w:type="neCell">
      <w:pPr>
        <w:pBdr/>
        <w:spacing/>
        <w:ind/>
      </w:pPr>
      <w:tblPr>
        <w:tblBorders/>
      </w:tblPr>
      <w:tcPr>
        <w:tcBorders>
          <w:bottom w:val="single" w:color="aaddf0" w:themeColor="accent5" w:themeTint="99" w:sz="4" w:space="0"/>
        </w:tcBorders>
      </w:tcPr>
    </w:tblStylePr>
    <w:tblStylePr w:type="swCell">
      <w:pPr>
        <w:pBdr/>
        <w:spacing/>
        <w:ind/>
      </w:pPr>
      <w:tblPr>
        <w:tblBorders/>
      </w:tblPr>
      <w:tcPr>
        <w:tcBorders>
          <w:top w:val="single" w:color="aaddf0" w:themeColor="accent5" w:themeTint="99" w:sz="4" w:space="0"/>
        </w:tcBorders>
      </w:tcPr>
    </w:tblStylePr>
    <w:tblStylePr w:type="seCell">
      <w:pPr>
        <w:pBdr/>
        <w:spacing/>
        <w:ind/>
      </w:pPr>
      <w:tblPr>
        <w:tblBorders/>
      </w:tblPr>
      <w:tcPr>
        <w:tcBorders>
          <w:top w:val="single" w:color="aaddf0" w:themeColor="accent5" w:themeTint="99" w:sz="4" w:space="0"/>
        </w:tcBorders>
      </w:tcPr>
    </w:tblStylePr>
    <w:tblStylePr w:type="wholeTable">
      <w:pPr>
        <w:pBdr/>
        <w:spacing/>
        <w:ind/>
      </w:pPr>
      <w:tblPr>
        <w:tblBorders/>
      </w:tblPr>
      <w:tcPr>
        <w:tcBorders/>
      </w:tcPr>
    </w:tblStylePr>
  </w:style>
  <w:style w:type="table" w:styleId="1488" w:customStyle="1">
    <w:name w:val="网格表 2 - 着色 31"/>
    <w:basedOn w:val="1333"/>
    <w:uiPriority w:val="47"/>
    <w:qFormat/>
    <w:pPr>
      <w:pBdr/>
      <w:spacing/>
      <w:ind/>
    </w:pPr>
    <w:tblPr>
      <w:tblInd w:w="0" w:type="dxa"/>
      <w:tblBorders>
        <w:top w:val="single" w:color="52ceff" w:themeColor="accent3" w:themeTint="99" w:sz="2" w:space="0"/>
        <w:bottom w:val="single" w:color="52ceff" w:themeColor="accent3" w:themeTint="99" w:sz="2" w:space="0"/>
        <w:insideH w:val="single" w:color="52ceff" w:themeColor="accent3" w:themeTint="99" w:sz="2" w:space="0"/>
        <w:insideV w:val="single" w:color="52ceff" w:themeColor="accent3" w:themeTint="99" w:sz="2" w:space="0"/>
      </w:tblBorders>
      <w:tblCellMar>
        <w:left w:w="108" w:type="dxa"/>
        <w:top w:w="0" w:type="dxa"/>
        <w:right w:w="108" w:type="dxa"/>
        <w:bottom w:w="0" w:type="dxa"/>
      </w:tblCellMar>
    </w:tblPr>
    <w:tcPr>
      <w:tcBorders/>
    </w:tcPr>
    <w:tblStylePr w:type="band1Horz">
      <w:pPr>
        <w:pBdr/>
        <w:spacing/>
        <w:ind/>
      </w:pPr>
      <w:tblPr>
        <w:tblBorders/>
      </w:tblPr>
      <w:tcPr>
        <w:shd w:val="clear" w:color="auto" w:fill="c5eeff" w:themeFill="accent3" w:themeFillTint="33"/>
        <w:tcBorders/>
      </w:tcPr>
    </w:tblStylePr>
    <w:tblStylePr w:type="band1Vert">
      <w:pPr>
        <w:pBdr/>
        <w:spacing/>
        <w:ind/>
      </w:pPr>
      <w:tblPr>
        <w:tblBorders/>
      </w:tblPr>
      <w:tcPr>
        <w:shd w:val="clear" w:color="auto" w:fill="c5eeff" w:themeFill="accent3"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shd w:val="clear" w:color="auto" w:fill="ffffff" w:themeFill="background1"/>
        <w:tcBorders>
          <w:top w:val="none" w:color="000000" w:sz="4" w:space="0"/>
          <w:bottom w:val="single" w:color="52ceff" w:themeColor="accent3"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shd w:val="clear" w:color="auto" w:fill="ffffff" w:themeFill="background1"/>
        <w:tcBorders>
          <w:top w:val="single" w:color="52ceff" w:themeColor="accent3" w:themeTint="99" w:sz="2" w:space="0"/>
          <w:bottom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9" w:customStyle="1">
    <w:name w:val="清单表 3 - 着色 31"/>
    <w:basedOn w:val="1333"/>
    <w:uiPriority w:val="48"/>
    <w:qFormat/>
    <w:pPr>
      <w:pBdr/>
      <w:spacing/>
      <w:ind/>
    </w:pPr>
    <w:tblPr>
      <w:tblInd w:w="0" w:type="dxa"/>
      <w:tblBorders>
        <w:top w:val="single" w:color="00a1de" w:themeColor="accent3" w:sz="4" w:space="0"/>
        <w:left w:val="single" w:color="00a1de" w:themeColor="accent3" w:sz="4" w:space="0"/>
        <w:bottom w:val="single" w:color="00a1de" w:themeColor="accent3" w:sz="4" w:space="0"/>
        <w:right w:val="single" w:color="00a1de" w:themeColor="accent3"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a1de" w:themeColor="accent3" w:sz="4" w:space="0"/>
          <w:bottom w:val="single" w:color="00a1de" w:themeColor="accent3" w:sz="4" w:space="0"/>
        </w:tcBorders>
      </w:tcPr>
    </w:tblStylePr>
    <w:tblStylePr w:type="band1Vert">
      <w:pPr>
        <w:pBdr/>
        <w:spacing/>
        <w:ind/>
      </w:pPr>
      <w:tblPr>
        <w:tblBorders/>
      </w:tblPr>
      <w:tcPr>
        <w:tcBorders>
          <w:left w:val="single" w:color="00a1de" w:themeColor="accent3" w:sz="4" w:space="0"/>
          <w:right w:val="single" w:color="00a1de" w:themeColor="accent3"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shd w:val="clear" w:color="auto" w:fill="ffffff" w:themeFill="background1"/>
        <w:tcBorders>
          <w:right w:val="none" w:color="000000" w:sz="4" w:space="0"/>
        </w:tcBorders>
      </w:tcPr>
    </w:tblStylePr>
    <w:tblStylePr w:type="firstRow">
      <w:rPr>
        <w:b/>
        <w:bCs/>
        <w:color w:val="ffffff" w:themeColor="background1"/>
      </w:rPr>
      <w:pPr>
        <w:pBdr/>
        <w:spacing/>
        <w:ind/>
      </w:pPr>
      <w:tblPr>
        <w:tblBorders/>
      </w:tblPr>
      <w:tcPr>
        <w:shd w:val="clear" w:color="auto" w:fill="00a1de" w:themeFill="accent3"/>
        <w:tcBorders/>
      </w:tcPr>
    </w:tblStylePr>
    <w:tblStylePr w:type="lastCol">
      <w:rPr>
        <w:b/>
        <w:bCs/>
      </w:rPr>
      <w:pPr>
        <w:pBdr/>
        <w:spacing/>
        <w:ind/>
      </w:pPr>
      <w:tblPr>
        <w:tblBorders/>
      </w:tblPr>
      <w:tcPr>
        <w:shd w:val="clear" w:color="auto" w:fill="ffffff" w:themeFill="background1"/>
        <w:tcBorders>
          <w:left w:val="none" w:color="000000" w:sz="4" w:space="0"/>
        </w:tcBorders>
      </w:tcPr>
    </w:tblStylePr>
    <w:tblStylePr w:type="lastRow">
      <w:rPr>
        <w:b/>
        <w:bCs/>
      </w:rPr>
      <w:pPr>
        <w:pBdr/>
        <w:spacing/>
        <w:ind/>
      </w:pPr>
      <w:tblPr>
        <w:tblBorders/>
      </w:tblPr>
      <w:tcPr>
        <w:shd w:val="clear" w:color="auto" w:fill="ffffff" w:themeFill="background1"/>
        <w:tcBorders>
          <w:top w:val="single" w:color="00a1de" w:themeColor="accent3" w:sz="4" w:space="0"/>
        </w:tcBorders>
      </w:tcPr>
    </w:tblStylePr>
    <w:tblStylePr w:type="nwCell">
      <w:pPr>
        <w:pBdr/>
        <w:spacing/>
        <w:ind/>
      </w:pPr>
      <w:tblPr>
        <w:tblBorders/>
      </w:tblPr>
      <w:tcPr>
        <w:tcBorders>
          <w:bottom w:val="none" w:color="000000" w:sz="4" w:space="0"/>
          <w:right w:val="none" w:color="000000" w:sz="4" w:space="0"/>
        </w:tcBorders>
      </w:tcPr>
    </w:tblStylePr>
    <w:tblStylePr w:type="neCell">
      <w:pPr>
        <w:pBdr/>
        <w:spacing/>
        <w:ind/>
      </w:pPr>
      <w:tblPr>
        <w:tblBorders/>
      </w:tblPr>
      <w:tcPr>
        <w:tcBorders>
          <w:left w:val="none" w:color="000000" w:sz="4" w:space="0"/>
          <w:bottom w:val="none" w:color="000000" w:sz="4" w:space="0"/>
        </w:tcBorders>
      </w:tcPr>
    </w:tblStylePr>
    <w:tblStylePr w:type="swCell">
      <w:pPr>
        <w:pBdr/>
        <w:spacing/>
        <w:ind/>
      </w:pPr>
      <w:tblPr>
        <w:tblBorders/>
      </w:tblPr>
      <w:tcPr>
        <w:tcBorders>
          <w:top w:val="single" w:color="00a1de" w:themeColor="accent3" w:sz="4" w:space="0"/>
          <w:right w:val="none" w:color="000000" w:sz="4" w:space="0"/>
        </w:tcBorders>
      </w:tcPr>
    </w:tblStylePr>
    <w:tblStylePr w:type="seCell">
      <w:pPr>
        <w:pBdr/>
        <w:spacing/>
        <w:ind/>
      </w:pPr>
      <w:tblPr>
        <w:tblBorders/>
      </w:tblPr>
      <w:tcPr>
        <w:tcBorders>
          <w:top w:val="single" w:color="00a1de" w:themeColor="accent3" w:sz="4" w:space="0"/>
          <w:left w:val="none" w:color="000000" w:sz="4" w:space="0"/>
        </w:tcBorders>
      </w:tcPr>
    </w:tblStylePr>
    <w:tblStylePr w:type="wholeTable">
      <w:pPr>
        <w:pBdr/>
        <w:spacing/>
        <w:ind/>
      </w:pPr>
      <w:tblPr>
        <w:tblBorders/>
      </w:tblPr>
      <w:tcPr>
        <w:tcBorders/>
      </w:tcPr>
    </w:tblStylePr>
  </w:style>
  <w:style w:type="table" w:styleId="1490" w:customStyle="1">
    <w:name w:val="网格表 2 - 着色 51"/>
    <w:basedOn w:val="1333"/>
    <w:uiPriority w:val="47"/>
    <w:qFormat/>
    <w:pPr>
      <w:pBdr/>
      <w:spacing/>
      <w:ind/>
    </w:pPr>
    <w:tblPr>
      <w:tblInd w:w="0" w:type="dxa"/>
      <w:tblBorders>
        <w:top w:val="single" w:color="aaddf0" w:themeColor="accent5" w:themeTint="99" w:sz="2" w:space="0"/>
        <w:bottom w:val="single" w:color="aaddf0" w:themeColor="accent5" w:themeTint="99" w:sz="2" w:space="0"/>
        <w:insideH w:val="single" w:color="aaddf0" w:themeColor="accent5" w:themeTint="99" w:sz="2" w:space="0"/>
        <w:insideV w:val="single" w:color="aaddf0" w:themeColor="accent5" w:themeTint="99" w:sz="2" w:space="0"/>
      </w:tblBorders>
      <w:tblCellMar>
        <w:left w:w="108" w:type="dxa"/>
        <w:top w:w="0" w:type="dxa"/>
        <w:right w:w="108" w:type="dxa"/>
        <w:bottom w:w="0" w:type="dxa"/>
      </w:tblCellMar>
    </w:tblPr>
    <w:tcPr>
      <w:tcBorders/>
    </w:tcPr>
    <w:tblStylePr w:type="band1Horz">
      <w:pPr>
        <w:pBdr/>
        <w:spacing/>
        <w:ind/>
      </w:pPr>
      <w:tblPr>
        <w:tblBorders/>
      </w:tblPr>
      <w:tcPr>
        <w:shd w:val="clear" w:color="auto" w:fill="e2f3fa" w:themeFill="accent5" w:themeFillTint="33"/>
        <w:tcBorders/>
      </w:tcPr>
    </w:tblStylePr>
    <w:tblStylePr w:type="band1Vert">
      <w:pPr>
        <w:pBdr/>
        <w:spacing/>
        <w:ind/>
      </w:pPr>
      <w:tblPr>
        <w:tblBorders/>
      </w:tblPr>
      <w:tcPr>
        <w:shd w:val="clear" w:color="auto" w:fill="e2f3fa"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shd w:val="clear" w:color="auto" w:fill="ffffff" w:themeFill="background1"/>
        <w:tcBorders>
          <w:top w:val="none" w:color="000000" w:sz="4" w:space="0"/>
          <w:bottom w:val="single" w:color="aaddf0" w:themeColor="accent5"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shd w:val="clear" w:color="auto" w:fill="ffffff" w:themeFill="background1"/>
        <w:tcBorders>
          <w:top w:val="single" w:color="aaddf0" w:themeColor="accent5" w:themeTint="99" w:sz="2" w:space="0"/>
          <w:bottom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1" w:customStyle="1">
    <w:name w:val="网格表 5 深色 - 着色 51"/>
    <w:basedOn w:val="1333"/>
    <w:uiPriority w:val="50"/>
    <w:qFormat/>
    <w:pPr>
      <w:pBdr/>
      <w:spacing/>
      <w:ind/>
    </w:pPr>
    <w:tblPr>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e2f3fa" w:themeFill="accent5" w:themeFillTint="33"/>
      <w:tcBorders/>
    </w:tcPr>
    <w:tblStylePr w:type="band1Horz">
      <w:pPr>
        <w:pBdr/>
        <w:spacing/>
        <w:ind/>
      </w:pPr>
      <w:tblPr>
        <w:tblBorders/>
      </w:tblPr>
      <w:tcPr>
        <w:shd w:val="clear" w:color="auto" w:fill="c6e8f5" w:themeFill="accent5" w:themeFillTint="66"/>
        <w:tcBorders/>
      </w:tcPr>
    </w:tblStylePr>
    <w:tblStylePr w:type="band1Vert">
      <w:pPr>
        <w:pBdr/>
        <w:spacing/>
        <w:ind/>
      </w:pPr>
      <w:tblPr>
        <w:tblBorders/>
      </w:tblPr>
      <w:tcPr>
        <w:shd w:val="clear" w:color="auto" w:fill="c6e8f5"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72c7e7" w:themeFill="accent5"/>
        <w:tcBorders>
          <w:top w:val="single" w:color="ffffff" w:themeColor="background1" w:sz="4" w:space="0"/>
          <w:left w:val="single" w:color="ffffff" w:themeColor="background1" w:sz="4" w:space="0"/>
          <w:bottom w:val="single" w:color="ffffff" w:themeColor="background1" w:sz="4" w:space="0"/>
        </w:tcBorders>
      </w:tcPr>
    </w:tblStylePr>
    <w:tblStylePr w:type="firstRow">
      <w:rPr>
        <w:b/>
        <w:bCs/>
        <w:color w:val="ffffff" w:themeColor="background1"/>
      </w:rPr>
      <w:pPr>
        <w:pBdr/>
        <w:spacing/>
        <w:ind/>
      </w:pPr>
      <w:tblPr>
        <w:tblBorders/>
      </w:tblPr>
      <w:tcPr>
        <w:shd w:val="clear" w:color="auto" w:fill="72c7e7" w:themeFill="accent5"/>
        <w:tcBorders>
          <w:top w:val="single" w:color="ffffff" w:themeColor="background1" w:sz="4" w:space="0"/>
          <w:left w:val="single" w:color="ffffff" w:themeColor="background1" w:sz="4" w:space="0"/>
          <w:right w:val="single" w:color="ffffff" w:themeColor="background1" w:sz="4" w:space="0"/>
        </w:tcBorders>
      </w:tcPr>
    </w:tblStylePr>
    <w:tblStylePr w:type="lastCol">
      <w:rPr>
        <w:b/>
        <w:bCs/>
        <w:color w:val="ffffff" w:themeColor="background1"/>
      </w:rPr>
      <w:pPr>
        <w:pBdr/>
        <w:spacing/>
        <w:ind/>
      </w:pPr>
      <w:tblPr>
        <w:tblBorders/>
      </w:tblPr>
      <w:tcPr>
        <w:shd w:val="clear" w:color="auto" w:fill="72c7e7" w:themeFill="accent5"/>
        <w:tcBorders>
          <w:top w:val="single" w:color="ffffff" w:themeColor="background1" w:sz="4" w:space="0"/>
          <w:bottom w:val="single" w:color="ffffff" w:themeColor="background1" w:sz="4" w:space="0"/>
          <w:right w:val="single" w:color="ffffff" w:themeColor="background1" w:sz="4" w:space="0"/>
        </w:tcBorders>
      </w:tcPr>
    </w:tblStylePr>
    <w:tblStylePr w:type="lastRow">
      <w:rPr>
        <w:b/>
        <w:bCs/>
        <w:color w:val="ffffff" w:themeColor="background1"/>
      </w:rPr>
      <w:pPr>
        <w:pBdr/>
        <w:spacing/>
        <w:ind/>
      </w:pPr>
      <w:tblPr>
        <w:tblBorders/>
      </w:tblPr>
      <w:tcPr>
        <w:shd w:val="clear" w:color="auto" w:fill="72c7e7" w:themeFill="accent5"/>
        <w:tcBorders>
          <w:left w:val="single" w:color="ffffff" w:themeColor="background1" w:sz="4" w:space="0"/>
          <w:bottom w:val="single" w:color="ffffff" w:themeColor="background1" w:sz="4" w:space="0"/>
          <w:right w:val="single" w:color="ffffff" w:themeColor="background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2" w:customStyle="1">
    <w:name w:val="网格表 6 彩色 - 着色 31"/>
    <w:basedOn w:val="1333"/>
    <w:uiPriority w:val="51"/>
    <w:qFormat/>
    <w:pPr>
      <w:pBdr/>
      <w:spacing/>
      <w:ind/>
    </w:pPr>
    <w:rPr>
      <w:color w:val="0077a6" w:themeColor="accent3" w:themeShade="BF"/>
    </w:rPr>
    <w:tblPr>
      <w:tblInd w:w="0" w:type="dxa"/>
      <w:tblBorders>
        <w:top w:val="single" w:color="52ceff" w:themeColor="accent3" w:themeTint="99" w:sz="4" w:space="0"/>
        <w:left w:val="single" w:color="52ceff" w:themeColor="accent3" w:themeTint="99" w:sz="4" w:space="0"/>
        <w:bottom w:val="single" w:color="52ceff" w:themeColor="accent3" w:themeTint="99" w:sz="4" w:space="0"/>
        <w:right w:val="single" w:color="52ceff" w:themeColor="accent3" w:themeTint="99" w:sz="4" w:space="0"/>
        <w:insideH w:val="single" w:color="52ceff" w:themeColor="accent3" w:themeTint="99" w:sz="4" w:space="0"/>
        <w:insideV w:val="single" w:color="52ceff" w:themeColor="accent3" w:themeTint="99" w:sz="4" w:space="0"/>
      </w:tblBorders>
      <w:tblCellMar>
        <w:left w:w="108" w:type="dxa"/>
        <w:top w:w="0" w:type="dxa"/>
        <w:right w:w="108" w:type="dxa"/>
        <w:bottom w:w="0" w:type="dxa"/>
      </w:tblCellMar>
    </w:tblPr>
    <w:tcPr>
      <w:tcBorders/>
    </w:tcPr>
    <w:tblStylePr w:type="band1Horz">
      <w:pPr>
        <w:pBdr/>
        <w:spacing/>
        <w:ind/>
      </w:pPr>
      <w:tblPr>
        <w:tblBorders/>
      </w:tblPr>
      <w:tcPr>
        <w:shd w:val="clear" w:color="auto" w:fill="c5eeff" w:themeFill="accent3" w:themeFillTint="33"/>
        <w:tcBorders/>
      </w:tcPr>
    </w:tblStylePr>
    <w:tblStylePr w:type="band1Vert">
      <w:pPr>
        <w:pBdr/>
        <w:spacing/>
        <w:ind/>
      </w:pPr>
      <w:tblPr>
        <w:tblBorders/>
      </w:tblPr>
      <w:tcPr>
        <w:shd w:val="clear" w:color="auto" w:fill="c5eeff" w:themeFill="accent3"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52ceff" w:themeColor="accent3"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52ceff" w:themeColor="accent3"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3" w:customStyle="1">
    <w:name w:val="清单表 1 浅色 - 着色 31"/>
    <w:basedOn w:val="1333"/>
    <w:uiPriority w:val="46"/>
    <w:qFormat/>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auto" w:fill="c5eeff" w:themeFill="accent3" w:themeFillTint="33"/>
        <w:tcBorders/>
      </w:tcPr>
    </w:tblStylePr>
    <w:tblStylePr w:type="band1Vert">
      <w:pPr>
        <w:pBdr/>
        <w:spacing/>
        <w:ind/>
      </w:pPr>
      <w:tblPr>
        <w:tblBorders/>
      </w:tblPr>
      <w:tcPr>
        <w:shd w:val="clear" w:color="auto" w:fill="c5eeff" w:themeFill="accent3"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52ceff" w:themeColor="accent3" w:themeTint="99"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52ceff" w:themeColor="accent3"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4" w:customStyle="1">
    <w:name w:val="清单表 6 彩色 - 着色 31"/>
    <w:basedOn w:val="1333"/>
    <w:uiPriority w:val="51"/>
    <w:qFormat/>
    <w:pPr>
      <w:pBdr/>
      <w:spacing/>
      <w:ind/>
    </w:pPr>
    <w:rPr>
      <w:color w:val="0077a6" w:themeColor="accent3" w:themeShade="BF"/>
    </w:rPr>
    <w:tblPr>
      <w:tblInd w:w="0" w:type="dxa"/>
      <w:tblBorders>
        <w:top w:val="single" w:color="00a1de" w:themeColor="accent3" w:sz="4" w:space="0"/>
        <w:bottom w:val="single" w:color="00a1de" w:themeColor="accent3" w:sz="4" w:space="0"/>
      </w:tblBorders>
      <w:tblCellMar>
        <w:left w:w="108" w:type="dxa"/>
        <w:top w:w="0" w:type="dxa"/>
        <w:right w:w="108" w:type="dxa"/>
        <w:bottom w:w="0" w:type="dxa"/>
      </w:tblCellMar>
    </w:tblPr>
    <w:tcPr>
      <w:tcBorders/>
    </w:tcPr>
    <w:tblStylePr w:type="band1Horz">
      <w:pPr>
        <w:pBdr/>
        <w:spacing/>
        <w:ind/>
      </w:pPr>
      <w:tblPr>
        <w:tblBorders/>
      </w:tblPr>
      <w:tcPr>
        <w:shd w:val="clear" w:color="auto" w:fill="c5eeff" w:themeFill="accent3" w:themeFillTint="33"/>
        <w:tcBorders/>
      </w:tcPr>
    </w:tblStylePr>
    <w:tblStylePr w:type="band1Vert">
      <w:pPr>
        <w:pBdr/>
        <w:spacing/>
        <w:ind/>
      </w:pPr>
      <w:tblPr>
        <w:tblBorders/>
      </w:tblPr>
      <w:tcPr>
        <w:shd w:val="clear" w:color="auto" w:fill="c5eeff" w:themeFill="accent3"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00a1de" w:themeColor="accent3"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00a1de"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5" w:customStyle="1">
    <w:name w:val="网格表 4 - 着色 31"/>
    <w:basedOn w:val="1333"/>
    <w:uiPriority w:val="49"/>
    <w:qFormat/>
    <w:pPr>
      <w:pBdr/>
      <w:spacing/>
      <w:ind/>
    </w:pPr>
    <w:tblPr>
      <w:tblInd w:w="0" w:type="dxa"/>
      <w:tblBorders>
        <w:top w:val="single" w:color="52ceff" w:themeColor="accent3" w:themeTint="99" w:sz="4" w:space="0"/>
        <w:left w:val="single" w:color="52ceff" w:themeColor="accent3" w:themeTint="99" w:sz="4" w:space="0"/>
        <w:bottom w:val="single" w:color="52ceff" w:themeColor="accent3" w:themeTint="99" w:sz="4" w:space="0"/>
        <w:right w:val="single" w:color="52ceff" w:themeColor="accent3" w:themeTint="99" w:sz="4" w:space="0"/>
        <w:insideH w:val="single" w:color="52ceff" w:themeColor="accent3" w:themeTint="99" w:sz="4" w:space="0"/>
        <w:insideV w:val="single" w:color="52ceff" w:themeColor="accent3" w:themeTint="99" w:sz="4" w:space="0"/>
      </w:tblBorders>
      <w:tblCellMar>
        <w:left w:w="108" w:type="dxa"/>
        <w:top w:w="0" w:type="dxa"/>
        <w:right w:w="108" w:type="dxa"/>
        <w:bottom w:w="0" w:type="dxa"/>
      </w:tblCellMar>
    </w:tblPr>
    <w:tcPr>
      <w:tcBorders/>
    </w:tcPr>
    <w:tblStylePr w:type="band1Horz">
      <w:pPr>
        <w:pBdr/>
        <w:spacing/>
        <w:ind/>
      </w:pPr>
      <w:tblPr>
        <w:tblBorders/>
      </w:tblPr>
      <w:tcPr>
        <w:shd w:val="clear" w:color="auto" w:fill="c5eeff" w:themeFill="accent3" w:themeFillTint="33"/>
        <w:tcBorders/>
      </w:tcPr>
    </w:tblStylePr>
    <w:tblStylePr w:type="band1Vert">
      <w:pPr>
        <w:pBdr/>
        <w:spacing/>
        <w:ind/>
      </w:pPr>
      <w:tblPr>
        <w:tblBorders/>
      </w:tblPr>
      <w:tcPr>
        <w:shd w:val="clear" w:color="auto" w:fill="c5eeff" w:themeFill="accent3"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00a1de" w:themeFill="accent3"/>
        <w:tcBorders>
          <w:top w:val="single" w:color="00a1de" w:themeColor="accent3" w:sz="4" w:space="0"/>
          <w:left w:val="single" w:color="00a1de" w:themeColor="accent3" w:sz="4" w:space="0"/>
          <w:bottom w:val="single" w:color="00a1de" w:themeColor="accent3" w:sz="4" w:space="0"/>
          <w:right w:val="single" w:color="00a1de" w:themeColor="accent3"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00a1de"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6" w:customStyle="1">
    <w:name w:val="网格表 4 - 着色 41"/>
    <w:basedOn w:val="1333"/>
    <w:uiPriority w:val="49"/>
    <w:qFormat/>
    <w:pPr>
      <w:pBdr/>
      <w:spacing/>
      <w:ind/>
    </w:pPr>
    <w:tblPr>
      <w:tblInd w:w="0" w:type="dxa"/>
      <w:tblBorders>
        <w:top w:val="single" w:color="7ace6c" w:themeColor="accent4" w:themeTint="99" w:sz="4" w:space="0"/>
        <w:left w:val="single" w:color="7ace6c" w:themeColor="accent4" w:themeTint="99" w:sz="4" w:space="0"/>
        <w:bottom w:val="single" w:color="7ace6c" w:themeColor="accent4" w:themeTint="99" w:sz="4" w:space="0"/>
        <w:right w:val="single" w:color="7ace6c" w:themeColor="accent4" w:themeTint="99" w:sz="4" w:space="0"/>
        <w:insideH w:val="single" w:color="7ace6c" w:themeColor="accent4" w:themeTint="99" w:sz="4" w:space="0"/>
        <w:insideV w:val="single" w:color="7ace6c" w:themeColor="accent4" w:themeTint="99" w:sz="4" w:space="0"/>
      </w:tblBorders>
      <w:tblCellMar>
        <w:left w:w="108" w:type="dxa"/>
        <w:top w:w="0" w:type="dxa"/>
        <w:right w:w="108" w:type="dxa"/>
        <w:bottom w:w="0" w:type="dxa"/>
      </w:tblCellMar>
    </w:tblPr>
    <w:tcPr>
      <w:tcBorders/>
    </w:tcPr>
    <w:tblStylePr w:type="band1Horz">
      <w:pPr>
        <w:pBdr/>
        <w:spacing/>
        <w:ind/>
      </w:pPr>
      <w:tblPr>
        <w:tblBorders/>
      </w:tblPr>
      <w:tcPr>
        <w:shd w:val="clear" w:color="auto" w:fill="d2eece" w:themeFill="accent4" w:themeFillTint="33"/>
        <w:tcBorders/>
      </w:tcPr>
    </w:tblStylePr>
    <w:tblStylePr w:type="band1Vert">
      <w:pPr>
        <w:pBdr/>
        <w:spacing/>
        <w:ind/>
      </w:pPr>
      <w:tblPr>
        <w:tblBorders/>
      </w:tblPr>
      <w:tcPr>
        <w:shd w:val="clear" w:color="auto" w:fill="d2eece"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c8a2e" w:themeFill="accent4"/>
        <w:tcBorders>
          <w:top w:val="single" w:color="3c8a2e" w:themeColor="accent4" w:sz="4" w:space="0"/>
          <w:left w:val="single" w:color="3c8a2e" w:themeColor="accent4" w:sz="4" w:space="0"/>
          <w:bottom w:val="single" w:color="3c8a2e" w:themeColor="accent4" w:sz="4" w:space="0"/>
          <w:right w:val="single" w:color="3c8a2e" w:themeColor="accent4"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3c8a2e"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7" w:customStyle="1">
    <w:name w:val="网格表 2 - 着色 41"/>
    <w:basedOn w:val="1333"/>
    <w:uiPriority w:val="47"/>
    <w:qFormat/>
    <w:pPr>
      <w:pBdr/>
      <w:spacing/>
      <w:ind/>
    </w:pPr>
    <w:tblPr>
      <w:tblInd w:w="0" w:type="dxa"/>
      <w:tblBorders>
        <w:top w:val="single" w:color="7ace6c" w:themeColor="accent4" w:themeTint="99" w:sz="2" w:space="0"/>
        <w:bottom w:val="single" w:color="7ace6c" w:themeColor="accent4" w:themeTint="99" w:sz="2" w:space="0"/>
        <w:insideH w:val="single" w:color="7ace6c" w:themeColor="accent4" w:themeTint="99" w:sz="2" w:space="0"/>
        <w:insideV w:val="single" w:color="7ace6c" w:themeColor="accent4" w:themeTint="99" w:sz="2" w:space="0"/>
      </w:tblBorders>
      <w:tblCellMar>
        <w:left w:w="108" w:type="dxa"/>
        <w:top w:w="0" w:type="dxa"/>
        <w:right w:w="108" w:type="dxa"/>
        <w:bottom w:w="0" w:type="dxa"/>
      </w:tblCellMar>
    </w:tblPr>
    <w:tcPr>
      <w:tcBorders/>
    </w:tcPr>
    <w:tblStylePr w:type="band1Horz">
      <w:pPr>
        <w:pBdr/>
        <w:spacing/>
        <w:ind/>
      </w:pPr>
      <w:tblPr>
        <w:tblBorders/>
      </w:tblPr>
      <w:tcPr>
        <w:shd w:val="clear" w:color="auto" w:fill="d2eece" w:themeFill="accent4" w:themeFillTint="33"/>
        <w:tcBorders/>
      </w:tcPr>
    </w:tblStylePr>
    <w:tblStylePr w:type="band1Vert">
      <w:pPr>
        <w:pBdr/>
        <w:spacing/>
        <w:ind/>
      </w:pPr>
      <w:tblPr>
        <w:tblBorders/>
      </w:tblPr>
      <w:tcPr>
        <w:shd w:val="clear" w:color="auto" w:fill="d2eece"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shd w:val="clear" w:color="auto" w:fill="ffffff" w:themeFill="background1"/>
        <w:tcBorders>
          <w:top w:val="none" w:color="000000" w:sz="4" w:space="0"/>
          <w:bottom w:val="single" w:color="7ace6c" w:themeColor="accent4"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shd w:val="clear" w:color="auto" w:fill="ffffff" w:themeFill="background1"/>
        <w:tcBorders>
          <w:top w:val="single" w:color="7ace6c" w:themeColor="accent4" w:themeTint="99" w:sz="2" w:space="0"/>
          <w:bottom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8" w:customStyle="1">
    <w:name w:val="网格表 5 深色 - 着色 41"/>
    <w:basedOn w:val="1333"/>
    <w:uiPriority w:val="50"/>
    <w:qFormat/>
    <w:pPr>
      <w:pBdr/>
      <w:spacing/>
      <w:ind/>
    </w:pPr>
    <w:tblPr>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d2eece" w:themeFill="accent4" w:themeFillTint="33"/>
      <w:tcBorders/>
    </w:tcPr>
    <w:tblStylePr w:type="band1Horz">
      <w:pPr>
        <w:pBdr/>
        <w:spacing/>
        <w:ind/>
      </w:pPr>
      <w:tblPr>
        <w:tblBorders/>
      </w:tblPr>
      <w:tcPr>
        <w:shd w:val="clear" w:color="auto" w:fill="a6de9d" w:themeFill="accent4" w:themeFillTint="66"/>
        <w:tcBorders/>
      </w:tcPr>
    </w:tblStylePr>
    <w:tblStylePr w:type="band1Vert">
      <w:pPr>
        <w:pBdr/>
        <w:spacing/>
        <w:ind/>
      </w:pPr>
      <w:tblPr>
        <w:tblBorders/>
      </w:tblPr>
      <w:tcPr>
        <w:shd w:val="clear" w:color="auto" w:fill="a6de9d"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3c8a2e" w:themeFill="accent4"/>
        <w:tcBorders>
          <w:top w:val="single" w:color="ffffff" w:themeColor="background1" w:sz="4" w:space="0"/>
          <w:left w:val="single" w:color="ffffff" w:themeColor="background1" w:sz="4" w:space="0"/>
          <w:bottom w:val="single" w:color="ffffff" w:themeColor="background1" w:sz="4" w:space="0"/>
        </w:tcBorders>
      </w:tcPr>
    </w:tblStylePr>
    <w:tblStylePr w:type="firstRow">
      <w:rPr>
        <w:b/>
        <w:bCs/>
        <w:color w:val="ffffff" w:themeColor="background1"/>
      </w:rPr>
      <w:pPr>
        <w:pBdr/>
        <w:spacing/>
        <w:ind/>
      </w:pPr>
      <w:tblPr>
        <w:tblBorders/>
      </w:tblPr>
      <w:tcPr>
        <w:shd w:val="clear" w:color="auto" w:fill="3c8a2e" w:themeFill="accent4"/>
        <w:tcBorders>
          <w:top w:val="single" w:color="ffffff" w:themeColor="background1" w:sz="4" w:space="0"/>
          <w:left w:val="single" w:color="ffffff" w:themeColor="background1" w:sz="4" w:space="0"/>
          <w:right w:val="single" w:color="ffffff" w:themeColor="background1" w:sz="4" w:space="0"/>
        </w:tcBorders>
      </w:tcPr>
    </w:tblStylePr>
    <w:tblStylePr w:type="lastCol">
      <w:rPr>
        <w:b/>
        <w:bCs/>
        <w:color w:val="ffffff" w:themeColor="background1"/>
      </w:rPr>
      <w:pPr>
        <w:pBdr/>
        <w:spacing/>
        <w:ind/>
      </w:pPr>
      <w:tblPr>
        <w:tblBorders/>
      </w:tblPr>
      <w:tcPr>
        <w:shd w:val="clear" w:color="auto" w:fill="3c8a2e" w:themeFill="accent4"/>
        <w:tcBorders>
          <w:top w:val="single" w:color="ffffff" w:themeColor="background1" w:sz="4" w:space="0"/>
          <w:bottom w:val="single" w:color="ffffff" w:themeColor="background1" w:sz="4" w:space="0"/>
          <w:right w:val="single" w:color="ffffff" w:themeColor="background1" w:sz="4" w:space="0"/>
        </w:tcBorders>
      </w:tcPr>
    </w:tblStylePr>
    <w:tblStylePr w:type="lastRow">
      <w:rPr>
        <w:b/>
        <w:bCs/>
        <w:color w:val="ffffff" w:themeColor="background1"/>
      </w:rPr>
      <w:pPr>
        <w:pBdr/>
        <w:spacing/>
        <w:ind/>
      </w:pPr>
      <w:tblPr>
        <w:tblBorders/>
      </w:tblPr>
      <w:tcPr>
        <w:shd w:val="clear" w:color="auto" w:fill="3c8a2e" w:themeFill="accent4"/>
        <w:tcBorders>
          <w:left w:val="single" w:color="ffffff" w:themeColor="background1" w:sz="4" w:space="0"/>
          <w:bottom w:val="single" w:color="ffffff" w:themeColor="background1" w:sz="4" w:space="0"/>
          <w:right w:val="single" w:color="ffffff" w:themeColor="background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499" w:customStyle="1">
    <w:name w:val="Title Char"/>
    <w:basedOn w:val="1332"/>
    <w:link w:val="1368"/>
    <w:uiPriority w:val="10"/>
    <w:qFormat/>
    <w:pPr>
      <w:pBdr/>
      <w:spacing/>
      <w:ind/>
    </w:pPr>
    <w:rPr>
      <w:rFonts w:ascii="华文细黑" w:hAnsi="华文细黑" w:eastAsia="华文细黑" w:cstheme="majorBidi"/>
      <w:b/>
      <w:spacing w:val="-10"/>
      <w:sz w:val="36"/>
      <w:szCs w:val="56"/>
    </w:rPr>
  </w:style>
  <w:style w:type="paragraph" w:styleId="1500" w:customStyle="1">
    <w:name w:val="Document title"/>
    <w:next w:val="1501"/>
    <w:qFormat/>
    <w:pPr>
      <w:pBdr/>
      <w:spacing w:line="440" w:lineRule="atLeast"/>
      <w:ind/>
    </w:pPr>
    <w:rPr>
      <w:rFonts w:asciiTheme="majorHAnsi" w:hAnsiTheme="majorHAnsi" w:eastAsiaTheme="majorEastAsia" w:cstheme="majorBidi"/>
      <w:b/>
      <w:bCs/>
      <w:color w:val="000000" w:themeColor="text1"/>
      <w:sz w:val="36"/>
      <w:szCs w:val="28"/>
      <w:lang w:val="en-GB" w:eastAsia="en-US"/>
    </w:rPr>
  </w:style>
  <w:style w:type="paragraph" w:styleId="1501" w:customStyle="1">
    <w:name w:val="Document subtitle"/>
    <w:basedOn w:val="1322"/>
    <w:qFormat/>
    <w:pPr>
      <w:pBdr/>
      <w:spacing w:after="120" w:line="440" w:lineRule="atLeast"/>
      <w:ind/>
    </w:pPr>
    <w:rPr>
      <w:rFonts w:asciiTheme="minorHAnsi" w:hAnsiTheme="minorHAnsi" w:cstheme="minorBidi"/>
      <w:sz w:val="36"/>
      <w:szCs w:val="22"/>
      <w:lang w:eastAsia="en-US"/>
    </w:rPr>
  </w:style>
  <w:style w:type="paragraph" w:styleId="1502" w:customStyle="1">
    <w:name w:val="Document date"/>
    <w:qFormat/>
    <w:pPr>
      <w:pBdr/>
      <w:spacing w:line="240" w:lineRule="atLeast"/>
      <w:ind/>
    </w:pPr>
    <w:rPr>
      <w:rFonts w:asciiTheme="minorHAnsi" w:hAnsiTheme="minorHAnsi" w:cstheme="minorBidi"/>
      <w:sz w:val="18"/>
      <w:szCs w:val="22"/>
      <w:lang w:eastAsia="en-US"/>
    </w:rPr>
  </w:style>
  <w:style w:type="paragraph" w:styleId="1503" w:customStyle="1">
    <w:name w:val="Default"/>
    <w:qFormat/>
    <w:pPr>
      <w:pBdr/>
      <w:spacing/>
      <w:ind/>
    </w:pPr>
    <w:rPr>
      <w:rFonts w:ascii="Verdana" w:hAnsi="Verdana" w:cs="Verdana"/>
      <w:color w:val="000000"/>
      <w:sz w:val="24"/>
      <w:szCs w:val="24"/>
    </w:rPr>
  </w:style>
  <w:style w:type="paragraph" w:styleId="1504" w:customStyle="1">
    <w:name w:val="Figure"/>
    <w:basedOn w:val="1322"/>
    <w:next w:val="1322"/>
    <w:qFormat/>
    <w:pPr>
      <w:pBdr/>
      <w:spacing w:after="120" w:before="120" w:line="360" w:lineRule="auto"/>
      <w:ind/>
    </w:pPr>
    <w:rPr>
      <w:rFonts w:ascii="EYInterstate" w:hAnsi="EYInterstate" w:cs="Arial" w:eastAsiaTheme="minorEastAsia"/>
      <w:b/>
      <w:bCs/>
      <w:lang w:eastAsia="en-US"/>
    </w:rPr>
  </w:style>
  <w:style w:type="character" w:styleId="1505" w:customStyle="1">
    <w:name w:val="列出段落 字符"/>
    <w:basedOn w:val="1332"/>
    <w:link w:val="1443"/>
    <w:uiPriority w:val="99"/>
    <w:qFormat/>
    <w:pPr>
      <w:pBdr/>
      <w:spacing/>
      <w:ind/>
    </w:pPr>
    <w:rPr>
      <w:rFonts w:ascii="Calibri" w:hAnsi="Calibri"/>
      <w:sz w:val="22"/>
      <w:szCs w:val="22"/>
      <w:lang w:val="en-GB"/>
    </w:rPr>
  </w:style>
  <w:style w:type="table" w:styleId="1506" w:customStyle="1">
    <w:name w:val="网格表 1 浅色 - 着色 21"/>
    <w:basedOn w:val="1333"/>
    <w:uiPriority w:val="46"/>
    <w:qFormat/>
    <w:pPr>
      <w:pBdr/>
      <w:spacing/>
      <w:ind/>
    </w:pPr>
    <w:tblPr>
      <w:tblInd w:w="0" w:type="dxa"/>
      <w:tblBorders>
        <w:top w:val="single" w:color="d9ff87" w:themeColor="accent2" w:themeTint="66" w:sz="4" w:space="0"/>
        <w:left w:val="single" w:color="d9ff87" w:themeColor="accent2" w:themeTint="66" w:sz="4" w:space="0"/>
        <w:bottom w:val="single" w:color="d9ff87" w:themeColor="accent2" w:themeTint="66" w:sz="4" w:space="0"/>
        <w:right w:val="single" w:color="d9ff87" w:themeColor="accent2" w:themeTint="66" w:sz="4" w:space="0"/>
        <w:insideH w:val="single" w:color="d9ff87" w:themeColor="accent2" w:themeTint="66" w:sz="4" w:space="0"/>
        <w:insideV w:val="single" w:color="d9ff87" w:themeColor="accent2" w:themeTint="66"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c6ff4c" w:themeColor="accent2"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6ff4c" w:themeColor="accent2" w:themeTint="99" w:sz="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7" w:customStyle="1">
    <w:name w:val="无格式表格 11"/>
    <w:basedOn w:val="1333"/>
    <w:uiPriority w:val="41"/>
    <w:qFormat/>
    <w:pPr>
      <w:pBdr/>
      <w:spacing/>
      <w:ind/>
    </w:pPr>
    <w:tblPr>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left w:w="108" w:type="dxa"/>
        <w:top w:w="0" w:type="dxa"/>
        <w:right w:w="108" w:type="dxa"/>
        <w:bottom w:w="0" w:type="dxa"/>
      </w:tblCellMar>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fbfbf" w:themeColor="background1" w:themeShade="B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8" w:customStyle="1">
    <w:name w:val="网格表 3 - 着色 41"/>
    <w:basedOn w:val="1333"/>
    <w:uiPriority w:val="48"/>
    <w:qFormat/>
    <w:pPr>
      <w:pBdr/>
      <w:spacing/>
      <w:ind/>
    </w:pPr>
    <w:tblPr>
      <w:tblInd w:w="0" w:type="dxa"/>
      <w:tblBorders>
        <w:top w:val="single" w:color="7ace6c" w:themeColor="accent4" w:themeTint="99" w:sz="4" w:space="0"/>
        <w:left w:val="single" w:color="7ace6c" w:themeColor="accent4" w:themeTint="99" w:sz="4" w:space="0"/>
        <w:bottom w:val="single" w:color="7ace6c" w:themeColor="accent4" w:themeTint="99" w:sz="4" w:space="0"/>
        <w:right w:val="single" w:color="7ace6c" w:themeColor="accent4" w:themeTint="99" w:sz="4" w:space="0"/>
        <w:insideH w:val="single" w:color="7ace6c" w:themeColor="accent4" w:themeTint="99" w:sz="4" w:space="0"/>
        <w:insideV w:val="single" w:color="7ace6c" w:themeColor="accent4" w:themeTint="99" w:sz="4" w:space="0"/>
      </w:tblBorders>
      <w:tblCellMar>
        <w:left w:w="108" w:type="dxa"/>
        <w:top w:w="0" w:type="dxa"/>
        <w:right w:w="108" w:type="dxa"/>
        <w:bottom w:w="0" w:type="dxa"/>
      </w:tblCellMar>
    </w:tblPr>
    <w:tcPr>
      <w:tcBorders/>
    </w:tcPr>
    <w:tblStylePr w:type="band1Horz">
      <w:pPr>
        <w:pBdr/>
        <w:spacing/>
        <w:ind/>
      </w:pPr>
      <w:tblPr>
        <w:tblBorders/>
      </w:tblPr>
      <w:tcPr>
        <w:shd w:val="clear" w:color="auto" w:fill="d2eece" w:themeFill="accent4" w:themeFillTint="33"/>
        <w:tcBorders/>
      </w:tcPr>
    </w:tblStylePr>
    <w:tblStylePr w:type="band1Vert">
      <w:pPr>
        <w:pBdr/>
        <w:spacing/>
        <w:ind/>
      </w:pPr>
      <w:tblPr>
        <w:tblBorders/>
      </w:tblPr>
      <w:tcPr>
        <w:shd w:val="clear" w:color="auto" w:fill="d2eece"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7ace6c" w:themeColor="accent4" w:themeTint="99" w:sz="4" w:space="0"/>
        </w:tcBorders>
      </w:tcPr>
    </w:tblStylePr>
    <w:tblStylePr w:type="neCell">
      <w:pPr>
        <w:pBdr/>
        <w:spacing/>
        <w:ind/>
      </w:pPr>
      <w:tblPr>
        <w:tblBorders/>
      </w:tblPr>
      <w:tcPr>
        <w:tcBorders>
          <w:bottom w:val="single" w:color="7ace6c" w:themeColor="accent4" w:themeTint="99" w:sz="4" w:space="0"/>
        </w:tcBorders>
      </w:tcPr>
    </w:tblStylePr>
    <w:tblStylePr w:type="swCell">
      <w:pPr>
        <w:pBdr/>
        <w:spacing/>
        <w:ind/>
      </w:pPr>
      <w:tblPr>
        <w:tblBorders/>
      </w:tblPr>
      <w:tcPr>
        <w:tcBorders>
          <w:top w:val="single" w:color="7ace6c" w:themeColor="accent4" w:themeTint="99" w:sz="4" w:space="0"/>
        </w:tcBorders>
      </w:tcPr>
    </w:tblStylePr>
    <w:tblStylePr w:type="seCell">
      <w:pPr>
        <w:pBdr/>
        <w:spacing/>
        <w:ind/>
      </w:pPr>
      <w:tblPr>
        <w:tblBorders/>
      </w:tblPr>
      <w:tcPr>
        <w:tcBorders>
          <w:top w:val="single" w:color="7ace6c" w:themeColor="accent4" w:themeTint="99" w:sz="4" w:space="0"/>
        </w:tcBorders>
      </w:tcPr>
    </w:tblStylePr>
    <w:tblStylePr w:type="wholeTable">
      <w:pPr>
        <w:pBdr/>
        <w:spacing/>
        <w:ind/>
      </w:pPr>
      <w:tblPr>
        <w:tblBorders/>
      </w:tblPr>
      <w:tcPr>
        <w:tcBorders/>
      </w:tcPr>
    </w:tblStylePr>
  </w:style>
  <w:style w:type="table" w:styleId="1509" w:customStyle="1">
    <w:name w:val="网格表 2 - 着色 21"/>
    <w:basedOn w:val="1333"/>
    <w:uiPriority w:val="47"/>
    <w:qFormat/>
    <w:pPr>
      <w:pBdr/>
      <w:spacing/>
      <w:ind/>
    </w:pPr>
    <w:tblPr>
      <w:tblInd w:w="0" w:type="dxa"/>
      <w:tblBorders>
        <w:top w:val="single" w:color="c6ff4c" w:themeColor="accent2" w:themeTint="99" w:sz="2" w:space="0"/>
        <w:bottom w:val="single" w:color="c6ff4c" w:themeColor="accent2" w:themeTint="99" w:sz="2" w:space="0"/>
        <w:insideH w:val="single" w:color="c6ff4c" w:themeColor="accent2" w:themeTint="99" w:sz="2" w:space="0"/>
        <w:insideV w:val="single" w:color="c6ff4c" w:themeColor="accent2" w:themeTint="99" w:sz="2" w:space="0"/>
      </w:tblBorders>
      <w:tblCellMar>
        <w:left w:w="108" w:type="dxa"/>
        <w:top w:w="0" w:type="dxa"/>
        <w:right w:w="108" w:type="dxa"/>
        <w:bottom w:w="0" w:type="dxa"/>
      </w:tblCellMar>
    </w:tblPr>
    <w:tcPr>
      <w:tcBorders/>
    </w:tcPr>
    <w:tblStylePr w:type="band1Horz">
      <w:pPr>
        <w:pBdr/>
        <w:spacing/>
        <w:ind/>
      </w:pPr>
      <w:tblPr>
        <w:tblBorders/>
      </w:tblPr>
      <w:tcPr>
        <w:shd w:val="clear" w:color="auto" w:fill="ecffc3" w:themeFill="accent2" w:themeFillTint="33"/>
        <w:tcBorders/>
      </w:tcPr>
    </w:tblStylePr>
    <w:tblStylePr w:type="band1Vert">
      <w:pPr>
        <w:pBdr/>
        <w:spacing/>
        <w:ind/>
      </w:pPr>
      <w:tblPr>
        <w:tblBorders/>
      </w:tblPr>
      <w:tcPr>
        <w:shd w:val="clear" w:color="auto" w:fill="ecffc3" w:themeFill="accent2"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shd w:val="clear" w:color="auto" w:fill="ffffff" w:themeFill="background1"/>
        <w:tcBorders>
          <w:top w:val="none" w:color="000000" w:sz="4" w:space="0"/>
          <w:bottom w:val="single" w:color="c6ff4c" w:themeColor="accent2"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shd w:val="clear" w:color="auto" w:fill="ffffff" w:themeFill="background1"/>
        <w:tcBorders>
          <w:top w:val="single" w:color="c6ff4c" w:themeColor="accent2" w:themeTint="99" w:sz="2" w:space="0"/>
          <w:bottom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510" w:customStyle="1">
    <w:name w:val="Table Column Header"/>
    <w:basedOn w:val="1447"/>
    <w:qFormat/>
    <w:pPr>
      <w:keepNext w:val="true"/>
      <w:widowControl w:val="false"/>
      <w:pBdr/>
      <w:spacing w:after="60" w:before="60"/>
      <w:ind/>
      <w:jc w:val="center"/>
    </w:pPr>
    <w:rPr>
      <w:rFonts w:ascii="Arial Bold" w:hAnsi="Arial Bold"/>
      <w:b/>
      <w:szCs w:val="20"/>
    </w:rPr>
  </w:style>
  <w:style w:type="paragraph" w:styleId="1511" w:customStyle="1">
    <w:name w:val="Exhibit Title"/>
    <w:basedOn w:val="1338"/>
    <w:link w:val="1512"/>
    <w:qFormat/>
    <w:pPr>
      <w:keepNext w:val="true"/>
      <w:pBdr/>
      <w:tabs>
        <w:tab w:val="left" w:leader="none" w:pos="1224"/>
      </w:tabs>
      <w:spacing w:after="120" w:before="120" w:line="240" w:lineRule="atLeast"/>
      <w:ind w:hanging="1021" w:left="1021"/>
    </w:pPr>
    <w:rPr>
      <w:rFonts w:ascii="Arial Bold" w:hAnsi="Arial Bold" w:eastAsia="华文楷体"/>
      <w:bCs w:val="0"/>
      <w:color w:val="ffffff"/>
      <w:sz w:val="22"/>
      <w:lang w:val="en-GB" w:eastAsia="en-US"/>
    </w:rPr>
  </w:style>
  <w:style w:type="character" w:styleId="1512" w:customStyle="1">
    <w:name w:val="Exhibit Title Char"/>
    <w:basedOn w:val="1332"/>
    <w:link w:val="1511"/>
    <w:qFormat/>
    <w:pPr>
      <w:pBdr/>
      <w:spacing/>
      <w:ind/>
    </w:pPr>
    <w:rPr>
      <w:rFonts w:ascii="Arial Bold" w:hAnsi="Arial Bold" w:eastAsia="华文楷体"/>
      <w:b/>
      <w:color w:val="ffffff"/>
      <w:sz w:val="22"/>
      <w:lang w:val="en-GB" w:eastAsia="en-US"/>
    </w:rPr>
  </w:style>
  <w:style w:type="paragraph" w:styleId="1513" w:customStyle="1">
    <w:name w:val="Table Text  Bold"/>
    <w:basedOn w:val="1447"/>
    <w:link w:val="1514"/>
    <w:qFormat/>
    <w:pPr>
      <w:pBdr/>
      <w:spacing/>
      <w:ind/>
    </w:pPr>
    <w:rPr>
      <w:b/>
      <w:bCs/>
    </w:rPr>
  </w:style>
  <w:style w:type="character" w:styleId="1514" w:customStyle="1">
    <w:name w:val="Table Text  Bold Char"/>
    <w:basedOn w:val="1448"/>
    <w:link w:val="1513"/>
    <w:qFormat/>
    <w:pPr>
      <w:pBdr/>
      <w:spacing/>
      <w:ind/>
    </w:pPr>
    <w:rPr>
      <w:rFonts w:ascii="Arial" w:hAnsi="Arial" w:eastAsia="华文楷体" w:cs="Times New Roman"/>
      <w:b/>
      <w:bCs/>
      <w:sz w:val="22"/>
      <w:szCs w:val="18"/>
      <w:lang w:val="en-GB" w:eastAsia="en-US"/>
    </w:rPr>
  </w:style>
  <w:style w:type="paragraph" w:styleId="1515" w:customStyle="1">
    <w:name w:val="List Bullet single space"/>
    <w:basedOn w:val="1339"/>
    <w:qFormat/>
    <w:pPr>
      <w:numPr>
        <w:ilvl w:val="0"/>
        <w:numId w:val="6"/>
      </w:numPr>
      <w:pBdr/>
      <w:spacing w:after="0" w:line="240" w:lineRule="auto"/>
      <w:ind/>
    </w:pPr>
    <w:rPr>
      <w:rFonts w:ascii="Arial" w:hAnsi="Arial" w:eastAsia="华文楷体"/>
      <w:sz w:val="22"/>
      <w:lang w:val="en-GB" w:eastAsia="en-US"/>
    </w:rPr>
  </w:style>
  <w:style w:type="paragraph" w:styleId="1516" w:customStyle="1">
    <w:name w:val="Table Text Italic"/>
    <w:basedOn w:val="1447"/>
    <w:qFormat/>
    <w:pPr>
      <w:keepNext w:val="true"/>
      <w:pBdr/>
      <w:spacing/>
      <w:ind/>
    </w:pPr>
    <w:rPr>
      <w:i/>
    </w:rPr>
  </w:style>
  <w:style w:type="paragraph" w:styleId="1517" w:customStyle="1">
    <w:name w:val="Exhibit Note"/>
    <w:basedOn w:val="1447"/>
    <w:qFormat/>
    <w:pPr>
      <w:pBdr/>
      <w:spacing/>
      <w:ind/>
    </w:pPr>
    <w:rPr>
      <w:i/>
      <w:sz w:val="20"/>
      <w:lang w:val="en-CA"/>
    </w:rPr>
  </w:style>
  <w:style w:type="paragraph" w:styleId="1518" w:customStyle="1">
    <w:name w:val="CN TP Report-Bullet 2"/>
    <w:basedOn w:val="1322"/>
    <w:qFormat/>
    <w:pPr>
      <w:numPr>
        <w:ilvl w:val="0"/>
        <w:numId w:val="7"/>
      </w:numPr>
      <w:pBdr/>
      <w:spacing w:after="120" w:before="120" w:line="280" w:lineRule="exact"/>
      <w:ind/>
      <w:jc w:val="both"/>
    </w:pPr>
    <w:rPr>
      <w:rFonts w:ascii="Verdana" w:hAnsi="Verdana" w:cs="Arial"/>
      <w:iCs/>
      <w:color w:val="222222"/>
      <w:sz w:val="21"/>
      <w:szCs w:val="21"/>
      <w:lang w:val="en" w:eastAsia="en-US"/>
    </w:rPr>
  </w:style>
  <w:style w:type="paragraph" w:styleId="1519" w:customStyle="1">
    <w:name w:val="ordinary-output"/>
    <w:basedOn w:val="1322"/>
    <w:qFormat/>
    <w:pPr>
      <w:pBdr/>
      <w:spacing w:after="100" w:afterAutospacing="1" w:before="100" w:beforeAutospacing="1" w:line="450" w:lineRule="atLeast"/>
      <w:ind/>
    </w:pPr>
    <w:rPr>
      <w:rFonts w:eastAsia="Times New Roman"/>
      <w:color w:val="333333"/>
      <w:sz w:val="36"/>
      <w:szCs w:val="36"/>
    </w:rPr>
  </w:style>
  <w:style w:type="character" w:styleId="1520" w:customStyle="1">
    <w:name w:val="short_text"/>
    <w:basedOn w:val="1332"/>
    <w:qFormat/>
    <w:pPr>
      <w:pBdr/>
      <w:spacing/>
      <w:ind/>
    </w:pPr>
  </w:style>
  <w:style w:type="paragraph" w:styleId="1521" w:customStyle="1">
    <w:name w:val="Annex Heading"/>
    <w:basedOn w:val="1323"/>
    <w:next w:val="1343"/>
    <w:qFormat/>
    <w:pPr>
      <w:pBdr/>
      <w:spacing w:after="1620" w:before="1620" w:line="240" w:lineRule="atLeast"/>
      <w:ind w:hanging="432" w:left="432"/>
    </w:pPr>
    <w:rPr>
      <w:rFonts w:ascii="Arial" w:hAnsi="Arial" w:eastAsia="宋体"/>
      <w:b/>
      <w:bCs w:val="0"/>
      <w:sz w:val="56"/>
      <w:szCs w:val="32"/>
      <w:lang w:val="en-GB"/>
    </w:rPr>
  </w:style>
  <w:style w:type="paragraph" w:styleId="1522" w:customStyle="1">
    <w:name w:val="_tgt"/>
    <w:basedOn w:val="1322"/>
    <w:qFormat/>
    <w:pPr>
      <w:pBdr/>
      <w:spacing w:after="100" w:afterAutospacing="1" w:before="100" w:beforeAutospacing="1"/>
      <w:ind/>
    </w:pPr>
    <w:rPr>
      <w:rFonts w:eastAsia="Times New Roman"/>
      <w:sz w:val="24"/>
      <w:szCs w:val="24"/>
    </w:rPr>
  </w:style>
  <w:style w:type="character" w:styleId="1523" w:customStyle="1">
    <w:name w:val="transsent"/>
    <w:basedOn w:val="1332"/>
    <w:qFormat/>
    <w:pPr>
      <w:pBdr/>
      <w:spacing/>
      <w:ind/>
    </w:pPr>
  </w:style>
  <w:style w:type="character" w:styleId="1524" w:customStyle="1">
    <w:name w:val="HTML Preformatted Char"/>
    <w:basedOn w:val="1332"/>
    <w:link w:val="1366"/>
    <w:uiPriority w:val="99"/>
    <w:semiHidden/>
    <w:qFormat/>
    <w:pPr>
      <w:pBdr/>
      <w:spacing/>
      <w:ind/>
    </w:pPr>
    <w:rPr>
      <w:rFonts w:ascii="Courier New" w:hAnsi="Courier New" w:cs="Courier New"/>
    </w:rPr>
  </w:style>
  <w:style w:type="paragraph" w:styleId="1525" w:customStyle="1">
    <w:name w:val="Table Paragraph"/>
    <w:basedOn w:val="1322"/>
    <w:uiPriority w:val="1"/>
    <w:qFormat/>
    <w:pPr>
      <w:widowControl w:val="false"/>
      <w:pBdr/>
      <w:spacing/>
      <w:ind/>
    </w:pPr>
    <w:rPr>
      <w:rFonts w:ascii="Verdana" w:hAnsi="Verdana" w:eastAsia="Verdana" w:cs="Verdana"/>
      <w:sz w:val="22"/>
      <w:szCs w:val="22"/>
      <w:lang w:eastAsia="en-US"/>
    </w:rPr>
  </w:style>
  <w:style w:type="paragraph" w:styleId="1526" w:customStyle="1">
    <w:name w:val="SPX EN"/>
    <w:basedOn w:val="1322"/>
    <w:link w:val="1527"/>
    <w:qFormat/>
    <w:pPr>
      <w:pBdr/>
      <w:spacing w:after="120" w:before="120" w:line="240" w:lineRule="atLeast"/>
      <w:ind/>
      <w:jc w:val="both"/>
    </w:pPr>
    <w:rPr>
      <w:rFonts w:ascii="Verdana" w:hAnsi="Verdana" w:eastAsia="Verdana"/>
      <w:sz w:val="21"/>
    </w:rPr>
  </w:style>
  <w:style w:type="character" w:styleId="1527" w:customStyle="1">
    <w:name w:val="SPX EN 字符"/>
    <w:basedOn w:val="1332"/>
    <w:link w:val="1526"/>
    <w:qFormat/>
    <w:pPr>
      <w:pBdr/>
      <w:spacing/>
      <w:ind/>
    </w:pPr>
    <w:rPr>
      <w:rFonts w:ascii="Verdana" w:hAnsi="Verdana" w:eastAsia="Verdana"/>
      <w:sz w:val="21"/>
    </w:rPr>
  </w:style>
  <w:style w:type="character" w:styleId="1528" w:customStyle="1">
    <w:name w:val="tlid-translation"/>
    <w:basedOn w:val="1332"/>
    <w:qFormat/>
    <w:pPr>
      <w:pBdr/>
      <w:spacing/>
      <w:ind/>
    </w:pPr>
  </w:style>
  <w:style w:type="paragraph" w:styleId="1529" w:customStyle="1">
    <w:name w:val="List Paragraph1"/>
    <w:basedOn w:val="1322"/>
    <w:uiPriority w:val="34"/>
    <w:qFormat/>
    <w:pPr>
      <w:pBdr/>
      <w:spacing w:after="100" w:afterAutospacing="1" w:before="100" w:beforeAutospacing="1"/>
      <w:ind/>
      <w:jc w:val="both"/>
      <w:outlineLvl w:val="0"/>
    </w:pPr>
    <w:rPr>
      <w:rFonts w:ascii="Arial Narrow" w:hAnsi="Arial Narrow" w:eastAsia="仿宋_GB2312" w:cs="Arial"/>
      <w:color w:val="2c6722" w:themeColor="accent4" w:themeShade="BF"/>
      <w:sz w:val="28"/>
      <w:szCs w:val="22"/>
    </w:rPr>
  </w:style>
  <w:style w:type="table" w:styleId="1530" w:customStyle="1">
    <w:name w:val="网格表 4 - 着色 51"/>
    <w:basedOn w:val="1333"/>
    <w:uiPriority w:val="49"/>
    <w:qFormat/>
    <w:pPr>
      <w:pBdr/>
      <w:spacing/>
      <w:ind/>
    </w:pPr>
    <w:tblPr>
      <w:tblInd w:w="0" w:type="dxa"/>
      <w:tblBorders>
        <w:top w:val="single" w:color="aaddf0" w:themeColor="accent5" w:themeTint="99" w:sz="4" w:space="0"/>
        <w:left w:val="single" w:color="aaddf0" w:themeColor="accent5" w:themeTint="99" w:sz="4" w:space="0"/>
        <w:bottom w:val="single" w:color="aaddf0" w:themeColor="accent5" w:themeTint="99" w:sz="4" w:space="0"/>
        <w:right w:val="single" w:color="aaddf0" w:themeColor="accent5" w:themeTint="99" w:sz="4" w:space="0"/>
        <w:insideH w:val="single" w:color="aaddf0" w:themeColor="accent5" w:themeTint="99" w:sz="4" w:space="0"/>
        <w:insideV w:val="single" w:color="aaddf0" w:themeColor="accent5" w:themeTint="99" w:sz="4" w:space="0"/>
      </w:tblBorders>
      <w:tblCellMar>
        <w:left w:w="108" w:type="dxa"/>
        <w:top w:w="0" w:type="dxa"/>
        <w:right w:w="108" w:type="dxa"/>
        <w:bottom w:w="0" w:type="dxa"/>
      </w:tblCellMar>
    </w:tblPr>
    <w:tcPr>
      <w:tcBorders/>
    </w:tcPr>
    <w:tblStylePr w:type="band1Horz">
      <w:pPr>
        <w:pBdr/>
        <w:spacing/>
        <w:ind/>
      </w:pPr>
      <w:tblPr>
        <w:tblBorders/>
      </w:tblPr>
      <w:tcPr>
        <w:shd w:val="clear" w:color="auto" w:fill="e2f3fa" w:themeFill="accent5" w:themeFillTint="33"/>
        <w:tcBorders/>
      </w:tcPr>
    </w:tblStylePr>
    <w:tblStylePr w:type="band1Vert">
      <w:pPr>
        <w:pBdr/>
        <w:spacing/>
        <w:ind/>
      </w:pPr>
      <w:tblPr>
        <w:tblBorders/>
      </w:tblPr>
      <w:tcPr>
        <w:shd w:val="clear" w:color="auto" w:fill="e2f3fa"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2c7e7" w:themeFill="accent5"/>
        <w:tcBorders>
          <w:top w:val="single" w:color="72c7e7" w:themeColor="accent5" w:sz="4" w:space="0"/>
          <w:left w:val="single" w:color="72c7e7" w:themeColor="accent5" w:sz="4" w:space="0"/>
          <w:bottom w:val="single" w:color="72c7e7" w:themeColor="accent5" w:sz="4" w:space="0"/>
          <w:right w:val="single" w:color="72c7e7" w:themeColor="accent5"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2c7e7"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1" w:customStyle="1">
    <w:name w:val="Table Normal3"/>
    <w:uiPriority w:val="2"/>
    <w:unhideWhenUsed/>
    <w:qFormat/>
    <w:pPr>
      <w:widowControl w:val="false"/>
      <w:pBdr/>
      <w:spacing/>
      <w:ind/>
    </w:pPr>
    <w:rPr>
      <w:rFonts w:asciiTheme="minorHAnsi" w:hAnsiTheme="minorHAnsi" w:eastAsiaTheme="minorEastAsia" w:cstheme="minorBidi"/>
      <w:sz w:val="22"/>
      <w:szCs w:val="22"/>
      <w:lang w:eastAsia="en-US"/>
    </w:rPr>
    <w:tblPr>
      <w:tblBorders/>
      <w:tblCellMar>
        <w:left w:w="0" w:type="dxa"/>
        <w:top w:w="0" w:type="dxa"/>
        <w:right w:w="0"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532" w:customStyle="1">
    <w:name w:val="列出段落2"/>
    <w:basedOn w:val="1322"/>
    <w:uiPriority w:val="99"/>
    <w:qFormat/>
    <w:pPr>
      <w:pBdr/>
      <w:spacing w:after="120"/>
      <w:ind w:left="720"/>
      <w:contextualSpacing w:val="true"/>
    </w:pPr>
    <w:rPr>
      <w:rFonts w:ascii="Calibri" w:hAnsi="Calibri"/>
      <w:sz w:val="22"/>
      <w:szCs w:val="22"/>
      <w:lang w:val="en-GB"/>
    </w:rPr>
  </w:style>
  <w:style w:type="character" w:styleId="1533" w:customStyle="1">
    <w:name w:val="Caption Char"/>
    <w:basedOn w:val="1332"/>
    <w:link w:val="1338"/>
    <w:uiPriority w:val="35"/>
    <w:qFormat/>
    <w:pPr>
      <w:pBdr/>
      <w:spacing/>
      <w:ind/>
    </w:pPr>
    <w:rPr>
      <w:b/>
      <w:bCs/>
    </w:rPr>
  </w:style>
  <w:style w:type="paragraph" w:styleId="1534" w:customStyle="1">
    <w:name w:val="修订2"/>
    <w:hidden/>
    <w:uiPriority w:val="99"/>
    <w:semiHidden/>
    <w:qFormat/>
    <w:pPr>
      <w:pBdr/>
      <w:spacing/>
      <w:ind/>
    </w:pPr>
  </w:style>
  <w:style w:type="paragraph" w:styleId="1535" w:customStyle="1">
    <w:name w:val="修订3"/>
    <w:hidden/>
    <w:uiPriority w:val="99"/>
    <w:semiHidden/>
    <w:qFormat/>
    <w:pPr>
      <w:pBdr/>
      <w:spacing/>
      <w:ind/>
    </w:pPr>
  </w:style>
  <w:style w:type="paragraph" w:styleId="1536">
    <w:name w:val="List Paragraph"/>
    <w:basedOn w:val="1322"/>
    <w:link w:val="1537"/>
    <w:uiPriority w:val="99"/>
    <w:qFormat/>
    <w:pPr>
      <w:numPr>
        <w:ilvl w:val="0"/>
        <w:numId w:val="8"/>
      </w:numPr>
      <w:pBdr/>
      <w:spacing w:after="180" w:before="180" w:line="360" w:lineRule="auto"/>
      <w:ind/>
      <w:contextualSpacing w:val="true"/>
      <w:jc w:val="both"/>
    </w:pPr>
    <w:rPr>
      <w:rFonts w:ascii="Arial Narrow" w:hAnsi="Arial Narrow" w:eastAsia="仿宋_GB2312" w:cs="Arial"/>
      <w:sz w:val="22"/>
      <w:szCs w:val="22"/>
      <w:lang w:val="en-GB"/>
    </w:rPr>
  </w:style>
  <w:style w:type="character" w:styleId="1537" w:customStyle="1">
    <w:name w:val="List Paragraph Char"/>
    <w:basedOn w:val="1332"/>
    <w:link w:val="1536"/>
    <w:uiPriority w:val="99"/>
    <w:qFormat/>
    <w:pPr>
      <w:pBdr/>
      <w:spacing/>
      <w:ind/>
    </w:pPr>
    <w:rPr>
      <w:rFonts w:ascii="Arial Narrow" w:hAnsi="Arial Narrow" w:eastAsia="仿宋_GB2312" w:cs="Arial"/>
      <w:sz w:val="22"/>
      <w:szCs w:val="22"/>
      <w:lang w:val="en-GB"/>
    </w:rPr>
  </w:style>
  <w:style w:type="paragraph" w:styleId="1538" w:customStyle="1">
    <w:name w:val="修订4"/>
    <w:hidden/>
    <w:uiPriority w:val="99"/>
    <w:unhideWhenUsed/>
    <w:qFormat/>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header" Target="header6.xml" /><Relationship Id="rId15" Type="http://schemas.openxmlformats.org/officeDocument/2006/relationships/header" Target="header7.xml" /><Relationship Id="rId16" Type="http://schemas.openxmlformats.org/officeDocument/2006/relationships/header" Target="header8.xml" /><Relationship Id="rId17" Type="http://schemas.openxmlformats.org/officeDocument/2006/relationships/header" Target="header9.xml" /><Relationship Id="rId18" Type="http://schemas.openxmlformats.org/officeDocument/2006/relationships/header" Target="header10.xml" /><Relationship Id="rId19" Type="http://schemas.openxmlformats.org/officeDocument/2006/relationships/header" Target="header11.xml" /><Relationship Id="rId20" Type="http://schemas.openxmlformats.org/officeDocument/2006/relationships/footer" Target="footer1.xml" /><Relationship Id="rId21" Type="http://schemas.openxmlformats.org/officeDocument/2006/relationships/footer" Target="footer2.xml" /><Relationship Id="rId22" Type="http://schemas.openxmlformats.org/officeDocument/2006/relationships/footer" Target="footer3.xml" /><Relationship Id="rId23" Type="http://schemas.openxmlformats.org/officeDocument/2006/relationships/footer" Target="footer4.xml" /><Relationship Id="rId24" Type="http://schemas.openxmlformats.org/officeDocument/2006/relationships/footer" Target="footer5.xml" /><Relationship Id="rId25" Type="http://schemas.openxmlformats.org/officeDocument/2006/relationships/footer" Target="footer6.xml" /><Relationship Id="rId26" Type="http://schemas.openxmlformats.org/officeDocument/2006/relationships/customXml" Target="../customXml/item1.xml" /><Relationship Id="rId27" Type="http://schemas.openxmlformats.org/officeDocument/2006/relationships/customXml" Target="../customXml/item2.xml" /><Relationship Id="rId28" Type="http://schemas.openxmlformats.org/officeDocument/2006/relationships/image" Target="media/image1.jpg"/><Relationship Id="rId29" Type="http://schemas.openxmlformats.org/officeDocument/2006/relationships/image" Target="media/image2.png"/><Relationship Id="rId30" Type="http://schemas.openxmlformats.org/officeDocument/2006/relationships/image" Target="media/image3.png"/><Relationship Id="rId31" Type="http://schemas.openxmlformats.org/officeDocument/2006/relationships/image" Target="media/image4.png"/><Relationship Id="rId32" Type="http://schemas.openxmlformats.org/officeDocument/2006/relationships/chart" Target="charts/chart1.xml" /><Relationship Id="rId33" Type="http://schemas.openxmlformats.org/officeDocument/2006/relationships/chart" Target="charts/chart2.xml" /><Relationship Id="rId34" Type="http://schemas.openxmlformats.org/officeDocument/2006/relationships/chart" Target="charts/chart3.xml" /><Relationship Id="rId35" Type="http://schemas.openxmlformats.org/officeDocument/2006/relationships/chart" Target="charts/chart4.xml" /><Relationship Id="rId36" Type="http://schemas.openxmlformats.org/officeDocument/2006/relationships/image" Target="media/image5.png"/><Relationship Id="rId37" Type="http://schemas.openxmlformats.org/officeDocument/2006/relationships/image" Target="media/image6.jpg"/><Relationship Id="rId38" Type="http://schemas.openxmlformats.org/officeDocument/2006/relationships/image" Target="media/image7.png"/><Relationship Id="rId39" Type="http://schemas.openxmlformats.org/officeDocument/2006/relationships/chart" Target="charts/chart5.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er6.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_rels/header5.xml.rels><?xml version="1.0" encoding="UTF-8" standalone="yes"?><Relationships xmlns="http://schemas.openxmlformats.org/package/2006/relationships"></Relationships>
</file>

<file path=word/_rels/header6.xml.rels><?xml version="1.0" encoding="UTF-8" standalone="yes"?><Relationships xmlns="http://schemas.openxmlformats.org/package/2006/relationships"></Relationships>
</file>

<file path=word/_rels/header7.xml.rels><?xml version="1.0" encoding="UTF-8" standalone="yes"?><Relationships xmlns="http://schemas.openxmlformats.org/package/2006/relationships"></Relationships>
</file>

<file path=word/_rels/header8.xml.rels><?xml version="1.0" encoding="UTF-8" standalone="yes"?><Relationships xmlns="http://schemas.openxmlformats.org/package/2006/relationships"></Relationships>
</file>

<file path=word/_rels/header9.xml.rels><?xml version="1.0" encoding="UTF-8" standalone="yes"?><Relationships xmlns="http://schemas.openxmlformats.org/package/2006/relationships"></Relationships>
</file>

<file path=word/_rels/header10.xml.rels><?xml version="1.0" encoding="UTF-8" standalone="yes"?><Relationships xmlns="http://schemas.openxmlformats.org/package/2006/relationships"></Relationships>
</file>

<file path=word/_rels/header11.xml.rels><?xml version="1.0" encoding="UTF-8" standalone="yes"?><Relationships xmlns="http://schemas.openxmlformats.org/package/2006/relationships"></Relationships>
</file>

<file path=word/charts/_rels/chart1.xml.rels><?xml version="1.0" encoding="UTF-8" standalone="yes"?><Relationships xmlns="http://schemas.openxmlformats.org/package/2006/relationships"><Relationship Id="rId1" Type="http://schemas.microsoft.com/office/2011/relationships/chartStyle" Target="style1.xml" /><Relationship Id="rId2" Type="http://schemas.microsoft.com/office/2011/relationships/chartColorStyle" Target="colors1.xml" /><Relationship Id="rId3" Type="http://schemas.openxmlformats.org/officeDocument/2006/relationships/package" Target="../embeddings/Microsoft_Excel_Worksheet1.xlsx" /></Relationships>
</file>

<file path=word/charts/_rels/chart2.xml.rels><?xml version="1.0" encoding="UTF-8" standalone="yes"?><Relationships xmlns="http://schemas.openxmlformats.org/package/2006/relationships"><Relationship Id="rId1" Type="http://schemas.microsoft.com/office/2011/relationships/chartStyle" Target="style2.xml" /><Relationship Id="rId2" Type="http://schemas.microsoft.com/office/2011/relationships/chartColorStyle" Target="colors2.xml" /><Relationship Id="rId3" Type="http://schemas.openxmlformats.org/officeDocument/2006/relationships/package" Target="../embeddings/Microsoft_Excel_Worksheet2.xlsx" /></Relationships>
</file>

<file path=word/charts/_rels/chart3.xml.rels><?xml version="1.0" encoding="UTF-8" standalone="yes"?><Relationships xmlns="http://schemas.openxmlformats.org/package/2006/relationships"><Relationship Id="rId1" Type="http://schemas.microsoft.com/office/2011/relationships/chartStyle" Target="style3.xml" /><Relationship Id="rId2" Type="http://schemas.microsoft.com/office/2011/relationships/chartColorStyle" Target="colors3.xml" /><Relationship Id="rId3" Type="http://schemas.openxmlformats.org/officeDocument/2006/relationships/package" Target="../embeddings/Microsoft_Excel_Worksheet3.xlsx" /></Relationships>
</file>

<file path=word/charts/_rels/chart4.xml.rels><?xml version="1.0" encoding="UTF-8" standalone="yes"?><Relationships xmlns="http://schemas.openxmlformats.org/package/2006/relationships"><Relationship Id="rId1" Type="http://schemas.microsoft.com/office/2011/relationships/chartStyle" Target="style4.xml" /><Relationship Id="rId2" Type="http://schemas.microsoft.com/office/2011/relationships/chartColorStyle" Target="colors4.xml" /><Relationship Id="rId3" Type="http://schemas.openxmlformats.org/officeDocument/2006/relationships/package" Target="../embeddings/Microsoft_Excel_Worksheet4.xlsx" /></Relationships>
</file>

<file path=word/charts/_rels/chart5.xml.rels><?xml version="1.0" encoding="UTF-8" standalone="yes"?><Relationships xmlns="http://schemas.openxmlformats.org/package/2006/relationships"><Relationship Id="rId1" Type="http://schemas.microsoft.com/office/2011/relationships/chartStyle" Target="style5.xml" /><Relationship Id="rId2" Type="http://schemas.microsoft.com/office/2011/relationships/chartColorStyle" Target="colors5.xml" /><Relationship Id="rId3" Type="http://schemas.openxmlformats.org/officeDocument/2006/relationships/package" Target="../embeddings/Microsoft_Excel_Worksheet5.xlsx" /></Relationships>
</file>

<file path=word/charts/chart1.xml><?xml version="1.0" encoding="utf-8"?>
<c:chartSpace xmlns:c="http://schemas.openxmlformats.org/drawingml/2006/chart" xmlns:a="http://schemas.openxmlformats.org/drawingml/2006/main" xmlns:r="http://schemas.openxmlformats.org/officeDocument/2006/relationships" xmlns:mc="http://schemas.openxmlformats.org/markup-compatibility/2006" xmlns:c15="http://schemas.microsoft.com/office/drawing/2012/chart" xmlns:c14="http://schemas.microsoft.com/office/drawing/2007/8/2/chart" xmlns:c16r2="http://schemas.microsoft.com/office/drawing/2015/06/chart">
  <c:date1904 val="0"/>
  <c:lang val="en-US"/>
  <c:roundedCorners val="0"/>
  <mc:AlternateContent>
    <mc:Choice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系列 1</c:v>
                </c:pt>
              </c:strCache>
            </c:strRef>
          </c:tx>
          <c:spPr bwMode="auto">
            <a:prstGeom prst="rect">
              <a:avLst/>
            </a:prstGeom>
            <a:solidFill>
              <a:schemeClr val="accent1"/>
            </a:solidFill>
            <a:ln>
              <a:noFill/>
            </a:ln>
            <a:effectLst/>
          </c:spPr>
          <c:invertIfNegative val="0"/>
          <c:dLbls>
            <c:dLblPos val="outEnd"/>
            <c:showBubbleSize val="0"/>
            <c:showCatName val="0"/>
            <c:showLeaderLines val="0"/>
            <c:showLegendKey val="0"/>
            <c:showPercent val="0"/>
            <c:showSerName val="0"/>
            <c:showVal val="1"/>
            <c:spPr bwMode="auto">
              <a:prstGeom prst="rect">
                <a:avLst/>
              </a:prstGeom>
              <a:noFill/>
              <a:ln>
                <a:noFill/>
              </a:ln>
              <a:effectLst/>
            </c:spPr>
            <c:txPr>
              <a:bodyPr rot="0" spcFirstLastPara="1" vertOverflow="ellipsis" vert="horz" wrap="square" lIns="38100" tIns="19050" rIns="38100" bIns="19050" anchor="ctr" anchorCtr="1">
                <a:spAutoFit/>
              </a:bodyPr>
              <a:lstStyle/>
              <a:p>
                <a:pPr>
                  <a:defRPr lang="zh-CN" sz="900" b="0" i="0" u="none" strike="noStrike">
                    <a:solidFill>
                      <a:schemeClr val="tx1">
                        <a:lumMod val="75000"/>
                        <a:lumOff val="25000"/>
                      </a:schemeClr>
                    </a:solidFill>
                    <a:latin typeface="+mn-lt"/>
                    <a:ea typeface="+mn-ea"/>
                    <a:cs typeface="+mn-cs"/>
                  </a:defRPr>
                </a:pPr>
                <a:endParaRPr lang="zh-CN"/>
              </a:p>
            </c:txPr>
          </c:dLbls>
          <c:cat>
            <c:strRef>
              <c:f>Sheet1!$A$3:$A$8</c:f>
              <c:strCache>
                <c:ptCount val="6"/>
                <c:pt idx="0">
                  <c:v>2021</c:v>
                </c:pt>
                <c:pt idx="1">
                  <c:v>2022</c:v>
                </c:pt>
                <c:pt idx="2">
                  <c:v>2023</c:v>
                </c:pt>
                <c:pt idx="3">
                  <c:v>2024E</c:v>
                </c:pt>
                <c:pt idx="4">
                  <c:v>2025E</c:v>
                </c:pt>
                <c:pt idx="5">
                  <c:v>2026E</c:v>
                </c:pt>
              </c:strCache>
            </c:strRef>
          </c:cat>
          <c:val>
            <c:numRef>
              <c:f>Sheet1!$B$3:$B$8</c:f>
              <c:numCache>
                <c:formatCode>General</c:formatCode>
                <c:ptCount val="6"/>
                <c:pt idx="0">
                  <c:v>5351</c:v>
                </c:pt>
                <c:pt idx="1">
                  <c:v>5652</c:v>
                </c:pt>
                <c:pt idx="2">
                  <c:v>6070</c:v>
                </c:pt>
                <c:pt idx="3">
                  <c:v>6462</c:v>
                </c:pt>
                <c:pt idx="4">
                  <c:v>6859</c:v>
                </c:pt>
                <c:pt idx="5">
                  <c:v>7297</c:v>
                </c:pt>
              </c:numCache>
            </c:numRef>
          </c:val>
        </c:ser>
        <c:dLbls>
          <c:showBubbleSize val="0"/>
          <c:showCatName val="0"/>
          <c:showLeaderLines val="0"/>
          <c:showLegendKey val="0"/>
          <c:showPercent val="0"/>
          <c:showSerName val="0"/>
          <c:showVal val="0"/>
        </c:dLbls>
        <c:gapWidth val="219"/>
        <c:overlap val="-27"/>
        <c:axId val="-678929232"/>
        <c:axId val="-678916720"/>
      </c:barChart>
      <c:catAx>
        <c:axId val="-678929232"/>
        <c:scaling>
          <c:orientation val="minMax"/>
        </c:scaling>
        <c:delete val="0"/>
        <c:axPos val="b"/>
        <c:numFmt formatCode="General" sourceLinked="1"/>
        <c:majorTickMark val="none"/>
        <c:minorTickMark val="none"/>
        <c:tickLblPos val="nextTo"/>
        <c:spPr bwMode="auto">
          <a:prstGeom prst="rect">
            <a:avLst/>
          </a:prstGeom>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a:solidFill>
                  <a:schemeClr val="tx1">
                    <a:lumMod val="65000"/>
                    <a:lumOff val="35000"/>
                  </a:schemeClr>
                </a:solidFill>
                <a:latin typeface="+mn-lt"/>
                <a:ea typeface="+mn-ea"/>
                <a:cs typeface="+mn-cs"/>
              </a:defRPr>
            </a:pPr>
            <a:endParaRPr lang="zh-CN"/>
          </a:p>
        </c:txPr>
        <c:crossAx val="-678916720"/>
        <c:crosses val="autoZero"/>
        <c:auto val="1"/>
        <c:lblAlgn val="ctr"/>
        <c:lblOffset val="100"/>
        <c:noMultiLvlLbl val="0"/>
      </c:catAx>
      <c:valAx>
        <c:axId val="-678916720"/>
        <c:scaling>
          <c:orientation val="minMax"/>
        </c:scaling>
        <c:delete val="0"/>
        <c:axPos val="l"/>
        <c:majorGridlines>
          <c:spPr bwMode="auto">
            <a:prstGeom prst="rect">
              <a:avLst/>
            </a:prstGeom>
            <a:ln w="9525" cap="flat" cmpd="sng" algn="ctr">
              <a:solidFill>
                <a:schemeClr val="tx1">
                  <a:lumMod val="15000"/>
                  <a:lumOff val="85000"/>
                </a:schemeClr>
              </a:solidFill>
              <a:round/>
            </a:ln>
            <a:effectLst/>
          </c:spPr>
        </c:majorGridlines>
        <c:numFmt formatCode="General" sourceLinked="1"/>
        <c:majorTickMark val="none"/>
        <c:minorTickMark val="none"/>
        <c:tickLblPos val="nextTo"/>
        <c:spPr bwMode="auto">
          <a:prstGeom prst="rect">
            <a:avLst/>
          </a:prstGeom>
          <a:noFill/>
          <a:ln>
            <a:noFill/>
          </a:ln>
          <a:effectLst/>
        </c:spPr>
        <c:txPr>
          <a:bodyPr rot="-60000000" spcFirstLastPara="1" vertOverflow="ellipsis" vert="horz" wrap="square" anchor="ctr" anchorCtr="1"/>
          <a:lstStyle/>
          <a:p>
            <a:pPr>
              <a:defRPr lang="zh-CN" sz="900" b="0" i="0" u="none" strike="noStrike">
                <a:solidFill>
                  <a:schemeClr val="tx1">
                    <a:lumMod val="65000"/>
                    <a:lumOff val="35000"/>
                  </a:schemeClr>
                </a:solidFill>
                <a:latin typeface="+mn-lt"/>
                <a:ea typeface="+mn-ea"/>
                <a:cs typeface="+mn-cs"/>
              </a:defRPr>
            </a:pPr>
            <a:endParaRPr lang="zh-CN"/>
          </a:p>
        </c:txPr>
        <c:crossAx val="-678929232"/>
        <c:crosses val="autoZero"/>
        <c:crossBetween val="between"/>
      </c:valAx>
      <c:spPr bwMode="auto">
        <a:prstGeom prst="rect">
          <a:avLst/>
        </a:prstGeom>
        <a:noFill/>
        <a:ln>
          <a:noFill/>
        </a:ln>
        <a:effectLst/>
      </c:spPr>
    </c:plotArea>
    <c:plotVisOnly val="1"/>
    <c:dispBlanksAs val="gap"/>
    <c:showDLblsOverMax val="0"/>
  </c:chart>
  <c:spPr bwMode="auto">
    <a:prstGeom prst="rect">
      <a:avLst/>
    </a:prstGeom>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mc="http://schemas.openxmlformats.org/markup-compatibility/2006" xmlns:c15="http://schemas.microsoft.com/office/drawing/2012/chart" xmlns:c14="http://schemas.microsoft.com/office/drawing/2007/8/2/chart" xmlns:c16r2="http://schemas.microsoft.com/office/drawing/2015/06/chart">
  <c:date1904 val="0"/>
  <c:lang val="en-US"/>
  <c:roundedCorners val="0"/>
  <mc:AlternateContent>
    <mc:Choice Requires="c14">
      <c14:style val="102"/>
    </mc:Choice>
    <mc:Fallback>
      <c:style val="2"/>
    </mc:Fallback>
  </mc:AlternateContent>
  <c:chart>
    <c:autoTitleDeleted val="1"/>
    <c:plotArea>
      <c:layout>
        <c:manualLayout>
          <c:layoutTarget val="inner"/>
          <c:xMode val="edge"/>
          <c:yMode val="edge"/>
          <c:x val="0.191627"/>
          <c:y val="0.082525"/>
          <c:w val="0.532089"/>
          <c:h val="0.912137"/>
        </c:manualLayout>
      </c:layout>
      <c:pieChart>
        <c:varyColors val="1"/>
        <c:ser>
          <c:idx val="0"/>
          <c:order val="0"/>
          <c:tx>
            <c:strRef>
              <c:f>Sheet1!$B$1</c:f>
              <c:strCache>
                <c:ptCount val="1"/>
                <c:pt idx="0">
                  <c:v>市场份额</c:v>
                </c:pt>
              </c:strCache>
            </c:strRef>
          </c:tx>
          <c:dPt>
            <c:idx val="0"/>
            <c:bubble3D val="0"/>
            <c:spPr bwMode="auto">
              <a:prstGeom prst="rect">
                <a:avLst/>
              </a:prstGeom>
              <a:solidFill>
                <a:schemeClr val="accent1"/>
              </a:solidFill>
              <a:ln w="19050">
                <a:solidFill>
                  <a:schemeClr val="lt1"/>
                </a:solidFill>
              </a:ln>
              <a:effectLst/>
            </c:spPr>
          </c:dPt>
          <c:dPt>
            <c:idx val="1"/>
            <c:bubble3D val="0"/>
            <c:spPr bwMode="auto">
              <a:prstGeom prst="rect">
                <a:avLst/>
              </a:prstGeom>
              <a:solidFill>
                <a:schemeClr val="accent2"/>
              </a:solidFill>
              <a:ln w="19050">
                <a:solidFill>
                  <a:schemeClr val="lt1"/>
                </a:solidFill>
              </a:ln>
              <a:effectLst/>
            </c:spPr>
          </c:dPt>
          <c:dPt>
            <c:idx val="2"/>
            <c:bubble3D val="0"/>
            <c:spPr bwMode="auto">
              <a:prstGeom prst="rect">
                <a:avLst/>
              </a:prstGeom>
              <a:solidFill>
                <a:schemeClr val="accent3"/>
              </a:solidFill>
              <a:ln w="19050">
                <a:solidFill>
                  <a:schemeClr val="lt1"/>
                </a:solidFill>
              </a:ln>
              <a:effectLst/>
            </c:spPr>
          </c:dPt>
          <c:dPt>
            <c:idx val="3"/>
            <c:bubble3D val="0"/>
            <c:spPr bwMode="auto">
              <a:prstGeom prst="rect">
                <a:avLst/>
              </a:prstGeom>
              <a:solidFill>
                <a:schemeClr val="accent4"/>
              </a:solidFill>
              <a:ln w="19050">
                <a:solidFill>
                  <a:schemeClr val="lt1"/>
                </a:solidFill>
              </a:ln>
              <a:effectLst/>
            </c:spPr>
          </c:dPt>
          <c:dPt>
            <c:idx val="4"/>
            <c:bubble3D val="0"/>
            <c:spPr bwMode="auto">
              <a:prstGeom prst="rect">
                <a:avLst/>
              </a:prstGeom>
              <a:solidFill>
                <a:schemeClr val="accent5"/>
              </a:solidFill>
              <a:ln w="19050">
                <a:solidFill>
                  <a:schemeClr val="lt1"/>
                </a:solidFill>
              </a:ln>
              <a:effectLst/>
            </c:spPr>
          </c:dPt>
          <c:dLbls>
            <c:dLbl>
              <c:idx val="0"/>
              <c:dLblPos val="bestFit"/>
              <c:layout/>
              <c:showBubbleSize val="0"/>
              <c:showCatName val="1"/>
              <c:showLegendKey val="0"/>
              <c:showPercent val="0"/>
              <c:showSerName val="0"/>
              <c:showVal val="1"/>
              <c:spPr bwMode="auto">
                <a:prstGeom prst="rect">
                  <a:avLst/>
                </a:prstGeom>
                <a:noFill/>
                <a:ln>
                  <a:noFill/>
                </a:ln>
                <a:effectLst/>
              </c:spPr>
              <c:txPr>
                <a:bodyPr rot="0" spcFirstLastPara="1" vertOverflow="ellipsis" vert="horz" wrap="square" lIns="38100" tIns="19050" rIns="38100" bIns="19050" anchor="ctr" anchorCtr="1"/>
                <a:lstStyle/>
                <a:p>
                  <a:pPr>
                    <a:defRPr lang="zh-CN" sz="900" b="1" i="0" u="none" strike="noStrike">
                      <a:solidFill>
                        <a:schemeClr val="bg1"/>
                      </a:solidFill>
                      <a:latin typeface="Arial Narrow"/>
                      <a:ea typeface="仿宋_GB2312"/>
                      <a:cs typeface="+mn-cs"/>
                    </a:defRPr>
                  </a:pPr>
                  <a:endParaRPr lang="zh-CN"/>
                </a:p>
              </c:txPr>
            </c:dLbl>
            <c:dLbl>
              <c:idx val="1"/>
              <c:dLblPos val="bestFit"/>
              <c:layout/>
              <c:showBubbleSize val="0"/>
              <c:showCatName val="1"/>
              <c:showLegendKey val="0"/>
              <c:showPercent val="0"/>
              <c:showSerName val="0"/>
              <c:showVal val="1"/>
              <c:spPr bwMode="auto">
                <a:prstGeom prst="rect">
                  <a:avLst/>
                </a:prstGeom>
                <a:noFill/>
                <a:ln>
                  <a:noFill/>
                </a:ln>
                <a:effectLst/>
              </c:spPr>
              <c:txPr>
                <a:bodyPr rot="0" spcFirstLastPara="1" vertOverflow="ellipsis" vert="horz" wrap="square" lIns="38100" tIns="19050" rIns="38100" bIns="19050" anchor="ctr" anchorCtr="1"/>
                <a:lstStyle/>
                <a:p>
                  <a:pPr>
                    <a:defRPr lang="zh-CN" sz="900" b="1" i="0" u="none" strike="noStrike">
                      <a:solidFill>
                        <a:schemeClr val="bg1"/>
                      </a:solidFill>
                      <a:latin typeface="Arial Narrow"/>
                      <a:ea typeface="仿宋_GB2312"/>
                      <a:cs typeface="+mn-cs"/>
                    </a:defRPr>
                  </a:pPr>
                  <a:endParaRPr lang="zh-CN"/>
                </a:p>
              </c:txPr>
            </c:dLbl>
            <c:dLbl>
              <c:idx val="2"/>
              <c:dLblPos val="bestFit"/>
              <c:layout/>
              <c:showBubbleSize val="0"/>
              <c:showCatName val="1"/>
              <c:showLegendKey val="0"/>
              <c:showPercent val="0"/>
              <c:showSerName val="0"/>
              <c:showVal val="1"/>
              <c:spPr bwMode="auto">
                <a:prstGeom prst="rect">
                  <a:avLst/>
                </a:prstGeom>
                <a:noFill/>
                <a:ln>
                  <a:noFill/>
                </a:ln>
                <a:effectLst/>
              </c:spPr>
              <c:txPr>
                <a:bodyPr rot="0" spcFirstLastPara="1" vertOverflow="ellipsis" vert="horz" wrap="square" lIns="38100" tIns="19050" rIns="38100" bIns="19050" anchor="ctr" anchorCtr="1"/>
                <a:lstStyle/>
                <a:p>
                  <a:pPr>
                    <a:defRPr lang="zh-CN" sz="900" b="1" i="0" u="none" strike="noStrike">
                      <a:solidFill>
                        <a:schemeClr val="bg1"/>
                      </a:solidFill>
                      <a:latin typeface="Arial Narrow"/>
                      <a:ea typeface="仿宋_GB2312"/>
                      <a:cs typeface="+mn-cs"/>
                    </a:defRPr>
                  </a:pPr>
                  <a:endParaRPr lang="zh-CN"/>
                </a:p>
              </c:txPr>
            </c:dLbl>
            <c:dLblPos val="bestFit"/>
            <c:leaderLines>
              <c:spPr bwMode="auto">
                <a:prstGeom prst="rect">
                  <a:avLst/>
                </a:prstGeom>
                <a:ln w="9525" cap="flat" cmpd="sng" algn="ctr">
                  <a:solidFill>
                    <a:schemeClr val="tx1">
                      <a:lumMod val="35000"/>
                      <a:lumOff val="65000"/>
                    </a:schemeClr>
                  </a:solidFill>
                  <a:round/>
                </a:ln>
                <a:effectLst/>
              </c:spPr>
            </c:leaderLines>
            <c:showBubbleSize val="0"/>
            <c:showCatName val="1"/>
            <c:showLeaderLines val="1"/>
            <c:showLegendKey val="0"/>
            <c:showPercent val="0"/>
            <c:showSerName val="0"/>
            <c:showVal val="1"/>
            <c:spPr bwMode="auto">
              <a:prstGeom prst="rect">
                <a:avLst/>
              </a:prstGeom>
              <a:noFill/>
              <a:ln>
                <a:noFill/>
              </a:ln>
              <a:effectLst/>
            </c:spPr>
            <c:txPr>
              <a:bodyPr rot="0" spcFirstLastPara="1" vertOverflow="ellipsis" vert="horz" wrap="square" lIns="38100" tIns="19050" rIns="38100" bIns="19050" anchor="ctr" anchorCtr="1">
                <a:spAutoFit/>
              </a:bodyPr>
              <a:lstStyle/>
              <a:p>
                <a:pPr>
                  <a:defRPr lang="zh-CN" sz="900" b="1" i="0" u="none" strike="noStrike">
                    <a:solidFill>
                      <a:schemeClr val="tx1">
                        <a:lumMod val="75000"/>
                        <a:lumOff val="25000"/>
                      </a:schemeClr>
                    </a:solidFill>
                    <a:latin typeface="Arial Narrow"/>
                    <a:ea typeface="仿宋_GB2312"/>
                    <a:cs typeface="+mn-cs"/>
                  </a:defRPr>
                </a:pPr>
                <a:endParaRPr lang="zh-CN"/>
              </a:p>
            </c:txPr>
          </c:dLbls>
          <c:cat>
            <c:strRef>
              <c:f>Sheet1!$A$2:$A$6</c:f>
              <c:strCache>
                <c:ptCount val="5"/>
                <c:pt idx="0">
                  <c:v>亚洲北部</c:v>
                </c:pt>
                <c:pt idx="1">
                  <c:v>北美</c:v>
                </c:pt>
                <c:pt idx="2">
                  <c:v>欧洲</c:v>
                </c:pt>
                <c:pt idx="3">
                  <c:v>拉丁美洲</c:v>
                </c:pt>
                <c:pt idx="4">
                  <c:v>其他地区</c:v>
                </c:pt>
              </c:strCache>
            </c:strRef>
          </c:cat>
          <c:val>
            <c:numRef>
              <c:f>Sheet1!$B$2:$B$6</c:f>
              <c:numCache>
                <c:formatCode>0.00%</c:formatCode>
                <c:ptCount val="5"/>
                <c:pt idx="0">
                  <c:v>0.25891823</c:v>
                </c:pt>
                <c:pt idx="1">
                  <c:v>0.270678079</c:v>
                </c:pt>
                <c:pt idx="2">
                  <c:v>0.315857464</c:v>
                </c:pt>
                <c:pt idx="3">
                  <c:v>0.070828629</c:v>
                </c:pt>
                <c:pt idx="4">
                  <c:v>0.083717598</c:v>
                </c:pt>
              </c:numCache>
            </c:numRef>
          </c:val>
        </c:ser>
        <c:dLbls>
          <c:showBubbleSize val="0"/>
          <c:showCatName val="0"/>
          <c:showLeaderLines val="1"/>
          <c:showLegendKey val="0"/>
          <c:showPercent val="0"/>
          <c:showSerName val="0"/>
          <c:showVal val="0"/>
        </c:dLbls>
        <c:firstSliceAng val="0"/>
      </c:pieChart>
      <c:spPr bwMode="auto">
        <a:prstGeom prst="rect">
          <a:avLst/>
        </a:prstGeom>
        <a:noFill/>
        <a:ln>
          <a:noFill/>
        </a:ln>
        <a:effectLst/>
      </c:spPr>
    </c:plotArea>
    <c:legend>
      <c:legendPos val="r"/>
      <c:legendEntry>
        <c:idx val="0"/>
        <c:txPr>
          <a:bodyPr rot="0" spcFirstLastPara="1" vertOverflow="ellipsis" vert="horz" wrap="square" anchor="ctr" anchorCtr="1"/>
          <a:lstStyle/>
          <a:p>
            <a:pPr>
              <a:defRPr lang="zh-CN" sz="900" b="1" i="0" u="none" strike="noStrike">
                <a:solidFill>
                  <a:schemeClr val="tx1">
                    <a:lumMod val="65000"/>
                    <a:lumOff val="35000"/>
                  </a:schemeClr>
                </a:solidFill>
                <a:latin typeface="Arial Narrow"/>
                <a:ea typeface="仿宋_GB2312"/>
                <a:cs typeface="+mn-cs"/>
              </a:defRPr>
            </a:pPr>
            <a:endParaRPr lang="zh-CN"/>
          </a:p>
        </c:txPr>
      </c:legendEntry>
      <c:legendEntry>
        <c:idx val="1"/>
        <c:txPr>
          <a:bodyPr rot="0" spcFirstLastPara="1" vertOverflow="ellipsis" vert="horz" wrap="square" anchor="ctr" anchorCtr="1"/>
          <a:lstStyle/>
          <a:p>
            <a:pPr>
              <a:defRPr lang="zh-CN" sz="900" b="1" i="0" u="none" strike="noStrike">
                <a:solidFill>
                  <a:schemeClr val="tx1">
                    <a:lumMod val="65000"/>
                    <a:lumOff val="35000"/>
                  </a:schemeClr>
                </a:solidFill>
                <a:latin typeface="Arial Narrow"/>
                <a:ea typeface="仿宋_GB2312"/>
                <a:cs typeface="+mn-cs"/>
              </a:defRPr>
            </a:pPr>
            <a:endParaRPr lang="zh-CN"/>
          </a:p>
        </c:txPr>
      </c:legendEntry>
      <c:legendEntry>
        <c:idx val="2"/>
        <c:txPr>
          <a:bodyPr rot="0" spcFirstLastPara="1" vertOverflow="ellipsis" vert="horz" wrap="square" anchor="ctr" anchorCtr="1"/>
          <a:lstStyle/>
          <a:p>
            <a:pPr>
              <a:defRPr lang="zh-CN" sz="900" b="1" i="0" u="none" strike="noStrike">
                <a:solidFill>
                  <a:schemeClr val="tx1">
                    <a:lumMod val="65000"/>
                    <a:lumOff val="35000"/>
                  </a:schemeClr>
                </a:solidFill>
                <a:latin typeface="Arial Narrow"/>
                <a:ea typeface="仿宋_GB2312"/>
                <a:cs typeface="+mn-cs"/>
              </a:defRPr>
            </a:pPr>
            <a:endParaRPr lang="zh-CN"/>
          </a:p>
        </c:txPr>
      </c:legendEntry>
      <c:legendEntry>
        <c:idx val="3"/>
        <c:txPr>
          <a:bodyPr rot="0" spcFirstLastPara="1" vertOverflow="ellipsis" vert="horz" wrap="square" anchor="ctr" anchorCtr="1"/>
          <a:lstStyle/>
          <a:p>
            <a:pPr>
              <a:defRPr lang="zh-CN" sz="900" b="1" i="0" u="none" strike="noStrike">
                <a:solidFill>
                  <a:schemeClr val="tx1">
                    <a:lumMod val="65000"/>
                    <a:lumOff val="35000"/>
                  </a:schemeClr>
                </a:solidFill>
                <a:latin typeface="Arial Narrow"/>
                <a:ea typeface="仿宋_GB2312"/>
                <a:cs typeface="+mn-cs"/>
              </a:defRPr>
            </a:pPr>
            <a:endParaRPr lang="zh-CN"/>
          </a:p>
        </c:txPr>
      </c:legendEntry>
      <c:legendEntry>
        <c:idx val="4"/>
        <c:txPr>
          <a:bodyPr rot="0" spcFirstLastPara="1" vertOverflow="ellipsis" vert="horz" wrap="square" anchor="ctr" anchorCtr="1"/>
          <a:lstStyle/>
          <a:p>
            <a:pPr>
              <a:defRPr lang="zh-CN" sz="900" b="1" i="0" u="none" strike="noStrike">
                <a:solidFill>
                  <a:schemeClr val="tx1">
                    <a:lumMod val="65000"/>
                    <a:lumOff val="35000"/>
                  </a:schemeClr>
                </a:solidFill>
                <a:latin typeface="Arial Narrow"/>
                <a:ea typeface="仿宋_GB2312"/>
                <a:cs typeface="+mn-cs"/>
              </a:defRPr>
            </a:pPr>
            <a:endParaRPr lang="zh-CN"/>
          </a:p>
        </c:txPr>
      </c:legendEntry>
      <c:layout>
        <c:manualLayout>
          <c:xMode val="edge"/>
          <c:yMode val="edge"/>
          <c:x val="0.794991"/>
          <c:y val="0.300848"/>
          <c:w val="0.146346"/>
          <c:h val="0.442833"/>
        </c:manualLayout>
      </c:layout>
      <c:overlay val="0"/>
      <c:spPr bwMode="auto">
        <a:prstGeom prst="rect">
          <a:avLst/>
        </a:prstGeom>
        <a:noFill/>
        <a:ln>
          <a:noFill/>
        </a:ln>
        <a:effectLst/>
      </c:spPr>
      <c:txPr>
        <a:bodyPr rot="0" spcFirstLastPara="1" vertOverflow="ellipsis" vert="horz" wrap="square" anchor="ctr" anchorCtr="1"/>
        <a:lstStyle/>
        <a:p>
          <a:pPr>
            <a:defRPr lang="zh-CN" sz="900" b="1" i="0" u="none" strike="noStrike">
              <a:solidFill>
                <a:schemeClr val="tx1">
                  <a:lumMod val="65000"/>
                  <a:lumOff val="35000"/>
                </a:schemeClr>
              </a:solidFill>
              <a:latin typeface="Arial Narrow"/>
              <a:ea typeface="仿宋_GB2312"/>
              <a:cs typeface="+mn-cs"/>
            </a:defRPr>
          </a:pPr>
          <a:endParaRPr lang="zh-CN"/>
        </a:p>
      </c:txPr>
    </c:legend>
    <c:plotVisOnly val="1"/>
    <c:dispBlanksAs val="gap"/>
    <c:showDLblsOverMax val="0"/>
  </c:chart>
  <c:spPr bwMode="auto">
    <a:prstGeom prst="rect">
      <a:avLst/>
    </a:prstGeom>
    <a:solidFill>
      <a:schemeClr val="bg1"/>
    </a:solidFill>
    <a:ln w="9525" cap="flat" cmpd="sng" algn="ctr">
      <a:solidFill>
        <a:schemeClr val="tx1">
          <a:lumMod val="15000"/>
          <a:lumOff val="85000"/>
        </a:schemeClr>
      </a:solidFill>
      <a:round/>
    </a:ln>
    <a:effectLst/>
  </c:spPr>
  <c:txPr>
    <a:bodyPr/>
    <a:lstStyle/>
    <a:p>
      <a:pPr>
        <a:defRPr lang="zh-CN" b="1">
          <a:latin typeface="Arial Narrow"/>
          <a:ea typeface="仿宋_GB2312"/>
        </a:defRPr>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mc="http://schemas.openxmlformats.org/markup-compatibility/2006" xmlns:c15="http://schemas.microsoft.com/office/drawing/2012/chart" xmlns:c14="http://schemas.microsoft.com/office/drawing/2007/8/2/chart" xmlns:c16r2="http://schemas.microsoft.com/office/drawing/2015/06/chart">
  <c:date1904 val="0"/>
  <c:lang val="en-US"/>
  <c:roundedCorners val="0"/>
  <mc:AlternateContent>
    <mc:Choice Requires="c14">
      <c14:style val="102"/>
    </mc:Choice>
    <mc:Fallback>
      <c:style val="2"/>
    </mc:Fallback>
  </mc:AlternateContent>
  <c:chart>
    <c:autoTitleDeleted val="1"/>
    <c:plotArea>
      <c:layout>
        <c:manualLayout>
          <c:layoutTarget val="inner"/>
          <c:xMode val="edge"/>
          <c:yMode val="edge"/>
          <c:x val="0.248319"/>
          <c:y val="0.024467"/>
          <c:w val="0.491859"/>
          <c:h val="0.929334"/>
        </c:manualLayout>
      </c:layout>
      <c:pieChart>
        <c:varyColors val="1"/>
        <c:ser>
          <c:idx val="0"/>
          <c:order val="0"/>
          <c:tx>
            <c:strRef>
              <c:f>Sheet1!$B$1</c:f>
              <c:strCache>
                <c:ptCount val="1"/>
                <c:pt idx="0">
                  <c:v>销售份额</c:v>
                </c:pt>
              </c:strCache>
            </c:strRef>
          </c:tx>
          <c:dPt>
            <c:idx val="0"/>
            <c:bubble3D val="0"/>
            <c:spPr bwMode="auto">
              <a:prstGeom prst="rect">
                <a:avLst/>
              </a:prstGeom>
              <a:solidFill>
                <a:schemeClr val="accent1"/>
              </a:solidFill>
              <a:ln w="19050">
                <a:solidFill>
                  <a:schemeClr val="lt1"/>
                </a:solidFill>
              </a:ln>
              <a:effectLst/>
            </c:spPr>
          </c:dPt>
          <c:dPt>
            <c:idx val="1"/>
            <c:bubble3D val="0"/>
            <c:spPr bwMode="auto">
              <a:prstGeom prst="rect">
                <a:avLst/>
              </a:prstGeom>
              <a:solidFill>
                <a:schemeClr val="accent2"/>
              </a:solidFill>
              <a:ln w="19050">
                <a:solidFill>
                  <a:schemeClr val="lt1"/>
                </a:solidFill>
              </a:ln>
              <a:effectLst/>
            </c:spPr>
          </c:dPt>
          <c:dPt>
            <c:idx val="2"/>
            <c:bubble3D val="0"/>
            <c:spPr bwMode="auto">
              <a:prstGeom prst="rect">
                <a:avLst/>
              </a:prstGeom>
              <a:solidFill>
                <a:schemeClr val="accent3"/>
              </a:solidFill>
              <a:ln w="19050">
                <a:solidFill>
                  <a:schemeClr val="lt1"/>
                </a:solidFill>
              </a:ln>
              <a:effectLst/>
            </c:spPr>
          </c:dPt>
          <c:dPt>
            <c:idx val="3"/>
            <c:bubble3D val="0"/>
            <c:spPr bwMode="auto">
              <a:prstGeom prst="rect">
                <a:avLst/>
              </a:prstGeom>
              <a:solidFill>
                <a:schemeClr val="accent4"/>
              </a:solidFill>
              <a:ln w="19050">
                <a:solidFill>
                  <a:schemeClr val="lt1"/>
                </a:solidFill>
              </a:ln>
              <a:effectLst/>
            </c:spPr>
          </c:dPt>
          <c:dLbls>
            <c:dLbl>
              <c:idx val="0"/>
              <c:dLblPos val="bestFit"/>
              <c:layout/>
              <c:showBubbleSize val="0"/>
              <c:showCatName val="1"/>
              <c:showLegendKey val="0"/>
              <c:showPercent val="0"/>
              <c:showSerName val="0"/>
              <c:showVal val="1"/>
              <c:spPr bwMode="auto">
                <a:prstGeom prst="rect">
                  <a:avLst/>
                </a:prstGeom>
                <a:noFill/>
                <a:ln>
                  <a:noFill/>
                </a:ln>
                <a:effectLst/>
              </c:spPr>
              <c:txPr>
                <a:bodyPr rot="0" spcFirstLastPara="1" vertOverflow="ellipsis" vert="horz" wrap="square" lIns="38100" tIns="19050" rIns="38100" bIns="19050" anchor="ctr" anchorCtr="1"/>
                <a:lstStyle/>
                <a:p>
                  <a:pPr>
                    <a:defRPr lang="zh-CN" sz="900" b="1" i="0" u="none" strike="noStrike">
                      <a:solidFill>
                        <a:schemeClr val="bg1"/>
                      </a:solidFill>
                      <a:latin typeface="Arial Narrow"/>
                      <a:ea typeface="仿宋_GB2312"/>
                      <a:cs typeface="+mn-cs"/>
                    </a:defRPr>
                  </a:pPr>
                  <a:endParaRPr lang="zh-CN"/>
                </a:p>
              </c:txPr>
            </c:dLbl>
            <c:dLbl>
              <c:idx val="1"/>
              <c:dLblPos val="bestFit"/>
              <c:layout>
                <c:manualLayout>
                  <c:x val="0.112284"/>
                  <c:y val="-0.254864"/>
                </c:manualLayout>
              </c:layout>
              <c:showBubbleSize val="0"/>
              <c:showCatName val="1"/>
              <c:showLegendKey val="0"/>
              <c:showPercent val="0"/>
              <c:showSerName val="0"/>
              <c:showVal val="1"/>
              <c:spPr bwMode="auto">
                <a:prstGeom prst="rect">
                  <a:avLst/>
                </a:prstGeom>
                <a:noFill/>
                <a:ln>
                  <a:noFill/>
                </a:ln>
                <a:effectLst/>
              </c:spPr>
              <c:txPr>
                <a:bodyPr rot="0" spcFirstLastPara="1" vertOverflow="ellipsis" vert="horz" wrap="square" lIns="38100" tIns="19050" rIns="38100" bIns="19050" anchor="ctr" anchorCtr="1"/>
                <a:lstStyle/>
                <a:p>
                  <a:pPr>
                    <a:defRPr lang="zh-CN" sz="900" b="1" i="0" u="none" strike="noStrike">
                      <a:solidFill>
                        <a:schemeClr val="bg1"/>
                      </a:solidFill>
                      <a:latin typeface="Arial Narrow"/>
                      <a:ea typeface="仿宋_GB2312"/>
                      <a:cs typeface="+mn-cs"/>
                    </a:defRPr>
                  </a:pPr>
                  <a:endParaRPr lang="zh-CN"/>
                </a:p>
              </c:txPr>
            </c:dLbl>
            <c:dLblPos val="bestFit"/>
            <c:leaderLines>
              <c:spPr bwMode="auto">
                <a:prstGeom prst="rect">
                  <a:avLst/>
                </a:prstGeom>
                <a:ln w="9525" cap="flat" cmpd="sng" algn="ctr">
                  <a:solidFill>
                    <a:schemeClr val="tx1">
                      <a:lumMod val="35000"/>
                      <a:lumOff val="65000"/>
                    </a:schemeClr>
                  </a:solidFill>
                  <a:round/>
                </a:ln>
                <a:effectLst/>
              </c:spPr>
            </c:leaderLines>
            <c:showBubbleSize val="0"/>
            <c:showCatName val="1"/>
            <c:showLeaderLines val="1"/>
            <c:showLegendKey val="0"/>
            <c:showPercent val="0"/>
            <c:showSerName val="0"/>
            <c:showVal val="1"/>
            <c:spPr bwMode="auto">
              <a:prstGeom prst="rect">
                <a:avLst/>
              </a:prstGeom>
              <a:noFill/>
              <a:ln>
                <a:noFill/>
              </a:ln>
              <a:effectLst/>
            </c:spPr>
            <c:txPr>
              <a:bodyPr rot="0" spcFirstLastPara="1" vertOverflow="ellipsis" vert="horz" wrap="square" lIns="38100" tIns="19050" rIns="38100" bIns="19050" anchor="ctr" anchorCtr="1">
                <a:spAutoFit/>
              </a:bodyPr>
              <a:lstStyle/>
              <a:p>
                <a:pPr>
                  <a:defRPr lang="zh-CN" sz="900" b="1" i="0" u="none" strike="noStrike">
                    <a:solidFill>
                      <a:schemeClr val="tx1">
                        <a:lumMod val="75000"/>
                        <a:lumOff val="25000"/>
                      </a:schemeClr>
                    </a:solidFill>
                    <a:latin typeface="Arial Narrow"/>
                    <a:ea typeface="仿宋_GB2312"/>
                    <a:cs typeface="+mn-cs"/>
                  </a:defRPr>
                </a:pPr>
                <a:endParaRPr lang="zh-CN"/>
              </a:p>
            </c:txPr>
          </c:dLbls>
          <c:cat>
            <c:strRef>
              <c:f>Sheet1!$A$2:$A$5</c:f>
              <c:strCache>
                <c:ptCount val="4"/>
                <c:pt idx="0">
                  <c:v>专业美发</c:v>
                </c:pt>
                <c:pt idx="1">
                  <c:v>大众化妆品</c:v>
                </c:pt>
                <c:pt idx="2">
                  <c:v>高档化妆品</c:v>
                </c:pt>
                <c:pt idx="3">
                  <c:v>活性健康化妆品</c:v>
                </c:pt>
              </c:strCache>
            </c:strRef>
          </c:cat>
          <c:val>
            <c:numRef>
              <c:f>Sheet1!$B$2:$B$5</c:f>
              <c:numCache>
                <c:formatCode>0.0%</c:formatCode>
                <c:ptCount val="4"/>
                <c:pt idx="0">
                  <c:v>0.362386936</c:v>
                </c:pt>
                <c:pt idx="1">
                  <c:v>0.368425909</c:v>
                </c:pt>
                <c:pt idx="2">
                  <c:v>0.113006738</c:v>
                </c:pt>
                <c:pt idx="3">
                  <c:v>0.156182845</c:v>
                </c:pt>
              </c:numCache>
            </c:numRef>
          </c:val>
        </c:ser>
        <c:dLbls>
          <c:showBubbleSize val="0"/>
          <c:showCatName val="0"/>
          <c:showLeaderLines val="1"/>
          <c:showLegendKey val="0"/>
          <c:showPercent val="0"/>
          <c:showSerName val="0"/>
          <c:showVal val="0"/>
        </c:dLbls>
        <c:firstSliceAng val="0"/>
      </c:pieChart>
      <c:spPr bwMode="auto">
        <a:prstGeom prst="rect">
          <a:avLst/>
        </a:prstGeom>
        <a:noFill/>
        <a:ln>
          <a:noFill/>
        </a:ln>
        <a:effectLst/>
      </c:spPr>
    </c:plotArea>
    <c:legend>
      <c:legendPos val="r"/>
      <c:legendEntry>
        <c:idx val="0"/>
        <c:txPr>
          <a:bodyPr rot="0" spcFirstLastPara="1" vertOverflow="ellipsis" vert="horz" wrap="square" anchor="ctr" anchorCtr="1"/>
          <a:lstStyle/>
          <a:p>
            <a:pPr>
              <a:defRPr lang="zh-CN" sz="900" b="1" i="0" u="none" strike="noStrike">
                <a:solidFill>
                  <a:schemeClr val="tx1">
                    <a:lumMod val="65000"/>
                    <a:lumOff val="35000"/>
                  </a:schemeClr>
                </a:solidFill>
                <a:latin typeface="Arial Narrow"/>
                <a:ea typeface="仿宋_GB2312"/>
                <a:cs typeface="+mn-cs"/>
              </a:defRPr>
            </a:pPr>
            <a:endParaRPr lang="zh-CN"/>
          </a:p>
        </c:txPr>
      </c:legendEntry>
      <c:legendEntry>
        <c:idx val="1"/>
        <c:txPr>
          <a:bodyPr rot="0" spcFirstLastPara="1" vertOverflow="ellipsis" vert="horz" wrap="square" anchor="ctr" anchorCtr="1"/>
          <a:lstStyle/>
          <a:p>
            <a:pPr>
              <a:defRPr lang="zh-CN" sz="900" b="1" i="0" u="none" strike="noStrike">
                <a:solidFill>
                  <a:schemeClr val="tx1">
                    <a:lumMod val="65000"/>
                    <a:lumOff val="35000"/>
                  </a:schemeClr>
                </a:solidFill>
                <a:latin typeface="Arial Narrow"/>
                <a:ea typeface="仿宋_GB2312"/>
                <a:cs typeface="+mn-cs"/>
              </a:defRPr>
            </a:pPr>
            <a:endParaRPr lang="zh-CN"/>
          </a:p>
        </c:txPr>
      </c:legendEntry>
      <c:legendEntry>
        <c:idx val="2"/>
        <c:txPr>
          <a:bodyPr rot="0" spcFirstLastPara="1" vertOverflow="ellipsis" vert="horz" wrap="square" anchor="ctr" anchorCtr="1"/>
          <a:lstStyle/>
          <a:p>
            <a:pPr>
              <a:defRPr lang="zh-CN" sz="900" b="1" i="0" u="none" strike="noStrike">
                <a:solidFill>
                  <a:schemeClr val="tx1">
                    <a:lumMod val="65000"/>
                    <a:lumOff val="35000"/>
                  </a:schemeClr>
                </a:solidFill>
                <a:latin typeface="Arial Narrow"/>
                <a:ea typeface="仿宋_GB2312"/>
                <a:cs typeface="+mn-cs"/>
              </a:defRPr>
            </a:pPr>
            <a:endParaRPr lang="zh-CN"/>
          </a:p>
        </c:txPr>
      </c:legendEntry>
      <c:legendEntry>
        <c:idx val="3"/>
        <c:txPr>
          <a:bodyPr rot="0" spcFirstLastPara="1" vertOverflow="ellipsis" vert="horz" wrap="square" anchor="ctr" anchorCtr="1"/>
          <a:lstStyle/>
          <a:p>
            <a:pPr>
              <a:defRPr lang="zh-CN" sz="900" b="1" i="0" u="none" strike="noStrike">
                <a:solidFill>
                  <a:schemeClr val="tx1">
                    <a:lumMod val="65000"/>
                    <a:lumOff val="35000"/>
                  </a:schemeClr>
                </a:solidFill>
                <a:latin typeface="Arial Narrow"/>
                <a:ea typeface="仿宋_GB2312"/>
                <a:cs typeface="+mn-cs"/>
              </a:defRPr>
            </a:pPr>
            <a:endParaRPr lang="zh-CN"/>
          </a:p>
        </c:txPr>
      </c:legendEntry>
      <c:layout>
        <c:manualLayout>
          <c:xMode val="edge"/>
          <c:yMode val="edge"/>
          <c:x val="0.778085"/>
          <c:y val="0.281471"/>
          <c:w val="0.221915"/>
          <c:h val="0.415579"/>
        </c:manualLayout>
      </c:layout>
      <c:overlay val="1"/>
      <c:spPr bwMode="auto">
        <a:prstGeom prst="rect">
          <a:avLst/>
        </a:prstGeom>
        <a:noFill/>
        <a:ln>
          <a:noFill/>
        </a:ln>
        <a:effectLst/>
      </c:spPr>
      <c:txPr>
        <a:bodyPr rot="0" spcFirstLastPara="1" vertOverflow="ellipsis" vert="horz" wrap="square" anchor="ctr" anchorCtr="1"/>
        <a:lstStyle/>
        <a:p>
          <a:pPr>
            <a:defRPr lang="zh-CN" sz="900" b="1" i="0" u="none" strike="noStrike">
              <a:solidFill>
                <a:schemeClr val="tx1">
                  <a:lumMod val="65000"/>
                  <a:lumOff val="35000"/>
                </a:schemeClr>
              </a:solidFill>
              <a:latin typeface="Arial Narrow"/>
              <a:ea typeface="仿宋_GB2312"/>
              <a:cs typeface="+mn-cs"/>
            </a:defRPr>
          </a:pPr>
          <a:endParaRPr lang="zh-CN"/>
        </a:p>
      </c:txPr>
    </c:legend>
    <c:plotVisOnly val="1"/>
    <c:dispBlanksAs val="gap"/>
    <c:showDLblsOverMax val="0"/>
  </c:chart>
  <c:spPr bwMode="auto">
    <a:prstGeom prst="rect">
      <a:avLst/>
    </a:prstGeom>
    <a:solidFill>
      <a:schemeClr val="bg1"/>
    </a:solidFill>
    <a:ln w="9525" cap="flat" cmpd="sng" algn="ctr">
      <a:solidFill>
        <a:schemeClr val="tx1">
          <a:lumMod val="15000"/>
          <a:lumOff val="85000"/>
        </a:schemeClr>
      </a:solidFill>
      <a:round/>
    </a:ln>
    <a:effectLst/>
  </c:spPr>
  <c:txPr>
    <a:bodyPr/>
    <a:lstStyle/>
    <a:p>
      <a:pPr>
        <a:defRPr lang="zh-CN" b="1">
          <a:latin typeface="Arial Narrow"/>
          <a:ea typeface="仿宋_GB2312"/>
        </a:defRPr>
      </a:pPr>
      <a:endParaRPr lang="zh-C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mc="http://schemas.openxmlformats.org/markup-compatibility/2006" xmlns:c15="http://schemas.microsoft.com/office/drawing/2012/chart" xmlns:c14="http://schemas.microsoft.com/office/drawing/2007/8/2/chart" xmlns:c16r2="http://schemas.microsoft.com/office/drawing/2015/06/chart">
  <c:date1904 val="0"/>
  <c:lang val="en-US"/>
  <c:roundedCorners val="0"/>
  <mc:AlternateContent>
    <mc:Choice Requires="c14">
      <c14:style val="103"/>
    </mc:Choice>
    <mc:Fallback>
      <c:style val="3"/>
    </mc:Fallback>
  </mc:AlternateContent>
  <c:chart>
    <c:autoTitleDeleted val="1"/>
    <c:plotArea>
      <c:layout/>
      <c:lineChart>
        <c:grouping val="standard"/>
        <c:varyColors val="0"/>
        <c:ser>
          <c:idx val="0"/>
          <c:order val="0"/>
          <c:tx>
            <c:strRef>
              <c:f>Sheet1!$B$1</c:f>
              <c:strCache>
                <c:ptCount val="1"/>
                <c:pt idx="0">
                  <c:v>系列 1</c:v>
                </c:pt>
              </c:strCache>
            </c:strRef>
          </c:tx>
          <c:spPr bwMode="auto">
            <a:prstGeom prst="rect">
              <a:avLst/>
            </a:prstGeom>
            <a:ln w="28575" cap="rnd">
              <a:solidFill>
                <a:schemeClr val="accent1"/>
              </a:solidFill>
              <a:round/>
            </a:ln>
            <a:effectLst/>
          </c:spPr>
          <c:marker>
            <c:symbol val="none"/>
          </c:marker>
          <c:dLbls>
            <c:dLbl>
              <c:idx val="0"/>
              <c:dLblPos val="r"/>
              <c:layout>
                <c:manualLayout>
                  <c:x val="-0.000000"/>
                  <c:y val="0.034335"/>
                </c:manualLayout>
              </c:layout>
              <c:showBubbleSize val="0"/>
              <c:showCatName val="0"/>
              <c:showLegendKey val="0"/>
              <c:showPercent val="0"/>
              <c:showSerName val="0"/>
              <c:showVal val="1"/>
            </c:dLbl>
            <c:dLbl>
              <c:idx val="1"/>
              <c:dLblPos val="r"/>
              <c:layout>
                <c:manualLayout>
                  <c:x val="0.000000"/>
                  <c:y val="0.028612"/>
                </c:manualLayout>
              </c:layout>
              <c:showBubbleSize val="0"/>
              <c:showCatName val="0"/>
              <c:showLegendKey val="0"/>
              <c:showPercent val="0"/>
              <c:showSerName val="0"/>
              <c:showVal val="1"/>
            </c:dLbl>
            <c:dLbl>
              <c:idx val="2"/>
              <c:dLblPos val="r"/>
              <c:layout>
                <c:manualLayout>
                  <c:x val="0.000000"/>
                  <c:y val="0.028612"/>
                </c:manualLayout>
              </c:layout>
              <c:showBubbleSize val="0"/>
              <c:showCatName val="0"/>
              <c:showLegendKey val="0"/>
              <c:showPercent val="0"/>
              <c:showSerName val="0"/>
              <c:showVal val="1"/>
            </c:dLbl>
            <c:dLbl>
              <c:idx val="3"/>
              <c:dLblPos val="r"/>
              <c:layout>
                <c:manualLayout>
                  <c:x val="-0.000000"/>
                  <c:y val="0.028612"/>
                </c:manualLayout>
              </c:layout>
              <c:showBubbleSize val="0"/>
              <c:showCatName val="0"/>
              <c:showLegendKey val="0"/>
              <c:showPercent val="0"/>
              <c:showSerName val="0"/>
              <c:showVal val="1"/>
            </c:dLbl>
            <c:dLbl>
              <c:idx val="4"/>
              <c:dLblPos val="r"/>
              <c:layout>
                <c:manualLayout>
                  <c:x val="-0.000000"/>
                  <c:y val="0.040057"/>
                </c:manualLayout>
              </c:layout>
              <c:showBubbleSize val="0"/>
              <c:showCatName val="0"/>
              <c:showLegendKey val="0"/>
              <c:showPercent val="0"/>
              <c:showSerName val="0"/>
              <c:showVal val="1"/>
            </c:dLbl>
            <c:dLbl>
              <c:idx val="5"/>
              <c:dLblPos val="r"/>
              <c:layout>
                <c:manualLayout>
                  <c:x val="0.000000"/>
                  <c:y val="0.045780"/>
                </c:manualLayout>
              </c:layout>
              <c:showBubbleSize val="0"/>
              <c:showCatName val="0"/>
              <c:showLegendKey val="0"/>
              <c:showPercent val="0"/>
              <c:showSerName val="0"/>
              <c:showVal val="1"/>
            </c:dLbl>
            <c:dLbl>
              <c:idx val="6"/>
              <c:dLblPos val="r"/>
              <c:layout>
                <c:manualLayout>
                  <c:x val="0.002843"/>
                  <c:y val="0.062947"/>
                </c:manualLayout>
              </c:layout>
              <c:showBubbleSize val="0"/>
              <c:showCatName val="0"/>
              <c:showLegendKey val="0"/>
              <c:showPercent val="0"/>
              <c:showSerName val="0"/>
              <c:showVal val="1"/>
            </c:dLbl>
            <c:dLbl>
              <c:idx val="7"/>
              <c:dLblPos val="r"/>
              <c:layout>
                <c:manualLayout>
                  <c:x val="0.000000"/>
                  <c:y val="0.062947"/>
                </c:manualLayout>
              </c:layout>
              <c:showBubbleSize val="0"/>
              <c:showCatName val="0"/>
              <c:showLegendKey val="0"/>
              <c:showPercent val="0"/>
              <c:showSerName val="0"/>
              <c:showVal val="1"/>
            </c:dLbl>
            <c:dLblPos val="r"/>
            <c:showBubbleSize val="0"/>
            <c:showCatName val="0"/>
            <c:showLeaderLines val="0"/>
            <c:showLegendKey val="0"/>
            <c:showPercent val="0"/>
            <c:showSerName val="0"/>
            <c:showVal val="1"/>
            <c:spPr bwMode="auto">
              <a:prstGeom prst="rect">
                <a:avLst/>
              </a:prstGeom>
              <a:noFill/>
              <a:ln>
                <a:noFill/>
              </a:ln>
              <a:effectLst/>
            </c:spPr>
            <c:txPr>
              <a:bodyPr rot="0" spcFirstLastPara="1" vertOverflow="ellipsis" vert="horz" wrap="square" lIns="38100" tIns="19050" rIns="38100" bIns="19050" anchor="ctr" anchorCtr="1">
                <a:spAutoFit/>
              </a:bodyPr>
              <a:lstStyle/>
              <a:p>
                <a:pPr>
                  <a:defRPr lang="zh-CN" sz="900" b="0" i="0" u="none" strike="noStrike">
                    <a:solidFill>
                      <a:schemeClr val="tx1">
                        <a:lumMod val="75000"/>
                        <a:lumOff val="25000"/>
                      </a:schemeClr>
                    </a:solidFill>
                    <a:latin typeface="Arial Narrow"/>
                    <a:ea typeface="仿宋_GB2312"/>
                    <a:cs typeface="Arial"/>
                  </a:defRPr>
                </a:pPr>
                <a:endParaRPr lang="zh-CN"/>
              </a:p>
            </c:txPr>
          </c:dLbls>
          <c:cat>
            <c:strRef>
              <c:f>Sheet1!$A$3:$A$10</c:f>
              <c:strCache>
                <c:ptCount val="8"/>
                <c:pt idx="0">
                  <c:v>2016年</c:v>
                </c:pt>
                <c:pt idx="1">
                  <c:v>2017年</c:v>
                </c:pt>
                <c:pt idx="2">
                  <c:v>2018年</c:v>
                </c:pt>
                <c:pt idx="3">
                  <c:v>2019年</c:v>
                </c:pt>
                <c:pt idx="4">
                  <c:v>2020年</c:v>
                </c:pt>
                <c:pt idx="5">
                  <c:v>2021年</c:v>
                </c:pt>
                <c:pt idx="6">
                  <c:v>2022年</c:v>
                </c:pt>
                <c:pt idx="7">
                  <c:v>2023年</c:v>
                </c:pt>
              </c:strCache>
            </c:strRef>
          </c:cat>
          <c:val>
            <c:numRef>
              <c:f>Sheet1!$B$3:$B$10</c:f>
              <c:numCache>
                <c:formatCode>General</c:formatCode>
                <c:ptCount val="8"/>
                <c:pt idx="0">
                  <c:v>2222</c:v>
                </c:pt>
                <c:pt idx="1">
                  <c:v>2514</c:v>
                </c:pt>
                <c:pt idx="2">
                  <c:v>2718</c:v>
                </c:pt>
                <c:pt idx="3">
                  <c:v>2992</c:v>
                </c:pt>
                <c:pt idx="4">
                  <c:v>3400</c:v>
                </c:pt>
                <c:pt idx="5">
                  <c:v>4026</c:v>
                </c:pt>
                <c:pt idx="6">
                  <c:v>3936</c:v>
                </c:pt>
                <c:pt idx="7">
                  <c:v>4142</c:v>
                </c:pt>
              </c:numCache>
            </c:numRef>
          </c:val>
          <c:smooth val="0"/>
        </c:ser>
        <c:dLbls>
          <c:showBubbleSize val="0"/>
          <c:showCatName val="0"/>
          <c:showLeaderLines val="0"/>
          <c:showLegendKey val="0"/>
          <c:showPercent val="0"/>
          <c:showSerName val="0"/>
          <c:showVal val="0"/>
        </c:dLbls>
        <c:smooth val="0"/>
        <c:axId val="-678914544"/>
        <c:axId val="-678914000"/>
      </c:lineChart>
      <c:catAx>
        <c:axId val="-678914544"/>
        <c:scaling>
          <c:orientation val="minMax"/>
        </c:scaling>
        <c:delete val="0"/>
        <c:axPos val="b"/>
        <c:numFmt formatCode="General" sourceLinked="1"/>
        <c:majorTickMark val="none"/>
        <c:minorTickMark val="none"/>
        <c:tickLblPos val="nextTo"/>
        <c:spPr bwMode="auto">
          <a:prstGeom prst="rect">
            <a:avLst/>
          </a:prstGeom>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a:solidFill>
                  <a:schemeClr val="tx1">
                    <a:lumMod val="65000"/>
                    <a:lumOff val="35000"/>
                  </a:schemeClr>
                </a:solidFill>
                <a:latin typeface="Arial Narrow"/>
                <a:ea typeface="仿宋_GB2312"/>
                <a:cs typeface="Arial"/>
              </a:defRPr>
            </a:pPr>
            <a:endParaRPr lang="zh-CN"/>
          </a:p>
        </c:txPr>
        <c:crossAx val="-678914000"/>
        <c:crosses val="autoZero"/>
        <c:auto val="1"/>
        <c:lblAlgn val="ctr"/>
        <c:lblOffset val="100"/>
        <c:noMultiLvlLbl val="0"/>
      </c:catAx>
      <c:valAx>
        <c:axId val="-678914000"/>
        <c:scaling>
          <c:orientation val="minMax"/>
        </c:scaling>
        <c:delete val="0"/>
        <c:axPos val="l"/>
        <c:majorGridlines>
          <c:spPr bwMode="auto">
            <a:prstGeom prst="rect">
              <a:avLst/>
            </a:prstGeom>
            <a:ln w="9525" cap="flat" cmpd="sng" algn="ctr">
              <a:solidFill>
                <a:schemeClr val="tx1">
                  <a:lumMod val="15000"/>
                  <a:lumOff val="85000"/>
                </a:schemeClr>
              </a:solidFill>
              <a:round/>
            </a:ln>
            <a:effectLst/>
          </c:spPr>
        </c:majorGridlines>
        <c:numFmt formatCode="General" sourceLinked="1"/>
        <c:majorTickMark val="none"/>
        <c:minorTickMark val="none"/>
        <c:tickLblPos val="nextTo"/>
        <c:spPr bwMode="auto">
          <a:prstGeom prst="rect">
            <a:avLst/>
          </a:prstGeom>
          <a:noFill/>
          <a:ln>
            <a:noFill/>
          </a:ln>
          <a:effectLst/>
        </c:spPr>
        <c:txPr>
          <a:bodyPr rot="-60000000" spcFirstLastPara="1" vertOverflow="ellipsis" vert="horz" wrap="square" anchor="ctr" anchorCtr="1"/>
          <a:lstStyle/>
          <a:p>
            <a:pPr>
              <a:defRPr lang="zh-CN" sz="900" b="0" i="0" u="none" strike="noStrike">
                <a:solidFill>
                  <a:schemeClr val="tx1">
                    <a:lumMod val="65000"/>
                    <a:lumOff val="35000"/>
                  </a:schemeClr>
                </a:solidFill>
                <a:latin typeface="Arial Narrow"/>
                <a:ea typeface="仿宋_GB2312"/>
                <a:cs typeface="Arial"/>
              </a:defRPr>
            </a:pPr>
            <a:endParaRPr lang="zh-CN"/>
          </a:p>
        </c:txPr>
        <c:crossAx val="-678914544"/>
        <c:crosses val="autoZero"/>
        <c:crossBetween val="between"/>
      </c:valAx>
      <c:spPr bwMode="auto">
        <a:prstGeom prst="rect">
          <a:avLst/>
        </a:prstGeom>
        <a:noFill/>
        <a:ln>
          <a:noFill/>
        </a:ln>
        <a:effectLst/>
      </c:spPr>
    </c:plotArea>
    <c:plotVisOnly val="1"/>
    <c:dispBlanksAs val="gap"/>
    <c:showDLblsOverMax val="0"/>
  </c:chart>
  <c:spPr bwMode="auto">
    <a:prstGeom prst="rect">
      <a:avLst/>
    </a:prstGeom>
    <a:solidFill>
      <a:schemeClr val="bg1"/>
    </a:solidFill>
    <a:ln w="9525" cap="flat" cmpd="sng" algn="ctr">
      <a:solidFill>
        <a:schemeClr val="tx1">
          <a:lumMod val="15000"/>
          <a:lumOff val="85000"/>
        </a:schemeClr>
      </a:solidFill>
      <a:round/>
    </a:ln>
    <a:effectLst/>
  </c:spPr>
  <c:txPr>
    <a:bodyPr/>
    <a:lstStyle/>
    <a:p>
      <a:pPr>
        <a:defRPr lang="zh-CN">
          <a:latin typeface="Arial Narrow"/>
          <a:ea typeface="仿宋_GB2312"/>
          <a:cs typeface="Arial"/>
        </a:defRPr>
      </a:pPr>
      <a:endParaRPr lang="zh-CN"/>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mc="http://schemas.openxmlformats.org/markup-compatibility/2006" xmlns:c15="http://schemas.microsoft.com/office/drawing/2012/chart" xmlns:c14="http://schemas.microsoft.com/office/drawing/2007/8/2/chart" xmlns:c16r2="http://schemas.microsoft.com/office/drawing/2015/06/chart">
  <c:date1904 val="0"/>
  <c:lang val="en-US"/>
  <c:roundedCorners val="0"/>
  <mc:AlternateContent>
    <mc:Choice Requires="c14">
      <c14:style val="102"/>
    </mc:Choice>
    <mc:Fallback>
      <c:style val="2"/>
    </mc:Fallback>
  </mc:AlternateContent>
  <c:chart>
    <c:autoTitleDeleted val="1"/>
    <c:plotArea>
      <c:layout>
        <c:manualLayout>
          <c:layoutTarget val="inner"/>
          <c:xMode val="edge"/>
          <c:yMode val="edge"/>
          <c:x val="0.131397"/>
          <c:y val="0.056324"/>
          <c:w val="0.722496"/>
          <c:h val="0.660546"/>
        </c:manualLayout>
      </c:layout>
      <c:barChart>
        <c:barDir val="col"/>
        <c:grouping val="clustered"/>
        <c:varyColors val="0"/>
        <c:ser>
          <c:idx val="0"/>
          <c:order val="0"/>
          <c:tx>
            <c:strRef>
              <c:f>Sheet1!$B$1</c:f>
              <c:strCache>
                <c:ptCount val="1"/>
                <c:pt idx="0">
                  <c:v>城镇私营单位就业人员年平均工资</c:v>
                </c:pt>
              </c:strCache>
            </c:strRef>
          </c:tx>
          <c:spPr bwMode="auto">
            <a:prstGeom prst="rect">
              <a:avLst/>
            </a:prstGeom>
            <a:solidFill>
              <a:schemeClr val="accent1"/>
            </a:solidFill>
            <a:ln>
              <a:noFill/>
            </a:ln>
            <a:effectLst/>
          </c:spPr>
          <c:invertIfNegative val="0"/>
          <c:cat>
            <c:strRef>
              <c:f>Sheet1!$A$3:$A$9</c:f>
              <c:strCache>
                <c:ptCount val="7"/>
                <c:pt idx="0">
                  <c:v>FY2017</c:v>
                </c:pt>
                <c:pt idx="1">
                  <c:v>FY2018</c:v>
                </c:pt>
                <c:pt idx="2">
                  <c:v>FY2019</c:v>
                </c:pt>
                <c:pt idx="3">
                  <c:v>FY2020</c:v>
                </c:pt>
                <c:pt idx="4">
                  <c:v>FY2021</c:v>
                </c:pt>
                <c:pt idx="5">
                  <c:v>FY2022</c:v>
                </c:pt>
                <c:pt idx="6">
                  <c:v>FY2023</c:v>
                </c:pt>
              </c:strCache>
            </c:strRef>
          </c:cat>
          <c:val>
            <c:numRef>
              <c:f>Sheet1!$B$3:$B$9</c:f>
              <c:numCache>
                <c:formatCode>General</c:formatCode>
                <c:ptCount val="7"/>
                <c:pt idx="0">
                  <c:v>45761</c:v>
                </c:pt>
                <c:pt idx="1">
                  <c:v>49575</c:v>
                </c:pt>
                <c:pt idx="2">
                  <c:v>53604</c:v>
                </c:pt>
                <c:pt idx="3">
                  <c:v>57727</c:v>
                </c:pt>
                <c:pt idx="4">
                  <c:v>62884</c:v>
                </c:pt>
                <c:pt idx="5">
                  <c:v>65237</c:v>
                </c:pt>
                <c:pt idx="6">
                  <c:v>68340</c:v>
                </c:pt>
              </c:numCache>
            </c:numRef>
          </c:val>
        </c:ser>
        <c:ser>
          <c:idx val="1"/>
          <c:order val="1"/>
          <c:tx>
            <c:strRef>
              <c:f>Sheet1!$C$1</c:f>
              <c:strCache>
                <c:ptCount val="1"/>
                <c:pt idx="0">
                  <c:v>城镇非私营单位就业人员年平均工资</c:v>
                </c:pt>
              </c:strCache>
            </c:strRef>
          </c:tx>
          <c:spPr bwMode="auto">
            <a:prstGeom prst="rect">
              <a:avLst/>
            </a:prstGeom>
            <a:solidFill>
              <a:schemeClr val="accent3"/>
            </a:solidFill>
            <a:ln>
              <a:noFill/>
            </a:ln>
            <a:effectLst/>
          </c:spPr>
          <c:invertIfNegative val="0"/>
          <c:cat>
            <c:strRef>
              <c:f>Sheet1!$A$3:$A$9</c:f>
              <c:strCache>
                <c:ptCount val="7"/>
                <c:pt idx="0">
                  <c:v>FY2017</c:v>
                </c:pt>
                <c:pt idx="1">
                  <c:v>FY2018</c:v>
                </c:pt>
                <c:pt idx="2">
                  <c:v>FY2019</c:v>
                </c:pt>
                <c:pt idx="3">
                  <c:v>FY2020</c:v>
                </c:pt>
                <c:pt idx="4">
                  <c:v>FY2021</c:v>
                </c:pt>
                <c:pt idx="5">
                  <c:v>FY2022</c:v>
                </c:pt>
                <c:pt idx="6">
                  <c:v>FY2023</c:v>
                </c:pt>
              </c:strCache>
            </c:strRef>
          </c:cat>
          <c:val>
            <c:numRef>
              <c:f>Sheet1!$C$3:$C$9</c:f>
              <c:numCache>
                <c:formatCode>General</c:formatCode>
                <c:ptCount val="7"/>
                <c:pt idx="0">
                  <c:v>74318</c:v>
                </c:pt>
                <c:pt idx="1">
                  <c:v>82461</c:v>
                </c:pt>
                <c:pt idx="2">
                  <c:v>90501</c:v>
                </c:pt>
                <c:pt idx="3">
                  <c:v>97379</c:v>
                </c:pt>
                <c:pt idx="4">
                  <c:v>106837</c:v>
                </c:pt>
                <c:pt idx="5">
                  <c:v>114029</c:v>
                </c:pt>
                <c:pt idx="6">
                  <c:v>120698</c:v>
                </c:pt>
              </c:numCache>
            </c:numRef>
          </c:val>
        </c:ser>
        <c:dLbls>
          <c:showBubbleSize val="0"/>
          <c:showCatName val="0"/>
          <c:showLeaderLines val="0"/>
          <c:showLegendKey val="0"/>
          <c:showPercent val="0"/>
          <c:showSerName val="0"/>
          <c:showVal val="0"/>
        </c:dLbls>
        <c:gapWidth val="219"/>
        <c:axId val="-678925968"/>
        <c:axId val="-839670256"/>
      </c:barChart>
      <c:lineChart>
        <c:grouping val="standard"/>
        <c:varyColors val="0"/>
        <c:ser>
          <c:idx val="2"/>
          <c:order val="2"/>
          <c:tx>
            <c:strRef>
              <c:f>Sheet1!$D$1</c:f>
              <c:strCache>
                <c:ptCount val="1"/>
                <c:pt idx="0">
                  <c:v>私营单位实际增长率</c:v>
                </c:pt>
              </c:strCache>
            </c:strRef>
          </c:tx>
          <c:spPr bwMode="auto">
            <a:prstGeom prst="rect">
              <a:avLst/>
            </a:prstGeom>
            <a:ln w="28575" cap="rnd">
              <a:solidFill>
                <a:schemeClr val="accent5"/>
              </a:solidFill>
              <a:round/>
            </a:ln>
            <a:effectLst/>
          </c:spPr>
          <c:marker>
            <c:symbol val="none"/>
          </c:marker>
          <c:cat>
            <c:strRef>
              <c:f>Sheet1!$A$3:$A$9</c:f>
              <c:strCache>
                <c:ptCount val="7"/>
                <c:pt idx="0">
                  <c:v>FY2017</c:v>
                </c:pt>
                <c:pt idx="1">
                  <c:v>FY2018</c:v>
                </c:pt>
                <c:pt idx="2">
                  <c:v>FY2019</c:v>
                </c:pt>
                <c:pt idx="3">
                  <c:v>FY2020</c:v>
                </c:pt>
                <c:pt idx="4">
                  <c:v>FY2021</c:v>
                </c:pt>
                <c:pt idx="5">
                  <c:v>FY2022</c:v>
                </c:pt>
                <c:pt idx="6">
                  <c:v>FY2023</c:v>
                </c:pt>
              </c:strCache>
            </c:strRef>
          </c:cat>
          <c:val>
            <c:numRef>
              <c:f>Sheet1!$D$3:$D$9</c:f>
              <c:numCache>
                <c:formatCode>0.00%</c:formatCode>
                <c:ptCount val="7"/>
                <c:pt idx="0" formatCode="0%">
                  <c:v>0.05</c:v>
                </c:pt>
                <c:pt idx="1">
                  <c:v>0.061</c:v>
                </c:pt>
                <c:pt idx="2">
                  <c:v>0.052</c:v>
                </c:pt>
                <c:pt idx="3">
                  <c:v>0.053</c:v>
                </c:pt>
                <c:pt idx="4">
                  <c:v>0.078</c:v>
                </c:pt>
                <c:pt idx="5">
                  <c:v>0.017</c:v>
                </c:pt>
                <c:pt idx="6">
                  <c:v>0.045</c:v>
                </c:pt>
              </c:numCache>
            </c:numRef>
          </c:val>
          <c:smooth val="0"/>
        </c:ser>
        <c:ser>
          <c:idx val="3"/>
          <c:order val="3"/>
          <c:tx>
            <c:strRef>
              <c:f>Sheet1!$E$1</c:f>
              <c:strCache>
                <c:ptCount val="1"/>
                <c:pt idx="0">
                  <c:v>非私营单位实际增长率</c:v>
                </c:pt>
              </c:strCache>
            </c:strRef>
          </c:tx>
          <c:spPr bwMode="auto">
            <a:prstGeom prst="rect">
              <a:avLst/>
            </a:prstGeom>
            <a:ln w="28575" cap="rnd">
              <a:solidFill>
                <a:schemeClr val="accent1">
                  <a:lumMod val="60000"/>
                </a:schemeClr>
              </a:solidFill>
              <a:round/>
            </a:ln>
            <a:effectLst/>
          </c:spPr>
          <c:marker>
            <c:symbol val="none"/>
          </c:marker>
          <c:cat>
            <c:strRef>
              <c:f>Sheet1!$A$3:$A$9</c:f>
              <c:strCache>
                <c:ptCount val="7"/>
                <c:pt idx="0">
                  <c:v>FY2017</c:v>
                </c:pt>
                <c:pt idx="1">
                  <c:v>FY2018</c:v>
                </c:pt>
                <c:pt idx="2">
                  <c:v>FY2019</c:v>
                </c:pt>
                <c:pt idx="3">
                  <c:v>FY2020</c:v>
                </c:pt>
                <c:pt idx="4">
                  <c:v>FY2021</c:v>
                </c:pt>
                <c:pt idx="5">
                  <c:v>FY2022</c:v>
                </c:pt>
                <c:pt idx="6">
                  <c:v>FY2023</c:v>
                </c:pt>
              </c:strCache>
            </c:strRef>
          </c:cat>
          <c:val>
            <c:numRef>
              <c:f>Sheet1!$E$3:$E$9</c:f>
              <c:numCache>
                <c:formatCode>0.00%</c:formatCode>
                <c:ptCount val="7"/>
                <c:pt idx="0">
                  <c:v>0.082</c:v>
                </c:pt>
                <c:pt idx="1">
                  <c:v>0.083</c:v>
                </c:pt>
                <c:pt idx="2">
                  <c:v>0.068</c:v>
                </c:pt>
                <c:pt idx="3">
                  <c:v>0.052</c:v>
                </c:pt>
                <c:pt idx="4">
                  <c:v>0.086</c:v>
                </c:pt>
                <c:pt idx="5">
                  <c:v>0.046</c:v>
                </c:pt>
                <c:pt idx="6">
                  <c:v>0.055</c:v>
                </c:pt>
              </c:numCache>
            </c:numRef>
          </c:val>
          <c:smooth val="0"/>
        </c:ser>
        <c:dLbls>
          <c:showBubbleSize val="0"/>
          <c:showCatName val="0"/>
          <c:showLeaderLines val="0"/>
          <c:showLegendKey val="0"/>
          <c:showPercent val="0"/>
          <c:showSerName val="0"/>
          <c:showVal val="0"/>
        </c:dLbls>
        <c:marker val="1"/>
        <c:smooth val="0"/>
        <c:axId val="-839665904"/>
        <c:axId val="-839663184"/>
      </c:lineChart>
      <c:catAx>
        <c:axId val="-678925968"/>
        <c:scaling>
          <c:orientation val="minMax"/>
        </c:scaling>
        <c:delete val="0"/>
        <c:axPos val="b"/>
        <c:numFmt formatCode="General" sourceLinked="1"/>
        <c:majorTickMark val="none"/>
        <c:minorTickMark val="none"/>
        <c:tickLblPos val="nextTo"/>
        <c:spPr bwMode="auto">
          <a:prstGeom prst="rect">
            <a:avLst/>
          </a:prstGeom>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a:solidFill>
                  <a:schemeClr val="tx1">
                    <a:lumMod val="65000"/>
                    <a:lumOff val="35000"/>
                  </a:schemeClr>
                </a:solidFill>
                <a:latin typeface="仿宋_GB2312"/>
                <a:ea typeface="仿宋_GB2312"/>
                <a:cs typeface="Verdana"/>
              </a:defRPr>
            </a:pPr>
            <a:endParaRPr lang="zh-CN"/>
          </a:p>
        </c:txPr>
        <c:crossAx val="-839670256"/>
        <c:crosses val="autoZero"/>
        <c:auto val="1"/>
        <c:lblAlgn val="ctr"/>
        <c:lblOffset val="100"/>
        <c:noMultiLvlLbl val="0"/>
      </c:catAx>
      <c:valAx>
        <c:axId val="-839670256"/>
        <c:scaling>
          <c:orientation val="minMax"/>
        </c:scaling>
        <c:delete val="0"/>
        <c:axPos val="l"/>
        <c:majorGridlines>
          <c:spPr bwMode="auto">
            <a:prstGeom prst="rect">
              <a:avLst/>
            </a:prstGeom>
            <a:ln w="9525" cap="flat" cmpd="sng" algn="ctr">
              <a:solidFill>
                <a:schemeClr val="tx1">
                  <a:lumMod val="15000"/>
                  <a:lumOff val="85000"/>
                </a:schemeClr>
              </a:solidFill>
              <a:round/>
            </a:ln>
            <a:effectLst/>
          </c:spPr>
        </c:majorGridlines>
        <c:numFmt formatCode="General" sourceLinked="1"/>
        <c:majorTickMark val="none"/>
        <c:minorTickMark val="none"/>
        <c:tickLblPos val="nextTo"/>
        <c:spPr bwMode="auto">
          <a:prstGeom prst="rect">
            <a:avLst/>
          </a:prstGeom>
          <a:noFill/>
          <a:ln>
            <a:noFill/>
          </a:ln>
          <a:effectLst/>
        </c:spPr>
        <c:txPr>
          <a:bodyPr rot="-60000000" spcFirstLastPara="1" vertOverflow="ellipsis" vert="horz" wrap="square" anchor="ctr" anchorCtr="1"/>
          <a:lstStyle/>
          <a:p>
            <a:pPr>
              <a:defRPr lang="zh-CN" sz="900" b="0" i="0" u="none" strike="noStrike">
                <a:solidFill>
                  <a:schemeClr val="tx1">
                    <a:lumMod val="65000"/>
                    <a:lumOff val="35000"/>
                  </a:schemeClr>
                </a:solidFill>
                <a:latin typeface="仿宋_GB2312"/>
                <a:ea typeface="仿宋_GB2312"/>
                <a:cs typeface="Verdana"/>
              </a:defRPr>
            </a:pPr>
            <a:endParaRPr lang="zh-CN"/>
          </a:p>
        </c:txPr>
        <c:crossAx val="-678925968"/>
        <c:crosses val="autoZero"/>
        <c:crossBetween val="between"/>
      </c:valAx>
      <c:catAx>
        <c:axId val="-839665904"/>
        <c:scaling>
          <c:orientation val="minMax"/>
        </c:scaling>
        <c:delete val="1"/>
        <c:axPos val="b"/>
        <c:numFmt formatCode="General" sourceLinked="1"/>
        <c:majorTickMark val="out"/>
        <c:minorTickMark val="none"/>
        <c:tickLblPos val="nextTo"/>
        <c:crossAx val="-839663184"/>
        <c:crosses val="autoZero"/>
        <c:auto val="1"/>
        <c:lblAlgn val="ctr"/>
        <c:lblOffset val="100"/>
        <c:noMultiLvlLbl val="0"/>
      </c:catAx>
      <c:valAx>
        <c:axId val="-839663184"/>
        <c:scaling>
          <c:orientation val="minMax"/>
        </c:scaling>
        <c:delete val="0"/>
        <c:axPos val="r"/>
        <c:numFmt formatCode="0%" sourceLinked="1"/>
        <c:majorTickMark val="out"/>
        <c:minorTickMark val="none"/>
        <c:tickLblPos val="nextTo"/>
        <c:spPr bwMode="auto">
          <a:prstGeom prst="rect">
            <a:avLst/>
          </a:prstGeom>
          <a:noFill/>
          <a:ln>
            <a:noFill/>
          </a:ln>
          <a:effectLst/>
        </c:spPr>
        <c:txPr>
          <a:bodyPr rot="-60000000" spcFirstLastPara="1" vertOverflow="ellipsis" vert="horz" wrap="square" anchor="ctr" anchorCtr="1"/>
          <a:lstStyle/>
          <a:p>
            <a:pPr>
              <a:defRPr lang="zh-CN" sz="900" b="0" i="0" u="none" strike="noStrike">
                <a:solidFill>
                  <a:schemeClr val="tx1">
                    <a:lumMod val="65000"/>
                    <a:lumOff val="35000"/>
                  </a:schemeClr>
                </a:solidFill>
                <a:latin typeface="仿宋_GB2312"/>
                <a:ea typeface="仿宋_GB2312"/>
                <a:cs typeface="Verdana"/>
              </a:defRPr>
            </a:pPr>
            <a:endParaRPr lang="zh-CN"/>
          </a:p>
        </c:txPr>
        <c:crossAx val="-839665904"/>
        <c:crosses val="max"/>
        <c:crossBetween val="between"/>
      </c:valAx>
      <c:spPr bwMode="auto">
        <a:prstGeom prst="rect">
          <a:avLst/>
        </a:prstGeom>
        <a:noFill/>
        <a:ln>
          <a:noFill/>
        </a:ln>
        <a:effectLst/>
      </c:spPr>
    </c:plotArea>
    <c:legend>
      <c:legendPos val="b"/>
      <c:layout>
        <c:manualLayout>
          <c:xMode val="edge"/>
          <c:yMode val="edge"/>
          <c:x val="0.015656"/>
          <c:y val="0.816579"/>
          <c:w val="0.958028"/>
          <c:h val="0.152699"/>
        </c:manualLayout>
      </c:layout>
      <c:overlay val="0"/>
      <c:spPr bwMode="auto">
        <a:prstGeom prst="rect">
          <a:avLst/>
        </a:prstGeom>
        <a:noFill/>
        <a:ln>
          <a:noFill/>
        </a:ln>
        <a:effectLst/>
      </c:spPr>
      <c:txPr>
        <a:bodyPr rot="0" spcFirstLastPara="1" vertOverflow="ellipsis" vert="horz" wrap="square" anchor="ctr" anchorCtr="1"/>
        <a:lstStyle/>
        <a:p>
          <a:pPr>
            <a:defRPr lang="zh-CN" sz="900" b="0" i="0" u="none" strike="noStrike">
              <a:solidFill>
                <a:schemeClr val="tx1">
                  <a:lumMod val="65000"/>
                  <a:lumOff val="35000"/>
                </a:schemeClr>
              </a:solidFill>
              <a:latin typeface="仿宋_GB2312"/>
              <a:ea typeface="仿宋_GB2312"/>
              <a:cs typeface="Verdana"/>
            </a:defRPr>
          </a:pPr>
          <a:endParaRPr lang="zh-CN"/>
        </a:p>
      </c:txPr>
    </c:legend>
    <c:plotVisOnly val="1"/>
    <c:dispBlanksAs val="gap"/>
    <c:showDLblsOverMax val="0"/>
  </c:chart>
  <c:spPr bwMode="auto">
    <a:prstGeom prst="rect">
      <a:avLst/>
    </a:prstGeom>
    <a:solidFill>
      <a:schemeClr val="bg1"/>
    </a:solidFill>
    <a:ln w="9525" cap="flat" cmpd="sng" algn="ctr">
      <a:solidFill>
        <a:schemeClr val="tx1">
          <a:lumMod val="15000"/>
          <a:lumOff val="85000"/>
        </a:schemeClr>
      </a:solidFill>
      <a:round/>
    </a:ln>
    <a:effectLst/>
  </c:spPr>
  <c:txPr>
    <a:bodyPr/>
    <a:lstStyle/>
    <a:p>
      <a:pPr>
        <a:defRPr lang="zh-CN">
          <a:latin typeface="仿宋_GB2312"/>
          <a:ea typeface="仿宋_GB2312"/>
          <a:cs typeface="Verdana"/>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withinLinear" id="14">
  <a:schemeClr val="accent1"/>
</cs:colorStyle>
</file>

<file path=word/charts/colors5.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cs:axisTitle>
  <cs:categoryAxis>
    <cs:lnRef idx="0"/>
    <cs:fillRef idx="0"/>
    <cs:effectRef idx="0"/>
    <cs:fontRef idx="minor">
      <a:schemeClr val="tx1">
        <a:lumMod val="65000"/>
        <a:lumOff val="35000"/>
      </a:schemeClr>
    </cs:fontRef>
    <cs:spPr bwMode="auto">
      <a:prstGeom prst="rect">
        <a:avLst/>
      </a:prstGeom>
      <a:ln w="9525" cap="flat" cmpd="sng" algn="ctr">
        <a:solidFill>
          <a:schemeClr val="tx1">
            <a:lumMod val="15000"/>
            <a:lumOff val="85000"/>
          </a:schemeClr>
        </a:solidFill>
        <a:round/>
      </a:ln>
    </cs:spPr>
    <cs:defRPr sz="900"/>
  </cs:categoryAxis>
  <cs:chartArea>
    <cs:lnRef idx="0"/>
    <cs:fillRef idx="0"/>
    <cs:effectRef idx="0"/>
    <cs:fontRef idx="minor">
      <a:schemeClr val="tx1"/>
    </cs:fontRef>
    <cs:spPr bwMode="auto">
      <a:prstGeom prst="rect">
        <a:avLst/>
      </a:prstGeom>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75000"/>
        <a:lumOff val="25000"/>
      </a:schemeClr>
    </cs:fontRef>
    <cs:defRPr sz="900"/>
  </cs:dataLabel>
  <cs:dataLabelCallout>
    <cs:lnRef idx="0"/>
    <cs:fillRef idx="0"/>
    <cs:effectRef idx="0"/>
    <cs:fontRef idx="minor">
      <a:schemeClr val="dk1">
        <a:lumMod val="65000"/>
        <a:lumOff val="35000"/>
      </a:schemeClr>
    </cs:fontRef>
    <cs:spPr bwMode="auto">
      <a:prstGeom prst="rect">
        <a:avLst/>
      </a:prstGeom>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bwMode="auto">
      <a:prstGeom prst="rect">
        <a:avLst/>
      </a:prstGeom>
      <a:ln w="28575" cap="rnd">
        <a:solidFill>
          <a:schemeClr val="phClr"/>
        </a:solidFill>
        <a:round/>
      </a:ln>
    </cs:spPr>
  </cs:dataPointLine>
  <cs:dataPointMarker>
    <cs:lnRef idx="0">
      <cs:styleClr val="auto"/>
    </cs:lnRef>
    <cs:fillRef idx="1">
      <cs:styleClr val="auto"/>
    </cs:fillRef>
    <cs:effectRef idx="0"/>
    <cs:fontRef idx="minor">
      <a:schemeClr val="tx1"/>
    </cs:fontRef>
    <cs:spPr bwMode="auto">
      <a:prstGeom prst="rect">
        <a:avLst/>
      </a:prstGeom>
      <a:ln w="9525">
        <a:solidFill>
          <a:schemeClr val="phClr"/>
        </a:solidFill>
      </a:ln>
    </cs:spPr>
  </cs:dataPointMarker>
  <cs:dataPointWireframe>
    <cs:lnRef idx="0">
      <cs:styleClr val="auto"/>
    </cs:lnRef>
    <cs:fillRef idx="1"/>
    <cs:effectRef idx="0"/>
    <cs:fontRef idx="minor">
      <a:schemeClr val="tx1"/>
    </cs:fontRef>
    <cs:spPr bwMode="auto">
      <a:prstGeom prst="rect">
        <a:avLst/>
      </a:prstGeom>
      <a:ln w="9525" cap="rnd">
        <a:solidFill>
          <a:schemeClr val="phClr"/>
        </a:solidFill>
        <a:round/>
      </a:ln>
    </cs:spPr>
  </cs:dataPointWireframe>
  <cs:dataTable>
    <cs:lnRef idx="0"/>
    <cs:fillRef idx="0"/>
    <cs:effectRef idx="0"/>
    <cs:fontRef idx="minor">
      <a:schemeClr val="tx1">
        <a:lumMod val="65000"/>
        <a:lumOff val="35000"/>
      </a:schemeClr>
    </cs:fontRef>
    <cs:spPr bwMode="auto">
      <a:prstGeom prst="rect">
        <a:avLst/>
      </a:prstGeom>
      <a:noFill/>
      <a:ln w="9525" cap="flat" cmpd="sng" algn="ctr">
        <a:solidFill>
          <a:schemeClr val="tx1">
            <a:lumMod val="15000"/>
            <a:lumOff val="85000"/>
          </a:schemeClr>
        </a:solidFill>
        <a:round/>
      </a:ln>
    </cs:spPr>
    <cs:defRPr sz="900"/>
  </cs:dataTable>
  <cs:downBar>
    <cs:lnRef idx="0"/>
    <cs:fillRef idx="0"/>
    <cs:effectRef idx="0"/>
    <cs:fontRef idx="minor">
      <a:schemeClr val="dk1"/>
    </cs:fontRef>
    <cs:spPr bwMode="auto">
      <a:prstGeom prst="rect">
        <a:avLst/>
      </a:prstGeom>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bwMode="auto">
      <a:prstGeom prst="rect">
        <a:avLst/>
      </a:prstGeom>
      <a:ln w="9525" cap="flat" cmpd="sng" algn="ctr">
        <a:solidFill>
          <a:schemeClr val="tx1">
            <a:lumMod val="35000"/>
            <a:lumOff val="65000"/>
          </a:schemeClr>
        </a:solidFill>
        <a:round/>
      </a:ln>
    </cs:spPr>
  </cs:dropLine>
  <cs:errorBar>
    <cs:lnRef idx="0"/>
    <cs:fillRef idx="0"/>
    <cs:effectRef idx="0"/>
    <cs:fontRef idx="minor">
      <a:schemeClr val="tx1"/>
    </cs:fontRef>
    <cs:spPr bwMode="auto">
      <a:prstGeom prst="rect">
        <a:avLst/>
      </a:prstGeom>
      <a:ln w="9525" cap="flat" cmpd="sng" algn="ctr">
        <a:solidFill>
          <a:schemeClr val="tx1">
            <a:lumMod val="65000"/>
            <a:lumOff val="35000"/>
          </a:schemeClr>
        </a:solidFill>
        <a:round/>
      </a:ln>
    </cs:spPr>
  </cs:errorBar>
  <cs:floor>
    <cs:lnRef idx="0"/>
    <cs:fillRef idx="0"/>
    <cs:effectRef idx="0"/>
    <cs:fontRef idx="minor">
      <a:schemeClr val="tx1"/>
    </cs:fontRef>
    <cs:spPr bwMode="auto">
      <a:prstGeom prst="rect">
        <a:avLst/>
      </a:prstGeom>
      <a:noFill/>
      <a:ln>
        <a:noFill/>
      </a:ln>
    </cs:spPr>
  </cs:floor>
  <cs:gridlineMajor>
    <cs:lnRef idx="0"/>
    <cs:fillRef idx="0"/>
    <cs:effectRef idx="0"/>
    <cs:fontRef idx="minor">
      <a:schemeClr val="tx1"/>
    </cs:fontRef>
    <cs:spPr bwMode="auto">
      <a:prstGeom prst="rect">
        <a:avLst/>
      </a:prstGeom>
      <a:ln w="9525" cap="flat" cmpd="sng" algn="ctr">
        <a:solidFill>
          <a:schemeClr val="tx1">
            <a:lumMod val="15000"/>
            <a:lumOff val="85000"/>
          </a:schemeClr>
        </a:solidFill>
        <a:round/>
      </a:ln>
    </cs:spPr>
  </cs:gridlineMajor>
  <cs:gridlineMinor>
    <cs:lnRef idx="0"/>
    <cs:fillRef idx="0"/>
    <cs:effectRef idx="0"/>
    <cs:fontRef idx="minor">
      <a:schemeClr val="tx1"/>
    </cs:fontRef>
    <cs:spPr bwMode="auto">
      <a:prstGeom prst="rect">
        <a:avLst/>
      </a:prstGeom>
      <a:ln w="9525" cap="flat" cmpd="sng" algn="ctr">
        <a:solidFill>
          <a:schemeClr val="tx1">
            <a:lumMod val="5000"/>
            <a:lumOff val="95000"/>
          </a:schemeClr>
        </a:solidFill>
        <a:round/>
      </a:ln>
    </cs:spPr>
  </cs:gridlineMinor>
  <cs:hiLoLine>
    <cs:lnRef idx="0"/>
    <cs:fillRef idx="0"/>
    <cs:effectRef idx="0"/>
    <cs:fontRef idx="minor">
      <a:schemeClr val="tx1"/>
    </cs:fontRef>
    <cs:spPr bwMode="auto">
      <a:prstGeom prst="rect">
        <a:avLst/>
      </a:prstGeom>
      <a:ln w="9525" cap="flat" cmpd="sng" algn="ctr">
        <a:solidFill>
          <a:schemeClr val="tx1">
            <a:lumMod val="75000"/>
            <a:lumOff val="25000"/>
          </a:schemeClr>
        </a:solidFill>
        <a:round/>
      </a:ln>
    </cs:spPr>
  </cs:hiLoLine>
  <cs:leaderLine>
    <cs:lnRef idx="0"/>
    <cs:fillRef idx="0"/>
    <cs:effectRef idx="0"/>
    <cs:fontRef idx="minor">
      <a:schemeClr val="tx1"/>
    </cs:fontRef>
    <cs:spPr bwMode="auto">
      <a:prstGeom prst="rect">
        <a:avLst/>
      </a:prstGeom>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tx1">
        <a:lumMod val="65000"/>
        <a:lumOff val="35000"/>
      </a:schemeClr>
    </cs:fontRef>
    <cs:defRPr sz="900"/>
  </cs:seriesAxis>
  <cs:seriesLine>
    <cs:lnRef idx="0"/>
    <cs:fillRef idx="0"/>
    <cs:effectRef idx="0"/>
    <cs:fontRef idx="minor">
      <a:schemeClr val="tx1"/>
    </cs:fontRef>
    <cs:spPr bwMode="auto">
      <a:prstGeom prst="rect">
        <a:avLst/>
      </a:prstGeom>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spc="0"/>
  </cs:title>
  <cs:trendline>
    <cs:lnRef idx="0">
      <cs:styleClr val="auto"/>
    </cs:lnRef>
    <cs:fillRef idx="0"/>
    <cs:effectRef idx="0"/>
    <cs:fontRef idx="minor">
      <a:schemeClr val="tx1"/>
    </cs:fontRef>
    <cs:spPr bwMode="auto">
      <a:prstGeom prst="rect">
        <a:avLst/>
      </a:prstGeom>
      <a:ln w="19050" cap="rnd">
        <a:solidFill>
          <a:schemeClr val="phClr"/>
        </a:solidFill>
        <a:prstDash val="sysDot"/>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bwMode="auto">
      <a:prstGeom prst="rect">
        <a:avLst/>
      </a:prstGeom>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spPr bwMode="auto">
      <a:prstGeom prst="rect">
        <a:avLst/>
      </a:prstGeom>
      <a:noFill/>
      <a:ln>
        <a:noFill/>
      </a:ln>
    </cs:spPr>
  </cs:wall>
  <cs:dataPointMarkerLayout symbol="circle" size="5"/>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cs:axisTitle>
  <cs:categoryAxis>
    <cs:lnRef idx="0"/>
    <cs:fillRef idx="0"/>
    <cs:effectRef idx="0"/>
    <cs:fontRef idx="minor">
      <a:schemeClr val="tx1">
        <a:lumMod val="65000"/>
        <a:lumOff val="35000"/>
      </a:schemeClr>
    </cs:fontRef>
    <cs:spPr bwMode="auto">
      <a:prstGeom prst="rect">
        <a:avLst/>
      </a:prstGeom>
      <a:ln w="9525" cap="flat" cmpd="sng" algn="ctr">
        <a:solidFill>
          <a:schemeClr val="tx1">
            <a:lumMod val="15000"/>
            <a:lumOff val="85000"/>
          </a:schemeClr>
        </a:solidFill>
        <a:round/>
      </a:ln>
    </cs:spPr>
    <cs:defRPr sz="900"/>
  </cs:categoryAxis>
  <cs:chartArea>
    <cs:lnRef idx="0"/>
    <cs:fillRef idx="0"/>
    <cs:effectRef idx="0"/>
    <cs:fontRef idx="minor">
      <a:schemeClr val="tx1"/>
    </cs:fontRef>
    <cs:spPr bwMode="auto">
      <a:prstGeom prst="rect">
        <a:avLst/>
      </a:prstGeom>
      <a:solidFill>
        <a:schemeClr val="bg1"/>
      </a:solidFill>
      <a:ln w="9525" cap="flat" cmpd="sng" algn="ctr">
        <a:solidFill>
          <a:schemeClr val="tx1">
            <a:lumMod val="15000"/>
            <a:lumOff val="85000"/>
          </a:schemeClr>
        </a:solidFill>
        <a:round/>
      </a:ln>
    </cs:spPr>
    <cs:defRPr sz="900"/>
  </cs:chartArea>
  <cs:dataLabel>
    <cs:lnRef idx="0"/>
    <cs:fillRef idx="0"/>
    <cs:effectRef idx="0"/>
    <cs:fontRef idx="minor">
      <a:schemeClr val="tx1">
        <a:lumMod val="75000"/>
        <a:lumOff val="25000"/>
      </a:schemeClr>
    </cs:fontRef>
    <cs:defRPr sz="900"/>
  </cs:dataLabel>
  <cs:dataLabelCallout>
    <cs:lnRef idx="0"/>
    <cs:fillRef idx="0"/>
    <cs:effectRef idx="0"/>
    <cs:fontRef idx="minor">
      <a:schemeClr val="dk1">
        <a:lumMod val="65000"/>
        <a:lumOff val="35000"/>
      </a:schemeClr>
    </cs:fontRef>
    <cs:spPr bwMode="auto">
      <a:prstGeom prst="rect">
        <a:avLst/>
      </a:prstGeom>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bwMode="auto">
      <a:prstGeom prst="rect">
        <a:avLst/>
      </a:prstGeom>
      <a:ln w="19050">
        <a:solidFill>
          <a:schemeClr val="lt1"/>
        </a:solidFill>
      </a:ln>
    </cs:spPr>
  </cs:dataPoint>
  <cs:dataPoint3D>
    <cs:lnRef idx="0"/>
    <cs:fillRef idx="1">
      <cs:styleClr val="auto"/>
    </cs:fillRef>
    <cs:effectRef idx="0"/>
    <cs:fontRef idx="minor">
      <a:schemeClr val="tx1"/>
    </cs:fontRef>
    <cs:spPr bwMode="auto">
      <a:prstGeom prst="rect">
        <a:avLst/>
      </a:prstGeom>
      <a:ln w="25400">
        <a:solidFill>
          <a:schemeClr val="lt1"/>
        </a:solidFill>
      </a:ln>
    </cs:spPr>
  </cs:dataPoint3D>
  <cs:dataPointLine>
    <cs:lnRef idx="0">
      <cs:styleClr val="auto"/>
    </cs:lnRef>
    <cs:fillRef idx="0"/>
    <cs:effectRef idx="0"/>
    <cs:fontRef idx="minor">
      <a:schemeClr val="tx1"/>
    </cs:fontRef>
    <cs:spPr bwMode="auto">
      <a:prstGeom prst="rect">
        <a:avLst/>
      </a:prstGeom>
      <a:ln w="28575" cap="rnd">
        <a:solidFill>
          <a:schemeClr val="phClr"/>
        </a:solidFill>
        <a:round/>
      </a:ln>
    </cs:spPr>
  </cs:dataPointLine>
  <cs:dataPointMarker>
    <cs:lnRef idx="0">
      <cs:styleClr val="auto"/>
    </cs:lnRef>
    <cs:fillRef idx="1">
      <cs:styleClr val="auto"/>
    </cs:fillRef>
    <cs:effectRef idx="0"/>
    <cs:fontRef idx="minor">
      <a:schemeClr val="tx1"/>
    </cs:fontRef>
    <cs:spPr bwMode="auto">
      <a:prstGeom prst="rect">
        <a:avLst/>
      </a:prstGeom>
      <a:ln w="9525">
        <a:solidFill>
          <a:schemeClr val="phClr"/>
        </a:solidFill>
      </a:ln>
    </cs:spPr>
  </cs:dataPointMarker>
  <cs:dataPointWireframe>
    <cs:lnRef idx="0">
      <cs:styleClr val="auto"/>
    </cs:lnRef>
    <cs:fillRef idx="0"/>
    <cs:effectRef idx="0"/>
    <cs:fontRef idx="minor">
      <a:schemeClr val="tx1"/>
    </cs:fontRef>
    <cs:spPr bwMode="auto">
      <a:prstGeom prst="rect">
        <a:avLst/>
      </a:prstGeom>
      <a:ln w="9525" cap="rnd">
        <a:solidFill>
          <a:schemeClr val="phClr"/>
        </a:solidFill>
        <a:round/>
      </a:ln>
    </cs:spPr>
  </cs:dataPointWireframe>
  <cs:dataTable>
    <cs:lnRef idx="0"/>
    <cs:fillRef idx="0"/>
    <cs:effectRef idx="0"/>
    <cs:fontRef idx="minor">
      <a:schemeClr val="tx1">
        <a:lumMod val="65000"/>
        <a:lumOff val="35000"/>
      </a:schemeClr>
    </cs:fontRef>
    <cs:spPr bwMode="auto">
      <a:prstGeom prst="rect">
        <a:avLst/>
      </a:prstGeom>
      <a:noFill/>
      <a:ln w="9525" cap="flat" cmpd="sng" algn="ctr">
        <a:solidFill>
          <a:schemeClr val="tx1">
            <a:lumMod val="15000"/>
            <a:lumOff val="85000"/>
          </a:schemeClr>
        </a:solidFill>
        <a:round/>
      </a:ln>
    </cs:spPr>
    <cs:defRPr sz="900"/>
  </cs:dataTable>
  <cs:downBar>
    <cs:lnRef idx="0"/>
    <cs:fillRef idx="0"/>
    <cs:effectRef idx="0"/>
    <cs:fontRef idx="minor">
      <a:schemeClr val="tx1"/>
    </cs:fontRef>
    <cs:spPr bwMode="auto">
      <a:prstGeom prst="rect">
        <a:avLst/>
      </a:prstGeom>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bwMode="auto">
      <a:prstGeom prst="rect">
        <a:avLst/>
      </a:prstGeom>
      <a:ln w="9525" cap="flat" cmpd="sng" algn="ctr">
        <a:solidFill>
          <a:schemeClr val="tx1">
            <a:lumMod val="35000"/>
            <a:lumOff val="65000"/>
          </a:schemeClr>
        </a:solidFill>
        <a:round/>
      </a:ln>
    </cs:spPr>
  </cs:dropLine>
  <cs:errorBar>
    <cs:lnRef idx="0"/>
    <cs:fillRef idx="0"/>
    <cs:effectRef idx="0"/>
    <cs:fontRef idx="minor">
      <a:schemeClr val="tx1"/>
    </cs:fontRef>
    <cs:spPr bwMode="auto">
      <a:prstGeom prst="rect">
        <a:avLst/>
      </a:prstGeom>
      <a:ln w="9525" cap="flat" cmpd="sng" algn="ctr">
        <a:solidFill>
          <a:schemeClr val="tx1">
            <a:lumMod val="65000"/>
            <a:lumOff val="35000"/>
          </a:schemeClr>
        </a:solidFill>
        <a:round/>
      </a:ln>
    </cs:spPr>
  </cs:errorBar>
  <cs:floor>
    <cs:lnRef idx="0"/>
    <cs:fillRef idx="0"/>
    <cs:effectRef idx="0"/>
    <cs:fontRef idx="minor">
      <a:schemeClr val="tx1"/>
    </cs:fontRef>
    <cs:spPr bwMode="auto">
      <a:prstGeom prst="rect">
        <a:avLst/>
      </a:prstGeom>
      <a:noFill/>
      <a:ln>
        <a:noFill/>
      </a:ln>
    </cs:spPr>
  </cs:floor>
  <cs:gridlineMajor>
    <cs:lnRef idx="0"/>
    <cs:fillRef idx="0"/>
    <cs:effectRef idx="0"/>
    <cs:fontRef idx="minor">
      <a:schemeClr val="tx1"/>
    </cs:fontRef>
    <cs:spPr bwMode="auto">
      <a:prstGeom prst="rect">
        <a:avLst/>
      </a:prstGeom>
      <a:ln w="9525" cap="flat" cmpd="sng" algn="ctr">
        <a:solidFill>
          <a:schemeClr val="tx1">
            <a:lumMod val="15000"/>
            <a:lumOff val="85000"/>
          </a:schemeClr>
        </a:solidFill>
        <a:round/>
      </a:ln>
    </cs:spPr>
  </cs:gridlineMajor>
  <cs:gridlineMinor>
    <cs:lnRef idx="0"/>
    <cs:fillRef idx="0"/>
    <cs:effectRef idx="0"/>
    <cs:fontRef idx="minor">
      <a:schemeClr val="tx1"/>
    </cs:fontRef>
    <cs:spPr bwMode="auto">
      <a:prstGeom prst="rect">
        <a:avLst/>
      </a:prstGeom>
      <a:ln w="9525" cap="flat" cmpd="sng" algn="ctr">
        <a:solidFill>
          <a:schemeClr val="tx1">
            <a:lumMod val="5000"/>
            <a:lumOff val="95000"/>
          </a:schemeClr>
        </a:solidFill>
        <a:round/>
      </a:ln>
    </cs:spPr>
  </cs:gridlineMinor>
  <cs:hiLoLine>
    <cs:lnRef idx="0"/>
    <cs:fillRef idx="0"/>
    <cs:effectRef idx="0"/>
    <cs:fontRef idx="minor">
      <a:schemeClr val="tx1"/>
    </cs:fontRef>
    <cs:spPr bwMode="auto">
      <a:prstGeom prst="rect">
        <a:avLst/>
      </a:prstGeom>
      <a:ln w="9525" cap="flat" cmpd="sng" algn="ctr">
        <a:solidFill>
          <a:schemeClr val="tx1">
            <a:lumMod val="50000"/>
            <a:lumOff val="50000"/>
          </a:schemeClr>
        </a:solidFill>
        <a:round/>
      </a:ln>
    </cs:spPr>
  </cs:hiLoLine>
  <cs:leaderLine>
    <cs:lnRef idx="0"/>
    <cs:fillRef idx="0"/>
    <cs:effectRef idx="0"/>
    <cs:fontRef idx="minor">
      <a:schemeClr val="tx1"/>
    </cs:fontRef>
    <cs:spPr bwMode="auto">
      <a:prstGeom prst="rect">
        <a:avLst/>
      </a:prstGeom>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tx1">
        <a:lumMod val="65000"/>
        <a:lumOff val="35000"/>
      </a:schemeClr>
    </cs:fontRef>
    <cs:defRPr sz="900"/>
  </cs:seriesAxis>
  <cs:seriesLine>
    <cs:lnRef idx="0"/>
    <cs:fillRef idx="0"/>
    <cs:effectRef idx="0"/>
    <cs:fontRef idx="minor">
      <a:schemeClr val="tx1"/>
    </cs:fontRef>
    <cs:spPr bwMode="auto">
      <a:prstGeom prst="rect">
        <a:avLst/>
      </a:prstGeom>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spc="0"/>
  </cs:title>
  <cs:trendline>
    <cs:lnRef idx="0">
      <cs:styleClr val="auto"/>
    </cs:lnRef>
    <cs:fillRef idx="0"/>
    <cs:effectRef idx="0"/>
    <cs:fontRef idx="minor">
      <a:schemeClr val="tx1"/>
    </cs:fontRef>
    <cs:spPr bwMode="auto">
      <a:prstGeom prst="rect">
        <a:avLst/>
      </a:prstGeom>
      <a:ln w="19050" cap="rnd">
        <a:solidFill>
          <a:schemeClr val="phClr"/>
        </a:solidFill>
        <a:prstDash val="sysDot"/>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tx1"/>
    </cs:fontRef>
    <cs:spPr bwMode="auto">
      <a:prstGeom prst="rect">
        <a:avLst/>
      </a:prstGeom>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spPr bwMode="auto">
      <a:prstGeom prst="rect">
        <a:avLst/>
      </a:prstGeom>
      <a:noFill/>
      <a:ln>
        <a:noFill/>
      </a:ln>
    </cs:spPr>
  </cs:wall>
  <cs:dataPointMarkerLayout symbol="circle" size="5"/>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cs:axisTitle>
  <cs:categoryAxis>
    <cs:lnRef idx="0"/>
    <cs:fillRef idx="0"/>
    <cs:effectRef idx="0"/>
    <cs:fontRef idx="minor">
      <a:schemeClr val="tx1">
        <a:lumMod val="65000"/>
        <a:lumOff val="35000"/>
      </a:schemeClr>
    </cs:fontRef>
    <cs:spPr bwMode="auto">
      <a:prstGeom prst="rect">
        <a:avLst/>
      </a:prstGeom>
      <a:ln w="9525" cap="flat" cmpd="sng" algn="ctr">
        <a:solidFill>
          <a:schemeClr val="tx1">
            <a:lumMod val="15000"/>
            <a:lumOff val="85000"/>
          </a:schemeClr>
        </a:solidFill>
        <a:round/>
      </a:ln>
    </cs:spPr>
    <cs:defRPr sz="900"/>
  </cs:categoryAxis>
  <cs:chartArea>
    <cs:lnRef idx="0"/>
    <cs:fillRef idx="0"/>
    <cs:effectRef idx="0"/>
    <cs:fontRef idx="minor">
      <a:schemeClr val="tx1"/>
    </cs:fontRef>
    <cs:spPr bwMode="auto">
      <a:prstGeom prst="rect">
        <a:avLst/>
      </a:prstGeom>
      <a:solidFill>
        <a:schemeClr val="bg1"/>
      </a:solidFill>
      <a:ln w="9525" cap="flat" cmpd="sng" algn="ctr">
        <a:solidFill>
          <a:schemeClr val="tx1">
            <a:lumMod val="15000"/>
            <a:lumOff val="85000"/>
          </a:schemeClr>
        </a:solidFill>
        <a:round/>
      </a:ln>
    </cs:spPr>
    <cs:defRPr sz="900"/>
  </cs:chartArea>
  <cs:dataLabel>
    <cs:lnRef idx="0"/>
    <cs:fillRef idx="0"/>
    <cs:effectRef idx="0"/>
    <cs:fontRef idx="minor">
      <a:schemeClr val="tx1">
        <a:lumMod val="75000"/>
        <a:lumOff val="25000"/>
      </a:schemeClr>
    </cs:fontRef>
    <cs:defRPr sz="900"/>
  </cs:dataLabel>
  <cs:dataLabelCallout>
    <cs:lnRef idx="0"/>
    <cs:fillRef idx="0"/>
    <cs:effectRef idx="0"/>
    <cs:fontRef idx="minor">
      <a:schemeClr val="dk1">
        <a:lumMod val="65000"/>
        <a:lumOff val="35000"/>
      </a:schemeClr>
    </cs:fontRef>
    <cs:spPr bwMode="auto">
      <a:prstGeom prst="rect">
        <a:avLst/>
      </a:prstGeom>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bwMode="auto">
      <a:prstGeom prst="rect">
        <a:avLst/>
      </a:prstGeom>
      <a:ln w="19050">
        <a:solidFill>
          <a:schemeClr val="lt1"/>
        </a:solidFill>
      </a:ln>
    </cs:spPr>
  </cs:dataPoint>
  <cs:dataPoint3D>
    <cs:lnRef idx="0"/>
    <cs:fillRef idx="1">
      <cs:styleClr val="auto"/>
    </cs:fillRef>
    <cs:effectRef idx="0"/>
    <cs:fontRef idx="minor">
      <a:schemeClr val="tx1"/>
    </cs:fontRef>
    <cs:spPr bwMode="auto">
      <a:prstGeom prst="rect">
        <a:avLst/>
      </a:prstGeom>
      <a:ln w="25400">
        <a:solidFill>
          <a:schemeClr val="lt1"/>
        </a:solidFill>
      </a:ln>
    </cs:spPr>
  </cs:dataPoint3D>
  <cs:dataPointLine>
    <cs:lnRef idx="0">
      <cs:styleClr val="auto"/>
    </cs:lnRef>
    <cs:fillRef idx="0"/>
    <cs:effectRef idx="0"/>
    <cs:fontRef idx="minor">
      <a:schemeClr val="tx1"/>
    </cs:fontRef>
    <cs:spPr bwMode="auto">
      <a:prstGeom prst="rect">
        <a:avLst/>
      </a:prstGeom>
      <a:ln w="28575" cap="rnd">
        <a:solidFill>
          <a:schemeClr val="phClr"/>
        </a:solidFill>
        <a:round/>
      </a:ln>
    </cs:spPr>
  </cs:dataPointLine>
  <cs:dataPointMarker>
    <cs:lnRef idx="0">
      <cs:styleClr val="auto"/>
    </cs:lnRef>
    <cs:fillRef idx="1">
      <cs:styleClr val="auto"/>
    </cs:fillRef>
    <cs:effectRef idx="0"/>
    <cs:fontRef idx="minor">
      <a:schemeClr val="tx1"/>
    </cs:fontRef>
    <cs:spPr bwMode="auto">
      <a:prstGeom prst="rect">
        <a:avLst/>
      </a:prstGeom>
      <a:ln w="9525">
        <a:solidFill>
          <a:schemeClr val="phClr"/>
        </a:solidFill>
      </a:ln>
    </cs:spPr>
  </cs:dataPointMarker>
  <cs:dataPointWireframe>
    <cs:lnRef idx="0">
      <cs:styleClr val="auto"/>
    </cs:lnRef>
    <cs:fillRef idx="0"/>
    <cs:effectRef idx="0"/>
    <cs:fontRef idx="minor">
      <a:schemeClr val="tx1"/>
    </cs:fontRef>
    <cs:spPr bwMode="auto">
      <a:prstGeom prst="rect">
        <a:avLst/>
      </a:prstGeom>
      <a:ln w="9525" cap="rnd">
        <a:solidFill>
          <a:schemeClr val="phClr"/>
        </a:solidFill>
        <a:round/>
      </a:ln>
    </cs:spPr>
  </cs:dataPointWireframe>
  <cs:dataTable>
    <cs:lnRef idx="0"/>
    <cs:fillRef idx="0"/>
    <cs:effectRef idx="0"/>
    <cs:fontRef idx="minor">
      <a:schemeClr val="tx1">
        <a:lumMod val="65000"/>
        <a:lumOff val="35000"/>
      </a:schemeClr>
    </cs:fontRef>
    <cs:spPr bwMode="auto">
      <a:prstGeom prst="rect">
        <a:avLst/>
      </a:prstGeom>
      <a:noFill/>
      <a:ln w="9525" cap="flat" cmpd="sng" algn="ctr">
        <a:solidFill>
          <a:schemeClr val="tx1">
            <a:lumMod val="15000"/>
            <a:lumOff val="85000"/>
          </a:schemeClr>
        </a:solidFill>
        <a:round/>
      </a:ln>
    </cs:spPr>
    <cs:defRPr sz="900"/>
  </cs:dataTable>
  <cs:downBar>
    <cs:lnRef idx="0"/>
    <cs:fillRef idx="0"/>
    <cs:effectRef idx="0"/>
    <cs:fontRef idx="minor">
      <a:schemeClr val="tx1"/>
    </cs:fontRef>
    <cs:spPr bwMode="auto">
      <a:prstGeom prst="rect">
        <a:avLst/>
      </a:prstGeom>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bwMode="auto">
      <a:prstGeom prst="rect">
        <a:avLst/>
      </a:prstGeom>
      <a:ln w="9525" cap="flat" cmpd="sng" algn="ctr">
        <a:solidFill>
          <a:schemeClr val="tx1">
            <a:lumMod val="35000"/>
            <a:lumOff val="65000"/>
          </a:schemeClr>
        </a:solidFill>
        <a:round/>
      </a:ln>
    </cs:spPr>
  </cs:dropLine>
  <cs:errorBar>
    <cs:lnRef idx="0"/>
    <cs:fillRef idx="0"/>
    <cs:effectRef idx="0"/>
    <cs:fontRef idx="minor">
      <a:schemeClr val="tx1"/>
    </cs:fontRef>
    <cs:spPr bwMode="auto">
      <a:prstGeom prst="rect">
        <a:avLst/>
      </a:prstGeom>
      <a:ln w="9525" cap="flat" cmpd="sng" algn="ctr">
        <a:solidFill>
          <a:schemeClr val="tx1">
            <a:lumMod val="65000"/>
            <a:lumOff val="35000"/>
          </a:schemeClr>
        </a:solidFill>
        <a:round/>
      </a:ln>
    </cs:spPr>
  </cs:errorBar>
  <cs:floor>
    <cs:lnRef idx="0"/>
    <cs:fillRef idx="0"/>
    <cs:effectRef idx="0"/>
    <cs:fontRef idx="minor">
      <a:schemeClr val="tx1"/>
    </cs:fontRef>
    <cs:spPr bwMode="auto">
      <a:prstGeom prst="rect">
        <a:avLst/>
      </a:prstGeom>
      <a:noFill/>
      <a:ln>
        <a:noFill/>
      </a:ln>
    </cs:spPr>
  </cs:floor>
  <cs:gridlineMajor>
    <cs:lnRef idx="0"/>
    <cs:fillRef idx="0"/>
    <cs:effectRef idx="0"/>
    <cs:fontRef idx="minor">
      <a:schemeClr val="tx1"/>
    </cs:fontRef>
    <cs:spPr bwMode="auto">
      <a:prstGeom prst="rect">
        <a:avLst/>
      </a:prstGeom>
      <a:ln w="9525" cap="flat" cmpd="sng" algn="ctr">
        <a:solidFill>
          <a:schemeClr val="tx1">
            <a:lumMod val="15000"/>
            <a:lumOff val="85000"/>
          </a:schemeClr>
        </a:solidFill>
        <a:round/>
      </a:ln>
    </cs:spPr>
  </cs:gridlineMajor>
  <cs:gridlineMinor>
    <cs:lnRef idx="0"/>
    <cs:fillRef idx="0"/>
    <cs:effectRef idx="0"/>
    <cs:fontRef idx="minor">
      <a:schemeClr val="tx1"/>
    </cs:fontRef>
    <cs:spPr bwMode="auto">
      <a:prstGeom prst="rect">
        <a:avLst/>
      </a:prstGeom>
      <a:ln w="9525" cap="flat" cmpd="sng" algn="ctr">
        <a:solidFill>
          <a:schemeClr val="tx1">
            <a:lumMod val="5000"/>
            <a:lumOff val="95000"/>
          </a:schemeClr>
        </a:solidFill>
        <a:round/>
      </a:ln>
    </cs:spPr>
  </cs:gridlineMinor>
  <cs:hiLoLine>
    <cs:lnRef idx="0"/>
    <cs:fillRef idx="0"/>
    <cs:effectRef idx="0"/>
    <cs:fontRef idx="minor">
      <a:schemeClr val="tx1"/>
    </cs:fontRef>
    <cs:spPr bwMode="auto">
      <a:prstGeom prst="rect">
        <a:avLst/>
      </a:prstGeom>
      <a:ln w="9525" cap="flat" cmpd="sng" algn="ctr">
        <a:solidFill>
          <a:schemeClr val="tx1">
            <a:lumMod val="50000"/>
            <a:lumOff val="50000"/>
          </a:schemeClr>
        </a:solidFill>
        <a:round/>
      </a:ln>
    </cs:spPr>
  </cs:hiLoLine>
  <cs:leaderLine>
    <cs:lnRef idx="0"/>
    <cs:fillRef idx="0"/>
    <cs:effectRef idx="0"/>
    <cs:fontRef idx="minor">
      <a:schemeClr val="tx1"/>
    </cs:fontRef>
    <cs:spPr bwMode="auto">
      <a:prstGeom prst="rect">
        <a:avLst/>
      </a:prstGeom>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tx1">
        <a:lumMod val="65000"/>
        <a:lumOff val="35000"/>
      </a:schemeClr>
    </cs:fontRef>
    <cs:defRPr sz="900"/>
  </cs:seriesAxis>
  <cs:seriesLine>
    <cs:lnRef idx="0"/>
    <cs:fillRef idx="0"/>
    <cs:effectRef idx="0"/>
    <cs:fontRef idx="minor">
      <a:schemeClr val="tx1"/>
    </cs:fontRef>
    <cs:spPr bwMode="auto">
      <a:prstGeom prst="rect">
        <a:avLst/>
      </a:prstGeom>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spc="0"/>
  </cs:title>
  <cs:trendline>
    <cs:lnRef idx="0">
      <cs:styleClr val="auto"/>
    </cs:lnRef>
    <cs:fillRef idx="0"/>
    <cs:effectRef idx="0"/>
    <cs:fontRef idx="minor">
      <a:schemeClr val="tx1"/>
    </cs:fontRef>
    <cs:spPr bwMode="auto">
      <a:prstGeom prst="rect">
        <a:avLst/>
      </a:prstGeom>
      <a:ln w="19050" cap="rnd">
        <a:solidFill>
          <a:schemeClr val="phClr"/>
        </a:solidFill>
        <a:prstDash val="sysDot"/>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tx1"/>
    </cs:fontRef>
    <cs:spPr bwMode="auto">
      <a:prstGeom prst="rect">
        <a:avLst/>
      </a:prstGeom>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spPr bwMode="auto">
      <a:prstGeom prst="rect">
        <a:avLst/>
      </a:prstGeom>
      <a:noFill/>
      <a:ln>
        <a:noFill/>
      </a:ln>
    </cs:spPr>
  </cs:wall>
  <cs:dataPointMarkerLayout symbol="circle" size="5"/>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cs:axisTitle>
  <cs:categoryAxis>
    <cs:lnRef idx="0"/>
    <cs:fillRef idx="0"/>
    <cs:effectRef idx="0"/>
    <cs:fontRef idx="minor">
      <a:schemeClr val="tx1">
        <a:lumMod val="65000"/>
        <a:lumOff val="35000"/>
      </a:schemeClr>
    </cs:fontRef>
    <cs:spPr bwMode="auto">
      <a:prstGeom prst="rect">
        <a:avLst/>
      </a:prstGeom>
      <a:ln w="9525" cap="flat" cmpd="sng" algn="ctr">
        <a:solidFill>
          <a:schemeClr val="tx1">
            <a:lumMod val="15000"/>
            <a:lumOff val="85000"/>
          </a:schemeClr>
        </a:solidFill>
        <a:round/>
      </a:ln>
    </cs:spPr>
    <cs:defRPr sz="900"/>
  </cs:categoryAxis>
  <cs:chartArea>
    <cs:lnRef idx="0"/>
    <cs:fillRef idx="0"/>
    <cs:effectRef idx="0"/>
    <cs:fontRef idx="minor">
      <a:schemeClr val="tx1"/>
    </cs:fontRef>
    <cs:spPr bwMode="auto">
      <a:prstGeom prst="rect">
        <a:avLst/>
      </a:prstGeom>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75000"/>
        <a:lumOff val="25000"/>
      </a:schemeClr>
    </cs:fontRef>
    <cs:defRPr sz="900"/>
  </cs:dataLabel>
  <cs:dataLabelCallout>
    <cs:lnRef idx="0"/>
    <cs:fillRef idx="0"/>
    <cs:effectRef idx="0"/>
    <cs:fontRef idx="minor">
      <a:schemeClr val="dk1">
        <a:lumMod val="65000"/>
        <a:lumOff val="35000"/>
      </a:schemeClr>
    </cs:fontRef>
    <cs:spPr bwMode="auto">
      <a:prstGeom prst="rect">
        <a:avLst/>
      </a:prstGeom>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bwMode="auto">
      <a:prstGeom prst="rect">
        <a:avLst/>
      </a:prstGeom>
      <a:ln w="28575" cap="rnd">
        <a:solidFill>
          <a:schemeClr val="phClr"/>
        </a:solidFill>
        <a:round/>
      </a:ln>
    </cs:spPr>
  </cs:dataPointLine>
  <cs:dataPointMarker>
    <cs:lnRef idx="0">
      <cs:styleClr val="auto"/>
    </cs:lnRef>
    <cs:fillRef idx="1">
      <cs:styleClr val="auto"/>
    </cs:fillRef>
    <cs:effectRef idx="0"/>
    <cs:fontRef idx="minor">
      <a:schemeClr val="tx1"/>
    </cs:fontRef>
    <cs:spPr bwMode="auto">
      <a:prstGeom prst="rect">
        <a:avLst/>
      </a:prstGeom>
      <a:ln w="9525">
        <a:solidFill>
          <a:schemeClr val="phClr"/>
        </a:solidFill>
      </a:ln>
    </cs:spPr>
  </cs:dataPointMarker>
  <cs:dataPointWireframe>
    <cs:lnRef idx="0">
      <cs:styleClr val="auto"/>
    </cs:lnRef>
    <cs:fillRef idx="1"/>
    <cs:effectRef idx="0"/>
    <cs:fontRef idx="minor">
      <a:schemeClr val="tx1"/>
    </cs:fontRef>
    <cs:spPr bwMode="auto">
      <a:prstGeom prst="rect">
        <a:avLst/>
      </a:prstGeom>
      <a:ln w="9525" cap="rnd">
        <a:solidFill>
          <a:schemeClr val="phClr"/>
        </a:solidFill>
        <a:round/>
      </a:ln>
    </cs:spPr>
  </cs:dataPointWireframe>
  <cs:dataTable>
    <cs:lnRef idx="0"/>
    <cs:fillRef idx="0"/>
    <cs:effectRef idx="0"/>
    <cs:fontRef idx="minor">
      <a:schemeClr val="tx1">
        <a:lumMod val="65000"/>
        <a:lumOff val="35000"/>
      </a:schemeClr>
    </cs:fontRef>
    <cs:spPr bwMode="auto">
      <a:prstGeom prst="rect">
        <a:avLst/>
      </a:prstGeom>
      <a:noFill/>
      <a:ln w="9525" cap="flat" cmpd="sng" algn="ctr">
        <a:solidFill>
          <a:schemeClr val="tx1">
            <a:lumMod val="15000"/>
            <a:lumOff val="85000"/>
          </a:schemeClr>
        </a:solidFill>
        <a:round/>
      </a:ln>
    </cs:spPr>
    <cs:defRPr sz="900"/>
  </cs:dataTable>
  <cs:downBar>
    <cs:lnRef idx="0"/>
    <cs:fillRef idx="0"/>
    <cs:effectRef idx="0"/>
    <cs:fontRef idx="minor">
      <a:schemeClr val="dk1"/>
    </cs:fontRef>
    <cs:spPr bwMode="auto">
      <a:prstGeom prst="rect">
        <a:avLst/>
      </a:prstGeom>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bwMode="auto">
      <a:prstGeom prst="rect">
        <a:avLst/>
      </a:prstGeom>
      <a:ln w="9525" cap="flat" cmpd="sng" algn="ctr">
        <a:solidFill>
          <a:schemeClr val="tx1">
            <a:lumMod val="35000"/>
            <a:lumOff val="65000"/>
          </a:schemeClr>
        </a:solidFill>
        <a:round/>
      </a:ln>
    </cs:spPr>
  </cs:dropLine>
  <cs:errorBar>
    <cs:lnRef idx="0"/>
    <cs:fillRef idx="0"/>
    <cs:effectRef idx="0"/>
    <cs:fontRef idx="minor">
      <a:schemeClr val="tx1"/>
    </cs:fontRef>
    <cs:spPr bwMode="auto">
      <a:prstGeom prst="rect">
        <a:avLst/>
      </a:prstGeom>
      <a:ln w="9525" cap="flat" cmpd="sng" algn="ctr">
        <a:solidFill>
          <a:schemeClr val="tx1">
            <a:lumMod val="65000"/>
            <a:lumOff val="35000"/>
          </a:schemeClr>
        </a:solidFill>
        <a:round/>
      </a:ln>
    </cs:spPr>
  </cs:errorBar>
  <cs:floor>
    <cs:lnRef idx="0"/>
    <cs:fillRef idx="0"/>
    <cs:effectRef idx="0"/>
    <cs:fontRef idx="minor">
      <a:schemeClr val="tx1"/>
    </cs:fontRef>
    <cs:spPr bwMode="auto">
      <a:prstGeom prst="rect">
        <a:avLst/>
      </a:prstGeom>
      <a:noFill/>
      <a:ln>
        <a:noFill/>
      </a:ln>
    </cs:spPr>
  </cs:floor>
  <cs:gridlineMajor>
    <cs:lnRef idx="0"/>
    <cs:fillRef idx="0"/>
    <cs:effectRef idx="0"/>
    <cs:fontRef idx="minor">
      <a:schemeClr val="tx1"/>
    </cs:fontRef>
    <cs:spPr bwMode="auto">
      <a:prstGeom prst="rect">
        <a:avLst/>
      </a:prstGeom>
      <a:ln w="9525" cap="flat" cmpd="sng" algn="ctr">
        <a:solidFill>
          <a:schemeClr val="tx1">
            <a:lumMod val="15000"/>
            <a:lumOff val="85000"/>
          </a:schemeClr>
        </a:solidFill>
        <a:round/>
      </a:ln>
    </cs:spPr>
  </cs:gridlineMajor>
  <cs:gridlineMinor>
    <cs:lnRef idx="0"/>
    <cs:fillRef idx="0"/>
    <cs:effectRef idx="0"/>
    <cs:fontRef idx="minor">
      <a:schemeClr val="tx1"/>
    </cs:fontRef>
    <cs:spPr bwMode="auto">
      <a:prstGeom prst="rect">
        <a:avLst/>
      </a:prstGeom>
      <a:ln w="9525" cap="flat" cmpd="sng" algn="ctr">
        <a:solidFill>
          <a:schemeClr val="tx1">
            <a:lumMod val="5000"/>
            <a:lumOff val="95000"/>
          </a:schemeClr>
        </a:solidFill>
        <a:round/>
      </a:ln>
    </cs:spPr>
  </cs:gridlineMinor>
  <cs:hiLoLine>
    <cs:lnRef idx="0"/>
    <cs:fillRef idx="0"/>
    <cs:effectRef idx="0"/>
    <cs:fontRef idx="minor">
      <a:schemeClr val="tx1"/>
    </cs:fontRef>
    <cs:spPr bwMode="auto">
      <a:prstGeom prst="rect">
        <a:avLst/>
      </a:prstGeom>
      <a:ln w="9525" cap="flat" cmpd="sng" algn="ctr">
        <a:solidFill>
          <a:schemeClr val="tx1">
            <a:lumMod val="75000"/>
            <a:lumOff val="25000"/>
          </a:schemeClr>
        </a:solidFill>
        <a:round/>
      </a:ln>
    </cs:spPr>
  </cs:hiLoLine>
  <cs:leaderLine>
    <cs:lnRef idx="0"/>
    <cs:fillRef idx="0"/>
    <cs:effectRef idx="0"/>
    <cs:fontRef idx="minor">
      <a:schemeClr val="tx1"/>
    </cs:fontRef>
    <cs:spPr bwMode="auto">
      <a:prstGeom prst="rect">
        <a:avLst/>
      </a:prstGeom>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tx1">
        <a:lumMod val="65000"/>
        <a:lumOff val="35000"/>
      </a:schemeClr>
    </cs:fontRef>
    <cs:defRPr sz="900"/>
  </cs:seriesAxis>
  <cs:seriesLine>
    <cs:lnRef idx="0"/>
    <cs:fillRef idx="0"/>
    <cs:effectRef idx="0"/>
    <cs:fontRef idx="minor">
      <a:schemeClr val="tx1"/>
    </cs:fontRef>
    <cs:spPr bwMode="auto">
      <a:prstGeom prst="rect">
        <a:avLst/>
      </a:prstGeom>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spc="0"/>
  </cs:title>
  <cs:trendline>
    <cs:lnRef idx="0">
      <cs:styleClr val="auto"/>
    </cs:lnRef>
    <cs:fillRef idx="0"/>
    <cs:effectRef idx="0"/>
    <cs:fontRef idx="minor">
      <a:schemeClr val="tx1"/>
    </cs:fontRef>
    <cs:spPr bwMode="auto">
      <a:prstGeom prst="rect">
        <a:avLst/>
      </a:prstGeom>
      <a:ln w="19050" cap="rnd">
        <a:solidFill>
          <a:schemeClr val="phClr"/>
        </a:solidFill>
        <a:prstDash val="sysDot"/>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bwMode="auto">
      <a:prstGeom prst="rect">
        <a:avLst/>
      </a:prstGeom>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spPr bwMode="auto">
      <a:prstGeom prst="rect">
        <a:avLst/>
      </a:prstGeom>
      <a:noFill/>
      <a:ln>
        <a:noFill/>
      </a:ln>
    </cs:spPr>
  </cs:wall>
  <cs:dataPointMarkerLayout symbol="circle" size="5"/>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cs:axisTitle>
  <cs:categoryAxis>
    <cs:lnRef idx="0"/>
    <cs:fillRef idx="0"/>
    <cs:effectRef idx="0"/>
    <cs:fontRef idx="minor">
      <a:schemeClr val="tx1">
        <a:lumMod val="65000"/>
        <a:lumOff val="35000"/>
      </a:schemeClr>
    </cs:fontRef>
    <cs:spPr bwMode="auto">
      <a:prstGeom prst="rect">
        <a:avLst/>
      </a:prstGeom>
      <a:ln w="9525" cap="flat" cmpd="sng" algn="ctr">
        <a:solidFill>
          <a:schemeClr val="tx1">
            <a:lumMod val="15000"/>
            <a:lumOff val="85000"/>
          </a:schemeClr>
        </a:solidFill>
        <a:round/>
      </a:ln>
    </cs:spPr>
    <cs:defRPr sz="900"/>
  </cs:categoryAxis>
  <cs:chartArea>
    <cs:lnRef idx="0"/>
    <cs:fillRef idx="0"/>
    <cs:effectRef idx="0"/>
    <cs:fontRef idx="minor">
      <a:schemeClr val="tx1"/>
    </cs:fontRef>
    <cs:spPr bwMode="auto">
      <a:prstGeom prst="rect">
        <a:avLst/>
      </a:prstGeom>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75000"/>
        <a:lumOff val="25000"/>
      </a:schemeClr>
    </cs:fontRef>
    <cs:defRPr sz="900"/>
  </cs:dataLabel>
  <cs:dataLabelCallout>
    <cs:lnRef idx="0"/>
    <cs:fillRef idx="0"/>
    <cs:effectRef idx="0"/>
    <cs:fontRef idx="minor">
      <a:schemeClr val="dk1">
        <a:lumMod val="65000"/>
        <a:lumOff val="35000"/>
      </a:schemeClr>
    </cs:fontRef>
    <cs:spPr bwMode="auto">
      <a:prstGeom prst="rect">
        <a:avLst/>
      </a:prstGeom>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bwMode="auto">
      <a:prstGeom prst="rect">
        <a:avLst/>
      </a:prstGeom>
      <a:ln w="28575" cap="rnd">
        <a:solidFill>
          <a:schemeClr val="phClr"/>
        </a:solidFill>
        <a:round/>
      </a:ln>
    </cs:spPr>
  </cs:dataPointLine>
  <cs:dataPointMarker>
    <cs:lnRef idx="0">
      <cs:styleClr val="auto"/>
    </cs:lnRef>
    <cs:fillRef idx="1">
      <cs:styleClr val="auto"/>
    </cs:fillRef>
    <cs:effectRef idx="0"/>
    <cs:fontRef idx="minor">
      <a:schemeClr val="tx1"/>
    </cs:fontRef>
    <cs:spPr bwMode="auto">
      <a:prstGeom prst="rect">
        <a:avLst/>
      </a:prstGeom>
      <a:ln w="9525">
        <a:solidFill>
          <a:schemeClr val="phClr"/>
        </a:solidFill>
      </a:ln>
    </cs:spPr>
  </cs:dataPointMarker>
  <cs:dataPointWireframe>
    <cs:lnRef idx="0">
      <cs:styleClr val="auto"/>
    </cs:lnRef>
    <cs:fillRef idx="1"/>
    <cs:effectRef idx="0"/>
    <cs:fontRef idx="minor">
      <a:schemeClr val="tx1"/>
    </cs:fontRef>
    <cs:spPr bwMode="auto">
      <a:prstGeom prst="rect">
        <a:avLst/>
      </a:prstGeom>
      <a:ln w="9525" cap="rnd">
        <a:solidFill>
          <a:schemeClr val="phClr"/>
        </a:solidFill>
        <a:round/>
      </a:ln>
    </cs:spPr>
  </cs:dataPointWireframe>
  <cs:dataTable>
    <cs:lnRef idx="0"/>
    <cs:fillRef idx="0"/>
    <cs:effectRef idx="0"/>
    <cs:fontRef idx="minor">
      <a:schemeClr val="tx1">
        <a:lumMod val="65000"/>
        <a:lumOff val="35000"/>
      </a:schemeClr>
    </cs:fontRef>
    <cs:spPr bwMode="auto">
      <a:prstGeom prst="rect">
        <a:avLst/>
      </a:prstGeom>
      <a:noFill/>
      <a:ln w="9525" cap="flat" cmpd="sng" algn="ctr">
        <a:solidFill>
          <a:schemeClr val="tx1">
            <a:lumMod val="15000"/>
            <a:lumOff val="85000"/>
          </a:schemeClr>
        </a:solidFill>
        <a:round/>
      </a:ln>
    </cs:spPr>
    <cs:defRPr sz="900"/>
  </cs:dataTable>
  <cs:downBar>
    <cs:lnRef idx="0"/>
    <cs:fillRef idx="0"/>
    <cs:effectRef idx="0"/>
    <cs:fontRef idx="minor">
      <a:schemeClr val="dk1"/>
    </cs:fontRef>
    <cs:spPr bwMode="auto">
      <a:prstGeom prst="rect">
        <a:avLst/>
      </a:prstGeom>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bwMode="auto">
      <a:prstGeom prst="rect">
        <a:avLst/>
      </a:prstGeom>
      <a:ln w="9525" cap="flat" cmpd="sng" algn="ctr">
        <a:solidFill>
          <a:schemeClr val="tx1">
            <a:lumMod val="35000"/>
            <a:lumOff val="65000"/>
          </a:schemeClr>
        </a:solidFill>
        <a:round/>
      </a:ln>
    </cs:spPr>
  </cs:dropLine>
  <cs:errorBar>
    <cs:lnRef idx="0"/>
    <cs:fillRef idx="0"/>
    <cs:effectRef idx="0"/>
    <cs:fontRef idx="minor">
      <a:schemeClr val="tx1"/>
    </cs:fontRef>
    <cs:spPr bwMode="auto">
      <a:prstGeom prst="rect">
        <a:avLst/>
      </a:prstGeom>
      <a:ln w="9525" cap="flat" cmpd="sng" algn="ctr">
        <a:solidFill>
          <a:schemeClr val="tx1">
            <a:lumMod val="65000"/>
            <a:lumOff val="35000"/>
          </a:schemeClr>
        </a:solidFill>
        <a:round/>
      </a:ln>
    </cs:spPr>
  </cs:errorBar>
  <cs:floor>
    <cs:lnRef idx="0"/>
    <cs:fillRef idx="0"/>
    <cs:effectRef idx="0"/>
    <cs:fontRef idx="minor">
      <a:schemeClr val="tx1"/>
    </cs:fontRef>
    <cs:spPr bwMode="auto">
      <a:prstGeom prst="rect">
        <a:avLst/>
      </a:prstGeom>
      <a:noFill/>
      <a:ln>
        <a:noFill/>
      </a:ln>
    </cs:spPr>
  </cs:floor>
  <cs:gridlineMajor>
    <cs:lnRef idx="0"/>
    <cs:fillRef idx="0"/>
    <cs:effectRef idx="0"/>
    <cs:fontRef idx="minor">
      <a:schemeClr val="tx1"/>
    </cs:fontRef>
    <cs:spPr bwMode="auto">
      <a:prstGeom prst="rect">
        <a:avLst/>
      </a:prstGeom>
      <a:ln w="9525" cap="flat" cmpd="sng" algn="ctr">
        <a:solidFill>
          <a:schemeClr val="tx1">
            <a:lumMod val="15000"/>
            <a:lumOff val="85000"/>
          </a:schemeClr>
        </a:solidFill>
        <a:round/>
      </a:ln>
    </cs:spPr>
  </cs:gridlineMajor>
  <cs:gridlineMinor>
    <cs:lnRef idx="0"/>
    <cs:fillRef idx="0"/>
    <cs:effectRef idx="0"/>
    <cs:fontRef idx="minor">
      <a:schemeClr val="tx1"/>
    </cs:fontRef>
    <cs:spPr bwMode="auto">
      <a:prstGeom prst="rect">
        <a:avLst/>
      </a:prstGeom>
      <a:ln w="9525" cap="flat" cmpd="sng" algn="ctr">
        <a:solidFill>
          <a:schemeClr val="tx1">
            <a:lumMod val="5000"/>
            <a:lumOff val="95000"/>
          </a:schemeClr>
        </a:solidFill>
        <a:round/>
      </a:ln>
    </cs:spPr>
  </cs:gridlineMinor>
  <cs:hiLoLine>
    <cs:lnRef idx="0"/>
    <cs:fillRef idx="0"/>
    <cs:effectRef idx="0"/>
    <cs:fontRef idx="minor">
      <a:schemeClr val="tx1"/>
    </cs:fontRef>
    <cs:spPr bwMode="auto">
      <a:prstGeom prst="rect">
        <a:avLst/>
      </a:prstGeom>
      <a:ln w="9525" cap="flat" cmpd="sng" algn="ctr">
        <a:solidFill>
          <a:schemeClr val="tx1">
            <a:lumMod val="75000"/>
            <a:lumOff val="25000"/>
          </a:schemeClr>
        </a:solidFill>
        <a:round/>
      </a:ln>
    </cs:spPr>
  </cs:hiLoLine>
  <cs:leaderLine>
    <cs:lnRef idx="0"/>
    <cs:fillRef idx="0"/>
    <cs:effectRef idx="0"/>
    <cs:fontRef idx="minor">
      <a:schemeClr val="tx1"/>
    </cs:fontRef>
    <cs:spPr bwMode="auto">
      <a:prstGeom prst="rect">
        <a:avLst/>
      </a:prstGeom>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tx1">
        <a:lumMod val="65000"/>
        <a:lumOff val="35000"/>
      </a:schemeClr>
    </cs:fontRef>
    <cs:defRPr sz="900"/>
  </cs:seriesAxis>
  <cs:seriesLine>
    <cs:lnRef idx="0"/>
    <cs:fillRef idx="0"/>
    <cs:effectRef idx="0"/>
    <cs:fontRef idx="minor">
      <a:schemeClr val="tx1"/>
    </cs:fontRef>
    <cs:spPr bwMode="auto">
      <a:prstGeom prst="rect">
        <a:avLst/>
      </a:prstGeom>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spc="0"/>
  </cs:title>
  <cs:trendline>
    <cs:lnRef idx="0">
      <cs:styleClr val="auto"/>
    </cs:lnRef>
    <cs:fillRef idx="0"/>
    <cs:effectRef idx="0"/>
    <cs:fontRef idx="minor">
      <a:schemeClr val="tx1"/>
    </cs:fontRef>
    <cs:spPr bwMode="auto">
      <a:prstGeom prst="rect">
        <a:avLst/>
      </a:prstGeom>
      <a:ln w="19050" cap="rnd">
        <a:solidFill>
          <a:schemeClr val="phClr"/>
        </a:solidFill>
        <a:prstDash val="sysDot"/>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bwMode="auto">
      <a:prstGeom prst="rect">
        <a:avLst/>
      </a:prstGeom>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spPr bwMode="auto">
      <a:prstGeom prst="rect">
        <a:avLst/>
      </a:prstGeom>
      <a:noFill/>
      <a:ln>
        <a:noFill/>
      </a:ln>
    </cs:spPr>
  </cs:wall>
  <cs:dataPointMarkerLayout symbol="circle" size="5"/>
</cs:chartStyle>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Deloitte">
      <a:dk1>
        <a:srgbClr val="000000"/>
      </a:dk1>
      <a:lt1>
        <a:srgbClr val="FFFFFF"/>
      </a:lt1>
      <a:dk2>
        <a:srgbClr val="002776"/>
      </a:dk2>
      <a:lt2>
        <a:srgbClr val="FFFFFF"/>
      </a:lt2>
      <a:accent1>
        <a:srgbClr val="002776"/>
      </a:accent1>
      <a:accent2>
        <a:srgbClr val="92D400"/>
      </a:accent2>
      <a:accent3>
        <a:srgbClr val="00A1DE"/>
      </a:accent3>
      <a:accent4>
        <a:srgbClr val="3C8A2E"/>
      </a:accent4>
      <a:accent5>
        <a:srgbClr val="72C7E7"/>
      </a:accent5>
      <a:accent6>
        <a:srgbClr val="C9DD03"/>
      </a:accent6>
      <a:hlink>
        <a:srgbClr val="00A1DE"/>
      </a:hlink>
      <a:folHlink>
        <a:srgbClr val="72C7E7"/>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D72A5F0-FD46-4671-8B34-125FC6A039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onlyoffice/8.0.1.31</Application>
  <Company>Deloitte Touche Tohmatsu Services, Inc.</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Deng Lillian</dc:creator>
  <cp:lastModifiedBy>编辑用户</cp:lastModifiedBy>
  <cp:revision>5</cp:revision>
  <dcterms:created xsi:type="dcterms:W3CDTF">2024-10-30T08:40:00Z</dcterms:created>
  <dcterms:modified xsi:type="dcterms:W3CDTF">2026-03-14T05:45:12Z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-199500528</vt:i4>
  </property>
  <property fmtid="{D5CDD505-2E9C-101B-9397-08002B2CF9AE}" pid="3" name="KSOProductBuildVer">
    <vt:lpwstr>2052-12.1.0.16929</vt:lpwstr>
  </property>
  <property fmtid="{D5CDD505-2E9C-101B-9397-08002B2CF9AE}" pid="4" name="ICV">
    <vt:lpwstr>98DF868315294132B4C162A1866CF202_13</vt:lpwstr>
  </property>
</Properties>
</file>