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t/>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t/>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t/>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t/>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{{清单模板-PL-12行以上的表格内容}}</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{{清单模板-PL-12行以上的表格内容}}</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{{清单模板-PL}}</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{{清单模板-PL}}</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t/>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t/>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t/>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t/>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{{清单模板-PL含特殊因素调整}}</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{{清单模板-PL含特殊因素调整}}</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{{清单模板-PL含特殊因素调整}}</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t/>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{{清单模板-1_组织结构及管理架构}}</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{{清单模板-1_组织结构及管理架构}}</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{{清单模板-1_组织结构及管理架构}}</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t/>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t/>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t/>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t/>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t/>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t/>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t/>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t/>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t/>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t/>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t/>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t/>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关联交易类型</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境外交易金额</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A</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境内交易金额</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B</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交易总额</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C=A+B</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关联采购</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关联销售</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接受关联劳务</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提供关联劳务</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 xml:space="preserve">资金融通利息收入</w:t>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{{清单模板-主要产品-A列中所列所有产品}}</w:t>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{{清单模板-主要产品-A列中所列所有产品}}</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总计</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{{清单模板-主要产品-A列中所列所有产品}}</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t/>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境外采购</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4.17%</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SPX Flow Technology Danmark A/S </w:t>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{{清单模板-2_关联公司信息}}</w:t>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2.63%</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Santorso s.r.l.</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2.38%</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US,LLC </w:t>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1.25%</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Germany GmbH </w:t>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0.87%</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{{清单模板-2_关联公司信息}}</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0.95%</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境外采购合计</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{{清单模板-2_关联公司信息}}</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12.25%</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关联采购总计</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{{清单模板-2_关联公司信息}}</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{{清单模板-2_关联公司信息}}</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境外销售</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Singapore Pte. Ltd. </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3.95%</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3.67%</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3.54%</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Japan,Inc.</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{{清单模板-关联方个人信息}}</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3.49%</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SPX Flow Technology (India) Private Ltd </w:t>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1.82%</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其它关联方</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{{清单模板-关联方个人信息}}</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8.12%</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境外销售合计</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24.59%</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关联销售总计</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{{清单模板-关联方个人信息}}</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{{清单模板-关联方个人信息}}</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t/>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{{清单模板-关联关系变化情况}}</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{{清单模板-关联关系变化情况}}</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{{清单模板-关联关系变化情况}}</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{{清单模板-关联交易汇总表}}</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{{清单模板-关联交易汇总表}}</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{{清单模板-关联交易汇总表}}</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{{清单模板-关联交易汇总表}}</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t/>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t/>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t/>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t/>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t/>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t/>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t/>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t/>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t/>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t/>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t/>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t/>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t/>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关联销售</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非关联销售</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主营业务收入</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a</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{{清单模板-5_客户清单}}</w:t>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b</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{{清单模板-5_客户清单}}</w:t>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主营业务税金及附加</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c</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{{清单模板-5_客户清单}}</w:t>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主营业务利润</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d = a-b-c</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减：营业费用</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e</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管理费用</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f</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息税前利润</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g = d-e-f</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{{清单模板-5_客户清单}}</w:t>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主营业务成本及费用</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h = b+c+e+f</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完全成本加成率</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i = g/h</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{{清单模板-5_客户清单}}</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t/>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t/>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t/>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t/>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t/>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4.35%</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t/>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项目</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境外关联交易</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境外非关联交易</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境内关联交易</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境内非关联交易</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一、营业收入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其中：主营业务成本</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其中：主营业务税金及附加</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管理费用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财务费用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资产减值损失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加：公允价值变动收益（损失以“-”号填列）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投资收益（损失以“-”号填列）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其中：对联营企业和合营企业的投资收益</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二、营业利润（亏损以“-”号填列）</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{{清单模板-4_供应商清单}}</w:t>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加：营业外收入</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减：营业外支出</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其中：非流动资产处置损失</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三、利润总额</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减：所得税费用</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四、净利润</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{{清单模板-4_供应商清单}}</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