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ms-office.chartcolorstyle+xml" PartName="/word/charts/colors1.xml"/>
  <Override ContentType="application/vnd.ms-office.chartcolorstyle+xml" PartName="/word/charts/colors2.xml"/>
  <Override ContentType="application/vnd.ms-office.chartcolorstyle+xml" PartName="/word/charts/colors3.xml"/>
  <Override ContentType="application/vnd.ms-office.chartcolorstyle+xml" PartName="/word/charts/colors4.xml"/>
  <Override ContentType="application/vnd.ms-office.chartcolorstyle+xml" PartName="/word/charts/colors5.xml"/>
  <Override ContentType="application/vnd.ms-office.chartstyle+xml" PartName="/word/charts/style1.xml"/>
  <Override ContentType="application/vnd.ms-office.chartstyle+xml" PartName="/word/charts/style2.xml"/>
  <Override ContentType="application/vnd.ms-office.chartstyle+xml" PartName="/word/charts/style3.xml"/>
  <Override ContentType="application/vnd.ms-office.chartstyle+xml" PartName="/word/charts/style4.xml"/>
  <Override ContentType="application/vnd.ms-office.chartstyle+xml" PartName="/word/charts/style5.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2E914" w14:textId="77777777" w:rsidR="004D1721" w:rsidRDefault="004D1721">
      <w:pPr>
        <w:pStyle w:val="Documentsubtitle"/>
        <w:jc w:val="both"/>
        <w:rPr>
          <w:rFonts w:ascii="Arial Narrow" w:eastAsia="仿宋_GB2312" w:hAnsi="Arial Narrow" w:cs="Arial"/>
          <w:b/>
          <w:bCs/>
          <w:szCs w:val="36"/>
          <w:lang w:val="en-GB" w:eastAsia="zh-CN"/>
        </w:rPr>
      </w:pPr>
    </w:p>
    <w:p w14:paraId="5A049BED" w14:textId="77777777" w:rsidR="004D1721" w:rsidRDefault="004D1721">
      <w:pPr>
        <w:pStyle w:val="Documentsubtitle"/>
        <w:jc w:val="both"/>
        <w:rPr>
          <w:rFonts w:ascii="Arial Narrow" w:eastAsia="仿宋_GB2312" w:hAnsi="Arial Narrow" w:cs="Arial"/>
          <w:b/>
          <w:bCs/>
          <w:szCs w:val="36"/>
          <w:lang w:val="en-GB" w:eastAsia="zh-CN"/>
        </w:rPr>
      </w:pPr>
    </w:p>
    <w:p w14:paraId="7DDEB015" w14:textId="77777777" w:rsidR="004D1721" w:rsidRDefault="004D1721">
      <w:pPr>
        <w:pStyle w:val="Documentsubtitle"/>
        <w:jc w:val="both"/>
        <w:rPr>
          <w:rFonts w:ascii="Arial Narrow" w:eastAsia="仿宋_GB2312" w:hAnsi="Arial Narrow" w:cs="Arial"/>
          <w:b/>
          <w:bCs/>
          <w:color w:val="00B0F0"/>
          <w:szCs w:val="36"/>
          <w:lang w:val="en-GB" w:eastAsia="zh-CN"/>
        </w:rPr>
      </w:pPr>
    </w:p>
    <w:p w14:paraId="6315FF6D" w14:textId="77777777" w:rsidR="004D1721" w:rsidRDefault="009B16BC">
      <w:pPr>
        <w:widowControl w:val="0"/>
        <w:spacing w:beforeLines="50" w:before="163" w:afterLines="50" w:after="163"/>
        <w:ind w:rightChars="-435" w:right="-870"/>
        <w:rPr>
          <w:rFonts w:ascii="Arial Narrow" w:eastAsia="仿宋_GB2312" w:hAnsi="Arial Narrow" w:cs="Arial"/>
          <w:color w:val="00B0F0"/>
          <w:sz w:val="48"/>
          <w:szCs w:val="22"/>
        </w:rPr>
      </w:pPr>
      <w:r>
        <w:rPr>
          <w:rFonts w:ascii="Arial Narrow" w:eastAsia="仿宋_GB2312" w:hAnsi="Arial Narrow" w:cs="Arial"/>
          <w:color w:val="002060"/>
          <w:sz w:val="48"/>
          <w:szCs w:val="22"/>
        </w:rPr>
        <w:t/>
      </w:r>
    </w:p>
    <w:p w14:paraId="5DF4E4B8" w14:textId="295A02FC" w:rsidR="004D1721" w:rsidRDefault="004D1721">
      <w:pPr>
        <w:widowControl w:val="0"/>
        <w:ind w:rightChars="-435" w:right="-870"/>
        <w:rPr>
          <w:rFonts w:ascii="Arial Narrow" w:eastAsia="仿宋_GB2312" w:hAnsi="Arial Narrow" w:cs="Arial"/>
          <w:b/>
          <w:color w:val="C75B12"/>
          <w:sz w:val="52"/>
          <w:szCs w:val="22"/>
        </w:rPr>
      </w:pPr>
    </w:p>
    <w:p w14:paraId="16F744CF" w14:textId="77777777" w:rsidR="004D1721" w:rsidRDefault="009B16BC">
      <w:pPr>
        <w:pStyle w:val="Documentsubtitle"/>
        <w:jc w:val="both"/>
        <w:rPr>
          <w:rFonts w:ascii="Arial Narrow" w:eastAsia="仿宋_GB2312" w:hAnsi="Arial Narrow" w:cs="Arial"/>
          <w:b/>
          <w:szCs w:val="36"/>
          <w:lang w:eastAsia="zh-CN"/>
        </w:rPr>
      </w:pPr>
      <w:r>
        <w:rPr>
          <w:rFonts w:ascii="Arial Narrow" w:eastAsia="仿宋_GB2312" w:hAnsi="Arial Narrow" w:cs="Arial"/>
          <w:color w:val="000000"/>
          <w:kern w:val="2"/>
          <w:sz w:val="32"/>
          <w:szCs w:val="32"/>
          <w:lang w:eastAsia="zh-CN"/>
        </w:rPr>
        <w:t>关联交易同期资料的本地文档</w:t>
      </w:r>
    </w:p>
    <w:p w14:paraId="27176423" w14:textId="6A2629B8" w:rsidR="004D1721" w:rsidRDefault="009B16BC">
      <w:pPr>
        <w:widowControl w:val="0"/>
        <w:spacing w:before="50" w:afterLines="50" w:after="163" w:line="360" w:lineRule="exact"/>
        <w:rPr>
          <w:rFonts w:ascii="Arial Narrow" w:eastAsia="仿宋_GB2312" w:hAnsi="Arial Narrow" w:cs="Arial"/>
          <w:color w:val="000000"/>
          <w:sz w:val="32"/>
          <w:szCs w:val="32"/>
        </w:rPr>
      </w:pPr>
      <w:r>
        <w:rPr>
          <w:rFonts w:ascii="Arial Narrow" w:eastAsia="仿宋_GB2312" w:hAnsi="Arial Narrow" w:cs="Arial"/>
          <w:color w:val="000000"/>
          <w:sz w:val="32"/>
          <w:szCs w:val="32"/>
        </w:rPr>
        <w:t>20财务年度（截至 20年 12 月 31 日）</w:t>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p>
    <w:p w14:paraId="47694943"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p w14:paraId="2D2C722C"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bookmarkStart w:id="0" w:name="_Toc485214855"/>
    <w:bookmarkStart w:id="1" w:name="_Toc485214858"/>
    <w:bookmarkStart w:id="2" w:name="_Toc485215941"/>
    <w:bookmarkStart w:id="3" w:name="_Toc485215930"/>
    <w:bookmarkStart w:id="4" w:name="_Toc485215492"/>
    <w:bookmarkStart w:id="5" w:name="_Toc485215949"/>
    <w:bookmarkStart w:id="6" w:name="_Toc485214851"/>
    <w:bookmarkStart w:id="7" w:name="_Toc485215481"/>
    <w:bookmarkStart w:id="8" w:name="_Toc485215932"/>
    <w:bookmarkStart w:id="9" w:name="_Toc485215486"/>
    <w:bookmarkStart w:id="10" w:name="_Toc485215484"/>
    <w:bookmarkStart w:id="11" w:name="_Toc485215488"/>
    <w:bookmarkStart w:id="12" w:name="_Toc485215931"/>
    <w:bookmarkStart w:id="13" w:name="_Toc485215934"/>
    <w:bookmarkStart w:id="14" w:name="_Toc485215482"/>
    <w:bookmarkStart w:id="15" w:name="_Toc485215494"/>
    <w:bookmarkStart w:id="16" w:name="_Toc485214849"/>
    <w:bookmarkStart w:id="17" w:name="_Toc485215936"/>
    <w:bookmarkStart w:id="18" w:name="_Toc485214848"/>
    <w:bookmarkStart w:id="19" w:name="_Toc485215933"/>
    <w:bookmarkStart w:id="20" w:name="_Toc485214853"/>
    <w:bookmarkStart w:id="21" w:name="_Toc485214850"/>
    <w:bookmarkStart w:id="22" w:name="_Toc485215483"/>
    <w:bookmarkStart w:id="23" w:name="_Toc485215928"/>
    <w:bookmarkStart w:id="24" w:name="_Toc485214852"/>
    <w:bookmarkStart w:id="25" w:name="_Toc485215487"/>
    <w:bookmarkStart w:id="26" w:name="_Toc485215489"/>
    <w:bookmarkStart w:id="27" w:name="_Toc485214866"/>
    <w:bookmarkStart w:id="28" w:name="_Toc485215938"/>
    <w:bookmarkStart w:id="29" w:name="_Toc485215502"/>
    <w:bookmarkStart w:id="30" w:name="_Toc485215950"/>
    <w:bookmarkStart w:id="31" w:name="_Toc485215929"/>
    <w:bookmarkStart w:id="32" w:name="_Toc485214846"/>
    <w:bookmarkStart w:id="33" w:name="_Toc485215503"/>
    <w:bookmarkStart w:id="34" w:name="_Toc485215485"/>
    <w:bookmarkStart w:id="35" w:name="_Toc485215956"/>
    <w:bookmarkStart w:id="36" w:name="_Toc485215939"/>
    <w:bookmarkStart w:id="37" w:name="_Toc485214867"/>
    <w:bookmarkStart w:id="38" w:name="_Toc485215935"/>
    <w:bookmarkStart w:id="39" w:name="_Toc485214856"/>
    <w:bookmarkStart w:id="40" w:name="_Toc485215491"/>
    <w:bookmarkStart w:id="41" w:name="_Toc516737738"/>
    <w:bookmarkStart w:id="42" w:name="_Toc485214845"/>
    <w:bookmarkStart w:id="43" w:name="_Toc485214847"/>
    <w:bookmarkStart w:id="44" w:name="_Toc485215509"/>
    <w:bookmarkStart w:id="45" w:name="_Toc485214873"/>
    <w:bookmarkStart w:id="46"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25BBE9F9" w14:textId="77777777" w:rsidR="004D1721" w:rsidRDefault="009B16BC">
      <w:pPr>
        <w:rPr>
          <w:rFonts w:ascii="Arial Narrow" w:eastAsia="仿宋_GB2312" w:hAnsi="Arial Narrow" w:cs="Arial"/>
          <w:sz w:val="22"/>
          <w:szCs w:val="22"/>
        </w:rPr>
        <w:sectPr w:rsidR="004D1721">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w:noProof/>
          <w:sz w:val="21"/>
          <w:szCs w:val="22"/>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3pt;margin-top:576.55pt;height:153.75pt;width:259.2pt;z-index:251659264;mso-width-relative:page;mso-height-relative:page;" fillcolor="#FFFFFF" filled="t" stroked="f" coordsize="21600,21600" o:gfxdata="UEsDBAoAAAAAAIdO4kAAAAAAAAAAAAAAAAAEAAAAZHJzL1BLAwQUAAAACACHTuJAQSXctNkAAAAO AQAADwAAAGRycy9kb3ducmV2LnhtbE2PwU7DMBBE70j8g7VI3FrbNA0Q4vSA1BNwoEXiuo23SURs h9hpw9+znOhxZ0azb8rN7HpxojF2wRvQSwWCfB1s5xsDH/vt4gFETOgt9sGTgR+KsKmur0osbDj7 dzrtUiO4xMcCDbQpDYWUsW7JYVyGgTx7xzA6THyOjbQjnrnc9fJOqVw67Dx/aHGg55bqr93kDGCe 2e+34+p1/zLl+NjMarv+VMbc3mj1BCLRnP7D8IfP6FAx0yFM3kbRG1horXLOsqPXKw2CM5m65zkH lrKcTVmV8nJG9QtQSwMEFAAAAAgAh07iQApdSR8SAgAAKgQAAA4AAABkcnMvZTJvRG9jLnhtbK1T wW7bMAy9D9g/CLovjt2ka4w4RZEgw4BuK9btAxRZtoXJokYpcbqvHyWnWdZdepgPhiiST+89Ucvb Y2/YQaHXYCueT6acKSuh1rat+Pdv23c3nPkgbC0MWFXxJ+X57ertm+XgSlVAB6ZWyAjE+nJwFe9C cGWWedmpXvgJOGUp2QD2IlCIbVajGAi9N1kxnV5nA2DtEKTynnY3Y5KfEPE1gNA0WqoNyH2vbBhR URkRSJLvtPN8ldg2jZLhS9N4FZipOCkN6U+H0HoX/9lqKcoWheu0PFEQr6HwQlMvtKVDz1AbEQTb o/4HqtcSwUMTJhL6bBSSHCEV+fSFN4+dcCppIau9O5vu/x+s/Hx4QKbris85s6KnC/9KpgnbGsWu oj2D8yVVPboHjAK9uwf5wzML646q1B0iDJ0SNZHKY332V0MMPLWy3fAJakIX+wDJqWODfQQkD9gx XcjT+ULUMTBJm1fFIr+Z0V1JyuWLeXFdzNMZonxud+jDBwU9i4uKI5FP8OJw70OkI8rnkkQfjK63 2pgUYLtbG2QHQdOxTd8J3V+WGRuLLcS2ETHuJJ1R2mjRDuonkokwjhg9MFp0gL84G2i8Ku5/7gUq zsxHS1Yt8lnUFVIwm78vKMDLzO4yI6wkqIoHzsblOowzvHeo245OypNoC3dkb6OT8Gj9yOpElkYo +XEa9zijl3Gq+vPEV78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QSXctNkAAAAOAQAADwAAAAAA AAABACAAAAAiAAAAZHJzL2Rvd25yZXYueG1sUEsBAhQAFAAAAAgAh07iQApdSR8SAgAAKgQAAA4A AAAAAAAAAQAgAAAAKAEAAGRycy9lMm9Eb2MueG1sUEsFBgAAAAAGAAYAWQEAAKwFAAAAAA== ">
                <v:fill on="t" focussize="0,0"/>
                <v:stroke on="f"/>
                <v:imagedata o:title=""/>
                <o:lock v:ext="edit" aspectratio="f"/>
              </v:rect>
            </w:pict>
          </mc:Fallback>
        </mc:AlternateContent>
      </w:r>
    </w:p>
    <w:p w14:paraId="350BBD9D" w14:textId="77777777" w:rsidR="004D1721" w:rsidRDefault="009B16BC">
      <w:pPr>
        <w:adjustRightInd w:val="0"/>
        <w:snapToGrid w:val="0"/>
        <w:spacing w:before="240" w:line="360" w:lineRule="auto"/>
        <w:ind w:leftChars="71" w:left="142" w:rightChars="42" w:right="84"/>
        <w:jc w:val="center"/>
        <w:rPr>
          <w:rFonts w:ascii="Arial Narrow" w:eastAsia="仿宋_GB2312" w:hAnsi="Arial Narrow" w:cs="Arial"/>
          <w:sz w:val="22"/>
          <w:szCs w:val="22"/>
        </w:rPr>
      </w:pPr>
      <w:r>
        <w:rPr>
          <w:rFonts w:ascii="Arial Narrow" w:eastAsia="仿宋_GB2312" w:hAnsi="Arial Narrow" w:cs="Arial"/>
          <w:b/>
          <w:sz w:val="28"/>
          <w:szCs w:val="22"/>
        </w:rPr>
        <w:lastRenderedPageBreak/>
        <w:t>声明</w:t>
      </w:r>
    </w:p>
    <w:p w14:paraId="1E7606CE" w14:textId="16BFD9BA"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本公司根据以下规定准备20年度同期资料的本地文档（以下简称“本报告”）：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0EFCD5A"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AA5B83A" w14:textId="59108079"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本报告的目的在于从中国特别纳税调整税制的角度，分析本公司20年度与关联方之间关联交易定价的合理性。为此，本公司按以下规定以及程序准备本报告：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29994A9" w14:textId="77777777" w:rsidR="004D1721" w:rsidRDefault="009B16BC">
      <w:pPr>
        <w:adjustRightInd w:val="0"/>
        <w:snapToGrid w:val="0"/>
        <w:spacing w:before="240" w:after="240"/>
        <w:ind w:leftChars="70" w:left="140" w:rightChars="42" w:right="84" w:firstLine="1"/>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18E9008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《中华人民共和国企业所得税法》及其实施条例</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3DC5C21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《中华人民共和国税收征收管理法》及其实施细则</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6B3A2AD"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《国家税务总局关于完善关联申报和同期资料管理有关事项的公告》（国家税务总局2016年第42号公告，以下简称“[2016]42号公告”）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74BB2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《国家税务总局关于发布&lt;特别纳税调查调整及相互协商程序管理办法&gt;的公告》（国家税务总局2017年第6号公告，以下简称“[2017]6号公告”）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3C03F5" w14:textId="77777777" w:rsidR="004D1721" w:rsidRDefault="009B16BC">
      <w:pPr>
        <w:adjustRightInd w:val="0"/>
        <w:snapToGrid w:val="0"/>
        <w:spacing w:before="240" w:after="24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6270AA77"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整理本公司基本资料信息，包括公司及所属集团的组织结构、企业生产经营情况、以及企业所处的行业分析等；</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748769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整理本公司关联交易的资料，包括关联交易情况、关联交易业务流程、与关联公司签订的合同、关联交易的定价情况及其他相关信息；</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1FB47A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分析本公司和关联公司在关联业务往来中各自承担的功能和风险；</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2FF839EB"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比较分析并选择适当的关联交易转让定价方法，用以分析和验证本公司与关联公司交易定价的合理性；</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0D2AFF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5、 选取可比企业，说明可比信息来源、可比企业选择过程，实施经济分析；</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0DB51DB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6、 运用合理的转让定价方法和可比性分析结果，确定可比非关联交易利润，确定正常情况下本公司与关联公司关联交易定价的合理范围；</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4131B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7、 根据以上实施程序，制作本报告。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1E3E6E"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B4DFE45"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A205DBB"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06B89F69"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73C835C4"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地址：邮编：</w:t>
      </w:r>
      <w:r>
        <w:rPr>
          <w:rFonts w:ascii="Arial Narrow" w:eastAsia="仿宋_GB2312" w:hAnsi="Arial Narrow" w:cs="Arial"/>
          <w:sz w:val="22"/>
          <w:szCs w:val="22"/>
        </w:rPr>
        <w:tab/>
        <w:t/>
      </w:r>
      <w:r>
        <w:rPr>
          <w:rFonts w:ascii="Arial Narrow" w:eastAsia="仿宋_GB2312" w:hAnsi="Arial Narrow" w:cs="Arial"/>
          <w:sz w:val="22"/>
          <w:szCs w:val="22"/>
        </w:rPr>
        <w:t/>
      </w:r>
    </w:p>
    <w:p w14:paraId="62C38A00"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电话：传真：</w:t>
      </w:r>
      <w:r>
        <w:rPr>
          <w:rFonts w:ascii="Arial Narrow" w:eastAsia="仿宋_GB2312" w:hAnsi="Arial Narrow" w:cs="Arial"/>
          <w:sz w:val="22"/>
          <w:szCs w:val="22"/>
        </w:rPr>
        <w:tab/>
        <w:t/>
      </w:r>
      <w:r>
        <w:rPr>
          <w:rFonts w:ascii="Arial Narrow" w:eastAsia="仿宋_GB2312" w:hAnsi="Arial Narrow" w:cs="Arial"/>
          <w:sz w:val="22"/>
          <w:szCs w:val="22"/>
        </w:rPr>
        <w:t/>
      </w:r>
    </w:p>
    <w:p w14:paraId="02920E20" w14:textId="77777777" w:rsidR="004D1721" w:rsidRDefault="009B16BC">
      <w:pPr>
        <w:widowControl w:val="0"/>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38349939" w14:textId="77777777" w:rsidR="004D1721" w:rsidRDefault="004D1721">
      <w:pPr>
        <w:adjustRightInd w:val="0"/>
        <w:snapToGrid w:val="0"/>
        <w:spacing w:before="120" w:after="120"/>
        <w:ind w:leftChars="71" w:left="142" w:rightChars="42" w:right="84" w:firstLineChars="200" w:firstLine="440"/>
        <w:rPr>
          <w:rFonts w:ascii="Arial Narrow" w:eastAsia="仿宋_GB2312" w:hAnsi="Arial Narrow" w:cs="Arial"/>
          <w:sz w:val="22"/>
          <w:szCs w:val="22"/>
        </w:rPr>
      </w:pPr>
    </w:p>
    <w:p w14:paraId="54E6F101" w14:textId="77777777" w:rsidR="004D1721" w:rsidRDefault="009B16BC">
      <w:pPr>
        <w:widowControl w:val="0"/>
        <w:tabs>
          <w:tab w:val="left" w:pos="5320"/>
          <w:tab w:val="left" w:pos="5381"/>
          <w:tab w:val="left" w:pos="5861"/>
          <w:tab w:val="left" w:pos="6341"/>
        </w:tabs>
        <w:autoSpaceDE w:val="0"/>
        <w:autoSpaceDN w:val="0"/>
        <w:adjustRightInd w:val="0"/>
        <w:snapToGrid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声明单位（盖章）：法定代表人（签章）：</w:t>
      </w:r>
      <w:r>
        <w:rPr>
          <w:rFonts w:ascii="Arial Narrow" w:eastAsia="仿宋_GB2312" w:hAnsi="Arial Narrow" w:cs="Arial"/>
          <w:sz w:val="22"/>
          <w:szCs w:val="22"/>
        </w:rPr>
        <w:tab/>
        <w:t/>
      </w:r>
      <w:r>
        <w:rPr>
          <w:rFonts w:ascii="Arial Narrow" w:eastAsia="仿宋_GB2312" w:hAnsi="Arial Narrow" w:cs="Arial"/>
          <w:sz w:val="22"/>
          <w:szCs w:val="22"/>
        </w:rPr>
        <w:t/>
      </w:r>
    </w:p>
    <w:p w14:paraId="3AB8A747" w14:textId="77777777" w:rsidR="004D1721" w:rsidRDefault="009B16BC">
      <w:pPr>
        <w:widowControl w:val="0"/>
        <w:tabs>
          <w:tab w:val="left" w:pos="5330"/>
          <w:tab w:val="left" w:pos="5605"/>
          <w:tab w:val="left" w:pos="5861"/>
        </w:tabs>
        <w:autoSpaceDE w:val="0"/>
        <w:autoSpaceDN w:val="0"/>
        <w:adjustRightInd w:val="0"/>
        <w:snapToGrid w:val="0"/>
        <w:spacing w:before="120" w:after="12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ab/>
        <w:t>日期：年月日</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p>
    <w:p w14:paraId="189E7D5D" w14:textId="77777777" w:rsidR="004D1721" w:rsidRDefault="009B16BC">
      <w:pPr>
        <w:rPr>
          <w:rFonts w:ascii="Arial Narrow" w:eastAsia="仿宋_GB2312" w:hAnsi="Arial Narrow" w:cs="Arial"/>
          <w:sz w:val="22"/>
          <w:szCs w:val="22"/>
        </w:rPr>
        <w:sectPr w:rsidR="004D1721">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Times New Roman" w:eastAsia="宋体" w:hAnsi="Times New Roman"/>
          <w:b/>
          <w:bCs w:val="0"/>
          <w:color w:val="auto"/>
          <w:kern w:val="2"/>
          <w:sz w:val="20"/>
          <w:szCs w:val="20"/>
          <w:lang w:val="zh-CN" w:eastAsia="zh-CN"/>
        </w:rPr>
        <w:id w:val="1708448268"/>
      </w:sdtPr>
      <w:sdtEndPr>
        <w:rPr>
          <w:rFonts w:ascii="Arial Narrow" w:hAnsi="Arial Narrow" w:cs="Arial"/>
          <w:b w:val="0"/>
          <w:sz w:val="22"/>
          <w:szCs w:val="22"/>
        </w:rPr>
      </w:sdtEndPr>
      <w:sdtContent>
        <w:p w14:paraId="133C05BF" w14:textId="77777777" w:rsidR="004D1721" w:rsidRDefault="009B16BC">
          <w:pPr>
            <w:pStyle w:val="TOC10"/>
            <w:numPr>
              <w:ilvl w:val="0"/>
              <w:numId w:val="0"/>
            </w:numPr>
          </w:pPr>
          <w:r>
            <w:t>目录</w:t>
          </w:r>
        </w:p>
        <w:p w14:paraId="00B52344" w14:textId="77777777" w:rsidR="004D1721" w:rsidRDefault="009B16BC">
          <w:pPr>
            <w:pStyle w:val="TOC1"/>
            <w:rPr>
              <w:rFonts w:asciiTheme="minorHAnsi" w:eastAsiaTheme="minorEastAsia" w:hAnsiTheme="minorHAnsi" w:cstheme="minorBidi"/>
              <w:bCs w:val="0"/>
              <w:caps w:val="0"/>
              <w:sz w:val="21"/>
              <w:szCs w:val="22"/>
            </w:rPr>
          </w:pPr>
          <w:r>
            <w:rPr>
              <w:rFonts w:ascii="Arial Narrow" w:eastAsia="仿宋_GB2312" w:hAnsi="Arial Narrow" w:cs="Arial"/>
              <w:sz w:val="24"/>
              <w:szCs w:val="24"/>
              <w:lang w:val="zh-CN"/>
            </w:rPr>
            <w:fldChar w:fldCharType="begin"/>
          </w:r>
          <w:r>
            <w:rPr>
              <w:rFonts w:ascii="Arial Narrow" w:eastAsia="仿宋_GB2312" w:hAnsi="Arial Narrow" w:cs="Arial"/>
              <w:sz w:val="24"/>
              <w:szCs w:val="24"/>
              <w:lang w:val="zh-CN"/>
            </w:rPr>
            <w:instrText xml:space="preserve"> TOC \o "1-3" \h \z \u </w:instrText>
          </w:r>
          <w:r>
            <w:rPr>
              <w:rFonts w:ascii="Arial Narrow" w:eastAsia="仿宋_GB2312" w:hAnsi="Arial Narrow" w:cs="Arial"/>
              <w:sz w:val="24"/>
              <w:szCs w:val="24"/>
              <w:lang w:val="zh-CN"/>
            </w:rPr>
            <w:fldChar w:fldCharType="separate"/>
          </w:r>
          <w:hyperlink w:anchor="_Toc140505093" w:history="1">
            <w:r>
              <w:rPr>
                <w:rStyle w:val="Hyperlink"/>
                <w:rFonts w:ascii="Arial Narrow" w:eastAsia="仿宋_GB2312" w:hAnsi="Arial Narrow"/>
                <w:color w:val="auto"/>
              </w:rPr>
              <w:t>同期资料本地文档对照表</w:t>
            </w:r>
            <w:r>
              <w:tab/>
            </w:r>
            <w:r>
              <w:fldChar w:fldCharType="begin"/>
            </w:r>
            <w:r>
              <w:instrText xml:space="preserve"> PAGEREF _Toc140505093 \h </w:instrText>
            </w:r>
            <w:r>
              <w:fldChar w:fldCharType="separate"/>
            </w:r>
            <w:r>
              <w:t>i</w:t>
            </w:r>
            <w:r>
              <w:fldChar w:fldCharType="end"/>
            </w:r>
          </w:hyperlink>
        </w:p>
        <w:p w14:paraId="4016A7FE" w14:textId="77777777" w:rsidR="004D1721" w:rsidRDefault="00B35ABF">
          <w:pPr>
            <w:pStyle w:val="TOC1"/>
            <w:rPr>
              <w:rFonts w:asciiTheme="minorHAnsi" w:eastAsiaTheme="minorEastAsia" w:hAnsiTheme="minorHAnsi" w:cstheme="minorBidi"/>
              <w:bCs w:val="0"/>
              <w:caps w:val="0"/>
              <w:sz w:val="21"/>
              <w:szCs w:val="22"/>
            </w:rPr>
          </w:pPr>
          <w:hyperlink w:anchor="_Toc140505094" w:history="1">
            <w:r w:rsidR="009B16BC">
              <w:rPr>
                <w:rStyle w:val="Hyperlink"/>
                <w:rFonts w:ascii="Arial Narrow" w:eastAsia="仿宋_GB2312" w:hAnsi="Arial Narrow"/>
                <w:color w:val="auto"/>
              </w:rPr>
              <w:t>缩略语索引表</w:t>
            </w:r>
            <w:r w:rsidR="009B16BC">
              <w:tab/>
            </w:r>
            <w:r w:rsidR="009B16BC">
              <w:fldChar w:fldCharType="begin"/>
            </w:r>
            <w:r w:rsidR="009B16BC">
              <w:instrText xml:space="preserve"> PAGEREF _Toc140505094 \h </w:instrText>
            </w:r>
            <w:r w:rsidR="009B16BC">
              <w:fldChar w:fldCharType="separate"/>
            </w:r>
            <w:r w:rsidR="009B16BC">
              <w:t>iv</w:t>
            </w:r>
            <w:r w:rsidR="009B16BC">
              <w:fldChar w:fldCharType="end"/>
            </w:r>
          </w:hyperlink>
        </w:p>
        <w:p w14:paraId="40378F45"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095" w:history="1">
            <w:r w:rsidR="009B16BC">
              <w:rPr>
                <w:rStyle w:val="Hyperlink"/>
                <w:rFonts w:ascii="Arial Narrow" w:eastAsia="仿宋_GB2312" w:hAnsi="Arial Narrow"/>
                <w:color w:val="auto"/>
              </w:rPr>
              <w:t>1.</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报告摘要</w:t>
            </w:r>
            <w:r w:rsidR="009B16BC">
              <w:tab/>
            </w:r>
            <w:r w:rsidR="009B16BC">
              <w:fldChar w:fldCharType="begin"/>
            </w:r>
            <w:r w:rsidR="009B16BC">
              <w:instrText xml:space="preserve"> PAGEREF _Toc140505095 \h </w:instrText>
            </w:r>
            <w:r w:rsidR="009B16BC">
              <w:fldChar w:fldCharType="separate"/>
            </w:r>
            <w:r w:rsidR="009B16BC">
              <w:t>1</w:t>
            </w:r>
            <w:r w:rsidR="009B16BC">
              <w:fldChar w:fldCharType="end"/>
            </w:r>
          </w:hyperlink>
        </w:p>
        <w:p w14:paraId="2E8020C3" w14:textId="77777777" w:rsidR="004D1721" w:rsidRDefault="00B35ABF">
          <w:pPr>
            <w:pStyle w:val="TOC2"/>
            <w:rPr>
              <w:rFonts w:asciiTheme="minorHAnsi" w:eastAsiaTheme="minorEastAsia" w:hAnsiTheme="minorHAnsi" w:cstheme="minorBidi"/>
              <w:sz w:val="21"/>
              <w:szCs w:val="22"/>
            </w:rPr>
          </w:pPr>
          <w:hyperlink w:anchor="_Toc14050509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范围和目的</w:t>
            </w:r>
            <w:r w:rsidR="009B16BC">
              <w:tab/>
            </w:r>
            <w:r w:rsidR="009B16BC">
              <w:fldChar w:fldCharType="begin"/>
            </w:r>
            <w:r w:rsidR="009B16BC">
              <w:instrText xml:space="preserve"> PAGEREF _Toc140505096 \h </w:instrText>
            </w:r>
            <w:r w:rsidR="009B16BC">
              <w:fldChar w:fldCharType="separate"/>
            </w:r>
            <w:r w:rsidR="009B16BC">
              <w:t>1</w:t>
            </w:r>
            <w:r w:rsidR="009B16BC">
              <w:fldChar w:fldCharType="end"/>
            </w:r>
          </w:hyperlink>
        </w:p>
        <w:p w14:paraId="04759264" w14:textId="77777777" w:rsidR="004D1721" w:rsidRDefault="00B35ABF">
          <w:pPr>
            <w:pStyle w:val="TOC2"/>
            <w:rPr>
              <w:rFonts w:asciiTheme="minorHAnsi" w:eastAsiaTheme="minorEastAsia" w:hAnsiTheme="minorHAnsi" w:cstheme="minorBidi"/>
              <w:sz w:val="21"/>
              <w:szCs w:val="22"/>
            </w:rPr>
          </w:pPr>
          <w:hyperlink w:anchor="_Toc14050509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受测关联交易</w:t>
            </w:r>
            <w:r w:rsidR="009B16BC">
              <w:tab/>
            </w:r>
            <w:r w:rsidR="009B16BC">
              <w:fldChar w:fldCharType="begin"/>
            </w:r>
            <w:r w:rsidR="009B16BC">
              <w:instrText xml:space="preserve"> PAGEREF _Toc140505097 \h </w:instrText>
            </w:r>
            <w:r w:rsidR="009B16BC">
              <w:fldChar w:fldCharType="separate"/>
            </w:r>
            <w:r w:rsidR="009B16BC">
              <w:t>1</w:t>
            </w:r>
            <w:r w:rsidR="009B16BC">
              <w:fldChar w:fldCharType="end"/>
            </w:r>
          </w:hyperlink>
        </w:p>
        <w:p w14:paraId="2D7DA6A0" w14:textId="77777777" w:rsidR="004D1721" w:rsidRDefault="00B35ABF">
          <w:pPr>
            <w:pStyle w:val="TOC2"/>
            <w:rPr>
              <w:rFonts w:asciiTheme="minorHAnsi" w:eastAsiaTheme="minorEastAsia" w:hAnsiTheme="minorHAnsi" w:cstheme="minorBidi"/>
              <w:sz w:val="21"/>
              <w:szCs w:val="22"/>
            </w:rPr>
          </w:pPr>
          <w:hyperlink w:anchor="_Toc14050509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功能和风险分析及价值链分析总结</w:t>
            </w:r>
            <w:r w:rsidR="009B16BC">
              <w:tab/>
            </w:r>
            <w:r w:rsidR="009B16BC">
              <w:fldChar w:fldCharType="begin"/>
            </w:r>
            <w:r w:rsidR="009B16BC">
              <w:instrText xml:space="preserve"> PAGEREF _Toc140505098 \h </w:instrText>
            </w:r>
            <w:r w:rsidR="009B16BC">
              <w:fldChar w:fldCharType="separate"/>
            </w:r>
            <w:r w:rsidR="009B16BC">
              <w:t>2</w:t>
            </w:r>
            <w:r w:rsidR="009B16BC">
              <w:fldChar w:fldCharType="end"/>
            </w:r>
          </w:hyperlink>
        </w:p>
        <w:p w14:paraId="486E069D" w14:textId="77777777" w:rsidR="004D1721" w:rsidRDefault="00B35ABF">
          <w:pPr>
            <w:pStyle w:val="TOC2"/>
            <w:rPr>
              <w:rFonts w:asciiTheme="minorHAnsi" w:eastAsiaTheme="minorEastAsia" w:hAnsiTheme="minorHAnsi" w:cstheme="minorBidi"/>
              <w:sz w:val="21"/>
              <w:szCs w:val="22"/>
            </w:rPr>
          </w:pPr>
          <w:hyperlink w:anchor="_Toc14050509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经济分析总结</w:t>
            </w:r>
            <w:r w:rsidR="009B16BC">
              <w:rPr>
                <w:rStyle w:val="Hyperlink"/>
                <w:rFonts w:ascii="Arial Narrow" w:eastAsia="仿宋_GB2312" w:hAnsi="Arial Narrow" w:cs="Arial"/>
                <w:color w:val="auto"/>
              </w:rPr>
              <w:t xml:space="preserve"> —— </w:t>
            </w:r>
            <w:r w:rsidR="009B16BC">
              <w:rPr>
                <w:rStyle w:val="Hyperlink"/>
                <w:rFonts w:ascii="Arial Narrow" w:eastAsia="仿宋_GB2312" w:hAnsi="Arial Narrow" w:cs="Arial"/>
                <w:color w:val="auto"/>
              </w:rPr>
              <w:t>对受测关联交易的分析</w:t>
            </w:r>
            <w:r w:rsidR="009B16BC">
              <w:tab/>
            </w:r>
            <w:r w:rsidR="009B16BC">
              <w:fldChar w:fldCharType="begin"/>
            </w:r>
            <w:r w:rsidR="009B16BC">
              <w:instrText xml:space="preserve"> PAGEREF _Toc140505099 \h </w:instrText>
            </w:r>
            <w:r w:rsidR="009B16BC">
              <w:fldChar w:fldCharType="separate"/>
            </w:r>
            <w:r w:rsidR="009B16BC">
              <w:t>2</w:t>
            </w:r>
            <w:r w:rsidR="009B16BC">
              <w:fldChar w:fldCharType="end"/>
            </w:r>
          </w:hyperlink>
        </w:p>
        <w:p w14:paraId="4000A19B" w14:textId="77777777" w:rsidR="004D1721" w:rsidRDefault="00B35ABF">
          <w:pPr>
            <w:pStyle w:val="TOC2"/>
            <w:rPr>
              <w:rFonts w:asciiTheme="minorHAnsi" w:eastAsiaTheme="minorEastAsia" w:hAnsiTheme="minorHAnsi" w:cstheme="minorBidi"/>
              <w:sz w:val="21"/>
              <w:szCs w:val="22"/>
            </w:rPr>
          </w:pPr>
          <w:hyperlink w:anchor="_Toc14050510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1.5</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局限性</w:t>
            </w:r>
            <w:r w:rsidR="009B16BC">
              <w:tab/>
            </w:r>
            <w:r w:rsidR="009B16BC">
              <w:fldChar w:fldCharType="begin"/>
            </w:r>
            <w:r w:rsidR="009B16BC">
              <w:instrText xml:space="preserve"> PAGEREF _Toc140505105 \h </w:instrText>
            </w:r>
            <w:r w:rsidR="009B16BC">
              <w:fldChar w:fldCharType="separate"/>
            </w:r>
            <w:r w:rsidR="009B16BC">
              <w:t>3</w:t>
            </w:r>
            <w:r w:rsidR="009B16BC">
              <w:fldChar w:fldCharType="end"/>
            </w:r>
          </w:hyperlink>
        </w:p>
        <w:p w14:paraId="734498B6"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06" w:history="1">
            <w:r w:rsidR="009B16BC">
              <w:rPr>
                <w:rStyle w:val="Hyperlink"/>
                <w:rFonts w:ascii="Arial Narrow" w:eastAsia="仿宋_GB2312" w:hAnsi="Arial Narrow"/>
                <w:color w:val="auto"/>
              </w:rPr>
              <w:t>2.</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企业概况</w:t>
            </w:r>
            <w:r w:rsidR="009B16BC">
              <w:tab/>
            </w:r>
            <w:r w:rsidR="009B16BC">
              <w:fldChar w:fldCharType="begin"/>
            </w:r>
            <w:r w:rsidR="009B16BC">
              <w:instrText xml:space="preserve"> PAGEREF _Toc140505106 \h </w:instrText>
            </w:r>
            <w:r w:rsidR="009B16BC">
              <w:fldChar w:fldCharType="separate"/>
            </w:r>
            <w:r w:rsidR="009B16BC">
              <w:t>5</w:t>
            </w:r>
            <w:r w:rsidR="009B16BC">
              <w:fldChar w:fldCharType="end"/>
            </w:r>
          </w:hyperlink>
        </w:p>
        <w:p w14:paraId="29A3836B" w14:textId="77777777" w:rsidR="004D1721" w:rsidRDefault="00B35ABF">
          <w:pPr>
            <w:pStyle w:val="TOC2"/>
            <w:rPr>
              <w:rFonts w:asciiTheme="minorHAnsi" w:eastAsiaTheme="minorEastAsia" w:hAnsiTheme="minorHAnsi" w:cstheme="minorBidi"/>
              <w:sz w:val="21"/>
              <w:szCs w:val="22"/>
            </w:rPr>
          </w:pPr>
          <w:hyperlink w:anchor="_Toc14050510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集团概况</w:t>
            </w:r>
            <w:r w:rsidR="009B16BC">
              <w:tab/>
            </w:r>
            <w:r w:rsidR="009B16BC">
              <w:fldChar w:fldCharType="begin"/>
            </w:r>
            <w:r w:rsidR="009B16BC">
              <w:instrText xml:space="preserve"> PAGEREF _Toc140505107 \h </w:instrText>
            </w:r>
            <w:r w:rsidR="009B16BC">
              <w:fldChar w:fldCharType="separate"/>
            </w:r>
            <w:r w:rsidR="009B16BC">
              <w:t>5</w:t>
            </w:r>
            <w:r w:rsidR="009B16BC">
              <w:fldChar w:fldCharType="end"/>
            </w:r>
          </w:hyperlink>
        </w:p>
        <w:p w14:paraId="00F558BF" w14:textId="77777777" w:rsidR="004D1721" w:rsidRDefault="00B35ABF">
          <w:pPr>
            <w:pStyle w:val="TOC2"/>
            <w:rPr>
              <w:rFonts w:asciiTheme="minorHAnsi" w:eastAsiaTheme="minorEastAsia" w:hAnsiTheme="minorHAnsi" w:cstheme="minorBidi"/>
              <w:sz w:val="21"/>
              <w:szCs w:val="22"/>
            </w:rPr>
          </w:pPr>
          <w:hyperlink w:anchor="_Toc14050510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公司概况</w:t>
            </w:r>
            <w:r w:rsidR="009B16BC">
              <w:tab/>
            </w:r>
            <w:r w:rsidR="009B16BC">
              <w:fldChar w:fldCharType="begin"/>
            </w:r>
            <w:r w:rsidR="009B16BC">
              <w:instrText xml:space="preserve"> PAGEREF _Toc140505108 \h </w:instrText>
            </w:r>
            <w:r w:rsidR="009B16BC">
              <w:fldChar w:fldCharType="separate"/>
            </w:r>
            <w:r w:rsidR="009B16BC">
              <w:t>5</w:t>
            </w:r>
            <w:r w:rsidR="009B16BC">
              <w:fldChar w:fldCharType="end"/>
            </w:r>
          </w:hyperlink>
        </w:p>
        <w:p w14:paraId="5F5A45B1" w14:textId="77777777" w:rsidR="004D1721" w:rsidRDefault="00B35ABF">
          <w:pPr>
            <w:pStyle w:val="TOC3"/>
            <w:rPr>
              <w:rFonts w:asciiTheme="minorHAnsi" w:eastAsiaTheme="minorEastAsia" w:hAnsiTheme="minorHAnsi" w:cstheme="minorBidi"/>
              <w:i w:val="0"/>
              <w:iCs w:val="0"/>
              <w:sz w:val="21"/>
              <w:szCs w:val="22"/>
            </w:rPr>
          </w:pPr>
          <w:hyperlink w:anchor="_Toc14050510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公司基本信息</w:t>
            </w:r>
            <w:r w:rsidR="009B16BC">
              <w:tab/>
            </w:r>
            <w:r w:rsidR="009B16BC">
              <w:fldChar w:fldCharType="begin"/>
            </w:r>
            <w:r w:rsidR="009B16BC">
              <w:instrText xml:space="preserve"> PAGEREF _Toc140505109 \h </w:instrText>
            </w:r>
            <w:r w:rsidR="009B16BC">
              <w:fldChar w:fldCharType="separate"/>
            </w:r>
            <w:r w:rsidR="009B16BC">
              <w:t>5</w:t>
            </w:r>
            <w:r w:rsidR="009B16BC">
              <w:fldChar w:fldCharType="end"/>
            </w:r>
          </w:hyperlink>
        </w:p>
        <w:p w14:paraId="25307AE2" w14:textId="77777777" w:rsidR="004D1721" w:rsidRDefault="00B35ABF">
          <w:pPr>
            <w:pStyle w:val="TOC3"/>
            <w:rPr>
              <w:rFonts w:asciiTheme="minorHAnsi" w:eastAsiaTheme="minorEastAsia" w:hAnsiTheme="minorHAnsi" w:cstheme="minorBidi"/>
              <w:i w:val="0"/>
              <w:iCs w:val="0"/>
              <w:sz w:val="21"/>
              <w:szCs w:val="22"/>
            </w:rPr>
          </w:pPr>
          <w:hyperlink w:anchor="_Toc140505110"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公司组织结构图和主要部门</w:t>
            </w:r>
            <w:r w:rsidR="009B16BC">
              <w:tab/>
            </w:r>
            <w:r w:rsidR="009B16BC">
              <w:fldChar w:fldCharType="begin"/>
            </w:r>
            <w:r w:rsidR="009B16BC">
              <w:instrText xml:space="preserve"> PAGEREF _Toc140505110 \h </w:instrText>
            </w:r>
            <w:r w:rsidR="009B16BC">
              <w:fldChar w:fldCharType="separate"/>
            </w:r>
            <w:r w:rsidR="009B16BC">
              <w:t>6</w:t>
            </w:r>
            <w:r w:rsidR="009B16BC">
              <w:fldChar w:fldCharType="end"/>
            </w:r>
          </w:hyperlink>
        </w:p>
        <w:p w14:paraId="4FE6FE67" w14:textId="77777777" w:rsidR="004D1721" w:rsidRDefault="00B35ABF">
          <w:pPr>
            <w:pStyle w:val="TOC2"/>
            <w:rPr>
              <w:rFonts w:asciiTheme="minorHAnsi" w:eastAsiaTheme="minorEastAsia" w:hAnsiTheme="minorHAnsi" w:cstheme="minorBidi"/>
              <w:sz w:val="21"/>
              <w:szCs w:val="22"/>
            </w:rPr>
          </w:pPr>
          <w:hyperlink w:anchor="_Toc140505111"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主营业务及财务状况</w:t>
            </w:r>
            <w:r w:rsidR="009B16BC">
              <w:tab/>
            </w:r>
            <w:r w:rsidR="009B16BC">
              <w:fldChar w:fldCharType="begin"/>
            </w:r>
            <w:r w:rsidR="009B16BC">
              <w:instrText xml:space="preserve"> PAGEREF _Toc140505111 \h </w:instrText>
            </w:r>
            <w:r w:rsidR="009B16BC">
              <w:fldChar w:fldCharType="separate"/>
            </w:r>
            <w:r w:rsidR="009B16BC">
              <w:t>7</w:t>
            </w:r>
            <w:r w:rsidR="009B16BC">
              <w:fldChar w:fldCharType="end"/>
            </w:r>
          </w:hyperlink>
        </w:p>
        <w:p w14:paraId="6BBA8823" w14:textId="77777777" w:rsidR="004D1721" w:rsidRDefault="00B35ABF">
          <w:pPr>
            <w:pStyle w:val="TOC2"/>
            <w:rPr>
              <w:rFonts w:asciiTheme="minorHAnsi" w:eastAsiaTheme="minorEastAsia" w:hAnsiTheme="minorHAnsi" w:cstheme="minorBidi"/>
              <w:sz w:val="21"/>
              <w:szCs w:val="22"/>
            </w:rPr>
          </w:pPr>
          <w:hyperlink w:anchor="_Toc140505112"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本年度重大变化事项</w:t>
            </w:r>
            <w:r w:rsidR="009B16BC">
              <w:tab/>
            </w:r>
            <w:r w:rsidR="009B16BC">
              <w:fldChar w:fldCharType="begin"/>
            </w:r>
            <w:r w:rsidR="009B16BC">
              <w:instrText xml:space="preserve"> PAGEREF _Toc140505112 \h </w:instrText>
            </w:r>
            <w:r w:rsidR="009B16BC">
              <w:fldChar w:fldCharType="separate"/>
            </w:r>
            <w:r w:rsidR="009B16BC">
              <w:t>9</w:t>
            </w:r>
            <w:r w:rsidR="009B16BC">
              <w:fldChar w:fldCharType="end"/>
            </w:r>
          </w:hyperlink>
        </w:p>
        <w:p w14:paraId="6E0594EF"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13" w:history="1">
            <w:r w:rsidR="009B16BC">
              <w:rPr>
                <w:rStyle w:val="Hyperlink"/>
                <w:rFonts w:ascii="Arial Narrow" w:eastAsia="仿宋_GB2312" w:hAnsi="Arial Narrow"/>
                <w:color w:val="auto"/>
              </w:rPr>
              <w:t>3.</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行业分析</w:t>
            </w:r>
            <w:r w:rsidR="009B16BC">
              <w:tab/>
            </w:r>
            <w:r w:rsidR="009B16BC">
              <w:fldChar w:fldCharType="begin"/>
            </w:r>
            <w:r w:rsidR="009B16BC">
              <w:instrText xml:space="preserve"> PAGEREF _Toc140505113 \h </w:instrText>
            </w:r>
            <w:r w:rsidR="009B16BC">
              <w:fldChar w:fldCharType="separate"/>
            </w:r>
            <w:r w:rsidR="009B16BC">
              <w:t>10</w:t>
            </w:r>
            <w:r w:rsidR="009B16BC">
              <w:fldChar w:fldCharType="end"/>
            </w:r>
          </w:hyperlink>
        </w:p>
        <w:p w14:paraId="672F7627" w14:textId="77777777" w:rsidR="004D1721" w:rsidRDefault="00B35ABF">
          <w:pPr>
            <w:pStyle w:val="TOC2"/>
            <w:rPr>
              <w:rFonts w:asciiTheme="minorHAnsi" w:eastAsiaTheme="minorEastAsia" w:hAnsiTheme="minorHAnsi" w:cstheme="minorBidi"/>
              <w:sz w:val="21"/>
              <w:szCs w:val="22"/>
            </w:rPr>
          </w:pPr>
          <w:hyperlink w:anchor="_Toc140505114"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化妆品行业分析</w:t>
            </w:r>
            <w:r w:rsidR="009B16BC">
              <w:tab/>
            </w:r>
            <w:r w:rsidR="009B16BC">
              <w:fldChar w:fldCharType="begin"/>
            </w:r>
            <w:r w:rsidR="009B16BC">
              <w:instrText xml:space="preserve"> PAGEREF _Toc140505114 \h </w:instrText>
            </w:r>
            <w:r w:rsidR="009B16BC">
              <w:fldChar w:fldCharType="separate"/>
            </w:r>
            <w:r w:rsidR="009B16BC">
              <w:t>10</w:t>
            </w:r>
            <w:r w:rsidR="009B16BC">
              <w:fldChar w:fldCharType="end"/>
            </w:r>
          </w:hyperlink>
        </w:p>
        <w:p w14:paraId="22D4B493" w14:textId="77777777" w:rsidR="004D1721" w:rsidRDefault="00B35ABF">
          <w:pPr>
            <w:pStyle w:val="TOC3"/>
            <w:rPr>
              <w:rFonts w:asciiTheme="minorHAnsi" w:eastAsiaTheme="minorEastAsia" w:hAnsiTheme="minorHAnsi" w:cstheme="minorBidi"/>
              <w:i w:val="0"/>
              <w:iCs w:val="0"/>
              <w:sz w:val="21"/>
              <w:szCs w:val="22"/>
            </w:rPr>
          </w:pPr>
          <w:hyperlink w:anchor="_Toc14050511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化妆品概述</w:t>
            </w:r>
            <w:r w:rsidR="009B16BC">
              <w:tab/>
            </w:r>
            <w:r w:rsidR="009B16BC">
              <w:fldChar w:fldCharType="begin"/>
            </w:r>
            <w:r w:rsidR="009B16BC">
              <w:instrText xml:space="preserve"> PAGEREF _Toc140505115 \h </w:instrText>
            </w:r>
            <w:r w:rsidR="009B16BC">
              <w:fldChar w:fldCharType="separate"/>
            </w:r>
            <w:r w:rsidR="009B16BC">
              <w:t>10</w:t>
            </w:r>
            <w:r w:rsidR="009B16BC">
              <w:fldChar w:fldCharType="end"/>
            </w:r>
          </w:hyperlink>
        </w:p>
        <w:p w14:paraId="55202F49" w14:textId="77777777" w:rsidR="004D1721" w:rsidRDefault="00B35ABF">
          <w:pPr>
            <w:pStyle w:val="TOC3"/>
            <w:rPr>
              <w:rFonts w:asciiTheme="minorHAnsi" w:eastAsiaTheme="minorEastAsia" w:hAnsiTheme="minorHAnsi" w:cstheme="minorBidi"/>
              <w:i w:val="0"/>
              <w:iCs w:val="0"/>
              <w:sz w:val="21"/>
              <w:szCs w:val="22"/>
            </w:rPr>
          </w:pPr>
          <w:hyperlink w:anchor="_Toc14050511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全球行业分析</w:t>
            </w:r>
            <w:r w:rsidR="009B16BC">
              <w:tab/>
            </w:r>
            <w:r w:rsidR="009B16BC">
              <w:fldChar w:fldCharType="begin"/>
            </w:r>
            <w:r w:rsidR="009B16BC">
              <w:instrText xml:space="preserve"> PAGEREF _Toc140505116 \h </w:instrText>
            </w:r>
            <w:r w:rsidR="009B16BC">
              <w:fldChar w:fldCharType="separate"/>
            </w:r>
            <w:r w:rsidR="009B16BC">
              <w:t>11</w:t>
            </w:r>
            <w:r w:rsidR="009B16BC">
              <w:fldChar w:fldCharType="end"/>
            </w:r>
          </w:hyperlink>
        </w:p>
        <w:p w14:paraId="4EC2F316" w14:textId="691D7BDE" w:rsidR="004D1721" w:rsidRDefault="009B16BC">
          <w:pPr>
            <w:pStyle w:val="TOC3"/>
            <w:rPr>
              <w:rFonts w:asciiTheme="minorHAnsi" w:eastAsiaTheme="minorEastAsia" w:hAnsiTheme="minorHAnsi" w:cstheme="minorBidi"/>
              <w:i w:val="0"/>
              <w:iCs w:val="0"/>
              <w:sz w:val="21"/>
              <w:szCs w:val="22"/>
            </w:rPr>
          </w:pPr>
          <w:hyperlink w:anchor="_Toc140505117" w:history="1">
            <w:r>
              <w:rPr>
                <w:rStyle w:val="Hyperlink"/>
                <w:rFonts w:ascii="Arial Narrow" w:eastAsia="仿宋_GB2312" w:hAnsi="Arial Narrow" w:cs="Arial"/>
                <w:color w:val="auto"/>
                <w14:scene3d>
                  <w14:camera w14:prst="orthographicFront"/>
                  <w14:lightRig w14:rig="threePt" w14:dir="t">
                    <w14:rot w14:lat="0" w14:lon="0" w14:rev="0"/>
                  </w14:lightRig>
                </w14:scene3d>
              </w:rPr>
              <w:t>3.1.3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中国行业分析</w:t>
            </w:r>
            <w:r>
              <w:tab/>
            </w:r>
            <w:r>
              <w:fldChar w:fldCharType="begin"/>
            </w:r>
            <w:r>
              <w:instrText xml:space="preserve"> PAGEREF _Toc140505117 \h </w:instrText>
            </w:r>
            <w:r>
              <w:fldChar w:fldCharType="separate"/>
            </w:r>
            <w:r>
              <w:t>13</w:t>
            </w:r>
            <w:r>
              <w:fldChar w:fldCharType="end"/>
            </w:r>
          </w:hyperlink>
        </w:p>
        <w:p w14:paraId="27F47E97" w14:textId="2B25F2A7" w:rsidR="004D1721" w:rsidRDefault="009B16BC">
          <w:pPr>
            <w:pStyle w:val="TOC3"/>
            <w:rPr>
              <w:rFonts w:asciiTheme="minorHAnsi" w:eastAsiaTheme="minorEastAsia" w:hAnsiTheme="minorHAnsi" w:cstheme="minorBidi"/>
              <w:i w:val="0"/>
              <w:iCs w:val="0"/>
              <w:sz w:val="21"/>
              <w:szCs w:val="22"/>
            </w:rPr>
          </w:pPr>
          <w:hyperlink w:anchor="_Toc140505118" w:history="1">
            <w:r>
              <w:rPr>
                <w:rStyle w:val="Hyperlink"/>
                <w:rFonts w:ascii="Arial Narrow" w:eastAsia="仿宋_GB2312" w:hAnsi="Arial Narrow" w:cs="Arial"/>
                <w:color w:val="auto"/>
                <w14:scene3d>
                  <w14:camera w14:prst="orthographicFront"/>
                  <w14:lightRig w14:rig="threePt" w14:dir="t">
                    <w14:rot w14:lat="0" w14:lon="0" w14:rev="0"/>
                  </w14:lightRig>
                </w14:scene3d>
              </w:rPr>
              <w:t>3.1.4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中国化妆品行业存在问题分析</w:t>
            </w:r>
            <w:r>
              <w:tab/>
            </w:r>
            <w:r>
              <w:fldChar w:fldCharType="begin"/>
            </w:r>
            <w:r>
              <w:instrText xml:space="preserve"> PAGEREF _Toc140505118 \h </w:instrText>
            </w:r>
            <w:r>
              <w:fldChar w:fldCharType="separate"/>
            </w:r>
            <w:r>
              <w:t>16</w:t>
            </w:r>
            <w:r>
              <w:fldChar w:fldCharType="end"/>
            </w:r>
          </w:hyperlink>
        </w:p>
        <w:p w14:paraId="69A93A66" w14:textId="77777777" w:rsidR="004D1721" w:rsidRDefault="00B35ABF">
          <w:pPr>
            <w:pStyle w:val="TOC2"/>
            <w:rPr>
              <w:rFonts w:asciiTheme="minorHAnsi" w:eastAsiaTheme="minorEastAsia" w:hAnsiTheme="minorHAnsi" w:cstheme="minorBidi"/>
              <w:sz w:val="21"/>
              <w:szCs w:val="22"/>
            </w:rPr>
          </w:pPr>
          <w:hyperlink w:anchor="_Toc14050511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结论</w:t>
            </w:r>
            <w:r w:rsidR="009B16BC">
              <w:tab/>
            </w:r>
            <w:r w:rsidR="009B16BC">
              <w:fldChar w:fldCharType="begin"/>
            </w:r>
            <w:r w:rsidR="009B16BC">
              <w:instrText xml:space="preserve"> PAGEREF _Toc140505119 \h </w:instrText>
            </w:r>
            <w:r w:rsidR="009B16BC">
              <w:fldChar w:fldCharType="separate"/>
            </w:r>
            <w:r w:rsidR="009B16BC">
              <w:t>17</w:t>
            </w:r>
            <w:r w:rsidR="009B16BC">
              <w:fldChar w:fldCharType="end"/>
            </w:r>
          </w:hyperlink>
        </w:p>
        <w:p w14:paraId="1C324934" w14:textId="69DAC5EF"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20" w:history="1">
            <w:r>
              <w:rPr>
                <w:rStyle w:val="Hyperlink"/>
                <w:rFonts w:ascii="Arial Narrow" w:eastAsia="仿宋_GB2312" w:hAnsi="Arial Narrow"/>
                <w:color w:val="auto"/>
              </w:rPr>
              <w:t>4.</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关联交易</w:t>
            </w:r>
            <w:r>
              <w:tab/>
            </w:r>
            <w:r>
              <w:fldChar w:fldCharType="begin"/>
            </w:r>
            <w:r>
              <w:instrText xml:space="preserve"> PAGEREF _Toc140505120 \h </w:instrText>
            </w:r>
            <w:r>
              <w:fldChar w:fldCharType="separate"/>
            </w:r>
            <w:r>
              <w:t>18</w:t>
            </w:r>
            <w:r>
              <w:fldChar w:fldCharType="end"/>
            </w:r>
          </w:hyperlink>
        </w:p>
        <w:p w14:paraId="502F03D1" w14:textId="08E856CA" w:rsidR="004D1721" w:rsidRDefault="009B16BC">
          <w:pPr>
            <w:pStyle w:val="TOC2"/>
            <w:rPr>
              <w:rFonts w:asciiTheme="minorHAnsi" w:eastAsiaTheme="minorEastAsia" w:hAnsiTheme="minorHAnsi" w:cstheme="minorBidi"/>
              <w:sz w:val="21"/>
              <w:szCs w:val="22"/>
            </w:rPr>
          </w:pPr>
          <w:hyperlink w:anchor="_Toc140505121" w:history="1">
            <w:r>
              <w:rPr>
                <w:rStyle w:val="Hyperlink"/>
                <w:rFonts w:ascii="Arial Narrow" w:eastAsia="仿宋_GB2312" w:hAnsi="Arial Narrow" w:cs="Arial"/>
                <w:color w:val="auto"/>
                <w14:scene3d>
                  <w14:camera w14:prst="orthographicFront"/>
                  <w14:lightRig w14:rig="threePt" w14:dir="t">
                    <w14:rot w14:lat="0" w14:lon="0" w14:rev="0"/>
                  </w14:lightRig>
                </w14:scene3d>
              </w:rPr>
              <w:t>4.1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关联方信息</w:t>
            </w:r>
            <w:r>
              <w:tab/>
            </w:r>
            <w:r>
              <w:fldChar w:fldCharType="begin"/>
            </w:r>
            <w:r>
              <w:instrText xml:space="preserve"> PAGEREF _Toc140505121 \h </w:instrText>
            </w:r>
            <w:r>
              <w:fldChar w:fldCharType="separate"/>
            </w:r>
            <w:r>
              <w:t>18</w:t>
            </w:r>
            <w:r>
              <w:fldChar w:fldCharType="end"/>
            </w:r>
          </w:hyperlink>
        </w:p>
        <w:p w14:paraId="36B23E0C" w14:textId="54564B9D" w:rsidR="004D1721" w:rsidRDefault="009B16BC">
          <w:pPr>
            <w:pStyle w:val="TOC2"/>
            <w:rPr>
              <w:rFonts w:asciiTheme="minorHAnsi" w:eastAsiaTheme="minorEastAsia" w:hAnsiTheme="minorHAnsi" w:cstheme="minorBidi"/>
              <w:sz w:val="21"/>
              <w:szCs w:val="22"/>
            </w:rPr>
          </w:pPr>
          <w:hyperlink w:anchor="_Toc140505122" w:history="1">
            <w:r>
              <w:rPr>
                <w:rStyle w:val="Hyperlink"/>
                <w:rFonts w:ascii="Arial Narrow" w:eastAsia="仿宋_GB2312" w:hAnsi="Arial Narrow" w:cs="Arial"/>
                <w:color w:val="auto"/>
                <w14:scene3d>
                  <w14:camera w14:prst="orthographicFront"/>
                  <w14:lightRig w14:rig="threePt" w14:dir="t">
                    <w14:rot w14:lat="0" w14:lon="0" w14:rev="0"/>
                  </w14:lightRig>
                </w14:scene3d>
              </w:rPr>
              <w:t>4.2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主要关联交易</w:t>
            </w:r>
            <w:r>
              <w:tab/>
            </w:r>
            <w:r>
              <w:fldChar w:fldCharType="begin"/>
            </w:r>
            <w:r>
              <w:instrText xml:space="preserve"> PAGEREF _Toc140505122 \h </w:instrText>
            </w:r>
            <w:r>
              <w:fldChar w:fldCharType="separate"/>
            </w:r>
            <w:r>
              <w:t>18</w:t>
            </w:r>
            <w:r>
              <w:fldChar w:fldCharType="end"/>
            </w:r>
          </w:hyperlink>
        </w:p>
        <w:p w14:paraId="6F031305" w14:textId="0D9FA3C6" w:rsidR="004D1721" w:rsidRDefault="009B16BC">
          <w:pPr>
            <w:pStyle w:val="TOC2"/>
            <w:rPr>
              <w:rFonts w:asciiTheme="minorHAnsi" w:eastAsiaTheme="minorEastAsia" w:hAnsiTheme="minorHAnsi" w:cstheme="minorBidi"/>
              <w:sz w:val="21"/>
              <w:szCs w:val="22"/>
            </w:rPr>
          </w:pPr>
          <w:hyperlink w:anchor="_Toc140505123" w:history="1">
            <w:r>
              <w:rPr>
                <w:rStyle w:val="Hyperlink"/>
                <w:rFonts w:ascii="Arial Narrow" w:eastAsia="仿宋_GB2312" w:hAnsi="Arial Narrow" w:cs="Arial"/>
                <w:color w:val="auto"/>
                <w14:scene3d>
                  <w14:camera w14:prst="orthographicFront"/>
                  <w14:lightRig w14:rig="threePt" w14:dir="t">
                    <w14:rot w14:lat="0" w14:lon="0" w14:rev="0"/>
                  </w14:lightRig>
                </w14:scene3d>
              </w:rPr>
              <w:t>4.3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关联购销</w:t>
            </w:r>
            <w:r>
              <w:tab/>
            </w:r>
            <w:r>
              <w:fldChar w:fldCharType="begin"/>
            </w:r>
            <w:r>
              <w:instrText xml:space="preserve"> PAGEREF _Toc140505123 \h </w:instrText>
            </w:r>
            <w:r>
              <w:fldChar w:fldCharType="separate"/>
            </w:r>
            <w:r>
              <w:t>19</w:t>
            </w:r>
            <w:r>
              <w:fldChar w:fldCharType="end"/>
            </w:r>
          </w:hyperlink>
        </w:p>
        <w:p w14:paraId="63FD9DA7" w14:textId="405A9F52" w:rsidR="004D1721" w:rsidRDefault="009B16BC">
          <w:pPr>
            <w:pStyle w:val="TOC3"/>
            <w:rPr>
              <w:rFonts w:asciiTheme="minorHAnsi" w:eastAsiaTheme="minorEastAsia" w:hAnsiTheme="minorHAnsi" w:cstheme="minorBidi"/>
              <w:i w:val="0"/>
              <w:iCs w:val="0"/>
              <w:sz w:val="21"/>
              <w:szCs w:val="22"/>
            </w:rPr>
          </w:pPr>
          <w:hyperlink w:anchor="_Toc140505124" w:history="1">
            <w:r>
              <w:rPr>
                <w:rStyle w:val="Hyperlink"/>
                <w:rFonts w:ascii="Arial Narrow" w:eastAsia="仿宋_GB2312" w:hAnsi="Arial Narrow" w:cs="Arial"/>
                <w:color w:val="auto"/>
                <w14:scene3d>
                  <w14:camera w14:prst="orthographicFront"/>
                  <w14:lightRig w14:rig="threePt" w14:dir="t">
                    <w14:rot w14:lat="0" w14:lon="0" w14:rev="0"/>
                  </w14:lightRig>
                </w14:scene3d>
              </w:rPr>
              <w:t>4.3.1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交易流程</w:t>
            </w:r>
            <w:r>
              <w:tab/>
            </w:r>
            <w:r>
              <w:fldChar w:fldCharType="begin"/>
            </w:r>
            <w:r>
              <w:instrText xml:space="preserve"> PAGEREF _Toc140505124 \h </w:instrText>
            </w:r>
            <w:r>
              <w:fldChar w:fldCharType="separate"/>
            </w:r>
            <w:r>
              <w:t>19</w:t>
            </w:r>
            <w:r>
              <w:fldChar w:fldCharType="end"/>
            </w:r>
          </w:hyperlink>
        </w:p>
        <w:p w14:paraId="1395ECCF" w14:textId="6F9EF610" w:rsidR="004D1721" w:rsidRDefault="009B16BC">
          <w:pPr>
            <w:pStyle w:val="TOC3"/>
            <w:rPr>
              <w:rFonts w:asciiTheme="minorHAnsi" w:eastAsiaTheme="minorEastAsia" w:hAnsiTheme="minorHAnsi" w:cstheme="minorBidi"/>
              <w:i w:val="0"/>
              <w:iCs w:val="0"/>
              <w:sz w:val="21"/>
              <w:szCs w:val="22"/>
            </w:rPr>
          </w:pPr>
          <w:hyperlink w:anchor="_Toc140505125" w:history="1">
            <w:r>
              <w:rPr>
                <w:rStyle w:val="Hyperlink"/>
                <w:rFonts w:ascii="Arial Narrow" w:eastAsia="仿宋_GB2312" w:hAnsi="Arial Narrow" w:cs="Arial"/>
                <w:color w:val="auto"/>
                <w14:scene3d>
                  <w14:camera w14:prst="orthographicFront"/>
                  <w14:lightRig w14:rig="threePt" w14:dir="t">
                    <w14:rot w14:lat="0" w14:lon="0" w14:rev="0"/>
                  </w14:lightRig>
                </w14:scene3d>
              </w:rPr>
              <w:t>4.3.2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交易明细</w:t>
            </w:r>
            <w:r>
              <w:tab/>
            </w:r>
            <w:r>
              <w:fldChar w:fldCharType="begin"/>
            </w:r>
            <w:r>
              <w:instrText xml:space="preserve"> PAGEREF _Toc140505125 \h </w:instrText>
            </w:r>
            <w:r>
              <w:fldChar w:fldCharType="separate"/>
            </w:r>
            <w:r>
              <w:t>19</w:t>
            </w:r>
            <w:r>
              <w:fldChar w:fldCharType="end"/>
            </w:r>
          </w:hyperlink>
        </w:p>
        <w:p w14:paraId="79AA6C34" w14:textId="4052A585" w:rsidR="004D1721" w:rsidRDefault="009B16BC">
          <w:pPr>
            <w:pStyle w:val="TOC3"/>
            <w:rPr>
              <w:rFonts w:asciiTheme="minorHAnsi" w:eastAsiaTheme="minorEastAsia" w:hAnsiTheme="minorHAnsi" w:cstheme="minorBidi"/>
              <w:i w:val="0"/>
              <w:iCs w:val="0"/>
              <w:sz w:val="21"/>
              <w:szCs w:val="22"/>
            </w:rPr>
          </w:pPr>
          <w:hyperlink w:anchor="_Toc140505126" w:history="1">
            <w:r>
              <w:rPr>
                <w:rStyle w:val="Hyperlink"/>
                <w:rFonts w:ascii="Arial Narrow" w:eastAsia="仿宋_GB2312" w:hAnsi="Arial Narrow" w:cs="Arial"/>
                <w:color w:val="auto"/>
                <w14:scene3d>
                  <w14:camera w14:prst="orthographicFront"/>
                  <w14:lightRig w14:rig="threePt" w14:dir="t">
                    <w14:rot w14:lat="0" w14:lon="0" w14:rev="0"/>
                  </w14:lightRig>
                </w14:scene3d>
              </w:rPr>
              <w:t>4.3.3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交易定价政策</w:t>
            </w:r>
            <w:r>
              <w:tab/>
            </w:r>
            <w:r>
              <w:fldChar w:fldCharType="begin"/>
            </w:r>
            <w:r>
              <w:instrText xml:space="preserve"> PAGEREF _Toc140505126 \h </w:instrText>
            </w:r>
            <w:r>
              <w:fldChar w:fldCharType="separate"/>
            </w:r>
            <w:r>
              <w:t>20</w:t>
            </w:r>
            <w:r>
              <w:fldChar w:fldCharType="end"/>
            </w:r>
          </w:hyperlink>
        </w:p>
        <w:p w14:paraId="1A061123" w14:textId="3DA4B3C3" w:rsidR="004D1721" w:rsidRDefault="009B16BC">
          <w:pPr>
            <w:pStyle w:val="TOC2"/>
            <w:rPr>
              <w:rFonts w:asciiTheme="minorHAnsi" w:eastAsiaTheme="minorEastAsia" w:hAnsiTheme="minorHAnsi" w:cstheme="minorBidi"/>
              <w:sz w:val="21"/>
              <w:szCs w:val="22"/>
            </w:rPr>
          </w:pPr>
          <w:hyperlink w:anchor="_Toc140505127" w:history="1">
            <w:r>
              <w:rPr>
                <w:rStyle w:val="Hyperlink"/>
                <w:rFonts w:ascii="Arial Narrow" w:eastAsia="仿宋_GB2312" w:hAnsi="Arial Narrow" w:cs="Arial"/>
                <w:color w:val="auto"/>
                <w14:scene3d>
                  <w14:camera w14:prst="orthographicFront"/>
                  <w14:lightRig w14:rig="threePt" w14:dir="t">
                    <w14:rot w14:lat="0" w14:lon="0" w14:rev="0"/>
                  </w14:lightRig>
                </w14:scene3d>
              </w:rPr>
              <w:t>4.4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关联交易合同及执行汇总</w:t>
            </w:r>
            <w:r>
              <w:tab/>
            </w:r>
            <w:r>
              <w:fldChar w:fldCharType="begin"/>
            </w:r>
            <w:r>
              <w:instrText xml:space="preserve"> PAGEREF _Toc140505127 \h </w:instrText>
            </w:r>
            <w:r>
              <w:fldChar w:fldCharType="separate"/>
            </w:r>
            <w:r>
              <w:t>20</w:t>
            </w:r>
            <w:r>
              <w:fldChar w:fldCharType="end"/>
            </w:r>
          </w:hyperlink>
        </w:p>
        <w:p w14:paraId="75CC2422" w14:textId="72910E83" w:rsidR="004D1721" w:rsidRDefault="009B16BC">
          <w:pPr>
            <w:pStyle w:val="TOC2"/>
            <w:rPr>
              <w:rFonts w:asciiTheme="minorHAnsi" w:eastAsiaTheme="minorEastAsia" w:hAnsiTheme="minorHAnsi" w:cstheme="minorBidi"/>
              <w:sz w:val="21"/>
              <w:szCs w:val="22"/>
            </w:rPr>
          </w:pPr>
          <w:hyperlink w:anchor="_Toc140505128" w:history="1">
            <w:r>
              <w:rPr>
                <w:rStyle w:val="Hyperlink"/>
                <w:rFonts w:ascii="Arial Narrow" w:eastAsia="仿宋_GB2312" w:hAnsi="Arial Narrow" w:cs="Arial"/>
                <w:color w:val="auto"/>
                <w14:scene3d>
                  <w14:camera w14:prst="orthographicFront"/>
                  <w14:lightRig w14:rig="threePt" w14:dir="t">
                    <w14:rot w14:lat="0" w14:lon="0" w14:rev="0"/>
                  </w14:lightRig>
                </w14:scene3d>
              </w:rPr>
              <w:t>4.5</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与企业关联交易直接相关的预约定价安排和其他税收裁定</w:t>
            </w:r>
            <w:r>
              <w:tab/>
            </w:r>
            <w:r>
              <w:fldChar w:fldCharType="begin"/>
            </w:r>
            <w:r>
              <w:instrText xml:space="preserve"> PAGEREF _Toc140505128 \h </w:instrText>
            </w:r>
            <w:r>
              <w:fldChar w:fldCharType="separate"/>
            </w:r>
            <w:r>
              <w:t>20</w:t>
            </w:r>
            <w:r>
              <w:fldChar w:fldCharType="end"/>
            </w:r>
          </w:hyperlink>
        </w:p>
        <w:p w14:paraId="339323F0" w14:textId="41E6AD27" w:rsidR="004D1721" w:rsidRDefault="009B16BC">
          <w:pPr>
            <w:pStyle w:val="TOC2"/>
            <w:rPr>
              <w:rFonts w:asciiTheme="minorHAnsi" w:eastAsiaTheme="minorEastAsia" w:hAnsiTheme="minorHAnsi" w:cstheme="minorBidi"/>
              <w:sz w:val="21"/>
              <w:szCs w:val="22"/>
            </w:rPr>
          </w:pPr>
          <w:hyperlink w:anchor="_Toc140505129" w:history="1">
            <w:r>
              <w:rPr>
                <w:rStyle w:val="Hyperlink"/>
                <w:rFonts w:ascii="Arial Narrow" w:eastAsia="仿宋_GB2312" w:hAnsi="Arial Narrow" w:cs="Arial"/>
                <w:color w:val="auto"/>
                <w14:scene3d>
                  <w14:camera w14:prst="orthographicFront"/>
                  <w14:lightRig w14:rig="threePt" w14:dir="t">
                    <w14:rot w14:lat="0" w14:lon="0" w14:rev="0"/>
                  </w14:lightRig>
                </w14:scene3d>
              </w:rPr>
              <w:t>4.6</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关联交易财务状况</w:t>
            </w:r>
            <w:r>
              <w:tab/>
            </w:r>
            <w:r>
              <w:fldChar w:fldCharType="begin"/>
            </w:r>
            <w:r>
              <w:instrText xml:space="preserve"> PAGEREF _Toc140505129 \h </w:instrText>
            </w:r>
            <w:r>
              <w:fldChar w:fldCharType="separate"/>
            </w:r>
            <w:r>
              <w:t>20</w:t>
            </w:r>
            <w:r>
              <w:fldChar w:fldCharType="end"/>
            </w:r>
          </w:hyperlink>
        </w:p>
        <w:p w14:paraId="2ED68422" w14:textId="498D8ADB" w:rsidR="004D1721" w:rsidRDefault="009B16BC">
          <w:pPr>
            <w:pStyle w:val="TOC2"/>
            <w:rPr>
              <w:rFonts w:asciiTheme="minorHAnsi" w:eastAsiaTheme="minorEastAsia" w:hAnsiTheme="minorHAnsi" w:cstheme="minorBidi"/>
              <w:sz w:val="21"/>
              <w:szCs w:val="22"/>
            </w:rPr>
          </w:pPr>
          <w:hyperlink w:anchor="_Toc140505130" w:history="1">
            <w:r>
              <w:rPr>
                <w:rStyle w:val="Hyperlink"/>
                <w:rFonts w:ascii="Arial Narrow" w:eastAsia="仿宋_GB2312" w:hAnsi="Arial Narrow" w:cs="Arial"/>
                <w:color w:val="auto"/>
                <w14:scene3d>
                  <w14:camera w14:prst="orthographicFront"/>
                  <w14:lightRig w14:rig="threePt" w14:dir="t">
                    <w14:rot w14:lat="0" w14:lon="0" w14:rev="0"/>
                  </w14:lightRig>
                </w14:scene3d>
              </w:rPr>
              <w:t>4.7</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结论</w:t>
            </w:r>
            <w:r>
              <w:tab/>
            </w:r>
            <w:r>
              <w:fldChar w:fldCharType="begin"/>
            </w:r>
            <w:r>
              <w:instrText xml:space="preserve"> PAGEREF _Toc140505130 \h </w:instrText>
            </w:r>
            <w:r>
              <w:fldChar w:fldCharType="separate"/>
            </w:r>
            <w:r>
              <w:t>21</w:t>
            </w:r>
            <w:r>
              <w:fldChar w:fldCharType="end"/>
            </w:r>
          </w:hyperlink>
        </w:p>
        <w:p w14:paraId="7697CCF0" w14:textId="5614DDA8"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31" w:history="1">
            <w:r>
              <w:rPr>
                <w:rStyle w:val="Hyperlink"/>
                <w:rFonts w:ascii="Arial Narrow" w:eastAsia="仿宋_GB2312" w:hAnsi="Arial Narrow"/>
                <w:color w:val="auto"/>
              </w:rPr>
              <w:t>5.</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功能和风险分析</w:t>
            </w:r>
            <w:r>
              <w:tab/>
            </w:r>
            <w:r>
              <w:fldChar w:fldCharType="begin"/>
            </w:r>
            <w:r>
              <w:instrText xml:space="preserve"> PAGEREF _Toc140505131 \h </w:instrText>
            </w:r>
            <w:r>
              <w:fldChar w:fldCharType="separate"/>
            </w:r>
            <w:r>
              <w:t>22</w:t>
            </w:r>
            <w:r>
              <w:fldChar w:fldCharType="end"/>
            </w:r>
          </w:hyperlink>
        </w:p>
        <w:p w14:paraId="389E030E" w14:textId="798857A9" w:rsidR="004D1721" w:rsidRDefault="009B16BC">
          <w:pPr>
            <w:pStyle w:val="TOC2"/>
            <w:rPr>
              <w:rFonts w:asciiTheme="minorHAnsi" w:eastAsiaTheme="minorEastAsia" w:hAnsiTheme="minorHAnsi" w:cstheme="minorBidi"/>
              <w:sz w:val="21"/>
              <w:szCs w:val="22"/>
            </w:rPr>
          </w:pPr>
          <w:hyperlink w:anchor="_Toc140505132" w:history="1">
            <w:r>
              <w:rPr>
                <w:rStyle w:val="Hyperlink"/>
                <w:rFonts w:ascii="Arial Narrow" w:eastAsia="仿宋_GB2312" w:hAnsi="Arial Narrow" w:cs="Arial"/>
                <w:color w:val="auto"/>
                <w14:scene3d>
                  <w14:camera w14:prst="orthographicFront"/>
                  <w14:lightRig w14:rig="threePt" w14:dir="t">
                    <w14:rot w14:lat="0" w14:lon="0" w14:rev="0"/>
                  </w14:lightRig>
                </w14:scene3d>
              </w:rPr>
              <w:t>5.1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_Toc140505132 \h </w:instrText>
            </w:r>
            <w:r>
              <w:fldChar w:fldCharType="separate"/>
            </w:r>
            <w:r>
              <w:t>22</w:t>
            </w:r>
            <w:r>
              <w:fldChar w:fldCharType="end"/>
            </w:r>
          </w:hyperlink>
        </w:p>
        <w:p w14:paraId="20E81145" w14:textId="7E97E23B" w:rsidR="004D1721" w:rsidRDefault="009B16BC">
          <w:pPr>
            <w:pStyle w:val="TOC2"/>
            <w:rPr>
              <w:rFonts w:asciiTheme="minorHAnsi" w:eastAsiaTheme="minorEastAsia" w:hAnsiTheme="minorHAnsi" w:cstheme="minorBidi"/>
              <w:sz w:val="21"/>
              <w:szCs w:val="22"/>
            </w:rPr>
          </w:pPr>
          <w:hyperlink w:anchor="_Toc140505133" w:history="1">
            <w:r>
              <w:rPr>
                <w:rStyle w:val="Hyperlink"/>
                <w:rFonts w:ascii="Arial Narrow" w:eastAsia="仿宋_GB2312" w:hAnsi="Arial Narrow" w:cs="Arial"/>
                <w:color w:val="auto"/>
                <w14:scene3d>
                  <w14:camera w14:prst="orthographicFront"/>
                  <w14:lightRig w14:rig="threePt" w14:dir="t">
                    <w14:rot w14:lat="0" w14:lon="0" w14:rev="0"/>
                  </w14:lightRig>
                </w14:scene3d>
              </w:rPr>
              <w:t>5.2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功能及风险分析</w:t>
            </w:r>
            <w:r>
              <w:tab/>
            </w:r>
            <w:r>
              <w:fldChar w:fldCharType="begin"/>
            </w:r>
            <w:r>
              <w:instrText xml:space="preserve"> PAGEREF _Toc140505133 \h </w:instrText>
            </w:r>
            <w:r>
              <w:fldChar w:fldCharType="separate"/>
            </w:r>
            <w:r>
              <w:t>22</w:t>
            </w:r>
            <w:r>
              <w:fldChar w:fldCharType="end"/>
            </w:r>
          </w:hyperlink>
        </w:p>
        <w:p w14:paraId="01EB4E1A" w14:textId="23CEEABF" w:rsidR="004D1721" w:rsidRDefault="009B16BC">
          <w:pPr>
            <w:pStyle w:val="TOC3"/>
            <w:rPr>
              <w:rFonts w:asciiTheme="minorHAnsi" w:eastAsiaTheme="minorEastAsia" w:hAnsiTheme="minorHAnsi" w:cstheme="minorBidi"/>
              <w:i w:val="0"/>
              <w:iCs w:val="0"/>
              <w:sz w:val="21"/>
              <w:szCs w:val="22"/>
            </w:rPr>
          </w:pPr>
          <w:hyperlink w:anchor="_Toc140505134" w:history="1">
            <w:r>
              <w:rPr>
                <w:rStyle w:val="Hyperlink"/>
                <w:rFonts w:ascii="Arial Narrow" w:eastAsia="仿宋_GB2312" w:hAnsi="Arial Narrow" w:cs="Arial"/>
                <w:color w:val="auto"/>
                <w14:scene3d>
                  <w14:camera w14:prst="orthographicFront"/>
                  <w14:lightRig w14:rig="threePt" w14:dir="t">
                    <w14:rot w14:lat="0" w14:lon="0" w14:rev="0"/>
                  </w14:lightRig>
                </w14:scene3d>
              </w:rPr>
              <w:t>5.2.1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功能分析</w:t>
            </w:r>
            <w:r>
              <w:tab/>
            </w:r>
            <w:r>
              <w:fldChar w:fldCharType="begin"/>
            </w:r>
            <w:r>
              <w:instrText xml:space="preserve"> PAGEREF _Toc140505134 \h </w:instrText>
            </w:r>
            <w:r>
              <w:fldChar w:fldCharType="separate"/>
            </w:r>
            <w:r>
              <w:t>22</w:t>
            </w:r>
            <w:r>
              <w:fldChar w:fldCharType="end"/>
            </w:r>
          </w:hyperlink>
        </w:p>
        <w:p w14:paraId="3B1FDA3E" w14:textId="541057DC" w:rsidR="004D1721" w:rsidRDefault="009B16BC">
          <w:pPr>
            <w:pStyle w:val="TOC3"/>
            <w:rPr>
              <w:rFonts w:asciiTheme="minorHAnsi" w:eastAsiaTheme="minorEastAsia" w:hAnsiTheme="minorHAnsi" w:cstheme="minorBidi"/>
              <w:i w:val="0"/>
              <w:iCs w:val="0"/>
              <w:sz w:val="21"/>
              <w:szCs w:val="22"/>
            </w:rPr>
          </w:pPr>
          <w:hyperlink w:anchor="_Toc140505135" w:history="1">
            <w:r>
              <w:rPr>
                <w:rStyle w:val="Hyperlink"/>
                <w:rFonts w:ascii="Arial Narrow" w:eastAsia="仿宋_GB2312" w:hAnsi="Arial Narrow" w:cs="Arial"/>
                <w:color w:val="auto"/>
                <w14:scene3d>
                  <w14:camera w14:prst="orthographicFront"/>
                  <w14:lightRig w14:rig="threePt" w14:dir="t">
                    <w14:rot w14:lat="0" w14:lon="0" w14:rev="0"/>
                  </w14:lightRig>
                </w14:scene3d>
              </w:rPr>
              <w:t>5.2.2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风险分析</w:t>
            </w:r>
            <w:r>
              <w:tab/>
            </w:r>
            <w:r>
              <w:fldChar w:fldCharType="begin"/>
            </w:r>
            <w:r>
              <w:instrText xml:space="preserve"> PAGEREF _Toc140505135 \h </w:instrText>
            </w:r>
            <w:r>
              <w:fldChar w:fldCharType="separate"/>
            </w:r>
            <w:r>
              <w:t>27</w:t>
            </w:r>
            <w:r>
              <w:fldChar w:fldCharType="end"/>
            </w:r>
          </w:hyperlink>
        </w:p>
        <w:p w14:paraId="5004491A" w14:textId="12076EC9" w:rsidR="004D1721" w:rsidRDefault="009B16BC">
          <w:pPr>
            <w:pStyle w:val="TOC2"/>
            <w:rPr>
              <w:rFonts w:asciiTheme="minorHAnsi" w:eastAsiaTheme="minorEastAsia" w:hAnsiTheme="minorHAnsi" w:cstheme="minorBidi"/>
              <w:sz w:val="21"/>
              <w:szCs w:val="22"/>
            </w:rPr>
          </w:pPr>
          <w:hyperlink w:anchor="_Toc140505136" w:history="1">
            <w:r>
              <w:rPr>
                <w:rStyle w:val="Hyperlink"/>
                <w:rFonts w:ascii="Arial Narrow" w:eastAsia="仿宋_GB2312" w:hAnsi="Arial Narrow" w:cs="Arial"/>
                <w:color w:val="auto"/>
                <w14:scene3d>
                  <w14:camera w14:prst="orthographicFront"/>
                  <w14:lightRig w14:rig="threePt" w14:dir="t">
                    <w14:rot w14:lat="0" w14:lon="0" w14:rev="0"/>
                  </w14:lightRig>
                </w14:scene3d>
              </w:rPr>
              <w:t>5.3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资产分析</w:t>
            </w:r>
            <w:r>
              <w:tab/>
            </w:r>
            <w:r>
              <w:fldChar w:fldCharType="begin"/>
            </w:r>
            <w:r>
              <w:instrText xml:space="preserve"> PAGEREF _Toc140505136 \h </w:instrText>
            </w:r>
            <w:r>
              <w:fldChar w:fldCharType="separate"/>
            </w:r>
            <w:r>
              <w:t>29</w:t>
            </w:r>
            <w:r>
              <w:fldChar w:fldCharType="end"/>
            </w:r>
          </w:hyperlink>
        </w:p>
        <w:p w14:paraId="4F754D5A" w14:textId="4231E305" w:rsidR="004D1721" w:rsidRDefault="009B16BC">
          <w:pPr>
            <w:pStyle w:val="TOC3"/>
            <w:rPr>
              <w:rFonts w:asciiTheme="minorHAnsi" w:eastAsiaTheme="minorEastAsia" w:hAnsiTheme="minorHAnsi" w:cstheme="minorBidi"/>
              <w:i w:val="0"/>
              <w:iCs w:val="0"/>
              <w:sz w:val="21"/>
              <w:szCs w:val="22"/>
            </w:rPr>
          </w:pPr>
          <w:hyperlink w:anchor="_Toc140505137" w:history="1">
            <w:r>
              <w:rPr>
                <w:rStyle w:val="Hyperlink"/>
                <w:rFonts w:ascii="Arial Narrow" w:eastAsia="仿宋_GB2312" w:hAnsi="Arial Narrow" w:cs="Arial"/>
                <w:color w:val="auto"/>
                <w14:scene3d>
                  <w14:camera w14:prst="orthographicFront"/>
                  <w14:lightRig w14:rig="threePt" w14:dir="t">
                    <w14:rot w14:lat="0" w14:lon="0" w14:rev="0"/>
                  </w14:lightRig>
                </w14:scene3d>
              </w:rPr>
              <w:t>5.3.1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有形资产</w:t>
            </w:r>
            <w:r>
              <w:tab/>
            </w:r>
            <w:r>
              <w:fldChar w:fldCharType="begin"/>
            </w:r>
            <w:r>
              <w:instrText xml:space="preserve"> PAGEREF _Toc140505137 \h </w:instrText>
            </w:r>
            <w:r>
              <w:fldChar w:fldCharType="separate"/>
            </w:r>
            <w:r>
              <w:t>30</w:t>
            </w:r>
            <w:r>
              <w:fldChar w:fldCharType="end"/>
            </w:r>
          </w:hyperlink>
        </w:p>
        <w:p w14:paraId="6225468B" w14:textId="0EDF1408" w:rsidR="004D1721" w:rsidRDefault="009B16BC">
          <w:pPr>
            <w:pStyle w:val="TOC3"/>
            <w:rPr>
              <w:rFonts w:asciiTheme="minorHAnsi" w:eastAsiaTheme="minorEastAsia" w:hAnsiTheme="minorHAnsi" w:cstheme="minorBidi"/>
              <w:i w:val="0"/>
              <w:iCs w:val="0"/>
              <w:sz w:val="21"/>
              <w:szCs w:val="22"/>
            </w:rPr>
          </w:pPr>
          <w:hyperlink w:anchor="_Toc140505138" w:history="1">
            <w:r>
              <w:rPr>
                <w:rStyle w:val="Hyperlink"/>
                <w:rFonts w:ascii="Arial Narrow" w:eastAsia="仿宋_GB2312" w:hAnsi="Arial Narrow" w:cs="Arial"/>
                <w:color w:val="auto"/>
                <w14:scene3d>
                  <w14:camera w14:prst="orthographicFront"/>
                  <w14:lightRig w14:rig="threePt" w14:dir="t">
                    <w14:rot w14:lat="0" w14:lon="0" w14:rev="0"/>
                  </w14:lightRig>
                </w14:scene3d>
              </w:rPr>
              <w:t>5.3.2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无形资产</w:t>
            </w:r>
            <w:r>
              <w:tab/>
            </w:r>
            <w:r>
              <w:fldChar w:fldCharType="begin"/>
            </w:r>
            <w:r>
              <w:instrText xml:space="preserve"> PAGEREF _Toc140505138 \h </w:instrText>
            </w:r>
            <w:r>
              <w:fldChar w:fldCharType="separate"/>
            </w:r>
            <w:r>
              <w:t>30</w:t>
            </w:r>
            <w:r>
              <w:fldChar w:fldCharType="end"/>
            </w:r>
          </w:hyperlink>
        </w:p>
        <w:p w14:paraId="4B101BF6" w14:textId="1F1028E3" w:rsidR="004D1721" w:rsidRDefault="009B16BC">
          <w:pPr>
            <w:pStyle w:val="TOC2"/>
            <w:rPr>
              <w:rFonts w:asciiTheme="minorHAnsi" w:eastAsiaTheme="minorEastAsia" w:hAnsiTheme="minorHAnsi" w:cstheme="minorBidi"/>
              <w:sz w:val="21"/>
              <w:szCs w:val="22"/>
            </w:rPr>
          </w:pPr>
          <w:hyperlink w:anchor="_Toc140505139" w:history="1">
            <w:r>
              <w:rPr>
                <w:rStyle w:val="Hyperlink"/>
                <w:rFonts w:ascii="Arial Narrow" w:eastAsia="仿宋_GB2312" w:hAnsi="Arial Narrow" w:cs="Arial"/>
                <w:color w:val="auto"/>
                <w14:scene3d>
                  <w14:camera w14:prst="orthographicFront"/>
                  <w14:lightRig w14:rig="threePt" w14:dir="t">
                    <w14:rot w14:lat="0" w14:lon="0" w14:rev="0"/>
                  </w14:lightRig>
                </w14:scene3d>
              </w:rPr>
              <w:t>5.4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小结</w:t>
            </w:r>
            <w:r>
              <w:tab/>
            </w:r>
            <w:r>
              <w:fldChar w:fldCharType="begin"/>
            </w:r>
            <w:r>
              <w:instrText xml:space="preserve"> PAGEREF _Toc140505139 \h </w:instrText>
            </w:r>
            <w:r>
              <w:fldChar w:fldCharType="separate"/>
            </w:r>
            <w:r>
              <w:t>30</w:t>
            </w:r>
            <w:r>
              <w:fldChar w:fldCharType="end"/>
            </w:r>
          </w:hyperlink>
        </w:p>
        <w:p w14:paraId="440D8190" w14:textId="49FD45D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0" w:history="1">
            <w:r>
              <w:rPr>
                <w:rStyle w:val="Hyperlink"/>
                <w:rFonts w:ascii="Arial Narrow" w:eastAsia="仿宋_GB2312" w:hAnsi="Arial Narrow"/>
                <w:color w:val="auto"/>
              </w:rPr>
              <w:t>6.</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价值链分析</w:t>
            </w:r>
            <w:r>
              <w:tab/>
            </w:r>
            <w:r>
              <w:fldChar w:fldCharType="begin"/>
            </w:r>
            <w:r>
              <w:instrText xml:space="preserve"> PAGEREF _Toc140505140 \h </w:instrText>
            </w:r>
            <w:r>
              <w:fldChar w:fldCharType="separate"/>
            </w:r>
            <w:r>
              <w:t>31</w:t>
            </w:r>
            <w:r>
              <w:fldChar w:fldCharType="end"/>
            </w:r>
          </w:hyperlink>
        </w:p>
        <w:p w14:paraId="553038F1" w14:textId="146DE802" w:rsidR="004D1721" w:rsidRDefault="009B16BC">
          <w:pPr>
            <w:pStyle w:val="TOC2"/>
            <w:rPr>
              <w:rFonts w:asciiTheme="minorHAnsi" w:eastAsiaTheme="minorEastAsia" w:hAnsiTheme="minorHAnsi" w:cstheme="minorBidi"/>
              <w:sz w:val="21"/>
              <w:szCs w:val="22"/>
            </w:rPr>
          </w:pPr>
          <w:hyperlink w:anchor="_Toc140505141" w:history="1">
            <w:r>
              <w:rPr>
                <w:rStyle w:val="Hyperlink"/>
                <w:rFonts w:ascii="Arial Narrow" w:eastAsia="仿宋_GB2312" w:hAnsi="Arial Narrow" w:cs="Arial"/>
                <w:color w:val="auto"/>
                <w14:scene3d>
                  <w14:camera w14:prst="orthographicFront"/>
                  <w14:lightRig w14:rig="threePt" w14:dir="t">
                    <w14:rot w14:lat="0" w14:lon="0" w14:rev="0"/>
                  </w14:lightRig>
                </w14:scene3d>
              </w:rPr>
              <w:t>6.1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确定关键价值驱动因素</w:t>
            </w:r>
            <w:r>
              <w:tab/>
            </w:r>
            <w:r>
              <w:fldChar w:fldCharType="begin"/>
            </w:r>
            <w:r>
              <w:instrText xml:space="preserve"> PAGEREF _Toc140505141 \h </w:instrText>
            </w:r>
            <w:r>
              <w:fldChar w:fldCharType="separate"/>
            </w:r>
            <w:r>
              <w:t>31</w:t>
            </w:r>
            <w:r>
              <w:fldChar w:fldCharType="end"/>
            </w:r>
          </w:hyperlink>
        </w:p>
        <w:p w14:paraId="36056844" w14:textId="576A5B75" w:rsidR="004D1721" w:rsidRDefault="009B16BC">
          <w:pPr>
            <w:pStyle w:val="TOC2"/>
            <w:rPr>
              <w:rFonts w:asciiTheme="minorHAnsi" w:eastAsiaTheme="minorEastAsia" w:hAnsiTheme="minorHAnsi" w:cstheme="minorBidi"/>
              <w:sz w:val="21"/>
              <w:szCs w:val="22"/>
            </w:rPr>
          </w:pPr>
          <w:hyperlink w:anchor="_Toc140505142" w:history="1">
            <w:r>
              <w:rPr>
                <w:rStyle w:val="Hyperlink"/>
                <w:rFonts w:ascii="Arial Narrow" w:eastAsia="仿宋_GB2312" w:hAnsi="Arial Narrow" w:cs="Arial"/>
                <w:color w:val="auto"/>
                <w14:scene3d>
                  <w14:camera w14:prst="orthographicFront"/>
                  <w14:lightRig w14:rig="threePt" w14:dir="t">
                    <w14:rot w14:lat="0" w14:lon="0" w14:rev="0"/>
                  </w14:lightRig>
                </w14:scene3d>
              </w:rPr>
              <w:t>6.2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集团价值链</w:t>
            </w:r>
            <w:r>
              <w:tab/>
            </w:r>
            <w:r>
              <w:fldChar w:fldCharType="begin"/>
            </w:r>
            <w:r>
              <w:instrText xml:space="preserve"> PAGEREF _Toc140505142 \h </w:instrText>
            </w:r>
            <w:r>
              <w:fldChar w:fldCharType="separate"/>
            </w:r>
            <w:r>
              <w:t>32</w:t>
            </w:r>
            <w:r>
              <w:fldChar w:fldCharType="end"/>
            </w:r>
          </w:hyperlink>
        </w:p>
        <w:p w14:paraId="087DD611" w14:textId="26438354" w:rsidR="004D1721" w:rsidRDefault="009B16BC">
          <w:pPr>
            <w:pStyle w:val="TOC2"/>
            <w:rPr>
              <w:rFonts w:asciiTheme="minorHAnsi" w:eastAsiaTheme="minorEastAsia" w:hAnsiTheme="minorHAnsi" w:cstheme="minorBidi"/>
              <w:sz w:val="21"/>
              <w:szCs w:val="22"/>
            </w:rPr>
          </w:pPr>
          <w:hyperlink w:anchor="_Toc140505143" w:history="1">
            <w:r>
              <w:rPr>
                <w:rStyle w:val="Hyperlink"/>
                <w:rFonts w:ascii="Arial Narrow" w:eastAsia="仿宋_GB2312" w:hAnsi="Arial Narrow" w:cs="Arial"/>
                <w:color w:val="auto"/>
                <w14:scene3d>
                  <w14:camera w14:prst="orthographicFront"/>
                  <w14:lightRig w14:rig="threePt" w14:dir="t">
                    <w14:rot w14:lat="0" w14:lon="0" w14:rev="0"/>
                  </w14:lightRig>
                </w14:scene3d>
              </w:rPr>
              <w:t>6.3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交易定价影响要素</w:t>
            </w:r>
            <w:r>
              <w:tab/>
            </w:r>
            <w:r>
              <w:fldChar w:fldCharType="begin"/>
            </w:r>
            <w:r>
              <w:instrText xml:space="preserve"> PAGEREF _Toc140505143 \h </w:instrText>
            </w:r>
            <w:r>
              <w:fldChar w:fldCharType="separate"/>
            </w:r>
            <w:r>
              <w:t>33</w:t>
            </w:r>
            <w:r>
              <w:fldChar w:fldCharType="end"/>
            </w:r>
          </w:hyperlink>
        </w:p>
        <w:p w14:paraId="5E8A0A17" w14:textId="0711EF9B" w:rsidR="004D1721" w:rsidRDefault="009B16BC">
          <w:pPr>
            <w:pStyle w:val="TOC3"/>
            <w:rPr>
              <w:rFonts w:asciiTheme="minorHAnsi" w:eastAsiaTheme="minorEastAsia" w:hAnsiTheme="minorHAnsi" w:cstheme="minorBidi"/>
              <w:i w:val="0"/>
              <w:iCs w:val="0"/>
              <w:sz w:val="21"/>
              <w:szCs w:val="22"/>
            </w:rPr>
          </w:pPr>
          <w:hyperlink w:anchor="_Toc140505144" w:history="1">
            <w:r>
              <w:rPr>
                <w:rStyle w:val="Hyperlink"/>
                <w:rFonts w:ascii="Arial Narrow" w:eastAsia="仿宋_GB2312" w:hAnsi="Arial Narrow" w:cs="Arial"/>
                <w:color w:val="auto"/>
                <w14:scene3d>
                  <w14:camera w14:prst="orthographicFront"/>
                  <w14:lightRig w14:rig="threePt" w14:dir="t">
                    <w14:rot w14:lat="0" w14:lon="0" w14:rev="0"/>
                  </w14:lightRig>
                </w14:scene3d>
              </w:rPr>
              <w:t>6.3.1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地域成本节约</w:t>
            </w:r>
            <w:r>
              <w:tab/>
            </w:r>
            <w:r>
              <w:fldChar w:fldCharType="begin"/>
            </w:r>
            <w:r>
              <w:instrText xml:space="preserve"> PAGEREF _Toc140505144 \h </w:instrText>
            </w:r>
            <w:r>
              <w:fldChar w:fldCharType="separate"/>
            </w:r>
            <w:r>
              <w:t>34</w:t>
            </w:r>
            <w:r>
              <w:fldChar w:fldCharType="end"/>
            </w:r>
          </w:hyperlink>
        </w:p>
        <w:p w14:paraId="70B1EBDE" w14:textId="5621C8BA" w:rsidR="004D1721" w:rsidRDefault="009B16BC">
          <w:pPr>
            <w:pStyle w:val="TOC3"/>
            <w:rPr>
              <w:rFonts w:asciiTheme="minorHAnsi" w:eastAsiaTheme="minorEastAsia" w:hAnsiTheme="minorHAnsi" w:cstheme="minorBidi"/>
              <w:i w:val="0"/>
              <w:iCs w:val="0"/>
              <w:sz w:val="21"/>
              <w:szCs w:val="22"/>
            </w:rPr>
          </w:pPr>
          <w:hyperlink w:anchor="_Toc140505145" w:history="1">
            <w:r>
              <w:rPr>
                <w:rStyle w:val="Hyperlink"/>
                <w:rFonts w:ascii="Arial Narrow" w:eastAsia="仿宋_GB2312" w:hAnsi="Arial Narrow" w:cs="Arial"/>
                <w:color w:val="auto"/>
                <w14:scene3d>
                  <w14:camera w14:prst="orthographicFront"/>
                  <w14:lightRig w14:rig="threePt" w14:dir="t">
                    <w14:rot w14:lat="0" w14:lon="0" w14:rev="0"/>
                  </w14:lightRig>
                </w14:scene3d>
              </w:rPr>
              <w:t>6.3.2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市场溢价</w:t>
            </w:r>
            <w:r>
              <w:tab/>
            </w:r>
            <w:r>
              <w:fldChar w:fldCharType="begin"/>
            </w:r>
            <w:r>
              <w:instrText xml:space="preserve"> PAGEREF _Toc140505145 \h </w:instrText>
            </w:r>
            <w:r>
              <w:fldChar w:fldCharType="separate"/>
            </w:r>
            <w:r>
              <w:t>35</w:t>
            </w:r>
            <w:r>
              <w:fldChar w:fldCharType="end"/>
            </w:r>
          </w:hyperlink>
        </w:p>
        <w:p w14:paraId="74B2A9D8" w14:textId="691E62FB" w:rsidR="004D1721" w:rsidRDefault="009B16BC">
          <w:pPr>
            <w:pStyle w:val="TOC2"/>
            <w:rPr>
              <w:rFonts w:asciiTheme="minorHAnsi" w:eastAsiaTheme="minorEastAsia" w:hAnsiTheme="minorHAnsi" w:cstheme="minorBidi"/>
              <w:sz w:val="21"/>
              <w:szCs w:val="22"/>
            </w:rPr>
          </w:pPr>
          <w:hyperlink w:anchor="_Toc140505146" w:history="1">
            <w:r>
              <w:rPr>
                <w:rStyle w:val="Hyperlink"/>
                <w:rFonts w:ascii="Arial Narrow" w:eastAsia="仿宋_GB2312" w:hAnsi="Arial Narrow" w:cs="Arial"/>
                <w:color w:val="auto"/>
                <w14:scene3d>
                  <w14:camera w14:prst="orthographicFront"/>
                  <w14:lightRig w14:rig="threePt" w14:dir="t">
                    <w14:rot w14:lat="0" w14:lon="0" w14:rev="0"/>
                  </w14:lightRig>
                </w14:scene3d>
              </w:rPr>
              <w:t>6.4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价值链各参与方财务报表</w:t>
            </w:r>
            <w:r>
              <w:tab/>
            </w:r>
            <w:r>
              <w:fldChar w:fldCharType="begin"/>
            </w:r>
            <w:r>
              <w:instrText xml:space="preserve"> PAGEREF _Toc140505146 \h </w:instrText>
            </w:r>
            <w:r>
              <w:fldChar w:fldCharType="separate"/>
            </w:r>
            <w:r>
              <w:t>36</w:t>
            </w:r>
            <w:r>
              <w:fldChar w:fldCharType="end"/>
            </w:r>
          </w:hyperlink>
        </w:p>
        <w:p w14:paraId="052AA99A" w14:textId="4DC8281A"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7" w:history="1">
            <w:r>
              <w:rPr>
                <w:rStyle w:val="Hyperlink"/>
                <w:rFonts w:ascii="Arial Narrow" w:eastAsia="仿宋_GB2312" w:hAnsi="Arial Narrow"/>
                <w:color w:val="auto"/>
              </w:rPr>
              <w:t>7.</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可比性分析</w:t>
            </w:r>
            <w:r>
              <w:tab/>
            </w:r>
            <w:r>
              <w:fldChar w:fldCharType="begin"/>
            </w:r>
            <w:r>
              <w:instrText xml:space="preserve"> PAGEREF _Toc140505147 \h </w:instrText>
            </w:r>
            <w:r>
              <w:fldChar w:fldCharType="separate"/>
            </w:r>
            <w:r>
              <w:t>37</w:t>
            </w:r>
            <w:r>
              <w:fldChar w:fldCharType="end"/>
            </w:r>
          </w:hyperlink>
        </w:p>
        <w:p w14:paraId="50B91C3C" w14:textId="12B73D06" w:rsidR="004D1721" w:rsidRDefault="009B16BC">
          <w:pPr>
            <w:pStyle w:val="TOC2"/>
            <w:rPr>
              <w:rFonts w:asciiTheme="minorHAnsi" w:eastAsiaTheme="minorEastAsia" w:hAnsiTheme="minorHAnsi" w:cstheme="minorBidi"/>
              <w:sz w:val="21"/>
              <w:szCs w:val="22"/>
            </w:rPr>
          </w:pPr>
          <w:hyperlink w:anchor="_Toc140505148" w:history="1">
            <w:r>
              <w:rPr>
                <w:rStyle w:val="Hyperlink"/>
                <w:rFonts w:ascii="Arial Narrow" w:eastAsia="仿宋_GB2312" w:hAnsi="Arial Narrow" w:cs="Arial"/>
                <w:color w:val="auto"/>
                <w14:scene3d>
                  <w14:camera w14:prst="orthographicFront"/>
                  <w14:lightRig w14:rig="threePt" w14:dir="t">
                    <w14:rot w14:lat="0" w14:lon="0" w14:rev="0"/>
                  </w14:lightRig>
                </w14:scene3d>
              </w:rPr>
              <w:t>7.1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_Toc140505148 \h </w:instrText>
            </w:r>
            <w:r>
              <w:fldChar w:fldCharType="separate"/>
            </w:r>
            <w:r>
              <w:t>37</w:t>
            </w:r>
            <w:r>
              <w:fldChar w:fldCharType="end"/>
            </w:r>
          </w:hyperlink>
        </w:p>
        <w:p w14:paraId="687D18D7" w14:textId="1AACBEE9" w:rsidR="004D1721" w:rsidRDefault="009B16BC">
          <w:pPr>
            <w:pStyle w:val="TOC2"/>
            <w:rPr>
              <w:rFonts w:asciiTheme="minorHAnsi" w:eastAsiaTheme="minorEastAsia" w:hAnsiTheme="minorHAnsi" w:cstheme="minorBidi"/>
              <w:sz w:val="21"/>
              <w:szCs w:val="22"/>
            </w:rPr>
          </w:pPr>
          <w:hyperlink w:anchor="_Toc140505149" w:history="1">
            <w:r>
              <w:rPr>
                <w:rStyle w:val="Hyperlink"/>
                <w:rFonts w:ascii="Arial Narrow" w:eastAsia="仿宋_GB2312" w:hAnsi="Arial Narrow" w:cs="Arial"/>
                <w:color w:val="auto"/>
                <w14:scene3d>
                  <w14:camera w14:prst="orthographicFront"/>
                  <w14:lightRig w14:rig="threePt" w14:dir="t">
                    <w14:rot w14:lat="0" w14:lon="0" w14:rev="0"/>
                  </w14:lightRig>
                </w14:scene3d>
              </w:rPr>
              <w:t>7.2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转让定价方法的选择</w:t>
            </w:r>
            <w:r>
              <w:tab/>
            </w:r>
            <w:r>
              <w:fldChar w:fldCharType="begin"/>
            </w:r>
            <w:r>
              <w:instrText xml:space="preserve"> PAGEREF _Toc140505149 \h </w:instrText>
            </w:r>
            <w:r>
              <w:fldChar w:fldCharType="separate"/>
            </w:r>
            <w:r>
              <w:t>37</w:t>
            </w:r>
            <w:r>
              <w:fldChar w:fldCharType="end"/>
            </w:r>
          </w:hyperlink>
        </w:p>
        <w:p w14:paraId="222ED14A" w14:textId="7024BF2B" w:rsidR="004D1721" w:rsidRDefault="009B16BC">
          <w:pPr>
            <w:pStyle w:val="TOC2"/>
            <w:rPr>
              <w:rFonts w:asciiTheme="minorHAnsi" w:eastAsiaTheme="minorEastAsia" w:hAnsiTheme="minorHAnsi" w:cstheme="minorBidi"/>
              <w:sz w:val="21"/>
              <w:szCs w:val="22"/>
            </w:rPr>
          </w:pPr>
          <w:hyperlink w:anchor="_Toc140505150" w:history="1">
            <w:r>
              <w:rPr>
                <w:rStyle w:val="Hyperlink"/>
                <w:rFonts w:ascii="Arial Narrow" w:eastAsia="仿宋_GB2312" w:hAnsi="Arial Narrow" w:cs="Arial"/>
                <w:color w:val="auto"/>
                <w14:scene3d>
                  <w14:camera w14:prst="orthographicFront"/>
                  <w14:lightRig w14:rig="threePt" w14:dir="t">
                    <w14:rot w14:lat="0" w14:lon="0" w14:rev="0"/>
                  </w14:lightRig>
                </w14:scene3d>
              </w:rPr>
              <w:t>7.3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验证对象的选择</w:t>
            </w:r>
            <w:r>
              <w:tab/>
            </w:r>
            <w:r>
              <w:fldChar w:fldCharType="begin"/>
            </w:r>
            <w:r>
              <w:instrText xml:space="preserve"> PAGEREF _Toc140505150 \h </w:instrText>
            </w:r>
            <w:r>
              <w:fldChar w:fldCharType="separate"/>
            </w:r>
            <w:r>
              <w:t>39</w:t>
            </w:r>
            <w:r>
              <w:fldChar w:fldCharType="end"/>
            </w:r>
          </w:hyperlink>
        </w:p>
        <w:p w14:paraId="791FCDE9" w14:textId="4CC6BC3F" w:rsidR="004D1721" w:rsidRDefault="009B16BC">
          <w:pPr>
            <w:pStyle w:val="TOC2"/>
            <w:rPr>
              <w:rFonts w:asciiTheme="minorHAnsi" w:eastAsiaTheme="minorEastAsia" w:hAnsiTheme="minorHAnsi" w:cstheme="minorBidi"/>
              <w:sz w:val="21"/>
              <w:szCs w:val="22"/>
            </w:rPr>
          </w:pPr>
          <w:hyperlink w:anchor="_Toc140505168" w:history="1">
            <w:r>
              <w:rPr>
                <w:rStyle w:val="Hyperlink"/>
                <w:rFonts w:ascii="Arial Narrow" w:eastAsia="仿宋_GB2312" w:hAnsi="Arial Narrow" w:cs="Arial"/>
                <w:color w:val="auto"/>
                <w14:scene3d>
                  <w14:camera w14:prst="orthographicFront"/>
                  <w14:lightRig w14:rig="threePt" w14:dir="t">
                    <w14:rot w14:lat="0" w14:lon="0" w14:rev="0"/>
                  </w14:lightRig>
                </w14:scene3d>
              </w:rPr>
              <w:t>7.4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转让定价方法的应用</w:t>
            </w:r>
            <w:r>
              <w:tab/>
            </w:r>
            <w:r>
              <w:fldChar w:fldCharType="begin"/>
            </w:r>
            <w:r>
              <w:instrText xml:space="preserve"> PAGEREF _Toc140505168 \h </w:instrText>
            </w:r>
            <w:r>
              <w:fldChar w:fldCharType="separate"/>
            </w:r>
            <w:r>
              <w:t>40</w:t>
            </w:r>
            <w:r>
              <w:fldChar w:fldCharType="end"/>
            </w:r>
          </w:hyperlink>
        </w:p>
        <w:p w14:paraId="542B4F2A" w14:textId="7F309ED1" w:rsidR="004D1721" w:rsidRDefault="009B16BC">
          <w:pPr>
            <w:pStyle w:val="TOC3"/>
            <w:rPr>
              <w:rFonts w:asciiTheme="minorHAnsi" w:eastAsiaTheme="minorEastAsia" w:hAnsiTheme="minorHAnsi" w:cstheme="minorBidi"/>
              <w:i w:val="0"/>
              <w:iCs w:val="0"/>
              <w:sz w:val="21"/>
              <w:szCs w:val="22"/>
            </w:rPr>
          </w:pPr>
          <w:hyperlink w:anchor="_Toc140505169" w:history="1">
            <w:r>
              <w:rPr>
                <w:rStyle w:val="Hyperlink"/>
                <w:rFonts w:ascii="Arial Narrow" w:eastAsia="仿宋_GB2312" w:hAnsi="Arial Narrow" w:cs="Arial"/>
                <w:color w:val="auto"/>
                <w14:scene3d>
                  <w14:camera w14:prst="orthographicFront"/>
                  <w14:lightRig w14:rig="threePt" w14:dir="t">
                    <w14:rot w14:lat="0" w14:lon="0" w14:rev="0"/>
                  </w14:lightRig>
                </w14:scene3d>
              </w:rPr>
              <w:t>7.4.1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概述</w:t>
            </w:r>
            <w:r>
              <w:tab/>
            </w:r>
            <w:r>
              <w:fldChar w:fldCharType="begin"/>
            </w:r>
            <w:r>
              <w:instrText xml:space="preserve"> PAGEREF _Toc140505169 \h </w:instrText>
            </w:r>
            <w:r>
              <w:fldChar w:fldCharType="separate"/>
            </w:r>
            <w:r>
              <w:t>40</w:t>
            </w:r>
            <w:r>
              <w:fldChar w:fldCharType="end"/>
            </w:r>
          </w:hyperlink>
        </w:p>
        <w:p w14:paraId="1C88F146" w14:textId="0749A147" w:rsidR="004D1721" w:rsidRDefault="009B16BC">
          <w:pPr>
            <w:pStyle w:val="TOC3"/>
            <w:rPr>
              <w:rFonts w:asciiTheme="minorHAnsi" w:eastAsiaTheme="minorEastAsia" w:hAnsiTheme="minorHAnsi" w:cstheme="minorBidi"/>
              <w:i w:val="0"/>
              <w:iCs w:val="0"/>
              <w:sz w:val="21"/>
              <w:szCs w:val="22"/>
            </w:rPr>
          </w:pPr>
          <w:hyperlink w:anchor="_Toc140505170" w:history="1">
            <w:r>
              <w:rPr>
                <w:rStyle w:val="Hyperlink"/>
                <w:rFonts w:ascii="Arial Narrow" w:eastAsia="仿宋_GB2312" w:hAnsi="Arial Narrow" w:cs="Arial"/>
                <w:color w:val="auto"/>
                <w14:scene3d>
                  <w14:camera w14:prst="orthographicFront"/>
                  <w14:lightRig w14:rig="threePt" w14:dir="t">
                    <w14:rot w14:lat="0" w14:lon="0" w14:rev="0"/>
                  </w14:lightRig>
                </w14:scene3d>
              </w:rPr>
              <w:t>7.4.2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确定与受测关联交易相关的财务数据</w:t>
            </w:r>
            <w:r>
              <w:tab/>
            </w:r>
            <w:r>
              <w:fldChar w:fldCharType="begin"/>
            </w:r>
            <w:r>
              <w:instrText xml:space="preserve"> PAGEREF _Toc140505170 \h </w:instrText>
            </w:r>
            <w:r>
              <w:fldChar w:fldCharType="separate"/>
            </w:r>
            <w:r>
              <w:t>40</w:t>
            </w:r>
            <w:r>
              <w:fldChar w:fldCharType="end"/>
            </w:r>
          </w:hyperlink>
        </w:p>
        <w:p w14:paraId="38E2A8C4" w14:textId="504BE22E" w:rsidR="004D1721" w:rsidRDefault="009B16BC">
          <w:pPr>
            <w:pStyle w:val="TOC3"/>
            <w:rPr>
              <w:rFonts w:asciiTheme="minorHAnsi" w:eastAsiaTheme="minorEastAsia" w:hAnsiTheme="minorHAnsi" w:cstheme="minorBidi"/>
              <w:i w:val="0"/>
              <w:iCs w:val="0"/>
              <w:sz w:val="21"/>
              <w:szCs w:val="22"/>
            </w:rPr>
          </w:pPr>
          <w:hyperlink w:anchor="_Toc140505173" w:history="1">
            <w:r>
              <w:rPr>
                <w:rStyle w:val="Hyperlink"/>
                <w:rFonts w:ascii="Arial Narrow" w:eastAsia="仿宋_GB2312" w:hAnsi="Arial Narrow" w:cs="Arial"/>
                <w:color w:val="auto"/>
                <w14:scene3d>
                  <w14:camera w14:prst="orthographicFront"/>
                  <w14:lightRig w14:rig="threePt" w14:dir="t">
                    <w14:rot w14:lat="0" w14:lon="0" w14:rev="0"/>
                  </w14:lightRig>
                </w14:scene3d>
              </w:rPr>
              <w:t>7.4.3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搜寻外部可比公司</w:t>
            </w:r>
            <w:r>
              <w:tab/>
            </w:r>
            <w:r>
              <w:fldChar w:fldCharType="begin"/>
            </w:r>
            <w:r>
              <w:instrText xml:space="preserve"> PAGEREF _Toc140505173 \h </w:instrText>
            </w:r>
            <w:r>
              <w:fldChar w:fldCharType="separate"/>
            </w:r>
            <w:r>
              <w:t>41</w:t>
            </w:r>
            <w:r>
              <w:fldChar w:fldCharType="end"/>
            </w:r>
          </w:hyperlink>
        </w:p>
        <w:p w14:paraId="6A714037" w14:textId="12AD9FD5" w:rsidR="004D1721" w:rsidRDefault="009B16BC">
          <w:pPr>
            <w:pStyle w:val="TOC3"/>
            <w:rPr>
              <w:rFonts w:asciiTheme="minorHAnsi" w:eastAsiaTheme="minorEastAsia" w:hAnsiTheme="minorHAnsi" w:cstheme="minorBidi"/>
              <w:i w:val="0"/>
              <w:iCs w:val="0"/>
              <w:sz w:val="21"/>
              <w:szCs w:val="22"/>
            </w:rPr>
          </w:pPr>
          <w:hyperlink w:anchor="_Toc140505174" w:history="1">
            <w:r>
              <w:rPr>
                <w:rStyle w:val="Hyperlink"/>
                <w:rFonts w:ascii="Arial Narrow" w:eastAsia="仿宋_GB2312" w:hAnsi="Arial Narrow" w:cs="Arial"/>
                <w:color w:val="auto"/>
                <w14:scene3d>
                  <w14:camera w14:prst="orthographicFront"/>
                  <w14:lightRig w14:rig="threePt" w14:dir="t">
                    <w14:rot w14:lat="0" w14:lon="0" w14:rev="0"/>
                  </w14:lightRig>
                </w14:scene3d>
              </w:rPr>
              <w:t>7.4.4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可比公司利润水平</w:t>
            </w:r>
            <w:r>
              <w:tab/>
            </w:r>
            <w:r>
              <w:fldChar w:fldCharType="begin"/>
            </w:r>
            <w:r>
              <w:instrText xml:space="preserve"> PAGEREF _Toc140505174 \h </w:instrText>
            </w:r>
            <w:r>
              <w:fldChar w:fldCharType="separate"/>
            </w:r>
            <w:r>
              <w:t>44</w:t>
            </w:r>
            <w:r>
              <w:fldChar w:fldCharType="end"/>
            </w:r>
          </w:hyperlink>
        </w:p>
        <w:p w14:paraId="15B97618" w14:textId="29D96A2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75" w:history="1">
            <w:r>
              <w:rPr>
                <w:rStyle w:val="Hyperlink"/>
                <w:rFonts w:ascii="Arial Narrow" w:eastAsia="仿宋_GB2312" w:hAnsi="Arial Narrow"/>
                <w:color w:val="auto"/>
              </w:rPr>
              <w:t>8.</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结论</w:t>
            </w:r>
            <w:r>
              <w:tab/>
            </w:r>
            <w:r>
              <w:fldChar w:fldCharType="begin"/>
            </w:r>
            <w:r>
              <w:instrText xml:space="preserve"> PAGEREF _Toc140505175 \h </w:instrText>
            </w:r>
            <w:r>
              <w:fldChar w:fldCharType="separate"/>
            </w:r>
            <w:r>
              <w:t>48</w:t>
            </w:r>
            <w:r>
              <w:fldChar w:fldCharType="end"/>
            </w:r>
          </w:hyperlink>
        </w:p>
        <w:p w14:paraId="06F430B8" w14:textId="14CAF1E1" w:rsidR="004D1721" w:rsidRDefault="009B16BC">
          <w:pPr>
            <w:pStyle w:val="TOC1"/>
            <w:rPr>
              <w:rFonts w:asciiTheme="minorHAnsi" w:eastAsiaTheme="minorEastAsia" w:hAnsiTheme="minorHAnsi" w:cstheme="minorBidi"/>
              <w:bCs w:val="0"/>
              <w:caps w:val="0"/>
              <w:sz w:val="21"/>
              <w:szCs w:val="22"/>
            </w:rPr>
          </w:pPr>
          <w:hyperlink w:anchor="_Toc140505176" w:history="1">
            <w:r>
              <w:rPr>
                <w:rStyle w:val="Hyperlink"/>
                <w:rFonts w:ascii="Arial Narrow" w:eastAsia="仿宋_GB2312" w:hAnsi="Arial Narrow" w:cs="Arial"/>
                <w:color w:val="auto"/>
              </w:rPr>
              <w:t>附件列表</w:t>
            </w:r>
            <w:r>
              <w:tab/>
            </w:r>
            <w:r>
              <w:fldChar w:fldCharType="begin"/>
            </w:r>
            <w:r>
              <w:instrText xml:space="preserve"> PAGEREF _Toc140505176 \h </w:instrText>
            </w:r>
            <w:r>
              <w:fldChar w:fldCharType="separate"/>
            </w:r>
            <w:r>
              <w:t>49</w:t>
            </w:r>
            <w:r>
              <w:fldChar w:fldCharType="end"/>
            </w:r>
          </w:hyperlink>
        </w:p>
        <w:p w14:paraId="60FDA695" w14:textId="48ADFAB0" w:rsidR="004D1721" w:rsidRDefault="009B16BC">
          <w:pPr>
            <w:pStyle w:val="TOC1"/>
            <w:rPr>
              <w:rFonts w:asciiTheme="minorHAnsi" w:eastAsiaTheme="minorEastAsia" w:hAnsiTheme="minorHAnsi" w:cstheme="minorBidi"/>
              <w:bCs w:val="0"/>
              <w:caps w:val="0"/>
              <w:sz w:val="21"/>
              <w:szCs w:val="22"/>
            </w:rPr>
          </w:pPr>
          <w:hyperlink w:anchor="_Toc140505177"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1</w:t>
            </w:r>
            <w:r>
              <w:rPr>
                <w:rStyle w:val="Hyperlink"/>
                <w:rFonts w:ascii="Arial Narrow" w:eastAsia="仿宋_GB2312" w:hAnsi="Arial Narrow" w:cs="Arial"/>
                <w:color w:val="auto"/>
              </w:rPr>
              <w:t>转让定价方法简介</w:t>
            </w:r>
            <w:r>
              <w:tab/>
            </w:r>
            <w:r>
              <w:fldChar w:fldCharType="begin"/>
            </w:r>
            <w:r>
              <w:instrText xml:space="preserve"> PAGEREF _Toc140505177 \h </w:instrText>
            </w:r>
            <w:r>
              <w:fldChar w:fldCharType="separate"/>
            </w:r>
            <w:r>
              <w:t>50</w:t>
            </w:r>
            <w:r>
              <w:fldChar w:fldCharType="end"/>
            </w:r>
          </w:hyperlink>
        </w:p>
        <w:p w14:paraId="7DEC949E" w14:textId="55770362" w:rsidR="004D1721" w:rsidRDefault="009B16BC">
          <w:pPr>
            <w:pStyle w:val="TOC1"/>
            <w:rPr>
              <w:rFonts w:asciiTheme="minorHAnsi" w:eastAsiaTheme="minorEastAsia" w:hAnsiTheme="minorHAnsi" w:cstheme="minorBidi"/>
              <w:bCs w:val="0"/>
              <w:caps w:val="0"/>
              <w:sz w:val="21"/>
              <w:szCs w:val="22"/>
            </w:rPr>
          </w:pPr>
          <w:hyperlink w:anchor="_Toc140505178"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2</w:t>
            </w:r>
            <w:r>
              <w:rPr>
                <w:rStyle w:val="Hyperlink"/>
                <w:rFonts w:ascii="Arial Narrow" w:eastAsia="仿宋_GB2312" w:hAnsi="Arial Narrow" w:cs="Arial"/>
                <w:color w:val="auto"/>
              </w:rPr>
              <w:t>企业年度关联交易财务状况分析表</w:t>
            </w:r>
            <w:r>
              <w:tab/>
            </w:r>
            <w:r>
              <w:fldChar w:fldCharType="begin"/>
            </w:r>
            <w:r>
              <w:instrText xml:space="preserve"> PAGEREF _Toc140505178 \h </w:instrText>
            </w:r>
            <w:r>
              <w:fldChar w:fldCharType="separate"/>
            </w:r>
            <w:r>
              <w:t>53</w:t>
            </w:r>
            <w:r>
              <w:fldChar w:fldCharType="end"/>
            </w:r>
          </w:hyperlink>
        </w:p>
        <w:p w14:paraId="780E6037" w14:textId="51C9B173" w:rsidR="004D1721" w:rsidRDefault="009B16BC">
          <w:pPr>
            <w:pStyle w:val="TOC1"/>
            <w:rPr>
              <w:rFonts w:asciiTheme="minorHAnsi" w:eastAsiaTheme="minorEastAsia" w:hAnsiTheme="minorHAnsi" w:cstheme="minorBidi"/>
              <w:bCs w:val="0"/>
              <w:caps w:val="0"/>
              <w:sz w:val="21"/>
              <w:szCs w:val="22"/>
            </w:rPr>
          </w:pPr>
          <w:hyperlink w:anchor="_Toc140505179"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3</w:t>
            </w:r>
            <w:r>
              <w:rPr>
                <w:rStyle w:val="Hyperlink"/>
                <w:rFonts w:ascii="Arial Narrow" w:eastAsia="仿宋_GB2312" w:hAnsi="Arial Narrow" w:cs="Arial"/>
                <w:color w:val="auto"/>
              </w:rPr>
              <w:t>被选可比公司的业务简介</w:t>
            </w:r>
            <w:r>
              <w:tab/>
            </w:r>
            <w:r>
              <w:fldChar w:fldCharType="begin"/>
            </w:r>
            <w:r>
              <w:instrText xml:space="preserve"> PAGEREF _Toc140505179 \h </w:instrText>
            </w:r>
            <w:r>
              <w:fldChar w:fldCharType="separate"/>
            </w:r>
            <w:r>
              <w:t>54</w:t>
            </w:r>
            <w:r>
              <w:fldChar w:fldCharType="end"/>
            </w:r>
          </w:hyperlink>
        </w:p>
        <w:p w14:paraId="5A8E10B2" w14:textId="41A9635E" w:rsidR="004D1721" w:rsidRDefault="009B16BC">
          <w:pPr>
            <w:pStyle w:val="TOC1"/>
            <w:rPr>
              <w:rFonts w:asciiTheme="minorHAnsi" w:eastAsiaTheme="minorEastAsia" w:hAnsiTheme="minorHAnsi" w:cstheme="minorBidi"/>
              <w:bCs w:val="0"/>
              <w:caps w:val="0"/>
              <w:sz w:val="21"/>
              <w:szCs w:val="22"/>
            </w:rPr>
          </w:pPr>
          <w:hyperlink w:anchor="_Toc140505180"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4</w:t>
            </w:r>
            <w:r>
              <w:rPr>
                <w:rStyle w:val="Hyperlink"/>
                <w:rFonts w:ascii="Arial Narrow" w:eastAsia="仿宋_GB2312" w:hAnsi="Arial Narrow" w:cs="Arial"/>
                <w:color w:val="auto"/>
              </w:rPr>
              <w:t>被选可比公司完全成本加成率的计算</w:t>
            </w:r>
            <w:r>
              <w:tab/>
            </w:r>
            <w:r>
              <w:fldChar w:fldCharType="begin"/>
            </w:r>
            <w:r>
              <w:instrText xml:space="preserve"> PAGEREF _Toc140505180 \h </w:instrText>
            </w:r>
            <w:r>
              <w:fldChar w:fldCharType="separate"/>
            </w:r>
            <w:r>
              <w:t>57</w:t>
            </w:r>
            <w:r>
              <w:fldChar w:fldCharType="end"/>
            </w:r>
          </w:hyperlink>
        </w:p>
        <w:p w14:paraId="17235A1A" w14:textId="77777777" w:rsidR="004D1721" w:rsidRDefault="009B16BC">
          <w:pPr>
            <w:spacing w:before="100" w:beforeAutospacing="1" w:after="100" w:afterAutospacing="1"/>
            <w:rPr>
              <w:rFonts w:ascii="Arial Narrow" w:eastAsia="仿宋_GB2312" w:hAnsi="Arial Narrow" w:cs="Arial"/>
              <w:sz w:val="22"/>
              <w:szCs w:val="22"/>
            </w:rPr>
          </w:pPr>
          <w:r>
            <w:rPr>
              <w:rFonts w:ascii="Arial Narrow" w:eastAsia="仿宋_GB2312" w:hAnsi="Arial Narrow" w:cs="Arial"/>
              <w:b/>
              <w:bCs/>
              <w:sz w:val="24"/>
              <w:szCs w:val="24"/>
              <w:lang w:val="zh-CN"/>
            </w:rPr>
            <w:fldChar w:fldCharType="end"/>
          </w:r>
        </w:p>
      </w:sdtContent>
    </w:sdt>
    <w:p w14:paraId="42445E54" w14:textId="77777777" w:rsidR="004D1721" w:rsidRDefault="004D1721">
      <w:pPr>
        <w:spacing w:after="240"/>
        <w:jc w:val="center"/>
        <w:rPr>
          <w:rFonts w:ascii="Arial Narrow" w:eastAsia="仿宋_GB2312" w:hAnsi="Arial Narrow" w:cs="Arial"/>
          <w:b/>
          <w:sz w:val="36"/>
        </w:rPr>
      </w:pPr>
      <w:bookmarkStart w:id="47" w:name="OLE_LINK2"/>
      <w:bookmarkEnd w:id="47"/>
    </w:p>
    <w:p w14:paraId="13387767" w14:textId="77777777" w:rsidR="004D1721" w:rsidRDefault="004D1721">
      <w:pPr>
        <w:tabs>
          <w:tab w:val="left" w:pos="900"/>
        </w:tabs>
        <w:adjustRightInd w:val="0"/>
        <w:snapToGrid w:val="0"/>
        <w:spacing w:before="240"/>
        <w:jc w:val="both"/>
        <w:rPr>
          <w:rFonts w:ascii="Arial Narrow" w:eastAsia="仿宋_GB2312" w:hAnsi="Arial Narrow" w:cs="Arial"/>
          <w:sz w:val="22"/>
          <w:szCs w:val="22"/>
        </w:rPr>
        <w:sectPr w:rsidR="004D1721">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78495520" w14:textId="77777777" w:rsidR="004D1721" w:rsidRDefault="009B16BC">
      <w:pPr>
        <w:pStyle w:val="Heading1"/>
        <w:numPr>
          <w:ilvl w:val="0"/>
          <w:numId w:val="0"/>
        </w:numPr>
        <w:ind w:left="360"/>
      </w:pPr>
      <w:bookmarkStart w:id="48" w:name="_Toc140505093"/>
      <w:bookmarkStart w:id="49" w:name="_Toc53229044"/>
      <w:r>
        <w:lastRenderedPageBreak/>
        <w:t>同期资料本地文档对照表</w:t>
      </w:r>
      <w:bookmarkEnd w:id="48"/>
      <w:bookmarkEnd w:id="49"/>
    </w:p>
    <w:p w14:paraId="30539AFF" w14:textId="28638B39" w:rsidR="004D1721" w:rsidRDefault="009B16BC">
      <w:pPr>
        <w:adjustRightInd w:val="0"/>
        <w:snapToGrid w:val="0"/>
        <w:spacing w:before="240" w:after="240"/>
        <w:ind w:firstLine="475"/>
        <w:rPr>
          <w:rFonts w:ascii="Arial Narrow" w:eastAsia="仿宋_GB2312" w:hAnsi="Arial Narrow" w:cs="Arial"/>
          <w:sz w:val="22"/>
        </w:rPr>
      </w:pPr>
      <w:r>
        <w:rPr>
          <w:rFonts w:ascii="Arial Narrow" w:eastAsia="仿宋_GB2312" w:hAnsi="Arial Narrow" w:cs="Arial"/>
          <w:sz w:val="22"/>
          <w:szCs w:val="22"/>
        </w:rPr>
        <w:t>以下是20年度关联交易同期资料本地文档报告内容与[2016]42号公告第十四条规定的本地文档内容对照表。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4D1721" w14:paraId="7D71CA28" w14:textId="77777777" w:rsidTr="004D1721">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single" w:sz="4" w:space="0" w:color="000000"/>
            </w:tcBorders>
            <w:shd w:val="clear" w:color="auto" w:fill="002060"/>
            <w:vAlign w:val="center"/>
          </w:tcPr>
          <w:p w14:paraId="126DF18C"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nil"/>
              <w:bottom w:val="single" w:sz="4" w:space="0" w:color="000000"/>
            </w:tcBorders>
            <w:shd w:val="clear" w:color="auto" w:fill="002060"/>
            <w:vAlign w:val="center"/>
          </w:tcPr>
          <w:p w14:paraId="1ED83139"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nil"/>
              <w:bottom w:val="single" w:sz="4" w:space="0" w:color="000000"/>
              <w:right w:val="nil"/>
            </w:tcBorders>
            <w:shd w:val="clear" w:color="auto" w:fill="002060"/>
            <w:vAlign w:val="center"/>
          </w:tcPr>
          <w:p w14:paraId="66E5155F"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4D1721" w14:paraId="4129C8A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48E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AC7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7A32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47B9F36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04B50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A24E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39DCC78"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74A8881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ABDA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9D12E"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AD00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78FBF30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4D1721" w14:paraId="7EA203FC" w14:textId="77777777" w:rsidTr="004D1721">
        <w:trPr>
          <w:trHeight w:val="73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9240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2682CBC"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88FC5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6F467FC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0592988E" w14:textId="77777777" w:rsidTr="004D1721">
        <w:trPr>
          <w:trHeight w:val="593"/>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FC805"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929D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84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2.3</w:t>
            </w:r>
          </w:p>
        </w:tc>
      </w:tr>
      <w:tr w:rsidR="004D1721" w14:paraId="6EB44088" w14:textId="77777777" w:rsidTr="004D1721">
        <w:trPr>
          <w:trHeight w:val="64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32366"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1A1F98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DEE014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50BB79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1CA61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D27A9"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74DA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2E9DAE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8CD66"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52CA82E"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D3CDCA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C5E19A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F5011"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F83F4"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F113" w14:textId="77777777" w:rsidR="004D1721" w:rsidRDefault="009B16BC">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3EFE11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010BEF6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1EBBE9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1.关联交易概况</w:t>
            </w:r>
            <w:r>
              <w:rPr>
                <w:rFonts w:ascii="Arial Narrow" w:eastAsia="仿宋_GB2312" w:hAnsi="Arial Narrow" w:cs="Arial"/>
                <w:sz w:val="20"/>
                <w:szCs w:val="20"/>
                <w:lang w:eastAsia="zh-CN"/>
              </w:rPr>
              <w:t/>
            </w: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FBC34F"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48076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5F5B87A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556F9C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35D7D41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3951550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A7FA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0248"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73FD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214A454D"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4D1721" w14:paraId="396FB66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85813"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C97728C"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9122DB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4D1721" w14:paraId="46A24BD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6946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928DD"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526"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4D1721" w14:paraId="7926BA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DD5C"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BECF33A"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3BEBF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1D8FC6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6C5733A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6864CD9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p w14:paraId="7E3081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p w14:paraId="25E9106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附件2</w:t>
            </w:r>
            <w:r>
              <w:rPr>
                <w:rFonts w:ascii="Arial Narrow" w:eastAsia="仿宋_GB2312" w:hAnsi="Arial Narrow" w:cs="Arial"/>
                <w:sz w:val="20"/>
                <w:szCs w:val="20"/>
                <w:lang w:eastAsia="zh-CN"/>
              </w:rPr>
              <w:t/>
            </w:r>
          </w:p>
        </w:tc>
      </w:tr>
      <w:tr w:rsidR="004D1721" w14:paraId="2FCDDEF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auto"/>
              <w:bottom w:val="single" w:sz="4" w:space="0" w:color="auto"/>
              <w:right w:val="single" w:sz="4" w:space="0" w:color="auto"/>
            </w:tcBorders>
            <w:shd w:val="clear" w:color="auto" w:fill="auto"/>
            <w:vAlign w:val="center"/>
          </w:tcPr>
          <w:p w14:paraId="5DCF6E1D"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79C0460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2.价值链分析</w:t>
            </w:r>
            <w:r>
              <w:rPr>
                <w:rFonts w:ascii="Arial Narrow" w:eastAsia="仿宋_GB2312" w:hAnsi="Arial Narrow" w:cs="Arial"/>
                <w:sz w:val="20"/>
                <w:szCs w:val="20"/>
                <w:lang w:eastAsia="zh-CN"/>
              </w:rPr>
              <w:t/>
            </w:r>
          </w:p>
        </w:tc>
        <w:tc>
          <w:tcPr>
            <w:tcW w:w="6095" w:type="dxa"/>
            <w:tcBorders>
              <w:top w:val="single" w:sz="4" w:space="0" w:color="000000"/>
              <w:left w:val="single" w:sz="4" w:space="0" w:color="auto"/>
              <w:bottom w:val="single" w:sz="4" w:space="0" w:color="auto"/>
              <w:right w:val="single" w:sz="4" w:space="0" w:color="auto"/>
            </w:tcBorders>
            <w:shd w:val="clear" w:color="auto" w:fill="auto"/>
            <w:vAlign w:val="center"/>
          </w:tcPr>
          <w:p w14:paraId="604C0955"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000000"/>
              <w:left w:val="single" w:sz="4" w:space="0" w:color="auto"/>
              <w:bottom w:val="single" w:sz="4" w:space="0" w:color="auto"/>
              <w:right w:val="single" w:sz="4" w:space="0" w:color="auto"/>
            </w:tcBorders>
            <w:shd w:val="clear" w:color="auto" w:fill="auto"/>
            <w:vAlign w:val="center"/>
          </w:tcPr>
          <w:p w14:paraId="600EED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p>
          <w:p w14:paraId="37AAD58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7132210C"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EFF53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B9FE587"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03520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4D1721" w14:paraId="6113BA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2AB1A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EE743E"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9EE2BD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681DABB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CEF6E8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870F02A"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BA460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48DBC8B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52AE7A"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FFC745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3.对外投资</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307BDF0"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E90F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3FEE23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AFF9C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40E5DAD"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62C7E87"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7448615D" w14:textId="77777777" w:rsidTr="004D1721">
        <w:trPr>
          <w:trHeight w:val="291"/>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39951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019CB9B"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8A4C5E3"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0DFAB9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17CC2D11"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0EE9977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4.关联股权转让</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2641269"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42314B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AC02D1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C7AA2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9D6BD1B"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E219E3C"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5519493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8E247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19DF05"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48D8AF9"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4916B03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61AF69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3729B08"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5.关联劳务</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EB240C6"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6BAE9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4D1721" w14:paraId="6ED5F67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2755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00C31CA"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1EDF1283"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CE2917D"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5C3880"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F04C42"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AA5DF0"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3E79E627" w14:textId="77777777" w:rsidTr="004D1721">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3AF41EF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2547FD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6.预约定价安排和作出的其他税收裁定</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EB8FE9F" w14:textId="77777777" w:rsidR="004D1721" w:rsidRDefault="009B16BC">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A0CF75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0EE3A3E6" w14:textId="77777777" w:rsidTr="004D1721">
        <w:trPr>
          <w:trHeight w:val="718"/>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57F3152"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B93F7BF"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9435E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78A5C54E" w14:textId="77777777" w:rsidTr="004D1721">
        <w:trPr>
          <w:trHeight w:val="502"/>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137A02"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3C7531"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668CA2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4D20A6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附件3</w:t>
            </w:r>
            <w:r>
              <w:rPr>
                <w:rFonts w:ascii="Arial Narrow" w:eastAsia="仿宋_GB2312" w:hAnsi="Arial Narrow" w:cs="Arial"/>
                <w:sz w:val="20"/>
                <w:szCs w:val="20"/>
                <w:lang w:eastAsia="zh-CN"/>
              </w:rPr>
              <w:t/>
            </w:r>
          </w:p>
        </w:tc>
      </w:tr>
      <w:tr w:rsidR="004D1721" w14:paraId="40663E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8F387A"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3764C9B"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65973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47AAE85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7A2B1F"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2D508D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C041D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附件4</w:t>
            </w:r>
            <w:r>
              <w:rPr>
                <w:rFonts w:ascii="Arial Narrow" w:eastAsia="仿宋_GB2312" w:hAnsi="Arial Narrow" w:cs="Arial"/>
                <w:sz w:val="20"/>
                <w:szCs w:val="20"/>
                <w:lang w:eastAsia="zh-CN"/>
              </w:rPr>
              <w:t/>
            </w:r>
          </w:p>
        </w:tc>
      </w:tr>
      <w:tr w:rsidR="004D1721" w14:paraId="6A06005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bottom w:val="single" w:sz="4" w:space="0" w:color="auto"/>
              <w:right w:val="single" w:sz="4" w:space="0" w:color="auto"/>
            </w:tcBorders>
            <w:shd w:val="clear" w:color="auto" w:fill="auto"/>
            <w:vAlign w:val="center"/>
          </w:tcPr>
          <w:p w14:paraId="02A0288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53F822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7029F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7EF2A9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03487BEE"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EC7026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B2D7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541AC7C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647F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E4CC3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87A436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p w14:paraId="5577901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p w14:paraId="66E0AB5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附件1</w:t>
            </w:r>
            <w:r>
              <w:rPr>
                <w:rFonts w:ascii="Arial Narrow" w:eastAsia="仿宋_GB2312" w:hAnsi="Arial Narrow" w:cs="Arial"/>
                <w:sz w:val="20"/>
                <w:szCs w:val="20"/>
                <w:lang w:eastAsia="zh-CN"/>
              </w:rPr>
              <w:t/>
            </w:r>
          </w:p>
        </w:tc>
      </w:tr>
      <w:tr w:rsidR="004D1721" w14:paraId="2AB41D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700C7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F9A2664"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7BF8DE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17ECE59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E4581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14FC39"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1CC63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3746AC5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31129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3A24BC5"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41B19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4D1721" w14:paraId="4762E356"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4E988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B3EC78A"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79D81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37B82818" w14:textId="77777777" w:rsidR="004D1721" w:rsidRDefault="004D1721">
      <w:pPr>
        <w:adjustRightInd w:val="0"/>
        <w:snapToGrid w:val="0"/>
        <w:jc w:val="both"/>
        <w:rPr>
          <w:rFonts w:ascii="Arial Narrow" w:eastAsia="仿宋_GB2312" w:hAnsi="Arial Narrow" w:cs="Arial"/>
          <w:sz w:val="22"/>
          <w:szCs w:val="22"/>
        </w:rPr>
      </w:pPr>
    </w:p>
    <w:p w14:paraId="2EE6EFFF" w14:textId="77777777" w:rsidR="004D1721" w:rsidRDefault="004D1721">
      <w:pPr>
        <w:adjustRightInd w:val="0"/>
        <w:snapToGrid w:val="0"/>
        <w:jc w:val="both"/>
        <w:rPr>
          <w:rFonts w:ascii="Arial Narrow" w:eastAsia="仿宋_GB2312" w:hAnsi="Arial Narrow" w:cs="Arial"/>
          <w:sz w:val="22"/>
          <w:szCs w:val="22"/>
        </w:rPr>
      </w:pPr>
    </w:p>
    <w:p w14:paraId="347FC76B" w14:textId="77777777" w:rsidR="004D1721" w:rsidRDefault="004D1721">
      <w:pPr>
        <w:adjustRightInd w:val="0"/>
        <w:snapToGrid w:val="0"/>
        <w:jc w:val="both"/>
        <w:rPr>
          <w:rFonts w:ascii="Arial Narrow" w:eastAsia="仿宋_GB2312" w:hAnsi="Arial Narrow" w:cs="Arial"/>
          <w:sz w:val="22"/>
          <w:szCs w:val="22"/>
        </w:rPr>
        <w:sectPr w:rsidR="004D1721">
          <w:footerReference w:type="default" r:id="rId19"/>
          <w:pgSz w:w="11907" w:h="16839"/>
          <w:pgMar w:top="1440" w:right="1800" w:bottom="1440" w:left="1800" w:header="709" w:footer="709" w:gutter="0"/>
          <w:pgNumType w:fmt="lowerRoman" w:start="1"/>
          <w:cols w:space="720"/>
          <w:docGrid w:linePitch="360"/>
        </w:sectPr>
      </w:pPr>
    </w:p>
    <w:p w14:paraId="25121596" w14:textId="77777777" w:rsidR="004D1721" w:rsidRDefault="009B16BC">
      <w:pPr>
        <w:pStyle w:val="Heading1"/>
        <w:numPr>
          <w:ilvl w:val="0"/>
          <w:numId w:val="0"/>
        </w:numPr>
        <w:ind w:left="360"/>
      </w:pPr>
      <w:bookmarkStart w:id="50" w:name="_Toc140505094"/>
      <w:bookmarkStart w:id="51" w:name="_Toc53229045"/>
      <w:r>
        <w:lastRenderedPageBreak/>
        <w:t>缩略语索引表</w:t>
      </w:r>
      <w:bookmarkEnd w:id="50"/>
      <w:bookmarkEnd w:id="51"/>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4D1721" w14:paraId="52436EDD" w14:textId="77777777" w:rsidTr="005D08A5">
        <w:trPr>
          <w:trHeight w:hRule="exact" w:val="555"/>
          <w:tblHeader/>
          <w:tblCellSpacing w:w="0" w:type="dxa"/>
          <w:jc w:val="center"/>
        </w:trPr>
        <w:tc>
          <w:tcPr>
            <w:tcW w:w="2983" w:type="dxa"/>
            <w:shd w:val="clear" w:color="auto" w:fill="002060"/>
            <w:vAlign w:val="center"/>
          </w:tcPr>
          <w:p w14:paraId="41D2DA6F"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51129DFA"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4D1721" w14:paraId="0731AD4A" w14:textId="77777777">
        <w:trPr>
          <w:trHeight w:val="615"/>
          <w:tblCellSpacing w:w="0" w:type="dxa"/>
          <w:jc w:val="center"/>
        </w:trPr>
        <w:tc>
          <w:tcPr>
            <w:tcW w:w="2983" w:type="dxa"/>
            <w:shd w:val="clear" w:color="auto" w:fill="auto"/>
            <w:vAlign w:val="center"/>
          </w:tcPr>
          <w:p w14:paraId="0000F579"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立信或我们</w:t>
            </w:r>
            <w:r>
              <w:rPr>
                <w:rFonts w:ascii="Arial Narrow" w:eastAsia="仿宋_GB2312" w:hAnsi="Arial Narrow" w:cs="Arial"/>
                <w:sz w:val="22"/>
                <w:szCs w:val="22"/>
              </w:rPr>
              <w:t/>
            </w:r>
          </w:p>
        </w:tc>
        <w:tc>
          <w:tcPr>
            <w:tcW w:w="5380" w:type="dxa"/>
            <w:shd w:val="clear" w:color="auto" w:fill="auto"/>
            <w:vAlign w:val="center"/>
          </w:tcPr>
          <w:p w14:paraId="3FD5C6A0"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立信税务师事务所有限公司</w:t>
            </w:r>
          </w:p>
        </w:tc>
      </w:tr>
      <w:tr w:rsidR="004D1721" w14:paraId="0099A159" w14:textId="77777777">
        <w:trPr>
          <w:trHeight w:val="615"/>
          <w:tblCellSpacing w:w="0" w:type="dxa"/>
          <w:jc w:val="center"/>
        </w:trPr>
        <w:tc>
          <w:tcPr>
            <w:tcW w:w="2983" w:type="dxa"/>
            <w:shd w:val="clear" w:color="auto" w:fill="auto"/>
            <w:vAlign w:val="center"/>
          </w:tcPr>
          <w:p w14:paraId="17D1A3E3"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或贵公司</w:t>
            </w:r>
          </w:p>
        </w:tc>
        <w:tc>
          <w:tcPr>
            <w:tcW w:w="5380" w:type="dxa"/>
            <w:shd w:val="clear" w:color="auto" w:fill="auto"/>
            <w:vAlign w:val="center"/>
          </w:tcPr>
          <w:p w14:paraId="6088F13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
            </w:r>
          </w:p>
        </w:tc>
      </w:tr>
      <w:tr w:rsidR="004D1721" w14:paraId="3DBBA106" w14:textId="77777777">
        <w:trPr>
          <w:trHeight w:val="615"/>
          <w:tblCellSpacing w:w="0" w:type="dxa"/>
          <w:jc w:val="center"/>
        </w:trPr>
        <w:tc>
          <w:tcPr>
            <w:tcW w:w="2983" w:type="dxa"/>
            <w:shd w:val="clear" w:color="auto" w:fill="auto"/>
            <w:vAlign w:val="center"/>
          </w:tcPr>
          <w:p w14:paraId="20CF7DD2"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Markwins集团</w:t>
            </w:r>
            <w:r>
              <w:rPr>
                <w:rFonts w:ascii="Arial Narrow" w:eastAsia="仿宋_GB2312" w:hAnsi="Arial Narrow" w:cs="Arial"/>
                <w:sz w:val="22"/>
                <w:szCs w:val="22"/>
              </w:rPr>
              <w:t/>
            </w:r>
          </w:p>
        </w:tc>
        <w:tc>
          <w:tcPr>
            <w:tcW w:w="5380" w:type="dxa"/>
            <w:shd w:val="clear" w:color="auto" w:fill="auto"/>
            <w:vAlign w:val="center"/>
          </w:tcPr>
          <w:p w14:paraId="531A946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及其关联公司</w:t>
            </w:r>
            <w:r>
              <w:rPr>
                <w:rFonts w:ascii="Arial Narrow" w:eastAsia="仿宋_GB2312" w:hAnsi="Arial Narrow" w:cs="Arial"/>
                <w:sz w:val="22"/>
                <w:szCs w:val="22"/>
              </w:rPr>
              <w:t/>
            </w:r>
          </w:p>
        </w:tc>
      </w:tr>
      <w:tr w:rsidR="004D1721" w14:paraId="55A3B5F0" w14:textId="77777777">
        <w:trPr>
          <w:trHeight w:val="615"/>
          <w:tblCellSpacing w:w="0" w:type="dxa"/>
          <w:jc w:val="center"/>
        </w:trPr>
        <w:tc>
          <w:tcPr>
            <w:tcW w:w="2983" w:type="dxa"/>
            <w:shd w:val="clear" w:color="auto" w:fill="auto"/>
            <w:vAlign w:val="center"/>
          </w:tcPr>
          <w:p w14:paraId="621D397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 US</w:t>
            </w:r>
          </w:p>
        </w:tc>
        <w:tc>
          <w:tcPr>
            <w:tcW w:w="5380" w:type="dxa"/>
            <w:shd w:val="clear" w:color="auto" w:fill="auto"/>
            <w:vAlign w:val="center"/>
          </w:tcPr>
          <w:p w14:paraId="1633A092"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 Inc.</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p>
        </w:tc>
      </w:tr>
      <w:tr w:rsidR="004D1721" w14:paraId="1EDCD608" w14:textId="77777777">
        <w:trPr>
          <w:trHeight w:val="615"/>
          <w:tblCellSpacing w:w="0" w:type="dxa"/>
          <w:jc w:val="center"/>
        </w:trPr>
        <w:tc>
          <w:tcPr>
            <w:tcW w:w="2983" w:type="dxa"/>
            <w:shd w:val="clear" w:color="auto" w:fill="auto"/>
            <w:vAlign w:val="center"/>
          </w:tcPr>
          <w:p w14:paraId="04879B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HK</w:t>
            </w:r>
          </w:p>
        </w:tc>
        <w:tc>
          <w:tcPr>
            <w:tcW w:w="5380" w:type="dxa"/>
            <w:shd w:val="clear" w:color="auto" w:fill="auto"/>
            <w:vAlign w:val="center"/>
          </w:tcPr>
          <w:p w14:paraId="6158986F"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Markwins International Corporation Limited</w:t>
            </w:r>
          </w:p>
        </w:tc>
      </w:tr>
      <w:tr w:rsidR="004D1721" w14:paraId="26992C13" w14:textId="77777777">
        <w:trPr>
          <w:trHeight w:val="615"/>
          <w:tblCellSpacing w:w="0" w:type="dxa"/>
          <w:jc w:val="center"/>
        </w:trPr>
        <w:tc>
          <w:tcPr>
            <w:tcW w:w="2983" w:type="dxa"/>
            <w:shd w:val="clear" w:color="auto" w:fill="auto"/>
            <w:vAlign w:val="center"/>
          </w:tcPr>
          <w:p w14:paraId="190BC67A"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Pro Art</w:t>
            </w:r>
          </w:p>
        </w:tc>
        <w:tc>
          <w:tcPr>
            <w:tcW w:w="5380" w:type="dxa"/>
            <w:shd w:val="clear" w:color="auto" w:fill="auto"/>
            <w:vAlign w:val="center"/>
          </w:tcPr>
          <w:p w14:paraId="73C9FA6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Pro Art Cosmetics Limited</w:t>
            </w:r>
          </w:p>
        </w:tc>
      </w:tr>
      <w:tr w:rsidR="004D1721" w14:paraId="64380629" w14:textId="77777777">
        <w:trPr>
          <w:trHeight w:val="615"/>
          <w:tblCellSpacing w:w="0" w:type="dxa"/>
          <w:jc w:val="center"/>
        </w:trPr>
        <w:tc>
          <w:tcPr>
            <w:tcW w:w="2983" w:type="dxa"/>
            <w:shd w:val="clear" w:color="auto" w:fill="auto"/>
            <w:vAlign w:val="center"/>
          </w:tcPr>
          <w:p w14:paraId="5D3C8DC5" w14:textId="0DE0C79A"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评估期间或20年度</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5380" w:type="dxa"/>
            <w:shd w:val="clear" w:color="auto" w:fill="auto"/>
            <w:vAlign w:val="center"/>
          </w:tcPr>
          <w:p w14:paraId="7717B998" w14:textId="18414895"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20年1月1日至20年12月31日</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084ADF6" w14:textId="77777777">
        <w:trPr>
          <w:trHeight w:val="615"/>
          <w:tblCellSpacing w:w="0" w:type="dxa"/>
          <w:jc w:val="center"/>
        </w:trPr>
        <w:tc>
          <w:tcPr>
            <w:tcW w:w="2983" w:type="dxa"/>
            <w:shd w:val="clear" w:color="auto" w:fill="auto"/>
            <w:vAlign w:val="center"/>
          </w:tcPr>
          <w:p w14:paraId="54513C2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国税总局</w:t>
            </w:r>
          </w:p>
        </w:tc>
        <w:tc>
          <w:tcPr>
            <w:tcW w:w="5380" w:type="dxa"/>
            <w:shd w:val="clear" w:color="auto" w:fill="auto"/>
            <w:vAlign w:val="center"/>
          </w:tcPr>
          <w:p w14:paraId="4B7E1F5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中华人民共和国国家税务总局</w:t>
            </w:r>
          </w:p>
        </w:tc>
      </w:tr>
      <w:tr w:rsidR="004D1721" w14:paraId="6F6E45C7" w14:textId="77777777">
        <w:trPr>
          <w:trHeight w:val="615"/>
          <w:tblCellSpacing w:w="0" w:type="dxa"/>
          <w:jc w:val="center"/>
        </w:trPr>
        <w:tc>
          <w:tcPr>
            <w:tcW w:w="2983" w:type="dxa"/>
            <w:shd w:val="clear" w:color="auto" w:fill="auto"/>
            <w:vAlign w:val="center"/>
          </w:tcPr>
          <w:p w14:paraId="3D12850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企业所得税法</w:t>
            </w:r>
          </w:p>
        </w:tc>
        <w:tc>
          <w:tcPr>
            <w:tcW w:w="5380" w:type="dxa"/>
            <w:shd w:val="clear" w:color="auto" w:fill="auto"/>
            <w:vAlign w:val="center"/>
          </w:tcPr>
          <w:p w14:paraId="0A86C63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w:t>
            </w:r>
          </w:p>
        </w:tc>
      </w:tr>
      <w:tr w:rsidR="004D1721" w14:paraId="5EF650F5" w14:textId="77777777">
        <w:trPr>
          <w:trHeight w:val="615"/>
          <w:tblCellSpacing w:w="0" w:type="dxa"/>
          <w:jc w:val="center"/>
        </w:trPr>
        <w:tc>
          <w:tcPr>
            <w:tcW w:w="2983" w:type="dxa"/>
            <w:shd w:val="clear" w:color="auto" w:fill="auto"/>
            <w:vAlign w:val="center"/>
          </w:tcPr>
          <w:p w14:paraId="7477C66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税收征管法</w:t>
            </w:r>
          </w:p>
        </w:tc>
        <w:tc>
          <w:tcPr>
            <w:tcW w:w="5380" w:type="dxa"/>
            <w:shd w:val="clear" w:color="auto" w:fill="auto"/>
            <w:vAlign w:val="center"/>
          </w:tcPr>
          <w:p w14:paraId="3204031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《中华人民共和国税收征收管理法》及其实施细则</w:t>
            </w:r>
          </w:p>
        </w:tc>
      </w:tr>
      <w:tr w:rsidR="004D1721" w14:paraId="69AC9573" w14:textId="77777777">
        <w:trPr>
          <w:trHeight w:val="615"/>
          <w:tblCellSpacing w:w="0" w:type="dxa"/>
          <w:jc w:val="center"/>
        </w:trPr>
        <w:tc>
          <w:tcPr>
            <w:tcW w:w="2983" w:type="dxa"/>
            <w:shd w:val="clear" w:color="auto" w:fill="auto"/>
            <w:vAlign w:val="center"/>
          </w:tcPr>
          <w:p w14:paraId="2A8CA0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[2016]42号公告</w:t>
            </w:r>
            <w:r>
              <w:rPr>
                <w:rFonts w:ascii="Arial Narrow" w:eastAsia="仿宋_GB2312" w:hAnsi="Arial Narrow" w:cs="Arial"/>
                <w:sz w:val="22"/>
                <w:szCs w:val="22"/>
              </w:rPr>
              <w:t/>
            </w:r>
          </w:p>
        </w:tc>
        <w:tc>
          <w:tcPr>
            <w:tcW w:w="5380" w:type="dxa"/>
            <w:shd w:val="clear" w:color="auto" w:fill="auto"/>
            <w:vAlign w:val="center"/>
          </w:tcPr>
          <w:p w14:paraId="6FE9714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国家税务总局公告2016年第42号《关于完善关联申报和同期资料管理有关事项的公告》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6E322D1" w14:textId="77777777">
        <w:trPr>
          <w:trHeight w:val="615"/>
          <w:tblCellSpacing w:w="0" w:type="dxa"/>
          <w:jc w:val="center"/>
        </w:trPr>
        <w:tc>
          <w:tcPr>
            <w:tcW w:w="2983" w:type="dxa"/>
            <w:shd w:val="clear" w:color="auto" w:fill="auto"/>
            <w:vAlign w:val="center"/>
          </w:tcPr>
          <w:p w14:paraId="1CEE4DF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[2017]6号公告</w:t>
            </w:r>
            <w:r>
              <w:rPr>
                <w:rFonts w:ascii="Arial Narrow" w:eastAsia="仿宋_GB2312" w:hAnsi="Arial Narrow" w:cs="Arial"/>
                <w:sz w:val="22"/>
                <w:szCs w:val="22"/>
              </w:rPr>
              <w:t/>
            </w:r>
          </w:p>
        </w:tc>
        <w:tc>
          <w:tcPr>
            <w:tcW w:w="5380" w:type="dxa"/>
            <w:shd w:val="clear" w:color="auto" w:fill="auto"/>
            <w:vAlign w:val="center"/>
          </w:tcPr>
          <w:p w14:paraId="7D32F4B8"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国家税务总局公告2017年第6号关于发布《特别纳税调查调整及相互协商程序管理办法》的公告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7E4C81FA" w14:textId="77777777">
        <w:trPr>
          <w:trHeight w:val="615"/>
          <w:tblCellSpacing w:w="0" w:type="dxa"/>
          <w:jc w:val="center"/>
        </w:trPr>
        <w:tc>
          <w:tcPr>
            <w:tcW w:w="2983" w:type="dxa"/>
            <w:shd w:val="clear" w:color="auto" w:fill="auto"/>
            <w:vAlign w:val="center"/>
          </w:tcPr>
          <w:p w14:paraId="72BB7C05"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OECD或经合组织</w:t>
            </w:r>
            <w:r>
              <w:rPr>
                <w:rFonts w:ascii="Arial Narrow" w:eastAsia="仿宋_GB2312" w:hAnsi="Arial Narrow" w:cs="Arial"/>
                <w:sz w:val="22"/>
                <w:szCs w:val="22"/>
              </w:rPr>
              <w:t/>
            </w:r>
          </w:p>
        </w:tc>
        <w:tc>
          <w:tcPr>
            <w:tcW w:w="5380" w:type="dxa"/>
            <w:shd w:val="clear" w:color="auto" w:fill="auto"/>
            <w:vAlign w:val="center"/>
          </w:tcPr>
          <w:p w14:paraId="1D91D2B1"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经济合作与发展组织</w:t>
            </w:r>
          </w:p>
        </w:tc>
      </w:tr>
      <w:tr w:rsidR="004D1721" w14:paraId="3682815D" w14:textId="77777777">
        <w:trPr>
          <w:trHeight w:val="615"/>
          <w:tblCellSpacing w:w="0" w:type="dxa"/>
          <w:jc w:val="center"/>
        </w:trPr>
        <w:tc>
          <w:tcPr>
            <w:tcW w:w="2983" w:type="dxa"/>
            <w:shd w:val="clear" w:color="auto" w:fill="auto"/>
            <w:vAlign w:val="center"/>
          </w:tcPr>
          <w:p w14:paraId="58233E11"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OECD指南</w:t>
            </w:r>
            <w:r>
              <w:rPr>
                <w:rFonts w:ascii="Arial Narrow" w:eastAsia="仿宋_GB2312" w:hAnsi="Arial Narrow" w:cs="Arial"/>
                <w:sz w:val="22"/>
                <w:szCs w:val="22"/>
              </w:rPr>
              <w:t/>
            </w:r>
          </w:p>
        </w:tc>
        <w:tc>
          <w:tcPr>
            <w:tcW w:w="5380" w:type="dxa"/>
            <w:shd w:val="clear" w:color="auto" w:fill="auto"/>
            <w:vAlign w:val="center"/>
          </w:tcPr>
          <w:p w14:paraId="5B1101E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《OECD跨国企业与税务机关转让定价指南》</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A1041B6" w14:textId="77777777">
        <w:trPr>
          <w:trHeight w:hRule="exact" w:val="1712"/>
          <w:tblCellSpacing w:w="0" w:type="dxa"/>
          <w:jc w:val="center"/>
        </w:trPr>
        <w:tc>
          <w:tcPr>
            <w:tcW w:w="2983" w:type="dxa"/>
            <w:shd w:val="clear" w:color="auto" w:fill="auto"/>
            <w:vAlign w:val="center"/>
          </w:tcPr>
          <w:p w14:paraId="47A99817"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中国转让定价法律、法规</w:t>
            </w:r>
          </w:p>
        </w:tc>
        <w:tc>
          <w:tcPr>
            <w:tcW w:w="5380" w:type="dxa"/>
            <w:shd w:val="clear" w:color="auto" w:fill="auto"/>
            <w:vAlign w:val="center"/>
          </w:tcPr>
          <w:p w14:paraId="503C72E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F0A0348" w14:textId="77777777">
        <w:trPr>
          <w:trHeight w:hRule="exact" w:val="649"/>
          <w:tblCellSpacing w:w="0" w:type="dxa"/>
          <w:jc w:val="center"/>
        </w:trPr>
        <w:tc>
          <w:tcPr>
            <w:tcW w:w="2983" w:type="dxa"/>
            <w:shd w:val="clear" w:color="auto" w:fill="auto"/>
            <w:vAlign w:val="center"/>
          </w:tcPr>
          <w:p w14:paraId="1CB5B564"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SIC代码</w:t>
            </w:r>
            <w:r>
              <w:rPr>
                <w:rFonts w:ascii="Arial Narrow" w:eastAsia="仿宋_GB2312" w:hAnsi="Arial Narrow" w:cs="Arial"/>
                <w:sz w:val="22"/>
                <w:szCs w:val="22"/>
              </w:rPr>
              <w:t/>
            </w:r>
          </w:p>
        </w:tc>
        <w:tc>
          <w:tcPr>
            <w:tcW w:w="5380" w:type="dxa"/>
            <w:shd w:val="clear" w:color="auto" w:fill="auto"/>
            <w:vAlign w:val="center"/>
          </w:tcPr>
          <w:p w14:paraId="01FC81BE"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美国标准行业分类代码</w:t>
            </w:r>
          </w:p>
        </w:tc>
      </w:tr>
    </w:tbl>
    <w:p w14:paraId="4E2CAFE8"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pPr>
    </w:p>
    <w:p w14:paraId="23654474"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sectPr w:rsidR="004D1721">
          <w:pgSz w:w="11907" w:h="16839"/>
          <w:pgMar w:top="1440" w:right="1800" w:bottom="1440" w:left="1800" w:header="709" w:footer="709" w:gutter="0"/>
          <w:pgNumType w:fmt="lowerRoman"/>
          <w:cols w:space="720"/>
          <w:docGrid w:linePitch="360"/>
        </w:sectPr>
      </w:pPr>
    </w:p>
    <w:p w14:paraId="7EFFE290" w14:textId="77777777" w:rsidR="004D1721" w:rsidRDefault="009B16BC">
      <w:pPr>
        <w:pStyle w:val="Heading1"/>
        <w:rPr>
          <w:b/>
        </w:rPr>
      </w:pPr>
      <w:bookmarkStart w:id="52" w:name="_Toc140505095"/>
      <w:bookmarkStart w:id="53" w:name="_Toc245032302"/>
      <w:bookmarkStart w:id="54" w:name="_Toc53229046"/>
      <w:bookmarkStart w:id="55" w:name="_Toc62016489"/>
      <w:bookmarkStart w:id="56" w:name="_Toc129167478"/>
      <w:bookmarkStart w:id="57" w:name="_Toc63759077"/>
      <w:bookmarkStart w:id="58" w:name="_Toc129167483"/>
      <w:bookmarkStart w:id="59" w:name="_Toc63759081"/>
      <w:bookmarkStart w:id="60" w:name="_Toc62016493"/>
      <w:bookmarkStart w:id="61" w:name="_Toc527388043"/>
      <w:bookmarkStart w:id="62" w:name="_Toc517684893"/>
      <w:bookmarkStart w:id="63" w:name="_Toc494184194"/>
      <w:bookmarkStart w:id="64" w:name="_Toc127024140"/>
      <w:bookmarkStart w:id="65" w:name="_Toc441821680"/>
      <w:r>
        <w:lastRenderedPageBreak/>
        <w:t>报告摘要</w:t>
      </w:r>
      <w:bookmarkEnd w:id="52"/>
      <w:bookmarkEnd w:id="53"/>
      <w:bookmarkEnd w:id="54"/>
    </w:p>
    <w:p w14:paraId="39A3B901" w14:textId="77777777" w:rsidR="004D1721" w:rsidRDefault="009B16BC">
      <w:pPr>
        <w:pStyle w:val="Heading2"/>
        <w:rPr>
          <w:b/>
          <w:bCs/>
        </w:rPr>
      </w:pPr>
      <w:bookmarkStart w:id="66" w:name="_Toc140505096"/>
      <w:bookmarkStart w:id="67" w:name="_Toc53229047"/>
      <w:r>
        <w:t>范围和目的</w:t>
      </w:r>
      <w:bookmarkEnd w:id="66"/>
      <w:bookmarkEnd w:id="67"/>
    </w:p>
    <w:p w14:paraId="58FD3D98" w14:textId="2F6B5479"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税务师事务所有限公司（以下简称“立信”或“我们”）受松莉美容科技（上海）有限公司（以下简称“”或“贵公司”）的委托，协助准备2023财务年度（以下简称“评估期间”或“2023年度”）的关联交易同期资料的本地文档报告（以下简称“本报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30CF15" w14:textId="570799A4"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20年度，和其境内外关联方进行了一系列关联交易，交易类型为关联购销交易。由于与关联方之间的关联购销交易合计金额为人民币 295,427,614.07元，因此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9850A75" w14:textId="599DFF0B"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依照[2016]42号公告第14条的相关规定，本报告作为20年度的同期资料本地文档，旨在对其与其关联方在评估期间发生的受测关联交易进行分析和说明。</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FEEFC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仅旨在说明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p>
    <w:p w14:paraId="2E52E37B" w14:textId="77777777" w:rsidR="004D1721" w:rsidRDefault="009B16BC">
      <w:pPr>
        <w:pStyle w:val="Heading2"/>
        <w:rPr>
          <w:b/>
          <w:bCs/>
        </w:rPr>
      </w:pPr>
      <w:bookmarkStart w:id="68" w:name="_Toc53229048"/>
      <w:bookmarkStart w:id="69" w:name="_Toc140505097"/>
      <w:r>
        <w:t>受测关联交易</w:t>
      </w:r>
      <w:bookmarkEnd w:id="68"/>
      <w:bookmarkEnd w:id="69"/>
    </w:p>
    <w:p w14:paraId="3CEDAB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评估期间，的主要关联交易为：</w:t>
      </w:r>
    </w:p>
    <w:p w14:paraId="04DF8BA0"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与境内外关联方的关联购销交易。</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0EFC3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上述关联交易，以下简称“受测关联交易”。其他任何涉及和其他关联公司或分支机构的关联交易不在本报告的分析范围内。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DE5A37B" w14:textId="77777777" w:rsidR="004D1721" w:rsidRDefault="009B16BC">
      <w:pPr>
        <w:pStyle w:val="Heading2"/>
        <w:rPr>
          <w:b/>
          <w:bCs/>
        </w:rPr>
      </w:pPr>
      <w:bookmarkStart w:id="70" w:name="_Toc48317194"/>
      <w:bookmarkStart w:id="71" w:name="_Toc489951794"/>
      <w:bookmarkStart w:id="72" w:name="_Toc48317093"/>
      <w:bookmarkStart w:id="73" w:name="_Toc48582499"/>
      <w:bookmarkStart w:id="74" w:name="_Toc48582912"/>
      <w:bookmarkStart w:id="75" w:name="_Toc48582501"/>
      <w:bookmarkStart w:id="76" w:name="_Toc48582913"/>
      <w:bookmarkStart w:id="77" w:name="_Toc48317092"/>
      <w:bookmarkStart w:id="78" w:name="_Toc48317380"/>
      <w:bookmarkStart w:id="79" w:name="_Toc48317195"/>
      <w:bookmarkStart w:id="80" w:name="_Toc48317193"/>
      <w:bookmarkStart w:id="81" w:name="_Toc48399516"/>
      <w:bookmarkStart w:id="82" w:name="_Toc48317379"/>
      <w:bookmarkStart w:id="83" w:name="_Toc48399518"/>
      <w:bookmarkStart w:id="84" w:name="_Toc48399517"/>
      <w:bookmarkStart w:id="85" w:name="_Toc48582500"/>
      <w:bookmarkStart w:id="86" w:name="_Toc48582914"/>
      <w:bookmarkStart w:id="87" w:name="_Toc48317378"/>
      <w:bookmarkStart w:id="88" w:name="_Toc48317091"/>
      <w:bookmarkStart w:id="89" w:name="_Toc53229049"/>
      <w:bookmarkStart w:id="90" w:name="_Toc14050509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lastRenderedPageBreak/>
        <w:t>功能和风险分析及价值链分析总结</w:t>
      </w:r>
      <w:bookmarkEnd w:id="89"/>
      <w:bookmarkEnd w:id="90"/>
    </w:p>
    <w:p w14:paraId="6DBDA44F"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bookmarkStart w:id="91" w:name="_Toc48582921"/>
      <w:bookmarkStart w:id="92" w:name="_Toc48317384"/>
      <w:bookmarkStart w:id="93" w:name="_Toc48317386"/>
      <w:bookmarkStart w:id="94" w:name="_Toc48317201"/>
      <w:bookmarkStart w:id="95" w:name="_Toc48317197"/>
      <w:bookmarkStart w:id="96" w:name="_Toc48317199"/>
      <w:bookmarkStart w:id="97" w:name="_Toc274480740"/>
      <w:bookmarkStart w:id="98" w:name="_Toc274409730"/>
      <w:bookmarkStart w:id="99" w:name="_Toc274409731"/>
      <w:bookmarkStart w:id="100" w:name="_Toc274409412"/>
      <w:bookmarkStart w:id="101" w:name="_Toc48582917"/>
      <w:bookmarkStart w:id="102" w:name="_Toc48317100"/>
      <w:bookmarkStart w:id="103" w:name="_Toc48399523"/>
      <w:bookmarkStart w:id="104" w:name="_Toc48317095"/>
      <w:bookmarkStart w:id="105" w:name="_Toc274409088"/>
      <w:bookmarkStart w:id="106" w:name="_Toc48399525"/>
      <w:bookmarkStart w:id="107" w:name="_Toc48317200"/>
      <w:bookmarkStart w:id="108" w:name="_Toc48582919"/>
      <w:bookmarkStart w:id="109" w:name="_Toc48399521"/>
      <w:bookmarkStart w:id="110" w:name="_Toc274409307"/>
      <w:bookmarkStart w:id="111" w:name="_Toc48582504"/>
      <w:bookmarkStart w:id="112" w:name="_Toc274409411"/>
      <w:bookmarkStart w:id="113" w:name="_Toc274480739"/>
      <w:bookmarkStart w:id="114" w:name="_Toc274409733"/>
      <w:bookmarkStart w:id="115" w:name="_Toc48582920"/>
      <w:bookmarkStart w:id="116" w:name="_Toc48582918"/>
      <w:bookmarkStart w:id="117" w:name="_Toc48582508"/>
      <w:bookmarkStart w:id="118" w:name="_Toc48317385"/>
      <w:bookmarkStart w:id="119" w:name="_Toc274409410"/>
      <w:bookmarkStart w:id="120" w:name="_Toc274480738"/>
      <w:bookmarkStart w:id="121" w:name="_Toc274409623"/>
      <w:bookmarkStart w:id="122" w:name="_Toc274409087"/>
      <w:bookmarkStart w:id="123" w:name="_Toc48317097"/>
      <w:bookmarkStart w:id="124" w:name="_Toc48317383"/>
      <w:bookmarkStart w:id="125" w:name="_Toc274409306"/>
      <w:bookmarkStart w:id="126" w:name="_Toc48399524"/>
      <w:bookmarkStart w:id="127" w:name="_Toc48317096"/>
      <w:bookmarkStart w:id="128" w:name="_Toc274409305"/>
      <w:bookmarkStart w:id="129" w:name="_Toc48399522"/>
      <w:bookmarkStart w:id="130" w:name="_Toc48317382"/>
      <w:bookmarkStart w:id="131" w:name="_Toc48582506"/>
      <w:bookmarkStart w:id="132" w:name="_Toc274409413"/>
      <w:bookmarkStart w:id="133" w:name="_Toc48317202"/>
      <w:bookmarkStart w:id="134" w:name="_Toc48582507"/>
      <w:bookmarkStart w:id="135" w:name="_Toc48399520"/>
      <w:bookmarkStart w:id="136" w:name="_Toc48317098"/>
      <w:bookmarkStart w:id="137" w:name="_Toc48582505"/>
      <w:bookmarkStart w:id="138" w:name="_Toc274409622"/>
      <w:bookmarkStart w:id="139" w:name="_Toc274409304"/>
      <w:bookmarkStart w:id="140" w:name="_Toc48317099"/>
      <w:bookmarkStart w:id="141" w:name="_Toc48582503"/>
      <w:bookmarkStart w:id="142" w:name="_Toc274409624"/>
      <w:bookmarkStart w:id="143" w:name="_Toc274480737"/>
      <w:bookmarkStart w:id="144" w:name="_Toc48582916"/>
      <w:bookmarkStart w:id="145" w:name="_Toc274409732"/>
      <w:bookmarkStart w:id="146" w:name="_Toc48317387"/>
      <w:bookmarkStart w:id="147" w:name="_Toc274409089"/>
      <w:bookmarkStart w:id="148" w:name="_Toc48317198"/>
      <w:bookmarkStart w:id="149" w:name="_Toc274409625"/>
      <w:bookmarkStart w:id="150" w:name="_Toc274409086"/>
      <w:bookmarkStart w:id="151" w:name="_Toc48317101"/>
      <w:bookmarkStart w:id="152" w:name="_Toc48317388"/>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ascii="Arial Narrow" w:eastAsia="仿宋_GB2312" w:hAnsi="Arial Narrow" w:cs="Arial"/>
          <w:sz w:val="22"/>
          <w:szCs w:val="22"/>
        </w:rPr>
        <w:t>从功能和风险角度判断，执行有限的研发、生产、采购、质量控制、库存管理、物流、有限的销售、有限的售后服务和一般行政管理的功能；主要承担生产风险、存货风险、市场风险、有限的信用风险、汇率风险；从功能和风险分析应归为承担一定功能及风险的合约生产制造商。</w:t>
      </w:r>
      <w:r>
        <w:rPr>
          <w:rFonts w:ascii="Arial Narrow" w:eastAsia="仿宋_GB2312" w:hAnsi="Arial Narrow" w:cs="Arial" w:hint="eastAsia"/>
          <w:sz w:val="22"/>
          <w:szCs w:val="22"/>
        </w:rPr>
        <w:t/>
      </w:r>
    </w:p>
    <w:p w14:paraId="1F556A0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此外，拥有全部的生产和测试所需的有形资产，不拥有核心技术专利及品牌等有价值的无形资产。</w:t>
      </w:r>
    </w:p>
    <w:p w14:paraId="2AD07338"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在整个集团经营活动中，执行上述功能并且承担上述风险，其在集团价值链中的主要角色主要为承担一定功能及风险的合约生产制造商。</w:t>
      </w:r>
      <w:r>
        <w:rPr>
          <w:rFonts w:ascii="Arial Narrow" w:eastAsia="仿宋_GB2312" w:hAnsi="Arial Narrow" w:cs="Arial" w:hint="eastAsia"/>
          <w:sz w:val="22"/>
          <w:szCs w:val="22"/>
        </w:rPr>
        <w:t/>
      </w:r>
      <w:bookmarkEnd w:id="151"/>
      <w:bookmarkEnd w:id="152"/>
    </w:p>
    <w:p w14:paraId="19E0F06E" w14:textId="77777777" w:rsidR="004D1721" w:rsidRDefault="009B16BC">
      <w:pPr>
        <w:pStyle w:val="Heading2"/>
      </w:pPr>
      <w:bookmarkStart w:id="153" w:name="_Toc140505099"/>
      <w:bookmarkStart w:id="154" w:name="_Toc53229050"/>
      <w:r>
        <w:t>经济分析总结 —— 对受测关联交易的分析</w:t>
      </w:r>
      <w:r>
        <w:t xml:space="preserve"/>
      </w:r>
      <w:bookmarkStart w:id="155" w:name="_Toc447817171"/>
      <w:bookmarkStart w:id="156" w:name="_Toc15689"/>
      <w:bookmarkStart w:id="157" w:name="_Toc435807829"/>
      <w:r>
        <w:t/>
      </w:r>
      <w:bookmarkEnd w:id="153"/>
      <w:bookmarkEnd w:id="154"/>
      <w:bookmarkEnd w:id="155"/>
      <w:bookmarkEnd w:id="156"/>
      <w:bookmarkEnd w:id="157"/>
    </w:p>
    <w:p w14:paraId="6574719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基于对集团整体利润或者剩余利润所做的贡献，以及其所承担的功能风险，对中国转让定价法规以及《OECD转让定价指南》中列明的常用转让定价评估方法进行了比较和研究。我们最终选择作为验证对象，选用交易净利润法作为分析方法，以完全成本加成率作为利润水平指标对的受测关联交易和转让定价进行了评估。</w:t>
      </w:r>
      <w:bookmarkStart w:id="158" w:name="OLE_LINK1"/>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158"/>
      <w:r>
        <w:rPr>
          <w:rFonts w:ascii="Arial Narrow" w:eastAsia="仿宋_GB2312" w:hAnsi="Arial Narrow" w:cs="Arial"/>
          <w:sz w:val="22"/>
          <w:szCs w:val="22"/>
        </w:rPr>
        <w:t/>
      </w:r>
    </w:p>
    <w:p w14:paraId="3F35BE10"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作为本报告的被验证对象从而分析其完全成本加成率，主要由于在关联交易中，相对于关联方，的功能风险相对简单，利润水平可以被有效地确定。因此，我们选择作为本报告的被验证对象。我们通过选取与在受测关联交易中从事相似业务的非受控公司，分析其财务数据，建立了一组符合独立交易原则的利润率区间。</w:t>
      </w:r>
      <w:r>
        <w:rPr>
          <w:rFonts w:ascii="Arial Narrow" w:eastAsia="仿宋_GB2312" w:hAnsi="Arial Narrow" w:cs="Arial" w:hint="eastAsia"/>
          <w:sz w:val="22"/>
          <w:szCs w:val="22"/>
        </w:rPr>
        <w:t/>
      </w:r>
      <w:r>
        <w:rPr>
          <w:rFonts w:ascii="Arial Narrow" w:eastAsia="仿宋_GB2312" w:hAnsi="Arial Narrow" w:cs="Arial"/>
          <w:sz w:val="22"/>
          <w:szCs w:val="22"/>
        </w:rPr>
        <w:t/>
      </w:r>
    </w:p>
    <w:p w14:paraId="0BC9455B" w14:textId="5D21D4CE"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选取的可比非受控公司样本在2020到2022财务年度（“财年”）实现的加权平均完全成本加成率水平总结如下：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37669DB" w14:textId="3DE77973" w:rsidR="004D1721" w:rsidRDefault="009B16BC">
      <w:pPr>
        <w:pStyle w:val="Caption"/>
        <w:keepNext/>
        <w:jc w:val="center"/>
        <w:rPr>
          <w:rFonts w:ascii="Arial Narrow" w:eastAsia="仿宋_GB2312" w:hAnsi="Arial Narrow" w:cs="Arial"/>
          <w:sz w:val="22"/>
        </w:rPr>
      </w:pPr>
      <w:r>
        <w:rPr>
          <w:rFonts w:ascii="Arial Narrow" w:eastAsia="仿宋_GB2312" w:hAnsi="Arial Narrow" w:cs="Arial"/>
          <w:sz w:val="22"/>
        </w:rPr>
        <w:lastRenderedPageBreak/>
        <w:t>图表 1：完全成本加成率的独立交易区间（2020财年到2022财年）</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W w:w="6379" w:type="dxa"/>
        <w:jc w:val="center"/>
        <w:tblLayout w:type="fixed"/>
        <w:tblLook w:val="04A0" w:firstRow="1" w:lastRow="0" w:firstColumn="1" w:lastColumn="0" w:noHBand="0" w:noVBand="1"/>
      </w:tblPr>
      <w:tblGrid>
        <w:gridCol w:w="2863"/>
        <w:gridCol w:w="3516"/>
      </w:tblGrid>
      <w:tr w:rsidR="004D1721" w14:paraId="328564CF" w14:textId="77777777">
        <w:trPr>
          <w:trHeight w:val="454"/>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30C7E06F"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7EF9CF0C"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加权平均完全成本加成率</w:t>
            </w:r>
          </w:p>
        </w:tc>
      </w:tr>
      <w:tr w:rsidR="004D1721" w14:paraId="525F24AF"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4279234E"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上四分位值</w:t>
            </w:r>
          </w:p>
        </w:tc>
        <w:tc>
          <w:tcPr>
            <w:tcW w:w="3516" w:type="dxa"/>
            <w:tcBorders>
              <w:top w:val="nil"/>
              <w:left w:val="nil"/>
              <w:bottom w:val="single" w:sz="8" w:space="0" w:color="auto"/>
              <w:right w:val="single" w:sz="8" w:space="0" w:color="auto"/>
            </w:tcBorders>
            <w:vAlign w:val="center"/>
          </w:tcPr>
          <w:p w14:paraId="3C4C3377" w14:textId="742B036C"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7.29%</w:t>
            </w:r>
          </w:p>
        </w:tc>
      </w:tr>
      <w:tr w:rsidR="004D1721" w14:paraId="3FF4AAE9"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70F4037"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中位值</w:t>
            </w:r>
          </w:p>
        </w:tc>
        <w:tc>
          <w:tcPr>
            <w:tcW w:w="3516" w:type="dxa"/>
            <w:tcBorders>
              <w:top w:val="nil"/>
              <w:left w:val="nil"/>
              <w:bottom w:val="single" w:sz="8" w:space="0" w:color="auto"/>
              <w:right w:val="single" w:sz="8" w:space="0" w:color="auto"/>
            </w:tcBorders>
            <w:vAlign w:val="center"/>
          </w:tcPr>
          <w:p w14:paraId="0F1F5460" w14:textId="312F2D7D"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1.39%</w:t>
            </w:r>
          </w:p>
        </w:tc>
      </w:tr>
      <w:tr w:rsidR="004D1721" w14:paraId="7799CC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84D83C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下四分位值</w:t>
            </w:r>
          </w:p>
        </w:tc>
        <w:tc>
          <w:tcPr>
            <w:tcW w:w="3516" w:type="dxa"/>
            <w:tcBorders>
              <w:top w:val="nil"/>
              <w:left w:val="nil"/>
              <w:bottom w:val="single" w:sz="8" w:space="0" w:color="auto"/>
              <w:right w:val="single" w:sz="8" w:space="0" w:color="auto"/>
            </w:tcBorders>
            <w:vAlign w:val="center"/>
          </w:tcPr>
          <w:p w14:paraId="40C59960" w14:textId="26F18CF7"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0.59%</w:t>
            </w:r>
          </w:p>
        </w:tc>
      </w:tr>
      <w:tr w:rsidR="004D1721" w14:paraId="51CB1D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623A74B8"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下四分位数</w:t>
            </w:r>
          </w:p>
        </w:tc>
        <w:tc>
          <w:tcPr>
            <w:tcW w:w="3516" w:type="dxa"/>
            <w:tcBorders>
              <w:top w:val="nil"/>
              <w:left w:val="nil"/>
              <w:bottom w:val="single" w:sz="8" w:space="0" w:color="auto"/>
              <w:right w:val="single" w:sz="8" w:space="0" w:color="auto"/>
            </w:tcBorders>
            <w:vAlign w:val="center"/>
          </w:tcPr>
          <w:p w14:paraId="779CB4A5" w14:textId="3AAA1A68"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
            </w:r>
          </w:p>
        </w:tc>
      </w:tr>
    </w:tbl>
    <w:bookmarkEnd w:id="55"/>
    <w:bookmarkEnd w:id="56"/>
    <w:bookmarkEnd w:id="57"/>
    <w:p w14:paraId="209DE817" w14:textId="70AAF827" w:rsidR="004D1721" w:rsidRPr="005D08A5"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如上图表所示，2020到2022财年加权平均完全成本加成率独立交易区间为{{BVD数据模板-数据表B4}}到{{BVD数据模板-数据表B2}}，中位值为{{BVD数据模板-数据表B3}}。20年的完全成本加成率为5.25%，位于可比非受控公司在2020到2022财年加权平均完全成本加成率的四分位区间之内，且高于中位值。</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64DD7B9E" w14:textId="71672024" w:rsidR="004D1721" w:rsidRDefault="009B16BC">
      <w:pPr>
        <w:spacing w:line="360" w:lineRule="auto"/>
        <w:ind w:firstLineChars="200" w:firstLine="440"/>
        <w:jc w:val="both"/>
        <w:rPr>
          <w:rFonts w:ascii="Arial Narrow" w:eastAsia="仿宋_GB2312" w:hAnsi="Arial Narrow" w:cs="Arial"/>
          <w:sz w:val="22"/>
          <w:szCs w:val="22"/>
          <w:highlight w:val="yellow"/>
        </w:rPr>
      </w:pPr>
      <w:r>
        <w:rPr>
          <w:rFonts w:ascii="Arial Narrow" w:eastAsia="仿宋_GB2312" w:hAnsi="Arial Narrow" w:cs="Arial" w:hint="eastAsia"/>
          <w:sz w:val="22"/>
          <w:szCs w:val="22"/>
        </w:rPr>
        <w:t>因此，从中国转让定价角度，在20年受测关联交易中的转让定价安排符合独立交易原则。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001E2AB3">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DC3E42" w14:textId="77777777" w:rsidR="004D1721" w:rsidRDefault="009B16BC">
      <w:pPr>
        <w:pStyle w:val="Heading2"/>
        <w:rPr>
          <w:b/>
          <w:bCs/>
        </w:rPr>
      </w:pPr>
      <w:bookmarkStart w:id="159" w:name="_Toc85557479"/>
      <w:bookmarkStart w:id="160" w:name="_Toc85557612"/>
      <w:bookmarkStart w:id="161" w:name="_Toc140505104"/>
      <w:bookmarkStart w:id="162" w:name="_Toc140505100"/>
      <w:bookmarkStart w:id="163" w:name="_Toc140505102"/>
      <w:bookmarkStart w:id="164" w:name="_Toc140505101"/>
      <w:bookmarkStart w:id="165" w:name="_Toc140505103"/>
      <w:bookmarkStart w:id="166" w:name="_Toc85622846"/>
      <w:bookmarkStart w:id="167" w:name="_Toc85042475"/>
      <w:bookmarkStart w:id="168" w:name="_Toc140505105"/>
      <w:bookmarkStart w:id="169" w:name="_Toc53229051"/>
      <w:bookmarkEnd w:id="159"/>
      <w:bookmarkEnd w:id="160"/>
      <w:bookmarkEnd w:id="161"/>
      <w:bookmarkEnd w:id="162"/>
      <w:bookmarkEnd w:id="163"/>
      <w:bookmarkEnd w:id="164"/>
      <w:bookmarkEnd w:id="165"/>
      <w:bookmarkEnd w:id="166"/>
      <w:bookmarkEnd w:id="167"/>
      <w:r>
        <w:t>局限性</w:t>
      </w:r>
      <w:bookmarkEnd w:id="168"/>
      <w:bookmarkEnd w:id="169"/>
    </w:p>
    <w:p w14:paraId="5F4D2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及其关联方在转让定价调查中免于税务调整的保证。但本报告应可以为提供良好的文件支持以应对中国税务机关对转让定价安排的初步质询，并有助向税务机关展示其严肃对待纳税义务的努力。本报告所引用的的数据均来源于所提供的文件或信息。</w:t>
      </w:r>
    </w:p>
    <w:p w14:paraId="2DB76E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在本报告中，我们并未对任何消费税、增值税或其他国家及地方税的纳税义务（无论该纳税义务是否由我们的转让定价分析意见所引起）进行审查。</w:t>
      </w:r>
    </w:p>
    <w:p w14:paraId="7106787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由立信根据截止于报告提交日由提供的相关事实而准备的。本报告以特定的事实和情况为基础，可能不适用于之外的第三方。我们在准备本报告时仅从与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sz w:val="22"/>
          <w:szCs w:val="22"/>
        </w:rPr>
        <w:t/>
      </w:r>
    </w:p>
    <w:p w14:paraId="204925F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本报告是依照[2016]42号公告第14条对同期资料的相关规定而准备，可以在中国税务机关要求的情况下将本报告提交给中国税务机关。</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142EE9E" w14:textId="77777777" w:rsidR="004D1721" w:rsidRDefault="009B16BC">
      <w:pPr>
        <w:adjustRightInd w:val="0"/>
        <w:snapToGrid w:val="0"/>
        <w:spacing w:before="240" w:after="240"/>
        <w:ind w:firstLineChars="200" w:firstLine="440"/>
        <w:jc w:val="both"/>
        <w:rPr>
          <w:rFonts w:ascii="Arial Narrow" w:eastAsia="仿宋_GB2312" w:hAnsi="Arial Narrow" w:cs="Arial"/>
          <w:kern w:val="0"/>
          <w:sz w:val="22"/>
          <w:szCs w:val="22"/>
        </w:rPr>
      </w:pPr>
      <w:r>
        <w:rPr>
          <w:rFonts w:ascii="Arial Narrow" w:eastAsia="仿宋_GB2312" w:hAnsi="Arial Narrow" w:cs="Arial"/>
          <w:sz w:val="22"/>
          <w:szCs w:val="22"/>
        </w:rPr>
        <w:t>任何包括在我们的服务合同中的限制性条款将同样适用于本报告。</w:t>
      </w:r>
    </w:p>
    <w:p w14:paraId="6FC8F478" w14:textId="77777777" w:rsidR="004D1721" w:rsidRDefault="004D1721">
      <w:pPr>
        <w:adjustRightInd w:val="0"/>
        <w:snapToGrid w:val="0"/>
        <w:spacing w:before="240" w:after="240"/>
        <w:jc w:val="both"/>
        <w:rPr>
          <w:rFonts w:ascii="Arial Narrow" w:eastAsia="仿宋_GB2312" w:hAnsi="Arial Narrow" w:cs="Arial"/>
          <w:kern w:val="0"/>
          <w:sz w:val="22"/>
          <w:szCs w:val="22"/>
        </w:rPr>
      </w:pPr>
    </w:p>
    <w:p w14:paraId="26329438" w14:textId="77777777" w:rsidR="004D1721" w:rsidRDefault="004D1721">
      <w:pPr>
        <w:adjustRightInd w:val="0"/>
        <w:snapToGrid w:val="0"/>
        <w:spacing w:before="240" w:after="240"/>
        <w:jc w:val="both"/>
        <w:rPr>
          <w:rFonts w:ascii="Arial Narrow" w:eastAsia="仿宋_GB2312" w:hAnsi="Arial Narrow" w:cs="Arial"/>
          <w:kern w:val="0"/>
          <w:sz w:val="22"/>
          <w:szCs w:val="22"/>
        </w:rPr>
        <w:sectPr w:rsidR="004D1721">
          <w:footerReference w:type="default" r:id="rId20"/>
          <w:pgSz w:w="11907" w:h="16839"/>
          <w:pgMar w:top="1440" w:right="1800" w:bottom="1440" w:left="1800" w:header="709" w:footer="709" w:gutter="0"/>
          <w:pgNumType w:start="1"/>
          <w:cols w:space="720"/>
          <w:docGrid w:type="lines" w:linePitch="360"/>
        </w:sectPr>
      </w:pPr>
    </w:p>
    <w:p w14:paraId="7D6CEEA0" w14:textId="77777777" w:rsidR="004D1721" w:rsidRDefault="009B16BC">
      <w:pPr>
        <w:pStyle w:val="Heading1"/>
        <w:rPr>
          <w:b/>
        </w:rPr>
      </w:pPr>
      <w:bookmarkStart w:id="170" w:name="_Toc53229052"/>
      <w:bookmarkStart w:id="171" w:name="_Toc274825217"/>
      <w:bookmarkStart w:id="172" w:name="_Toc140505106"/>
      <w:r>
        <w:lastRenderedPageBreak/>
        <w:t>企业概况</w:t>
      </w:r>
      <w:bookmarkEnd w:id="170"/>
      <w:bookmarkEnd w:id="171"/>
      <w:bookmarkEnd w:id="172"/>
    </w:p>
    <w:p w14:paraId="570B5880" w14:textId="77777777" w:rsidR="004D1721" w:rsidRDefault="009B16BC">
      <w:pPr>
        <w:pStyle w:val="Heading2"/>
        <w:rPr>
          <w:b/>
          <w:bCs/>
        </w:rPr>
      </w:pPr>
      <w:bookmarkStart w:id="173" w:name="_Toc140505107"/>
      <w:bookmarkStart w:id="174" w:name="_Toc53229053"/>
      <w:r>
        <w:t>集团概况</w:t>
      </w:r>
      <w:r>
        <w:rPr>
          <w:rStyle w:val="FootnoteReference"/>
        </w:rPr>
        <w:footnoteReference w:id="1"/>
        <w:t/>
      </w:r>
      <w:bookmarkEnd w:id="173"/>
      <w:bookmarkEnd w:id="174"/>
    </w:p>
    <w:p w14:paraId="53DED6A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175" w:name="_Toc48317392"/>
      <w:bookmarkStart w:id="176" w:name="_Toc48317105"/>
      <w:r>
        <w:rPr>
          <w:rFonts w:ascii="Arial Narrow" w:eastAsia="仿宋_GB2312" w:hAnsi="Arial Narrow" w:cs="Arial"/>
          <w:sz w:val="22"/>
          <w:szCs w:val="22"/>
        </w:rPr>
        <w:t>Markwins Beauty Brands, Inc.（以下简称“Markwins US”）成立于1984年，总部设在美国加州洛杉矶，主要从事化妆品生产、行销及研究开发。公司拥有不断创新的设计能力、先进的生产技术、雄厚的财力、优越的行销能力，是全球化妆品行业最大的供应商之一，致力于满足不同年龄、种族、经济状况和肤色的消费者。</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DD982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 xml:space="preserve">Markwins 集团的策略是专注于单价较低的产品。随着消费者对小众市场越来越感兴趣，Markwins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bookmarkEnd w:id="175"/>
      <w:bookmarkEnd w:id="176"/>
    </w:p>
    <w:p w14:paraId="1E225DE5" w14:textId="77777777" w:rsidR="004D1721" w:rsidRDefault="009B16BC">
      <w:pPr>
        <w:pStyle w:val="Heading2"/>
        <w:rPr>
          <w:b/>
          <w:bCs/>
        </w:rPr>
      </w:pPr>
      <w:bookmarkStart w:id="177" w:name="_Toc53229054"/>
      <w:bookmarkStart w:id="178" w:name="_Toc140505108"/>
      <w:r>
        <w:t>公司概况</w:t>
      </w:r>
      <w:bookmarkEnd w:id="177"/>
      <w:bookmarkEnd w:id="178"/>
    </w:p>
    <w:p w14:paraId="2778D23D" w14:textId="77777777" w:rsidR="004D1721" w:rsidRDefault="009B16BC">
      <w:pPr>
        <w:pStyle w:val="Heading3"/>
        <w:rPr>
          <w:b/>
          <w:bCs/>
        </w:rPr>
      </w:pPr>
      <w:bookmarkStart w:id="179" w:name="_Toc53229055"/>
      <w:bookmarkStart w:id="180" w:name="_Toc140505109"/>
      <w:r>
        <w:t>公司基本信息</w:t>
      </w:r>
      <w:bookmarkEnd w:id="179"/>
      <w:bookmarkEnd w:id="180"/>
    </w:p>
    <w:p w14:paraId="612642E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成立于2018年11月29日，经营期限为50年，注册资本为美元4,000万元，主要从事化妆品生产经营业务。的基本信息详见下表。</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3E18278" w14:textId="77777777" w:rsidR="004D1721" w:rsidRDefault="009B16BC">
      <w:pPr>
        <w:pStyle w:val="Caption"/>
        <w:keepNext/>
        <w:jc w:val="center"/>
        <w:rPr>
          <w:rFonts w:ascii="Arial Narrow" w:eastAsia="仿宋_GB2312" w:hAnsi="Arial Narrow" w:cs="Arial"/>
          <w:sz w:val="22"/>
        </w:rPr>
      </w:pPr>
      <w:bookmarkStart w:id="181" w:name="_Toc48399533"/>
      <w:bookmarkStart w:id="182" w:name="_Toc48582930"/>
      <w:bookmarkStart w:id="183" w:name="_Toc48317395"/>
      <w:bookmarkStart w:id="184" w:name="_Toc48317394"/>
      <w:bookmarkStart w:id="185" w:name="_Toc48317211"/>
      <w:bookmarkStart w:id="186" w:name="_Toc48582516"/>
      <w:bookmarkStart w:id="187" w:name="_Toc48317212"/>
      <w:bookmarkStart w:id="188" w:name="_Toc48582929"/>
      <w:bookmarkStart w:id="189" w:name="_Toc48317209"/>
      <w:bookmarkStart w:id="190" w:name="_Toc48399532"/>
      <w:bookmarkStart w:id="191" w:name="_Toc48582515"/>
      <w:bookmarkStart w:id="192" w:name="_Toc48317396"/>
      <w:bookmarkStart w:id="193" w:name="_Toc48582928"/>
      <w:bookmarkStart w:id="194" w:name="_Toc48582517"/>
      <w:bookmarkStart w:id="195" w:name="_Toc48582518"/>
      <w:bookmarkStart w:id="196" w:name="_Toc48399534"/>
      <w:bookmarkStart w:id="197" w:name="_Toc48317397"/>
      <w:bookmarkStart w:id="198" w:name="_Toc48399535"/>
      <w:bookmarkStart w:id="199" w:name="_Toc48582931"/>
      <w:bookmarkStart w:id="200" w:name="_Toc48317210"/>
      <w:bookmarkStart w:id="201" w:name="_Hlk50481429"/>
      <w:bookmarkStart w:id="202" w:name="_Toc4831739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Arial Narrow" w:eastAsia="仿宋_GB2312" w:hAnsi="Arial Narrow" w:cs="Arial"/>
          <w:sz w:val="22"/>
        </w:rPr>
        <w:t>图表 2：基本信息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bookmarkEnd w:id="201"/>
      <w:r>
        <w:rPr>
          <w:rFonts w:ascii="Arial Narrow" w:eastAsia="仿宋_GB2312" w:hAnsi="Arial Narrow" w:cs="Arial"/>
          <w:sz w:val="22"/>
        </w:rPr>
        <w:t/>
      </w:r>
      <w:r>
        <w:rPr>
          <w:rFonts w:ascii="Arial Narrow" w:eastAsia="仿宋_GB2312" w:hAnsi="Arial Narrow" w:cs="Arial"/>
          <w:sz w:val="22"/>
          <w:szCs w:val="22"/>
        </w:rPr>
        <w:t/>
      </w:r>
      <w:r>
        <w:rPr>
          <w:rFonts w:ascii="Arial Narrow" w:eastAsia="仿宋_GB2312" w:hAnsi="Arial Narrow" w:cs="Arial"/>
          <w:sz w:val="22"/>
        </w:rPr>
        <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4D1721" w14:paraId="14D3E19C" w14:textId="77777777">
        <w:trPr>
          <w:trHeight w:hRule="exact" w:val="454"/>
        </w:trPr>
        <w:tc>
          <w:tcPr>
            <w:tcW w:w="2155" w:type="dxa"/>
            <w:tcBorders>
              <w:bottom w:val="single" w:sz="4" w:space="0" w:color="FFFFFF" w:themeColor="background1"/>
            </w:tcBorders>
            <w:shd w:val="clear" w:color="auto" w:fill="002060"/>
            <w:vAlign w:val="center"/>
          </w:tcPr>
          <w:p w14:paraId="4D56F44F"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公司名称</w:t>
            </w:r>
          </w:p>
        </w:tc>
        <w:tc>
          <w:tcPr>
            <w:tcW w:w="6029" w:type="dxa"/>
            <w:vAlign w:val="center"/>
          </w:tcPr>
          <w:p w14:paraId="1BE755D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w:r>
          </w:p>
        </w:tc>
      </w:tr>
      <w:tr w:rsidR="004D1721" w14:paraId="322226A3" w14:textId="77777777">
        <w:trPr>
          <w:trHeight w:hRule="exact" w:val="454"/>
        </w:trPr>
        <w:tc>
          <w:tcPr>
            <w:tcW w:w="2155" w:type="dxa"/>
            <w:tcBorders>
              <w:top w:val="single" w:sz="4" w:space="0" w:color="FFFFFF" w:themeColor="background1"/>
            </w:tcBorders>
            <w:shd w:val="clear" w:color="auto" w:fill="002060"/>
            <w:vAlign w:val="center"/>
          </w:tcPr>
          <w:p w14:paraId="1F82D75E"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经营地址</w:t>
            </w:r>
          </w:p>
        </w:tc>
        <w:tc>
          <w:tcPr>
            <w:tcW w:w="6029" w:type="dxa"/>
            <w:vAlign w:val="center"/>
          </w:tcPr>
          <w:p w14:paraId="798D05B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上海市奉贤区芝云路168号7幢1层B区、2层、3层</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620B2E6B" w14:textId="77777777">
        <w:trPr>
          <w:trHeight w:hRule="exact" w:val="454"/>
        </w:trPr>
        <w:tc>
          <w:tcPr>
            <w:tcW w:w="2155" w:type="dxa"/>
            <w:tcBorders>
              <w:bottom w:val="single" w:sz="4" w:space="0" w:color="FFFFFF" w:themeColor="background1"/>
            </w:tcBorders>
            <w:shd w:val="clear" w:color="auto" w:fill="002060"/>
            <w:vAlign w:val="center"/>
          </w:tcPr>
          <w:p w14:paraId="6331022C"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成立日期</w:t>
            </w:r>
          </w:p>
        </w:tc>
        <w:tc>
          <w:tcPr>
            <w:tcW w:w="6029" w:type="dxa"/>
            <w:vAlign w:val="center"/>
          </w:tcPr>
          <w:p w14:paraId="6A2D2C58"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2018年11月29日</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561CDE8B"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6200A1C6"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公司类型</w:t>
            </w:r>
          </w:p>
        </w:tc>
        <w:tc>
          <w:tcPr>
            <w:tcW w:w="6029" w:type="dxa"/>
            <w:vAlign w:val="center"/>
          </w:tcPr>
          <w:p w14:paraId="4D4B2024"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有限责任公司（港澳台法人独资）</w:t>
            </w:r>
          </w:p>
        </w:tc>
      </w:tr>
      <w:tr w:rsidR="004D1721" w14:paraId="42189D2D"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2C924FB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投资方</w:t>
            </w:r>
          </w:p>
        </w:tc>
        <w:tc>
          <w:tcPr>
            <w:tcW w:w="6029" w:type="dxa"/>
            <w:vAlign w:val="center"/>
          </w:tcPr>
          <w:p w14:paraId="040800F0"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r>
      <w:tr w:rsidR="004D1721" w14:paraId="3672FC6C" w14:textId="77777777">
        <w:trPr>
          <w:trHeight w:hRule="exact" w:val="454"/>
        </w:trPr>
        <w:tc>
          <w:tcPr>
            <w:tcW w:w="2155" w:type="dxa"/>
            <w:tcBorders>
              <w:top w:val="single" w:sz="4" w:space="0" w:color="FFFFFF" w:themeColor="background1"/>
            </w:tcBorders>
            <w:shd w:val="clear" w:color="auto" w:fill="002060"/>
            <w:vAlign w:val="center"/>
          </w:tcPr>
          <w:p w14:paraId="4552A4B5"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经营期限</w:t>
            </w:r>
          </w:p>
        </w:tc>
        <w:tc>
          <w:tcPr>
            <w:tcW w:w="6029" w:type="dxa"/>
            <w:vAlign w:val="center"/>
          </w:tcPr>
          <w:p w14:paraId="0E859A09"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50年</w:t>
            </w:r>
            <w:r>
              <w:rPr>
                <w:rFonts w:ascii="Arial Narrow" w:eastAsia="仿宋_GB2312" w:hAnsi="Arial Narrow" w:cs="Arial"/>
                <w:color w:val="000000"/>
                <w:sz w:val="22"/>
                <w:szCs w:val="22"/>
              </w:rPr>
              <w:t/>
            </w:r>
          </w:p>
        </w:tc>
      </w:tr>
      <w:tr w:rsidR="004D1721" w14:paraId="42A0B732" w14:textId="77777777">
        <w:trPr>
          <w:trHeight w:hRule="exact" w:val="454"/>
        </w:trPr>
        <w:tc>
          <w:tcPr>
            <w:tcW w:w="2155" w:type="dxa"/>
            <w:shd w:val="clear" w:color="auto" w:fill="002060"/>
            <w:vAlign w:val="center"/>
          </w:tcPr>
          <w:p w14:paraId="744A9B1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注册资本</w:t>
            </w:r>
          </w:p>
        </w:tc>
        <w:tc>
          <w:tcPr>
            <w:tcW w:w="6029" w:type="dxa"/>
            <w:vAlign w:val="center"/>
          </w:tcPr>
          <w:p w14:paraId="6D2BC13A"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4,000万美元</w:t>
            </w:r>
            <w:r>
              <w:rPr>
                <w:rFonts w:ascii="Arial Narrow" w:eastAsia="仿宋_GB2312" w:hAnsi="Arial Narrow" w:cs="Arial"/>
                <w:color w:val="000000"/>
                <w:sz w:val="22"/>
                <w:szCs w:val="22"/>
              </w:rPr>
              <w:t/>
            </w:r>
          </w:p>
        </w:tc>
      </w:tr>
      <w:tr w:rsidR="004D1721" w14:paraId="069FDE69" w14:textId="77777777">
        <w:trPr>
          <w:trHeight w:hRule="exact" w:val="2310"/>
        </w:trPr>
        <w:tc>
          <w:tcPr>
            <w:tcW w:w="2155" w:type="dxa"/>
            <w:tcBorders>
              <w:bottom w:val="single" w:sz="4" w:space="0" w:color="FFFFFF" w:themeColor="background1"/>
            </w:tcBorders>
            <w:shd w:val="clear" w:color="auto" w:fill="002060"/>
            <w:vAlign w:val="center"/>
          </w:tcPr>
          <w:p w14:paraId="2AA0CD03"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lastRenderedPageBreak/>
              <w:t>经营范围</w:t>
            </w:r>
          </w:p>
        </w:tc>
        <w:tc>
          <w:tcPr>
            <w:tcW w:w="6029" w:type="dxa"/>
            <w:vAlign w:val="center"/>
          </w:tcPr>
          <w:p w14:paraId="75E5A96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p>
        </w:tc>
      </w:tr>
      <w:tr w:rsidR="004D1721" w14:paraId="69338A4E" w14:textId="77777777">
        <w:trPr>
          <w:trHeight w:hRule="exact" w:val="704"/>
        </w:trPr>
        <w:tc>
          <w:tcPr>
            <w:tcW w:w="2155" w:type="dxa"/>
            <w:tcBorders>
              <w:top w:val="single" w:sz="4" w:space="0" w:color="FFFFFF" w:themeColor="background1"/>
            </w:tcBorders>
            <w:shd w:val="clear" w:color="auto" w:fill="002060"/>
            <w:vAlign w:val="center"/>
          </w:tcPr>
          <w:p w14:paraId="3E241279" w14:textId="1C48EAFC"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20年度适用的企业所得税率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c>
          <w:tcPr>
            <w:tcW w:w="6029" w:type="dxa"/>
            <w:vAlign w:val="center"/>
          </w:tcPr>
          <w:p w14:paraId="08E58BDE"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25%</w:t>
            </w:r>
          </w:p>
        </w:tc>
      </w:tr>
    </w:tbl>
    <w:p w14:paraId="794DB730" w14:textId="346B7A39"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信息来源：营业执照及20年度审计报告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02"/>
    </w:p>
    <w:p w14:paraId="35799902" w14:textId="77777777" w:rsidR="004D1721" w:rsidRDefault="009B16BC">
      <w:pPr>
        <w:pStyle w:val="Heading3"/>
        <w:rPr>
          <w:b/>
          <w:bCs/>
        </w:rPr>
      </w:pPr>
      <w:bookmarkStart w:id="203" w:name="_Toc140505110"/>
      <w:bookmarkStart w:id="204" w:name="_Toc53229056"/>
      <w:r>
        <w:t>公司组织结构图和主要部门</w:t>
      </w:r>
      <w:bookmarkEnd w:id="203"/>
      <w:bookmarkEnd w:id="204"/>
    </w:p>
    <w:p w14:paraId="14EFC336" w14:textId="1A3CAAC9"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截至20年12月31日，的管理组织结构显示如下：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C60F91" w14:textId="0F8A4BF7" w:rsidR="004D1721" w:rsidRDefault="009B16BC">
      <w:pPr>
        <w:widowControl w:val="0"/>
        <w:snapToGrid w:val="0"/>
        <w:jc w:val="center"/>
        <w:rPr>
          <w:rFonts w:ascii="Arial Narrow" w:eastAsia="仿宋_GB2312" w:hAnsi="Arial Narrow" w:cs="Arial"/>
          <w:b/>
          <w:sz w:val="22"/>
        </w:rPr>
      </w:pPr>
      <w:bookmarkStart w:id="205" w:name="_Toc12286303"/>
      <w:r>
        <w:rPr>
          <w:rFonts w:ascii="Arial Narrow" w:eastAsia="仿宋_GB2312" w:hAnsi="Arial Narrow" w:cs="Arial"/>
          <w:b/>
          <w:bCs/>
          <w:sz w:val="22"/>
        </w:rPr>
        <w:t>图表 3：的组织结构图</w:t>
      </w:r>
      <w:r>
        <w:rPr>
          <w:rFonts w:ascii="Arial Narrow" w:eastAsia="仿宋_GB2312" w:hAnsi="Arial Narrow" w:cs="Arial"/>
          <w:b/>
          <w:bCs/>
          <w:sz w:val="22"/>
        </w:rPr>
        <w:t xml:space="preserve"/>
      </w:r>
      <w:r>
        <w:rPr>
          <w:rFonts w:ascii="Arial Narrow" w:eastAsia="仿宋_GB2312" w:hAnsi="Arial Narrow" w:cs="Arial"/>
          <w:b/>
          <w:bCs/>
          <w:sz w:val="22"/>
        </w:rPr>
        <w:fldChar w:fldCharType="begin"/>
        <w:t/>
      </w:r>
      <w:r>
        <w:rPr>
          <w:rFonts w:ascii="Arial Narrow" w:eastAsia="仿宋_GB2312" w:hAnsi="Arial Narrow" w:cs="Arial"/>
          <w:b/>
          <w:bCs/>
          <w:sz w:val="22"/>
        </w:rPr>
        <w:instrText xml:space="preserve"> SEQ </w:instrText>
        <w:t/>
      </w:r>
      <w:r>
        <w:rPr>
          <w:rFonts w:ascii="Arial Narrow" w:eastAsia="仿宋_GB2312" w:hAnsi="Arial Narrow" w:cs="Arial"/>
          <w:b/>
          <w:bCs/>
          <w:sz w:val="22"/>
        </w:rPr>
        <w:instrText>图表</w:instrText>
        <w:t/>
      </w:r>
      <w:r>
        <w:rPr>
          <w:rFonts w:ascii="Arial Narrow" w:eastAsia="仿宋_GB2312" w:hAnsi="Arial Narrow" w:cs="Arial"/>
          <w:b/>
          <w:bCs/>
          <w:sz w:val="22"/>
        </w:rPr>
        <w:instrText xml:space="preserve"> \* ARABIC </w:instrText>
        <w:t/>
      </w:r>
      <w:r>
        <w:rPr>
          <w:rFonts w:ascii="Arial Narrow" w:eastAsia="仿宋_GB2312" w:hAnsi="Arial Narrow" w:cs="Arial"/>
          <w:b/>
          <w:bCs/>
          <w:sz w:val="22"/>
        </w:rPr>
        <w:fldChar w:fldCharType="separate"/>
        <w:t/>
      </w:r>
      <w:r>
        <w:rPr>
          <w:rFonts w:ascii="Arial Narrow" w:eastAsia="仿宋_GB2312" w:hAnsi="Arial Narrow" w:cs="Arial"/>
          <w:b/>
          <w:bCs/>
          <w:sz w:val="22"/>
        </w:rPr>
        <w:t/>
      </w:r>
      <w:r>
        <w:rPr>
          <w:rFonts w:ascii="Arial Narrow" w:eastAsia="仿宋_GB2312" w:hAnsi="Arial Narrow" w:cs="Arial"/>
          <w:b/>
          <w:bCs/>
          <w:sz w:val="22"/>
        </w:rPr>
        <w:fldChar w:fldCharType="end"/>
        <w:t/>
      </w:r>
      <w:r>
        <w:rPr>
          <w:rFonts w:ascii="Arial Narrow" w:eastAsia="仿宋_GB2312" w:hAnsi="Arial Narrow" w:cs="Arial"/>
          <w:b/>
          <w:bCs/>
          <w:sz w:val="22"/>
        </w:rPr>
        <w:t/>
      </w:r>
      <w:r>
        <w:rPr>
          <w:rFonts w:ascii="Arial Narrow" w:eastAsia="仿宋_GB2312" w:hAnsi="Arial Narrow" w:cs="Arial"/>
          <w:b/>
          <w:sz w:val="22"/>
        </w:rPr>
        <w:t/>
      </w:r>
      <w:bookmarkEnd w:id="205"/>
    </w:p>
    <w:p w14:paraId="3E50221D" w14:textId="77777777" w:rsidR="004D1721" w:rsidRDefault="004D1721">
      <w:pPr>
        <w:widowControl w:val="0"/>
        <w:snapToGrid w:val="0"/>
        <w:jc w:val="center"/>
        <w:rPr>
          <w:rFonts w:ascii="Arial Narrow" w:eastAsia="仿宋_GB2312" w:hAnsi="Arial Narrow" w:cs="Arial"/>
          <w:i/>
          <w:iCs/>
          <w:sz w:val="16"/>
          <w:szCs w:val="16"/>
        </w:rPr>
      </w:pPr>
    </w:p>
    <w:p w14:paraId="233996DE" w14:textId="4790FC80" w:rsidR="004D1721" w:rsidRDefault="009B16BC" w:rsidP="005D08A5">
      <w:pPr>
        <w:widowControl w:val="0"/>
        <w:snapToGrid w:val="0"/>
        <w:jc w:val="center"/>
        <w:rPr>
          <w:rFonts w:ascii="Arial Narrow" w:eastAsia="仿宋_GB2312" w:hAnsi="Arial Narrow" w:cs="Arial"/>
          <w:i/>
          <w:iCs/>
          <w:sz w:val="16"/>
          <w:szCs w:val="16"/>
        </w:rPr>
      </w:pPr>
      <w:r w:rsidRPr="005D08A5">
        <w:rPr>
          <w:rFonts w:ascii="Arial Narrow" w:eastAsia="仿宋_GB2312" w:hAnsi="Arial Narrow" w:cs="Arial"/>
          <w:i/>
          <w:iCs/>
          <w:noProof/>
          <w:sz w:val="16"/>
          <w:szCs w:val="16"/>
        </w:rPr>
        <w:drawing>
          <wp:inline distT="0" distB="0" distL="114300" distR="114300">
            <wp:extent cx="3767455" cy="3482340"/>
            <wp:effectExtent l="0" t="0" r="12065" b="7620"/>
            <wp:docPr id="16"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icPr>
                  <pic:blipFill>
                    <a:blip r:embed="rId21"/>
                    <a:stretch>
                      <a:fillRect/>
                    </a:stretch>
                  </pic:blipFill>
                  <pic:spPr>
                    <a:xfrm>
                      <a:off x="0" y="0"/>
                      <a:ext cx="3767455" cy="3482340"/>
                    </a:xfrm>
                    <a:prstGeom prst="rect">
                      <a:avLst/>
                    </a:prstGeom>
                  </pic:spPr>
                </pic:pic>
              </a:graphicData>
            </a:graphic>
          </wp:inline>
        </w:drawing>
      </w:r>
    </w:p>
    <w:p w14:paraId="735D7E70" w14:textId="77777777" w:rsidR="004D1721" w:rsidRDefault="009B16BC">
      <w:pPr>
        <w:widowControl w:val="0"/>
        <w:snapToGrid w:val="0"/>
        <w:rPr>
          <w:rFonts w:ascii="Arial Narrow" w:eastAsia="仿宋_GB2312" w:hAnsi="Arial Narrow" w:cs="Arial"/>
          <w:i/>
          <w:iCs/>
          <w:sz w:val="16"/>
          <w:szCs w:val="16"/>
        </w:rPr>
      </w:pPr>
      <w:r>
        <w:rPr>
          <w:rFonts w:ascii="Arial Narrow" w:eastAsia="仿宋_GB2312" w:hAnsi="Arial Narrow" w:cs="Arial"/>
          <w:i/>
          <w:iCs/>
          <w:sz w:val="16"/>
          <w:szCs w:val="16"/>
        </w:rPr>
        <w:t>信息来源：由提供</w:t>
      </w:r>
    </w:p>
    <w:p w14:paraId="64C88CF1" w14:textId="2033961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06" w:name="_Toc48317217"/>
      <w:bookmarkStart w:id="207" w:name="_Toc48582936"/>
      <w:bookmarkStart w:id="208" w:name="_Toc48317214"/>
      <w:bookmarkStart w:id="209" w:name="_Toc48582522"/>
      <w:bookmarkStart w:id="210" w:name="_Toc48317399"/>
      <w:bookmarkStart w:id="211" w:name="_Toc48399537"/>
      <w:bookmarkStart w:id="212" w:name="_Toc48317216"/>
      <w:bookmarkStart w:id="213" w:name="_Toc48317402"/>
      <w:bookmarkStart w:id="214" w:name="_Toc48582520"/>
      <w:bookmarkStart w:id="215" w:name="_Toc48582933"/>
      <w:bookmarkStart w:id="216" w:name="_Toc48582523"/>
      <w:bookmarkStart w:id="217" w:name="_Toc48317106"/>
      <w:bookmarkStart w:id="218" w:name="_Toc48399539"/>
      <w:bookmarkStart w:id="219" w:name="_Toc48582935"/>
      <w:bookmarkStart w:id="220" w:name="_Toc48317109"/>
      <w:bookmarkStart w:id="221" w:name="_Toc48317401"/>
      <w:bookmarkStart w:id="222" w:name="_Toc48399540"/>
      <w:bookmarkStart w:id="223" w:name="_Toc48317108"/>
      <w:bookmarkStart w:id="224" w:name="_Toc48317110"/>
      <w:bookmarkStart w:id="225" w:name="_Hlk50647845"/>
      <w:bookmarkStart w:id="226" w:name="_Toc48317403"/>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ascii="Arial Narrow" w:eastAsia="仿宋_GB2312" w:hAnsi="Arial Narrow" w:cs="Arial"/>
          <w:sz w:val="22"/>
          <w:szCs w:val="22"/>
        </w:rPr>
        <w:t>截至20年12月31日，的主要业务部门、职责范围显示如下：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5C3309A" w14:textId="77777777" w:rsidR="004D1721" w:rsidRDefault="009B16BC">
      <w:pPr>
        <w:pStyle w:val="Caption"/>
        <w:ind w:left="420" w:hanging="420"/>
        <w:jc w:val="center"/>
        <w:rPr>
          <w:rFonts w:ascii="Arial Narrow" w:eastAsia="仿宋_GB2312" w:hAnsi="Arial Narrow" w:cs="Arial"/>
          <w:sz w:val="22"/>
        </w:rPr>
      </w:pPr>
      <w:bookmarkStart w:id="227" w:name="_Toc12286290"/>
      <w:r>
        <w:rPr>
          <w:rFonts w:ascii="Arial Narrow" w:eastAsia="仿宋_GB2312" w:hAnsi="Arial Narrow" w:cs="Arial"/>
          <w:sz w:val="22"/>
        </w:rPr>
        <w:t>图表 4：的部门结构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bookmarkEnd w:id="227"/>
    </w:p>
    <w:tbl>
      <w:tblPr>
        <w:tblStyle w:val="4-4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01"/>
        <w:gridCol w:w="930"/>
        <w:gridCol w:w="3590"/>
        <w:gridCol w:w="1390"/>
        <w:gridCol w:w="1656"/>
      </w:tblGrid>
      <w:tr w:rsidR="009B16BC" w14:paraId="23A157FF" w14:textId="77777777" w:rsidTr="004D172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4" w:space="0" w:color="auto"/>
              <w:left w:val="single" w:sz="4" w:space="0" w:color="auto"/>
              <w:bottom w:val="single" w:sz="4" w:space="0" w:color="000000" w:themeColor="text1"/>
            </w:tcBorders>
            <w:shd w:val="clear" w:color="auto" w:fill="002060"/>
            <w:vAlign w:val="center"/>
          </w:tcPr>
          <w:p w14:paraId="0C2C6AA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主要部门</w:t>
            </w:r>
          </w:p>
        </w:tc>
        <w:tc>
          <w:tcPr>
            <w:tcW w:w="930" w:type="dxa"/>
            <w:tcBorders>
              <w:top w:val="single" w:sz="4" w:space="0" w:color="auto"/>
              <w:bottom w:val="single" w:sz="4" w:space="0" w:color="000000" w:themeColor="text1"/>
            </w:tcBorders>
            <w:shd w:val="clear" w:color="auto" w:fill="002060"/>
            <w:vAlign w:val="center"/>
          </w:tcPr>
          <w:p w14:paraId="1F05237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人数</w:t>
            </w:r>
          </w:p>
        </w:tc>
        <w:tc>
          <w:tcPr>
            <w:tcW w:w="3590" w:type="dxa"/>
            <w:tcBorders>
              <w:top w:val="single" w:sz="4" w:space="0" w:color="auto"/>
              <w:bottom w:val="single" w:sz="4" w:space="0" w:color="000000" w:themeColor="text1"/>
            </w:tcBorders>
            <w:shd w:val="clear" w:color="auto" w:fill="002060"/>
            <w:vAlign w:val="center"/>
          </w:tcPr>
          <w:p w14:paraId="232DB9E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主要职责范围</w:t>
            </w:r>
          </w:p>
        </w:tc>
        <w:tc>
          <w:tcPr>
            <w:tcW w:w="1390" w:type="dxa"/>
            <w:tcBorders>
              <w:top w:val="single" w:sz="4" w:space="0" w:color="auto"/>
              <w:bottom w:val="single" w:sz="4" w:space="0" w:color="000000" w:themeColor="text1"/>
            </w:tcBorders>
            <w:shd w:val="clear" w:color="auto" w:fill="002060"/>
            <w:vAlign w:val="center"/>
          </w:tcPr>
          <w:p w14:paraId="2C40FB67"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部门负责人汇报对象</w:t>
            </w:r>
          </w:p>
        </w:tc>
        <w:tc>
          <w:tcPr>
            <w:tcW w:w="1656" w:type="dxa"/>
            <w:tcBorders>
              <w:top w:val="single" w:sz="4" w:space="0" w:color="auto"/>
              <w:bottom w:val="single" w:sz="4" w:space="0" w:color="000000" w:themeColor="text1"/>
              <w:right w:val="single" w:sz="4" w:space="0" w:color="auto"/>
            </w:tcBorders>
            <w:shd w:val="clear" w:color="auto" w:fill="002060"/>
            <w:vAlign w:val="center"/>
          </w:tcPr>
          <w:p w14:paraId="53F9724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汇报对象主要办公地（注*）</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p>
        </w:tc>
      </w:tr>
      <w:tr w:rsidR="005D08A5" w14:paraId="5115347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7834B2E"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生产部</w:t>
            </w:r>
          </w:p>
        </w:tc>
        <w:tc>
          <w:tcPr>
            <w:tcW w:w="930" w:type="dxa"/>
            <w:shd w:val="clear" w:color="auto" w:fill="auto"/>
            <w:vAlign w:val="center"/>
          </w:tcPr>
          <w:p w14:paraId="62E815E6" w14:textId="7610BC4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352</w:t>
            </w:r>
          </w:p>
        </w:tc>
        <w:tc>
          <w:tcPr>
            <w:tcW w:w="3590" w:type="dxa"/>
            <w:shd w:val="clear" w:color="auto" w:fill="auto"/>
            <w:vAlign w:val="center"/>
          </w:tcPr>
          <w:p w14:paraId="7C9D11DC" w14:textId="7B14C3A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管理车间人员物料机器等资源，根据计划按质按量及时完成产品制造</w:t>
            </w:r>
          </w:p>
        </w:tc>
        <w:tc>
          <w:tcPr>
            <w:tcW w:w="1390" w:type="dxa"/>
            <w:shd w:val="clear" w:color="auto" w:fill="auto"/>
            <w:vAlign w:val="center"/>
          </w:tcPr>
          <w:p w14:paraId="30C3280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9E42967"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47E7983"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58B00EA" w14:textId="66A34DF6"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lastRenderedPageBreak/>
              <w:t>计划部</w:t>
            </w:r>
          </w:p>
        </w:tc>
        <w:tc>
          <w:tcPr>
            <w:tcW w:w="930" w:type="dxa"/>
            <w:shd w:val="clear" w:color="auto" w:fill="auto"/>
            <w:vAlign w:val="center"/>
          </w:tcPr>
          <w:p w14:paraId="30AEED9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41DEB3B8" w14:textId="21F2C44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生产计划/进度调度控制；物料管控</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7A17436" w14:textId="7961104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27F3F158" w14:textId="1BB9E230"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7917612"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3086771"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资材部</w:t>
            </w:r>
            <w:r>
              <w:rPr>
                <w:rFonts w:ascii="Arial Narrow" w:eastAsia="仿宋_GB2312" w:hAnsi="Arial Narrow" w:cs="Arial" w:hint="eastAsia"/>
                <w:sz w:val="22"/>
                <w:szCs w:val="22"/>
              </w:rPr>
              <w:t/>
            </w:r>
          </w:p>
        </w:tc>
        <w:tc>
          <w:tcPr>
            <w:tcW w:w="930" w:type="dxa"/>
            <w:shd w:val="clear" w:color="auto" w:fill="auto"/>
            <w:vAlign w:val="center"/>
          </w:tcPr>
          <w:p w14:paraId="44750D27" w14:textId="45270B0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
            </w:r>
          </w:p>
        </w:tc>
        <w:tc>
          <w:tcPr>
            <w:tcW w:w="3590" w:type="dxa"/>
            <w:shd w:val="clear" w:color="auto" w:fill="auto"/>
            <w:vAlign w:val="center"/>
          </w:tcPr>
          <w:p w14:paraId="5986665C" w14:textId="05DFD3BC"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货物出入库管理与存货保管盘点，存储空间/环境管理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411C56B" w14:textId="76CA76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8CF663A" w14:textId="503FC705"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1A4562E"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426B5074"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采购部</w:t>
            </w:r>
            <w:r>
              <w:rPr>
                <w:rFonts w:ascii="Arial Narrow" w:eastAsia="仿宋_GB2312" w:hAnsi="Arial Narrow" w:cs="Arial" w:hint="eastAsia"/>
                <w:sz w:val="22"/>
                <w:szCs w:val="22"/>
              </w:rPr>
              <w:t/>
            </w:r>
          </w:p>
        </w:tc>
        <w:tc>
          <w:tcPr>
            <w:tcW w:w="930" w:type="dxa"/>
            <w:shd w:val="clear" w:color="auto" w:fill="auto"/>
            <w:vAlign w:val="center"/>
          </w:tcPr>
          <w:p w14:paraId="29FA49A9" w14:textId="39C2DBAA"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8</w:t>
            </w:r>
          </w:p>
        </w:tc>
        <w:tc>
          <w:tcPr>
            <w:tcW w:w="3590" w:type="dxa"/>
            <w:shd w:val="clear" w:color="auto" w:fill="auto"/>
            <w:vAlign w:val="center"/>
          </w:tcPr>
          <w:p w14:paraId="01E891DE" w14:textId="0371E23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询比价开发优质供应商，采购降本，按质按量如期交货</w:t>
            </w:r>
          </w:p>
        </w:tc>
        <w:tc>
          <w:tcPr>
            <w:tcW w:w="1390" w:type="dxa"/>
            <w:shd w:val="clear" w:color="auto" w:fill="auto"/>
            <w:vAlign w:val="center"/>
          </w:tcPr>
          <w:p w14:paraId="5230B156" w14:textId="430079E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1101938" w14:textId="04515A8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1E5E04"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288AFE93" w14:textId="18F5A7C4"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关务部</w:t>
            </w:r>
            <w:r>
              <w:rPr>
                <w:rFonts w:ascii="Arial Narrow" w:eastAsia="仿宋_GB2312" w:hAnsi="Arial Narrow" w:cs="Arial" w:hint="eastAsia"/>
                <w:sz w:val="22"/>
                <w:szCs w:val="22"/>
              </w:rPr>
              <w:t/>
            </w:r>
          </w:p>
        </w:tc>
        <w:tc>
          <w:tcPr>
            <w:tcW w:w="930" w:type="dxa"/>
            <w:shd w:val="clear" w:color="auto" w:fill="auto"/>
            <w:vAlign w:val="center"/>
          </w:tcPr>
          <w:p w14:paraId="77551B66" w14:textId="2331CA1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17091BA2" w14:textId="4823B86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货物进出口申报，船运安排，海关检验检疫</w:t>
            </w:r>
          </w:p>
        </w:tc>
        <w:tc>
          <w:tcPr>
            <w:tcW w:w="1390" w:type="dxa"/>
            <w:shd w:val="clear" w:color="auto" w:fill="auto"/>
            <w:vAlign w:val="center"/>
          </w:tcPr>
          <w:p w14:paraId="5375C7D4" w14:textId="1D669A58"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87FEFC6" w14:textId="043BE1A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EF4E4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B098630"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t>工程部</w:t>
            </w:r>
          </w:p>
        </w:tc>
        <w:tc>
          <w:tcPr>
            <w:tcW w:w="930" w:type="dxa"/>
            <w:shd w:val="clear" w:color="auto" w:fill="auto"/>
            <w:vAlign w:val="center"/>
          </w:tcPr>
          <w:p w14:paraId="576DA4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45BCDA5"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基础数据维护，IE工程管理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70ECEE5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C811AD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D76095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6BEAA62A"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b w:val="0"/>
                <w:sz w:val="22"/>
                <w:szCs w:val="22"/>
              </w:rPr>
              <w:t>工务部</w:t>
            </w:r>
          </w:p>
        </w:tc>
        <w:tc>
          <w:tcPr>
            <w:tcW w:w="930" w:type="dxa"/>
            <w:shd w:val="clear" w:color="auto" w:fill="auto"/>
            <w:vAlign w:val="center"/>
          </w:tcPr>
          <w:p w14:paraId="23F58E2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1E5B091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机器设备零配件修理维保</w:t>
            </w:r>
          </w:p>
        </w:tc>
        <w:tc>
          <w:tcPr>
            <w:tcW w:w="1390" w:type="dxa"/>
            <w:shd w:val="clear" w:color="auto" w:fill="auto"/>
            <w:vAlign w:val="center"/>
          </w:tcPr>
          <w:p w14:paraId="2577B30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7C1C1C4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5D0BE4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4503861"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产品开发部</w:t>
            </w:r>
          </w:p>
        </w:tc>
        <w:tc>
          <w:tcPr>
            <w:tcW w:w="930" w:type="dxa"/>
            <w:shd w:val="clear" w:color="auto" w:fill="auto"/>
            <w:vAlign w:val="center"/>
          </w:tcPr>
          <w:p w14:paraId="648F8D72"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72322EB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产品设计开发</w:t>
            </w:r>
          </w:p>
        </w:tc>
        <w:tc>
          <w:tcPr>
            <w:tcW w:w="1390" w:type="dxa"/>
            <w:shd w:val="clear" w:color="auto" w:fill="auto"/>
            <w:vAlign w:val="center"/>
          </w:tcPr>
          <w:p w14:paraId="0A364C2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014B781"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8E4456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0421AC80"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业务部</w:t>
            </w:r>
          </w:p>
        </w:tc>
        <w:tc>
          <w:tcPr>
            <w:tcW w:w="930" w:type="dxa"/>
            <w:shd w:val="clear" w:color="auto" w:fill="auto"/>
            <w:vAlign w:val="center"/>
          </w:tcPr>
          <w:p w14:paraId="1AE36F23"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22B53E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客户关系管理，订单评审，交期出货协调</w:t>
            </w:r>
          </w:p>
        </w:tc>
        <w:tc>
          <w:tcPr>
            <w:tcW w:w="1390" w:type="dxa"/>
            <w:shd w:val="clear" w:color="auto" w:fill="auto"/>
            <w:vAlign w:val="center"/>
          </w:tcPr>
          <w:p w14:paraId="733DA11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1E5B1FE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48C82F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84646E5"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财务部</w:t>
            </w:r>
          </w:p>
        </w:tc>
        <w:tc>
          <w:tcPr>
            <w:tcW w:w="930" w:type="dxa"/>
            <w:shd w:val="clear" w:color="auto" w:fill="auto"/>
            <w:vAlign w:val="center"/>
          </w:tcPr>
          <w:p w14:paraId="1B1AA2E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6</w:t>
            </w:r>
          </w:p>
        </w:tc>
        <w:tc>
          <w:tcPr>
            <w:tcW w:w="3590" w:type="dxa"/>
            <w:shd w:val="clear" w:color="auto" w:fill="auto"/>
            <w:vAlign w:val="center"/>
          </w:tcPr>
          <w:p w14:paraId="67E9088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会计核算，成本管理，资金管理，财税申报，财务信息化管理</w:t>
            </w:r>
          </w:p>
        </w:tc>
        <w:tc>
          <w:tcPr>
            <w:tcW w:w="1390" w:type="dxa"/>
            <w:shd w:val="clear" w:color="auto" w:fill="auto"/>
            <w:vAlign w:val="center"/>
          </w:tcPr>
          <w:p w14:paraId="71F835B8"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A31D38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5088BE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D88010F"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资讯部</w:t>
            </w:r>
          </w:p>
        </w:tc>
        <w:tc>
          <w:tcPr>
            <w:tcW w:w="930" w:type="dxa"/>
            <w:shd w:val="clear" w:color="auto" w:fill="auto"/>
            <w:vAlign w:val="center"/>
          </w:tcPr>
          <w:p w14:paraId="459D8E6A"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486D5CE9"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网络管理，信息软件培训维保，机房建设与管理</w:t>
            </w:r>
          </w:p>
        </w:tc>
        <w:tc>
          <w:tcPr>
            <w:tcW w:w="1390" w:type="dxa"/>
            <w:shd w:val="clear" w:color="auto" w:fill="auto"/>
            <w:vAlign w:val="center"/>
          </w:tcPr>
          <w:p w14:paraId="26923FC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3A53C5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207012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ECF763"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人事部</w:t>
            </w:r>
          </w:p>
        </w:tc>
        <w:tc>
          <w:tcPr>
            <w:tcW w:w="930" w:type="dxa"/>
            <w:shd w:val="clear" w:color="auto" w:fill="auto"/>
            <w:vAlign w:val="center"/>
          </w:tcPr>
          <w:p w14:paraId="24DB673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w:t>
            </w:r>
          </w:p>
        </w:tc>
        <w:tc>
          <w:tcPr>
            <w:tcW w:w="3590" w:type="dxa"/>
            <w:shd w:val="clear" w:color="auto" w:fill="auto"/>
            <w:vAlign w:val="center"/>
          </w:tcPr>
          <w:p w14:paraId="101338B8"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公司制度订立执行，员工招聘、考核、培训及劳资关系管理</w:t>
            </w:r>
          </w:p>
        </w:tc>
        <w:tc>
          <w:tcPr>
            <w:tcW w:w="1390" w:type="dxa"/>
            <w:shd w:val="clear" w:color="auto" w:fill="auto"/>
            <w:vAlign w:val="center"/>
          </w:tcPr>
          <w:p w14:paraId="4C73A3DD"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B6237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6FF433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71C49234"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管理部</w:t>
            </w:r>
          </w:p>
        </w:tc>
        <w:tc>
          <w:tcPr>
            <w:tcW w:w="930" w:type="dxa"/>
            <w:shd w:val="clear" w:color="auto" w:fill="auto"/>
            <w:vAlign w:val="center"/>
          </w:tcPr>
          <w:p w14:paraId="1D29CEF4"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67F5161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安保环境管理，职工食宿等行政事务</w:t>
            </w:r>
          </w:p>
        </w:tc>
        <w:tc>
          <w:tcPr>
            <w:tcW w:w="1390" w:type="dxa"/>
            <w:shd w:val="clear" w:color="auto" w:fill="auto"/>
            <w:vAlign w:val="center"/>
          </w:tcPr>
          <w:p w14:paraId="405C898E"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915DE5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BC08365"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9C34543" w14:textId="08A687E2"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品质部</w:t>
            </w:r>
          </w:p>
        </w:tc>
        <w:tc>
          <w:tcPr>
            <w:tcW w:w="930" w:type="dxa"/>
            <w:shd w:val="clear" w:color="auto" w:fill="auto"/>
            <w:vAlign w:val="center"/>
          </w:tcPr>
          <w:p w14:paraId="33450DD5" w14:textId="77B78FE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17</w:t>
            </w:r>
          </w:p>
        </w:tc>
        <w:tc>
          <w:tcPr>
            <w:tcW w:w="3590" w:type="dxa"/>
            <w:shd w:val="clear" w:color="auto" w:fill="auto"/>
            <w:vAlign w:val="center"/>
          </w:tcPr>
          <w:p w14:paraId="7B306CD5" w14:textId="5818E14B"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建立质量体系，制订品质，对物料、制程、产品质量检验</w:t>
            </w:r>
          </w:p>
        </w:tc>
        <w:tc>
          <w:tcPr>
            <w:tcW w:w="1390" w:type="dxa"/>
            <w:shd w:val="clear" w:color="auto" w:fill="auto"/>
            <w:vAlign w:val="center"/>
          </w:tcPr>
          <w:p w14:paraId="0BCC1A06" w14:textId="4D87D9A1"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00F085C" w14:textId="6FB4D81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3359AB76"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7D8898" w14:textId="07D2EC0F"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研发部</w:t>
            </w:r>
          </w:p>
        </w:tc>
        <w:tc>
          <w:tcPr>
            <w:tcW w:w="930" w:type="dxa"/>
            <w:shd w:val="clear" w:color="auto" w:fill="auto"/>
            <w:vAlign w:val="center"/>
          </w:tcPr>
          <w:p w14:paraId="71EDECF5" w14:textId="41B6BF1C"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14</w:t>
            </w:r>
          </w:p>
        </w:tc>
        <w:tc>
          <w:tcPr>
            <w:tcW w:w="3590" w:type="dxa"/>
            <w:shd w:val="clear" w:color="auto" w:fill="auto"/>
            <w:vAlign w:val="center"/>
          </w:tcPr>
          <w:p w14:paraId="4FA8669E" w14:textId="1ACE6FD6"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配方管理，新产品调研立项开发，旧产品改进</w:t>
            </w:r>
          </w:p>
        </w:tc>
        <w:tc>
          <w:tcPr>
            <w:tcW w:w="1390" w:type="dxa"/>
            <w:shd w:val="clear" w:color="auto" w:fill="auto"/>
            <w:vAlign w:val="center"/>
          </w:tcPr>
          <w:p w14:paraId="0A759FBB" w14:textId="7CA5365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D7D84BA" w14:textId="69227A0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E9A40D4" w14:textId="77777777" w:rsidTr="005D08A5">
        <w:trPr>
          <w:trHeight w:val="389"/>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bottom w:val="single" w:sz="4" w:space="0" w:color="auto"/>
            </w:tcBorders>
            <w:shd w:val="clear" w:color="auto" w:fill="auto"/>
            <w:vAlign w:val="center"/>
          </w:tcPr>
          <w:p w14:paraId="1213AA2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总计</w:t>
            </w:r>
          </w:p>
        </w:tc>
        <w:tc>
          <w:tcPr>
            <w:tcW w:w="930" w:type="dxa"/>
            <w:tcBorders>
              <w:bottom w:val="single" w:sz="4" w:space="0" w:color="auto"/>
            </w:tcBorders>
            <w:shd w:val="clear" w:color="auto" w:fill="auto"/>
            <w:vAlign w:val="center"/>
          </w:tcPr>
          <w:p w14:paraId="17747829" w14:textId="6AB030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b/>
                <w:sz w:val="22"/>
                <w:szCs w:val="22"/>
              </w:rPr>
              <w:t>464</w:t>
            </w:r>
          </w:p>
        </w:tc>
        <w:tc>
          <w:tcPr>
            <w:tcW w:w="6636" w:type="dxa"/>
            <w:gridSpan w:val="3"/>
            <w:tcBorders>
              <w:bottom w:val="single" w:sz="4" w:space="0" w:color="auto"/>
              <w:right w:val="single" w:sz="4" w:space="0" w:color="auto"/>
            </w:tcBorders>
            <w:shd w:val="clear" w:color="auto" w:fill="auto"/>
            <w:vAlign w:val="center"/>
          </w:tcPr>
          <w:p w14:paraId="6A328160" w14:textId="77777777" w:rsidR="004D1721" w:rsidRDefault="004D1721">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2D14FE7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信息来源：由提供</w:t>
      </w:r>
    </w:p>
    <w:p w14:paraId="799E1384" w14:textId="77777777" w:rsidR="004D1721" w:rsidRDefault="009B16BC">
      <w:pPr>
        <w:pStyle w:val="Heading2"/>
        <w:rPr>
          <w:b/>
          <w:bCs/>
        </w:rPr>
      </w:pPr>
      <w:bookmarkStart w:id="228" w:name="_Toc140505111"/>
      <w:bookmarkStart w:id="229" w:name="_Toc53229057"/>
      <w:bookmarkEnd w:id="224"/>
      <w:bookmarkEnd w:id="225"/>
      <w:bookmarkEnd w:id="226"/>
      <w:r>
        <w:t>主营业务及财务状况</w:t>
      </w:r>
      <w:bookmarkEnd w:id="228"/>
      <w:bookmarkEnd w:id="229"/>
    </w:p>
    <w:p w14:paraId="405F97C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30" w:name="_Toc48317405"/>
      <w:bookmarkStart w:id="231" w:name="_Toc48317112"/>
      <w:bookmarkStart w:id="232" w:name="_Toc262024927"/>
      <w:bookmarkStart w:id="233" w:name="_Toc261811240"/>
      <w:bookmarkStart w:id="234" w:name="_Toc135647185"/>
      <w:bookmarkStart w:id="235" w:name="_Toc62016497"/>
      <w:bookmarkStart w:id="236" w:name="_Toc63759085"/>
      <w:r>
        <w:rPr>
          <w:rFonts w:ascii="Arial Narrow" w:eastAsia="仿宋_GB2312" w:hAnsi="Arial Narrow" w:cs="Arial"/>
          <w:sz w:val="22"/>
          <w:szCs w:val="22"/>
        </w:rPr>
        <w:t>评估期间，主要生产Markwins 集团旗下品牌的化妆品，主要产品包括Physicians Formula品牌化妆品、Wet n Wild品牌化妆品LiP SMACKER品牌润唇膏等。</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E4E8BA1"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Physicians Formula品牌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64F6D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致力于为全球有肌肤困扰的女性提供健康、可靠、且性价比极高的化妆品。PF品牌提倡健康可持续的生活方式，一直以来支持零残忍的彩妆和护肤理念，反对动物测试。为给中国消费者更好的品牌和产品体验，2019年5月PF品牌开启内贸。改良了部分产品的气味，优化了中国版本的配方，使其高标准符合中国法规。</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001F9203"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Wet n Wild品牌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56313B6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作为诞生于美国洛杉矶的时尚彩妆品牌，常年蝉联美国开价彩妆第一，已入驻全美近58,000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39C1C999"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p w14:paraId="5A5FC44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LiP SMACKER以热忠于原创、趣味并专注于无与伦比的口味和优质配方而闻名。并持续通过产品创新和独家合作，成为全球青少年必备的第一款润唇膏、并深受潮玩一族的喜爱。MARKWINS将在最近两年将LiP SMACKER 推入中国润唇膏前三品牌当中去。</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26F8CB01"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5：部分产品示意图</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TableGrid"/>
        <w:tblW w:w="0" w:type="auto"/>
        <w:tblLook w:val="04A0" w:firstRow="1" w:lastRow="0" w:firstColumn="1" w:lastColumn="0" w:noHBand="0" w:noVBand="1"/>
      </w:tblPr>
      <w:tblGrid>
        <w:gridCol w:w="2500"/>
        <w:gridCol w:w="5797"/>
      </w:tblGrid>
      <w:tr w:rsidR="004D1721" w14:paraId="04CDF3A7" w14:textId="77777777">
        <w:trPr>
          <w:trHeight w:val="562"/>
        </w:trPr>
        <w:tc>
          <w:tcPr>
            <w:tcW w:w="2504" w:type="dxa"/>
            <w:shd w:val="clear" w:color="auto" w:fill="002060"/>
            <w:vAlign w:val="center"/>
          </w:tcPr>
          <w:p w14:paraId="3190B397"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产品品牌</w:t>
            </w:r>
          </w:p>
        </w:tc>
        <w:tc>
          <w:tcPr>
            <w:tcW w:w="5798" w:type="dxa"/>
            <w:shd w:val="clear" w:color="auto" w:fill="002060"/>
            <w:vAlign w:val="center"/>
          </w:tcPr>
          <w:p w14:paraId="1746739C"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产品示意图</w:t>
            </w:r>
          </w:p>
        </w:tc>
      </w:tr>
      <w:tr w:rsidR="004D1721" w14:paraId="6034A5A5" w14:textId="77777777">
        <w:trPr>
          <w:trHeight w:val="3501"/>
        </w:trPr>
        <w:tc>
          <w:tcPr>
            <w:tcW w:w="2504" w:type="dxa"/>
            <w:shd w:val="clear" w:color="auto" w:fill="auto"/>
            <w:vAlign w:val="center"/>
          </w:tcPr>
          <w:p w14:paraId="6C09082F"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t>Physicians Formula品牌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318BEDF5"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006725" cy="2041525"/>
                  <wp:effectExtent l="0" t="0" r="3175" b="0"/>
                  <wp:docPr id="6"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icPr>
                        <pic:blipFill>
                          <a:blip r:embed="rId22"/>
                          <a:srcRect l="2031"/>
                          <a:stretch>
                            <a:fillRect/>
                          </a:stretch>
                        </pic:blipFill>
                        <pic:spPr>
                          <a:xfrm>
                            <a:off x="0" y="0"/>
                            <a:ext cx="3007244" cy="2041525"/>
                          </a:xfrm>
                          <a:prstGeom prst="rect">
                            <a:avLst/>
                          </a:prstGeom>
                          <a:ln>
                            <a:noFill/>
                          </a:ln>
                        </pic:spPr>
                      </pic:pic>
                    </a:graphicData>
                  </a:graphic>
                </wp:inline>
              </w:drawing>
            </w:r>
          </w:p>
        </w:tc>
      </w:tr>
      <w:tr w:rsidR="004D1721" w14:paraId="403BC177" w14:textId="77777777">
        <w:trPr>
          <w:trHeight w:val="2651"/>
        </w:trPr>
        <w:tc>
          <w:tcPr>
            <w:tcW w:w="2504" w:type="dxa"/>
            <w:shd w:val="clear" w:color="auto" w:fill="auto"/>
            <w:vAlign w:val="center"/>
          </w:tcPr>
          <w:p w14:paraId="5EC39C62"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lastRenderedPageBreak/>
              <w:t>Wet n Wild品牌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11533598"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2983230" cy="1346200"/>
                  <wp:effectExtent l="0" t="0" r="3810" b="10160"/>
                  <wp:docPr id="2"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icPr>
                        <pic:blipFill>
                          <a:blip r:embed="rId23"/>
                          <a:stretch>
                            <a:fillRect/>
                          </a:stretch>
                        </pic:blipFill>
                        <pic:spPr>
                          <a:xfrm>
                            <a:off x="0" y="0"/>
                            <a:ext cx="2983230" cy="1346200"/>
                          </a:xfrm>
                          <a:prstGeom prst="rect">
                            <a:avLst/>
                          </a:prstGeom>
                        </pic:spPr>
                      </pic:pic>
                    </a:graphicData>
                  </a:graphic>
                </wp:inline>
              </w:drawing>
            </w:r>
          </w:p>
        </w:tc>
      </w:tr>
      <w:tr w:rsidR="004D1721" w14:paraId="4BA515B0" w14:textId="77777777">
        <w:trPr>
          <w:trHeight w:val="4159"/>
        </w:trPr>
        <w:tc>
          <w:tcPr>
            <w:tcW w:w="2504" w:type="dxa"/>
            <w:shd w:val="clear" w:color="auto" w:fill="auto"/>
            <w:vAlign w:val="center"/>
          </w:tcPr>
          <w:p w14:paraId="4F79C361" w14:textId="77777777" w:rsidR="004D1721" w:rsidRDefault="009B16BC">
            <w:pPr>
              <w:spacing w:beforeLines="50" w:before="180" w:afterLines="50" w:after="180" w:line="360" w:lineRule="auto"/>
              <w:jc w:val="center"/>
              <w:rPr>
                <w:rFonts w:ascii="Arial Narrow" w:eastAsia="仿宋_GB2312" w:hAnsi="Arial Narrow" w:cs="Arial"/>
                <w:bCs/>
                <w:color w:val="000000" w:themeColor="text1"/>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tc>
        <w:tc>
          <w:tcPr>
            <w:tcW w:w="5798" w:type="dxa"/>
            <w:shd w:val="clear" w:color="auto" w:fill="auto"/>
            <w:vAlign w:val="center"/>
          </w:tcPr>
          <w:p w14:paraId="0D492F37"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334385" cy="2056130"/>
                  <wp:effectExtent l="0" t="0" r="3175" b="1270"/>
                  <wp:docPr id="9"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icPr>
                        <pic:blipFill>
                          <a:blip r:embed="rId24"/>
                          <a:stretch>
                            <a:fillRect/>
                          </a:stretch>
                        </pic:blipFill>
                        <pic:spPr>
                          <a:xfrm>
                            <a:off x="0" y="0"/>
                            <a:ext cx="3334385" cy="2056130"/>
                          </a:xfrm>
                          <a:prstGeom prst="rect">
                            <a:avLst/>
                          </a:prstGeom>
                        </pic:spPr>
                      </pic:pic>
                    </a:graphicData>
                  </a:graphic>
                </wp:inline>
              </w:drawing>
            </w:r>
          </w:p>
        </w:tc>
      </w:tr>
    </w:tbl>
    <w:p w14:paraId="173DF06F" w14:textId="77777777" w:rsidR="004D1721" w:rsidRDefault="009B16BC">
      <w:pPr>
        <w:rPr>
          <w:rFonts w:ascii="Arial Narrow" w:eastAsia="仿宋_GB2312" w:hAnsi="Arial Narrow" w:cs="Arial"/>
          <w:i/>
          <w:iCs/>
          <w:sz w:val="16"/>
          <w:szCs w:val="16"/>
        </w:rPr>
      </w:pPr>
      <w:r>
        <w:rPr>
          <w:rFonts w:ascii="Arial Narrow" w:eastAsia="仿宋_GB2312" w:hAnsi="Arial Narrow" w:cs="Arial" w:hint="eastAsia"/>
          <w:i/>
          <w:iCs/>
          <w:sz w:val="16"/>
          <w:szCs w:val="16"/>
        </w:rPr>
        <w:t>信息来源：Markwins 集团官网</w:t>
      </w:r>
      <w:r>
        <w:rPr>
          <w:rFonts w:ascii="Arial Narrow" w:eastAsia="仿宋_GB2312" w:hAnsi="Arial Narrow" w:cs="Arial" w:hint="eastAsia"/>
          <w:i/>
          <w:iCs/>
          <w:sz w:val="16"/>
          <w:szCs w:val="16"/>
        </w:rPr>
        <w:t xml:space="preserve"/>
      </w:r>
      <w:r>
        <w:rPr>
          <w:rFonts w:ascii="Arial Narrow" w:eastAsia="仿宋_GB2312" w:hAnsi="Arial Narrow" w:cs="Arial" w:hint="eastAsia"/>
          <w:i/>
          <w:iCs/>
          <w:sz w:val="16"/>
          <w:szCs w:val="16"/>
        </w:rPr>
        <w:t/>
      </w:r>
    </w:p>
    <w:p w14:paraId="3E3D9097" w14:textId="13A71A86" w:rsidR="004D1721"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下表列示了20年度的具体财务状况。</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AE0C885"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6：财务状况</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4D1721" w14:paraId="626F0251" w14:textId="77777777">
        <w:trPr>
          <w:trHeight w:val="363"/>
        </w:trPr>
        <w:tc>
          <w:tcPr>
            <w:tcW w:w="2126" w:type="dxa"/>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7C798415"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项目</w:t>
            </w:r>
          </w:p>
        </w:tc>
        <w:tc>
          <w:tcPr>
            <w:tcW w:w="2462" w:type="dxa"/>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5CCD1DCD"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3FD2B32"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金额（人民币元）</w:t>
            </w:r>
            <w:r>
              <w:rPr>
                <w:rFonts w:ascii="Arial Narrow" w:eastAsia="仿宋_GB2312" w:hAnsi="Arial Narrow" w:cs="Arial" w:hint="eastAsia"/>
                <w:b/>
                <w:bCs/>
                <w:color w:val="FFFFFF" w:themeColor="background1"/>
                <w:sz w:val="22"/>
                <w:szCs w:val="22"/>
              </w:rPr>
              <w:t/>
            </w:r>
            <w:r>
              <w:rPr>
                <w:rFonts w:ascii="Arial Narrow" w:eastAsia="仿宋_GB2312" w:hAnsi="Arial Narrow" w:cs="Arial"/>
                <w:b/>
                <w:bCs/>
                <w:color w:val="FFFFFF" w:themeColor="background1"/>
                <w:sz w:val="22"/>
                <w:szCs w:val="22"/>
              </w:rPr>
              <w:t/>
            </w:r>
            <w:r>
              <w:rPr>
                <w:rFonts w:ascii="Arial Narrow" w:eastAsia="仿宋_GB2312" w:hAnsi="Arial Narrow" w:cs="Arial" w:hint="eastAsia"/>
                <w:b/>
                <w:bCs/>
                <w:color w:val="FFFFFF" w:themeColor="background1"/>
                <w:sz w:val="22"/>
                <w:szCs w:val="22"/>
              </w:rPr>
              <w:t/>
            </w:r>
          </w:p>
        </w:tc>
      </w:tr>
      <w:tr w:rsidR="004D1721" w14:paraId="03CC663D"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7B8BF8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营业收入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97AF26"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727253E" w14:textId="0CB13EF4"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273,356,327.70</w:t>
            </w:r>
          </w:p>
        </w:tc>
      </w:tr>
      <w:tr w:rsidR="004D1721" w14:paraId="53617F86"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37AD3C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A1C4EA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1B02BEE1" w14:textId="06C8D9EE"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243,696,017.20</w:t>
            </w:r>
          </w:p>
        </w:tc>
      </w:tr>
      <w:tr w:rsidR="004D1721" w14:paraId="43CF8D14"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E6623F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7E0D2D"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1CC4066" w14:textId="625D3748"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98,278.10</w:t>
            </w:r>
          </w:p>
        </w:tc>
      </w:tr>
      <w:tr w:rsidR="004D1721" w14:paraId="13CA61F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64143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667E3D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A9D4804" w14:textId="2D1EAB5C"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bCs/>
                <w:color w:val="000000"/>
                <w:sz w:val="22"/>
                <w:szCs w:val="22"/>
              </w:rPr>
              <w:t>562,576.46</w:t>
            </w:r>
          </w:p>
        </w:tc>
      </w:tr>
      <w:tr w:rsidR="004D1721" w14:paraId="2B3354A7"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61C474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管理费用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E7116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C93BFD6" w14:textId="0CA0B8F9"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15,362,250.31</w:t>
            </w:r>
          </w:p>
        </w:tc>
      </w:tr>
      <w:tr w:rsidR="004D1721" w14:paraId="37DF4DF9"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B43515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093C202"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f = b+c+d+e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F868D16" w14:textId="0CE4E60D"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259,719,122.07 </w:t>
            </w:r>
          </w:p>
        </w:tc>
      </w:tr>
      <w:tr w:rsidR="004D1721" w14:paraId="069B239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F2027"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4131B7"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g = a-f</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2F1D0024" w14:textId="445A400A"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13,637,205.63 </w:t>
            </w:r>
          </w:p>
        </w:tc>
      </w:tr>
      <w:tr w:rsidR="004D1721" w14:paraId="62F027F1" w14:textId="77777777">
        <w:trPr>
          <w:trHeight w:val="363"/>
        </w:trPr>
        <w:tc>
          <w:tcPr>
            <w:tcW w:w="212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08B05E40" w14:textId="77777777" w:rsidR="004D1721" w:rsidRDefault="009B16BC">
            <w:pP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完全成本加成率</w:t>
            </w:r>
          </w:p>
        </w:tc>
        <w:tc>
          <w:tcPr>
            <w:tcW w:w="2462"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711C784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h = g/f</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C3FB42E" w14:textId="555785C4" w:rsidR="004D1721" w:rsidRDefault="009B16BC">
            <w:pPr>
              <w:jc w:val="right"/>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323943A9" w14:textId="19B38AA5" w:rsidR="004D1721" w:rsidRDefault="009B16BC">
      <w:pPr>
        <w:ind w:left="840"/>
        <w:rPr>
          <w:rFonts w:ascii="Arial Narrow" w:eastAsia="仿宋_GB2312" w:hAnsi="Arial Narrow" w:cs="Arial"/>
          <w:i/>
          <w:iCs/>
          <w:sz w:val="16"/>
          <w:szCs w:val="16"/>
        </w:rPr>
      </w:pPr>
      <w:r>
        <w:rPr>
          <w:rFonts w:ascii="Arial Narrow" w:eastAsia="仿宋_GB2312" w:hAnsi="Arial Narrow" w:cs="Arial"/>
          <w:i/>
          <w:iCs/>
          <w:sz w:val="16"/>
          <w:szCs w:val="16"/>
        </w:rPr>
        <w:t>信息来源：20年度审计报告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30"/>
      <w:bookmarkEnd w:id="231"/>
    </w:p>
    <w:p w14:paraId="51D008D8" w14:textId="77777777" w:rsidR="004D1721" w:rsidRDefault="009B16BC">
      <w:pPr>
        <w:pStyle w:val="Heading2"/>
        <w:rPr>
          <w:b/>
          <w:bCs/>
        </w:rPr>
      </w:pPr>
      <w:bookmarkStart w:id="237" w:name="_Toc53229058"/>
      <w:bookmarkStart w:id="238" w:name="_Toc140505112"/>
      <w:r>
        <w:t>本年度重大变化事项</w:t>
      </w:r>
      <w:bookmarkEnd w:id="237"/>
      <w:bookmarkEnd w:id="238"/>
    </w:p>
    <w:p w14:paraId="34F0219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709" w:footer="709" w:gutter="0"/>
          <w:cols w:space="720"/>
          <w:docGrid w:type="lines" w:linePitch="360"/>
        </w:sectPr>
      </w:pPr>
      <w:r>
        <w:rPr>
          <w:rFonts w:ascii="Arial Narrow" w:eastAsia="仿宋_GB2312" w:hAnsi="Arial Narrow" w:cs="Arial"/>
          <w:sz w:val="22"/>
          <w:szCs w:val="22"/>
        </w:rPr>
        <w:t>评估期间，未发生重组和无形资产转让的情况，无重大对外投资，也无关联股权转让。企业的经营状况未受到重大影响 。</w:t>
      </w:r>
      <w:r>
        <w:rPr>
          <w:rFonts w:ascii="Arial Narrow" w:eastAsia="仿宋_GB2312" w:hAnsi="Arial Narrow" w:cs="Arial"/>
          <w:sz w:val="22"/>
          <w:szCs w:val="22"/>
        </w:rPr>
        <w:t xml:space="preserve"/>
      </w:r>
      <w:bookmarkStart w:id="239" w:name="_Toc261811243"/>
      <w:bookmarkStart w:id="240" w:name="_Toc262024930"/>
      <w:bookmarkEnd w:id="232"/>
      <w:bookmarkEnd w:id="233"/>
      <w:bookmarkEnd w:id="234"/>
      <w:r>
        <w:rPr>
          <w:rFonts w:ascii="Arial Narrow" w:eastAsia="仿宋_GB2312" w:hAnsi="Arial Narrow" w:cs="Arial"/>
          <w:sz w:val="22"/>
          <w:szCs w:val="22"/>
        </w:rPr>
        <w:t/>
      </w:r>
      <w:bookmarkEnd w:id="239"/>
      <w:bookmarkEnd w:id="240"/>
    </w:p>
    <w:p w14:paraId="7B45262B" w14:textId="77777777" w:rsidR="004D1721" w:rsidRDefault="009B16BC">
      <w:pPr>
        <w:pStyle w:val="Heading1"/>
        <w:rPr>
          <w:b/>
        </w:rPr>
      </w:pPr>
      <w:bookmarkStart w:id="241" w:name="_Toc274409435"/>
      <w:bookmarkStart w:id="242" w:name="_Toc274409330"/>
      <w:bookmarkStart w:id="243" w:name="_Toc274409649"/>
      <w:bookmarkStart w:id="244" w:name="_Toc274480764"/>
      <w:bookmarkStart w:id="245" w:name="_Toc274409647"/>
      <w:bookmarkStart w:id="246" w:name="_Toc274409331"/>
      <w:bookmarkStart w:id="247" w:name="_Toc274480766"/>
      <w:bookmarkStart w:id="248" w:name="_Toc274409436"/>
      <w:bookmarkStart w:id="249" w:name="_Toc274409755"/>
      <w:bookmarkStart w:id="250" w:name="_Toc274409648"/>
      <w:bookmarkStart w:id="251" w:name="_Toc274409113"/>
      <w:bookmarkStart w:id="252" w:name="_Toc274409329"/>
      <w:bookmarkStart w:id="253" w:name="_Toc274409111"/>
      <w:bookmarkStart w:id="254" w:name="_Toc274409756"/>
      <w:bookmarkStart w:id="255" w:name="_Toc274409437"/>
      <w:bookmarkStart w:id="256" w:name="_Toc274409757"/>
      <w:bookmarkStart w:id="257" w:name="_Toc274480765"/>
      <w:bookmarkStart w:id="258" w:name="_Toc274409112"/>
      <w:bookmarkStart w:id="259" w:name="_Toc53229059"/>
      <w:bookmarkStart w:id="260" w:name="_Toc140505113"/>
      <w:bookmarkStart w:id="261" w:name="_Toc27482522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lastRenderedPageBreak/>
        <w:t>行业分析</w:t>
      </w:r>
      <w:bookmarkEnd w:id="259"/>
      <w:bookmarkEnd w:id="260"/>
    </w:p>
    <w:p w14:paraId="26D6460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62" w:name="_Toc48317225"/>
      <w:bookmarkStart w:id="263" w:name="_Toc48317226"/>
      <w:bookmarkStart w:id="264" w:name="_Toc48317410"/>
      <w:bookmarkStart w:id="265" w:name="_Toc48317428"/>
      <w:bookmarkStart w:id="266" w:name="_Toc48399549"/>
      <w:bookmarkStart w:id="267" w:name="_Toc48582945"/>
      <w:bookmarkStart w:id="268" w:name="_Toc49961710"/>
      <w:bookmarkStart w:id="269" w:name="_Toc48582542"/>
      <w:bookmarkStart w:id="270" w:name="_Toc48399550"/>
      <w:bookmarkStart w:id="271" w:name="_Toc50477739"/>
      <w:bookmarkStart w:id="272" w:name="_Toc48582946"/>
      <w:bookmarkStart w:id="273" w:name="_Toc48582962"/>
      <w:bookmarkStart w:id="274" w:name="_Toc48582953"/>
      <w:bookmarkStart w:id="275" w:name="_Toc48582955"/>
      <w:bookmarkStart w:id="276" w:name="_Toc48317131"/>
      <w:bookmarkStart w:id="277" w:name="_Toc48399548"/>
      <w:bookmarkStart w:id="278" w:name="_Toc48317227"/>
      <w:bookmarkStart w:id="279" w:name="_Toc48317419"/>
      <w:bookmarkStart w:id="280" w:name="_Toc48582549"/>
      <w:bookmarkStart w:id="281" w:name="_Toc48582540"/>
      <w:bookmarkStart w:id="282" w:name="_Toc48317117"/>
      <w:bookmarkStart w:id="283" w:name="_Toc48399557"/>
      <w:bookmarkStart w:id="284" w:name="_Toc75432520"/>
      <w:bookmarkStart w:id="285" w:name="_Toc48317421"/>
      <w:bookmarkStart w:id="286" w:name="_Toc48582532"/>
      <w:bookmarkStart w:id="287" w:name="_Toc48399559"/>
      <w:bookmarkStart w:id="288" w:name="_Toc48582543"/>
      <w:bookmarkStart w:id="289" w:name="_Toc48317422"/>
      <w:bookmarkStart w:id="290" w:name="_Toc48399566"/>
      <w:bookmarkStart w:id="291" w:name="_Toc48582531"/>
      <w:bookmarkStart w:id="292" w:name="_Toc48582944"/>
      <w:bookmarkStart w:id="293" w:name="_Toc48317119"/>
      <w:bookmarkStart w:id="294" w:name="_Toc48582956"/>
      <w:bookmarkStart w:id="295" w:name="_Toc48317237"/>
      <w:bookmarkStart w:id="296" w:name="_Toc75191535"/>
      <w:bookmarkStart w:id="297" w:name="_Toc50038991"/>
      <w:bookmarkStart w:id="298" w:name="_Toc48317412"/>
      <w:bookmarkStart w:id="299" w:name="_Toc48317118"/>
      <w:bookmarkStart w:id="300" w:name="_Toc48317236"/>
      <w:bookmarkStart w:id="301" w:name="_Toc48317125"/>
      <w:bookmarkStart w:id="302" w:name="_Toc48317124"/>
      <w:bookmarkStart w:id="303" w:name="_Toc48399560"/>
      <w:bookmarkStart w:id="304" w:name="_Toc48317411"/>
      <w:bookmarkStart w:id="305" w:name="_Toc48317243"/>
      <w:bookmarkStart w:id="306" w:name="_Toc48582533"/>
      <w:bookmarkStart w:id="307" w:name="_Toc48317234"/>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ascii="Arial Narrow" w:eastAsia="仿宋_GB2312" w:hAnsi="Arial Narrow"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Fonts w:ascii="Arial Narrow" w:eastAsia="仿宋_GB2312" w:hAnsi="Arial Narrow" w:cs="Arial"/>
          <w:sz w:val="22"/>
          <w:szCs w:val="22"/>
        </w:rPr>
        <w:t/>
      </w:r>
      <w:r>
        <w:rPr>
          <w:rFonts w:ascii="Arial Narrow" w:eastAsia="仿宋_GB2312" w:hAnsi="Arial Narrow" w:cs="Arial"/>
          <w:sz w:val="22"/>
          <w:szCs w:val="22"/>
        </w:rPr>
        <w:t/>
      </w:r>
      <w:r>
        <w:rPr>
          <w:rStyle w:val="FootnoteReference"/>
          <w:rFonts w:ascii="Arial Narrow" w:eastAsia="仿宋_GB2312" w:hAnsi="Arial Narrow" w:cs="Arial"/>
          <w:sz w:val="22"/>
          <w:szCs w:val="22"/>
        </w:rPr>
        <w:footnoteReference w:id="2"/>
        <w:t/>
      </w:r>
      <w:r>
        <w:rPr>
          <w:rFonts w:ascii="Arial Narrow" w:eastAsia="仿宋_GB2312" w:hAnsi="Arial Narrow" w:cs="Arial"/>
          <w:sz w:val="22"/>
          <w:szCs w:val="22"/>
        </w:rPr>
        <w:t xml:space="preserve"/>
      </w:r>
    </w:p>
    <w:p w14:paraId="7F72853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因此，我们将对相关的行业领域，即化妆品行业，进行分析。分析的具体方面如下：</w:t>
      </w:r>
      <w:r>
        <w:rPr>
          <w:rFonts w:ascii="Arial Narrow" w:eastAsia="仿宋_GB2312" w:hAnsi="Arial Narrow" w:cs="Arial" w:hint="eastAsia"/>
          <w:sz w:val="22"/>
          <w:szCs w:val="22"/>
        </w:rPr>
        <w:t/>
      </w:r>
      <w:r>
        <w:rPr>
          <w:rFonts w:ascii="Arial Narrow" w:eastAsia="仿宋_GB2312" w:hAnsi="Arial Narrow" w:cs="Arial"/>
          <w:sz w:val="22"/>
          <w:szCs w:val="22"/>
        </w:rPr>
        <w:t/>
      </w:r>
    </w:p>
    <w:p w14:paraId="676D2755" w14:textId="77777777" w:rsidR="004D1721" w:rsidRDefault="009B16BC">
      <w:pPr>
        <w:pStyle w:val="ListParagraph"/>
        <w:numPr>
          <w:ilvl w:val="0"/>
          <w:numId w:val="18"/>
        </w:numPr>
      </w:pPr>
      <w:r>
        <w:t>化妆品行业分析；</w:t>
      </w:r>
    </w:p>
    <w:p w14:paraId="618AC311" w14:textId="77777777" w:rsidR="004D1721" w:rsidRDefault="009B16BC">
      <w:pPr>
        <w:pStyle w:val="ListParagraph"/>
        <w:numPr>
          <w:ilvl w:val="0"/>
          <w:numId w:val="18"/>
        </w:numPr>
      </w:pPr>
      <w:r>
        <w:t>化妆品代加工行业分析；</w:t>
      </w:r>
    </w:p>
    <w:p w14:paraId="236A3F31" w14:textId="77777777" w:rsidR="004D1721" w:rsidRDefault="009B16BC">
      <w:pPr>
        <w:pStyle w:val="ListParagraph"/>
        <w:numPr>
          <w:ilvl w:val="0"/>
          <w:numId w:val="18"/>
        </w:numPr>
      </w:pPr>
      <w:r>
        <w:t>结论。</w:t>
      </w:r>
    </w:p>
    <w:p w14:paraId="3E06F060" w14:textId="77777777" w:rsidR="004D1721" w:rsidRDefault="009B16BC">
      <w:pPr>
        <w:pStyle w:val="Heading2"/>
      </w:pPr>
      <w:bookmarkStart w:id="308" w:name="_Toc106357747"/>
      <w:bookmarkStart w:id="309" w:name="_Toc140505114"/>
      <w:r>
        <w:t>化妆品行业分析</w:t>
      </w:r>
      <w:bookmarkEnd w:id="308"/>
      <w:bookmarkEnd w:id="309"/>
    </w:p>
    <w:p w14:paraId="60DCA28F" w14:textId="77777777" w:rsidR="004D1721" w:rsidRDefault="009B16BC">
      <w:pPr>
        <w:pStyle w:val="Heading3"/>
        <w:rPr>
          <w:b/>
          <w:bCs/>
        </w:rPr>
      </w:pPr>
      <w:bookmarkStart w:id="310" w:name="_Toc106357748"/>
      <w:bookmarkStart w:id="311" w:name="_Toc140505115"/>
      <w:r>
        <w:t>化妆品概述</w:t>
      </w:r>
      <w:bookmarkEnd w:id="310"/>
      <w:bookmarkEnd w:id="311"/>
    </w:p>
    <w:p w14:paraId="0B5520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FootnoteReference"/>
          <w:rFonts w:ascii="Arial Narrow" w:eastAsia="仿宋_GB2312" w:hAnsi="Arial Narrow" w:cs="Arial"/>
          <w:sz w:val="22"/>
          <w:szCs w:val="22"/>
        </w:rPr>
        <w:footnoteReference w:id="3"/>
        <w:t/>
      </w:r>
    </w:p>
    <w:p w14:paraId="473402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化妆品按效果分类主要可分为如下五个类别：</w:t>
      </w:r>
    </w:p>
    <w:p w14:paraId="31420181" w14:textId="77777777" w:rsidR="004D1721" w:rsidRDefault="009B16BC">
      <w:pPr>
        <w:pStyle w:val="ListParagraph"/>
        <w:numPr>
          <w:ilvl w:val="0"/>
          <w:numId w:val="18"/>
        </w:numPr>
      </w:pPr>
      <w:r>
        <w:t>清洁型：用来洗净皮肤；</w:t>
      </w:r>
    </w:p>
    <w:p w14:paraId="4C408C14" w14:textId="77777777" w:rsidR="004D1721" w:rsidRDefault="009B16BC">
      <w:pPr>
        <w:pStyle w:val="ListParagraph"/>
        <w:numPr>
          <w:ilvl w:val="0"/>
          <w:numId w:val="18"/>
        </w:numPr>
      </w:pPr>
      <w:r>
        <w:t>护肤型：这类化妆品如清洁霜、洗面奶、浴剂、洗发护发剂、剃须膏等；</w:t>
      </w:r>
    </w:p>
    <w:p w14:paraId="634AA96A" w14:textId="77777777" w:rsidR="004D1721" w:rsidRDefault="009B16BC">
      <w:pPr>
        <w:pStyle w:val="ListParagraph"/>
        <w:numPr>
          <w:ilvl w:val="0"/>
          <w:numId w:val="18"/>
        </w:numPr>
      </w:pPr>
      <w:r>
        <w:t>基础型：化妆前，对面部头发的基础处理。这类化妆品如各种面霜、蜜、化妆水、面膜、发乳、发胶等定发剂；</w:t>
      </w:r>
    </w:p>
    <w:p w14:paraId="425232A8" w14:textId="77777777" w:rsidR="004D1721" w:rsidRDefault="009B16BC">
      <w:pPr>
        <w:pStyle w:val="ListParagraph"/>
        <w:numPr>
          <w:ilvl w:val="0"/>
          <w:numId w:val="18"/>
        </w:numPr>
      </w:pPr>
      <w:r>
        <w:t>美容型：用于面部及头发的美化用品。这类化妆品指胭脂，口红，眼影，头发染烫、发型处理、固定等用品；</w:t>
      </w:r>
    </w:p>
    <w:p w14:paraId="666E2721" w14:textId="77777777" w:rsidR="004D1721" w:rsidRDefault="009B16BC">
      <w:pPr>
        <w:pStyle w:val="ListParagraph"/>
        <w:numPr>
          <w:ilvl w:val="0"/>
          <w:numId w:val="18"/>
        </w:numPr>
      </w:pPr>
      <w:r>
        <w:lastRenderedPageBreak/>
        <w:t>疗效型：介于药品与化妆品之间的日化用品。这类化妆品如清凉剂、除臭剂、育毛剂、除毛剂、染毛剂、驱虫剂、橄榄精华等。</w:t>
      </w:r>
    </w:p>
    <w:p w14:paraId="2ADFFD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i/>
          <w:sz w:val="16"/>
          <w:szCs w:val="16"/>
        </w:rPr>
      </w:pPr>
      <w:r>
        <w:rPr>
          <w:rFonts w:ascii="Arial Narrow" w:eastAsia="仿宋_GB2312" w:hAnsi="Arial Narrow" w:cs="Arial"/>
          <w:sz w:val="22"/>
          <w:szCs w:val="22"/>
        </w:rPr>
        <w:t>由于化妆品与人体接触的特殊属性，化妆品的生产流程也如同可食用或能够直接接触身体的产品的生产流程一样，受到相关法律法规监管束缚。</w:t>
      </w:r>
    </w:p>
    <w:p w14:paraId="6E0CC92D" w14:textId="77777777" w:rsidR="004D1721" w:rsidRDefault="009B16BC">
      <w:pPr>
        <w:pStyle w:val="Heading3"/>
      </w:pPr>
      <w:bookmarkStart w:id="312" w:name="_Toc106357749"/>
      <w:bookmarkStart w:id="313" w:name="_Toc140505116"/>
      <w:r>
        <w:t>全球化妆品行业分析</w:t>
      </w:r>
      <w:bookmarkEnd w:id="312"/>
      <w:bookmarkEnd w:id="313"/>
    </w:p>
    <w:p w14:paraId="7B8EAD9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护肤品按照使用部位不同分为面部护肤品、身体护肤品、手部护肤品和护肤套装产品，根据欧睿信息咨询公布的统计数据显示，目前全球市场规模最大的护肤产品为面部护肤品。</w:t>
      </w:r>
    </w:p>
    <w:p w14:paraId="2BA68FF0" w14:textId="2D745BE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2010-2015年，全球经济放缓导致化妆品市场规模增速明显走低，2015年甚至出现负增长的情况，原因是欧元区需求不振及南美经济出现严重下滑。2016年以后，全球化妆品市场迎来触底反弹，扭转了此前的发展颓势。2020年，受到疫情影响，全球化妆品市场规模收缩，市场增长下降3.92%，但总体市场规模仍然保持在4800亿美元以上。2021-20年，全球化妆品市场规模快速回升，20年全球化妆品市场规模达到近十年最大值，为6,070.0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FECBD6F" w14:textId="28D8654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7：2021-2026年全球化妆品市场规模情况（单位：亿美元）&amp;</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Style w:val="FootnoteReference"/>
          <w:rFonts w:ascii="Arial Narrow" w:eastAsia="仿宋_GB2312" w:hAnsi="Arial Narrow" w:cs="Arial"/>
          <w:sz w:val="22"/>
        </w:rPr>
        <w:footnoteReference w:id="4"/>
        <w:t/>
      </w:r>
      <w:r>
        <w:rPr>
          <w:rStyle w:val="FootnoteReference"/>
        </w:rPr>
        <w:t/>
      </w:r>
      <w:r>
        <w:rPr>
          <w:rStyle w:val="FootnoteReference"/>
          <w:rFonts w:ascii="Arial Narrow" w:eastAsia="仿宋_GB2312" w:hAnsi="Arial Narrow" w:cs="Arial"/>
          <w:sz w:val="22"/>
        </w:rPr>
        <w:footnoteReference w:id="5"/>
        <w:t/>
      </w:r>
    </w:p>
    <w:p w14:paraId="027BF5E6" w14:textId="77777777" w:rsidR="004D1721" w:rsidRDefault="009B16BC">
      <w:pPr>
        <w:jc w:val="center"/>
        <w:rPr>
          <w:rFonts w:ascii="Arial Narrow" w:hAnsi="Arial Narrow"/>
        </w:rPr>
      </w:pPr>
      <w:r>
        <w:rPr>
          <w:rFonts w:ascii="Arial Narrow" w:eastAsia="仿宋_GB2312" w:hAnsi="Arial Narrow" w:cs="Arial"/>
          <w:b/>
          <w:noProof/>
          <w:color w:val="000000" w:themeColor="text1"/>
          <w:sz w:val="22"/>
        </w:rPr>
        <w:drawing>
          <wp:inline distT="0" distB="0" distL="0" distR="0">
            <wp:extent cx="4467225" cy="2219325"/>
            <wp:effectExtent l="0" t="0" r="9525" b="9525"/>
            <wp:docPr id="4" name="图表 4"/>
            <wp:cNvGraphicFramePr/>
            <a:graphic xmlns:a="http://schemas.openxmlformats.org/drawingml/2006/main">
              <a:graphicData uri="http://schemas.openxmlformats.org/drawingml/2006/chart">
                <c:chart xmlns:c="http://schemas.openxmlformats.org/drawingml/2006/chart" r:id="rId25"/>
              </a:graphicData>
            </a:graphic>
          </wp:inline>
        </w:drawing>
      </w:r>
    </w:p>
    <w:p w14:paraId="3C1D93B9" w14:textId="62736C1A" w:rsidR="004D1721" w:rsidRDefault="009B16BC" w:rsidP="005D08A5">
      <w:pPr>
        <w:spacing w:beforeLines="50" w:before="180" w:afterLines="50" w:after="180" w:line="360" w:lineRule="auto"/>
        <w:ind w:firstLineChars="200" w:firstLine="440"/>
        <w:jc w:val="both"/>
        <w:rPr>
          <w:rFonts w:ascii="Arial Narrow" w:eastAsia="仿宋_GB2312" w:hAnsi="Arial Narrow" w:cs="Arial"/>
          <w:b/>
          <w:bCs/>
          <w:sz w:val="22"/>
        </w:rPr>
      </w:pPr>
      <w:r>
        <w:rPr>
          <w:rFonts w:ascii="Arial Narrow" w:eastAsia="仿宋_GB2312" w:hAnsi="Arial Narrow" w:cs="Arial" w:hint="eastAsia"/>
          <w:sz w:val="22"/>
          <w:szCs w:val="22"/>
        </w:rPr>
        <w:lastRenderedPageBreak/>
        <w:t>2011-20年，护肤类产品销售占比始终保持第一位，20年护肤类产品市场规模占比36.9%，市场规模为2,9.83亿美元。护发用品销售占比第二，占比22.7%，市场规模为1,377.89亿美元；彩妆市场及香水市场规模占比分别为18.3%及11.9%，市场规模分别为1,110.81亿美元及722.33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p>
    <w:p w14:paraId="55B8E657" w14:textId="01071810"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8：20年全球化妆品消费国市场份额</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r>
        <w:rPr>
          <w:rStyle w:val="FootnoteReference"/>
          <w:rFonts w:ascii="Arial Narrow" w:eastAsia="仿宋_GB2312" w:hAnsi="Arial Narrow"/>
        </w:rPr>
        <w:footnoteReference w:id="6"/>
        <w:t/>
      </w:r>
    </w:p>
    <w:p w14:paraId="4AA11882" w14:textId="1DEA9435" w:rsidR="004D1721" w:rsidRDefault="009B16BC" w:rsidP="005D08A5">
      <w:pPr>
        <w:adjustRightInd w:val="0"/>
        <w:snapToGrid w:val="0"/>
        <w:spacing w:before="240" w:after="240"/>
        <w:ind w:firstLine="475"/>
        <w:rPr>
          <w:rFonts w:ascii="Arial Narrow" w:eastAsia="仿宋_GB2312" w:hAnsi="Arial Narrow" w:cs="Arial"/>
          <w:b/>
          <w:bCs/>
          <w:sz w:val="22"/>
        </w:rPr>
      </w:pPr>
      <w:r w:rsidRPr="005D08A5">
        <w:rPr>
          <w:rFonts w:ascii="Arial Narrow" w:eastAsia="仿宋_GB2312" w:hAnsi="Arial Narrow" w:cs="Arial"/>
          <w:noProof/>
          <w:color w:val="000000" w:themeColor="text1"/>
          <w:sz w:val="22"/>
        </w:rPr>
        <w:drawing>
          <wp:inline distT="0" distB="0" distL="0" distR="0">
            <wp:extent cx="5043170" cy="2212975"/>
            <wp:effectExtent l="4445" t="4445" r="12065" b="7620"/>
            <wp:docPr id="10" name="图表 10"/>
            <wp:cNvGraphicFramePr/>
            <a:graphic xmlns:a="http://schemas.openxmlformats.org/drawingml/2006/main">
              <a:graphicData uri="http://schemas.openxmlformats.org/drawingml/2006/chart">
                <c:chart xmlns:c="http://schemas.openxmlformats.org/drawingml/2006/chart" r:id="rId26"/>
              </a:graphicData>
            </a:graphic>
          </wp:inline>
        </w:drawing>
      </w:r>
      <w:bookmarkStart w:id="314" w:name="_Toc105453304"/>
      <w:bookmarkStart w:id="315" w:name="_Toc77264701"/>
    </w:p>
    <w:p w14:paraId="21360473" w14:textId="4B448564"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9：20年全球化妆品产品结构</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bookmarkEnd w:id="314"/>
      <w:bookmarkEnd w:id="315"/>
      <w:r>
        <w:rPr>
          <w:rStyle w:val="FootnoteReference"/>
          <w:rFonts w:ascii="Arial Narrow" w:eastAsia="仿宋_GB2312" w:hAnsi="Arial Narrow" w:cs="Arial"/>
          <w:b/>
          <w:bCs/>
          <w:sz w:val="22"/>
        </w:rPr>
        <w:footnoteReference w:id="7"/>
        <w:t/>
      </w:r>
    </w:p>
    <w:p w14:paraId="5BF7CACB" w14:textId="1EBE1E24" w:rsidR="004D1721" w:rsidRDefault="009B16BC">
      <w:pPr>
        <w:adjustRightInd w:val="0"/>
        <w:snapToGrid w:val="0"/>
        <w:spacing w:before="240" w:after="240"/>
        <w:ind w:firstLine="475"/>
        <w:jc w:val="center"/>
        <w:rPr>
          <w:rFonts w:ascii="Arial Narrow" w:eastAsia="仿宋_GB2312" w:hAnsi="Arial Narrow" w:cs="Arial"/>
          <w:color w:val="000000"/>
          <w:sz w:val="22"/>
        </w:rPr>
      </w:pPr>
      <w:r w:rsidRPr="005D08A5">
        <w:rPr>
          <w:rFonts w:ascii="Arial Narrow" w:eastAsia="仿宋_GB2312" w:hAnsi="Arial Narrow" w:cs="Arial"/>
          <w:noProof/>
          <w:color w:val="000000" w:themeColor="text1"/>
          <w:sz w:val="22"/>
        </w:rPr>
        <w:drawing>
          <wp:inline distT="0" distB="0" distL="0" distR="0" wp14:editId="48F3E860">
            <wp:extent cx="5029200" cy="2056765"/>
            <wp:effectExtent l="0" t="0" r="0" b="635"/>
            <wp:docPr id="11" name="图表 11"/>
            <wp:cNvGraphicFramePr/>
            <a:graphic xmlns:a="http://schemas.openxmlformats.org/drawingml/2006/main">
              <a:graphicData uri="http://schemas.openxmlformats.org/drawingml/2006/chart">
                <c:chart xmlns:c="http://schemas.openxmlformats.org/drawingml/2006/chart" r:id="rId27"/>
              </a:graphicData>
            </a:graphic>
          </wp:inline>
        </w:drawing>
      </w:r>
    </w:p>
    <w:p w14:paraId="4C2BBD9D" w14:textId="77777777" w:rsidR="004D1721" w:rsidRDefault="009B16BC">
      <w:pPr>
        <w:pStyle w:val="Heading3"/>
      </w:pPr>
      <w:bookmarkStart w:id="316" w:name="_Toc106357754"/>
      <w:bookmarkStart w:id="317" w:name="_Toc106357752"/>
      <w:bookmarkStart w:id="318" w:name="_Toc106357751"/>
      <w:bookmarkStart w:id="319" w:name="_Toc106357750"/>
      <w:bookmarkStart w:id="320" w:name="_Toc106357753"/>
      <w:bookmarkStart w:id="321" w:name="_Toc106357755"/>
      <w:bookmarkStart w:id="322" w:name="_Toc106357756"/>
      <w:bookmarkStart w:id="323" w:name="_Toc140505117"/>
      <w:bookmarkEnd w:id="316"/>
      <w:bookmarkEnd w:id="317"/>
      <w:bookmarkEnd w:id="318"/>
      <w:bookmarkEnd w:id="319"/>
      <w:bookmarkEnd w:id="320"/>
      <w:bookmarkEnd w:id="321"/>
      <w:r>
        <w:t>中国化妆品行业分析</w:t>
      </w:r>
      <w:bookmarkEnd w:id="322"/>
      <w:bookmarkEnd w:id="323"/>
    </w:p>
    <w:p w14:paraId="45161124" w14:textId="60C271C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据国家统计局数据显示，截至20年12月中国社会消费品零售总额为43,550亿元，同比增长7.4%。其中，除汽车以外的消费品零售额为38,131亿元，同比增长7.9%。累计方面，20年1-12月中国社会消费品零售总额累计为471,495亿元，比上年增长7.2%。其中，除汽车以外的消费品零售额为422,881亿元，累计增长7.3%。</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603ACD24" w14:textId="7601A275" w:rsidR="004D1721" w:rsidRDefault="009B16BC">
      <w:pPr>
        <w:spacing w:beforeLines="50" w:before="180" w:afterLines="50" w:after="180" w:line="360" w:lineRule="auto"/>
        <w:ind w:firstLineChars="200" w:firstLine="442"/>
        <w:jc w:val="center"/>
        <w:rPr>
          <w:rFonts w:ascii="Arial Narrow" w:eastAsia="仿宋_GB2312" w:hAnsi="Arial Narrow" w:cs="Arial"/>
          <w:b/>
          <w:sz w:val="22"/>
        </w:rPr>
      </w:pPr>
      <w:bookmarkStart w:id="324" w:name="_Toc105453305"/>
      <w:r>
        <w:rPr>
          <w:rFonts w:ascii="Arial Narrow" w:eastAsia="仿宋_GB2312" w:hAnsi="Arial Narrow" w:cs="Arial"/>
          <w:b/>
          <w:sz w:val="22"/>
        </w:rPr>
        <w:t>图表 10：20年中国化妆品零售总额（单位：亿元） &amp;</w:t>
      </w:r>
      <w:r>
        <w:rPr>
          <w:rFonts w:ascii="Arial Narrow" w:eastAsia="仿宋_GB2312" w:hAnsi="Arial Narrow" w:cs="Arial"/>
          <w:b/>
          <w:sz w:val="22"/>
        </w:rPr>
        <w:t xml:space="preserve"/>
      </w:r>
      <w:r>
        <w:rPr>
          <w:rFonts w:ascii="Arial Narrow" w:eastAsia="仿宋_GB2312" w:hAnsi="Arial Narrow" w:cs="Arial"/>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Style w:val="FootnoteReference"/>
          <w:rFonts w:ascii="Arial Narrow" w:eastAsia="仿宋_GB2312" w:hAnsi="Arial Narrow" w:cs="Arial" w:hint="eastAsia"/>
          <w:b/>
          <w:sz w:val="22"/>
        </w:rPr>
        <w:footnoteReference w:id="8"/>
        <w:t/>
      </w:r>
      <w:bookmarkEnd w:id="324"/>
      <w:r>
        <w:rPr>
          <w:rFonts w:ascii="Arial Narrow" w:eastAsia="仿宋_GB2312" w:hAnsi="Arial Narrow" w:cs="Arial" w:hint="eastAsia"/>
          <w:b/>
          <w:sz w:val="22"/>
        </w:rPr>
        <w:t xml:space="preserve"/>
      </w:r>
      <w:r>
        <w:rPr>
          <w:rStyle w:val="FootnoteReference"/>
        </w:rPr>
        <w:t/>
      </w:r>
      <w:r>
        <w:rPr>
          <w:rStyle w:val="FootnoteReference"/>
          <w:rFonts w:ascii="Arial Narrow" w:eastAsia="仿宋_GB2312" w:hAnsi="Arial Narrow" w:cs="Arial" w:hint="eastAsia"/>
          <w:b/>
          <w:sz w:val="22"/>
        </w:rPr>
        <w:footnoteReference w:id="9"/>
        <w:t/>
      </w:r>
    </w:p>
    <w:p w14:paraId="638FC715" w14:textId="77777777" w:rsidR="004D1721" w:rsidRDefault="009B16BC" w:rsidP="005D08A5">
      <w:pPr>
        <w:spacing w:beforeLines="50" w:before="180" w:afterLines="50" w:after="180" w:line="360" w:lineRule="auto"/>
        <w:ind w:firstLineChars="200" w:firstLine="442"/>
        <w:jc w:val="center"/>
        <w:rPr>
          <w:rFonts w:ascii="Arial Narrow" w:eastAsia="仿宋_GB2312" w:hAnsi="Arial Narrow" w:cs="Arial"/>
          <w:b/>
          <w:color w:val="000000" w:themeColor="text1"/>
          <w:sz w:val="22"/>
        </w:rPr>
      </w:pPr>
      <w:r>
        <w:rPr>
          <w:rFonts w:ascii="Arial Narrow" w:eastAsia="仿宋_GB2312" w:hAnsi="Arial Narrow" w:cs="Arial"/>
          <w:b/>
          <w:noProof/>
          <w:color w:val="000000" w:themeColor="text1"/>
          <w:sz w:val="22"/>
        </w:rPr>
        <w:drawing>
          <wp:inline distT="0" distB="0" distL="0" distR="0">
            <wp:extent cx="3902075" cy="1825625"/>
            <wp:effectExtent l="5080" t="4445" r="9525" b="13970"/>
            <wp:docPr id="3" name="图表 3"/>
            <wp:cNvGraphicFramePr/>
            <a:graphic xmlns:a="http://schemas.openxmlformats.org/drawingml/2006/main">
              <a:graphicData uri="http://schemas.openxmlformats.org/drawingml/2006/chart">
                <c:chart xmlns:c="http://schemas.openxmlformats.org/drawingml/2006/chart" r:id="rId28"/>
              </a:graphicData>
            </a:graphic>
          </wp:inline>
        </w:drawing>
      </w:r>
    </w:p>
    <w:p w14:paraId="1DD56E8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color w:val="000000" w:themeColor="text1"/>
          <w:sz w:val="22"/>
        </w:rPr>
      </w:pPr>
      <w:r>
        <w:rPr>
          <w:rFonts w:ascii="Arial Narrow" w:eastAsia="仿宋_GB2312" w:hAnsi="Arial Narrow" w:cs="Arial" w:hint="eastAsia"/>
          <w:sz w:val="22"/>
          <w:szCs w:val="22"/>
        </w:rPr>
        <w:t>从化妆品零售情况来看：2022年全年中国化妆品类累计零售额达到3,936亿元，相较于2022年市场的急速下滑，20年的累计零售额再次恢复到2022年之前的平稳增长。截至20年12月中国化妆品类零售额为3亿元，同比增长9.1%。累计方面，20年1-12月中国化妆品类累计零售额达到4,142亿元，累计增长5.1%。</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FD5110" w14:textId="2226FBAA"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年，全国网上零售额154,264亿元，比上年增长11.0%。其中，实物商品网上零售额130,174亿元，增长8.4%，占社会消费品零售总额的比重为27.6%；在实物商品网上零售额中，吃类、穿类、用类商品分别增长11.2%、10.8%、7.1%。从整体趋势来看，20年6月和11月受618和双11大促影响，零售总额均达到了当时峰值，11月更是创下了全年单月最高峰值。大促月之后，化妆品零售总额均呈现断崖式下跌的趋势。</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Style w:val="FootnoteReference"/>
          <w:rFonts w:ascii="Arial Narrow" w:eastAsia="仿宋_GB2312" w:hAnsi="Arial Narrow" w:cs="Arial" w:hint="eastAsia"/>
          <w:sz w:val="22"/>
          <w:szCs w:val="22"/>
        </w:rPr>
        <w:footnoteReference w:id="10"/>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40D0217A" w14:textId="2666963B" w:rsidR="004D1721" w:rsidRDefault="009B16BC" w:rsidP="005D08A5">
      <w:pPr>
        <w:pStyle w:val="Heading4"/>
        <w:numPr>
          <w:ilvl w:val="255"/>
          <w:numId w:val="0"/>
        </w:numPr>
        <w:spacing w:beforeLines="50" w:before="180" w:afterLines="50" w:after="180" w:line="360" w:lineRule="auto"/>
        <w:ind w:leftChars="200" w:left="400"/>
      </w:pPr>
      <w:r w:rsidRPr="005D08A5">
        <w:rPr>
          <w:rFonts w:hint="eastAsia"/>
          <w:sz w:val="24"/>
        </w:rPr>
        <w:t>中国化妆品行业发展趋势如下：</w:t>
      </w:r>
      <w:r>
        <w:rPr>
          <w:rFonts w:hint="eastAsia"/>
          <w:sz w:val="24"/>
        </w:rPr>
        <w:t/>
      </w:r>
    </w:p>
    <w:p w14:paraId="747DD841" w14:textId="77777777" w:rsidR="004D1721" w:rsidRPr="005D08A5" w:rsidRDefault="009B16BC" w:rsidP="005D08A5">
      <w:pPr>
        <w:pStyle w:val="ListParagraph"/>
        <w:numPr>
          <w:ilvl w:val="0"/>
          <w:numId w:val="20"/>
        </w:numPr>
        <w:ind w:left="760" w:hanging="360"/>
        <w:rPr>
          <w:b/>
          <w:bCs/>
        </w:rPr>
      </w:pPr>
      <w:r w:rsidRPr="005D08A5">
        <w:rPr>
          <w:rFonts w:hint="eastAsia"/>
          <w:b/>
          <w:bCs/>
        </w:rPr>
        <w:t>市场需求增长潜力巨大</w:t>
      </w:r>
    </w:p>
    <w:p w14:paraId="1ADE3944" w14:textId="77777777" w:rsidR="004D1721"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lastRenderedPageBreak/>
        <w:t>随着国民可支配消费的增长，中国化妆品市场规模在过去 20 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1）低线城市化妆品消费力提升；（2）男性悦己主义盛行；（3）化妆品品类和步骤的细化。</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5A479EB9" w14:textId="77777777" w:rsidR="004D1721" w:rsidRPr="005D08A5" w:rsidRDefault="009B16BC" w:rsidP="005D08A5">
      <w:pPr>
        <w:pStyle w:val="ListParagraph"/>
        <w:numPr>
          <w:ilvl w:val="0"/>
          <w:numId w:val="21"/>
        </w:numPr>
        <w:ind w:left="360" w:hanging="360"/>
        <w:rPr>
          <w:b/>
          <w:bCs/>
        </w:rPr>
      </w:pPr>
      <w:r w:rsidRPr="005D08A5">
        <w:rPr>
          <w:rFonts w:hint="eastAsia"/>
          <w:b/>
          <w:bCs/>
        </w:rPr>
        <w:t>日趋细分化的需求推动市场规模不断提升</w:t>
      </w:r>
    </w:p>
    <w:p w14:paraId="08A101D1" w14:textId="77777777" w:rsidR="004D1721" w:rsidRPr="005D08A5"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随着国民可支配消费的增长，中国化妆品市场规模在过去20 余年间高速增长，但我国的人均化妆品销售额与美日韩仍存在较大差距。随着女性悦己主义盛行以及下沉市场的消费力提升，未来整体市场规模有望加速增长。</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3CF63E7" w14:textId="77777777" w:rsidR="004D1721" w:rsidRPr="005D08A5" w:rsidRDefault="009B16BC" w:rsidP="005D08A5">
      <w:pPr>
        <w:pStyle w:val="ListParagraph"/>
        <w:numPr>
          <w:ilvl w:val="0"/>
          <w:numId w:val="22"/>
        </w:numPr>
        <w:ind w:left="360" w:hanging="360"/>
        <w:rPr>
          <w:b/>
          <w:bCs/>
        </w:rPr>
      </w:pPr>
      <w:r w:rsidRPr="005D08A5">
        <w:rPr>
          <w:rFonts w:hint="eastAsia"/>
          <w:b/>
          <w:bCs/>
        </w:rPr>
        <w:t>功能护肤类产品市场持续增长</w:t>
      </w:r>
    </w:p>
    <w:p w14:paraId="66385880"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消费者需求对行业趋势的发展起着决定性作用。当今，以95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1AA82090" w14:textId="77777777" w:rsidR="004D1721" w:rsidRPr="005D08A5" w:rsidRDefault="009B16BC" w:rsidP="005D08A5">
      <w:pPr>
        <w:pStyle w:val="ListParagraph"/>
        <w:numPr>
          <w:ilvl w:val="0"/>
          <w:numId w:val="23"/>
        </w:numPr>
        <w:ind w:left="760"/>
        <w:rPr>
          <w:b/>
          <w:bCs/>
        </w:rPr>
      </w:pPr>
      <w:r w:rsidRPr="005D08A5">
        <w:rPr>
          <w:rFonts w:hint="eastAsia"/>
          <w:b/>
          <w:bCs/>
        </w:rPr>
        <w:t>政策环境规范化：</w:t>
      </w:r>
    </w:p>
    <w:p w14:paraId="3EF5E3AB"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化妆品强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而具备品牌优势、产品性能稳定的企业则能够在规范的环境中得到不断发展壮大的机会。</w:t>
      </w:r>
      <w:r w:rsidRPr="005D08A5">
        <w:rPr>
          <w:rFonts w:ascii="Arial Narrow" w:eastAsia="仿宋_GB2312" w:hAnsi="Arial Narrow" w:cs="Arial" w:hint="eastAsia"/>
          <w:sz w:val="22"/>
          <w:szCs w:val="22"/>
        </w:rPr>
        <w:lastRenderedPageBreak/>
        <w:t/>
      </w:r>
    </w:p>
    <w:p w14:paraId="73B0934B" w14:textId="77777777" w:rsidR="004D1721" w:rsidRPr="005D08A5" w:rsidRDefault="009B16BC" w:rsidP="005D08A5">
      <w:pPr>
        <w:pStyle w:val="ListParagraph"/>
        <w:numPr>
          <w:ilvl w:val="0"/>
          <w:numId w:val="24"/>
        </w:numPr>
        <w:ind w:left="760"/>
        <w:rPr>
          <w:b/>
          <w:bCs/>
        </w:rPr>
      </w:pPr>
      <w:r w:rsidRPr="005D08A5">
        <w:rPr>
          <w:rFonts w:hint="eastAsia"/>
          <w:b/>
          <w:bCs/>
        </w:rPr>
        <w:t>消零售渠道的迅速发展</w:t>
      </w:r>
    </w:p>
    <w:p w14:paraId="580F94C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val="en-GB"/>
        </w:rPr>
        <w:t>中国零售业的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p>
    <w:p w14:paraId="68CBDCA0" w14:textId="77777777" w:rsidR="004D1721" w:rsidRDefault="009B16BC">
      <w:pPr>
        <w:pStyle w:val="Heading3"/>
        <w:rPr>
          <w:b/>
          <w:bCs/>
        </w:rPr>
      </w:pPr>
      <w:bookmarkStart w:id="325" w:name="_Toc106357757"/>
      <w:bookmarkStart w:id="326" w:name="_Toc140505118"/>
      <w:r>
        <w:t>中国化妆品行业存在问题分析</w:t>
      </w:r>
      <w:bookmarkEnd w:id="325"/>
      <w:r>
        <w:rPr>
          <w:rStyle w:val="FootnoteReference"/>
          <w:sz w:val="22"/>
        </w:rPr>
        <w:footnoteReference w:id="11"/>
        <w:t/>
      </w:r>
      <w:bookmarkEnd w:id="326"/>
    </w:p>
    <w:p w14:paraId="60FDA33F" w14:textId="2249D582" w:rsidR="004D1721" w:rsidRDefault="009B16BC">
      <w:pPr>
        <w:pStyle w:val="ListParagraph"/>
        <w:numPr>
          <w:ilvl w:val="0"/>
          <w:numId w:val="25"/>
        </w:numPr>
      </w:pPr>
      <w:r w:rsidRPr="005D08A5">
        <w:rPr>
          <w:rFonts w:hint="eastAsia"/>
          <w:b/>
          <w:bCs/>
          <w:lang w:val="en-US"/>
        </w:rPr>
        <w:t>从业者之间竞争激烈，市场集中度低</w:t>
      </w:r>
    </w:p>
    <w:p w14:paraId="7D6CA1F1" w14:textId="05909F3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在中国化妆品市场不断成熟的过程中，外国品牌进入市场、中国品牌的崛起都带动市场中竞争者不断增加。2022年中国护肤品市场和彩妆市场前三名的总份额分别仅为 30%和 48%，低于其他消费子行业，也远低于发达国家水平。</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4B8D96A2" w14:textId="77777777" w:rsidR="004D1721" w:rsidRPr="005D08A5"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在竞争激烈的市场中，较为分散的市场格局加剧了化妆品从业者之间的竞争。在竞争初期，许多企业在线上竞争中通过价格战以及大量的市场营销，以望快速抢占消费者心智，挤出竞争者。但从市占率数据上来看，想要从大众市场中突出重围，困难重重。</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2C4507F9" w14:textId="61B93208" w:rsidR="004D1721" w:rsidRDefault="009B16BC">
      <w:pPr>
        <w:pStyle w:val="ListParagraph"/>
        <w:numPr>
          <w:ilvl w:val="0"/>
          <w:numId w:val="26"/>
        </w:numPr>
      </w:pPr>
      <w:r w:rsidRPr="005D08A5">
        <w:rPr>
          <w:rFonts w:hint="eastAsia"/>
          <w:b/>
          <w:bCs/>
          <w:lang w:val="en-US"/>
        </w:rPr>
        <w:t>上游议价能力低</w:t>
      </w:r>
    </w:p>
    <w:p w14:paraId="5B33AC99" w14:textId="18C1486E" w:rsidR="004D1721" w:rsidRPr="005D08A5"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lastRenderedPageBreak/>
        <w:t>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p>
    <w:p w14:paraId="6871479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t>在化妆品新规的影响下，化妆品企业更加关注原材料生产和研发，这也让业内国产大企业通过与原材料厂商合作发展，或自建工厂和研发团队进行核心原材料生产，使他们在与供应商议价时的能力提升</w:t>
      </w:r>
    </w:p>
    <w:p w14:paraId="69506671" w14:textId="77777777" w:rsidR="004D1721" w:rsidRPr="005D08A5" w:rsidRDefault="009B16BC">
      <w:pPr>
        <w:pStyle w:val="ListParagraph"/>
        <w:numPr>
          <w:ilvl w:val="0"/>
          <w:numId w:val="27"/>
        </w:numPr>
        <w:rPr>
          <w:b/>
          <w:bCs/>
        </w:rPr>
      </w:pPr>
      <w:r w:rsidRPr="005D08A5">
        <w:rPr>
          <w:rFonts w:hint="eastAsia"/>
          <w:b/>
          <w:bCs/>
        </w:rPr>
        <w:t>产打造高端品牌形象方面，国货品牌也缺乏经验</w:t>
      </w:r>
    </w:p>
    <w:p w14:paraId="4C76DCF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hint="eastAsia"/>
          <w:sz w:val="22"/>
          <w:szCs w:val="22"/>
          <w:lang w:val="en-GB"/>
        </w:rPr>
        <w:t>在打造高端品牌方面，美国品牌善借用高科技，欧洲品牌善借用贵族文化，这方面国货品牌还处于集体落后的阶段。</w:t>
      </w:r>
    </w:p>
    <w:p w14:paraId="0707900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sz w:val="22"/>
          <w:szCs w:val="22"/>
          <w:lang w:val="en-GB"/>
        </w:rPr>
        <w:t>中国的美妆品牌，尚处于夯实技术底座的时代，正沿着技术升级慢慢向上进军。相比医药、IT等技术驱动型行业，化妆品行业仍然是营销驱动的。但化妆品行业之前的技术占比太低，未来一段时间将是“技术补课”的阶段，技术升级会是未来数年的行业主流关键词。所以国货品牌的机会仍然还在技术升级方面，目前的头部企业也都是从科技端崛起的。</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p>
    <w:p w14:paraId="482D1B08" w14:textId="77777777" w:rsidR="004D1721" w:rsidRDefault="009B16BC">
      <w:pPr>
        <w:pStyle w:val="Heading2"/>
      </w:pPr>
      <w:bookmarkStart w:id="327" w:name="_Toc106357758"/>
      <w:bookmarkStart w:id="328" w:name="_Toc106106111"/>
      <w:bookmarkStart w:id="329" w:name="_Toc106106289"/>
      <w:bookmarkStart w:id="330" w:name="_Toc140505119"/>
      <w:bookmarkStart w:id="331" w:name="_Toc106357760"/>
      <w:bookmarkEnd w:id="327"/>
      <w:bookmarkEnd w:id="328"/>
      <w:bookmarkEnd w:id="329"/>
      <w:r>
        <w:rPr>
          <w:rFonts w:hint="eastAsia"/>
        </w:rPr>
        <w:t>结论</w:t>
      </w:r>
      <w:bookmarkEnd w:id="330"/>
      <w:bookmarkEnd w:id="331"/>
    </w:p>
    <w:p w14:paraId="0572EE7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随着20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01F5E0E2" w14:textId="37BA1B2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bookmarkStart w:id="333" w:name="_Toc106106305"/>
      <w:bookmarkStart w:id="334" w:name="_Toc106106127"/>
      <w:bookmarkEnd w:id="332"/>
      <w:bookmarkEnd w:id="333"/>
      <w:bookmarkEnd w:id="334"/>
    </w:p>
    <w:p w14:paraId="50C0FF83" w14:textId="79040197" w:rsidR="004D1721" w:rsidRDefault="009B16BC">
      <w:pPr>
        <w:pStyle w:val="Heading1"/>
        <w:rPr>
          <w:b/>
        </w:rPr>
      </w:pPr>
      <w:bookmarkStart w:id="335" w:name="_Toc85557627"/>
      <w:bookmarkStart w:id="336" w:name="_Toc85622861"/>
      <w:bookmarkStart w:id="337" w:name="_Toc489951810"/>
      <w:bookmarkStart w:id="338" w:name="_Toc85557494"/>
      <w:bookmarkStart w:id="339" w:name="_Toc53229066"/>
      <w:bookmarkStart w:id="340" w:name="_Toc140505120"/>
      <w:bookmarkEnd w:id="335"/>
      <w:bookmarkEnd w:id="336"/>
      <w:bookmarkEnd w:id="337"/>
      <w:bookmarkEnd w:id="338"/>
      <w:r>
        <w:lastRenderedPageBreak/>
        <w:t>关联交易</w:t>
      </w:r>
      <w:bookmarkEnd w:id="339"/>
      <w:bookmarkEnd w:id="340"/>
    </w:p>
    <w:p w14:paraId="17173463" w14:textId="77777777" w:rsidR="004D1721" w:rsidRDefault="009B16BC">
      <w:pPr>
        <w:pStyle w:val="Heading2"/>
        <w:rPr>
          <w:b/>
        </w:rPr>
      </w:pPr>
      <w:bookmarkStart w:id="341" w:name="_Toc53229067"/>
      <w:bookmarkStart w:id="342" w:name="_Toc140505121"/>
      <w:r>
        <w:t>关联方信息</w:t>
      </w:r>
      <w:bookmarkEnd w:id="341"/>
      <w:bookmarkEnd w:id="342"/>
    </w:p>
    <w:p w14:paraId="704184BE" w14:textId="79AF8DA3"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20年度主要关联方的基本信息如下所示：</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AD98BA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1）的母公司情况</w:t>
      </w:r>
      <w:r>
        <w:rPr>
          <w:rFonts w:ascii="Arial Narrow" w:eastAsia="仿宋_GB2312" w:hAnsi="Arial Narrow" w:cs="Arial"/>
          <w:sz w:val="22"/>
          <w:szCs w:val="22"/>
        </w:rPr>
        <w:t/>
      </w:r>
    </w:p>
    <w:p w14:paraId="26CFF5BD" w14:textId="5ED99F73"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7：本公司的母公司基本信息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4"/>
        <w:gridCol w:w="1318"/>
        <w:gridCol w:w="3070"/>
      </w:tblGrid>
      <w:tr w:rsidR="004D1721" w14:paraId="0A055CAC" w14:textId="77777777">
        <w:trPr>
          <w:trHeight w:val="454"/>
          <w:jc w:val="center"/>
        </w:trPr>
        <w:tc>
          <w:tcPr>
            <w:tcW w:w="3834" w:type="dxa"/>
            <w:shd w:val="clear" w:color="auto" w:fill="002060"/>
            <w:vAlign w:val="center"/>
          </w:tcPr>
          <w:p w14:paraId="13132C9A"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公司名称</w:t>
            </w:r>
          </w:p>
        </w:tc>
        <w:tc>
          <w:tcPr>
            <w:tcW w:w="1318" w:type="dxa"/>
            <w:shd w:val="clear" w:color="auto" w:fill="002060"/>
            <w:vAlign w:val="center"/>
          </w:tcPr>
          <w:p w14:paraId="61A2DAB9"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070" w:type="dxa"/>
            <w:shd w:val="clear" w:color="auto" w:fill="002060"/>
            <w:vAlign w:val="center"/>
          </w:tcPr>
          <w:p w14:paraId="3FADCFB0"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r>
      <w:tr w:rsidR="004D1721" w14:paraId="10D14DD5" w14:textId="77777777">
        <w:trPr>
          <w:trHeight w:val="454"/>
          <w:jc w:val="center"/>
        </w:trPr>
        <w:tc>
          <w:tcPr>
            <w:tcW w:w="3834" w:type="dxa"/>
            <w:vAlign w:val="center"/>
          </w:tcPr>
          <w:p w14:paraId="0AC0DBC6"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Markwins International Corporation Limited</w:t>
            </w:r>
          </w:p>
        </w:tc>
        <w:tc>
          <w:tcPr>
            <w:tcW w:w="1318" w:type="dxa"/>
            <w:vAlign w:val="center"/>
          </w:tcPr>
          <w:p w14:paraId="23BBF1A1"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中国香港</w:t>
            </w:r>
          </w:p>
        </w:tc>
        <w:tc>
          <w:tcPr>
            <w:tcW w:w="3070" w:type="dxa"/>
            <w:vAlign w:val="center"/>
          </w:tcPr>
          <w:p w14:paraId="7C3177E4"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投资方</w:t>
            </w:r>
          </w:p>
        </w:tc>
      </w:tr>
    </w:tbl>
    <w:p w14:paraId="48A39C5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信息来源：由提供</w:t>
      </w:r>
    </w:p>
    <w:p w14:paraId="47B1F67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母公司Markwins International Corporation Limited（以下简称“Markwins HK”）对本公司的持股比例为100%，所持本公司的表决权比例为100%。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4948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2）的其他关联方情况如下：</w:t>
      </w:r>
      <w:r>
        <w:rPr>
          <w:rFonts w:ascii="Arial Narrow" w:eastAsia="仿宋_GB2312" w:hAnsi="Arial Narrow" w:cs="Arial"/>
          <w:sz w:val="22"/>
          <w:szCs w:val="22"/>
        </w:rPr>
        <w:t/>
      </w:r>
    </w:p>
    <w:p w14:paraId="4366170B" w14:textId="5DC6D4B8"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 20年度，没有个人关联方直接或间接持有的股份(如：个人持有最终母公司超过25%的股份)或与发生关联交易。</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E8EDFA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r>
        <w:rPr>
          <w:rFonts w:ascii="Arial Narrow" w:eastAsia="仿宋_GB2312" w:hAnsi="Arial Narrow" w:cs="Arial"/>
          <w:sz w:val="22"/>
          <w:szCs w:val="22"/>
        </w:rPr>
        <w:t>的其他关联方基本信息如下：</w:t>
      </w:r>
    </w:p>
    <w:p w14:paraId="0A260D24" w14:textId="2FDB7DCC" w:rsidR="004D1721" w:rsidRDefault="009B16BC">
      <w:pPr>
        <w:pStyle w:val="Caption"/>
        <w:ind w:left="420" w:hanging="420"/>
        <w:jc w:val="center"/>
        <w:rPr>
          <w:rFonts w:ascii="Arial Narrow" w:eastAsia="仿宋_GB2312" w:hAnsi="Arial Narrow" w:cs="Arial"/>
          <w:sz w:val="22"/>
        </w:rPr>
      </w:pPr>
      <w:bookmarkStart w:id="343" w:name="_Toc48317136"/>
      <w:bookmarkStart w:id="344" w:name="_Toc48317433"/>
      <w:r>
        <w:rPr>
          <w:rFonts w:ascii="Arial Narrow" w:eastAsia="仿宋_GB2312" w:hAnsi="Arial Narrow" w:cs="Arial"/>
          <w:sz w:val="22"/>
        </w:rPr>
        <w:t>图表 8：本公司的其他关联方的基本信息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276"/>
        <w:gridCol w:w="3119"/>
        <w:gridCol w:w="1134"/>
      </w:tblGrid>
      <w:tr w:rsidR="004D1721" w14:paraId="57F25107" w14:textId="77777777">
        <w:trPr>
          <w:trHeight w:val="454"/>
          <w:tblHeader/>
          <w:jc w:val="center"/>
        </w:trPr>
        <w:tc>
          <w:tcPr>
            <w:tcW w:w="3964" w:type="dxa"/>
            <w:shd w:val="clear" w:color="auto" w:fill="002060"/>
            <w:vAlign w:val="center"/>
          </w:tcPr>
          <w:p w14:paraId="70D2D5E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关联方名称</w:t>
            </w:r>
          </w:p>
        </w:tc>
        <w:tc>
          <w:tcPr>
            <w:tcW w:w="1276" w:type="dxa"/>
            <w:shd w:val="clear" w:color="auto" w:fill="002060"/>
            <w:vAlign w:val="center"/>
          </w:tcPr>
          <w:p w14:paraId="6364BEC1"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119" w:type="dxa"/>
            <w:shd w:val="clear" w:color="auto" w:fill="002060"/>
            <w:vAlign w:val="center"/>
          </w:tcPr>
          <w:p w14:paraId="2AF6E907"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c>
          <w:tcPr>
            <w:tcW w:w="1134" w:type="dxa"/>
            <w:shd w:val="clear" w:color="auto" w:fill="002060"/>
            <w:vAlign w:val="center"/>
          </w:tcPr>
          <w:p w14:paraId="5D566F22"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适用税率</w:t>
            </w:r>
          </w:p>
        </w:tc>
      </w:tr>
      <w:tr w:rsidR="004D1721" w14:paraId="5AE14A96" w14:textId="77777777">
        <w:trPr>
          <w:trHeight w:val="454"/>
          <w:jc w:val="center"/>
        </w:trPr>
        <w:tc>
          <w:tcPr>
            <w:tcW w:w="3964" w:type="dxa"/>
            <w:shd w:val="clear" w:color="auto" w:fill="auto"/>
            <w:vAlign w:val="center"/>
          </w:tcPr>
          <w:p w14:paraId="061B660B"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Markwins International Corporation Limited</w:t>
            </w:r>
          </w:p>
        </w:tc>
        <w:tc>
          <w:tcPr>
            <w:tcW w:w="1276" w:type="dxa"/>
            <w:vAlign w:val="center"/>
          </w:tcPr>
          <w:p w14:paraId="64266812"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vAlign w:val="center"/>
          </w:tcPr>
          <w:p w14:paraId="30735D98"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母公司</w:t>
            </w:r>
          </w:p>
        </w:tc>
        <w:tc>
          <w:tcPr>
            <w:tcW w:w="1134" w:type="dxa"/>
            <w:vAlign w:val="center"/>
          </w:tcPr>
          <w:p w14:paraId="54DA6F01"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34781DE8" w14:textId="77777777">
        <w:trPr>
          <w:trHeight w:val="454"/>
          <w:jc w:val="center"/>
        </w:trPr>
        <w:tc>
          <w:tcPr>
            <w:tcW w:w="3964" w:type="dxa"/>
            <w:shd w:val="clear" w:color="auto" w:fill="auto"/>
            <w:vAlign w:val="center"/>
          </w:tcPr>
          <w:p w14:paraId="0FF7327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Pro Art Cosmetics Limited</w:t>
            </w:r>
          </w:p>
        </w:tc>
        <w:tc>
          <w:tcPr>
            <w:tcW w:w="1276" w:type="dxa"/>
            <w:vAlign w:val="center"/>
          </w:tcPr>
          <w:p w14:paraId="1956B34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shd w:val="clear" w:color="auto" w:fill="auto"/>
            <w:vAlign w:val="center"/>
          </w:tcPr>
          <w:p w14:paraId="2E28744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同受最终控股公司的控制公司</w:t>
            </w:r>
          </w:p>
        </w:tc>
        <w:tc>
          <w:tcPr>
            <w:tcW w:w="1134" w:type="dxa"/>
            <w:vAlign w:val="center"/>
          </w:tcPr>
          <w:p w14:paraId="610268B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6A1E3559" w14:textId="77777777">
        <w:trPr>
          <w:trHeight w:val="454"/>
          <w:jc w:val="center"/>
        </w:trPr>
        <w:tc>
          <w:tcPr>
            <w:tcW w:w="3964" w:type="dxa"/>
            <w:shd w:val="clear" w:color="auto" w:fill="auto"/>
            <w:vAlign w:val="center"/>
          </w:tcPr>
          <w:p w14:paraId="7F20168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美缤纷品牌管理（上海）有限公司</w:t>
            </w:r>
          </w:p>
        </w:tc>
        <w:tc>
          <w:tcPr>
            <w:tcW w:w="1276" w:type="dxa"/>
            <w:vAlign w:val="center"/>
          </w:tcPr>
          <w:p w14:paraId="0D0E5E85"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w:t>
            </w:r>
          </w:p>
        </w:tc>
        <w:tc>
          <w:tcPr>
            <w:tcW w:w="3119" w:type="dxa"/>
            <w:shd w:val="clear" w:color="auto" w:fill="auto"/>
            <w:vAlign w:val="center"/>
          </w:tcPr>
          <w:p w14:paraId="7B4CBD7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子公司</w:t>
            </w:r>
            <w:r>
              <w:rPr>
                <w:rFonts w:ascii="Arial Narrow" w:eastAsia="仿宋_GB2312" w:hAnsi="Arial Narrow" w:cs="Arial"/>
                <w:sz w:val="22"/>
                <w:szCs w:val="22"/>
              </w:rPr>
              <w:t/>
            </w:r>
          </w:p>
        </w:tc>
        <w:tc>
          <w:tcPr>
            <w:tcW w:w="1134" w:type="dxa"/>
            <w:vAlign w:val="center"/>
          </w:tcPr>
          <w:p w14:paraId="4A0CDA44"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25%</w:t>
            </w:r>
          </w:p>
        </w:tc>
      </w:tr>
    </w:tbl>
    <w:p w14:paraId="23F17E96"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信息来源：由提供</w:t>
      </w:r>
      <w:bookmarkEnd w:id="343"/>
      <w:bookmarkEnd w:id="344"/>
    </w:p>
    <w:p w14:paraId="0291FF83" w14:textId="77777777" w:rsidR="004D1721" w:rsidRDefault="009B16BC">
      <w:pPr>
        <w:pStyle w:val="Heading2"/>
        <w:rPr>
          <w:b/>
          <w:bCs/>
        </w:rPr>
      </w:pPr>
      <w:bookmarkStart w:id="345" w:name="_Toc140505122"/>
      <w:bookmarkStart w:id="346" w:name="_Toc53229068"/>
      <w:r>
        <w:t>主要关联交易</w:t>
      </w:r>
      <w:bookmarkEnd w:id="345"/>
      <w:bookmarkEnd w:id="346"/>
    </w:p>
    <w:p w14:paraId="3603EE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47" w:name="_Toc466642567"/>
      <w:bookmarkStart w:id="348" w:name="_Toc48317137"/>
      <w:bookmarkStart w:id="349" w:name="_Toc520786966"/>
      <w:bookmarkStart w:id="350" w:name="_Toc48317434"/>
      <w:r>
        <w:rPr>
          <w:rFonts w:ascii="Arial Narrow" w:eastAsia="仿宋_GB2312" w:hAnsi="Arial Narrow" w:cs="Arial"/>
          <w:sz w:val="22"/>
          <w:szCs w:val="22"/>
        </w:rPr>
        <w:t>评估期间，的关联交易主要涉及关联购销，关联交易金额及类型如下图所示：</w:t>
      </w:r>
    </w:p>
    <w:p w14:paraId="4FEEE5C2"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AF115AD" w14:textId="1275C49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9：关联交易汇总情况表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4-41"/>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2071"/>
        <w:gridCol w:w="1932"/>
        <w:gridCol w:w="2040"/>
      </w:tblGrid>
      <w:tr w:rsidR="004D1721" w14:paraId="1B8FFD24" w14:textId="77777777" w:rsidTr="004D172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338" w:type="pct"/>
            <w:shd w:val="clear" w:color="auto" w:fill="002060"/>
            <w:vAlign w:val="center"/>
          </w:tcPr>
          <w:p w14:paraId="2DD94B4A"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关联交易类型</w:t>
            </w:r>
          </w:p>
        </w:tc>
        <w:tc>
          <w:tcPr>
            <w:tcW w:w="1255" w:type="pct"/>
            <w:shd w:val="clear" w:color="auto" w:fill="002060"/>
            <w:vAlign w:val="center"/>
          </w:tcPr>
          <w:p w14:paraId="042A2DA1"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境外交易金额</w:t>
            </w:r>
          </w:p>
          <w:p w14:paraId="6125218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A</w:t>
            </w:r>
          </w:p>
        </w:tc>
        <w:tc>
          <w:tcPr>
            <w:tcW w:w="1171" w:type="pct"/>
            <w:shd w:val="clear" w:color="auto" w:fill="002060"/>
            <w:vAlign w:val="center"/>
          </w:tcPr>
          <w:p w14:paraId="6883053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境内交易金额</w:t>
            </w:r>
          </w:p>
          <w:p w14:paraId="056AEC8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B</w:t>
            </w:r>
          </w:p>
        </w:tc>
        <w:tc>
          <w:tcPr>
            <w:tcW w:w="1236" w:type="pct"/>
            <w:shd w:val="clear" w:color="auto" w:fill="002060"/>
            <w:vAlign w:val="center"/>
          </w:tcPr>
          <w:p w14:paraId="72012566"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交易总额</w:t>
            </w:r>
          </w:p>
          <w:p w14:paraId="3104ADE5"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C=A+B</w:t>
            </w:r>
          </w:p>
        </w:tc>
      </w:tr>
      <w:tr w:rsidR="004D1721" w14:paraId="539BEEE8"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7DEF0479"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 w:val="0"/>
                <w:sz w:val="22"/>
                <w:szCs w:val="22"/>
              </w:rPr>
              <w:t>关联采购</w:t>
            </w:r>
          </w:p>
        </w:tc>
        <w:tc>
          <w:tcPr>
            <w:tcW w:w="1255" w:type="pct"/>
            <w:shd w:val="clear" w:color="auto" w:fill="auto"/>
            <w:vAlign w:val="center"/>
          </w:tcPr>
          <w:p w14:paraId="558B9137" w14:textId="4B049C24"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c>
          <w:tcPr>
            <w:tcW w:w="1171" w:type="pct"/>
            <w:shd w:val="clear" w:color="auto" w:fill="auto"/>
            <w:vAlign w:val="center"/>
          </w:tcPr>
          <w:p w14:paraId="664EBD2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0.00</w:t>
            </w:r>
          </w:p>
        </w:tc>
        <w:tc>
          <w:tcPr>
            <w:tcW w:w="1236" w:type="pct"/>
            <w:shd w:val="clear" w:color="auto" w:fill="auto"/>
            <w:vAlign w:val="center"/>
          </w:tcPr>
          <w:p w14:paraId="75BC4B26" w14:textId="0AE6FA81"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r>
      <w:tr w:rsidR="004D1721" w14:paraId="368511D9"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0292F19"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b w:val="0"/>
                <w:sz w:val="22"/>
                <w:szCs w:val="22"/>
              </w:rPr>
              <w:t>关联销售</w:t>
            </w:r>
          </w:p>
        </w:tc>
        <w:tc>
          <w:tcPr>
            <w:tcW w:w="1255" w:type="pct"/>
            <w:shd w:val="clear" w:color="auto" w:fill="auto"/>
            <w:vAlign w:val="center"/>
          </w:tcPr>
          <w:p w14:paraId="67008C60" w14:textId="2CEDA24E"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259,774,542.66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171" w:type="pct"/>
            <w:shd w:val="clear" w:color="auto" w:fill="auto"/>
            <w:vAlign w:val="center"/>
          </w:tcPr>
          <w:p w14:paraId="1B1624DB" w14:textId="2C320953"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12,953,4.52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236" w:type="pct"/>
            <w:shd w:val="clear" w:color="auto" w:fill="auto"/>
            <w:vAlign w:val="center"/>
          </w:tcPr>
          <w:p w14:paraId="3B90A134" w14:textId="0BA8802B"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272,727,966.18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r>
      <w:tr w:rsidR="004D1721" w14:paraId="0ECC1AF7"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A0A700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总计</w:t>
            </w:r>
          </w:p>
        </w:tc>
        <w:tc>
          <w:tcPr>
            <w:tcW w:w="1255" w:type="pct"/>
            <w:shd w:val="clear" w:color="auto" w:fill="auto"/>
            <w:vAlign w:val="center"/>
          </w:tcPr>
          <w:p w14:paraId="6D7866E0" w14:textId="5897078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hAnsi="Arial Narrow" w:cs="Arial"/>
                <w:b/>
                <w:sz w:val="22"/>
                <w:szCs w:val="22"/>
              </w:rPr>
            </w:pPr>
            <w:r>
              <w:rPr>
                <w:rFonts w:ascii="Arial Narrow" w:eastAsia="仿宋_GB2312" w:hAnsi="Arial Narrow" w:cs="Arial" w:hint="eastAsia"/>
                <w:b/>
                <w:sz w:val="22"/>
                <w:szCs w:val="22"/>
              </w:rPr>
              <w:t>282,474,190.55</w:t>
            </w:r>
          </w:p>
        </w:tc>
        <w:tc>
          <w:tcPr>
            <w:tcW w:w="1171" w:type="pct"/>
            <w:shd w:val="clear" w:color="auto" w:fill="auto"/>
            <w:vAlign w:val="center"/>
          </w:tcPr>
          <w:p w14:paraId="3F0F9144" w14:textId="7FB7963F"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sidRPr="005D08A5">
              <w:rPr>
                <w:rFonts w:ascii="Arial Narrow" w:eastAsia="仿宋_GB2312" w:hAnsi="Arial Narrow" w:cs="Arial"/>
                <w:b/>
                <w:sz w:val="22"/>
                <w:szCs w:val="22"/>
              </w:rPr>
              <w:t xml:space="preserve"> 12,953,4.52</w:t>
            </w:r>
            <w:r>
              <w:rPr>
                <w:rFonts w:ascii="Arial Narrow" w:eastAsia="仿宋_GB2312" w:hAnsi="Arial Narrow" w:cs="Arial" w:hint="eastAsia"/>
                <w:b/>
                <w:sz w:val="22"/>
                <w:szCs w:val="22"/>
              </w:rPr>
              <w:t/>
            </w:r>
          </w:p>
        </w:tc>
        <w:tc>
          <w:tcPr>
            <w:tcW w:w="1236" w:type="pct"/>
            <w:shd w:val="clear" w:color="auto" w:fill="auto"/>
            <w:vAlign w:val="center"/>
          </w:tcPr>
          <w:p w14:paraId="5344BB23" w14:textId="01DD375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hint="eastAsia"/>
                <w:b/>
                <w:sz w:val="22"/>
                <w:szCs w:val="22"/>
              </w:rPr>
              <w:t>295,427,614.07</w:t>
            </w:r>
          </w:p>
        </w:tc>
      </w:tr>
    </w:tbl>
    <w:p w14:paraId="473322C3"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信息来源：由提供</w:t>
      </w:r>
      <w:bookmarkEnd w:id="347"/>
      <w:bookmarkEnd w:id="348"/>
      <w:bookmarkEnd w:id="349"/>
      <w:bookmarkEnd w:id="350"/>
    </w:p>
    <w:p w14:paraId="0FC9730D" w14:textId="77777777" w:rsidR="004D1721" w:rsidRDefault="009B16BC">
      <w:pPr>
        <w:pStyle w:val="Heading2"/>
        <w:rPr>
          <w:b/>
          <w:bCs/>
        </w:rPr>
      </w:pPr>
      <w:bookmarkStart w:id="351" w:name="_Toc53229069"/>
      <w:bookmarkStart w:id="352" w:name="_Toc140505123"/>
      <w:r>
        <w:t>关联购销</w:t>
      </w:r>
      <w:bookmarkEnd w:id="351"/>
      <w:bookmarkEnd w:id="352"/>
    </w:p>
    <w:p w14:paraId="3E4F75E4" w14:textId="77777777" w:rsidR="004D1721" w:rsidRDefault="009B16BC">
      <w:pPr>
        <w:pStyle w:val="Heading3"/>
        <w:rPr>
          <w:b/>
          <w:bCs/>
        </w:rPr>
      </w:pPr>
      <w:bookmarkStart w:id="353" w:name="_Toc140505124"/>
      <w:bookmarkStart w:id="354" w:name="_Toc53229070"/>
      <w:r>
        <w:t>交易流程</w:t>
      </w:r>
      <w:bookmarkEnd w:id="353"/>
      <w:bookmarkEnd w:id="354"/>
    </w:p>
    <w:p w14:paraId="096A8033" w14:textId="4E88C2F2"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评估期间，从境外关联方采购原材料、半成品共计人民币22,699,647.89元，向境外关联方销售成品共计人民币 259,774,542.66元，向境内关联方销售成品共计人民币12,953,4.52 元。</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5C4EC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与关联方的关联购销交易流程如下图所示：</w:t>
      </w:r>
    </w:p>
    <w:p w14:paraId="7EA78D1D" w14:textId="6FAB95A7" w:rsidR="004D1721" w:rsidRDefault="009B16BC">
      <w:pPr>
        <w:adjustRightInd w:val="0"/>
        <w:snapToGrid w:val="0"/>
        <w:spacing w:before="240" w:after="240"/>
        <w:ind w:firstLine="475"/>
        <w:jc w:val="center"/>
        <w:rPr>
          <w:rFonts w:ascii="Arial Narrow" w:eastAsia="仿宋_GB2312" w:hAnsi="Arial Narrow" w:cs="Arial"/>
          <w:b/>
          <w:bCs/>
          <w:sz w:val="22"/>
        </w:rPr>
      </w:pPr>
      <w:r>
        <w:rPr>
          <w:rFonts w:ascii="Arial Narrow" w:eastAsia="仿宋_GB2312" w:hAnsi="Arial Narrow" w:cs="Arial"/>
          <w:b/>
          <w:sz w:val="22"/>
        </w:rPr>
        <w:t>图表 10：关联购销交易流程图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b/>
          <w:bCs/>
          <w:sz w:val="22"/>
        </w:rPr>
        <w:t/>
      </w:r>
    </w:p>
    <w:p w14:paraId="7CDD9122" w14:textId="24991C69" w:rsidR="004D1721" w:rsidRDefault="009B16BC">
      <w:pPr>
        <w:adjustRightInd w:val="0"/>
        <w:snapToGrid w:val="0"/>
        <w:spacing w:before="240" w:after="240"/>
        <w:ind w:firstLine="475"/>
        <w:jc w:val="center"/>
        <w:rPr>
          <w:rFonts w:ascii="Arial Narrow" w:eastAsia="仿宋_GB2312" w:hAnsi="Arial Narrow" w:cs="Arial"/>
          <w:b/>
          <w:bCs/>
          <w:sz w:val="22"/>
        </w:rPr>
      </w:pPr>
      <w:r>
        <w:rPr>
          <w:noProof/>
        </w:rPr>
        <w:drawing>
          <wp:inline distT="0" distB="0" distL="0" distR="0">
            <wp:extent cx="5532755" cy="2164715"/>
            <wp:effectExtent l="0" t="0" r="1460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29"/>
                    <a:stretch>
                      <a:fillRect/>
                    </a:stretch>
                  </pic:blipFill>
                  <pic:spPr>
                    <a:xfrm>
                      <a:off x="0" y="0"/>
                      <a:ext cx="5532755" cy="2164715"/>
                    </a:xfrm>
                    <a:prstGeom prst="rect">
                      <a:avLst/>
                    </a:prstGeom>
                    <a:noFill/>
                    <a:ln>
                      <a:noFill/>
                    </a:ln>
                  </pic:spPr>
                </pic:pic>
              </a:graphicData>
            </a:graphic>
          </wp:inline>
        </w:drawing>
      </w:r>
    </w:p>
    <w:p w14:paraId="5B15D271"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信息来源：由提供</w:t>
      </w:r>
    </w:p>
    <w:p w14:paraId="6F371416" w14:textId="77777777" w:rsidR="004D1721" w:rsidRDefault="009B16BC">
      <w:pPr>
        <w:pStyle w:val="Heading3"/>
        <w:rPr>
          <w:b/>
          <w:bCs/>
        </w:rPr>
      </w:pPr>
      <w:bookmarkStart w:id="355" w:name="_Toc53067913"/>
      <w:bookmarkStart w:id="356" w:name="_Toc53047075"/>
      <w:bookmarkStart w:id="357" w:name="_Toc53068720"/>
      <w:bookmarkStart w:id="358" w:name="_Toc53068056"/>
      <w:bookmarkStart w:id="359" w:name="_Toc53046609"/>
      <w:bookmarkStart w:id="360" w:name="_Toc53046608"/>
      <w:bookmarkStart w:id="361" w:name="_Toc53068233"/>
      <w:bookmarkStart w:id="362" w:name="_Toc53047073"/>
      <w:bookmarkStart w:id="363" w:name="_Toc53068441"/>
      <w:bookmarkStart w:id="364" w:name="_Toc53068580"/>
      <w:bookmarkStart w:id="365" w:name="_Toc53068054"/>
      <w:bookmarkStart w:id="366" w:name="_Toc53046758"/>
      <w:bookmarkStart w:id="367" w:name="_Toc53068234"/>
      <w:bookmarkStart w:id="368" w:name="_Toc53068579"/>
      <w:bookmarkStart w:id="369" w:name="_Toc53068581"/>
      <w:bookmarkStart w:id="370" w:name="_Toc53068719"/>
      <w:bookmarkStart w:id="371" w:name="_Toc53046760"/>
      <w:bookmarkStart w:id="372" w:name="_Toc53068439"/>
      <w:bookmarkStart w:id="373" w:name="_Toc53068055"/>
      <w:bookmarkStart w:id="374" w:name="_Toc53046607"/>
      <w:bookmarkStart w:id="375" w:name="_Toc53067912"/>
      <w:bookmarkStart w:id="376" w:name="_Toc53046759"/>
      <w:bookmarkStart w:id="377" w:name="_Toc53068232"/>
      <w:bookmarkStart w:id="378" w:name="_Toc53068440"/>
      <w:bookmarkStart w:id="379" w:name="_Toc53067914"/>
      <w:bookmarkStart w:id="380" w:name="_Toc53068718"/>
      <w:bookmarkStart w:id="381" w:name="_Toc53047074"/>
      <w:bookmarkStart w:id="382" w:name="_Toc53229071"/>
      <w:bookmarkStart w:id="383" w:name="_Toc14050512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交易明细</w:t>
      </w:r>
      <w:bookmarkEnd w:id="382"/>
      <w:bookmarkEnd w:id="383"/>
    </w:p>
    <w:p w14:paraId="2F0A846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84" w:name="_Toc50039003"/>
      <w:bookmarkStart w:id="385" w:name="_Toc50039000"/>
      <w:bookmarkStart w:id="386" w:name="_Toc49961739"/>
      <w:bookmarkStart w:id="387" w:name="_Toc49961722"/>
      <w:bookmarkStart w:id="388" w:name="_Toc50477773"/>
      <w:bookmarkStart w:id="389" w:name="_Toc50477752"/>
      <w:bookmarkStart w:id="390" w:name="_Toc50477749"/>
      <w:bookmarkStart w:id="391" w:name="_Toc50039004"/>
      <w:bookmarkStart w:id="392" w:name="_Toc50477751"/>
      <w:bookmarkStart w:id="393" w:name="_Toc50039020"/>
      <w:bookmarkStart w:id="394" w:name="_Toc50039035"/>
      <w:bookmarkStart w:id="395" w:name="_Toc49961734"/>
      <w:bookmarkStart w:id="396" w:name="_Toc50477763"/>
      <w:bookmarkStart w:id="397" w:name="_Toc50039040"/>
      <w:bookmarkStart w:id="398" w:name="_Toc50477788"/>
      <w:bookmarkStart w:id="399" w:name="_Toc50477778"/>
      <w:bookmarkStart w:id="400" w:name="_Toc50477768"/>
      <w:bookmarkStart w:id="401" w:name="_Toc50477750"/>
      <w:bookmarkStart w:id="402" w:name="_Toc49961721"/>
      <w:bookmarkStart w:id="403" w:name="_Toc50039002"/>
      <w:bookmarkStart w:id="404" w:name="_Toc50039001"/>
      <w:bookmarkStart w:id="405" w:name="_Toc49961719"/>
      <w:bookmarkStart w:id="406" w:name="_Toc49961720"/>
      <w:bookmarkStart w:id="407" w:name="_Toc50039015"/>
      <w:bookmarkStart w:id="408" w:name="_Toc49961744"/>
      <w:bookmarkStart w:id="409" w:name="_Toc49961754"/>
      <w:bookmarkStart w:id="410" w:name="_Toc50039025"/>
      <w:bookmarkStart w:id="411" w:name="_Toc50477748"/>
      <w:bookmarkStart w:id="412" w:name="_Toc50477783"/>
      <w:bookmarkStart w:id="413" w:name="_Toc50039030"/>
      <w:bookmarkStart w:id="414" w:name="_Toc49961759"/>
      <w:bookmarkStart w:id="415" w:name="_Toc49961749"/>
      <w:bookmarkStart w:id="416" w:name="_Toc49961773"/>
      <w:bookmarkStart w:id="417" w:name="_Toc50477802"/>
      <w:bookmarkStart w:id="418" w:name="_Toc50039054"/>
      <w:bookmarkStart w:id="419" w:name="_Toc49961723"/>
      <w:bookmarkStart w:id="420" w:name="_Toc4831743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ascii="Arial Narrow" w:eastAsia="仿宋_GB2312" w:hAnsi="Arial Narrow" w:cs="Arial"/>
          <w:sz w:val="22"/>
          <w:szCs w:val="22"/>
        </w:rPr>
        <w:t>评估期间，关联购销的关联方和交易金额如下表所示：</w:t>
      </w:r>
    </w:p>
    <w:p w14:paraId="4187544A"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7FB97D09" w14:textId="56D5F46F"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11：20年度关联购销明细表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tbl>
      <w:tblPr>
        <w:tblW w:w="8495" w:type="dxa"/>
        <w:tblLayout w:type="fixed"/>
        <w:tblLook w:val="04A0" w:firstRow="1" w:lastRow="0" w:firstColumn="1" w:lastColumn="0" w:noHBand="0" w:noVBand="1"/>
      </w:tblPr>
      <w:tblGrid>
        <w:gridCol w:w="699"/>
        <w:gridCol w:w="3969"/>
        <w:gridCol w:w="2200"/>
        <w:gridCol w:w="1627"/>
      </w:tblGrid>
      <w:tr w:rsidR="004D1721" w14:paraId="1E56D496" w14:textId="77777777">
        <w:trPr>
          <w:trHeight w:val="615"/>
          <w:tblHeader/>
        </w:trPr>
        <w:tc>
          <w:tcPr>
            <w:tcW w:w="4668" w:type="dxa"/>
            <w:gridSpan w:val="2"/>
            <w:tcBorders>
              <w:top w:val="single" w:sz="8" w:space="0" w:color="auto"/>
              <w:left w:val="single" w:sz="8" w:space="0" w:color="auto"/>
              <w:bottom w:val="single" w:sz="8" w:space="0" w:color="auto"/>
              <w:right w:val="single" w:sz="8" w:space="0" w:color="auto"/>
            </w:tcBorders>
            <w:shd w:val="clear" w:color="auto" w:fill="002060"/>
            <w:vAlign w:val="center"/>
          </w:tcPr>
          <w:p w14:paraId="09FEC087"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关联方名称</w:t>
            </w:r>
          </w:p>
        </w:tc>
        <w:tc>
          <w:tcPr>
            <w:tcW w:w="2200" w:type="dxa"/>
            <w:tcBorders>
              <w:top w:val="single" w:sz="8" w:space="0" w:color="auto"/>
              <w:left w:val="single" w:sz="8" w:space="0" w:color="auto"/>
              <w:bottom w:val="single" w:sz="8" w:space="0" w:color="auto"/>
              <w:right w:val="single" w:sz="8" w:space="0" w:color="auto"/>
            </w:tcBorders>
            <w:shd w:val="clear" w:color="auto" w:fill="002060"/>
            <w:vAlign w:val="center"/>
          </w:tcPr>
          <w:p w14:paraId="0D2CB112"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交易金额</w:t>
            </w:r>
          </w:p>
        </w:tc>
        <w:tc>
          <w:tcPr>
            <w:tcW w:w="1627" w:type="dxa"/>
            <w:tcBorders>
              <w:top w:val="single" w:sz="8" w:space="0" w:color="auto"/>
              <w:left w:val="single" w:sz="8" w:space="0" w:color="auto"/>
              <w:bottom w:val="single" w:sz="8" w:space="0" w:color="auto"/>
              <w:right w:val="single" w:sz="8" w:space="0" w:color="auto"/>
            </w:tcBorders>
            <w:shd w:val="clear" w:color="auto" w:fill="002060"/>
            <w:vAlign w:val="center"/>
          </w:tcPr>
          <w:p w14:paraId="0691B198"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占采购、销售总额比例(%)</w:t>
            </w:r>
            <w:r>
              <w:rPr>
                <w:rFonts w:ascii="Arial Narrow" w:eastAsia="仿宋_GB2312" w:hAnsi="Arial Narrow" w:cs="Arial"/>
                <w:b/>
                <w:bCs/>
                <w:color w:val="FFFFFF"/>
                <w:sz w:val="22"/>
                <w:szCs w:val="22"/>
              </w:rPr>
              <w:t/>
            </w:r>
          </w:p>
        </w:tc>
      </w:tr>
      <w:tr w:rsidR="004D1721" w14:paraId="6DF84331"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4263319"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4882E6D3"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采购</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60DE14F3"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2D6A87C" w14:textId="690F1FB6"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19,022,714.40</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400A80B4" w14:textId="1B6DCB3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6.44%</w:t>
            </w:r>
          </w:p>
        </w:tc>
      </w:tr>
      <w:tr w:rsidR="004D1721" w14:paraId="10FE68A7" w14:textId="77777777">
        <w:trPr>
          <w:trHeight w:val="340"/>
        </w:trPr>
        <w:tc>
          <w:tcPr>
            <w:tcW w:w="699" w:type="dxa"/>
            <w:vMerge/>
            <w:tcBorders>
              <w:left w:val="single" w:sz="8" w:space="0" w:color="auto"/>
              <w:bottom w:val="single" w:sz="8" w:space="0" w:color="000000"/>
              <w:right w:val="single" w:sz="8" w:space="0" w:color="auto"/>
            </w:tcBorders>
            <w:shd w:val="clear" w:color="auto" w:fill="auto"/>
            <w:vAlign w:val="center"/>
          </w:tcPr>
          <w:p w14:paraId="6836ABC7"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1468F099"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18E2E85D" w14:textId="5E196AC5" w:rsidR="004D1721" w:rsidRDefault="009B16BC">
            <w:pPr>
              <w:jc w:val="right"/>
              <w:rPr>
                <w:rFonts w:ascii="Arial Narrow" w:eastAsia="仿宋_GB2312" w:hAnsi="Arial Narrow" w:cs="Arial"/>
                <w:color w:val="000000"/>
                <w:kern w:val="0"/>
                <w:sz w:val="22"/>
                <w:szCs w:val="22"/>
              </w:rPr>
            </w:pPr>
            <w:r w:rsidRPr="005D08A5">
              <w:rPr>
                <w:rFonts w:ascii="Arial Narrow" w:eastAsia="仿宋_GB2312" w:hAnsi="Arial Narrow" w:cs="Arial"/>
                <w:color w:val="000000"/>
                <w:kern w:val="0"/>
                <w:sz w:val="22"/>
                <w:szCs w:val="22"/>
              </w:rPr>
              <w:t>3,676,933.49</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3F8F5E6" w14:textId="2FBCB950"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1.24%</w:t>
            </w:r>
          </w:p>
        </w:tc>
      </w:tr>
      <w:tr w:rsidR="004D1721" w14:paraId="7AD612BE" w14:textId="77777777">
        <w:trPr>
          <w:trHeight w:val="340"/>
        </w:trPr>
        <w:tc>
          <w:tcPr>
            <w:tcW w:w="4668" w:type="dxa"/>
            <w:gridSpan w:val="2"/>
            <w:tcBorders>
              <w:top w:val="nil"/>
              <w:left w:val="single" w:sz="8" w:space="0" w:color="auto"/>
              <w:bottom w:val="single" w:sz="8" w:space="0" w:color="000000"/>
              <w:right w:val="single" w:sz="8" w:space="0" w:color="auto"/>
            </w:tcBorders>
            <w:vAlign w:val="center"/>
          </w:tcPr>
          <w:p w14:paraId="0B0177F5"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b/>
                <w:bCs/>
                <w:color w:val="000000"/>
                <w:sz w:val="22"/>
                <w:szCs w:val="22"/>
              </w:rPr>
              <w:t>关联采购总计</w:t>
            </w:r>
          </w:p>
        </w:tc>
        <w:tc>
          <w:tcPr>
            <w:tcW w:w="2200" w:type="dxa"/>
            <w:tcBorders>
              <w:top w:val="single" w:sz="8" w:space="0" w:color="auto"/>
              <w:left w:val="nil"/>
              <w:bottom w:val="single" w:sz="8" w:space="0" w:color="auto"/>
              <w:right w:val="single" w:sz="8" w:space="0" w:color="auto"/>
            </w:tcBorders>
            <w:shd w:val="clear" w:color="auto" w:fill="auto"/>
            <w:vAlign w:val="center"/>
          </w:tcPr>
          <w:p w14:paraId="5263A8B3" w14:textId="761E0C0C"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bCs/>
                <w:color w:val="000000"/>
                <w:sz w:val="22"/>
                <w:szCs w:val="22"/>
              </w:rPr>
              <w:t>22,699,647.89</w:t>
            </w:r>
          </w:p>
        </w:tc>
        <w:tc>
          <w:tcPr>
            <w:tcW w:w="1627" w:type="dxa"/>
            <w:tcBorders>
              <w:top w:val="single" w:sz="8" w:space="0" w:color="auto"/>
              <w:left w:val="nil"/>
              <w:bottom w:val="single" w:sz="8" w:space="0" w:color="auto"/>
              <w:right w:val="single" w:sz="8" w:space="0" w:color="auto"/>
            </w:tcBorders>
            <w:shd w:val="clear" w:color="auto" w:fill="auto"/>
            <w:vAlign w:val="center"/>
          </w:tcPr>
          <w:p w14:paraId="544BCBCB" w14:textId="4B4A85E6"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bCs/>
                <w:color w:val="000000"/>
                <w:sz w:val="22"/>
                <w:szCs w:val="22"/>
              </w:rPr>
              <w:t>7.68%</w:t>
            </w:r>
          </w:p>
        </w:tc>
      </w:tr>
      <w:tr w:rsidR="004D1721" w14:paraId="7C8C8DA2"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19A07B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0D271210"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销售</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EEC98B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5ABDD4B" w14:textId="5E592A9C"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178,594,871.60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6D554D8A" w14:textId="1AEE657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60.45%</w:t>
            </w:r>
          </w:p>
        </w:tc>
      </w:tr>
      <w:tr w:rsidR="004D1721" w14:paraId="0B32B2EB" w14:textId="77777777">
        <w:trPr>
          <w:trHeight w:val="340"/>
        </w:trPr>
        <w:tc>
          <w:tcPr>
            <w:tcW w:w="699" w:type="dxa"/>
            <w:vMerge/>
            <w:tcBorders>
              <w:left w:val="single" w:sz="8" w:space="0" w:color="auto"/>
              <w:right w:val="single" w:sz="8" w:space="0" w:color="auto"/>
            </w:tcBorders>
            <w:shd w:val="clear" w:color="auto" w:fill="auto"/>
            <w:vAlign w:val="center"/>
          </w:tcPr>
          <w:p w14:paraId="37226C46"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3EA08CF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304D1A9A" w14:textId="46B6EBDB"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81,179,671.06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902603D" w14:textId="288EB897"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27.48%</w:t>
            </w:r>
          </w:p>
        </w:tc>
      </w:tr>
      <w:tr w:rsidR="004D1721" w14:paraId="5CCB33CD" w14:textId="77777777">
        <w:trPr>
          <w:trHeight w:val="340"/>
        </w:trPr>
        <w:tc>
          <w:tcPr>
            <w:tcW w:w="699" w:type="dxa"/>
            <w:vMerge/>
            <w:tcBorders>
              <w:left w:val="single" w:sz="8" w:space="0" w:color="auto"/>
              <w:right w:val="single" w:sz="8" w:space="0" w:color="auto"/>
            </w:tcBorders>
            <w:shd w:val="clear" w:color="auto" w:fill="auto"/>
            <w:vAlign w:val="center"/>
          </w:tcPr>
          <w:p w14:paraId="3306A209"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08303BF"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美缤纷品牌管理（上海）有限公司</w:t>
            </w:r>
          </w:p>
        </w:tc>
        <w:tc>
          <w:tcPr>
            <w:tcW w:w="22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D336D02" w14:textId="367DE5D3"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12,953,4.52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8E9CF87" w14:textId="27047AD9"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4.38%</w:t>
            </w:r>
          </w:p>
        </w:tc>
      </w:tr>
      <w:tr w:rsidR="004D1721" w14:paraId="5917552F" w14:textId="77777777">
        <w:trPr>
          <w:trHeight w:val="340"/>
        </w:trPr>
        <w:tc>
          <w:tcPr>
            <w:tcW w:w="4668"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A8F1D6E" w14:textId="77777777" w:rsidR="004D1721" w:rsidRDefault="009B16BC">
            <w:pPr>
              <w:rPr>
                <w:rFonts w:ascii="Arial Narrow" w:eastAsia="仿宋_GB2312" w:hAnsi="Arial Narrow" w:cs="Arial"/>
                <w:b/>
                <w:bCs/>
                <w:color w:val="000000"/>
                <w:sz w:val="22"/>
                <w:szCs w:val="22"/>
              </w:rPr>
            </w:pPr>
            <w:r>
              <w:rPr>
                <w:rFonts w:ascii="Arial Narrow" w:eastAsia="仿宋_GB2312" w:hAnsi="Arial Narrow" w:cs="Arial"/>
                <w:b/>
                <w:bCs/>
                <w:color w:val="000000"/>
                <w:sz w:val="22"/>
                <w:szCs w:val="22"/>
              </w:rPr>
              <w:t xml:space="preserve">关联销售总计 </w:t>
            </w:r>
            <w:r>
              <w:rPr>
                <w:rFonts w:ascii="Arial Narrow" w:eastAsia="仿宋_GB2312" w:hAnsi="Arial Narrow" w:cs="Arial"/>
                <w:b/>
                <w:bCs/>
                <w:color w:val="000000"/>
                <w:sz w:val="22"/>
                <w:szCs w:val="22"/>
              </w:rPr>
              <w:t xml:space="preserve"/>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5F68FC9F" w14:textId="71E99FE2"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color w:val="000000"/>
                <w:sz w:val="22"/>
                <w:szCs w:val="22"/>
              </w:rPr>
              <w:t xml:space="preserve"> 272,727,966.18 </w:t>
            </w:r>
            <w:r>
              <w:rPr>
                <w:rFonts w:ascii="Arial Narrow" w:eastAsia="仿宋_GB2312" w:hAnsi="Arial Narrow" w:cs="Arial" w:hint="eastAsia"/>
                <w:b/>
                <w:color w:val="000000"/>
                <w:sz w:val="22"/>
                <w:szCs w:val="22"/>
              </w:rPr>
              <w:t/>
            </w:r>
            <w:r w:rsidRPr="005D08A5">
              <w:rPr>
                <w:rFonts w:ascii="Arial Narrow" w:eastAsia="仿宋_GB2312" w:hAnsi="Arial Narrow" w:cs="Arial"/>
                <w:b/>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9B03CBF" w14:textId="7C76988F"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color w:val="000000"/>
                <w:sz w:val="22"/>
                <w:szCs w:val="22"/>
              </w:rPr>
              <w:t>92.32%</w:t>
            </w:r>
          </w:p>
        </w:tc>
      </w:tr>
    </w:tbl>
    <w:p w14:paraId="6F2BD831"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信息来源：由提供</w:t>
      </w:r>
      <w:bookmarkEnd w:id="420"/>
    </w:p>
    <w:p w14:paraId="0011D421" w14:textId="77777777" w:rsidR="004D1721" w:rsidRDefault="009B16BC">
      <w:pPr>
        <w:pStyle w:val="Heading3"/>
        <w:rPr>
          <w:b/>
          <w:bCs/>
        </w:rPr>
      </w:pPr>
      <w:bookmarkStart w:id="421" w:name="_Toc140505126"/>
      <w:bookmarkStart w:id="422" w:name="_Toc53229072"/>
      <w:r>
        <w:t>交易定价政策</w:t>
      </w:r>
      <w:bookmarkEnd w:id="421"/>
      <w:bookmarkEnd w:id="422"/>
    </w:p>
    <w:p w14:paraId="4703A1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423" w:name="_Toc48317443"/>
      <w:bookmarkStart w:id="424" w:name="_Toc48317139"/>
      <w:r>
        <w:rPr>
          <w:rFonts w:ascii="Arial Narrow" w:eastAsia="仿宋_GB2312" w:hAnsi="Arial Narrow" w:cs="Arial"/>
          <w:sz w:val="22"/>
          <w:szCs w:val="22"/>
        </w:rPr>
        <w:t>对于关联采购价格，与境外关联方参考市场价格制定；对于关联销售价格，参考标准生产成本加上一定利润率的方式以及产品市场价格进行综合制定。与境内关联方的关联购销交易以人民币结算，与境外关联方的关联购销以外币进行结算。</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bookmarkEnd w:id="423"/>
      <w:bookmarkEnd w:id="424"/>
    </w:p>
    <w:p w14:paraId="71471A63" w14:textId="77777777" w:rsidR="004D1721" w:rsidRDefault="009B16BC">
      <w:pPr>
        <w:pStyle w:val="Heading2"/>
        <w:rPr>
          <w:b/>
        </w:rPr>
      </w:pPr>
      <w:bookmarkStart w:id="425" w:name="_Toc53067917"/>
      <w:bookmarkStart w:id="426" w:name="_Toc53067926"/>
      <w:bookmarkStart w:id="427" w:name="_Toc53068592"/>
      <w:bookmarkStart w:id="428" w:name="_Toc53046621"/>
      <w:bookmarkStart w:id="429" w:name="_Toc53068127"/>
      <w:bookmarkStart w:id="430" w:name="_Toc53068594"/>
      <w:bookmarkStart w:id="431" w:name="_Toc85042556"/>
      <w:bookmarkStart w:id="432" w:name="_Toc85042551"/>
      <w:bookmarkStart w:id="433" w:name="_Toc53068733"/>
      <w:bookmarkStart w:id="434" w:name="_Toc85042549"/>
      <w:bookmarkStart w:id="435" w:name="_Toc85557551"/>
      <w:bookmarkStart w:id="436" w:name="_Toc53067924"/>
      <w:bookmarkStart w:id="437" w:name="_Toc85622921"/>
      <w:bookmarkStart w:id="438" w:name="_Toc85557507"/>
      <w:bookmarkStart w:id="439" w:name="_Toc75432537"/>
      <w:bookmarkStart w:id="440" w:name="_Toc53067987"/>
      <w:bookmarkStart w:id="441" w:name="_Toc85557508"/>
      <w:bookmarkStart w:id="442" w:name="_Toc85042553"/>
      <w:bookmarkStart w:id="443" w:name="_Toc85622870"/>
      <w:bookmarkStart w:id="444" w:name="_Toc53067927"/>
      <w:bookmarkStart w:id="445" w:name="_Toc85622872"/>
      <w:bookmarkStart w:id="446" w:name="_Toc53068444"/>
      <w:bookmarkStart w:id="447" w:name="_Toc85622918"/>
      <w:bookmarkStart w:id="448" w:name="_Toc85557639"/>
      <w:bookmarkStart w:id="449" w:name="_Toc53068246"/>
      <w:bookmarkStart w:id="450" w:name="_Toc53068452"/>
      <w:bookmarkStart w:id="451" w:name="_Toc85557688"/>
      <w:bookmarkStart w:id="452" w:name="_Toc53068308"/>
      <w:bookmarkStart w:id="453" w:name="_Toc85042547"/>
      <w:bookmarkStart w:id="454" w:name="_Toc53068454"/>
      <w:bookmarkStart w:id="455" w:name="_Toc53068584"/>
      <w:bookmarkStart w:id="456" w:name="_Toc53068732"/>
      <w:bookmarkStart w:id="457" w:name="_Toc53068244"/>
      <w:bookmarkStart w:id="458" w:name="_Toc53046773"/>
      <w:bookmarkStart w:id="459" w:name="_Toc53068453"/>
      <w:bookmarkStart w:id="460" w:name="_Toc53068451"/>
      <w:bookmarkStart w:id="461" w:name="_Toc85622871"/>
      <w:bookmarkStart w:id="462" w:name="_Toc53046763"/>
      <w:bookmarkStart w:id="463" w:name="_Toc85622927"/>
      <w:bookmarkStart w:id="464" w:name="_Toc85557510"/>
      <w:bookmarkStart w:id="465" w:name="_Toc53068655"/>
      <w:bookmarkStart w:id="466" w:name="_Toc85557556"/>
      <w:bookmarkStart w:id="467" w:name="_Toc85557693"/>
      <w:bookmarkStart w:id="468" w:name="_Toc85557684"/>
      <w:bookmarkStart w:id="469" w:name="_Toc85622875"/>
      <w:bookmarkStart w:id="470" w:name="_Toc85557504"/>
      <w:bookmarkStart w:id="471" w:name="_Toc85622926"/>
      <w:bookmarkStart w:id="472" w:name="_Toc53067985"/>
      <w:bookmarkStart w:id="473" w:name="_Toc85557690"/>
      <w:bookmarkStart w:id="474" w:name="_Toc85622923"/>
      <w:bookmarkStart w:id="475" w:name="_Toc85042554"/>
      <w:bookmarkStart w:id="476" w:name="_Toc85042552"/>
      <w:bookmarkStart w:id="477" w:name="_Toc53046612"/>
      <w:bookmarkStart w:id="478" w:name="_Toc85557503"/>
      <w:bookmarkStart w:id="479" w:name="_Toc85622919"/>
      <w:bookmarkStart w:id="480" w:name="_Toc85557555"/>
      <w:bookmarkStart w:id="481" w:name="_Toc53047078"/>
      <w:bookmarkStart w:id="482" w:name="_Toc85042501"/>
      <w:bookmarkStart w:id="483" w:name="_Toc85042499"/>
      <w:bookmarkStart w:id="484" w:name="_Toc85622924"/>
      <w:bookmarkStart w:id="485" w:name="_Toc53068059"/>
      <w:bookmarkStart w:id="486" w:name="_Toc85557553"/>
      <w:bookmarkStart w:id="487" w:name="_Toc53068237"/>
      <w:bookmarkStart w:id="488" w:name="_Toc53068247"/>
      <w:bookmarkStart w:id="489" w:name="_Toc85557560"/>
      <w:bookmarkStart w:id="490" w:name="_Toc53068791"/>
      <w:bookmarkStart w:id="491" w:name="_Toc75432538"/>
      <w:bookmarkStart w:id="492" w:name="_Toc85557642"/>
      <w:bookmarkStart w:id="493" w:name="_Toc85042500"/>
      <w:bookmarkStart w:id="494" w:name="_Toc85042504"/>
      <w:bookmarkStart w:id="495" w:name="_Toc53067925"/>
      <w:bookmarkStart w:id="496" w:name="_Toc85622876"/>
      <w:bookmarkStart w:id="497" w:name="_Toc53067988"/>
      <w:bookmarkStart w:id="498" w:name="_Toc85622873"/>
      <w:bookmarkStart w:id="499" w:name="_Toc53068066"/>
      <w:bookmarkStart w:id="500" w:name="_Toc85557506"/>
      <w:bookmarkStart w:id="501" w:name="_Toc85557636"/>
      <w:bookmarkStart w:id="502" w:name="_Toc53068730"/>
      <w:bookmarkStart w:id="503" w:name="_Toc53046772"/>
      <w:bookmarkStart w:id="504" w:name="_Toc53068512"/>
      <w:bookmarkStart w:id="505" w:name="_Toc85042505"/>
      <w:bookmarkStart w:id="506" w:name="_Toc85622877"/>
      <w:bookmarkStart w:id="507" w:name="_Toc53068794"/>
      <w:bookmarkStart w:id="508" w:name="_Toc85622869"/>
      <w:bookmarkStart w:id="509" w:name="_Toc85557685"/>
      <w:bookmarkStart w:id="510" w:name="_Toc85042502"/>
      <w:bookmarkStart w:id="511" w:name="_Toc53068068"/>
      <w:bookmarkStart w:id="512" w:name="_Toc53068731"/>
      <w:bookmarkStart w:id="513" w:name="_Toc53068130"/>
      <w:bookmarkStart w:id="514" w:name="_Toc53068248"/>
      <w:bookmarkStart w:id="515" w:name="_Toc522205786"/>
      <w:bookmarkStart w:id="516" w:name="_Toc53068305"/>
      <w:bookmarkStart w:id="517" w:name="_Toc85557554"/>
      <w:bookmarkStart w:id="518" w:name="_Toc85042550"/>
      <w:bookmarkStart w:id="519" w:name="_Toc85622920"/>
      <w:bookmarkStart w:id="520" w:name="_Toc85622925"/>
      <w:bookmarkStart w:id="521" w:name="_Toc85557643"/>
      <w:bookmarkStart w:id="522" w:name="_Toc85557558"/>
      <w:bookmarkStart w:id="523" w:name="_Toc85557637"/>
      <w:bookmarkStart w:id="524" w:name="_Toc85557552"/>
      <w:bookmarkStart w:id="525" w:name="_Toc53068245"/>
      <w:bookmarkStart w:id="526" w:name="_Toc53068455"/>
      <w:bookmarkStart w:id="527" w:name="_Toc53067928"/>
      <w:bookmarkStart w:id="528" w:name="_Toc85042555"/>
      <w:bookmarkStart w:id="529" w:name="_Toc53068654"/>
      <w:bookmarkStart w:id="530" w:name="_Toc85557686"/>
      <w:bookmarkStart w:id="531" w:name="_Toc53046622"/>
      <w:bookmarkStart w:id="532" w:name="_Toc53068129"/>
      <w:bookmarkStart w:id="533" w:name="_Toc85557691"/>
      <w:bookmarkStart w:id="534" w:name="_Toc85557557"/>
      <w:bookmarkStart w:id="535" w:name="_Toc53068593"/>
      <w:bookmarkStart w:id="536" w:name="_Toc85557559"/>
      <w:bookmarkStart w:id="537" w:name="_Toc53068591"/>
      <w:bookmarkStart w:id="538" w:name="_Toc85557505"/>
      <w:bookmarkStart w:id="539" w:name="_Toc85557640"/>
      <w:bookmarkStart w:id="540" w:name="_Toc85557687"/>
      <w:bookmarkStart w:id="541" w:name="_Toc85557635"/>
      <w:bookmarkStart w:id="542" w:name="_Toc85042498"/>
      <w:bookmarkStart w:id="543" w:name="_Toc53068515"/>
      <w:bookmarkStart w:id="544" w:name="_Toc53047088"/>
      <w:bookmarkStart w:id="545" w:name="_Toc53068652"/>
      <w:bookmarkStart w:id="546" w:name="_Toc85557692"/>
      <w:bookmarkStart w:id="547" w:name="_Toc85557509"/>
      <w:bookmarkStart w:id="548" w:name="_Toc85042548"/>
      <w:bookmarkStart w:id="549" w:name="_Toc75432539"/>
      <w:bookmarkStart w:id="550" w:name="_Toc53068723"/>
      <w:bookmarkStart w:id="551" w:name="_Toc53068307"/>
      <w:bookmarkStart w:id="552" w:name="_Toc85042503"/>
      <w:bookmarkStart w:id="553" w:name="_Toc85622874"/>
      <w:bookmarkStart w:id="554" w:name="_Toc75432540"/>
      <w:bookmarkStart w:id="555" w:name="_Toc85557638"/>
      <w:bookmarkStart w:id="556" w:name="_Toc85557689"/>
      <w:bookmarkStart w:id="557" w:name="_Toc53068069"/>
      <w:bookmarkStart w:id="558" w:name="_Toc85557641"/>
      <w:bookmarkStart w:id="559" w:name="_Toc53068793"/>
      <w:bookmarkStart w:id="560" w:name="_Toc75432536"/>
      <w:bookmarkStart w:id="561" w:name="_Toc85622922"/>
      <w:bookmarkStart w:id="562" w:name="_Toc75432535"/>
      <w:bookmarkStart w:id="563" w:name="_Toc53047087"/>
      <w:bookmarkStart w:id="564" w:name="_Toc85557502"/>
      <w:bookmarkStart w:id="565" w:name="_Toc53068067"/>
      <w:bookmarkStart w:id="566" w:name="_Toc85042506"/>
      <w:bookmarkStart w:id="567" w:name="_Toc53068595"/>
      <w:bookmarkStart w:id="568" w:name="_Toc75432541"/>
      <w:bookmarkStart w:id="569" w:name="_Toc53068734"/>
      <w:bookmarkStart w:id="570" w:name="_Toc53068070"/>
      <w:bookmarkStart w:id="571" w:name="_Toc53068514"/>
      <w:bookmarkStart w:id="572" w:name="_Toc53229080"/>
      <w:bookmarkStart w:id="573" w:name="_Toc140505127"/>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t>关联交易合同及执行汇总</w:t>
      </w:r>
      <w:bookmarkEnd w:id="572"/>
      <w:bookmarkEnd w:id="573"/>
    </w:p>
    <w:p w14:paraId="4FCC303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评估期间，与关联方均依据协议中的条款和约定履行各自的责任和义务。</w:t>
      </w:r>
    </w:p>
    <w:p w14:paraId="676194C0" w14:textId="77777777" w:rsidR="004D1721" w:rsidRDefault="009B16BC">
      <w:pPr>
        <w:pStyle w:val="Heading2"/>
      </w:pPr>
      <w:bookmarkStart w:id="574" w:name="_Toc140505128"/>
      <w:bookmarkStart w:id="575" w:name="_Toc53229081"/>
      <w:r>
        <w:t>与企业关联交易直接相关的预约定价安排和其他税收裁定</w:t>
      </w:r>
      <w:bookmarkEnd w:id="574"/>
      <w:bookmarkEnd w:id="575"/>
    </w:p>
    <w:p w14:paraId="259478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576" w:name="_Toc489951927"/>
      <w:bookmarkStart w:id="577" w:name="_Toc489951925"/>
      <w:bookmarkStart w:id="578" w:name="_Toc522205789"/>
      <w:bookmarkStart w:id="579" w:name="_Toc522205790"/>
      <w:bookmarkStart w:id="580" w:name="_Toc489951924"/>
      <w:bookmarkEnd w:id="576"/>
      <w:bookmarkEnd w:id="577"/>
      <w:bookmarkEnd w:id="578"/>
      <w:bookmarkEnd w:id="579"/>
      <w:bookmarkEnd w:id="580"/>
      <w:r>
        <w:rPr>
          <w:rFonts w:ascii="Arial Narrow" w:eastAsia="仿宋_GB2312" w:hAnsi="Arial Narrow" w:cs="Arial"/>
          <w:sz w:val="22"/>
          <w:szCs w:val="22"/>
        </w:rPr>
        <w:t>评估期间，无与企业关联交易直接相关的预约定价安排和作出的其他税收裁定。</w:t>
      </w:r>
    </w:p>
    <w:p w14:paraId="4BDF6572" w14:textId="77777777" w:rsidR="004D1721" w:rsidRDefault="009B16BC">
      <w:pPr>
        <w:pStyle w:val="Heading2"/>
      </w:pPr>
      <w:bookmarkStart w:id="581" w:name="_Toc140505129"/>
      <w:bookmarkStart w:id="582" w:name="_Toc53229082"/>
      <w:r>
        <w:t>关联交易财务状况</w:t>
      </w:r>
      <w:bookmarkEnd w:id="581"/>
      <w:bookmarkEnd w:id="582"/>
    </w:p>
    <w:p w14:paraId="5443A0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按照客户类型进行收入划分，即根据客户是否是境内公司将销售收入明确划分成境内关联交易收入和境外关联交易收入。具体拆分数据详见附件2《企业年度关联交易财务状况分析表》。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41818E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原则上根据实际情况在不同的交易类型中归集、划分成本和费用，对于不能按照实际情况划分的成本和费用，按照合理比例进行划分。</w:t>
      </w:r>
    </w:p>
    <w:p w14:paraId="223615ED" w14:textId="77777777" w:rsidR="004D1721" w:rsidRDefault="009B16BC">
      <w:pPr>
        <w:pStyle w:val="Heading2"/>
        <w:rPr>
          <w:b/>
        </w:rPr>
      </w:pPr>
      <w:bookmarkStart w:id="583" w:name="_Toc141178826"/>
      <w:r>
        <w:rPr>
          <w:rFonts w:hint="eastAsia"/>
        </w:rPr>
        <w:lastRenderedPageBreak/>
        <w:t>对外投资</w:t>
      </w:r>
      <w:bookmarkEnd w:id="583"/>
    </w:p>
    <w:p w14:paraId="0FF3F6B3" w14:textId="71705B2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评估期间，无对境外投资。拥有境内子公司美缤纷品牌管理（上海）有限公司，持股比例100%。</w:t>
      </w:r>
      <w:r w:rsidR="00CD6E7E">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1D4BDD16" w14:textId="77777777" w:rsidR="004D1721" w:rsidRDefault="009B16BC">
      <w:pPr>
        <w:pStyle w:val="Heading2"/>
        <w:rPr>
          <w:b/>
        </w:rPr>
      </w:pPr>
      <w:bookmarkStart w:id="584" w:name="_Toc53229083"/>
      <w:bookmarkStart w:id="585" w:name="_Toc140505130"/>
      <w:r>
        <w:t>结论</w:t>
      </w:r>
      <w:bookmarkEnd w:id="584"/>
      <w:bookmarkEnd w:id="585"/>
    </w:p>
    <w:p w14:paraId="026D6758" w14:textId="77777777" w:rsidR="004D1721" w:rsidRDefault="009B16BC">
      <w:pPr>
        <w:spacing w:beforeLines="50" w:before="180" w:afterLines="50" w:after="180" w:line="360" w:lineRule="auto"/>
        <w:ind w:firstLineChars="200" w:firstLine="440"/>
        <w:jc w:val="both"/>
        <w:rPr>
          <w:rStyle w:val="FootnoteReference"/>
          <w:rFonts w:ascii="Arial Narrow" w:eastAsia="仿宋_GB2312" w:hAnsi="Arial Narrow" w:cs="Arial"/>
        </w:rPr>
      </w:pPr>
      <w:r>
        <w:rPr>
          <w:rFonts w:ascii="Arial Narrow" w:eastAsia="仿宋_GB2312" w:hAnsi="Arial Narrow"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FootnoteReference"/>
          <w:rFonts w:ascii="Arial Narrow" w:eastAsia="仿宋_GB2312" w:hAnsi="Arial Narrow" w:cs="Arial"/>
          <w:sz w:val="22"/>
          <w:szCs w:val="22"/>
        </w:rPr>
        <w:footnoteReference w:id="12"/>
        <w:t/>
      </w:r>
    </w:p>
    <w:p w14:paraId="4EFD760C" w14:textId="04418A12" w:rsidR="004D1721" w:rsidRDefault="009B16BC">
      <w:pPr>
        <w:spacing w:beforeLines="50" w:before="180" w:afterLines="50" w:after="180" w:line="360" w:lineRule="auto"/>
        <w:ind w:firstLineChars="200" w:firstLine="44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2"/>
          <w:szCs w:val="22"/>
        </w:rPr>
        <w:t>评估期间，主要从事生产经营化妆品产品，其关联交易主要涉及关联购销，共计人民币295,427,614.07元。除此以外，评估期间，不涉及其他关联交易，我们将对的整体财务数据进行分析。</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rPr>
        <w:br w:type="page"/>
        <w:t/>
      </w:r>
    </w:p>
    <w:p w14:paraId="6CA6907C" w14:textId="77777777" w:rsidR="004D1721" w:rsidRDefault="009B16BC">
      <w:pPr>
        <w:pStyle w:val="Heading1"/>
        <w:rPr>
          <w:b/>
        </w:rPr>
      </w:pPr>
      <w:bookmarkStart w:id="586" w:name="_Toc140505131"/>
      <w:bookmarkStart w:id="587" w:name="_Toc53229084"/>
      <w:r>
        <w:lastRenderedPageBreak/>
        <w:t>功能和风险分析</w:t>
      </w:r>
      <w:bookmarkEnd w:id="586"/>
      <w:bookmarkEnd w:id="587"/>
    </w:p>
    <w:p w14:paraId="4D01D4FD" w14:textId="77777777" w:rsidR="004D1721" w:rsidRDefault="009B16BC">
      <w:pPr>
        <w:pStyle w:val="Heading2"/>
      </w:pPr>
      <w:bookmarkStart w:id="588" w:name="_Toc140505132"/>
      <w:bookmarkStart w:id="589" w:name="_Toc53229085"/>
      <w:r>
        <w:t>简介</w:t>
      </w:r>
      <w:bookmarkEnd w:id="588"/>
      <w:bookmarkEnd w:id="589"/>
    </w:p>
    <w:p w14:paraId="5A54D62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bookmarkStart w:id="590" w:name="_Toc48582988"/>
      <w:bookmarkStart w:id="591" w:name="_Toc48317267"/>
      <w:bookmarkStart w:id="592" w:name="_Toc48317265"/>
      <w:bookmarkStart w:id="593" w:name="_Toc48317149"/>
      <w:bookmarkStart w:id="594" w:name="_Toc48317150"/>
      <w:bookmarkStart w:id="595" w:name="_Toc48317266"/>
      <w:bookmarkStart w:id="596" w:name="_Toc48317269"/>
      <w:bookmarkStart w:id="597" w:name="_Toc48317451"/>
      <w:bookmarkStart w:id="598" w:name="_Toc48317268"/>
      <w:bookmarkStart w:id="599" w:name="_Toc48582985"/>
      <w:bookmarkStart w:id="600" w:name="_Toc48399589"/>
      <w:bookmarkStart w:id="601" w:name="_Toc48582574"/>
      <w:bookmarkStart w:id="602" w:name="_Toc48317450"/>
      <w:bookmarkStart w:id="603" w:name="_Toc48582986"/>
      <w:bookmarkStart w:id="604" w:name="_Toc48317454"/>
      <w:bookmarkStart w:id="605" w:name="_Toc48582572"/>
      <w:bookmarkStart w:id="606" w:name="_Toc48582575"/>
      <w:bookmarkStart w:id="607" w:name="_Toc48317452"/>
      <w:bookmarkStart w:id="608" w:name="_Toc48399592"/>
      <w:bookmarkStart w:id="609" w:name="_Toc48317147"/>
      <w:bookmarkStart w:id="610" w:name="_Toc48582573"/>
      <w:bookmarkStart w:id="611" w:name="_Toc48582984"/>
      <w:bookmarkStart w:id="612" w:name="_Toc48582571"/>
      <w:bookmarkStart w:id="613" w:name="_Toc48317453"/>
      <w:bookmarkStart w:id="614" w:name="_Toc48399588"/>
      <w:bookmarkStart w:id="615" w:name="_Toc48399591"/>
      <w:bookmarkStart w:id="616" w:name="_Toc48317148"/>
      <w:bookmarkStart w:id="617" w:name="_Toc48582987"/>
      <w:bookmarkStart w:id="618" w:name="_Toc48399590"/>
      <w:bookmarkStart w:id="619" w:name="_Toc48317146"/>
      <w:bookmarkStart w:id="620" w:name="_Toc48317151"/>
      <w:bookmarkStart w:id="621" w:name="_Toc48317455"/>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Pr>
          <w:rFonts w:ascii="Arial Narrow" w:eastAsia="仿宋_GB2312" w:hAnsi="Arial Narrow"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03A7C998"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企业及其关联方执行的主要功能（包括种类和频繁程度）；</w:t>
      </w:r>
    </w:p>
    <w:p w14:paraId="56ED8DA1"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 xml:space="preserve">企业及其关联方所承担的风险； </w:t>
      </w:r>
      <w:r>
        <w:rPr>
          <w:rFonts w:ascii="Arial Narrow" w:eastAsia="仿宋_GB2312" w:hAnsi="Arial Narrow" w:cs="Arial"/>
        </w:rPr>
        <w:t xml:space="preserve"/>
      </w:r>
    </w:p>
    <w:p w14:paraId="725F4947"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企业及其关联方所使用的资产（包括有形资产和无形资产）。</w:t>
      </w:r>
    </w:p>
    <w:p w14:paraId="4C8B294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在本报告的功能和风险分析部分，我们将对在受测关联交易中与其关联方之间形成的经济关系进行分析和评估。</w:t>
      </w:r>
    </w:p>
    <w:p w14:paraId="11BC0FDF" w14:textId="77777777" w:rsidR="004D1721" w:rsidRDefault="009B16BC">
      <w:pPr>
        <w:pStyle w:val="Heading2"/>
      </w:pPr>
      <w:bookmarkStart w:id="622" w:name="_Toc53229086"/>
      <w:bookmarkStart w:id="623" w:name="_Toc140505133"/>
      <w:r>
        <w:t>功能及风险分析</w:t>
      </w:r>
      <w:bookmarkEnd w:id="620"/>
      <w:bookmarkEnd w:id="621"/>
      <w:bookmarkEnd w:id="622"/>
      <w:bookmarkEnd w:id="623"/>
    </w:p>
    <w:p w14:paraId="76B98785" w14:textId="77777777" w:rsidR="004D1721" w:rsidRDefault="009B16BC">
      <w:pPr>
        <w:pStyle w:val="Heading3"/>
      </w:pPr>
      <w:bookmarkStart w:id="624" w:name="_Toc48317456"/>
      <w:bookmarkStart w:id="625" w:name="_Toc140505134"/>
      <w:bookmarkStart w:id="626" w:name="_Toc53229087"/>
      <w:r>
        <w:t>功能分析</w:t>
      </w:r>
      <w:bookmarkEnd w:id="624"/>
      <w:bookmarkEnd w:id="625"/>
      <w:bookmarkEnd w:id="626"/>
    </w:p>
    <w:p w14:paraId="4690EB4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此处我们将主要分析及其关联方各个业务部门在关联交易中所从事的业务活动，以及关联交易的各个参与方所执行的功能。</w:t>
      </w:r>
    </w:p>
    <w:p w14:paraId="409F0DA3" w14:textId="77777777" w:rsidR="004D1721" w:rsidRDefault="009B16BC">
      <w:pPr>
        <w:pStyle w:val="Heading4"/>
        <w:rPr>
          <w:b/>
          <w:bCs/>
        </w:rPr>
      </w:pPr>
      <w:r>
        <w:t>研发功能</w:t>
      </w:r>
    </w:p>
    <w:p w14:paraId="30DAEFF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研发功能包括研发活动的决策与实施、新产品的开发、现有产品的改进升级、生产工艺的开发或改进等活动。</w:t>
      </w:r>
    </w:p>
    <w:p w14:paraId="5A33E69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主要从事打样及针对原材料和产品质量方面进行改良，并没有从事实质的研发活动。Markwins集团的研发活动主要发生在Markwins集团母公司，各研发中心或团队都有相应的管理人员负责研发的发展战略、分配研发资源、监督研发运营并与商业运营联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20FF60" w14:textId="77777777"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因此，在评估期间承担有限的研发功能。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50F1D047" w14:textId="77777777" w:rsidR="004D1721" w:rsidRDefault="009B16BC">
      <w:pPr>
        <w:pStyle w:val="Heading4"/>
        <w:rPr>
          <w:b/>
          <w:bCs/>
        </w:rPr>
      </w:pPr>
      <w:r>
        <w:lastRenderedPageBreak/>
        <w:t>采购功能</w:t>
      </w:r>
    </w:p>
    <w:p w14:paraId="67D01BC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采购功能是指采购在生产过程中所需原材料和其他材料的活动。</w:t>
      </w:r>
    </w:p>
    <w:p w14:paraId="35C7191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的原材料大多是从境内第三方采购。负责对第三方供应商进行评估和选择。一般而言，公司在接到订单之后，将根据订单制定物料需求计划，然后根据物料需求计划，寻找适合的供应商并进行询价，经公司的各级部门主管核价后与供应商签订采购单。</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21A086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对于境外采购，境外供应商多数为大型化工企业，由Markwins US统一询价以期获得较低的价格。境外关联方Markwins HK和Markwins Pro Art从Markwins US选择的供应商中购入原材料后，以其实际采购价格平价卖给。由于这部分原材料的通用性较强，因此一般可根据销售预测购入。</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BC1461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对于所采购的原材料，负责抽样检验的工作，以确保其质量和规格符合既定的标准。因此，在评估期间执行采购功能。</w:t>
      </w:r>
    </w:p>
    <w:p w14:paraId="30AA9EB2" w14:textId="77777777" w:rsidR="004D1721" w:rsidRDefault="009B16BC">
      <w:pPr>
        <w:pStyle w:val="Heading4"/>
        <w:rPr>
          <w:b/>
          <w:bCs/>
        </w:rPr>
      </w:pPr>
      <w:r>
        <w:t>生产功能</w:t>
      </w:r>
    </w:p>
    <w:p w14:paraId="1C96F14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p>
    <w:p w14:paraId="65B3D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评估期间，根据来自Markwins HK和Markwins Pro Art的订单安排生产计划。Markwins HK和Markwins Pro Art负责监督和控制生产进度，与客户沟通以调整出货时间，并帮助合理安排生产计划。</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FC8F42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单支化妆品及化妆品礼盒主要工艺流程概括如下：</w:t>
      </w:r>
    </w:p>
    <w:p w14:paraId="1B4BAF19"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18922A1"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5025E71" w14:textId="691B1362"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图表16：主要产品工艺流程图</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p w14:paraId="06EDFABB" w14:textId="77777777" w:rsidR="004D1721" w:rsidRDefault="009B16BC" w:rsidP="005D08A5">
      <w:pPr>
        <w:spacing w:beforeLines="50" w:before="180" w:afterLines="50" w:after="180" w:line="360" w:lineRule="auto"/>
        <w:ind w:firstLineChars="200" w:firstLine="440"/>
        <w:jc w:val="center"/>
        <w:rPr>
          <w:rFonts w:ascii="Arial Narrow" w:eastAsia="仿宋_GB2312" w:hAnsi="Arial Narrow" w:cs="Arial"/>
          <w:sz w:val="22"/>
          <w:szCs w:val="22"/>
        </w:rPr>
      </w:pPr>
      <w:r w:rsidRPr="005D08A5">
        <w:rPr>
          <w:rFonts w:ascii="Arial Narrow" w:eastAsia="仿宋_GB2312" w:hAnsi="Arial Narrow" w:cs="Arial"/>
          <w:noProof/>
          <w:sz w:val="22"/>
          <w:szCs w:val="22"/>
        </w:rPr>
        <w:drawing>
          <wp:inline distT="0" distB="0" distL="114300" distR="114300">
            <wp:extent cx="4234815" cy="3455035"/>
            <wp:effectExtent l="0" t="0" r="1905" b="4445"/>
            <wp:docPr id="12"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icPr>
                  <pic:blipFill>
                    <a:blip r:embed="rId30"/>
                    <a:stretch>
                      <a:fillRect/>
                    </a:stretch>
                  </pic:blipFill>
                  <pic:spPr>
                    <a:xfrm>
                      <a:off x="0" y="0"/>
                      <a:ext cx="4234815" cy="3455035"/>
                    </a:xfrm>
                    <a:prstGeom prst="rect">
                      <a:avLst/>
                    </a:prstGeom>
                  </pic:spPr>
                </pic:pic>
              </a:graphicData>
            </a:graphic>
          </wp:inline>
        </w:drawing>
      </w:r>
    </w:p>
    <w:p w14:paraId="72B89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在实际生产中，一般直接将产成品运送出库，因此产成品的库存量较少。</w:t>
      </w:r>
    </w:p>
    <w:p w14:paraId="2F94CC9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因此，在评估期间执行生产功能。</w:t>
      </w:r>
    </w:p>
    <w:p w14:paraId="7A7A8629" w14:textId="77777777" w:rsidR="004D1721" w:rsidRDefault="009B16BC">
      <w:pPr>
        <w:pStyle w:val="Heading4"/>
      </w:pPr>
      <w:r>
        <w:t>质量控制功能</w:t>
      </w:r>
    </w:p>
    <w:p w14:paraId="4979DF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质量控制功能是指制订和实施产品质量标准的活动，包括对采购的原材料及辅助材料、在制品和产成品进行分析和检测等。</w:t>
      </w:r>
    </w:p>
    <w:p w14:paraId="636D43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根据国家制定的质量、安全和环保标准，以及ISO9001和ISO14001的标准制定产品和生产质量控制标准和质量控制流程。对原材料、产成品等均配有专门的检测设备和检测程序进行品质检测，以保证产品能符合相应的质量标准。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71BD44D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收到原材料后，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p>
    <w:p w14:paraId="0507871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因此，在评估期间执行质量控制功能。</w:t>
      </w:r>
    </w:p>
    <w:p w14:paraId="0CD71943" w14:textId="77777777" w:rsidR="004D1721" w:rsidRDefault="009B16BC">
      <w:pPr>
        <w:pStyle w:val="Heading4"/>
        <w:rPr>
          <w:b/>
          <w:bCs/>
        </w:rPr>
      </w:pPr>
      <w:r>
        <w:t>库存管理功能</w:t>
      </w:r>
    </w:p>
    <w:p w14:paraId="32F0DB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627" w:name="_Toc489951948"/>
      <w:bookmarkStart w:id="628" w:name="_Toc49961788"/>
      <w:bookmarkStart w:id="629" w:name="_Toc49961799"/>
      <w:bookmarkStart w:id="630" w:name="_Toc50039086"/>
      <w:bookmarkStart w:id="631" w:name="_Toc50039067"/>
      <w:bookmarkStart w:id="632" w:name="_Toc50477823"/>
      <w:bookmarkStart w:id="633" w:name="_Toc50039076"/>
      <w:bookmarkStart w:id="634" w:name="_Toc50039075"/>
      <w:bookmarkStart w:id="635" w:name="_Toc50477830"/>
      <w:bookmarkStart w:id="636" w:name="_Toc49961804"/>
      <w:bookmarkStart w:id="637" w:name="_Toc50477824"/>
      <w:bookmarkStart w:id="638" w:name="_Toc49961802"/>
      <w:bookmarkStart w:id="639" w:name="_Toc49961810"/>
      <w:bookmarkStart w:id="640" w:name="_Toc50039085"/>
      <w:bookmarkStart w:id="641" w:name="_Toc50477815"/>
      <w:bookmarkStart w:id="642" w:name="_Toc50039068"/>
      <w:bookmarkStart w:id="643" w:name="_Toc50477825"/>
      <w:bookmarkStart w:id="644" w:name="_Toc49961791"/>
      <w:bookmarkStart w:id="645" w:name="_Toc50477832"/>
      <w:bookmarkStart w:id="646" w:name="_Toc50039079"/>
      <w:bookmarkStart w:id="647" w:name="_Toc50477819"/>
      <w:bookmarkStart w:id="648" w:name="_Toc50039088"/>
      <w:bookmarkStart w:id="649" w:name="_Toc50477820"/>
      <w:bookmarkStart w:id="650" w:name="_Toc50039083"/>
      <w:bookmarkStart w:id="651" w:name="_Toc49961793"/>
      <w:bookmarkStart w:id="652" w:name="_Toc49961809"/>
      <w:bookmarkStart w:id="653" w:name="_Toc49961794"/>
      <w:bookmarkStart w:id="654" w:name="_Toc50039090"/>
      <w:bookmarkStart w:id="655" w:name="_Toc489951950"/>
      <w:bookmarkStart w:id="656" w:name="_Toc49961808"/>
      <w:bookmarkStart w:id="657" w:name="_Toc49961792"/>
      <w:bookmarkStart w:id="658" w:name="_Toc49961805"/>
      <w:bookmarkStart w:id="659" w:name="_Toc50477827"/>
      <w:bookmarkStart w:id="660" w:name="_Toc50477831"/>
      <w:bookmarkStart w:id="661" w:name="_Toc50039081"/>
      <w:bookmarkStart w:id="662" w:name="_Toc50039084"/>
      <w:bookmarkStart w:id="663" w:name="_Toc49961790"/>
      <w:bookmarkStart w:id="664" w:name="_Toc50039082"/>
      <w:bookmarkStart w:id="665" w:name="_Toc49961800"/>
      <w:bookmarkStart w:id="666" w:name="_Toc49961786"/>
      <w:bookmarkStart w:id="667" w:name="_Toc50477836"/>
      <w:bookmarkStart w:id="668" w:name="_Toc50039091"/>
      <w:bookmarkStart w:id="669" w:name="_Toc489951955"/>
      <w:bookmarkStart w:id="670" w:name="_Toc50477829"/>
      <w:bookmarkStart w:id="671" w:name="_Toc50477834"/>
      <w:bookmarkStart w:id="672" w:name="_Toc50477816"/>
      <w:bookmarkStart w:id="673" w:name="_Toc50477835"/>
      <w:bookmarkStart w:id="674" w:name="_Toc50477838"/>
      <w:bookmarkStart w:id="675" w:name="_Toc49961787"/>
      <w:bookmarkStart w:id="676" w:name="_Toc50039070"/>
      <w:bookmarkStart w:id="677" w:name="_Toc50039074"/>
      <w:bookmarkStart w:id="678" w:name="_Toc49961806"/>
      <w:bookmarkStart w:id="679" w:name="_Toc50477818"/>
      <w:bookmarkStart w:id="680" w:name="_Toc50477837"/>
      <w:bookmarkStart w:id="681" w:name="_Toc50477839"/>
      <w:bookmarkStart w:id="682" w:name="_Toc50477833"/>
      <w:bookmarkStart w:id="683" w:name="_Toc49961795"/>
      <w:bookmarkStart w:id="684" w:name="_Toc49961798"/>
      <w:bookmarkStart w:id="685" w:name="_Toc489951939"/>
      <w:bookmarkStart w:id="686" w:name="_Toc49961789"/>
      <w:bookmarkStart w:id="687" w:name="_Toc50039089"/>
      <w:bookmarkStart w:id="688" w:name="_Toc49961785"/>
      <w:bookmarkStart w:id="689" w:name="_Toc49961801"/>
      <w:bookmarkStart w:id="690" w:name="_Toc50477817"/>
      <w:bookmarkStart w:id="691" w:name="_Toc50477814"/>
      <w:bookmarkStart w:id="692" w:name="_Toc50477828"/>
      <w:bookmarkStart w:id="693" w:name="_Toc50039066"/>
      <w:bookmarkStart w:id="694" w:name="_Toc49961797"/>
      <w:bookmarkStart w:id="695" w:name="_Toc50039087"/>
      <w:bookmarkStart w:id="696" w:name="_Toc49961807"/>
      <w:bookmarkStart w:id="697" w:name="_Toc489951951"/>
      <w:bookmarkStart w:id="698" w:name="_Toc50477821"/>
      <w:bookmarkStart w:id="699" w:name="_Toc49961803"/>
      <w:bookmarkStart w:id="700" w:name="_Toc50039080"/>
      <w:bookmarkStart w:id="701" w:name="_Toc50039069"/>
      <w:bookmarkStart w:id="702" w:name="_Toc50039071"/>
      <w:bookmarkStart w:id="703" w:name="_Toc49961796"/>
      <w:bookmarkStart w:id="704" w:name="_Toc50039072"/>
      <w:bookmarkStart w:id="705" w:name="_Toc50477826"/>
      <w:bookmarkStart w:id="706" w:name="_Toc489951938"/>
      <w:bookmarkStart w:id="707" w:name="_Toc50039077"/>
      <w:bookmarkStart w:id="708" w:name="_Toc489951949"/>
      <w:bookmarkStart w:id="709" w:name="_Toc50039078"/>
      <w:bookmarkStart w:id="710" w:name="_Toc50039073"/>
      <w:bookmarkStart w:id="711" w:name="_Toc50477822"/>
      <w:bookmarkStart w:id="712" w:name="_Toc4831745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r>
        <w:rPr>
          <w:rFonts w:ascii="Arial Narrow" w:eastAsia="仿宋_GB2312" w:hAnsi="Arial Narrow" w:cs="Arial"/>
          <w:sz w:val="22"/>
          <w:szCs w:val="22"/>
        </w:rPr>
        <w:t>库存管理功能是指对存货水平（包括原材料、半成品和产成品）进行管理和控制，以降低存货成本并提高生产经营效率的活动。</w:t>
      </w:r>
    </w:p>
    <w:p w14:paraId="5D303DF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 在产成品方面，由于按照销售订单进行生产，产成品会在较短时间内运往客户，所以的产成品存货量较少。</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EC56CB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因此，在评估期间执行库存管理功能。</w:t>
      </w:r>
    </w:p>
    <w:p w14:paraId="16E98A38" w14:textId="77777777" w:rsidR="004D1721" w:rsidRDefault="009B16BC">
      <w:pPr>
        <w:pStyle w:val="Heading4"/>
        <w:rPr>
          <w:b/>
          <w:bCs/>
        </w:rPr>
      </w:pPr>
      <w:r>
        <w:t>物流功能</w:t>
      </w:r>
    </w:p>
    <w:p w14:paraId="18684DF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74843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通过关联方或第三方供应商所采购的原材料。一般情况下，由原材料的供应商负责把原材料运输至，并由其安排运输计划。国外采购物料通常由承担运输费用，而国内采购物料则由供应商承担运输费用。</w:t>
      </w:r>
    </w:p>
    <w:p w14:paraId="10054159" w14:textId="4EC3783C"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的产成品90%以上销售给Markwins HK和Markwins Pro Art，并由协助安排船运，运输费用由Markwins HK和Markwins Pro Art承担。境内关联销售的采取自提的形式。</w:t>
      </w:r>
      <w:r w:rsidR="00FD22CF">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4A8B366"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因此，在评估期间执行物流功能。</w:t>
      </w:r>
    </w:p>
    <w:p w14:paraId="46F70F25" w14:textId="77777777" w:rsidR="004D1721" w:rsidRDefault="009B16BC">
      <w:pPr>
        <w:pStyle w:val="Heading4"/>
        <w:rPr>
          <w:b/>
          <w:bCs/>
        </w:rPr>
      </w:pPr>
      <w:r>
        <w:lastRenderedPageBreak/>
        <w:t>市场营销功能</w:t>
      </w:r>
    </w:p>
    <w:p w14:paraId="0F0CD60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p>
    <w:p w14:paraId="7A7BD7B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的境外关联方承担主要的市场营销功能。Markwins集团的市场营销方式主要为在杂志，报纸传单，相关出版物和社交媒体上刊登广告。此外，Markwins 集团还通过提供优惠券、赞助娱乐活动，并让影视名人为其系列化妆品代言的方式进行营销。Markwins 集团将其营销活动的重点放在一年中的特殊时段，例如在返校期间进行青年产品促销活动和冬季节日期间提供季节性礼品。</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0F1CA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在评估期间不执行市场营销功能。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6ACC4EFF" w14:textId="77777777" w:rsidR="004D1721" w:rsidRDefault="009B16BC">
      <w:pPr>
        <w:pStyle w:val="Heading4"/>
        <w:rPr>
          <w:b/>
          <w:bCs/>
        </w:rPr>
      </w:pPr>
      <w:r>
        <w:t>销售功能</w:t>
      </w:r>
    </w:p>
    <w:p w14:paraId="3AFF7C5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销售功能是指与客户进行协商，签订合同并将产品卖给该客户的行为。</w:t>
      </w:r>
    </w:p>
    <w:p w14:paraId="7652824D" w14:textId="364C78B3" w:rsidR="004D1721" w:rsidRDefault="00FD22CF">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少量境内的非关联客户，由负责开拓和维护；其他境内及境外客户的销售在关联方的主导和的参与下共同完成。的境外关联方负责主要的客户沟通和洽谈，而则会向境外关联方提供产品的生产成本单价等信息，为销售提供价格方面的支持信息，参与部分销售价格协商。</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p>
    <w:p w14:paraId="565DBC9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因此，在评估期间执行有限的销售功能。</w:t>
      </w:r>
    </w:p>
    <w:p w14:paraId="6519713B" w14:textId="77777777" w:rsidR="004D1721" w:rsidRDefault="009B16BC">
      <w:pPr>
        <w:pStyle w:val="Heading4"/>
      </w:pPr>
      <w:r>
        <w:t>售后服务功能</w:t>
      </w:r>
    </w:p>
    <w:p w14:paraId="1C19C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售后服务功能包括指导客户进行产品的保养和维修和提供技术支持和产品售后服务等。</w:t>
      </w:r>
    </w:p>
    <w:p w14:paraId="23CD67C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在评估期间，作为的生产商，并不直接面向终端客户。将生产的成品销售给关联分销商，并由上述分销商进行售后服务。</w:t>
      </w:r>
    </w:p>
    <w:p w14:paraId="1A133A9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仅在极少量非关联销售中承担售后服务功能。</w:t>
      </w:r>
    </w:p>
    <w:p w14:paraId="6EBAE7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因此，实际执行有限的售后服务功能。</w:t>
      </w:r>
    </w:p>
    <w:p w14:paraId="135D76DB" w14:textId="77777777" w:rsidR="004D1721" w:rsidRDefault="009B16BC">
      <w:pPr>
        <w:pStyle w:val="Heading4"/>
        <w:rPr>
          <w:b/>
          <w:bCs/>
        </w:rPr>
      </w:pPr>
      <w:r>
        <w:t>一般行政管理功能</w:t>
      </w:r>
    </w:p>
    <w:p w14:paraId="03A56F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行政管理指企业日常的经营管理活动（如人事、信息系统等）。</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CAC8CB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负责管理自身的日常职能，包括会计，财务，预算和计划，税务申报和人力资源。</w:t>
      </w:r>
    </w:p>
    <w:p w14:paraId="029FCA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因此，在评估期间执行一般行政功能。</w:t>
      </w:r>
      <w:bookmarkEnd w:id="712"/>
    </w:p>
    <w:p w14:paraId="4715941B" w14:textId="77777777" w:rsidR="004D1721" w:rsidRDefault="009B16BC">
      <w:pPr>
        <w:pStyle w:val="Heading3"/>
        <w:rPr>
          <w:b/>
          <w:bCs/>
        </w:rPr>
      </w:pPr>
      <w:bookmarkStart w:id="713" w:name="_Toc53229088"/>
      <w:bookmarkStart w:id="714" w:name="_Toc140505135"/>
      <w:r>
        <w:t>风险分析</w:t>
      </w:r>
      <w:bookmarkEnd w:id="713"/>
      <w:bookmarkEnd w:id="714"/>
    </w:p>
    <w:p w14:paraId="21DFA07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和其关联方在受测关联交易中所承担的风险。</w:t>
      </w:r>
    </w:p>
    <w:p w14:paraId="1B1A9DE4" w14:textId="77777777" w:rsidR="004D1721" w:rsidRDefault="009B16BC">
      <w:pPr>
        <w:pStyle w:val="Heading4"/>
        <w:rPr>
          <w:b/>
          <w:bCs/>
        </w:rPr>
      </w:pPr>
      <w:r>
        <w:t>研发风险</w:t>
      </w:r>
    </w:p>
    <w:p w14:paraId="6727E5F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00ADAF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评估期间，并不从事实质的产品研发活动，因此几乎不承担研发方面的风险。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222C4D16" w14:textId="77777777" w:rsidR="004D1721" w:rsidRDefault="009B16BC">
      <w:pPr>
        <w:pStyle w:val="Heading4"/>
      </w:pPr>
      <w:bookmarkStart w:id="715" w:name="_Hlk50650070"/>
      <w:r>
        <w:t>生产风险</w:t>
      </w:r>
      <w:bookmarkEnd w:id="715"/>
    </w:p>
    <w:p w14:paraId="18960C7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6" w:name="_Hlk50650011"/>
      <w:r>
        <w:rPr>
          <w:rFonts w:ascii="Arial Narrow" w:eastAsia="仿宋_GB2312" w:hAnsi="Arial Narrow"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4F696E3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评估期间，由于在交易中所有生产功能由执行，承担原材料成本、劳动力成本波动以及产能利用率低等生产风险。</w:t>
      </w:r>
      <w:bookmarkEnd w:id="716"/>
    </w:p>
    <w:p w14:paraId="1AB6E80D" w14:textId="77777777" w:rsidR="004D1721" w:rsidRDefault="009B16BC">
      <w:pPr>
        <w:pStyle w:val="Heading4"/>
      </w:pPr>
      <w:r>
        <w:t>存货风险</w:t>
      </w:r>
    </w:p>
    <w:p w14:paraId="75F0F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7" w:name="_Hlk50650018"/>
      <w:r>
        <w:rPr>
          <w:rFonts w:ascii="Arial Narrow" w:eastAsia="仿宋_GB2312" w:hAnsi="Arial Narrow" w:cs="Arial"/>
          <w:sz w:val="22"/>
          <w:szCs w:val="22"/>
        </w:rPr>
        <w:t>存货风险指存货过多或过少而造成的损失，以及存货毁损而无法正常使用风险。损失包括存货报废、缩水，或由于市场低迷造成产品亏本销售。</w:t>
      </w:r>
    </w:p>
    <w:p w14:paraId="38BDB76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而言，国内采购的原材料存货风险主要由承担，国外进口的原材料存货风险则由关联方/供应商承担。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r>
        <w:rPr>
          <w:rFonts w:ascii="Arial Narrow" w:eastAsia="仿宋_GB2312" w:hAnsi="Arial Narrow" w:cs="Arial"/>
          <w:sz w:val="22"/>
          <w:szCs w:val="22"/>
        </w:rPr>
        <w:t/>
      </w:r>
      <w:r>
        <w:rPr>
          <w:rFonts w:ascii="Arial Narrow" w:eastAsia="仿宋_GB2312" w:hAnsi="Arial Narrow" w:cs="Arial"/>
          <w:sz w:val="22"/>
          <w:szCs w:val="22"/>
        </w:rPr>
        <w:t/>
      </w:r>
    </w:p>
    <w:p w14:paraId="6130D26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产成品与半成品方面，由于的产品主要销售给关联方，并根据销售订单进行生产，因此基本不会出现大量产成品积压的情况。在评估期间承担原材料存货风险和一定的产成品的存货风险。</w:t>
      </w:r>
      <w:r>
        <w:rPr>
          <w:rFonts w:ascii="Arial Narrow" w:eastAsia="仿宋_GB2312" w:hAnsi="Arial Narrow" w:cs="Arial" w:hint="eastAsia"/>
          <w:sz w:val="22"/>
          <w:szCs w:val="22"/>
        </w:rPr>
        <w:t/>
      </w:r>
      <w:r>
        <w:rPr>
          <w:rFonts w:ascii="Arial Narrow" w:eastAsia="仿宋_GB2312" w:hAnsi="Arial Narrow" w:cs="Arial"/>
          <w:sz w:val="22"/>
          <w:szCs w:val="22"/>
        </w:rPr>
        <w:t/>
      </w:r>
      <w:bookmarkEnd w:id="717"/>
    </w:p>
    <w:p w14:paraId="29040B1D" w14:textId="77777777" w:rsidR="004D1721" w:rsidRDefault="009B16BC">
      <w:pPr>
        <w:pStyle w:val="Heading4"/>
      </w:pPr>
      <w:r>
        <w:t>产品责任风险</w:t>
      </w:r>
    </w:p>
    <w:p w14:paraId="1B2B27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8" w:name="_Toc489952497"/>
      <w:bookmarkStart w:id="719" w:name="_Toc489952388"/>
      <w:bookmarkStart w:id="720" w:name="_Toc489952496"/>
      <w:bookmarkStart w:id="721" w:name="_Toc489952389"/>
      <w:bookmarkStart w:id="722" w:name="_Toc489952386"/>
      <w:bookmarkStart w:id="723" w:name="_Toc489952387"/>
      <w:bookmarkStart w:id="724" w:name="_Toc489952495"/>
      <w:bookmarkStart w:id="725" w:name="_Toc489952393"/>
      <w:bookmarkStart w:id="726" w:name="_Toc489952501"/>
      <w:bookmarkStart w:id="727" w:name="_Toc48317152"/>
      <w:bookmarkStart w:id="728" w:name="_Toc48317458"/>
      <w:bookmarkEnd w:id="718"/>
      <w:bookmarkEnd w:id="719"/>
      <w:bookmarkEnd w:id="720"/>
      <w:bookmarkEnd w:id="721"/>
      <w:bookmarkEnd w:id="722"/>
      <w:bookmarkEnd w:id="723"/>
      <w:bookmarkEnd w:id="724"/>
      <w:bookmarkEnd w:id="725"/>
      <w:bookmarkEnd w:id="726"/>
      <w:r>
        <w:rPr>
          <w:rFonts w:ascii="Arial Narrow" w:eastAsia="仿宋_GB2312" w:hAnsi="Arial Narrow" w:cs="Arial"/>
          <w:sz w:val="22"/>
          <w:szCs w:val="22"/>
        </w:rPr>
        <w:t>产品责任风险是指一个公司的产品未达到预期标准，而相应承担的赔偿责任或名誉受损的风险。</w:t>
      </w:r>
    </w:p>
    <w:p w14:paraId="619C525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如果所生产销售的产品出现质量问题，需要承担相应责任并支付与此相关的费用。在实际生产经营中，对产品实行严格的质量检测与控制，产品的不良品率较低，因为在评估期间承担一定的产品责任风险。</w:t>
      </w:r>
    </w:p>
    <w:p w14:paraId="45106B76" w14:textId="77777777" w:rsidR="004D1721" w:rsidRDefault="009B16BC">
      <w:pPr>
        <w:pStyle w:val="Heading4"/>
      </w:pPr>
      <w:r>
        <w:t>市场风险</w:t>
      </w:r>
    </w:p>
    <w:p w14:paraId="21F778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市场风险是指由于市场竞争加剧、市场需求状况不利、无法开发市场或无法定位产品以服务目标客户而面临不利的销售状况。</w:t>
      </w:r>
    </w:p>
    <w:p w14:paraId="2DC7E01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根据关联方的订单进行生产活动，如果市场上对相关的产品需求量下降，的订单数量会相应减少。这将可能导致的固定成本比如租金、折旧、其他行政管理费用无法得到补偿。这部分闲置成本将由自行承担。</w:t>
      </w:r>
    </w:p>
    <w:p w14:paraId="67ED31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因此，评估期间，承担一定的市场风险。</w:t>
      </w:r>
    </w:p>
    <w:p w14:paraId="117F468B" w14:textId="77777777" w:rsidR="004D1721" w:rsidRDefault="009B16BC">
      <w:pPr>
        <w:pStyle w:val="Heading4"/>
      </w:pPr>
      <w:r>
        <w:t>信用风险</w:t>
      </w:r>
    </w:p>
    <w:p w14:paraId="5AC20A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信用风险指在先交货（或先提供劳务）后付款的情况下，销售方（或劳务提供方）在未来有可能不能如期或全额收到货款，相应的风险便是信用风险。其主要取决于两个因素：客户的信用度和应收账款的数额。</w:t>
      </w:r>
    </w:p>
    <w:p w14:paraId="6111201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评估期间，的产成品90%以上销售给关联方，因此不承担信用风险；在向非关联方销售产品时，会承担全部信用风险。</w:t>
      </w:r>
      <w:r>
        <w:rPr>
          <w:rFonts w:ascii="Arial Narrow" w:eastAsia="仿宋_GB2312" w:hAnsi="Arial Narrow" w:cs="Arial"/>
          <w:sz w:val="22"/>
          <w:szCs w:val="22"/>
        </w:rPr>
        <w:t/>
      </w:r>
      <w:r>
        <w:rPr>
          <w:rFonts w:ascii="Arial Narrow" w:eastAsia="仿宋_GB2312" w:hAnsi="Arial Narrow" w:cs="Arial"/>
          <w:sz w:val="22"/>
          <w:szCs w:val="22"/>
        </w:rPr>
        <w:t/>
      </w:r>
    </w:p>
    <w:p w14:paraId="69089AB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因此，评估期间，承担有限的信用风险。</w:t>
      </w:r>
    </w:p>
    <w:p w14:paraId="0A25786B" w14:textId="77777777" w:rsidR="004D1721" w:rsidRDefault="009B16BC">
      <w:pPr>
        <w:pStyle w:val="Heading4"/>
      </w:pPr>
      <w:r>
        <w:t>汇率风险</w:t>
      </w:r>
    </w:p>
    <w:p w14:paraId="5A894AF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公司在使用非本位币进行国际交易结算时，由于汇率的变化可能遭受的损失即为汇率风险。</w:t>
      </w:r>
    </w:p>
    <w:p w14:paraId="600E5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的部分原材料采购为境外采购，采购款以外币结算，而记账本位币是人民币。</w:t>
      </w:r>
    </w:p>
    <w:p w14:paraId="21F2C76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因此，评估期间，实际承担外汇风险。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79D93FFD" w14:textId="77777777" w:rsidR="004D1721" w:rsidRDefault="009B16BC">
      <w:pPr>
        <w:pStyle w:val="Heading2"/>
      </w:pPr>
      <w:bookmarkStart w:id="729" w:name="_Toc140505136"/>
      <w:bookmarkStart w:id="730" w:name="_Toc53229089"/>
      <w:r>
        <w:t>资产分析</w:t>
      </w:r>
      <w:bookmarkEnd w:id="727"/>
      <w:bookmarkEnd w:id="728"/>
      <w:bookmarkEnd w:id="729"/>
      <w:bookmarkEnd w:id="730"/>
    </w:p>
    <w:p w14:paraId="1E78D1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1" w:name="_Toc48317459"/>
      <w:r>
        <w:rPr>
          <w:rFonts w:ascii="Arial Narrow" w:eastAsia="仿宋_GB2312" w:hAnsi="Arial Narrow" w:cs="Arial"/>
          <w:sz w:val="22"/>
          <w:szCs w:val="22"/>
        </w:rPr>
        <w:t>本节描述了评估期间，及其关联方在受测关联交易中所使用的资产。</w:t>
      </w:r>
      <w:bookmarkEnd w:id="731"/>
    </w:p>
    <w:p w14:paraId="1BFFBC3F" w14:textId="77777777" w:rsidR="004D1721" w:rsidRDefault="009B16BC">
      <w:pPr>
        <w:pStyle w:val="Heading3"/>
        <w:rPr>
          <w:b/>
          <w:bCs/>
        </w:rPr>
      </w:pPr>
      <w:bookmarkStart w:id="732" w:name="_Toc53229090"/>
      <w:bookmarkStart w:id="733" w:name="_Toc140505137"/>
      <w:r>
        <w:lastRenderedPageBreak/>
        <w:t>有形资产</w:t>
      </w:r>
      <w:bookmarkEnd w:id="732"/>
      <w:bookmarkEnd w:id="733"/>
    </w:p>
    <w:p w14:paraId="3CE5815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4" w:name="_Hlk50650154"/>
      <w:r>
        <w:rPr>
          <w:rFonts w:ascii="Arial Narrow" w:eastAsia="仿宋_GB2312" w:hAnsi="Arial Narrow" w:cs="Arial"/>
          <w:sz w:val="22"/>
          <w:szCs w:val="22"/>
        </w:rPr>
        <w:t>拥有生产和测试所需的机器设备、运输设备、电子设备、办公及其他设备和生产工具等有形资产所有权。与同行业的其他公司相比，拥有的有形资产水平没有显著差异。</w:t>
      </w:r>
      <w:bookmarkEnd w:id="734"/>
    </w:p>
    <w:p w14:paraId="4BA0F41A" w14:textId="77777777" w:rsidR="004D1721" w:rsidRDefault="009B16BC">
      <w:pPr>
        <w:pStyle w:val="Heading3"/>
        <w:rPr>
          <w:b/>
          <w:bCs/>
        </w:rPr>
      </w:pPr>
      <w:bookmarkStart w:id="735" w:name="_Toc53229091"/>
      <w:bookmarkStart w:id="736" w:name="_Toc140505138"/>
      <w:r>
        <w:t xml:space="preserve">无形资产 </w:t>
      </w:r>
      <w:bookmarkEnd w:id="735"/>
      <w:bookmarkEnd w:id="736"/>
      <w:r>
        <w:t xml:space="preserve"/>
      </w:r>
    </w:p>
    <w:p w14:paraId="78C154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2BC3337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不拥有任何非常规的无形资产。</w:t>
      </w:r>
      <w:r>
        <w:rPr>
          <w:rFonts w:ascii="Arial Narrow" w:eastAsia="仿宋_GB2312" w:hAnsi="Arial Narrow" w:cs="Arial" w:hint="eastAsia"/>
          <w:sz w:val="22"/>
          <w:szCs w:val="22"/>
        </w:rPr>
        <w:t/>
      </w:r>
      <w:r>
        <w:rPr>
          <w:rFonts w:ascii="Arial Narrow" w:eastAsia="仿宋_GB2312" w:hAnsi="Arial Narrow" w:cs="Arial"/>
          <w:sz w:val="22"/>
          <w:szCs w:val="22"/>
        </w:rPr>
        <w:t/>
      </w:r>
    </w:p>
    <w:p w14:paraId="7A996E75" w14:textId="77777777" w:rsidR="004D1721" w:rsidRDefault="009B16BC">
      <w:pPr>
        <w:pStyle w:val="Heading2"/>
        <w:rPr>
          <w:b/>
          <w:bCs/>
        </w:rPr>
      </w:pPr>
      <w:bookmarkStart w:id="737" w:name="_Toc154394529"/>
      <w:bookmarkStart w:id="738" w:name="_Toc154394611"/>
      <w:bookmarkStart w:id="739" w:name="_Toc85042571"/>
      <w:bookmarkStart w:id="740" w:name="_Toc154394609"/>
      <w:bookmarkStart w:id="741" w:name="_Toc85557706"/>
      <w:bookmarkStart w:id="742" w:name="_Toc85042574"/>
      <w:bookmarkStart w:id="743" w:name="_Toc85557708"/>
      <w:bookmarkStart w:id="744" w:name="_Toc85622940"/>
      <w:bookmarkStart w:id="745" w:name="_Toc85042573"/>
      <w:bookmarkStart w:id="746" w:name="_Toc154394537"/>
      <w:bookmarkStart w:id="747" w:name="_Toc154394604"/>
      <w:bookmarkStart w:id="748" w:name="_Toc85557711"/>
      <w:bookmarkStart w:id="749" w:name="_Toc489952546"/>
      <w:bookmarkStart w:id="750" w:name="_Toc154394601"/>
      <w:bookmarkStart w:id="751" w:name="_Toc85042570"/>
      <w:bookmarkStart w:id="752" w:name="_Toc154394612"/>
      <w:bookmarkStart w:id="753" w:name="_Toc85557707"/>
      <w:bookmarkStart w:id="754" w:name="_Toc85557576"/>
      <w:bookmarkStart w:id="755" w:name="_Toc154394549"/>
      <w:bookmarkStart w:id="756" w:name="_Toc154394540"/>
      <w:bookmarkStart w:id="757" w:name="_Toc85042572"/>
      <w:bookmarkStart w:id="758" w:name="_Toc154394539"/>
      <w:bookmarkStart w:id="759" w:name="_Toc85557577"/>
      <w:bookmarkStart w:id="760" w:name="_Toc154394602"/>
      <w:bookmarkStart w:id="761" w:name="_Toc85557710"/>
      <w:bookmarkStart w:id="762" w:name="_Toc85042569"/>
      <w:bookmarkStart w:id="763" w:name="_Toc85557574"/>
      <w:bookmarkStart w:id="764" w:name="_Toc154394621"/>
      <w:bookmarkStart w:id="765" w:name="_Toc85622942"/>
      <w:bookmarkStart w:id="766" w:name="_Toc85557578"/>
      <w:bookmarkStart w:id="767" w:name="_Toc85622945"/>
      <w:bookmarkStart w:id="768" w:name="_Toc85622941"/>
      <w:bookmarkStart w:id="769" w:name="_Toc85557709"/>
      <w:bookmarkStart w:id="770" w:name="_Toc85622944"/>
      <w:bookmarkStart w:id="771" w:name="_Toc154394600"/>
      <w:bookmarkStart w:id="772" w:name="_Toc85557573"/>
      <w:bookmarkStart w:id="773" w:name="_Toc85622943"/>
      <w:bookmarkStart w:id="774" w:name="_Toc154394528"/>
      <w:bookmarkStart w:id="775" w:name="_Toc154394530"/>
      <w:bookmarkStart w:id="776" w:name="_Toc85557575"/>
      <w:bookmarkStart w:id="777" w:name="_Toc154394532"/>
      <w:bookmarkStart w:id="778" w:name="_Toc140505139"/>
      <w:bookmarkStart w:id="779" w:name="_Toc5322909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t>小结</w:t>
      </w:r>
      <w:bookmarkEnd w:id="261"/>
      <w:bookmarkEnd w:id="778"/>
      <w:bookmarkEnd w:id="779"/>
    </w:p>
    <w:p w14:paraId="6B2F7ABC" w14:textId="77777777" w:rsidR="004D1721" w:rsidRDefault="009B16BC">
      <w:pPr>
        <w:adjustRightInd w:val="0"/>
        <w:snapToGrid w:val="0"/>
        <w:spacing w:before="240" w:after="240"/>
        <w:ind w:firstLine="475"/>
        <w:jc w:val="both"/>
        <w:rPr>
          <w:rFonts w:ascii="Arial Narrow" w:eastAsia="仿宋_GB2312" w:hAnsi="Arial Narrow" w:cs="Arial"/>
          <w:sz w:val="22"/>
          <w:szCs w:val="22"/>
        </w:rPr>
      </w:pPr>
      <w:r>
        <w:rPr>
          <w:rFonts w:ascii="Arial Narrow" w:eastAsia="仿宋_GB2312" w:hAnsi="Arial Narrow" w:cs="Arial"/>
          <w:sz w:val="22"/>
          <w:szCs w:val="22"/>
        </w:rPr>
        <w:t>评估期间，承担的主要功能和风险，以及拥有的资产总结如下：</w:t>
      </w:r>
    </w:p>
    <w:p w14:paraId="17845E6F" w14:textId="77777777" w:rsidR="004D1721" w:rsidRDefault="009B16BC">
      <w:pPr>
        <w:pStyle w:val="10"/>
        <w:numPr>
          <w:ilvl w:val="0"/>
          <w:numId w:val="28"/>
        </w:numPr>
        <w:spacing w:beforeLines="50" w:before="180" w:afterLines="50" w:after="180" w:line="360" w:lineRule="auto"/>
        <w:ind w:right="113"/>
        <w:contextualSpacing w:val="0"/>
        <w:jc w:val="both"/>
        <w:rPr>
          <w:rFonts w:ascii="Arial Narrow" w:eastAsia="仿宋_GB2312" w:hAnsi="Arial Narrow" w:cs="Arial"/>
        </w:rPr>
      </w:pPr>
      <w:r>
        <w:rPr>
          <w:rFonts w:ascii="Arial Narrow" w:eastAsia="仿宋_GB2312" w:hAnsi="Arial Narrow" w:cs="Arial"/>
        </w:rPr>
        <w:t>执行有限的研发、生产、采购、质量控制、库存管理、物流、有限的销售、有限的售后服务和一般行政管理的功能；主要承担生产风险、存货风险、市场风险、有限的信用风险、汇率风险；从功能和风险分析应归为承担一定功能及风险的合约生产制造商。</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4C277D99" w14:textId="77777777" w:rsidR="004D1721" w:rsidRDefault="009B16BC">
      <w:pPr>
        <w:pStyle w:val="10"/>
        <w:numPr>
          <w:ilvl w:val="0"/>
          <w:numId w:val="28"/>
        </w:numPr>
        <w:adjustRightInd w:val="0"/>
        <w:snapToGrid w:val="0"/>
        <w:spacing w:beforeLines="50" w:before="180" w:afterLines="50" w:after="180" w:line="360" w:lineRule="auto"/>
        <w:ind w:right="113"/>
        <w:contextualSpacing w:val="0"/>
        <w:jc w:val="both"/>
        <w:rPr>
          <w:rFonts w:ascii="Arial Narrow" w:eastAsia="仿宋_GB2312" w:hAnsi="Arial Narrow" w:cs="Arial"/>
          <w:kern w:val="24"/>
        </w:rPr>
      </w:pPr>
      <w:r>
        <w:rPr>
          <w:rFonts w:ascii="Arial Narrow" w:eastAsia="仿宋_GB2312" w:hAnsi="Arial Narrow" w:cs="Arial"/>
        </w:rPr>
        <w:t>此外，拥有全部的生产和测试所需的有形资产，不拥有技术专利及品牌等有价值的无形资产。</w:t>
      </w:r>
      <w:bookmarkEnd w:id="235"/>
      <w:bookmarkEnd w:id="236"/>
    </w:p>
    <w:p w14:paraId="67B7B2F8" w14:textId="77777777" w:rsidR="004D1721" w:rsidRDefault="004D1721">
      <w:pPr>
        <w:adjustRightInd w:val="0"/>
        <w:snapToGrid w:val="0"/>
        <w:spacing w:before="240" w:after="240"/>
        <w:jc w:val="both"/>
        <w:rPr>
          <w:rFonts w:ascii="Arial Narrow" w:eastAsia="仿宋_GB2312" w:hAnsi="Arial Narrow" w:cs="Arial"/>
          <w:kern w:val="24"/>
          <w:sz w:val="22"/>
          <w:szCs w:val="22"/>
          <w:lang w:val="en-GB"/>
        </w:rPr>
        <w:sectPr w:rsidR="004D1721">
          <w:headerReference w:type="even" r:id="rId31"/>
          <w:headerReference w:type="first" r:id="rId32"/>
          <w:pgSz w:w="11907" w:h="16839"/>
          <w:pgMar w:top="1440" w:right="1800" w:bottom="1440" w:left="1800" w:header="709" w:footer="709" w:gutter="0"/>
          <w:cols w:space="720"/>
          <w:docGrid w:type="lines" w:linePitch="360"/>
        </w:sectPr>
      </w:pPr>
    </w:p>
    <w:p w14:paraId="0D59CE61" w14:textId="77777777" w:rsidR="004D1721" w:rsidRDefault="009B16BC">
      <w:pPr>
        <w:pStyle w:val="Heading1"/>
        <w:rPr>
          <w:b/>
        </w:rPr>
      </w:pPr>
      <w:bookmarkStart w:id="780" w:name="_Toc140505140"/>
      <w:bookmarkStart w:id="781" w:name="_Toc53229093"/>
      <w:bookmarkStart w:id="782" w:name="_Toc274825238"/>
      <w:r>
        <w:lastRenderedPageBreak/>
        <w:t>价值链分析</w:t>
      </w:r>
      <w:bookmarkEnd w:id="780"/>
      <w:bookmarkEnd w:id="781"/>
    </w:p>
    <w:p w14:paraId="494F2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783" w:name="_Toc522205826"/>
      <w:bookmarkStart w:id="784" w:name="_Toc48582998"/>
      <w:bookmarkStart w:id="785" w:name="_Toc489952573"/>
      <w:bookmarkStart w:id="786" w:name="_Toc489952567"/>
      <w:bookmarkStart w:id="787" w:name="_Toc522205827"/>
      <w:bookmarkStart w:id="788" w:name="_Toc48582585"/>
      <w:bookmarkStart w:id="789" w:name="_Toc489952561"/>
      <w:bookmarkStart w:id="790" w:name="_Toc522205825"/>
      <w:bookmarkStart w:id="791" w:name="_Toc489952569"/>
      <w:bookmarkStart w:id="792" w:name="_Toc15995719"/>
      <w:bookmarkStart w:id="793" w:name="_Toc48317464"/>
      <w:bookmarkStart w:id="794" w:name="_Toc48317156"/>
      <w:bookmarkEnd w:id="783"/>
      <w:bookmarkEnd w:id="784"/>
      <w:bookmarkEnd w:id="785"/>
      <w:bookmarkEnd w:id="786"/>
      <w:bookmarkEnd w:id="787"/>
      <w:bookmarkEnd w:id="788"/>
      <w:bookmarkEnd w:id="789"/>
      <w:bookmarkEnd w:id="790"/>
      <w:bookmarkEnd w:id="791"/>
      <w:r>
        <w:rPr>
          <w:rFonts w:ascii="Arial Narrow" w:eastAsia="仿宋_GB2312" w:hAnsi="Arial Narrow" w:cs="Arial"/>
          <w:sz w:val="22"/>
          <w:szCs w:val="22"/>
        </w:rPr>
        <w:t>根据[2016]42号公告的相关规定，在分析关联交易是否符合独立交易原则的过程中应当对集团价值链进行分析。因此，本节将阐述Markwins 集团价值链情况。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11AB2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价值链分析能够提供以下与经营活动相关的有效信息：</w:t>
      </w:r>
    </w:p>
    <w:p w14:paraId="4CE10111"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与交易有关的关键价值驱动因素，其中包括各相关方是如何使其自身区别于同业竞争者进而赢取市场的；</w:t>
      </w:r>
    </w:p>
    <w:p w14:paraId="6EF2BEA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相关企业在资产、功能及风险方面对价值驱动的贡献，包括哪些贡献是独特且有价值的；</w:t>
      </w:r>
    </w:p>
    <w:p w14:paraId="718989A0"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企业集团内业务流、物流和资金流，包括商品、劳务或者其他交易标的从设计、开发、生产制造、营销、销售、交货、结算、消费、售后服务、循环利用等各环节及其参与方；</w:t>
      </w:r>
    </w:p>
    <w:p w14:paraId="4471A15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各相关方在价值链中是如何协同运作，以及是如何分配功能和资产的。</w:t>
      </w:r>
    </w:p>
    <w:p w14:paraId="5647FEF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230E356F" w14:textId="77777777" w:rsidR="004D1721" w:rsidRDefault="009B16BC">
      <w:pPr>
        <w:pStyle w:val="Heading2"/>
      </w:pPr>
      <w:bookmarkStart w:id="795" w:name="_Toc140505141"/>
      <w:bookmarkStart w:id="796" w:name="_Toc53229094"/>
      <w:r>
        <w:t>确定关键价值驱动因素</w:t>
      </w:r>
      <w:bookmarkEnd w:id="792"/>
      <w:bookmarkEnd w:id="793"/>
      <w:bookmarkEnd w:id="794"/>
      <w:bookmarkEnd w:id="795"/>
      <w:bookmarkEnd w:id="796"/>
    </w:p>
    <w:p w14:paraId="7324B10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在化妆品行业中竞争十分激烈，Markwins集团的利润水平主要由专注细分市场、集中采购和分销网络、营销技术经验和有效产品推广和客户关系等因素决定。</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1A81A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（1）专注细分市场</w:t>
      </w:r>
      <w:r>
        <w:rPr>
          <w:rFonts w:ascii="Arial Narrow" w:eastAsia="仿宋_GB2312" w:hAnsi="Arial Narrow" w:cs="Arial"/>
          <w:sz w:val="22"/>
          <w:szCs w:val="22"/>
        </w:rPr>
        <w:t/>
      </w:r>
      <w:r>
        <w:rPr>
          <w:rFonts w:ascii="Arial Narrow" w:eastAsia="仿宋_GB2312" w:hAnsi="Arial Narrow" w:cs="Arial"/>
          <w:sz w:val="22"/>
          <w:szCs w:val="22"/>
        </w:rPr>
        <w:t/>
      </w:r>
    </w:p>
    <w:p w14:paraId="091C129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集团的策略是专注于较便宜的产品。随着消费者对小众市场越来越感兴趣，Markwins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500FC9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（2）集中采购和分销网络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61E65A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 xml:space="preserve">Markwins 集团通过集中采购，能够利用规模经济，发挥市场支配力，以较低成本创造更好的产品，而结构较分散的企业则难以望其项背。</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1F960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通过多年来的多次收购，Markwins 集团已经成为一个拥有广泛的分销网络垂直整合的化妆品产品供应商。Markwins 集团还通过内部开发和战略收购拥有专利配方和产品，如修容粉饼、散粉、润唇膏和指甲油。这些配方的专利性质使得 Markwins 集团能够有效地创造独特的产品，从而获得与对手竞争的战略优势。</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FCC085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（3）营销技术经验和有效产品推广</w:t>
      </w:r>
      <w:r>
        <w:rPr>
          <w:rFonts w:ascii="Arial Narrow" w:eastAsia="仿宋_GB2312" w:hAnsi="Arial Narrow" w:cs="Arial"/>
          <w:sz w:val="22"/>
          <w:szCs w:val="22"/>
        </w:rPr>
        <w:t/>
      </w:r>
      <w:r>
        <w:rPr>
          <w:rFonts w:ascii="Arial Narrow" w:eastAsia="仿宋_GB2312" w:hAnsi="Arial Narrow" w:cs="Arial"/>
          <w:sz w:val="22"/>
          <w:szCs w:val="22"/>
        </w:rPr>
        <w:t/>
      </w:r>
    </w:p>
    <w:p w14:paraId="71683A4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集团专注于成为一个平均销售价格比市场平均零售价格低 40％的品牌。如何在适当的时间、适当的地点以适当的价格、适当的信息沟通和促销渠道，向适当的消费者提供市场的产品和服务是营销的关键，Markwins 集团通过针对性的方案持续的进行产品的营销。</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p>
    <w:p w14:paraId="4691C09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 （4）客户关系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0963D3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通过其作为低价化妆品供应商的地位，Markwins 集团已经与主要的大型和折扣零售商建立了稳固的合作关系。Markwins 集团的客户主要为大型连锁超市和药店，包括Walmart, Target,  CVS, Walgreens., Dollar General。</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EB84BEF" w14:textId="77777777" w:rsidR="004D1721" w:rsidRDefault="009B16BC">
      <w:pPr>
        <w:pStyle w:val="Heading2"/>
        <w:rPr>
          <w:b/>
        </w:rPr>
      </w:pPr>
      <w:bookmarkStart w:id="797" w:name="_Toc85557582"/>
      <w:bookmarkStart w:id="798" w:name="_Toc85042578"/>
      <w:bookmarkStart w:id="799" w:name="_Toc85622949"/>
      <w:bookmarkStart w:id="800" w:name="_Toc85557715"/>
      <w:bookmarkStart w:id="801" w:name="_Toc140505142"/>
      <w:bookmarkStart w:id="802" w:name="_Toc53229095"/>
      <w:bookmarkEnd w:id="797"/>
      <w:bookmarkEnd w:id="798"/>
      <w:bookmarkEnd w:id="799"/>
      <w:bookmarkEnd w:id="800"/>
      <w:r>
        <w:t>集团价值链</w:t>
      </w:r>
      <w:bookmarkEnd w:id="801"/>
      <w:bookmarkEnd w:id="802"/>
    </w:p>
    <w:p w14:paraId="7F461CE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评估期间，Markwins集团的价值链以及在其中所处的位置如下图所示：</w:t>
      </w:r>
      <w:r>
        <w:rPr>
          <w:rFonts w:ascii="Arial Narrow" w:eastAsia="仿宋_GB2312" w:hAnsi="Arial Narrow" w:cs="Arial"/>
          <w:sz w:val="22"/>
          <w:szCs w:val="22"/>
        </w:rPr>
        <w:t/>
      </w:r>
      <w:r>
        <w:rPr>
          <w:rFonts w:ascii="Arial Narrow" w:eastAsia="仿宋_GB2312" w:hAnsi="Arial Narrow" w:cs="Arial"/>
          <w:sz w:val="22"/>
          <w:szCs w:val="22"/>
        </w:rPr>
        <w:t/>
      </w:r>
    </w:p>
    <w:p w14:paraId="3FD0180C" w14:textId="77777777" w:rsidR="004D1721" w:rsidRDefault="004D1721">
      <w:pPr>
        <w:jc w:val="center"/>
        <w:rPr>
          <w:rFonts w:ascii="Arial Narrow" w:eastAsia="仿宋_GB2312" w:hAnsi="Arial Narrow" w:cs="Arial"/>
          <w:b/>
          <w:sz w:val="22"/>
        </w:rPr>
      </w:pPr>
    </w:p>
    <w:p w14:paraId="2D375283" w14:textId="77777777" w:rsidR="004D1721" w:rsidRDefault="004D1721">
      <w:pPr>
        <w:jc w:val="center"/>
        <w:rPr>
          <w:rFonts w:ascii="Arial Narrow" w:eastAsia="仿宋_GB2312" w:hAnsi="Arial Narrow" w:cs="Arial"/>
          <w:b/>
          <w:sz w:val="22"/>
        </w:rPr>
      </w:pPr>
    </w:p>
    <w:p w14:paraId="3E653060" w14:textId="77777777" w:rsidR="004D1721" w:rsidRDefault="004D1721">
      <w:pPr>
        <w:jc w:val="center"/>
        <w:rPr>
          <w:rFonts w:ascii="Arial Narrow" w:eastAsia="仿宋_GB2312" w:hAnsi="Arial Narrow" w:cs="Arial"/>
          <w:b/>
          <w:sz w:val="22"/>
        </w:rPr>
      </w:pPr>
    </w:p>
    <w:p w14:paraId="4AFDA2F9" w14:textId="77777777" w:rsidR="004D1721" w:rsidRDefault="004D1721">
      <w:pPr>
        <w:jc w:val="center"/>
        <w:rPr>
          <w:rFonts w:ascii="Arial Narrow" w:eastAsia="仿宋_GB2312" w:hAnsi="Arial Narrow" w:cs="Arial"/>
          <w:b/>
          <w:sz w:val="22"/>
        </w:rPr>
      </w:pPr>
    </w:p>
    <w:p w14:paraId="7F620AF6" w14:textId="77777777" w:rsidR="004D1721" w:rsidRDefault="004D1721">
      <w:pPr>
        <w:jc w:val="center"/>
        <w:rPr>
          <w:rFonts w:ascii="Arial Narrow" w:eastAsia="仿宋_GB2312" w:hAnsi="Arial Narrow" w:cs="Arial"/>
          <w:b/>
          <w:sz w:val="22"/>
        </w:rPr>
      </w:pPr>
    </w:p>
    <w:p w14:paraId="6F4B7DC5" w14:textId="77777777" w:rsidR="004D1721" w:rsidRDefault="004D1721">
      <w:pPr>
        <w:jc w:val="center"/>
        <w:rPr>
          <w:rFonts w:ascii="Arial Narrow" w:eastAsia="仿宋_GB2312" w:hAnsi="Arial Narrow" w:cs="Arial"/>
          <w:b/>
          <w:sz w:val="22"/>
        </w:rPr>
      </w:pPr>
    </w:p>
    <w:p w14:paraId="3E24D8E4" w14:textId="77777777" w:rsidR="004D1721" w:rsidRDefault="004D1721">
      <w:pPr>
        <w:jc w:val="center"/>
        <w:rPr>
          <w:rFonts w:ascii="Arial Narrow" w:eastAsia="仿宋_GB2312" w:hAnsi="Arial Narrow" w:cs="Arial"/>
          <w:b/>
          <w:sz w:val="22"/>
        </w:rPr>
      </w:pPr>
    </w:p>
    <w:p w14:paraId="26A17314" w14:textId="77777777" w:rsidR="004D1721" w:rsidRDefault="004D1721">
      <w:pPr>
        <w:jc w:val="center"/>
        <w:rPr>
          <w:rFonts w:ascii="Arial Narrow" w:eastAsia="仿宋_GB2312" w:hAnsi="Arial Narrow" w:cs="Arial"/>
          <w:b/>
          <w:sz w:val="22"/>
        </w:rPr>
      </w:pPr>
    </w:p>
    <w:p w14:paraId="1AC88E59" w14:textId="77777777" w:rsidR="004D1721" w:rsidRDefault="004D1721">
      <w:pPr>
        <w:jc w:val="center"/>
        <w:rPr>
          <w:rFonts w:ascii="Arial Narrow" w:eastAsia="仿宋_GB2312" w:hAnsi="Arial Narrow" w:cs="Arial"/>
          <w:b/>
          <w:sz w:val="22"/>
        </w:rPr>
      </w:pPr>
    </w:p>
    <w:p w14:paraId="1B09BC22" w14:textId="77777777" w:rsidR="004D1721" w:rsidRDefault="004D1721">
      <w:pPr>
        <w:jc w:val="center"/>
        <w:rPr>
          <w:rFonts w:ascii="Arial Narrow" w:eastAsia="仿宋_GB2312" w:hAnsi="Arial Narrow" w:cs="Arial"/>
          <w:b/>
          <w:sz w:val="22"/>
        </w:rPr>
      </w:pPr>
    </w:p>
    <w:p w14:paraId="5F8328FC" w14:textId="77777777" w:rsidR="004D1721" w:rsidRDefault="004D1721">
      <w:pPr>
        <w:jc w:val="center"/>
        <w:rPr>
          <w:rFonts w:ascii="Arial Narrow" w:eastAsia="仿宋_GB2312" w:hAnsi="Arial Narrow" w:cs="Arial"/>
          <w:b/>
          <w:sz w:val="22"/>
        </w:rPr>
      </w:pPr>
    </w:p>
    <w:p w14:paraId="45C83412" w14:textId="77777777" w:rsidR="004D1721" w:rsidRDefault="004D1721">
      <w:pPr>
        <w:jc w:val="center"/>
        <w:rPr>
          <w:rFonts w:ascii="Arial Narrow" w:eastAsia="仿宋_GB2312" w:hAnsi="Arial Narrow" w:cs="Arial"/>
          <w:b/>
          <w:sz w:val="22"/>
        </w:rPr>
      </w:pPr>
    </w:p>
    <w:p w14:paraId="2C827F4A" w14:textId="77777777" w:rsidR="004D1721" w:rsidRDefault="004D1721">
      <w:pPr>
        <w:jc w:val="center"/>
        <w:rPr>
          <w:rFonts w:ascii="Arial Narrow" w:eastAsia="仿宋_GB2312" w:hAnsi="Arial Narrow" w:cs="Arial"/>
          <w:b/>
          <w:sz w:val="22"/>
        </w:rPr>
      </w:pPr>
    </w:p>
    <w:p w14:paraId="255A112D" w14:textId="77777777" w:rsidR="004D1721" w:rsidRDefault="004D1721">
      <w:pPr>
        <w:jc w:val="center"/>
        <w:rPr>
          <w:rFonts w:ascii="Arial Narrow" w:eastAsia="仿宋_GB2312" w:hAnsi="Arial Narrow" w:cs="Arial"/>
          <w:b/>
          <w:sz w:val="22"/>
        </w:rPr>
      </w:pPr>
    </w:p>
    <w:p w14:paraId="0B51B648" w14:textId="5D354739" w:rsidR="004D1721" w:rsidRDefault="009B16BC">
      <w:pPr>
        <w:jc w:val="center"/>
        <w:rPr>
          <w:rFonts w:ascii="Arial Narrow" w:eastAsia="仿宋_GB2312" w:hAnsi="Arial Narrow" w:cs="Arial"/>
          <w:b/>
          <w:bCs/>
          <w:sz w:val="22"/>
        </w:rPr>
      </w:pPr>
      <w:r>
        <w:rPr>
          <w:rFonts w:ascii="Arial Narrow" w:eastAsia="仿宋_GB2312" w:hAnsi="Arial Narrow" w:cs="Arial"/>
          <w:b/>
          <w:sz w:val="22"/>
        </w:rPr>
        <w:lastRenderedPageBreak/>
        <w:t>图表 12：集团价值链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hint="eastAsia"/>
          <w:b/>
          <w:bCs/>
          <w:sz w:val="22"/>
        </w:rPr>
        <w:t/>
      </w:r>
    </w:p>
    <w:p w14:paraId="54039FEE" w14:textId="39DA64FD" w:rsidR="004D1721" w:rsidRDefault="00966331">
      <w:pPr>
        <w:jc w:val="center"/>
        <w:rPr>
          <w:b/>
          <w:bCs/>
        </w:rPr>
      </w:pPr>
      <w:r>
        <w:rPr>
          <w:rFonts w:ascii="Arial Narrow" w:eastAsia="仿宋_GB2312" w:hAnsi="Arial Narrow" w:cs="Arial"/>
          <w:b/>
          <w:bCs/>
          <w:noProof/>
        </w:rPr>
        <mc:AlternateContent>
          <mc:Choice Requires="wps">
            <w:drawing>
              <wp:anchor distT="0" distB="0" distL="114300" distR="114300" simplePos="0" relativeHeight="251660288" behindDoc="0" locked="0" layoutInCell="1" allowOverlap="1" wp14:editId="64F8660A">
                <wp:simplePos x="0" y="0"/>
                <wp:positionH relativeFrom="column">
                  <wp:posOffset>3794270</wp:posOffset>
                </wp:positionH>
                <wp:positionV relativeFrom="paragraph">
                  <wp:posOffset>668969</wp:posOffset>
                </wp:positionV>
                <wp:extent cx="946150" cy="400050"/>
                <wp:effectExtent l="0" t="0" r="0" b="0"/>
                <wp:wrapNone/>
                <wp:docPr id="90" name="TextBox 89"/>
                <wp:cNvGraphicFramePr/>
                <a:graphic xmlns:a="http://schemas.openxmlformats.org/drawingml/2006/main">
                  <a:graphicData uri="http://schemas.microsoft.com/office/word/2010/wordprocessingShape">
                    <wps:wsp>
                      <wps:cNvSpPr txBox="1"/>
                      <wps:spPr>
                        <a:xfrm rot="3772198">
                          <a:off x="0" y="0"/>
                          <a:ext cx="946150" cy="400050"/>
                        </a:xfrm>
                        <a:prstGeom prst="rect">
                          <a:avLst/>
                        </a:prstGeom>
                        <a:noFill/>
                      </wps:spPr>
                      <wps:txbx>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wps:txbx>
                      <wps:bodyPr wrap="none" rtlCol="0" anchor="ctr">
                        <a:spAutoFit/>
                      </wps:bodyPr>
                    </wps:wsp>
                  </a:graphicData>
                </a:graphic>
              </wp:anchor>
            </w:drawing>
          </mc:Choice>
          <mc:Fallback>
            <w:pict>
              <v:shapetype id="_x0000_t202" coordsize="21600,21600" o:spt="202" path="m,l,21600r21600,l21600,xe">
                <v:stroke joinstyle="miter"/>
                <v:path gradientshapeok="t" o:connecttype="rect"/>
              </v:shapetype>
              <v:shape id="TextBox 89" o:spid="_x0000_s1026" type="#_x0000_t202" style="position:absolute;left:0;text-align:left;margin-left:298.75pt;margin-top:52.65pt;width:74.5pt;height:31.5pt;rotation:4120246fd;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RSMpQEAACcDAAAOAAAAZHJzL2Uyb0RvYy54bWysUsFu2zAMvQ/YPwi6L3ayrk2MOMW2orsM W4G2H6DIUizAEgVSjZ2/HyWn2bDdhl4EiXx65Hvk9nbygzgaJAehlctFLYUJGjoXDq18frr/sJaC kgqdGiCYVp4Mydvd+3fbMTZmBT0MnUHBJIGaMbayTyk2VUW6N17RAqIJnLSAXiV+4qHqUI3M7odq VdfX1QjYRQRtiDh6NyflrvBba3T6aS2ZJIZWcm+pnFjOfT6r3VY1B1Sxd/rchvqPLrxygYteqO5U UuIF3T9U3mkEApsWGnwF1jptigZWs6z/UvPYq2iKFjaH4sUmejta/eP4gMJ1rdywPUF5ntGTmdIX mMR6k+0ZIzWMeoyMSxPHecyvceJgVj1Z9AKB3f14c7NabtbFC1YnGM28p4vVTC00BzdX18tPnNGc uqrrmu9cq5qpMmVESt8MeJEvrUSeZCFVx++UZugrJMMD3LthyPHc79xXvqVpP51F7KE7sYaRh93K wNsoBabhK8yboYLugRdDJyx1KH5+SUxaamWm+fu5AE+jdHvenDzuP98F9Xu/d78AAAD//wMAUEsD BBQABgAIAAAAIQAUu2ER3wAAAAoBAAAPAAAAZHJzL2Rvd25yZXYueG1sTI/LTsMwEEX3SPyDNUhs ELUTQ4EQp6oQSLCjD6lbNx6cgB9R7Lbh7xlWsJvH0Z0z9WLyjh1xTH0MCoqZAIahjaYPVsF283J9 DyxlHYx2MaCCb0ywaM7Pal2ZeAorPK6zZRQSUqUVdDkPFeep7dDrNIsDBtp9xNHrTO1ouRn1icK9 46UQc+51H+hCpwd86rD9Wh+8Aru9etu8SvO5FO5drh7sTvvnnVKXF9PyEVjGKf/B8KtP6tCQ0z4e gknMKZjfiFtCqSglMALuhKTBXkFZFBJ4U/P/LzQ/AAAA//8DAFBLAQItABQABgAIAAAAIQC2gziS /gAAAOEBAAATAAAAAAAAAAAAAAAAAAAAAABbQ29udGVudF9UeXBlc10ueG1sUEsBAi0AFAAGAAgA AAAhADj9If/WAAAAlAEAAAsAAAAAAAAAAAAAAAAALwEAAF9yZWxzLy5yZWxzUEsBAi0AFAAGAAgA AAAhAMhNFIylAQAAJwMAAA4AAAAAAAAAAAAAAAAALgIAAGRycy9lMm9Eb2MueG1sUEsBAi0AFAAG AAgAAAAhABS7YRHfAAAACgEAAA8AAAAAAAAAAAAAAAAA/wMAAGRycy9kb3ducmV2LnhtbFBLBQYA AAAABAAEAPMAAAALBQAAAAA= " filled="f" stroked="f">
                <v:textbox style="mso-fit-shape-to-text:t">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v:textbox>
              </v:shape>
            </w:pict>
          </mc:Fallback>
        </mc:AlternateContent>
        <w:t/>
      </w:r>
      <w:r w:rsidR="009B16BC">
        <w:rPr>
          <w:noProof/>
        </w:rPr>
        <w:drawing>
          <wp:inline distT="0" distB="0" distL="0" distR="0">
            <wp:extent cx="4134485" cy="2794635"/>
            <wp:effectExtent l="0" t="0" r="10795" b="952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33"/>
                    <a:stretch>
                      <a:fillRect/>
                    </a:stretch>
                  </pic:blipFill>
                  <pic:spPr>
                    <a:xfrm>
                      <a:off x="0" y="0"/>
                      <a:ext cx="4134485" cy="2794635"/>
                    </a:xfrm>
                    <a:prstGeom prst="rect">
                      <a:avLst/>
                    </a:prstGeom>
                    <a:noFill/>
                    <a:ln>
                      <a:noFill/>
                    </a:ln>
                  </pic:spPr>
                </pic:pic>
              </a:graphicData>
            </a:graphic>
          </wp:inline>
        </w:drawing>
        <w:t/>
      </w:r>
    </w:p>
    <w:p w14:paraId="2A1B5517" w14:textId="77777777" w:rsidR="004D1721" w:rsidRDefault="009B16BC">
      <w:pPr>
        <w:pStyle w:val="Caption"/>
        <w:rPr>
          <w:rFonts w:ascii="Arial Narrow" w:eastAsia="仿宋_GB2312" w:hAnsi="Arial Narrow" w:cs="Arial"/>
          <w:b w:val="0"/>
          <w:bCs w:val="0"/>
          <w:sz w:val="18"/>
          <w:szCs w:val="18"/>
        </w:rPr>
      </w:pPr>
      <w:r>
        <w:rPr>
          <w:rFonts w:ascii="Arial Narrow" w:eastAsia="仿宋_GB2312" w:hAnsi="Arial Narrow" w:cs="Arial"/>
          <w:b w:val="0"/>
          <w:bCs w:val="0"/>
          <w:i/>
          <w:iCs/>
          <w:sz w:val="16"/>
          <w:szCs w:val="16"/>
        </w:rPr>
        <w:t>信息来源：由提供</w:t>
      </w:r>
    </w:p>
    <w:p w14:paraId="759C0ED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3" w:name="_Toc48317466"/>
      <w:bookmarkStart w:id="804" w:name="_Toc48317158"/>
      <w:r>
        <w:rPr>
          <w:rFonts w:ascii="Arial Narrow" w:eastAsia="仿宋_GB2312" w:hAnsi="Arial Narrow" w:cs="Arial"/>
          <w:sz w:val="22"/>
          <w:szCs w:val="22"/>
        </w:rPr>
        <w:t>结合承担的功能以及风险，在集团价值链中主要承担采购及常规生产环节的工作，是集团整体业务链条的常规组成部分，对整体利润做出常规贡献。</w:t>
      </w:r>
    </w:p>
    <w:p w14:paraId="7EF27D36" w14:textId="77777777" w:rsidR="004D1721" w:rsidRDefault="009B16BC">
      <w:pPr>
        <w:pStyle w:val="Heading2"/>
        <w:rPr>
          <w:b/>
        </w:rPr>
      </w:pPr>
      <w:bookmarkStart w:id="805" w:name="_Toc53229096"/>
      <w:bookmarkStart w:id="806" w:name="_Toc140505143"/>
      <w:r>
        <w:t>交易定价影响要素</w:t>
      </w:r>
      <w:bookmarkEnd w:id="803"/>
      <w:bookmarkEnd w:id="804"/>
      <w:bookmarkEnd w:id="805"/>
      <w:bookmarkEnd w:id="806"/>
    </w:p>
    <w:p w14:paraId="37BA6D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7" w:name="_Toc48583005"/>
      <w:bookmarkStart w:id="808" w:name="_Toc48583003"/>
      <w:bookmarkStart w:id="809" w:name="_Toc48399606"/>
      <w:bookmarkStart w:id="810" w:name="_Toc48583004"/>
      <w:bookmarkStart w:id="811" w:name="_Toc15995723"/>
      <w:bookmarkStart w:id="812" w:name="_Toc48399605"/>
      <w:bookmarkStart w:id="813" w:name="_Toc48317284"/>
      <w:bookmarkStart w:id="814" w:name="_Toc48317511"/>
      <w:bookmarkStart w:id="815" w:name="_Toc15995726"/>
      <w:bookmarkStart w:id="816" w:name="_Toc48582634"/>
      <w:bookmarkStart w:id="817" w:name="_Toc15995725"/>
      <w:bookmarkStart w:id="818" w:name="_Toc48317283"/>
      <w:bookmarkStart w:id="819" w:name="_Toc48582590"/>
      <w:bookmarkStart w:id="820" w:name="_Toc48582591"/>
      <w:bookmarkStart w:id="821" w:name="_Toc15995728"/>
      <w:bookmarkStart w:id="822" w:name="_Toc48317469"/>
      <w:bookmarkStart w:id="823" w:name="_Toc15995727"/>
      <w:bookmarkStart w:id="824" w:name="_Toc48317282"/>
      <w:bookmarkStart w:id="825" w:name="_Toc15995730"/>
      <w:bookmarkStart w:id="826" w:name="_Toc48583047"/>
      <w:bookmarkStart w:id="827" w:name="_Toc15995724"/>
      <w:bookmarkStart w:id="828" w:name="_Toc48317467"/>
      <w:bookmarkStart w:id="829" w:name="_Toc48399607"/>
      <w:bookmarkStart w:id="830" w:name="_Toc48582592"/>
      <w:bookmarkStart w:id="831" w:name="_Toc48317468"/>
      <w:bookmarkStart w:id="832" w:name="_Toc48399649"/>
      <w:bookmarkStart w:id="833" w:name="_Toc15995721"/>
      <w:bookmarkStart w:id="834" w:name="_Toc15995729"/>
      <w:bookmarkStart w:id="835" w:name="_Toc15995722"/>
      <w:bookmarkStart w:id="836" w:name="_Toc48317326"/>
      <w:bookmarkStart w:id="837" w:name="_Toc483175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Arial Narrow" w:eastAsia="仿宋_GB2312" w:hAnsi="Arial Narrow" w:cs="Arial"/>
          <w:sz w:val="22"/>
          <w:szCs w:val="22"/>
        </w:rPr>
        <w:t xml:space="preserve">中国国家税务总局首次在发布的《联合国转让定价操作手册》（“《手册》”）中正式提出地域特殊因素的概念。《手册》指出：“贸易和经济全球化引发了‘成本节约’、‘市场溢价’等概念，统称为‘地域特殊优势’。”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06072B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手册》中进一步阐述了选址节约和市场溢价的定义，第10.3.3.2节和第10.3.3.3节指出：“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第10.3.3.2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C18E3D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“市场溢价指跨国企业将经营活动安排在有独特特质的地区而获得的额外利润，这些地区的特质会对一项服务或产品的销售和需求造成影响。”（第10.3.3.3节）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1E9654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[2016]42号公告进一步指出，地域特殊因素应从劳动力成本、环境成本、市场规模、市场竞争程度、消费者购买力、商品或者劳务的可替代性、政府管制等方面进行分析。</w:t>
      </w:r>
      <w:r>
        <w:rPr>
          <w:rFonts w:ascii="Arial Narrow" w:eastAsia="仿宋_GB2312" w:hAnsi="Arial Narrow" w:cs="Arial"/>
          <w:sz w:val="22"/>
          <w:szCs w:val="22"/>
        </w:rPr>
        <w:t/>
      </w:r>
    </w:p>
    <w:p w14:paraId="31DF3B2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经济合作发展组织（“OECD”）在税基侵蚀和利润转移第8-10项行动计划的最终报告中，修订了OECD转让定价指南第一章独立交易原则的内容，新增了一节选址节约和其他本地市场特征的内容。</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ECD8E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新的OECD转让定价指南指出：“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284AD7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OECD转让定价指南指出：“当无法找到可靠的本地市场可比对象时，对本地市场特征进行可比性调整需要考虑所有相关的实施和情况。与选址节约的分析相同，在无法找到可靠的本地市场可比企业的情况下，需要考虑（1）是否存在市场优势或劣势；（2）与其他市场中找到的可比对象相比，本地市场优势或劣势带来的收入、成本或利润的增加或减少的金额；（3）本地市场特征带来的利益或损失在何种程度上转嫁给独立的客户或供应商；（4）当存在由本地市场特征带来的利益或损失且未完全转嫁给独立的客户或供应商时，独立企业在相似运营条件下回保留多少净收益或损失。”</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837"/>
    </w:p>
    <w:p w14:paraId="5A4606A0" w14:textId="77777777" w:rsidR="004D1721" w:rsidRDefault="009B16BC">
      <w:pPr>
        <w:pStyle w:val="Heading3"/>
      </w:pPr>
      <w:bookmarkStart w:id="838" w:name="_Toc140505144"/>
      <w:bookmarkStart w:id="839" w:name="_Toc53229097"/>
      <w:r>
        <w:t>地域成本节约</w:t>
      </w:r>
      <w:bookmarkEnd w:id="838"/>
      <w:bookmarkEnd w:id="839"/>
    </w:p>
    <w:p w14:paraId="7D358F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0" w:name="_Toc48317513"/>
      <w:r>
        <w:rPr>
          <w:rFonts w:ascii="Arial Narrow" w:eastAsia="仿宋_GB2312" w:hAnsi="Arial Narrow" w:cs="Arial"/>
          <w:sz w:val="22"/>
          <w:szCs w:val="22"/>
        </w:rPr>
        <w:t>作为制造公司，的主要经营成本为人力成本和原材料成本。</w:t>
      </w:r>
    </w:p>
    <w:p w14:paraId="0ADCCC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随着中国人口老龄化、结婚率以及生育率下降，近几年中国的劳动力成本加速上升、劳动力供给增长的速度在放缓。2018年度的《中国与全球制造业竞争力》报告指出，中国制造业竞争力相对优势下滑，劳动力成本上升是主因。反映为单位劳动力成本值与全球平均水平差距的缩小，其中名义劳动力成本的大幅上升是主要原因。</w:t>
      </w:r>
      <w:r>
        <w:rPr>
          <w:rFonts w:ascii="Arial Narrow" w:eastAsia="仿宋_GB2312" w:hAnsi="Arial Narrow" w:cs="Arial"/>
          <w:sz w:val="22"/>
          <w:szCs w:val="22"/>
        </w:rPr>
        <w:t/>
      </w:r>
      <w:r>
        <w:rPr>
          <w:rFonts w:ascii="Arial Narrow" w:eastAsia="仿宋_GB2312" w:hAnsi="Arial Narrow" w:cs="Arial"/>
          <w:sz w:val="22"/>
          <w:szCs w:val="22"/>
        </w:rPr>
        <w:t/>
      </w:r>
    </w:p>
    <w:p w14:paraId="53ABB09E" w14:textId="257EB4B2" w:rsidR="004D1721" w:rsidRDefault="009B16BC">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Narrow" w:hint="eastAsia"/>
          <w:kern w:val="24"/>
          <w:sz w:val="22"/>
        </w:rPr>
        <w:t>截至目前，第一档月最低工资标准超过2000元省市共有19个，分别是北京、天津、河北、上海、江苏、浙江、安徽、福建、山东、湖北、广东、深圳、河南、四川、重庆、福建等。其中，上海最高为2690元，江苏及浙江2490元位列第二，北京2420位列第三。2017年到20年中国平均工资变化的趋势如下图。</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Style w:val="FootnoteReference"/>
          <w:rFonts w:ascii="Arial Narrow" w:eastAsia="仿宋_GB2312" w:hAnsi="Arial Narrow" w:cs="Arial Narrow"/>
          <w:sz w:val="22"/>
          <w:szCs w:val="22"/>
        </w:rPr>
        <w:footnoteReference w:id="13"/>
        <w:t/>
      </w:r>
      <w:r>
        <w:rPr>
          <w:rFonts w:ascii="Arial Narrow" w:eastAsia="仿宋_GB2312" w:hAnsi="Arial Narrow" w:cs="Arial Narrow"/>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p>
    <w:p w14:paraId="2966AB33" w14:textId="77777777" w:rsidR="004D1721" w:rsidRDefault="004D1721">
      <w:pPr>
        <w:adjustRightInd w:val="0"/>
        <w:snapToGrid w:val="0"/>
        <w:spacing w:before="240" w:after="240" w:line="360" w:lineRule="auto"/>
        <w:ind w:firstLine="475"/>
        <w:rPr>
          <w:rFonts w:ascii="Arial Narrow" w:eastAsia="仿宋_GB2312" w:hAnsi="Arial Narrow" w:cs="Arial"/>
          <w:iCs/>
          <w:kern w:val="24"/>
          <w:sz w:val="22"/>
          <w:szCs w:val="22"/>
        </w:rPr>
      </w:pPr>
    </w:p>
    <w:p w14:paraId="62C29306" w14:textId="6F596DDE" w:rsidR="004D1721" w:rsidRDefault="009B16BC">
      <w:pPr>
        <w:pStyle w:val="Caption"/>
        <w:jc w:val="center"/>
        <w:rPr>
          <w:rFonts w:ascii="Arial Narrow" w:eastAsia="仿宋_GB2312" w:hAnsi="Arial Narrow" w:cs="Arial"/>
          <w:kern w:val="0"/>
          <w:sz w:val="22"/>
          <w:szCs w:val="22"/>
          <w:lang w:val="en-GB"/>
        </w:rPr>
      </w:pPr>
      <w:bookmarkStart w:id="841" w:name="_Toc46935051"/>
      <w:bookmarkStart w:id="842" w:name="_Toc76039352"/>
      <w:bookmarkStart w:id="843" w:name="_Toc75452036"/>
      <w:r>
        <w:rPr>
          <w:rFonts w:ascii="Arial Narrow" w:eastAsia="仿宋_GB2312" w:hAnsi="Arial Narrow" w:cs="Arial"/>
          <w:sz w:val="22"/>
        </w:rPr>
        <w:lastRenderedPageBreak/>
        <w:t>图表 13：2017年到20年中国平均工资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Style w:val="FootnoteReference"/>
          <w:rFonts w:ascii="Arial Narrow" w:eastAsia="仿宋_GB2312" w:hAnsi="Arial Narrow" w:cs="Arial"/>
          <w:sz w:val="22"/>
          <w:szCs w:val="22"/>
        </w:rPr>
        <w:footnoteReference w:id="14"/>
        <w:t/>
      </w:r>
      <w:bookmarkEnd w:id="841"/>
    </w:p>
    <w:p w14:paraId="5BFD6CC4" w14:textId="77777777" w:rsidR="004D1721" w:rsidRDefault="009B16BC">
      <w:pPr>
        <w:pStyle w:val="Caption"/>
        <w:jc w:val="center"/>
        <w:rPr>
          <w:rFonts w:ascii="Arial Narrow" w:eastAsia="仿宋_GB2312" w:hAnsi="Arial Narrow"/>
        </w:rPr>
      </w:pPr>
      <w:r>
        <w:rPr>
          <w:rFonts w:ascii="Arial Narrow" w:eastAsia="仿宋_GB2312" w:hAnsi="Arial Narrow" w:cs="Arial"/>
          <w:noProof/>
          <w:sz w:val="22"/>
          <w:szCs w:val="22"/>
        </w:rPr>
        <w:drawing>
          <wp:inline distT="0" distB="0" distL="0" distR="0">
            <wp:extent cx="4493260" cy="2131695"/>
            <wp:effectExtent l="4445" t="4445" r="13335" b="12700"/>
            <wp:docPr id="8" name="图表 8"/>
            <wp:cNvGraphicFramePr/>
            <a:graphic xmlns:a="http://schemas.openxmlformats.org/drawingml/2006/main">
              <a:graphicData uri="http://schemas.openxmlformats.org/drawingml/2006/chart">
                <c:chart xmlns:c="http://schemas.openxmlformats.org/drawingml/2006/chart" r:id="rId34"/>
              </a:graphicData>
            </a:graphic>
          </wp:inline>
        </w:drawing>
      </w:r>
    </w:p>
    <w:bookmarkEnd w:id="842"/>
    <w:bookmarkEnd w:id="843"/>
    <w:p w14:paraId="2693818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同时，随着劳动力成本逐年上升，并没有从劳动力成本中收益。</w:t>
      </w:r>
    </w:p>
    <w:p w14:paraId="03DC9BF1" w14:textId="77777777" w:rsidR="004D1721" w:rsidRDefault="009B16BC">
      <w:pPr>
        <w:pStyle w:val="Heading3"/>
      </w:pPr>
      <w:bookmarkStart w:id="844" w:name="_Toc140505145"/>
      <w:bookmarkStart w:id="845" w:name="_Toc53229098"/>
      <w:r>
        <w:t>市场溢价</w:t>
      </w:r>
      <w:bookmarkEnd w:id="840"/>
      <w:bookmarkEnd w:id="844"/>
      <w:bookmarkEnd w:id="845"/>
    </w:p>
    <w:p w14:paraId="415731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6" w:name="_Toc48317330"/>
      <w:bookmarkStart w:id="847" w:name="_Toc48317515"/>
      <w:bookmarkStart w:id="848" w:name="_Toc48317159"/>
      <w:bookmarkStart w:id="849" w:name="_Toc49961823"/>
      <w:bookmarkStart w:id="850" w:name="_Toc48317160"/>
      <w:bookmarkStart w:id="851" w:name="_Toc48582637"/>
      <w:bookmarkStart w:id="852" w:name="_Toc48582638"/>
      <w:bookmarkStart w:id="853" w:name="_Toc48317329"/>
      <w:bookmarkStart w:id="854" w:name="_Toc50039104"/>
      <w:bookmarkStart w:id="855" w:name="_Toc48317514"/>
      <w:bookmarkStart w:id="856" w:name="_Toc48399653"/>
      <w:bookmarkStart w:id="857" w:name="_Toc48399652"/>
      <w:bookmarkStart w:id="858" w:name="_Toc48583051"/>
      <w:bookmarkStart w:id="859" w:name="_Toc48583050"/>
      <w:bookmarkStart w:id="860" w:name="_Toc50477851"/>
      <w:bookmarkStart w:id="861" w:name="_Toc489952578"/>
      <w:bookmarkStart w:id="862" w:name="_Toc49961822"/>
      <w:bookmarkStart w:id="863" w:name="_Toc50039103"/>
      <w:bookmarkStart w:id="864" w:name="_Toc50477852"/>
      <w:bookmarkStart w:id="865" w:name="_Toc48317516"/>
      <w:bookmarkStart w:id="866" w:name="_Toc48317161"/>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Pr>
          <w:rFonts w:ascii="Arial Narrow" w:eastAsia="仿宋_GB2312" w:hAnsi="Arial Narrow" w:cs="Arial"/>
          <w:sz w:val="22"/>
          <w:szCs w:val="22"/>
        </w:rPr>
        <w:t>市场溢价，是指跨国企业将经营活动安排在有独特特质的地区而获得的额外利润，这些地区的特质会对一项服务或产品的销售和需求造成影响。</w:t>
      </w:r>
      <w:r>
        <w:rPr>
          <w:rStyle w:val="FootnoteReference"/>
          <w:rFonts w:ascii="Arial Narrow" w:eastAsia="仿宋_GB2312" w:hAnsi="Arial Narrow" w:cs="Arial"/>
          <w:sz w:val="22"/>
          <w:szCs w:val="22"/>
        </w:rPr>
        <w:footnoteReference w:id="15"/>
        <w:t/>
      </w:r>
    </w:p>
    <w:p w14:paraId="34D12C7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所生产的产品主要进行出口销售，不受中国市场消费者的偏好、需求以及收入水平变动的影响。出口的产品主要针对的市场为价格较低的化妆品领域，该领域的化妆品主要采用开架销售的模式，价格竞争激烈。因此，的产品不存在市场溢价。</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7A2C1F7" w14:textId="77777777" w:rsidR="004D1721" w:rsidRDefault="009B16BC">
      <w:pPr>
        <w:pStyle w:val="Heading2"/>
      </w:pPr>
      <w:bookmarkStart w:id="867" w:name="_Toc85557587"/>
      <w:bookmarkStart w:id="868" w:name="_Toc85622954"/>
      <w:bookmarkStart w:id="869" w:name="_Toc53229099"/>
      <w:bookmarkStart w:id="870" w:name="_Toc85042583"/>
      <w:bookmarkStart w:id="871" w:name="_Toc85557720"/>
      <w:bookmarkStart w:id="872" w:name="_Toc140505146"/>
      <w:bookmarkStart w:id="873" w:name="_Toc53229100"/>
      <w:bookmarkEnd w:id="867"/>
      <w:bookmarkEnd w:id="868"/>
      <w:bookmarkEnd w:id="869"/>
      <w:bookmarkEnd w:id="870"/>
      <w:bookmarkEnd w:id="871"/>
      <w:r>
        <w:t>价值链各参与方财务报表</w:t>
      </w:r>
      <w:bookmarkEnd w:id="58"/>
      <w:bookmarkEnd w:id="59"/>
      <w:bookmarkEnd w:id="60"/>
      <w:bookmarkEnd w:id="782"/>
      <w:bookmarkEnd w:id="865"/>
      <w:bookmarkEnd w:id="866"/>
      <w:bookmarkEnd w:id="872"/>
      <w:bookmarkEnd w:id="873"/>
    </w:p>
    <w:p w14:paraId="19F8158C" w14:textId="4EE7D79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编制时，基于以下几点原因，价值链上其他关联方20年的财务数据和信息获取存在难度，在报告完成时尚无法获得：（1）这些关联方的财务数据均属于非公开信息；（2）该关联方（可能）并非仅与发生交易往来；（3）集团内企业都有独立的业绩考核指标，各关联方之间存在一定的竞争关系。如有要求，可在本公司征求关联方同意之后提供该数据。</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5F5627" w14:textId="77777777" w:rsidR="004D1721" w:rsidRDefault="009B16BC">
      <w:pPr>
        <w:snapToGrid w:val="0"/>
        <w:spacing w:before="120" w:after="12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1"/>
          <w:szCs w:val="22"/>
        </w:rPr>
        <w:br w:type="page"/>
      </w:r>
      <w:bookmarkEnd w:id="61"/>
      <w:bookmarkEnd w:id="62"/>
      <w:bookmarkEnd w:id="63"/>
      <w:bookmarkEnd w:id="64"/>
      <w:bookmarkEnd w:id="65"/>
    </w:p>
    <w:p w14:paraId="2D78FC26" w14:textId="77777777" w:rsidR="004D1721" w:rsidRDefault="009B16BC">
      <w:pPr>
        <w:pStyle w:val="Heading1"/>
        <w:rPr>
          <w:b/>
        </w:rPr>
      </w:pPr>
      <w:bookmarkStart w:id="874" w:name="_Toc522205842"/>
      <w:bookmarkStart w:id="875" w:name="_Toc522205839"/>
      <w:bookmarkStart w:id="876" w:name="_Toc522205841"/>
      <w:bookmarkStart w:id="877" w:name="_Toc522205840"/>
      <w:bookmarkStart w:id="878" w:name="_Toc53229101"/>
      <w:bookmarkStart w:id="879" w:name="_Toc48317517"/>
      <w:bookmarkStart w:id="880" w:name="_Toc140505147"/>
      <w:bookmarkStart w:id="881" w:name="_Toc48317162"/>
      <w:bookmarkEnd w:id="874"/>
      <w:bookmarkEnd w:id="875"/>
      <w:bookmarkEnd w:id="876"/>
      <w:bookmarkEnd w:id="877"/>
      <w:r>
        <w:lastRenderedPageBreak/>
        <w:t>可比性分析</w:t>
      </w:r>
      <w:bookmarkEnd w:id="878"/>
      <w:bookmarkEnd w:id="879"/>
      <w:bookmarkEnd w:id="880"/>
      <w:bookmarkEnd w:id="881"/>
    </w:p>
    <w:p w14:paraId="156DF973" w14:textId="77777777" w:rsidR="004D1721" w:rsidRDefault="009B16BC">
      <w:pPr>
        <w:pStyle w:val="Heading2"/>
      </w:pPr>
      <w:bookmarkStart w:id="882" w:name="_Toc48583054"/>
      <w:bookmarkStart w:id="883" w:name="_Toc48317333"/>
      <w:bookmarkStart w:id="884" w:name="_Toc48317163"/>
      <w:bookmarkStart w:id="885" w:name="_Toc48317518"/>
      <w:bookmarkStart w:id="886" w:name="_Toc48399656"/>
      <w:bookmarkStart w:id="887" w:name="_Toc48582641"/>
      <w:bookmarkStart w:id="888" w:name="_Toc53229102"/>
      <w:bookmarkStart w:id="889" w:name="_Toc48317519"/>
      <w:bookmarkStart w:id="890" w:name="_Toc140505148"/>
      <w:bookmarkStart w:id="891" w:name="_Toc48317164"/>
      <w:bookmarkEnd w:id="882"/>
      <w:bookmarkEnd w:id="883"/>
      <w:bookmarkEnd w:id="884"/>
      <w:bookmarkEnd w:id="885"/>
      <w:bookmarkEnd w:id="886"/>
      <w:bookmarkEnd w:id="887"/>
      <w:r>
        <w:t>简介</w:t>
      </w:r>
      <w:bookmarkEnd w:id="888"/>
      <w:bookmarkEnd w:id="889"/>
      <w:bookmarkEnd w:id="890"/>
      <w:bookmarkEnd w:id="891"/>
    </w:p>
    <w:p w14:paraId="37077AB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2" w:name="_Toc489952584"/>
      <w:bookmarkStart w:id="893" w:name="_Toc522205845"/>
      <w:bookmarkStart w:id="894" w:name="_Toc48317520"/>
      <w:bookmarkStart w:id="895" w:name="_Toc48317165"/>
      <w:bookmarkEnd w:id="892"/>
      <w:bookmarkEnd w:id="893"/>
      <w:r>
        <w:rPr>
          <w:rFonts w:ascii="Arial Narrow" w:eastAsia="仿宋_GB2312" w:hAnsi="Arial Narrow" w:cs="Arial"/>
          <w:sz w:val="22"/>
          <w:szCs w:val="22"/>
        </w:rPr>
        <w:t>《中华人民共和国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OECD所认可的指导原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4FC3C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Narrow" w:eastAsia="仿宋_GB2312" w:hAnsi="Arial Narrow" w:cs="Arial"/>
          <w:sz w:val="22"/>
          <w:szCs w:val="22"/>
        </w:rPr>
        <w:t/>
      </w:r>
      <w:r>
        <w:rPr>
          <w:rFonts w:ascii="Arial Narrow" w:eastAsia="仿宋_GB2312" w:hAnsi="Arial Narrow" w:cs="Arial"/>
          <w:sz w:val="22"/>
          <w:szCs w:val="22"/>
        </w:rPr>
        <w:t/>
      </w:r>
    </w:p>
    <w:p w14:paraId="4BA958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对以上各种方法的详细描述，请见附件1。</w:t>
      </w:r>
      <w:r>
        <w:rPr>
          <w:rFonts w:ascii="Arial Narrow" w:eastAsia="仿宋_GB2312" w:hAnsi="Arial Narrow" w:cs="Arial"/>
          <w:sz w:val="22"/>
          <w:szCs w:val="22"/>
        </w:rPr>
        <w:t/>
      </w:r>
      <w:r>
        <w:rPr>
          <w:rFonts w:ascii="Arial Narrow" w:eastAsia="仿宋_GB2312" w:hAnsi="Arial Narrow" w:cs="Arial"/>
          <w:sz w:val="22"/>
          <w:szCs w:val="22"/>
        </w:rPr>
        <w:t/>
      </w:r>
    </w:p>
    <w:p w14:paraId="3AA5F5B3" w14:textId="77777777" w:rsidR="004D1721" w:rsidRDefault="009B16BC">
      <w:pPr>
        <w:pStyle w:val="Heading2"/>
      </w:pPr>
      <w:bookmarkStart w:id="896" w:name="_Toc140505149"/>
      <w:bookmarkStart w:id="897" w:name="_Toc53229103"/>
      <w:r>
        <w:t>转让定价方法的选择</w:t>
      </w:r>
      <w:bookmarkEnd w:id="894"/>
      <w:bookmarkEnd w:id="895"/>
      <w:bookmarkEnd w:id="896"/>
      <w:bookmarkEnd w:id="897"/>
    </w:p>
    <w:p w14:paraId="0BCFB17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8" w:name="_Toc48582650"/>
      <w:bookmarkStart w:id="899" w:name="_Toc48582644"/>
      <w:bookmarkStart w:id="900" w:name="_Toc48399659"/>
      <w:bookmarkStart w:id="901" w:name="_Toc48317171"/>
      <w:bookmarkStart w:id="902" w:name="_Toc48317336"/>
      <w:bookmarkStart w:id="903" w:name="_Toc48583061"/>
      <w:bookmarkStart w:id="904" w:name="_Toc48317167"/>
      <w:bookmarkStart w:id="905" w:name="_Toc48582647"/>
      <w:bookmarkStart w:id="906" w:name="_Toc48583060"/>
      <w:bookmarkStart w:id="907" w:name="_Toc48399663"/>
      <w:bookmarkStart w:id="908" w:name="_Toc48399664"/>
      <w:bookmarkStart w:id="909" w:name="_Toc48317170"/>
      <w:bookmarkStart w:id="910" w:name="_Toc48582645"/>
      <w:bookmarkStart w:id="911" w:name="_Toc48583059"/>
      <w:bookmarkStart w:id="912" w:name="_Toc48583058"/>
      <w:bookmarkStart w:id="913" w:name="_Toc48317169"/>
      <w:bookmarkStart w:id="914" w:name="_Toc48317166"/>
      <w:bookmarkStart w:id="915" w:name="_Toc48317521"/>
      <w:bookmarkStart w:id="916" w:name="_Toc48317522"/>
      <w:bookmarkStart w:id="917" w:name="_Toc48317525"/>
      <w:bookmarkStart w:id="918" w:name="_Toc48399662"/>
      <w:bookmarkStart w:id="919" w:name="_Toc48582649"/>
      <w:bookmarkStart w:id="920" w:name="_Toc48317526"/>
      <w:bookmarkStart w:id="921" w:name="_Toc48317168"/>
      <w:bookmarkStart w:id="922" w:name="_Toc489952586"/>
      <w:bookmarkStart w:id="923" w:name="_Toc48317342"/>
      <w:bookmarkStart w:id="924" w:name="_Toc48399661"/>
      <w:bookmarkStart w:id="925" w:name="_Toc48317172"/>
      <w:bookmarkStart w:id="926" w:name="_Toc48583057"/>
      <w:bookmarkStart w:id="927" w:name="_Toc48583063"/>
      <w:bookmarkStart w:id="928" w:name="_Toc48317527"/>
      <w:bookmarkStart w:id="929" w:name="_Toc48317524"/>
      <w:bookmarkStart w:id="930" w:name="_Toc48583062"/>
      <w:bookmarkStart w:id="931" w:name="_Toc48582646"/>
      <w:bookmarkStart w:id="932" w:name="_Toc48317337"/>
      <w:bookmarkStart w:id="933" w:name="_Toc48317340"/>
      <w:bookmarkStart w:id="934" w:name="_Toc48582648"/>
      <w:bookmarkStart w:id="935" w:name="_Toc48914087"/>
      <w:bookmarkStart w:id="936" w:name="_Toc48399665"/>
      <w:bookmarkStart w:id="937" w:name="_Toc48317338"/>
      <w:bookmarkStart w:id="938" w:name="_Toc48317341"/>
      <w:bookmarkStart w:id="939" w:name="_Toc48317339"/>
      <w:bookmarkStart w:id="940" w:name="_Toc48399660"/>
      <w:bookmarkStart w:id="941" w:name="_Toc48317523"/>
      <w:bookmarkStart w:id="942" w:name="_Toc48317173"/>
      <w:bookmarkStart w:id="943" w:name="_Toc48317528"/>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Pr>
          <w:rFonts w:ascii="Arial Narrow" w:eastAsia="仿宋_GB2312" w:hAnsi="Arial Narrow" w:cs="Arial"/>
          <w:sz w:val="22"/>
          <w:szCs w:val="22"/>
        </w:rPr>
        <w:t>[2016] 42号公告第14条规定，可比性分析考虑的因素，包括交易资产或者劳务特性，交易各方功能、风险和资产，合同条款，经济环境，经营策略等。</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D7E91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Narrow" w:eastAsia="仿宋_GB2312" w:hAnsi="Arial Narrow" w:cs="Arial"/>
          <w:sz w:val="22"/>
          <w:szCs w:val="22"/>
          <w:vertAlign w:val="superscript"/>
        </w:rPr>
        <w:footnoteReference w:id="16"/>
        <w:t/>
      </w:r>
      <w:r>
        <w:rPr>
          <w:rFonts w:ascii="Arial Narrow" w:eastAsia="仿宋_GB2312" w:hAnsi="Arial Narrow" w:cs="Arial"/>
          <w:sz w:val="22"/>
          <w:szCs w:val="22"/>
        </w:rPr>
        <w:t/>
      </w:r>
    </w:p>
    <w:p w14:paraId="255A1AA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以下图表总结了转让定价方法的选择过程。</w:t>
      </w:r>
    </w:p>
    <w:p w14:paraId="0CBDF4A8"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19：合适转让定价方法的选择</w:t>
      </w:r>
      <w:r>
        <w:rPr>
          <w:rFonts w:ascii="Arial Narrow" w:eastAsia="仿宋_GB2312" w:hAnsi="Arial Narrow" w:cs="Arial"/>
          <w:sz w:val="22"/>
        </w:rPr>
        <w:t xml:space="preserve"/>
      </w:r>
      <w:r>
        <w:rPr>
          <w:rFonts w:ascii="Arial Narrow" w:eastAsia="仿宋_GB2312" w:hAnsi="Arial Narrow" w:cs="Arial"/>
          <w:sz w:val="22"/>
        </w:rPr>
        <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3370"/>
      </w:tblGrid>
      <w:tr w:rsidR="004D1721" w14:paraId="7BF66334" w14:textId="77777777">
        <w:trPr>
          <w:trHeight w:val="550"/>
          <w:tblHeader/>
          <w:jc w:val="center"/>
        </w:trPr>
        <w:tc>
          <w:tcPr>
            <w:tcW w:w="1980" w:type="dxa"/>
            <w:shd w:val="clear" w:color="auto" w:fill="002060"/>
            <w:vAlign w:val="center"/>
          </w:tcPr>
          <w:p w14:paraId="6E5F7F09"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转让定价的方法</w:t>
            </w:r>
          </w:p>
        </w:tc>
        <w:tc>
          <w:tcPr>
            <w:tcW w:w="2835" w:type="dxa"/>
            <w:shd w:val="clear" w:color="auto" w:fill="002060"/>
            <w:vAlign w:val="center"/>
          </w:tcPr>
          <w:p w14:paraId="60996A5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适用情形</w:t>
            </w:r>
          </w:p>
        </w:tc>
        <w:tc>
          <w:tcPr>
            <w:tcW w:w="3370" w:type="dxa"/>
            <w:shd w:val="clear" w:color="auto" w:fill="002060"/>
            <w:vAlign w:val="center"/>
          </w:tcPr>
          <w:p w14:paraId="78915EFF"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选择/排除的原因</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43DE877B" w14:textId="77777777">
        <w:trPr>
          <w:trHeight w:val="2070"/>
          <w:jc w:val="center"/>
        </w:trPr>
        <w:tc>
          <w:tcPr>
            <w:tcW w:w="1980" w:type="dxa"/>
            <w:vAlign w:val="center"/>
          </w:tcPr>
          <w:p w14:paraId="3648CAC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可比非受控价格法</w:t>
            </w:r>
          </w:p>
        </w:tc>
        <w:tc>
          <w:tcPr>
            <w:tcW w:w="2835" w:type="dxa"/>
            <w:vAlign w:val="center"/>
          </w:tcPr>
          <w:p w14:paraId="2198557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适用于高度相似交易条件下同一产品或服务既存在关联方之间又在非关联方之间交易的情况。</w:t>
            </w:r>
          </w:p>
        </w:tc>
        <w:tc>
          <w:tcPr>
            <w:tcW w:w="3370" w:type="dxa"/>
            <w:vAlign w:val="center"/>
          </w:tcPr>
          <w:p w14:paraId="6C1384E7" w14:textId="2B14F585" w:rsidR="004D1721" w:rsidRDefault="009B16BC" w:rsidP="00966331">
            <w:pPr>
              <w:rPr>
                <w:rFonts w:ascii="Arial Narrow" w:eastAsia="仿宋_GB2312" w:hAnsi="Arial Narrow" w:cs="Arial"/>
                <w:sz w:val="22"/>
                <w:szCs w:val="22"/>
              </w:rPr>
            </w:pPr>
            <w:r>
              <w:rPr>
                <w:rFonts w:ascii="Arial Narrow" w:eastAsia="仿宋_GB2312" w:hAnsi="Arial Narrow" w:cs="Arial"/>
                <w:sz w:val="22"/>
                <w:szCs w:val="22"/>
              </w:rPr>
              <w:t>20年主要关联交易为关联购销，未与非关联方发生交易条件类似的交易。无法获得可辨认的内部可比交易或外部可比交易的价格作为关联交易的独立交易价格。因此，对于，该方法不适用。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748ECD0" w14:textId="77777777">
        <w:trPr>
          <w:jc w:val="center"/>
        </w:trPr>
        <w:tc>
          <w:tcPr>
            <w:tcW w:w="1980" w:type="dxa"/>
            <w:vAlign w:val="center"/>
          </w:tcPr>
          <w:p w14:paraId="4B00535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再销售价格法</w:t>
            </w:r>
          </w:p>
        </w:tc>
        <w:tc>
          <w:tcPr>
            <w:tcW w:w="2835" w:type="dxa"/>
            <w:vAlign w:val="center"/>
          </w:tcPr>
          <w:p w14:paraId="668B4D9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适用于再销售者未对商品进行改变外型、性能、结构或更换商标等实质性增值加工的简单加工或单纯购销业务。</w:t>
            </w:r>
          </w:p>
        </w:tc>
        <w:tc>
          <w:tcPr>
            <w:tcW w:w="3370" w:type="dxa"/>
            <w:vAlign w:val="center"/>
          </w:tcPr>
          <w:p w14:paraId="092D3B4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由于该方法对外部可比交易成本数据的可比性要求较高。因此，对于，该方法不适用。</w:t>
            </w:r>
          </w:p>
        </w:tc>
      </w:tr>
      <w:tr w:rsidR="004D1721" w14:paraId="3D9E078D" w14:textId="77777777">
        <w:trPr>
          <w:jc w:val="center"/>
        </w:trPr>
        <w:tc>
          <w:tcPr>
            <w:tcW w:w="1980" w:type="dxa"/>
            <w:vAlign w:val="center"/>
          </w:tcPr>
          <w:p w14:paraId="33B1BA5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w:t>
            </w:r>
          </w:p>
        </w:tc>
        <w:tc>
          <w:tcPr>
            <w:tcW w:w="2835" w:type="dxa"/>
            <w:vAlign w:val="center"/>
          </w:tcPr>
          <w:p w14:paraId="44472A3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成本加成法通常适用于涉及有形资产购销、转让和使用、劳务提供或资金融通的关联交易。</w:t>
            </w:r>
          </w:p>
        </w:tc>
        <w:tc>
          <w:tcPr>
            <w:tcW w:w="3370" w:type="dxa"/>
            <w:vAlign w:val="center"/>
          </w:tcPr>
          <w:p w14:paraId="792C900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成本加成法通常适用于成本数据详尽的涉及劳务或有形产品生产或组装的关联交易，尽管向关联方提供相似的有形产品生产及劳务，但有形产品生产及劳务提供的市场环境不同，且也难以获取可以适用成本加成法的外部可比交易成本数据，因此该方法不适用。</w:t>
            </w:r>
          </w:p>
        </w:tc>
      </w:tr>
      <w:tr w:rsidR="004D1721" w14:paraId="1B90B53C" w14:textId="77777777">
        <w:trPr>
          <w:jc w:val="center"/>
        </w:trPr>
        <w:tc>
          <w:tcPr>
            <w:tcW w:w="1980" w:type="dxa"/>
            <w:vAlign w:val="center"/>
          </w:tcPr>
          <w:p w14:paraId="7294904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w:t>
            </w:r>
          </w:p>
        </w:tc>
        <w:tc>
          <w:tcPr>
            <w:tcW w:w="2835" w:type="dxa"/>
            <w:vAlign w:val="center"/>
          </w:tcPr>
          <w:p w14:paraId="486ED3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370" w:type="dxa"/>
            <w:vAlign w:val="center"/>
          </w:tcPr>
          <w:p w14:paraId="5EC3E0B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4D1721" w14:paraId="1E9E8013" w14:textId="77777777">
        <w:trPr>
          <w:jc w:val="center"/>
        </w:trPr>
        <w:tc>
          <w:tcPr>
            <w:tcW w:w="1980" w:type="dxa"/>
            <w:vAlign w:val="center"/>
          </w:tcPr>
          <w:p w14:paraId="19856FBA"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w:t>
            </w:r>
          </w:p>
        </w:tc>
        <w:tc>
          <w:tcPr>
            <w:tcW w:w="2835" w:type="dxa"/>
            <w:vAlign w:val="center"/>
          </w:tcPr>
          <w:p w14:paraId="2F1BFD8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利润分割法适用于各参与方关联交易高度整合且难以单独评估各方交易结果的情况。该方法也适用于交易各方拥有或贡献独特无形资产的情形。</w:t>
            </w:r>
          </w:p>
        </w:tc>
        <w:tc>
          <w:tcPr>
            <w:tcW w:w="3370" w:type="dxa"/>
            <w:vAlign w:val="center"/>
          </w:tcPr>
          <w:p w14:paraId="5FD8E38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利润分割法为根据企业与其关联方对关联交易合并利润的贡献计算各自应该分配的利润额，适用于关联交易双方高度整合的情况。的关联交易不存在上述情况，因此该方法不适用。</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tc>
      </w:tr>
    </w:tbl>
    <w:p w14:paraId="41A4294D" w14:textId="77777777" w:rsidR="004D1721" w:rsidRDefault="009B16BC">
      <w:pPr>
        <w:pStyle w:val="Heading2"/>
      </w:pPr>
      <w:bookmarkStart w:id="944" w:name="_Toc53229104"/>
      <w:bookmarkStart w:id="945" w:name="_Toc140505150"/>
      <w:r>
        <w:t>验证对象的选择</w:t>
      </w:r>
      <w:bookmarkEnd w:id="942"/>
      <w:bookmarkEnd w:id="943"/>
      <w:bookmarkEnd w:id="944"/>
      <w:bookmarkEnd w:id="945"/>
    </w:p>
    <w:p w14:paraId="51D144F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46" w:name="_Toc48317529"/>
      <w:bookmarkStart w:id="947" w:name="_Toc48317174"/>
      <w:bookmarkStart w:id="948" w:name="_Toc274480832"/>
      <w:r>
        <w:rPr>
          <w:rFonts w:ascii="Arial Narrow" w:eastAsia="仿宋_GB2312" w:hAnsi="Arial Narrow"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Narrow" w:eastAsia="仿宋_GB2312" w:hAnsi="Arial Narrow" w:cs="Arial"/>
          <w:sz w:val="22"/>
          <w:szCs w:val="22"/>
        </w:rPr>
        <w:lastRenderedPageBreak/>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4508BD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1112FC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执行有限的研发、生产、采购、质量控制、库存管理、物流、有限的销售、有限的售后服务和一般行政管理的功能；主要承担生产风险、存货风险、市场风险、有限的信用风险、汇率风险；从功能和风险分析应归为承担一定功能及风险的合约生产制造商。此外，拥有全部的生产和测试所需的有形资产，不拥有技术专利及品牌等有价值的无形资产。</w:t>
      </w:r>
    </w:p>
    <w:p w14:paraId="0B622D5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综上所述，在关联交易中，为承担一定功能和风险的合约生产商，且其在关联交易中的利润水平可以有效的确定。因此。我们选择作为受测关联交易的验证对象。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07188B1" w14:textId="77777777" w:rsidR="004D1721" w:rsidRDefault="009B16BC">
      <w:pPr>
        <w:pStyle w:val="Heading2"/>
      </w:pPr>
      <w:bookmarkStart w:id="949" w:name="_Toc140505158"/>
      <w:bookmarkStart w:id="950" w:name="_Toc140505152"/>
      <w:bookmarkStart w:id="951" w:name="_Toc140505155"/>
      <w:bookmarkStart w:id="952" w:name="_Toc140505167"/>
      <w:bookmarkStart w:id="953" w:name="_Toc140505151"/>
      <w:bookmarkStart w:id="954" w:name="_Toc140505157"/>
      <w:bookmarkStart w:id="955" w:name="_Toc140505161"/>
      <w:bookmarkStart w:id="956" w:name="_Toc140505154"/>
      <w:bookmarkStart w:id="957" w:name="_Toc140505162"/>
      <w:bookmarkStart w:id="958" w:name="_Toc140505166"/>
      <w:bookmarkStart w:id="959" w:name="_Toc140505164"/>
      <w:bookmarkStart w:id="960" w:name="_Toc140505156"/>
      <w:bookmarkStart w:id="961" w:name="_Toc140505159"/>
      <w:bookmarkStart w:id="962" w:name="_Toc140505160"/>
      <w:bookmarkStart w:id="963" w:name="_Toc140505165"/>
      <w:bookmarkStart w:id="964" w:name="_Toc140505153"/>
      <w:bookmarkStart w:id="965" w:name="_Toc140505163"/>
      <w:bookmarkStart w:id="966" w:name="_Toc140505168"/>
      <w:bookmarkStart w:id="967" w:name="_Toc53229105"/>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t>转让定价方法的应用</w:t>
      </w:r>
      <w:bookmarkEnd w:id="946"/>
      <w:bookmarkEnd w:id="947"/>
      <w:bookmarkEnd w:id="966"/>
      <w:bookmarkEnd w:id="967"/>
    </w:p>
    <w:p w14:paraId="2E95D4D7" w14:textId="77777777" w:rsidR="004D1721" w:rsidRDefault="009B16BC">
      <w:pPr>
        <w:pStyle w:val="Heading3"/>
      </w:pPr>
      <w:bookmarkStart w:id="968" w:name="_Toc140505169"/>
      <w:bookmarkStart w:id="969" w:name="_Toc53229106"/>
      <w:r>
        <w:t>概述</w:t>
      </w:r>
      <w:bookmarkEnd w:id="948"/>
      <w:bookmarkEnd w:id="968"/>
      <w:bookmarkEnd w:id="969"/>
    </w:p>
    <w:p w14:paraId="451318D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70" w:name="_Toc48317347"/>
      <w:bookmarkStart w:id="971" w:name="_Toc48582675"/>
      <w:bookmarkStart w:id="972" w:name="_Toc48399669"/>
      <w:bookmarkStart w:id="973" w:name="_Toc48317348"/>
      <w:bookmarkStart w:id="974" w:name="_Toc48399675"/>
      <w:bookmarkStart w:id="975" w:name="_Toc48582671"/>
      <w:bookmarkStart w:id="976" w:name="_Toc48582656"/>
      <w:bookmarkStart w:id="977" w:name="_Toc522205849"/>
      <w:bookmarkStart w:id="978" w:name="_Toc48317535"/>
      <w:bookmarkStart w:id="979" w:name="_Toc48317352"/>
      <w:bookmarkStart w:id="980" w:name="_Toc48583071"/>
      <w:bookmarkStart w:id="981" w:name="_Toc48583092"/>
      <w:bookmarkStart w:id="982" w:name="_Toc48582655"/>
      <w:bookmarkStart w:id="983" w:name="_Toc48583073"/>
      <w:bookmarkStart w:id="984" w:name="_Toc48583068"/>
      <w:bookmarkStart w:id="985" w:name="_Toc48583084"/>
      <w:bookmarkStart w:id="986" w:name="_Toc48317532"/>
      <w:bookmarkStart w:id="987" w:name="_Toc48399692"/>
      <w:bookmarkStart w:id="988" w:name="_Toc48582658"/>
      <w:bookmarkStart w:id="989" w:name="_Toc48399670"/>
      <w:bookmarkStart w:id="990" w:name="_Toc48583069"/>
      <w:bookmarkStart w:id="991" w:name="_Toc48399671"/>
      <w:bookmarkStart w:id="992" w:name="_Toc48583088"/>
      <w:bookmarkStart w:id="993" w:name="_Toc489952591"/>
      <w:bookmarkStart w:id="994" w:name="_Toc522205850"/>
      <w:bookmarkStart w:id="995" w:name="_Toc48582679"/>
      <w:bookmarkStart w:id="996" w:name="_Toc48317346"/>
      <w:bookmarkStart w:id="997" w:name="_Toc48317533"/>
      <w:bookmarkStart w:id="998" w:name="_Toc48582654"/>
      <w:bookmarkStart w:id="999" w:name="_Toc48317350"/>
      <w:bookmarkStart w:id="1000" w:name="_Toc48317531"/>
      <w:bookmarkStart w:id="1001" w:name="_Toc48317554"/>
      <w:bookmarkStart w:id="1002" w:name="_Toc48582660"/>
      <w:bookmarkStart w:id="1003" w:name="_Toc48399673"/>
      <w:bookmarkStart w:id="1004" w:name="_Toc48583067"/>
      <w:bookmarkStart w:id="1005" w:name="_Toc48317537"/>
      <w:bookmarkStart w:id="1006" w:name="_Toc522205851"/>
      <w:bookmarkStart w:id="1007" w:name="_Toc48317369"/>
      <w:bookmarkStart w:id="1008" w:name="_Toc48317555"/>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Pr>
          <w:rFonts w:ascii="Arial Narrow" w:eastAsia="仿宋_GB2312" w:hAnsi="Arial Narrow"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7"/>
        <w:t/>
      </w:r>
    </w:p>
    <w:p w14:paraId="0F4C939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下面我们将应用交易净利润法进行可比分析。</w:t>
      </w:r>
    </w:p>
    <w:p w14:paraId="07C7F13D" w14:textId="77777777" w:rsidR="004D1721" w:rsidRDefault="009B16BC">
      <w:pPr>
        <w:pStyle w:val="Heading3"/>
      </w:pPr>
      <w:bookmarkStart w:id="1009" w:name="_Toc140505170"/>
      <w:bookmarkStart w:id="1010" w:name="_Toc53229107"/>
      <w:r>
        <w:lastRenderedPageBreak/>
        <w:t>确定与受测关联交易相关的财务数据</w:t>
      </w:r>
      <w:bookmarkStart w:id="1011" w:name="_Hlk43068633"/>
      <w:r>
        <w:t/>
      </w:r>
      <w:bookmarkEnd w:id="1011"/>
      <w:r>
        <w:t/>
      </w:r>
      <w:bookmarkEnd w:id="1008"/>
      <w:bookmarkEnd w:id="1009"/>
      <w:bookmarkEnd w:id="1010"/>
    </w:p>
    <w:p w14:paraId="1C7E66A9" w14:textId="2628014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我们选择作为受测关联交易的验证对象，鉴于20年主营化妆品的生产业务，因此本报告将对的生产业务是否符合独立交易原则进行分析和验证。</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8352F65" w14:textId="6467C296"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20：20年度生产业务财务数据</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Style w:val="4-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040"/>
        <w:gridCol w:w="2603"/>
      </w:tblGrid>
      <w:tr w:rsidR="004D1721" w14:paraId="0BD048FB" w14:textId="77777777" w:rsidTr="004D17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002060"/>
            <w:vAlign w:val="center"/>
          </w:tcPr>
          <w:p w14:paraId="12AA0043" w14:textId="77777777" w:rsidR="004D1721" w:rsidRDefault="009B16BC">
            <w:pPr>
              <w:spacing w:before="60" w:after="60"/>
              <w:jc w:val="center"/>
              <w:rPr>
                <w:rFonts w:ascii="Arial Narrow" w:eastAsia="仿宋_GB2312" w:hAnsi="Arial Narrow" w:cs="Arial"/>
                <w:b w:val="0"/>
                <w:bCs w:val="0"/>
                <w:sz w:val="22"/>
                <w:szCs w:val="22"/>
              </w:rPr>
            </w:pPr>
            <w:r>
              <w:rPr>
                <w:rFonts w:ascii="Arial Narrow" w:eastAsia="仿宋_GB2312" w:hAnsi="Arial Narrow" w:cs="Arial"/>
                <w:sz w:val="22"/>
                <w:szCs w:val="22"/>
              </w:rPr>
              <w:t>项目</w:t>
            </w:r>
          </w:p>
        </w:tc>
        <w:tc>
          <w:tcPr>
            <w:tcW w:w="2040" w:type="dxa"/>
            <w:shd w:val="clear" w:color="auto" w:fill="002060"/>
            <w:vAlign w:val="center"/>
          </w:tcPr>
          <w:p w14:paraId="1ED8C3D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sz w:val="22"/>
                <w:szCs w:val="22"/>
              </w:rPr>
              <w:t>公式</w:t>
            </w:r>
          </w:p>
        </w:tc>
        <w:tc>
          <w:tcPr>
            <w:tcW w:w="2603" w:type="dxa"/>
            <w:shd w:val="clear" w:color="auto" w:fill="002060"/>
            <w:vAlign w:val="center"/>
          </w:tcPr>
          <w:p w14:paraId="7CDCC24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金额</w:t>
            </w:r>
          </w:p>
          <w:p w14:paraId="3C14FA3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人民币元</w:t>
            </w:r>
          </w:p>
        </w:tc>
      </w:tr>
      <w:tr w:rsidR="004D1721" w14:paraId="21521FC5"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08C8AB7"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color w:val="000000"/>
                <w:sz w:val="22"/>
                <w:szCs w:val="22"/>
              </w:rPr>
              <w:t>营业收入</w:t>
            </w:r>
          </w:p>
        </w:tc>
        <w:tc>
          <w:tcPr>
            <w:tcW w:w="2040" w:type="dxa"/>
            <w:shd w:val="clear" w:color="auto" w:fill="auto"/>
            <w:vAlign w:val="center"/>
          </w:tcPr>
          <w:p w14:paraId="3AB27DE6"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color w:val="000000"/>
                <w:sz w:val="22"/>
                <w:szCs w:val="22"/>
              </w:rPr>
              <w:t>a</w:t>
            </w:r>
          </w:p>
        </w:tc>
        <w:tc>
          <w:tcPr>
            <w:tcW w:w="2603" w:type="dxa"/>
            <w:shd w:val="clear" w:color="auto" w:fill="auto"/>
            <w:vAlign w:val="center"/>
          </w:tcPr>
          <w:p w14:paraId="6C94BE36"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273,356,327.70</w:t>
            </w:r>
          </w:p>
        </w:tc>
      </w:tr>
      <w:tr w:rsidR="004D1721" w14:paraId="614054F0"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66998FA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减：营业成本</w:t>
            </w:r>
            <w:r>
              <w:rPr>
                <w:rFonts w:ascii="Arial Narrow" w:eastAsia="仿宋_GB2312" w:hAnsi="Arial Narrow" w:cs="Arial"/>
                <w:b w:val="0"/>
                <w:color w:val="000000"/>
                <w:sz w:val="22"/>
                <w:szCs w:val="22"/>
              </w:rPr>
              <w:t/>
            </w:r>
          </w:p>
        </w:tc>
        <w:tc>
          <w:tcPr>
            <w:tcW w:w="2040" w:type="dxa"/>
            <w:shd w:val="clear" w:color="auto" w:fill="auto"/>
            <w:vAlign w:val="center"/>
          </w:tcPr>
          <w:p w14:paraId="2C29A1C9"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b</w:t>
            </w:r>
          </w:p>
        </w:tc>
        <w:tc>
          <w:tcPr>
            <w:tcW w:w="2603" w:type="dxa"/>
            <w:shd w:val="clear" w:color="auto" w:fill="auto"/>
            <w:vAlign w:val="center"/>
          </w:tcPr>
          <w:p w14:paraId="54306FD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243,696,017.20</w:t>
            </w:r>
          </w:p>
        </w:tc>
      </w:tr>
      <w:tr w:rsidR="004D1721" w14:paraId="3C59B929"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C076B5A"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税金及附加</w:t>
            </w:r>
          </w:p>
        </w:tc>
        <w:tc>
          <w:tcPr>
            <w:tcW w:w="2040" w:type="dxa"/>
            <w:shd w:val="clear" w:color="auto" w:fill="auto"/>
            <w:vAlign w:val="center"/>
          </w:tcPr>
          <w:p w14:paraId="43AE58AD"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c</w:t>
            </w:r>
          </w:p>
        </w:tc>
        <w:tc>
          <w:tcPr>
            <w:tcW w:w="2603" w:type="dxa"/>
            <w:shd w:val="clear" w:color="auto" w:fill="auto"/>
            <w:vAlign w:val="center"/>
          </w:tcPr>
          <w:p w14:paraId="128CBDC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98,278.10</w:t>
            </w:r>
          </w:p>
        </w:tc>
      </w:tr>
      <w:tr w:rsidR="004D1721" w14:paraId="3FDE70A8"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9213E5F"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sz w:val="22"/>
                <w:szCs w:val="22"/>
              </w:rPr>
              <w:t>销售费用</w:t>
            </w:r>
          </w:p>
        </w:tc>
        <w:tc>
          <w:tcPr>
            <w:tcW w:w="2040" w:type="dxa"/>
            <w:shd w:val="clear" w:color="auto" w:fill="auto"/>
            <w:vAlign w:val="center"/>
          </w:tcPr>
          <w:p w14:paraId="6B62B29A"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d</w:t>
            </w:r>
          </w:p>
        </w:tc>
        <w:tc>
          <w:tcPr>
            <w:tcW w:w="2603" w:type="dxa"/>
            <w:shd w:val="clear" w:color="auto" w:fill="auto"/>
            <w:vAlign w:val="center"/>
          </w:tcPr>
          <w:p w14:paraId="446AB3F5"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bCs/>
                <w:color w:val="000000"/>
                <w:sz w:val="22"/>
                <w:szCs w:val="22"/>
              </w:rPr>
              <w:t>562,576.46</w:t>
            </w:r>
          </w:p>
        </w:tc>
      </w:tr>
      <w:tr w:rsidR="004D1721" w14:paraId="2B20632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394BBBD"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管理费用</w:t>
            </w:r>
          </w:p>
        </w:tc>
        <w:tc>
          <w:tcPr>
            <w:tcW w:w="2040" w:type="dxa"/>
            <w:shd w:val="clear" w:color="auto" w:fill="auto"/>
            <w:vAlign w:val="center"/>
          </w:tcPr>
          <w:p w14:paraId="0BF3324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e</w:t>
            </w:r>
          </w:p>
        </w:tc>
        <w:tc>
          <w:tcPr>
            <w:tcW w:w="2603" w:type="dxa"/>
            <w:shd w:val="clear" w:color="auto" w:fill="auto"/>
            <w:vAlign w:val="center"/>
          </w:tcPr>
          <w:p w14:paraId="0BDCA7DC"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15,362,250.31</w:t>
            </w:r>
          </w:p>
        </w:tc>
      </w:tr>
      <w:tr w:rsidR="004D1721" w14:paraId="4F0CE6B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148802BE"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息税前利润</w:t>
            </w:r>
          </w:p>
        </w:tc>
        <w:tc>
          <w:tcPr>
            <w:tcW w:w="2040" w:type="dxa"/>
            <w:shd w:val="clear" w:color="auto" w:fill="auto"/>
            <w:vAlign w:val="center"/>
          </w:tcPr>
          <w:p w14:paraId="40DE025F"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 xml:space="preserve">f = a-b-c-d-e</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2603" w:type="dxa"/>
            <w:shd w:val="clear" w:color="auto" w:fill="auto"/>
            <w:vAlign w:val="center"/>
          </w:tcPr>
          <w:p w14:paraId="200DDE11"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259,719,122.07 </w:t>
            </w:r>
          </w:p>
        </w:tc>
      </w:tr>
      <w:tr w:rsidR="004D1721" w14:paraId="676DC434"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3CFB4788"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营业成本及费用</w:t>
            </w:r>
          </w:p>
        </w:tc>
        <w:tc>
          <w:tcPr>
            <w:tcW w:w="2040" w:type="dxa"/>
            <w:shd w:val="clear" w:color="auto" w:fill="auto"/>
            <w:vAlign w:val="center"/>
          </w:tcPr>
          <w:p w14:paraId="0EF3F27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g = b+c+d+e</w:t>
            </w:r>
          </w:p>
        </w:tc>
        <w:tc>
          <w:tcPr>
            <w:tcW w:w="2603" w:type="dxa"/>
            <w:shd w:val="clear" w:color="auto" w:fill="auto"/>
            <w:vAlign w:val="center"/>
          </w:tcPr>
          <w:p w14:paraId="3FA992B3"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13,637,205.63 </w:t>
            </w:r>
          </w:p>
        </w:tc>
      </w:tr>
      <w:tr w:rsidR="004D1721" w14:paraId="6C128B91"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90CDD4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完全成本加成率</w:t>
            </w:r>
          </w:p>
        </w:tc>
        <w:tc>
          <w:tcPr>
            <w:tcW w:w="2040" w:type="dxa"/>
            <w:shd w:val="clear" w:color="auto" w:fill="auto"/>
            <w:vAlign w:val="center"/>
          </w:tcPr>
          <w:p w14:paraId="7D92A7B7"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h= f/g</w:t>
            </w:r>
            <w:r>
              <w:rPr>
                <w:rFonts w:ascii="Arial Narrow" w:eastAsia="仿宋_GB2312" w:hAnsi="Arial Narrow" w:cs="Arial"/>
                <w:sz w:val="22"/>
                <w:szCs w:val="22"/>
              </w:rPr>
              <w:t/>
            </w:r>
          </w:p>
        </w:tc>
        <w:tc>
          <w:tcPr>
            <w:tcW w:w="2603" w:type="dxa"/>
            <w:shd w:val="clear" w:color="auto" w:fill="auto"/>
            <w:vAlign w:val="center"/>
          </w:tcPr>
          <w:p w14:paraId="7E39021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1E8117B7" w14:textId="77777777" w:rsidR="004D1721" w:rsidRDefault="009B16BC">
      <w:pPr>
        <w:ind w:firstLineChars="300" w:firstLine="480"/>
        <w:rPr>
          <w:rFonts w:ascii="Arial Narrow" w:eastAsia="仿宋_GB2312" w:hAnsi="Arial Narrow" w:cs="Arial"/>
          <w:i/>
          <w:iCs/>
          <w:sz w:val="16"/>
          <w:szCs w:val="16"/>
        </w:rPr>
      </w:pPr>
      <w:r>
        <w:rPr>
          <w:rFonts w:ascii="Arial Narrow" w:eastAsia="仿宋_GB2312" w:hAnsi="Arial Narrow" w:cs="Arial"/>
          <w:i/>
          <w:iCs/>
          <w:sz w:val="16"/>
          <w:szCs w:val="16"/>
        </w:rPr>
        <w:t>信息来源：由提供</w:t>
      </w:r>
    </w:p>
    <w:p w14:paraId="1F8BC31E" w14:textId="38CAB58A" w:rsidR="004D1721" w:rsidRDefault="009B16BC">
      <w:pPr>
        <w:pStyle w:val="Heading3"/>
      </w:pPr>
      <w:bookmarkStart w:id="1012" w:name="_Toc53046872"/>
      <w:bookmarkStart w:id="1013" w:name="_Toc53047116"/>
      <w:bookmarkStart w:id="1014" w:name="_Toc53046652"/>
      <w:bookmarkStart w:id="1015" w:name="_Toc140505172"/>
      <w:bookmarkStart w:id="1016" w:name="_Toc53047122"/>
      <w:bookmarkStart w:id="1017" w:name="_Toc53047120"/>
      <w:bookmarkStart w:id="1018" w:name="_Toc53046805"/>
      <w:bookmarkStart w:id="1019" w:name="_Toc53046804"/>
      <w:bookmarkStart w:id="1020" w:name="_Toc53046653"/>
      <w:bookmarkStart w:id="1021" w:name="_Toc53046657"/>
      <w:bookmarkStart w:id="1022" w:name="_Toc53047119"/>
      <w:bookmarkStart w:id="1023" w:name="_Toc53047123"/>
      <w:bookmarkStart w:id="1024" w:name="_Toc53046808"/>
      <w:bookmarkStart w:id="1025" w:name="_Toc53046656"/>
      <w:bookmarkStart w:id="1026" w:name="_Toc53047118"/>
      <w:bookmarkStart w:id="1027" w:name="_Toc53047187"/>
      <w:bookmarkStart w:id="1028" w:name="_Toc53046654"/>
      <w:bookmarkStart w:id="1029" w:name="_Toc53046807"/>
      <w:bookmarkStart w:id="1030" w:name="_Toc53046721"/>
      <w:bookmarkStart w:id="1031" w:name="_Toc53046655"/>
      <w:bookmarkStart w:id="1032" w:name="_Toc53047121"/>
      <w:bookmarkStart w:id="1033" w:name="_Toc53046803"/>
      <w:bookmarkStart w:id="1034" w:name="_Toc53046801"/>
      <w:bookmarkStart w:id="1035" w:name="_Toc53046806"/>
      <w:bookmarkStart w:id="1036" w:name="_Toc53046650"/>
      <w:bookmarkStart w:id="1037" w:name="_Toc140505173"/>
      <w:bookmarkStart w:id="1038" w:name="_Toc274480835"/>
      <w:bookmarkStart w:id="1039" w:name="_Toc53229108"/>
      <w:bookmarkStart w:id="1040" w:name="_Toc4831755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搜寻外部可比公司</w:t>
      </w:r>
      <w:bookmarkEnd w:id="1037"/>
      <w:bookmarkEnd w:id="1038"/>
      <w:bookmarkEnd w:id="1039"/>
      <w:bookmarkEnd w:id="1040"/>
    </w:p>
    <w:p w14:paraId="4FC915F6" w14:textId="77777777" w:rsidR="004D1721" w:rsidRDefault="009B16BC">
      <w:pPr>
        <w:pStyle w:val="Heading4"/>
      </w:pPr>
      <w:r>
        <w:t>数据库</w:t>
      </w:r>
    </w:p>
    <w:p w14:paraId="705C63D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为了对外部可比公司（即所执行的功能与的活动宽泛可比的独立企业）进行一次基准搜索，我们使用了由Bureau van Dijk Electronic发布的TP Catalyst数据库（20年版）。</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36E46E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Catalyst数据库提供逾190个国家的私人企业及全球上市公司（包括银行、保险公司等）的财务数据、所有者信息、评级数据、预期收益、股票信息和相关新闻。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8A20C9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CACBE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DFE750E" w14:textId="77777777" w:rsidR="004D1721" w:rsidRDefault="009B16BC">
      <w:pPr>
        <w:pStyle w:val="Heading4"/>
      </w:pPr>
      <w:r>
        <w:t>SIC编码及地区的选择</w:t>
      </w:r>
      <w:r>
        <w:t/>
      </w:r>
    </w:p>
    <w:p w14:paraId="75DD5CC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CE4B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我们对美国SIC编码列表进行了全面查阅，并选择了最合适的SIC编码（见下图表）来搜寻与的关联方在制造活动中承担的职能宽泛可比的潜在可比公司。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1FBAD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534EB872" w14:textId="25016F6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14：SIC编码的选择</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sz w:val="22"/>
        </w:rPr>
        <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4D1721" w14:paraId="2959D209" w14:textId="77777777">
        <w:trPr>
          <w:trHeight w:val="505"/>
        </w:trPr>
        <w:tc>
          <w:tcPr>
            <w:tcW w:w="1560" w:type="dxa"/>
            <w:shd w:val="clear" w:color="auto" w:fill="002060"/>
            <w:vAlign w:val="center"/>
          </w:tcPr>
          <w:p w14:paraId="0E06C30F" w14:textId="77777777" w:rsidR="004D1721" w:rsidRDefault="009B16BC">
            <w:pPr>
              <w:jc w:val="center"/>
              <w:rPr>
                <w:rStyle w:val="CommentReference"/>
                <w:rFonts w:ascii="Arial Narrow" w:eastAsia="仿宋_GB2312" w:hAnsi="Arial Narrow" w:cs="Arial"/>
                <w:b/>
                <w:color w:val="FFFFFF" w:themeColor="background1"/>
                <w:sz w:val="22"/>
                <w:szCs w:val="24"/>
              </w:rPr>
            </w:pPr>
            <w:r>
              <w:rPr>
                <w:rFonts w:ascii="Arial Narrow" w:eastAsia="仿宋_GB2312" w:hAnsi="Arial Narrow" w:cs="Arial"/>
                <w:b/>
                <w:color w:val="FFFFFF" w:themeColor="background1"/>
                <w:sz w:val="22"/>
              </w:rPr>
              <w:t>SIC编码</w:t>
            </w:r>
            <w:r>
              <w:rPr>
                <w:rFonts w:ascii="Arial Narrow" w:eastAsia="仿宋_GB2312" w:hAnsi="Arial Narrow" w:cs="Arial"/>
                <w:b/>
                <w:color w:val="FFFFFF" w:themeColor="background1"/>
                <w:sz w:val="22"/>
              </w:rPr>
              <w:t/>
            </w:r>
          </w:p>
        </w:tc>
        <w:tc>
          <w:tcPr>
            <w:tcW w:w="4961" w:type="dxa"/>
            <w:shd w:val="clear" w:color="auto" w:fill="002060"/>
            <w:vAlign w:val="center"/>
          </w:tcPr>
          <w:p w14:paraId="3475E187" w14:textId="77777777" w:rsidR="004D1721" w:rsidRDefault="009B16BC">
            <w:pPr>
              <w:jc w:val="center"/>
              <w:rPr>
                <w:rStyle w:val="CommentReference"/>
                <w:rFonts w:ascii="Arial Narrow" w:eastAsia="仿宋_GB2312" w:hAnsi="Arial Narrow" w:cs="Arial"/>
                <w:b/>
                <w:color w:val="FFFFFF" w:themeColor="background1"/>
                <w:sz w:val="22"/>
                <w:szCs w:val="24"/>
              </w:rPr>
            </w:pPr>
            <w:r>
              <w:rPr>
                <w:rStyle w:val="CommentReference"/>
                <w:rFonts w:ascii="Arial Narrow" w:eastAsia="仿宋_GB2312" w:hAnsi="Arial Narrow" w:cs="Arial"/>
                <w:b/>
                <w:color w:val="FFFFFF" w:themeColor="background1"/>
                <w:sz w:val="22"/>
                <w:szCs w:val="24"/>
              </w:rPr>
              <w:t>描述</w:t>
            </w:r>
          </w:p>
        </w:tc>
      </w:tr>
      <w:tr w:rsidR="004D1721" w14:paraId="6CC5857E" w14:textId="77777777">
        <w:trPr>
          <w:trHeight w:val="505"/>
        </w:trPr>
        <w:tc>
          <w:tcPr>
            <w:tcW w:w="1560" w:type="dxa"/>
            <w:vAlign w:val="center"/>
          </w:tcPr>
          <w:p w14:paraId="75DB5C8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2841</w:t>
            </w:r>
          </w:p>
        </w:tc>
        <w:tc>
          <w:tcPr>
            <w:tcW w:w="4961" w:type="dxa"/>
            <w:vAlign w:val="center"/>
          </w:tcPr>
          <w:p w14:paraId="7B790519"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肥皂和其他清洁剂，除特殊清洁产品</w:t>
            </w:r>
          </w:p>
        </w:tc>
      </w:tr>
      <w:tr w:rsidR="004D1721" w14:paraId="3A4941AA" w14:textId="77777777">
        <w:trPr>
          <w:trHeight w:val="505"/>
        </w:trPr>
        <w:tc>
          <w:tcPr>
            <w:tcW w:w="1560" w:type="dxa"/>
            <w:vAlign w:val="center"/>
          </w:tcPr>
          <w:p w14:paraId="709F24E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2842</w:t>
            </w:r>
          </w:p>
        </w:tc>
        <w:tc>
          <w:tcPr>
            <w:tcW w:w="4961" w:type="dxa"/>
            <w:vAlign w:val="center"/>
          </w:tcPr>
          <w:p w14:paraId="24570AE2"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特殊清洁产品、抛光和卫生设施清洁</w:t>
            </w:r>
          </w:p>
        </w:tc>
      </w:tr>
      <w:tr w:rsidR="004D1721" w14:paraId="08EDC39D" w14:textId="77777777">
        <w:trPr>
          <w:trHeight w:val="505"/>
        </w:trPr>
        <w:tc>
          <w:tcPr>
            <w:tcW w:w="1560" w:type="dxa"/>
            <w:vAlign w:val="center"/>
          </w:tcPr>
          <w:p w14:paraId="2768EE2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2843</w:t>
            </w:r>
          </w:p>
        </w:tc>
        <w:tc>
          <w:tcPr>
            <w:tcW w:w="4961" w:type="dxa"/>
            <w:vAlign w:val="center"/>
          </w:tcPr>
          <w:p w14:paraId="7F841385"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生产表面活性剂、溶剂等</w:t>
            </w:r>
          </w:p>
        </w:tc>
      </w:tr>
      <w:tr w:rsidR="004D1721" w14:paraId="76026EBC" w14:textId="77777777">
        <w:trPr>
          <w:trHeight w:val="505"/>
        </w:trPr>
        <w:tc>
          <w:tcPr>
            <w:tcW w:w="1560" w:type="dxa"/>
            <w:vAlign w:val="center"/>
          </w:tcPr>
          <w:p w14:paraId="24761FE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2844</w:t>
            </w:r>
          </w:p>
        </w:tc>
        <w:tc>
          <w:tcPr>
            <w:tcW w:w="4961" w:type="dxa"/>
            <w:vAlign w:val="center"/>
          </w:tcPr>
          <w:p w14:paraId="62B2876E"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香水、化妆品和其他洁厕用品</w:t>
            </w:r>
          </w:p>
        </w:tc>
      </w:tr>
    </w:tbl>
    <w:p w14:paraId="565F121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通过以上图表中所选定的SIC编码，我们在TP Catalyst数据库中进行了初步搜索，通过这种SIC编码的筛选，我们得到了一部分潜在的可比公司。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845D6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通过对地理位置及商业描述的分析，我们将搜索范围确定在亚太地区，包括：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4D1721" w14:paraId="54FA93BF" w14:textId="77777777">
        <w:trPr>
          <w:trHeight w:hRule="exact" w:val="505"/>
        </w:trPr>
        <w:tc>
          <w:tcPr>
            <w:tcW w:w="1134" w:type="dxa"/>
          </w:tcPr>
          <w:p w14:paraId="4A428D51"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阿富汗</w:t>
            </w:r>
          </w:p>
        </w:tc>
        <w:tc>
          <w:tcPr>
            <w:tcW w:w="1701" w:type="dxa"/>
          </w:tcPr>
          <w:p w14:paraId="76344BB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亚美尼亚</w:t>
            </w:r>
          </w:p>
        </w:tc>
        <w:tc>
          <w:tcPr>
            <w:tcW w:w="1900" w:type="dxa"/>
          </w:tcPr>
          <w:p w14:paraId="4F48BB63"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阿塞拜疆</w:t>
            </w:r>
          </w:p>
        </w:tc>
        <w:tc>
          <w:tcPr>
            <w:tcW w:w="1673" w:type="dxa"/>
          </w:tcPr>
          <w:p w14:paraId="3449A8F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孟加拉国</w:t>
            </w:r>
          </w:p>
        </w:tc>
        <w:tc>
          <w:tcPr>
            <w:tcW w:w="1673" w:type="dxa"/>
          </w:tcPr>
          <w:p w14:paraId="08E504EC"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不丹</w:t>
            </w:r>
          </w:p>
        </w:tc>
      </w:tr>
      <w:tr w:rsidR="004D1721" w14:paraId="074D887D" w14:textId="77777777">
        <w:trPr>
          <w:trHeight w:hRule="exact" w:val="505"/>
        </w:trPr>
        <w:tc>
          <w:tcPr>
            <w:tcW w:w="1134" w:type="dxa"/>
          </w:tcPr>
          <w:p w14:paraId="2C02E134"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文莱</w:t>
            </w:r>
          </w:p>
        </w:tc>
        <w:tc>
          <w:tcPr>
            <w:tcW w:w="1701" w:type="dxa"/>
          </w:tcPr>
          <w:p w14:paraId="0586411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柬埔寨</w:t>
            </w:r>
          </w:p>
        </w:tc>
        <w:tc>
          <w:tcPr>
            <w:tcW w:w="1900" w:type="dxa"/>
          </w:tcPr>
          <w:p w14:paraId="0A7ACCFF"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中国</w:t>
            </w:r>
          </w:p>
        </w:tc>
        <w:tc>
          <w:tcPr>
            <w:tcW w:w="1673" w:type="dxa"/>
          </w:tcPr>
          <w:p w14:paraId="2416FF5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格鲁吉亚</w:t>
            </w:r>
          </w:p>
        </w:tc>
        <w:tc>
          <w:tcPr>
            <w:tcW w:w="1673" w:type="dxa"/>
          </w:tcPr>
          <w:p w14:paraId="214FA3D9"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香港</w:t>
            </w:r>
          </w:p>
        </w:tc>
      </w:tr>
      <w:tr w:rsidR="004D1721" w14:paraId="201A4B03" w14:textId="77777777">
        <w:trPr>
          <w:trHeight w:hRule="exact" w:val="505"/>
        </w:trPr>
        <w:tc>
          <w:tcPr>
            <w:tcW w:w="1134" w:type="dxa"/>
          </w:tcPr>
          <w:p w14:paraId="4479CFEB"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印度</w:t>
            </w:r>
          </w:p>
        </w:tc>
        <w:tc>
          <w:tcPr>
            <w:tcW w:w="1701" w:type="dxa"/>
          </w:tcPr>
          <w:p w14:paraId="102A402B"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印度尼西亚</w:t>
            </w:r>
          </w:p>
        </w:tc>
        <w:tc>
          <w:tcPr>
            <w:tcW w:w="1900" w:type="dxa"/>
          </w:tcPr>
          <w:p w14:paraId="3FEC6446"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日本</w:t>
            </w:r>
          </w:p>
        </w:tc>
        <w:tc>
          <w:tcPr>
            <w:tcW w:w="1673" w:type="dxa"/>
          </w:tcPr>
          <w:p w14:paraId="6ACFA32D"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哈萨克斯坦</w:t>
            </w:r>
          </w:p>
        </w:tc>
        <w:tc>
          <w:tcPr>
            <w:tcW w:w="1673" w:type="dxa"/>
          </w:tcPr>
          <w:p w14:paraId="3AB3D5B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朝鲜</w:t>
            </w:r>
          </w:p>
        </w:tc>
      </w:tr>
      <w:tr w:rsidR="004D1721" w14:paraId="681D411C" w14:textId="77777777">
        <w:trPr>
          <w:trHeight w:hRule="exact" w:val="505"/>
        </w:trPr>
        <w:tc>
          <w:tcPr>
            <w:tcW w:w="1134" w:type="dxa"/>
          </w:tcPr>
          <w:p w14:paraId="2BBC65CB"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韩国</w:t>
            </w:r>
          </w:p>
        </w:tc>
        <w:tc>
          <w:tcPr>
            <w:tcW w:w="1701" w:type="dxa"/>
          </w:tcPr>
          <w:p w14:paraId="7599DCF5"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吉尔吉斯斯坦</w:t>
            </w:r>
          </w:p>
        </w:tc>
        <w:tc>
          <w:tcPr>
            <w:tcW w:w="1900" w:type="dxa"/>
          </w:tcPr>
          <w:p w14:paraId="2ABE9665"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老挝</w:t>
            </w:r>
          </w:p>
        </w:tc>
        <w:tc>
          <w:tcPr>
            <w:tcW w:w="1673" w:type="dxa"/>
          </w:tcPr>
          <w:p w14:paraId="6C9C700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澳门</w:t>
            </w:r>
          </w:p>
        </w:tc>
        <w:tc>
          <w:tcPr>
            <w:tcW w:w="1673" w:type="dxa"/>
          </w:tcPr>
          <w:p w14:paraId="4883172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马来西亚</w:t>
            </w:r>
          </w:p>
        </w:tc>
      </w:tr>
      <w:tr w:rsidR="004D1721" w14:paraId="787A6891" w14:textId="77777777">
        <w:trPr>
          <w:trHeight w:hRule="exact" w:val="505"/>
        </w:trPr>
        <w:tc>
          <w:tcPr>
            <w:tcW w:w="1134" w:type="dxa"/>
          </w:tcPr>
          <w:p w14:paraId="4557C39C"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马尔代夫</w:t>
            </w:r>
          </w:p>
        </w:tc>
        <w:tc>
          <w:tcPr>
            <w:tcW w:w="1701" w:type="dxa"/>
          </w:tcPr>
          <w:p w14:paraId="52F81BDA"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蒙古</w:t>
            </w:r>
          </w:p>
        </w:tc>
        <w:tc>
          <w:tcPr>
            <w:tcW w:w="1900" w:type="dxa"/>
          </w:tcPr>
          <w:p w14:paraId="13514E6B"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缅甸</w:t>
            </w:r>
          </w:p>
        </w:tc>
        <w:tc>
          <w:tcPr>
            <w:tcW w:w="1673" w:type="dxa"/>
          </w:tcPr>
          <w:p w14:paraId="313A18A4"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尼泊尔</w:t>
            </w:r>
          </w:p>
        </w:tc>
        <w:tc>
          <w:tcPr>
            <w:tcW w:w="1673" w:type="dxa"/>
          </w:tcPr>
          <w:p w14:paraId="1CD0272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巴基斯坦</w:t>
            </w:r>
          </w:p>
        </w:tc>
      </w:tr>
      <w:tr w:rsidR="004D1721" w14:paraId="0977CD6B" w14:textId="77777777">
        <w:trPr>
          <w:trHeight w:hRule="exact" w:val="505"/>
        </w:trPr>
        <w:tc>
          <w:tcPr>
            <w:tcW w:w="1134" w:type="dxa"/>
          </w:tcPr>
          <w:p w14:paraId="0B0A7060"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菲律宾</w:t>
            </w:r>
          </w:p>
        </w:tc>
        <w:tc>
          <w:tcPr>
            <w:tcW w:w="1701" w:type="dxa"/>
          </w:tcPr>
          <w:p w14:paraId="2A85C35B"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新加坡</w:t>
            </w:r>
          </w:p>
        </w:tc>
        <w:tc>
          <w:tcPr>
            <w:tcW w:w="1900" w:type="dxa"/>
          </w:tcPr>
          <w:p w14:paraId="68A4418A"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斯里兰卡</w:t>
            </w:r>
          </w:p>
        </w:tc>
        <w:tc>
          <w:tcPr>
            <w:tcW w:w="1673" w:type="dxa"/>
          </w:tcPr>
          <w:p w14:paraId="00732FE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台湾</w:t>
            </w:r>
          </w:p>
        </w:tc>
        <w:tc>
          <w:tcPr>
            <w:tcW w:w="1673" w:type="dxa"/>
          </w:tcPr>
          <w:p w14:paraId="5E01E33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塔吉克斯坦</w:t>
            </w:r>
          </w:p>
        </w:tc>
      </w:tr>
      <w:tr w:rsidR="004D1721" w14:paraId="09512832" w14:textId="77777777">
        <w:trPr>
          <w:trHeight w:hRule="exact" w:val="505"/>
        </w:trPr>
        <w:tc>
          <w:tcPr>
            <w:tcW w:w="1134" w:type="dxa"/>
          </w:tcPr>
          <w:p w14:paraId="54104588" w14:textId="77777777" w:rsidR="004D1721" w:rsidRDefault="009B16BC">
            <w:pPr>
              <w:pStyle w:val="TableParagraph"/>
              <w:spacing w:before="35"/>
              <w:ind w:left="50"/>
              <w:rPr>
                <w:rFonts w:ascii="Arial Narrow" w:eastAsia="仿宋_GB2312" w:hAnsi="Arial Narrow" w:cs="Arial"/>
                <w:lang w:eastAsia="zh-CN"/>
              </w:rPr>
            </w:pPr>
            <w:r>
              <w:rPr>
                <w:rFonts w:ascii="Arial Narrow" w:eastAsia="仿宋_GB2312" w:hAnsi="Arial Narrow" w:cs="Arial"/>
              </w:rPr>
              <w:t>泰国</w:t>
            </w:r>
          </w:p>
        </w:tc>
        <w:tc>
          <w:tcPr>
            <w:tcW w:w="1701" w:type="dxa"/>
          </w:tcPr>
          <w:p w14:paraId="0F484D13" w14:textId="77777777" w:rsidR="004D1721" w:rsidRDefault="009B16BC">
            <w:pPr>
              <w:pStyle w:val="TableParagraph"/>
              <w:spacing w:before="35"/>
              <w:ind w:left="328"/>
              <w:rPr>
                <w:rFonts w:ascii="Arial Narrow" w:eastAsia="仿宋_GB2312" w:hAnsi="Arial Narrow" w:cs="Arial"/>
                <w:lang w:eastAsia="zh-CN"/>
              </w:rPr>
            </w:pPr>
            <w:r>
              <w:rPr>
                <w:rFonts w:ascii="Arial Narrow" w:eastAsia="仿宋_GB2312" w:hAnsi="Arial Narrow" w:cs="Arial"/>
              </w:rPr>
              <w:t>土库曼斯坦</w:t>
            </w:r>
          </w:p>
        </w:tc>
        <w:tc>
          <w:tcPr>
            <w:tcW w:w="1900" w:type="dxa"/>
          </w:tcPr>
          <w:p w14:paraId="63C17D22" w14:textId="77777777" w:rsidR="004D1721" w:rsidRDefault="009B16BC">
            <w:pPr>
              <w:pStyle w:val="TableParagraph"/>
              <w:spacing w:before="35"/>
              <w:ind w:left="374"/>
              <w:rPr>
                <w:rFonts w:ascii="Arial Narrow" w:eastAsia="仿宋_GB2312" w:hAnsi="Arial Narrow" w:cs="Arial"/>
                <w:lang w:eastAsia="zh-CN"/>
              </w:rPr>
            </w:pPr>
            <w:r>
              <w:rPr>
                <w:rFonts w:ascii="Arial Narrow" w:eastAsia="仿宋_GB2312" w:hAnsi="Arial Narrow" w:cs="Arial"/>
              </w:rPr>
              <w:t>乌兹别克斯坦</w:t>
            </w:r>
          </w:p>
        </w:tc>
        <w:tc>
          <w:tcPr>
            <w:tcW w:w="1673" w:type="dxa"/>
          </w:tcPr>
          <w:p w14:paraId="10EA7A24" w14:textId="77777777" w:rsidR="004D1721" w:rsidRDefault="009B16BC">
            <w:pPr>
              <w:pStyle w:val="TableParagraph"/>
              <w:spacing w:before="35"/>
              <w:ind w:left="388"/>
              <w:rPr>
                <w:rFonts w:ascii="Arial Narrow" w:eastAsia="仿宋_GB2312" w:hAnsi="Arial Narrow" w:cs="Arial"/>
                <w:lang w:eastAsia="zh-CN"/>
              </w:rPr>
            </w:pPr>
            <w:r>
              <w:rPr>
                <w:rFonts w:ascii="Arial Narrow" w:eastAsia="仿宋_GB2312" w:hAnsi="Arial Narrow" w:cs="Arial"/>
              </w:rPr>
              <w:t>越南</w:t>
            </w:r>
          </w:p>
        </w:tc>
        <w:tc>
          <w:tcPr>
            <w:tcW w:w="1673" w:type="dxa"/>
          </w:tcPr>
          <w:p w14:paraId="0E5C6310" w14:textId="77777777" w:rsidR="004D1721" w:rsidRDefault="009B16BC">
            <w:pPr>
              <w:pStyle w:val="TableParagraph"/>
              <w:spacing w:before="35"/>
              <w:ind w:left="307"/>
              <w:rPr>
                <w:rFonts w:ascii="Arial Narrow" w:eastAsia="仿宋_GB2312" w:hAnsi="Arial Narrow" w:cs="Arial"/>
                <w:lang w:eastAsia="zh-CN"/>
              </w:rPr>
            </w:pPr>
            <w:r>
              <w:rPr>
                <w:rFonts w:ascii="Arial Narrow" w:eastAsia="仿宋_GB2312" w:hAnsi="Arial Narrow" w:cs="Arial"/>
              </w:rPr>
              <w:t>澳大利亚</w:t>
            </w:r>
          </w:p>
        </w:tc>
      </w:tr>
      <w:tr w:rsidR="004D1721" w14:paraId="42B9A90B" w14:textId="77777777">
        <w:trPr>
          <w:trHeight w:hRule="exact" w:val="505"/>
        </w:trPr>
        <w:tc>
          <w:tcPr>
            <w:tcW w:w="1134" w:type="dxa"/>
          </w:tcPr>
          <w:p w14:paraId="097FAF4E"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新西兰</w:t>
            </w:r>
          </w:p>
        </w:tc>
        <w:tc>
          <w:tcPr>
            <w:tcW w:w="1701" w:type="dxa"/>
          </w:tcPr>
          <w:p w14:paraId="0274EC1A" w14:textId="77777777" w:rsidR="004D1721" w:rsidRDefault="004D1721">
            <w:pPr>
              <w:pStyle w:val="TableParagraph"/>
              <w:spacing w:before="35"/>
              <w:ind w:left="328"/>
              <w:rPr>
                <w:rFonts w:ascii="Arial Narrow" w:eastAsia="仿宋_GB2312" w:hAnsi="Arial Narrow" w:cs="Arial"/>
                <w:lang w:eastAsia="zh-CN"/>
              </w:rPr>
            </w:pPr>
          </w:p>
        </w:tc>
        <w:tc>
          <w:tcPr>
            <w:tcW w:w="1900" w:type="dxa"/>
          </w:tcPr>
          <w:p w14:paraId="5A924DBA" w14:textId="77777777" w:rsidR="004D1721" w:rsidRDefault="004D1721">
            <w:pPr>
              <w:pStyle w:val="TableParagraph"/>
              <w:spacing w:before="35"/>
              <w:ind w:left="374"/>
              <w:rPr>
                <w:rFonts w:ascii="Arial Narrow" w:eastAsia="仿宋_GB2312" w:hAnsi="Arial Narrow" w:cs="Arial"/>
                <w:lang w:eastAsia="zh-CN"/>
              </w:rPr>
            </w:pPr>
          </w:p>
        </w:tc>
        <w:tc>
          <w:tcPr>
            <w:tcW w:w="1673" w:type="dxa"/>
          </w:tcPr>
          <w:p w14:paraId="39BCBFD3" w14:textId="77777777" w:rsidR="004D1721" w:rsidRDefault="004D1721">
            <w:pPr>
              <w:pStyle w:val="TableParagraph"/>
              <w:spacing w:before="35"/>
              <w:ind w:left="388"/>
              <w:rPr>
                <w:rFonts w:ascii="Arial Narrow" w:eastAsia="仿宋_GB2312" w:hAnsi="Arial Narrow" w:cs="Arial"/>
                <w:lang w:eastAsia="zh-CN"/>
              </w:rPr>
            </w:pPr>
          </w:p>
        </w:tc>
        <w:tc>
          <w:tcPr>
            <w:tcW w:w="1673" w:type="dxa"/>
          </w:tcPr>
          <w:p w14:paraId="1917D7AC" w14:textId="77777777" w:rsidR="004D1721" w:rsidRDefault="004D1721">
            <w:pPr>
              <w:pStyle w:val="TableParagraph"/>
              <w:spacing w:before="35"/>
              <w:ind w:left="307"/>
              <w:rPr>
                <w:rFonts w:ascii="Arial Narrow" w:eastAsia="仿宋_GB2312" w:hAnsi="Arial Narrow" w:cs="Arial"/>
                <w:lang w:eastAsia="zh-CN"/>
              </w:rPr>
            </w:pPr>
          </w:p>
        </w:tc>
      </w:tr>
    </w:tbl>
    <w:p w14:paraId="6796D061" w14:textId="431BAA0B"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通过这种地理位置筛选，我们得到了137家可比公司。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62D34ABF" w14:textId="77777777" w:rsidR="004D1721" w:rsidRDefault="009B16BC">
      <w:pPr>
        <w:pStyle w:val="Heading4"/>
        <w:rPr>
          <w:b/>
        </w:rPr>
      </w:pPr>
      <w:r>
        <w:t>独立性和上市公司筛选</w:t>
      </w:r>
    </w:p>
    <w:p w14:paraId="5EE75C6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受控企业或者非独立企业的交易价格或利润水平可能会受到其与关联公司之间进行的可能违反独立交易原则的交易的影响而发生扭曲。因此，我们采用了Bureau van Dijk Electronic的独立性指标，来排除那些可能被认定为非独立性的公司。</w:t>
      </w:r>
      <w:r>
        <w:rPr>
          <w:rFonts w:ascii="Arial Narrow" w:eastAsia="仿宋_GB2312" w:hAnsi="Arial Narrow" w:cs="Arial"/>
          <w:sz w:val="22"/>
          <w:szCs w:val="22"/>
        </w:rPr>
        <w:t/>
      </w:r>
      <w:r>
        <w:rPr>
          <w:rFonts w:ascii="Arial Narrow" w:eastAsia="仿宋_GB2312" w:hAnsi="Arial Narrow" w:cs="Arial"/>
          <w:sz w:val="22"/>
          <w:szCs w:val="22"/>
        </w:rPr>
        <w:t/>
      </w:r>
    </w:p>
    <w:p w14:paraId="6CD18FAC" w14:textId="0AB91294"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我们保留了46家被标注为如下股权关系的上市公司：</w:t>
      </w:r>
      <w:r>
        <w:rPr>
          <w:rFonts w:ascii="Arial Narrow" w:eastAsia="仿宋_GB2312" w:hAnsi="Arial Narrow" w:cs="Arial"/>
          <w:sz w:val="22"/>
          <w:szCs w:val="22"/>
        </w:rPr>
        <w:t/>
      </w:r>
      <w:r>
        <w:rPr>
          <w:rFonts w:ascii="Arial Narrow" w:eastAsia="仿宋_GB2312" w:hAnsi="Arial Narrow" w:cs="Arial"/>
          <w:sz w:val="22"/>
          <w:szCs w:val="22"/>
        </w:rPr>
        <w:t/>
      </w:r>
    </w:p>
    <w:p w14:paraId="3E819DAA"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A+，A，A-：表明没有任何单个股东控制该公司的股份超过25%；</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p>
    <w:p w14:paraId="0D8A570E"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lastRenderedPageBreak/>
        <w:t>U：表明持股不详。</w:t>
      </w:r>
      <w:r>
        <w:rPr>
          <w:rFonts w:ascii="Arial Narrow" w:eastAsia="仿宋_GB2312" w:hAnsi="Arial Narrow" w:cs="Arial"/>
        </w:rPr>
        <w:t/>
      </w:r>
    </w:p>
    <w:p w14:paraId="0F3A74D4" w14:textId="77777777" w:rsidR="004D1721" w:rsidRDefault="009B16BC">
      <w:pPr>
        <w:pStyle w:val="Heading4"/>
      </w:pPr>
      <w:r>
        <w:t>定量筛选</w:t>
      </w:r>
    </w:p>
    <w:p w14:paraId="50A09A18" w14:textId="74F7108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我们将46家样本公司中在2020到2022财年内满足以下一项或多项特征的样本公司予以排除，从而提高潜在可比公司样本的可比性：</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C446396" w14:textId="02C743F3"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数据完整性：正如我们将在以下章节7.5.4.2中所讨论的，使用多年度数据可以降低短期市场波动对转让定价分析的影响。因此，我们排除了那些在2020年至2022财年期间，缺少任意年度有效财务数据的公司。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AD354E" w14:textId="3AA1149F"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连续亏损：有连续亏损的独立公司对于受控交易下稳定经营的公司而言，不具备足够的可比性。因此，我们将2020到2022财年期间三年连续经营亏损的公司从可比样本中排除。</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E2B392" w14:textId="1D0EDD8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通过定量筛选，我们排除了总计11家公司，剩下35家样本公司。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0FD7C1" w14:textId="77777777" w:rsidR="004D1721" w:rsidRDefault="009B16BC">
      <w:pPr>
        <w:pStyle w:val="Heading4"/>
      </w:pPr>
      <w:r>
        <w:t>定性筛选</w:t>
      </w:r>
    </w:p>
    <w:p w14:paraId="43D500A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我们接着审阅了剩下的每一家公司在TP Catalyst数据库中的业务描述，以此来排除执行的功能（例如，研发，生产，服务等）与的在受测关联交易中执行的职能不具有宽泛可比性的公司。</w:t>
      </w:r>
      <w:r>
        <w:rPr>
          <w:rFonts w:ascii="Arial Narrow" w:eastAsia="仿宋_GB2312" w:hAnsi="Arial Narrow" w:cs="Arial"/>
          <w:sz w:val="22"/>
          <w:szCs w:val="22"/>
        </w:rPr>
        <w:t/>
      </w:r>
      <w:r>
        <w:rPr>
          <w:rFonts w:ascii="Arial Narrow" w:eastAsia="仿宋_GB2312" w:hAnsi="Arial Narrow" w:cs="Arial"/>
          <w:sz w:val="22"/>
          <w:szCs w:val="22"/>
        </w:rPr>
        <w:t/>
      </w:r>
    </w:p>
    <w:p w14:paraId="5D86AB9B" w14:textId="0878E163"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通过定性筛选，我们排除了总计26家公司，它们因满足以下一项或多项条件使得它们与的受测关联交易不具备充足的可比性：</w:t>
      </w:r>
      <w:r>
        <w:rPr>
          <w:rFonts w:ascii="Arial Narrow" w:eastAsia="仿宋_GB2312" w:hAnsi="Arial Narrow" w:cs="Arial"/>
          <w:sz w:val="22"/>
          <w:szCs w:val="22"/>
        </w:rPr>
        <w:t/>
      </w:r>
      <w:r>
        <w:rPr>
          <w:rFonts w:ascii="Arial Narrow" w:eastAsia="仿宋_GB2312" w:hAnsi="Arial Narrow" w:cs="Arial"/>
          <w:sz w:val="22"/>
          <w:szCs w:val="22"/>
        </w:rPr>
        <w:t/>
      </w:r>
    </w:p>
    <w:p w14:paraId="12724835"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企业执行的功能与存在显著差异；</w:t>
      </w:r>
      <w:r>
        <w:rPr>
          <w:rFonts w:ascii="Arial Narrow" w:eastAsia="仿宋_GB2312" w:hAnsi="Arial Narrow" w:cs="Arial"/>
          <w:kern w:val="2"/>
        </w:rPr>
        <w:t/>
      </w:r>
      <w:r>
        <w:rPr>
          <w:rFonts w:ascii="Arial Narrow" w:eastAsia="仿宋_GB2312" w:hAnsi="Arial Narrow" w:cs="Arial"/>
        </w:rPr>
        <w:t/>
      </w:r>
    </w:p>
    <w:p w14:paraId="4548C623"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企业生产的产品与存在显著差异。</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kern w:val="2"/>
        </w:rPr>
        <w:t/>
      </w:r>
      <w:r>
        <w:rPr>
          <w:rFonts w:ascii="Arial Narrow" w:eastAsia="仿宋_GB2312" w:hAnsi="Arial Narrow" w:cs="Arial"/>
        </w:rPr>
        <w:t/>
      </w:r>
    </w:p>
    <w:p w14:paraId="13E5FEFD" w14:textId="206B3BA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我们最终选定9家营业地位于亚太地区的公司作为的可比公司。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7973F451" w14:textId="77777777" w:rsidR="004D1721" w:rsidRDefault="009B16BC">
      <w:pPr>
        <w:pStyle w:val="Heading4"/>
      </w:pPr>
      <w:r>
        <w:t>外部可比公司搜寻过程</w:t>
      </w:r>
    </w:p>
    <w:p w14:paraId="7070C1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041" w:name="_Toc48583215"/>
      <w:bookmarkStart w:id="1042" w:name="_Toc48583101"/>
      <w:bookmarkStart w:id="1043" w:name="_Toc48399701"/>
      <w:bookmarkStart w:id="1044" w:name="_Toc48399737"/>
      <w:bookmarkStart w:id="1045" w:name="_Toc48582695"/>
      <w:bookmarkStart w:id="1046" w:name="_Toc48399712"/>
      <w:bookmarkStart w:id="1047" w:name="_Toc48582708"/>
      <w:bookmarkStart w:id="1048" w:name="_Toc48582808"/>
      <w:bookmarkStart w:id="1049" w:name="_Toc48583136"/>
      <w:bookmarkStart w:id="1050" w:name="_Toc48399723"/>
      <w:bookmarkStart w:id="1051" w:name="_Toc48399819"/>
      <w:bookmarkStart w:id="1052" w:name="_Toc48399736"/>
      <w:bookmarkStart w:id="1053" w:name="_Toc48583138"/>
      <w:bookmarkStart w:id="1054" w:name="_Toc48583100"/>
      <w:bookmarkStart w:id="1055" w:name="_Toc48582782"/>
      <w:bookmarkStart w:id="1056" w:name="_Toc48582895"/>
      <w:bookmarkStart w:id="1057" w:name="_Toc48582682"/>
      <w:bookmarkStart w:id="1058" w:name="_Toc48583195"/>
      <w:bookmarkStart w:id="1059" w:name="_Toc48582701"/>
      <w:bookmarkStart w:id="1060" w:name="_Toc48399815"/>
      <w:bookmarkStart w:id="1061" w:name="_Toc48583123"/>
      <w:bookmarkStart w:id="1062" w:name="_Toc48582723"/>
      <w:bookmarkStart w:id="1063" w:name="_Toc48583132"/>
      <w:bookmarkStart w:id="1064" w:name="_Toc48399821"/>
      <w:bookmarkStart w:id="1065" w:name="_Toc48399695"/>
      <w:bookmarkStart w:id="1066" w:name="_Toc48583137"/>
      <w:bookmarkStart w:id="1067" w:name="_Toc48582691"/>
      <w:bookmarkStart w:id="1068" w:name="_Toc48583222"/>
      <w:bookmarkStart w:id="1069" w:name="_Toc48399734"/>
      <w:bookmarkStart w:id="1070" w:name="_Toc48582688"/>
      <w:bookmarkStart w:id="1071" w:name="_Toc48399820"/>
      <w:bookmarkStart w:id="1072" w:name="_Toc48399823"/>
      <w:bookmarkStart w:id="1073" w:name="_Toc48399789"/>
      <w:bookmarkStart w:id="1074" w:name="_Toc48399822"/>
      <w:bookmarkStart w:id="1075" w:name="_Toc48583131"/>
      <w:bookmarkStart w:id="1076" w:name="_Toc48583121"/>
      <w:bookmarkStart w:id="1077" w:name="_Toc48583223"/>
      <w:bookmarkStart w:id="1078" w:name="_Toc48583220"/>
      <w:bookmarkStart w:id="1079" w:name="_Toc48399698"/>
      <w:bookmarkStart w:id="1080" w:name="_Toc48582726"/>
      <w:bookmarkStart w:id="1081" w:name="_Toc48583139"/>
      <w:bookmarkStart w:id="1082" w:name="_Toc48399703"/>
      <w:bookmarkStart w:id="1083" w:name="_Toc48582776"/>
      <w:bookmarkStart w:id="1084" w:name="_Toc48583113"/>
      <w:bookmarkStart w:id="1085" w:name="_Toc48399795"/>
      <w:bookmarkStart w:id="1086" w:name="_Toc48582699"/>
      <w:bookmarkStart w:id="1087" w:name="_Toc48399721"/>
      <w:bookmarkStart w:id="1088" w:name="_Toc48582687"/>
      <w:bookmarkStart w:id="1089" w:name="_Toc48583104"/>
      <w:bookmarkStart w:id="1090" w:name="_Toc48583103"/>
      <w:bookmarkStart w:id="1091" w:name="_Toc48399714"/>
      <w:bookmarkStart w:id="1092" w:name="_Toc48582710"/>
      <w:bookmarkStart w:id="1093" w:name="_Toc48399708"/>
      <w:bookmarkStart w:id="1094" w:name="_Toc48583108"/>
      <w:bookmarkStart w:id="1095" w:name="_Toc48399739"/>
      <w:bookmarkStart w:id="1096" w:name="_Toc48582685"/>
      <w:bookmarkStart w:id="1097" w:name="_Toc48583095"/>
      <w:bookmarkStart w:id="1098" w:name="_Toc48582809"/>
      <w:bookmarkStart w:id="1099" w:name="_Toc48582802"/>
      <w:bookmarkStart w:id="1100" w:name="_Toc48582718"/>
      <w:bookmarkStart w:id="1101" w:name="_Toc48399732"/>
      <w:bookmarkStart w:id="1102" w:name="_Toc48583098"/>
      <w:bookmarkStart w:id="1103" w:name="_Toc48582690"/>
      <w:bookmarkStart w:id="1104" w:name="_Toc48582725"/>
      <w:bookmarkStart w:id="1105" w:name="_Toc48582719"/>
      <w:bookmarkStart w:id="1106" w:name="_Toc48399908"/>
      <w:bookmarkStart w:id="1107" w:name="_Toc48399731"/>
      <w:bookmarkStart w:id="1108" w:name="_Toc48583114"/>
      <w:bookmarkStart w:id="1109" w:name="_Toc48583134"/>
      <w:bookmarkStart w:id="1110" w:name="_Toc48582721"/>
      <w:bookmarkStart w:id="1111" w:name="_Toc48583219"/>
      <w:bookmarkStart w:id="1112" w:name="_Toc48582806"/>
      <w:bookmarkStart w:id="1113" w:name="_Toc48582700"/>
      <w:bookmarkStart w:id="1114" w:name="_Toc48583189"/>
      <w:bookmarkStart w:id="1115" w:name="_Toc48582807"/>
      <w:bookmarkStart w:id="1116" w:name="_Toc48399738"/>
      <w:bookmarkStart w:id="1117" w:name="_Toc48399700"/>
      <w:bookmarkStart w:id="1118" w:name="_Toc48583112"/>
      <w:bookmarkStart w:id="1119" w:name="_Toc48582724"/>
      <w:bookmarkStart w:id="1120" w:name="_Toc48399713"/>
      <w:bookmarkStart w:id="1121" w:name="_Toc48583221"/>
      <w:bookmarkStart w:id="1122" w:name="_Toc48582810"/>
      <w:bookmarkStart w:id="1123" w:name="_Toc48399704"/>
      <w:bookmarkStart w:id="1124" w:name="_Toc48583308"/>
      <w:bookmarkStart w:id="1125" w:name="_Toc48317557"/>
      <w:bookmarkStart w:id="1126" w:name="_Toc261727555"/>
      <w:bookmarkStart w:id="1127" w:name="_Toc274480839"/>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Pr>
          <w:rFonts w:ascii="Arial Narrow" w:eastAsia="仿宋_GB2312" w:hAnsi="Arial Narrow" w:cs="Arial"/>
          <w:sz w:val="22"/>
          <w:szCs w:val="22"/>
        </w:rPr>
        <w:t>搜索策略和结果如下：</w:t>
      </w:r>
    </w:p>
    <w:p w14:paraId="30B8A7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62F1A006" w14:textId="4CDC415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15：可比公司搜索表</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4D1721" w14:paraId="4857679D" w14:textId="77777777">
        <w:trPr>
          <w:trHeight w:val="567"/>
        </w:trPr>
        <w:tc>
          <w:tcPr>
            <w:tcW w:w="2439" w:type="dxa"/>
            <w:shd w:val="clear" w:color="auto" w:fill="002060"/>
            <w:vAlign w:val="center"/>
          </w:tcPr>
          <w:p w14:paraId="6A94E184"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数据库</w:t>
            </w:r>
          </w:p>
        </w:tc>
        <w:tc>
          <w:tcPr>
            <w:tcW w:w="5662" w:type="dxa"/>
            <w:shd w:val="clear" w:color="auto" w:fill="002060"/>
            <w:vAlign w:val="center"/>
          </w:tcPr>
          <w:p w14:paraId="6C9C6EE6" w14:textId="38C3B85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 xml:space="preserve">TP Catalyst 数据库（2024年版）</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7C5CA9A6" w14:textId="77777777">
        <w:trPr>
          <w:trHeight w:val="567"/>
        </w:trPr>
        <w:tc>
          <w:tcPr>
            <w:tcW w:w="2439" w:type="dxa"/>
            <w:vAlign w:val="center"/>
          </w:tcPr>
          <w:p w14:paraId="5C2EC7D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初步 SIC 编码检索</w:t>
            </w:r>
            <w:r>
              <w:rPr>
                <w:rFonts w:ascii="Arial Narrow" w:eastAsia="仿宋_GB2312" w:hAnsi="Arial Narrow" w:cs="Arial"/>
                <w:sz w:val="22"/>
                <w:szCs w:val="22"/>
              </w:rPr>
              <w:t xml:space="preserve"/>
            </w:r>
            <w:r>
              <w:rPr>
                <w:rFonts w:ascii="Arial Narrow" w:eastAsia="仿宋_GB2312" w:hAnsi="Arial Narrow" w:cs="Arial"/>
                <w:sz w:val="22"/>
                <w:szCs w:val="22"/>
              </w:rPr>
              <w:t/>
            </w:r>
          </w:p>
        </w:tc>
        <w:tc>
          <w:tcPr>
            <w:tcW w:w="5662" w:type="dxa"/>
            <w:vAlign w:val="center"/>
          </w:tcPr>
          <w:p w14:paraId="09B4E90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2841、2842、2843、2844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F1AD62C" w14:textId="77777777">
        <w:trPr>
          <w:trHeight w:val="567"/>
        </w:trPr>
        <w:tc>
          <w:tcPr>
            <w:tcW w:w="2439" w:type="dxa"/>
            <w:vAlign w:val="center"/>
          </w:tcPr>
          <w:p w14:paraId="09E54C08"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地区筛选</w:t>
            </w:r>
          </w:p>
        </w:tc>
        <w:tc>
          <w:tcPr>
            <w:tcW w:w="5662" w:type="dxa"/>
            <w:vAlign w:val="center"/>
          </w:tcPr>
          <w:p w14:paraId="3CA272C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亚太地区</w:t>
            </w:r>
          </w:p>
        </w:tc>
      </w:tr>
      <w:tr w:rsidR="004D1721" w14:paraId="4E0731F4" w14:textId="77777777">
        <w:trPr>
          <w:trHeight w:val="567"/>
        </w:trPr>
        <w:tc>
          <w:tcPr>
            <w:tcW w:w="2439" w:type="dxa"/>
            <w:vAlign w:val="center"/>
          </w:tcPr>
          <w:p w14:paraId="03973C91"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独立性和上市公司筛选</w:t>
            </w:r>
          </w:p>
        </w:tc>
        <w:tc>
          <w:tcPr>
            <w:tcW w:w="5662" w:type="dxa"/>
            <w:vAlign w:val="center"/>
          </w:tcPr>
          <w:p w14:paraId="5BFB2D5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因在TP Catalyst数据库定义中独立性为B、C、D的公司而被排除。</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5FC49D70" w14:textId="77777777">
        <w:trPr>
          <w:trHeight w:val="567"/>
        </w:trPr>
        <w:tc>
          <w:tcPr>
            <w:tcW w:w="2439" w:type="dxa"/>
            <w:vAlign w:val="center"/>
          </w:tcPr>
          <w:p w14:paraId="05144532"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定量筛选</w:t>
            </w:r>
          </w:p>
        </w:tc>
        <w:tc>
          <w:tcPr>
            <w:tcW w:w="5662" w:type="dxa"/>
            <w:vAlign w:val="center"/>
          </w:tcPr>
          <w:p w14:paraId="75AF43B0" w14:textId="6891A309"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在2020至2022财政年度间，在TP Catalyst数据库中的财务信息不充分；在2020至2022财政年度间，三年连续经营亏损而被排除。</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4D1721" w14:paraId="1B8579C2" w14:textId="77777777">
        <w:trPr>
          <w:trHeight w:val="567"/>
        </w:trPr>
        <w:tc>
          <w:tcPr>
            <w:tcW w:w="2439" w:type="dxa"/>
            <w:vAlign w:val="center"/>
          </w:tcPr>
          <w:p w14:paraId="14D8BE1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定性筛选</w:t>
            </w:r>
          </w:p>
        </w:tc>
        <w:tc>
          <w:tcPr>
            <w:tcW w:w="5662" w:type="dxa"/>
            <w:vAlign w:val="center"/>
          </w:tcPr>
          <w:p w14:paraId="5A020BA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在企业功能（包括所使用的资产）或企业产品或服务方面存在显著差异的企业。</w:t>
            </w:r>
          </w:p>
        </w:tc>
      </w:tr>
      <w:tr w:rsidR="004D1721" w14:paraId="47BCB5C8" w14:textId="77777777">
        <w:trPr>
          <w:trHeight w:val="567"/>
        </w:trPr>
        <w:tc>
          <w:tcPr>
            <w:tcW w:w="2439" w:type="dxa"/>
            <w:vAlign w:val="center"/>
          </w:tcPr>
          <w:p w14:paraId="6A9CBF8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最终样本</w:t>
            </w:r>
          </w:p>
        </w:tc>
        <w:tc>
          <w:tcPr>
            <w:tcW w:w="5662" w:type="dxa"/>
            <w:vAlign w:val="center"/>
          </w:tcPr>
          <w:p w14:paraId="1A6C4C6D" w14:textId="36288EC0" w:rsidR="004D1721" w:rsidRDefault="009B16BC">
            <w:pPr>
              <w:rPr>
                <w:rFonts w:ascii="Arial Narrow" w:eastAsia="仿宋_GB2312" w:hAnsi="Arial Narrow" w:cs="Arial"/>
                <w:sz w:val="22"/>
                <w:szCs w:val="22"/>
              </w:rPr>
            </w:pPr>
            <w:r>
              <w:rPr>
                <w:rFonts w:ascii="Arial Narrow" w:eastAsia="仿宋_GB2312" w:hAnsi="Arial Narrow" w:cs="Arial" w:hint="eastAsia"/>
                <w:sz w:val="22"/>
                <w:szCs w:val="22"/>
              </w:rPr>
              <w:t>9家可比性公司</w:t>
            </w:r>
            <w:r>
              <w:rPr>
                <w:rFonts w:ascii="Arial Narrow" w:eastAsia="仿宋_GB2312" w:hAnsi="Arial Narrow" w:cs="Arial"/>
                <w:sz w:val="22"/>
                <w:szCs w:val="22"/>
              </w:rPr>
              <w:t/>
            </w:r>
          </w:p>
        </w:tc>
      </w:tr>
    </w:tbl>
    <w:p w14:paraId="2D969EBC" w14:textId="4CF93211"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选定的9家公司的简要业务描述，请见附件3。</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546D6A" w14:textId="77777777" w:rsidR="004D1721" w:rsidRDefault="009B16BC">
      <w:pPr>
        <w:pStyle w:val="Heading3"/>
      </w:pPr>
      <w:bookmarkStart w:id="1128" w:name="_Toc140505174"/>
      <w:bookmarkStart w:id="1129" w:name="_Toc53229109"/>
      <w:r>
        <w:t>可比公司利润水平</w:t>
      </w:r>
      <w:bookmarkEnd w:id="1125"/>
      <w:bookmarkEnd w:id="1128"/>
      <w:bookmarkEnd w:id="1129"/>
    </w:p>
    <w:p w14:paraId="6FF62A2F" w14:textId="77777777" w:rsidR="004D1721" w:rsidRDefault="009B16BC">
      <w:pPr>
        <w:pStyle w:val="Heading4"/>
      </w:pPr>
      <w:r>
        <w:t>利润水平指标的选择</w:t>
      </w:r>
    </w:p>
    <w:p w14:paraId="51BD5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673903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56B94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0" w:name="No100_T20K1X1"/>
      <w:bookmarkEnd w:id="1130"/>
      <w:r>
        <w:rPr>
          <w:rFonts w:ascii="Arial Narrow" w:eastAsia="仿宋_GB2312" w:hAnsi="Arial Narrow" w:cs="Arial"/>
          <w:sz w:val="22"/>
          <w:szCs w:val="22"/>
        </w:rPr>
        <w:t>（一）息税前利润率=息税前利润/营业收入×100%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70F0A9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1" w:name="No101_T20K1X2"/>
      <w:bookmarkEnd w:id="1131"/>
      <w:r>
        <w:rPr>
          <w:rFonts w:ascii="Arial Narrow" w:eastAsia="仿宋_GB2312" w:hAnsi="Arial Narrow" w:cs="Arial"/>
          <w:sz w:val="22"/>
          <w:szCs w:val="22"/>
        </w:rPr>
        <w:t>（二）完全成本加成率=息税前利润/完全成本×100%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7166AB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2" w:name="No102_T20K1X3"/>
      <w:bookmarkEnd w:id="1132"/>
      <w:r>
        <w:rPr>
          <w:rFonts w:ascii="Arial Narrow" w:eastAsia="仿宋_GB2312" w:hAnsi="Arial Narrow" w:cs="Arial"/>
          <w:sz w:val="22"/>
          <w:szCs w:val="22"/>
        </w:rPr>
        <w:t>（三）资产收益率=息税前利润/[（年初资产总额+年末资产总额）/2]×100%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20803B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3" w:name="No103_T20K1X4"/>
      <w:bookmarkEnd w:id="1133"/>
      <w:r>
        <w:rPr>
          <w:rFonts w:ascii="Arial Narrow" w:eastAsia="仿宋_GB2312" w:hAnsi="Arial Narrow" w:cs="Arial"/>
          <w:sz w:val="22"/>
          <w:szCs w:val="22"/>
        </w:rPr>
        <w:t>（四）贝里比率=毛利/（营业费用+管理费用）×100%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88316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完全成本加成率在测试生产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p>
    <w:p w14:paraId="480EFE2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综上所述，我们选择了完全成本加成率作为评估受测关联交易是否符合独立交易原则最合理的利润水平指标。 </w:t>
      </w:r>
      <w:r>
        <w:rPr>
          <w:rFonts w:ascii="Arial Narrow" w:eastAsia="仿宋_GB2312" w:hAnsi="Arial Narrow" w:cs="Arial"/>
          <w:sz w:val="21"/>
          <w:szCs w:val="22"/>
        </w:rPr>
        <w:t xml:space="preserve"/>
      </w:r>
      <w:bookmarkEnd w:id="1126"/>
      <w:bookmarkEnd w:id="1127"/>
    </w:p>
    <w:p w14:paraId="02392126" w14:textId="77777777" w:rsidR="004D1721" w:rsidRDefault="009B16BC">
      <w:pPr>
        <w:pStyle w:val="Heading4"/>
      </w:pPr>
      <w:r>
        <w:t>多年度数据的使用</w:t>
      </w:r>
    </w:p>
    <w:p w14:paraId="64B94F6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8"/>
        <w:t/>
      </w:r>
    </w:p>
    <w:p w14:paraId="7759B9F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[2017]6号公告第20条特别指出，在使用交易净利润法进行可比性分析时，应特别考察经济周期和产品生命周期。《OECD转让定价指南》中也就行业和产品生命周期提出了如下准则：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FEC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9"/>
        <w:t/>
      </w:r>
    </w:p>
    <w:p w14:paraId="05F6035D" w14:textId="2CF259D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为了在交易净利润分析中运用多年度数据，我们通过比较20年度受测关联交易的利润水平和可比公司2020到2022财年的加权平均利润水平，来评估的受测关联交易是否符合独立交易原则。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9EBAA87" w14:textId="77777777" w:rsidR="004D1721" w:rsidRDefault="009B16BC">
      <w:pPr>
        <w:pStyle w:val="Heading4"/>
      </w:pPr>
      <w:r>
        <w:t>独立交易区间</w:t>
      </w:r>
    </w:p>
    <w:p w14:paraId="70F9C92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4" w:name="_Toc48317175"/>
      <w:bookmarkStart w:id="1135" w:name="_Toc48317558"/>
      <w:bookmarkStart w:id="1136" w:name="_Toc274480845"/>
      <w:bookmarkStart w:id="1137" w:name="_Toc261727559"/>
      <w:r>
        <w:rPr>
          <w:rFonts w:ascii="Arial Narrow" w:eastAsia="仿宋_GB2312" w:hAnsi="Arial Narrow"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w:sz w:val="22"/>
          <w:szCs w:val="22"/>
        </w:rPr>
        <w:lastRenderedPageBreak/>
        <w:t/>
      </w:r>
      <w:r>
        <w:rPr>
          <w:rFonts w:ascii="Arial Narrow" w:eastAsia="仿宋_GB2312" w:hAnsi="Arial Narrow" w:cs="Arial"/>
          <w:sz w:val="22"/>
          <w:szCs w:val="22"/>
          <w:vertAlign w:val="superscript"/>
        </w:rPr>
        <w:footnoteReference w:id="20"/>
        <w:t/>
      </w:r>
    </w:p>
    <w:p w14:paraId="65EB6C6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章节7.5.3.5中所使用的筛选标准旨在寻找和消除对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Narrow" w:eastAsia="仿宋_GB2312" w:hAnsi="Arial Narrow" w:cs="Arial"/>
          <w:sz w:val="22"/>
          <w:szCs w:val="22"/>
        </w:rPr>
        <w:t/>
      </w:r>
      <w:r>
        <w:rPr>
          <w:rFonts w:ascii="Arial Narrow" w:eastAsia="仿宋_GB2312" w:hAnsi="Arial Narrow" w:cs="Arial"/>
          <w:sz w:val="22"/>
          <w:szCs w:val="22"/>
        </w:rPr>
        <w:t/>
      </w:r>
    </w:p>
    <w:p w14:paraId="13AA88C8" w14:textId="7422A81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应该承认，尽管选定的可比公司已经是可获得的最可比的样本了，在他们与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2020到2022财年期间加权平均完全成本加成率的四分位区间。</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21"/>
        <w:t/>
      </w:r>
    </w:p>
    <w:p w14:paraId="2044588F" w14:textId="2184CE1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我们从TP Catalyst数据库（2024年版）提取了2020到2022财年每家可比公司的损益表中的信息。被选可比公司完全成本加成率计算详见附件4。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061F6B" w14:textId="5071033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我们计算了选中的9家可比公司2020到2022财年加权平均完全成本加成率。如下图所示：</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AF031EC"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24：可比企业完全成本加成率四分位区间表</w:t>
      </w:r>
      <w:r>
        <w:rPr>
          <w:rFonts w:ascii="Arial Narrow" w:eastAsia="仿宋_GB2312" w:hAnsi="Arial Narrow" w:cs="Arial"/>
          <w:sz w:val="22"/>
        </w:rPr>
        <w:t xml:space="preserve"/>
      </w:r>
      <w:r>
        <w:rPr>
          <w:rFonts w:ascii="Arial Narrow" w:eastAsia="仿宋_GB2312" w:hAnsi="Arial Narrow" w:cs="Arial"/>
          <w:sz w:val="22"/>
        </w:rPr>
        <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4D1721" w14:paraId="6D7CECEE" w14:textId="77777777">
        <w:trPr>
          <w:trHeight w:val="562"/>
          <w:tblHeader/>
          <w:jc w:val="center"/>
        </w:trPr>
        <w:tc>
          <w:tcPr>
            <w:tcW w:w="1983" w:type="dxa"/>
            <w:shd w:val="clear" w:color="auto" w:fill="002060"/>
            <w:vAlign w:val="center"/>
          </w:tcPr>
          <w:p w14:paraId="6BB813DB" w14:textId="77777777"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类型</w:t>
            </w:r>
          </w:p>
        </w:tc>
        <w:tc>
          <w:tcPr>
            <w:tcW w:w="3262" w:type="dxa"/>
            <w:shd w:val="clear" w:color="auto" w:fill="002060"/>
            <w:vAlign w:val="center"/>
          </w:tcPr>
          <w:p w14:paraId="0FDEB2C5" w14:textId="2FB74273"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2020-2022年加权平均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646E5D65" w14:textId="77777777">
        <w:trPr>
          <w:trHeight w:val="454"/>
          <w:jc w:val="center"/>
        </w:trPr>
        <w:tc>
          <w:tcPr>
            <w:tcW w:w="1983" w:type="dxa"/>
            <w:shd w:val="clear" w:color="auto" w:fill="auto"/>
            <w:vAlign w:val="center"/>
          </w:tcPr>
          <w:p w14:paraId="6C9A5D9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上四分位值</w:t>
            </w:r>
          </w:p>
        </w:tc>
        <w:tc>
          <w:tcPr>
            <w:tcW w:w="3262" w:type="dxa"/>
            <w:shd w:val="clear" w:color="auto" w:fill="auto"/>
            <w:vAlign w:val="center"/>
          </w:tcPr>
          <w:p w14:paraId="7905893A" w14:textId="6D2BCDCD"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7.29%</w:t>
            </w:r>
          </w:p>
        </w:tc>
      </w:tr>
      <w:tr w:rsidR="004D1721" w14:paraId="03BCA1B2" w14:textId="77777777">
        <w:trPr>
          <w:trHeight w:val="454"/>
          <w:jc w:val="center"/>
        </w:trPr>
        <w:tc>
          <w:tcPr>
            <w:tcW w:w="1983" w:type="dxa"/>
            <w:shd w:val="clear" w:color="auto" w:fill="auto"/>
            <w:vAlign w:val="center"/>
          </w:tcPr>
          <w:p w14:paraId="7901D81C"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中位值</w:t>
            </w:r>
          </w:p>
        </w:tc>
        <w:tc>
          <w:tcPr>
            <w:tcW w:w="3262" w:type="dxa"/>
            <w:shd w:val="clear" w:color="auto" w:fill="auto"/>
            <w:vAlign w:val="center"/>
          </w:tcPr>
          <w:p w14:paraId="56CCA401" w14:textId="44831C52"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1.39%</w:t>
            </w:r>
          </w:p>
        </w:tc>
      </w:tr>
      <w:tr w:rsidR="004D1721" w14:paraId="25292531" w14:textId="77777777">
        <w:trPr>
          <w:trHeight w:val="454"/>
          <w:jc w:val="center"/>
        </w:trPr>
        <w:tc>
          <w:tcPr>
            <w:tcW w:w="1983" w:type="dxa"/>
            <w:shd w:val="clear" w:color="auto" w:fill="auto"/>
            <w:vAlign w:val="center"/>
          </w:tcPr>
          <w:p w14:paraId="7693C94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E9DC206" w14:textId="2938239C"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0.59%</w:t>
            </w:r>
          </w:p>
        </w:tc>
      </w:tr>
      <w:tr w:rsidR="004D1721" w14:paraId="3E8F2D54" w14:textId="77777777">
        <w:trPr>
          <w:trHeight w:val="454"/>
          <w:jc w:val="center"/>
        </w:trPr>
        <w:tc>
          <w:tcPr>
            <w:tcW w:w="1983" w:type="dxa"/>
            <w:shd w:val="clear" w:color="auto" w:fill="auto"/>
            <w:vAlign w:val="center"/>
          </w:tcPr>
          <w:p w14:paraId="36848771"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54CCE33" w14:textId="421B13EB"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{{BVD数据模板-数据表B4}}</w:t>
            </w:r>
          </w:p>
        </w:tc>
      </w:tr>
      <w:tr w:rsidR="004D1721" w14:paraId="440E17CB" w14:textId="77777777">
        <w:trPr>
          <w:trHeight w:val="454"/>
          <w:jc w:val="center"/>
        </w:trPr>
        <w:tc>
          <w:tcPr>
            <w:tcW w:w="1983" w:type="dxa"/>
            <w:shd w:val="clear" w:color="auto" w:fill="auto"/>
            <w:vAlign w:val="center"/>
          </w:tcPr>
          <w:p w14:paraId="15CACF34"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最低值</w:t>
            </w:r>
          </w:p>
        </w:tc>
        <w:tc>
          <w:tcPr>
            <w:tcW w:w="3262" w:type="dxa"/>
            <w:shd w:val="clear" w:color="auto" w:fill="auto"/>
            <w:vAlign w:val="center"/>
          </w:tcPr>
          <w:p w14:paraId="207BAFA5" w14:textId="23D8045A"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-3.37%</w:t>
            </w:r>
          </w:p>
        </w:tc>
      </w:tr>
    </w:tbl>
    <w:p w14:paraId="6BB3B231" w14:textId="45D48CE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通过上述交易净利润法分析，2020到2022财年加权平均完全成本加成率独立交易区间为{{BVD数据模板-数据表B4}}到{{BVD数据模板-数据表B2}}，中位值为{{BVD数据模板-数据表B3}}。在20年度的完全成本加成率为5.25%，位于可比公司完全成本加成率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7C7EDC5" w14:textId="062E44A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因此，在20年度受测关联交易中的转让定价安排不违背独立交易原则。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bookmarkEnd w:id="1134"/>
    <w:bookmarkEnd w:id="1135"/>
    <w:p w14:paraId="7BF99506" w14:textId="77777777" w:rsidR="004D1721" w:rsidRDefault="009B16BC">
      <w:pPr>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rPr>
        <w:br w:type="page"/>
      </w:r>
    </w:p>
    <w:p w14:paraId="30D70E0D" w14:textId="77777777" w:rsidR="004D1721" w:rsidRDefault="009B16BC">
      <w:pPr>
        <w:pStyle w:val="Heading1"/>
        <w:rPr>
          <w:b/>
        </w:rPr>
      </w:pPr>
      <w:bookmarkStart w:id="1138" w:name="_Toc53229110"/>
      <w:bookmarkStart w:id="1139" w:name="_Toc140505175"/>
      <w:r>
        <w:lastRenderedPageBreak/>
        <w:t>结论</w:t>
      </w:r>
      <w:bookmarkEnd w:id="1138"/>
      <w:bookmarkEnd w:id="1139"/>
    </w:p>
    <w:p w14:paraId="4542E0C3" w14:textId="74B5B67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分析，可比公司2020到2022财年加权平均完全成本加成率独立交易区间为{{BVD数据模板-数据表B4}}到{{BVD数据模板-数据表B2}}，中位值为{{BVD数据模板-数据表B3}}。在20年度的完全成本加成率为5.25%，位于可比公司完全成本加成率形成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1B58317" w14:textId="7A260C8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因此，从中国转让定价角度，我们认为在20年度受测关联交易中的转让定价安排不违背独立交易原则。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B72D290" w14:textId="77777777" w:rsidR="004D1721" w:rsidRDefault="009B16BC">
      <w:pPr>
        <w:spacing w:beforeLines="50" w:before="156" w:afterLines="50" w:after="156" w:line="360" w:lineRule="auto"/>
        <w:jc w:val="both"/>
        <w:rPr>
          <w:rFonts w:ascii="Arial Narrow" w:eastAsia="仿宋_GB2312" w:hAnsi="Arial Narrow" w:cs="Arial Unicode MS"/>
          <w:sz w:val="22"/>
          <w:szCs w:val="22"/>
        </w:rPr>
      </w:pPr>
      <w:r>
        <w:rPr>
          <w:rFonts w:ascii="Arial Narrow" w:eastAsia="仿宋_GB2312" w:hAnsi="Arial Narrow" w:cs="Arial"/>
          <w:kern w:val="0"/>
          <w:sz w:val="21"/>
          <w:szCs w:val="22"/>
        </w:rPr>
        <w:br w:type="page"/>
      </w:r>
    </w:p>
    <w:p w14:paraId="1F04A38C" w14:textId="77777777" w:rsidR="004D1721" w:rsidRDefault="009B16BC">
      <w:pPr>
        <w:pStyle w:val="ListParagraph1"/>
      </w:pPr>
      <w:bookmarkStart w:id="1140" w:name="_Toc53229111"/>
      <w:bookmarkStart w:id="1141" w:name="_Toc140505176"/>
      <w:bookmarkStart w:id="1142" w:name="_Toc47700092"/>
      <w:bookmarkStart w:id="1143" w:name="_Toc522015260"/>
      <w:r>
        <w:lastRenderedPageBreak/>
        <w:t xml:space="preserve">附件列表 </w:t>
      </w:r>
      <w:bookmarkEnd w:id="1140"/>
      <w:bookmarkEnd w:id="1141"/>
      <w:r>
        <w:t xml:space="preserve"/>
      </w:r>
      <w:bookmarkEnd w:id="1142"/>
      <w:bookmarkEnd w:id="1143"/>
    </w:p>
    <w:p w14:paraId="10030568"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附件1转让定价方法简介</w:t>
      </w:r>
      <w:r>
        <w:rPr>
          <w:rFonts w:ascii="Arial Narrow" w:eastAsia="仿宋_GB2312" w:hAnsi="Arial Narrow" w:cs="Arial"/>
          <w:sz w:val="22"/>
          <w:szCs w:val="22"/>
        </w:rPr>
        <w:t/>
      </w:r>
      <w:r>
        <w:rPr>
          <w:rFonts w:ascii="Arial Narrow" w:eastAsia="仿宋_GB2312" w:hAnsi="Arial Narrow" w:cs="Arial"/>
          <w:sz w:val="22"/>
          <w:szCs w:val="22"/>
        </w:rPr>
        <w:t/>
      </w:r>
    </w:p>
    <w:p w14:paraId="5EF32E9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324E249A"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附件3可比公司的业务简介</w:t>
      </w:r>
      <w:r>
        <w:rPr>
          <w:rFonts w:ascii="Arial Narrow" w:eastAsia="仿宋_GB2312" w:hAnsi="Arial Narrow" w:cs="Arial"/>
          <w:sz w:val="22"/>
          <w:szCs w:val="22"/>
        </w:rPr>
        <w:t/>
      </w:r>
      <w:r>
        <w:rPr>
          <w:rFonts w:ascii="Arial Narrow" w:eastAsia="仿宋_GB2312" w:hAnsi="Arial Narrow" w:cs="Arial"/>
          <w:sz w:val="22"/>
          <w:szCs w:val="22"/>
        </w:rPr>
        <w:t/>
      </w:r>
    </w:p>
    <w:p w14:paraId="7ADEFD1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附件4可比公司完全成本加成率的计算</w:t>
      </w:r>
      <w:r>
        <w:rPr>
          <w:rFonts w:ascii="Arial Narrow" w:eastAsia="仿宋_GB2312" w:hAnsi="Arial Narrow" w:cs="Arial"/>
          <w:sz w:val="22"/>
          <w:szCs w:val="22"/>
        </w:rPr>
        <w:t/>
      </w:r>
      <w:r>
        <w:rPr>
          <w:rFonts w:ascii="Arial Narrow" w:eastAsia="仿宋_GB2312" w:hAnsi="Arial Narrow" w:cs="Arial"/>
          <w:sz w:val="22"/>
          <w:szCs w:val="22"/>
        </w:rPr>
        <w:t/>
      </w:r>
    </w:p>
    <w:p w14:paraId="579F35D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11E149A8" w14:textId="77777777" w:rsidR="004D1721" w:rsidRDefault="009B16BC">
      <w:pPr>
        <w:pStyle w:val="ListParagraph1"/>
      </w:pPr>
      <w:bookmarkStart w:id="1144" w:name="_Hlk417658624"/>
      <w:bookmarkStart w:id="1145" w:name="_Toc50477149"/>
      <w:bookmarkStart w:id="1146" w:name="_Toc140505177"/>
      <w:bookmarkStart w:id="1147" w:name="_Toc53229112"/>
      <w:bookmarkStart w:id="1148" w:name="_Toc522015262"/>
      <w:r>
        <w:lastRenderedPageBreak/>
        <w:t>附件1转让定价方法简介</w:t>
      </w:r>
      <w:r>
        <w:t/>
      </w:r>
      <w:r>
        <w:t/>
      </w:r>
      <w:bookmarkEnd w:id="1144"/>
      <w:bookmarkEnd w:id="1145"/>
      <w:bookmarkEnd w:id="1146"/>
      <w:bookmarkEnd w:id="1147"/>
      <w:bookmarkEnd w:id="1148"/>
    </w:p>
    <w:p w14:paraId="0AD36FA0" w14:textId="77777777" w:rsidR="004D1721" w:rsidRDefault="009B16BC">
      <w:pPr>
        <w:jc w:val="both"/>
        <w:rPr>
          <w:rFonts w:ascii="Arial Narrow" w:eastAsia="仿宋_GB2312" w:hAnsi="Arial Narrow" w:cs="Arial"/>
          <w:b/>
          <w:bCs/>
          <w:i/>
          <w:color w:val="002060"/>
          <w:sz w:val="22"/>
          <w:szCs w:val="28"/>
        </w:rPr>
      </w:pPr>
      <w:bookmarkStart w:id="1149" w:name="_Hlk417658642"/>
      <w:r>
        <w:rPr>
          <w:rFonts w:ascii="Arial Narrow" w:eastAsia="仿宋_GB2312" w:hAnsi="Arial Narrow" w:cs="Arial"/>
          <w:b/>
          <w:bCs/>
          <w:i/>
          <w:color w:val="002060"/>
          <w:sz w:val="22"/>
          <w:szCs w:val="28"/>
        </w:rPr>
        <w:t>可比非受控价格法</w:t>
      </w:r>
    </w:p>
    <w:p w14:paraId="6C6E0C7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4E0112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3300128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4D30EA6" w14:textId="77777777" w:rsidR="004D1721" w:rsidRDefault="009B16BC">
      <w:p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再销售价格法</w:t>
      </w:r>
    </w:p>
    <w:p w14:paraId="4FE5AE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6CE6C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1DECFB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[2017]6号公告第18条规定，再销售价格法通常适用于以下交易：</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D279E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“再销售者未对商品进行改变外型、性能、结构或更换商标等实质性增值加工的简单加工或单纯的购销业务。”</w:t>
      </w:r>
      <w:r>
        <w:rPr>
          <w:rFonts w:ascii="Arial Narrow" w:eastAsia="仿宋_GB2312" w:hAnsi="Arial Narrow" w:cs="Arial"/>
          <w:sz w:val="22"/>
          <w:szCs w:val="22"/>
        </w:rPr>
        <w:t/>
      </w:r>
      <w:r>
        <w:rPr>
          <w:rFonts w:ascii="Arial Narrow" w:eastAsia="仿宋_GB2312" w:hAnsi="Arial Narrow" w:cs="Arial"/>
          <w:sz w:val="22"/>
          <w:szCs w:val="22"/>
        </w:rPr>
        <w:t/>
      </w:r>
    </w:p>
    <w:p w14:paraId="549AE955"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成本加成法</w:t>
      </w:r>
    </w:p>
    <w:p w14:paraId="55F6430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7786D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7CD1A0"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交易净利润法</w:t>
      </w:r>
    </w:p>
    <w:p w14:paraId="7E82DA1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[2017]6号公告第20条规定，交易净利润法是以可比非关联交易的利润水平指标确定关联交易的净利润。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CF48A3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C67BAF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交易净利润法较其它传统转让定价方法有其明显的优势，《OECD转让定价指南》2.62章节指出:</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27DA01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“…净利润指标2承受受控和非受控交易之间的某些功能差别。企业所发挥功能方面的差异，通常反映在营业费用的不同上。”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872F8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1DA5F42A"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lastRenderedPageBreak/>
        <w:t>利润分割法</w:t>
      </w:r>
    </w:p>
    <w:p w14:paraId="0294B18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D6A1E7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[2017]6号公告第21条的规定，利润分割法一般分为以下2种：</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B209AF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CE5183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剩余利润分割法：剩余利润分割法将关联交易各参与方的合并利润减去分配给各方的常规利润的余额作为剩余利润，再根据各方对剩余利润的贡献程度进行分配。</w:t>
      </w:r>
    </w:p>
    <w:p w14:paraId="7BDF022B" w14:textId="77777777" w:rsidR="004D1721" w:rsidRDefault="009B16BC">
      <w:pPr>
        <w:jc w:val="both"/>
        <w:rPr>
          <w:rFonts w:ascii="Arial Narrow" w:eastAsia="仿宋_GB2312" w:hAnsi="Arial Narrow" w:cs="Arial"/>
          <w:b/>
          <w:bCs/>
          <w:i/>
          <w:color w:val="009CDE"/>
          <w:sz w:val="22"/>
          <w:szCs w:val="22"/>
        </w:rPr>
      </w:pPr>
      <w:bookmarkStart w:id="1150" w:name="OLE_LINK4"/>
      <w:r>
        <w:rPr>
          <w:rFonts w:ascii="Arial Narrow" w:eastAsia="仿宋_GB2312" w:hAnsi="Arial Narrow" w:cs="Arial"/>
          <w:b/>
          <w:bCs/>
          <w:i/>
          <w:color w:val="002060"/>
          <w:sz w:val="22"/>
          <w:szCs w:val="22"/>
        </w:rPr>
        <w:t>其他符合独立交易原则的方法</w:t>
      </w:r>
    </w:p>
    <w:p w14:paraId="356326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其他符合独立交易原则的方法包括成本法、市场法和收益法等资产评估方法，以及其他能够反映利润与经济活动发生地和价值创造地相匹配原则的方法。</w:t>
      </w:r>
    </w:p>
    <w:p w14:paraId="37BA993B" w14:textId="77777777" w:rsidR="004D1721" w:rsidRDefault="009B16BC">
      <w:pPr>
        <w:numPr>
          <w:ilvl w:val="0"/>
          <w:numId w:val="32"/>
        </w:num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成本法</w:t>
      </w:r>
    </w:p>
    <w:p w14:paraId="0C952C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成本法是以替代或者重置原则为基础，通过在当前市场价格下创造一项相似资产所发生的支出确定评估标的价值的评估方法。成本法适用于能够被替代的资产价值评估。</w:t>
      </w:r>
    </w:p>
    <w:p w14:paraId="51E18933"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市场法</w:t>
      </w:r>
    </w:p>
    <w:p w14:paraId="54595B1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030975D4"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收益法</w:t>
      </w:r>
    </w:p>
    <w:p w14:paraId="1CF9F70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12"/>
        </w:sectPr>
      </w:pPr>
      <w:r>
        <w:rPr>
          <w:rFonts w:ascii="Arial Narrow" w:eastAsia="仿宋_GB2312" w:hAnsi="Arial Narrow" w:cs="Arial"/>
          <w:sz w:val="22"/>
          <w:szCs w:val="22"/>
        </w:rPr>
        <w:t>收益法是通过评估标的未来预期收益现值来确定其价值的评估方法。收益法适用于企业整体资产和可预期未来收益的单项资产评估。</w:t>
      </w:r>
      <w:bookmarkEnd w:id="1150"/>
    </w:p>
    <w:p w14:paraId="3C864CB7" w14:textId="77777777" w:rsidR="004D1721" w:rsidRDefault="009B16BC">
      <w:pPr>
        <w:pStyle w:val="ListParagraph1"/>
      </w:pPr>
      <w:bookmarkStart w:id="1151" w:name="_Toc140505178"/>
      <w:bookmarkStart w:id="1152" w:name="_Toc50477150"/>
      <w:bookmarkStart w:id="1153" w:name="_Toc53229113"/>
      <w:r>
        <w:lastRenderedPageBreak/>
        <w:t>附件2企业年度关联交易财务状况分析表</w:t>
      </w:r>
      <w:r>
        <w:t/>
      </w:r>
      <w:r>
        <w:t/>
      </w:r>
      <w:bookmarkEnd w:id="1151"/>
      <w:bookmarkEnd w:id="1152"/>
      <w:bookmarkEnd w:id="1153"/>
    </w:p>
    <w:p w14:paraId="0739E76B"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下表中的财务数据均由提供，所有金额均以人民币元为单位。</w:t>
      </w:r>
    </w:p>
    <w:p w14:paraId="536FACAA"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立信未对提供的财务数据进行核实，也未进行任何的财务分析以验证在下述财务数据中所选用分摊标准的合理性。</w:t>
      </w:r>
      <w:r>
        <w:rPr>
          <w:rFonts w:ascii="Arial Narrow" w:eastAsia="仿宋_GB2312" w:hAnsi="Arial Narrow" w:cs="Arial"/>
          <w:sz w:val="22"/>
          <w:szCs w:val="22"/>
        </w:rPr>
        <w:t/>
      </w:r>
    </w:p>
    <w:tbl>
      <w:tblPr>
        <w:tblW w:w="8647" w:type="dxa"/>
        <w:tblInd w:w="-152" w:type="dxa"/>
        <w:tblLayout w:type="fixed"/>
        <w:tblLook w:val="04A0" w:firstRow="1" w:lastRow="0" w:firstColumn="1" w:lastColumn="0" w:noHBand="0" w:noVBand="1"/>
      </w:tblPr>
      <w:tblGrid>
        <w:gridCol w:w="1702"/>
        <w:gridCol w:w="1417"/>
        <w:gridCol w:w="1418"/>
        <w:gridCol w:w="1370"/>
        <w:gridCol w:w="1323"/>
        <w:gridCol w:w="1417"/>
      </w:tblGrid>
      <w:tr w:rsidR="004D1721" w14:paraId="36588258" w14:textId="77777777">
        <w:trPr>
          <w:trHeight w:val="454"/>
        </w:trPr>
        <w:tc>
          <w:tcPr>
            <w:tcW w:w="1702" w:type="dxa"/>
            <w:tcBorders>
              <w:top w:val="single" w:sz="8" w:space="0" w:color="auto"/>
              <w:left w:val="single" w:sz="8" w:space="0" w:color="auto"/>
              <w:bottom w:val="single" w:sz="8" w:space="0" w:color="auto"/>
              <w:right w:val="nil"/>
            </w:tcBorders>
            <w:shd w:val="clear" w:color="auto" w:fill="002060"/>
            <w:vAlign w:val="center"/>
          </w:tcPr>
          <w:p w14:paraId="74FA04FD" w14:textId="77777777" w:rsidR="004D1721" w:rsidRDefault="009B16BC">
            <w:pPr>
              <w:jc w:val="center"/>
              <w:rPr>
                <w:rFonts w:ascii="Arial Narrow" w:eastAsia="仿宋_GB2312" w:hAnsi="Arial Narrow" w:cs="Arial"/>
                <w:color w:val="000000"/>
                <w:sz w:val="16"/>
                <w:szCs w:val="16"/>
              </w:rPr>
            </w:pPr>
            <w:r>
              <w:rPr>
                <w:rFonts w:ascii="Arial Narrow" w:eastAsia="仿宋_GB2312" w:hAnsi="Arial Narrow" w:cs="Arial"/>
                <w:b/>
                <w:color w:val="FFFFFF" w:themeColor="background1"/>
                <w:sz w:val="16"/>
                <w:szCs w:val="16"/>
              </w:rPr>
              <w:t>项目</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369E46BC"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境外关联交易</w:t>
            </w:r>
          </w:p>
        </w:tc>
        <w:tc>
          <w:tcPr>
            <w:tcW w:w="1418" w:type="dxa"/>
            <w:tcBorders>
              <w:top w:val="single" w:sz="8" w:space="0" w:color="auto"/>
              <w:left w:val="nil"/>
              <w:bottom w:val="single" w:sz="8" w:space="0" w:color="auto"/>
              <w:right w:val="single" w:sz="8" w:space="0" w:color="auto"/>
            </w:tcBorders>
            <w:shd w:val="clear" w:color="auto" w:fill="002060"/>
            <w:vAlign w:val="center"/>
          </w:tcPr>
          <w:p w14:paraId="710C78A1"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境外非关联交易</w:t>
            </w:r>
          </w:p>
        </w:tc>
        <w:tc>
          <w:tcPr>
            <w:tcW w:w="1370" w:type="dxa"/>
            <w:tcBorders>
              <w:top w:val="single" w:sz="8" w:space="0" w:color="auto"/>
              <w:left w:val="nil"/>
              <w:bottom w:val="single" w:sz="8" w:space="0" w:color="auto"/>
              <w:right w:val="single" w:sz="8" w:space="0" w:color="auto"/>
            </w:tcBorders>
            <w:shd w:val="clear" w:color="auto" w:fill="002060"/>
            <w:vAlign w:val="center"/>
          </w:tcPr>
          <w:p w14:paraId="067CACA2"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境内关联交易</w:t>
            </w:r>
          </w:p>
        </w:tc>
        <w:tc>
          <w:tcPr>
            <w:tcW w:w="1323" w:type="dxa"/>
            <w:tcBorders>
              <w:top w:val="single" w:sz="8" w:space="0" w:color="auto"/>
              <w:left w:val="nil"/>
              <w:bottom w:val="single" w:sz="8" w:space="0" w:color="auto"/>
              <w:right w:val="nil"/>
            </w:tcBorders>
            <w:shd w:val="clear" w:color="auto" w:fill="002060"/>
            <w:vAlign w:val="center"/>
          </w:tcPr>
          <w:p w14:paraId="77F764F1"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境内非关联交易</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68E86430"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总计</w:t>
            </w:r>
          </w:p>
        </w:tc>
      </w:tr>
      <w:tr w:rsidR="004D1721" w14:paraId="565FDE9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C8D3B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一、营业收入</w:t>
            </w:r>
          </w:p>
        </w:tc>
        <w:tc>
          <w:tcPr>
            <w:tcW w:w="1417" w:type="dxa"/>
            <w:tcBorders>
              <w:top w:val="nil"/>
              <w:left w:val="nil"/>
              <w:bottom w:val="single" w:sz="8" w:space="0" w:color="auto"/>
              <w:right w:val="single" w:sz="8" w:space="0" w:color="auto"/>
            </w:tcBorders>
            <w:shd w:val="clear" w:color="auto" w:fill="auto"/>
            <w:vAlign w:val="center"/>
          </w:tcPr>
          <w:p w14:paraId="51415B73" w14:textId="20BBAFD3"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259,966,319.63</w:t>
            </w:r>
          </w:p>
        </w:tc>
        <w:tc>
          <w:tcPr>
            <w:tcW w:w="1418" w:type="dxa"/>
            <w:tcBorders>
              <w:top w:val="nil"/>
              <w:left w:val="nil"/>
              <w:bottom w:val="single" w:sz="8" w:space="0" w:color="auto"/>
              <w:right w:val="single" w:sz="8" w:space="0" w:color="auto"/>
            </w:tcBorders>
            <w:shd w:val="clear" w:color="auto" w:fill="auto"/>
            <w:vAlign w:val="center"/>
          </w:tcPr>
          <w:p w14:paraId="535E2EF5"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F3C4139" w14:textId="5B54F33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13,250,837.84</w:t>
            </w:r>
          </w:p>
        </w:tc>
        <w:tc>
          <w:tcPr>
            <w:tcW w:w="1323" w:type="dxa"/>
            <w:tcBorders>
              <w:top w:val="nil"/>
              <w:left w:val="nil"/>
              <w:bottom w:val="single" w:sz="8" w:space="0" w:color="auto"/>
              <w:right w:val="single" w:sz="8" w:space="0" w:color="auto"/>
            </w:tcBorders>
            <w:shd w:val="clear" w:color="auto" w:fill="auto"/>
            <w:vAlign w:val="center"/>
          </w:tcPr>
          <w:p w14:paraId="259F07D8" w14:textId="65035C58"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139,170.</w:t>
            </w:r>
          </w:p>
        </w:tc>
        <w:tc>
          <w:tcPr>
            <w:tcW w:w="1417" w:type="dxa"/>
            <w:tcBorders>
              <w:top w:val="nil"/>
              <w:left w:val="nil"/>
              <w:bottom w:val="single" w:sz="8" w:space="0" w:color="auto"/>
              <w:right w:val="single" w:sz="8" w:space="0" w:color="auto"/>
            </w:tcBorders>
            <w:shd w:val="clear" w:color="auto" w:fill="auto"/>
            <w:vAlign w:val="center"/>
          </w:tcPr>
          <w:p w14:paraId="60FC9EAB" w14:textId="4CFA943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273,356,327.70</w:t>
            </w:r>
          </w:p>
        </w:tc>
      </w:tr>
      <w:tr w:rsidR="004D1721" w14:paraId="1FD04D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36EBF45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其中：主营业务收入</w:t>
            </w:r>
          </w:p>
        </w:tc>
        <w:tc>
          <w:tcPr>
            <w:tcW w:w="1417" w:type="dxa"/>
            <w:tcBorders>
              <w:top w:val="nil"/>
              <w:left w:val="nil"/>
              <w:bottom w:val="single" w:sz="8" w:space="0" w:color="auto"/>
              <w:right w:val="single" w:sz="8" w:space="0" w:color="auto"/>
            </w:tcBorders>
            <w:shd w:val="clear" w:color="auto" w:fill="auto"/>
            <w:vAlign w:val="center"/>
          </w:tcPr>
          <w:p w14:paraId="150A90FE" w14:textId="4415635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259,774,542.66</w:t>
            </w:r>
          </w:p>
        </w:tc>
        <w:tc>
          <w:tcPr>
            <w:tcW w:w="1418" w:type="dxa"/>
            <w:tcBorders>
              <w:top w:val="nil"/>
              <w:left w:val="nil"/>
              <w:bottom w:val="single" w:sz="8" w:space="0" w:color="auto"/>
              <w:right w:val="single" w:sz="8" w:space="0" w:color="auto"/>
            </w:tcBorders>
            <w:shd w:val="clear" w:color="auto" w:fill="auto"/>
            <w:vAlign w:val="center"/>
          </w:tcPr>
          <w:p w14:paraId="516927C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4A26FBE4" w14:textId="0391CF0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12,953,4.52</w:t>
            </w:r>
          </w:p>
        </w:tc>
        <w:tc>
          <w:tcPr>
            <w:tcW w:w="1323" w:type="dxa"/>
            <w:tcBorders>
              <w:top w:val="nil"/>
              <w:left w:val="nil"/>
              <w:bottom w:val="single" w:sz="8" w:space="0" w:color="auto"/>
              <w:right w:val="single" w:sz="8" w:space="0" w:color="auto"/>
            </w:tcBorders>
            <w:shd w:val="clear" w:color="auto" w:fill="auto"/>
            <w:vAlign w:val="center"/>
          </w:tcPr>
          <w:p w14:paraId="549A3F6E"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47,472.11</w:t>
            </w:r>
          </w:p>
        </w:tc>
        <w:tc>
          <w:tcPr>
            <w:tcW w:w="1417" w:type="dxa"/>
            <w:tcBorders>
              <w:top w:val="nil"/>
              <w:left w:val="nil"/>
              <w:bottom w:val="single" w:sz="8" w:space="0" w:color="auto"/>
              <w:right w:val="single" w:sz="8" w:space="0" w:color="auto"/>
            </w:tcBorders>
            <w:shd w:val="clear" w:color="auto" w:fill="auto"/>
            <w:vAlign w:val="center"/>
          </w:tcPr>
          <w:p w14:paraId="3C80447D" w14:textId="0BBF72F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272,775,438.29</w:t>
            </w:r>
          </w:p>
        </w:tc>
      </w:tr>
      <w:tr w:rsidR="004D1721" w14:paraId="157C7DD0"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54C05C7"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减：营业成本</w:t>
            </w:r>
          </w:p>
        </w:tc>
        <w:tc>
          <w:tcPr>
            <w:tcW w:w="1417" w:type="dxa"/>
            <w:tcBorders>
              <w:top w:val="nil"/>
              <w:left w:val="nil"/>
              <w:bottom w:val="single" w:sz="8" w:space="0" w:color="auto"/>
              <w:right w:val="single" w:sz="8" w:space="0" w:color="auto"/>
            </w:tcBorders>
            <w:shd w:val="clear" w:color="auto" w:fill="auto"/>
            <w:vAlign w:val="center"/>
          </w:tcPr>
          <w:p w14:paraId="20865F3D" w14:textId="4AAA5581"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2,089,218.24</w:t>
            </w:r>
          </w:p>
        </w:tc>
        <w:tc>
          <w:tcPr>
            <w:tcW w:w="1418" w:type="dxa"/>
            <w:tcBorders>
              <w:top w:val="nil"/>
              <w:left w:val="nil"/>
              <w:bottom w:val="single" w:sz="8" w:space="0" w:color="auto"/>
              <w:right w:val="single" w:sz="8" w:space="0" w:color="auto"/>
            </w:tcBorders>
            <w:shd w:val="clear" w:color="auto" w:fill="auto"/>
            <w:vAlign w:val="center"/>
          </w:tcPr>
          <w:p w14:paraId="5E00669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06DDC32" w14:textId="039F25A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21A53C5D" w14:textId="0B74782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5B09793A" w14:textId="0E32F72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243,696,017.20</w:t>
            </w:r>
          </w:p>
        </w:tc>
      </w:tr>
      <w:tr w:rsidR="004D1721" w14:paraId="1BDB20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3F362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其中：主营业务成本</w:t>
            </w:r>
          </w:p>
        </w:tc>
        <w:tc>
          <w:tcPr>
            <w:tcW w:w="1417" w:type="dxa"/>
            <w:tcBorders>
              <w:top w:val="nil"/>
              <w:left w:val="nil"/>
              <w:bottom w:val="single" w:sz="8" w:space="0" w:color="auto"/>
              <w:right w:val="single" w:sz="8" w:space="0" w:color="auto"/>
            </w:tcBorders>
            <w:shd w:val="clear" w:color="auto" w:fill="auto"/>
            <w:vAlign w:val="center"/>
          </w:tcPr>
          <w:p w14:paraId="0B276AE1" w14:textId="5440F58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1,905,147.44</w:t>
            </w:r>
          </w:p>
        </w:tc>
        <w:tc>
          <w:tcPr>
            <w:tcW w:w="1418" w:type="dxa"/>
            <w:tcBorders>
              <w:top w:val="nil"/>
              <w:left w:val="nil"/>
              <w:bottom w:val="single" w:sz="8" w:space="0" w:color="auto"/>
              <w:right w:val="single" w:sz="8" w:space="0" w:color="auto"/>
            </w:tcBorders>
            <w:shd w:val="clear" w:color="auto" w:fill="auto"/>
            <w:vAlign w:val="center"/>
          </w:tcPr>
          <w:p w14:paraId="023BFD7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277EC96" w14:textId="5B180BC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5DBC2A55"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16B0E8AE" w14:textId="4488423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243,511,946.40</w:t>
            </w:r>
          </w:p>
        </w:tc>
      </w:tr>
      <w:tr w:rsidR="004D1721" w14:paraId="4F619177"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08CA80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营业税金及附加</w:t>
            </w:r>
          </w:p>
        </w:tc>
        <w:tc>
          <w:tcPr>
            <w:tcW w:w="1417" w:type="dxa"/>
            <w:tcBorders>
              <w:top w:val="nil"/>
              <w:left w:val="nil"/>
              <w:bottom w:val="single" w:sz="8" w:space="0" w:color="auto"/>
              <w:right w:val="single" w:sz="8" w:space="0" w:color="auto"/>
            </w:tcBorders>
            <w:shd w:val="clear" w:color="auto" w:fill="auto"/>
            <w:vAlign w:val="center"/>
          </w:tcPr>
          <w:p w14:paraId="6F17F261" w14:textId="3A61BE15"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93,610.31</w:t>
            </w:r>
          </w:p>
        </w:tc>
        <w:tc>
          <w:tcPr>
            <w:tcW w:w="1418" w:type="dxa"/>
            <w:tcBorders>
              <w:top w:val="nil"/>
              <w:left w:val="nil"/>
              <w:bottom w:val="single" w:sz="8" w:space="0" w:color="auto"/>
              <w:right w:val="single" w:sz="8" w:space="0" w:color="auto"/>
            </w:tcBorders>
            <w:shd w:val="clear" w:color="auto" w:fill="auto"/>
            <w:vAlign w:val="center"/>
          </w:tcPr>
          <w:p w14:paraId="04BA768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061626D" w14:textId="52C5EDA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3309931D" w14:textId="0E3A8765"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115D9D20" w14:textId="7668E6D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60D97BAA"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D166EF3"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其中：主营业务税金及附加</w:t>
            </w:r>
          </w:p>
        </w:tc>
        <w:tc>
          <w:tcPr>
            <w:tcW w:w="1417" w:type="dxa"/>
            <w:tcBorders>
              <w:top w:val="nil"/>
              <w:left w:val="nil"/>
              <w:bottom w:val="single" w:sz="8" w:space="0" w:color="auto"/>
              <w:right w:val="single" w:sz="8" w:space="0" w:color="auto"/>
            </w:tcBorders>
            <w:shd w:val="clear" w:color="auto" w:fill="auto"/>
            <w:vAlign w:val="center"/>
          </w:tcPr>
          <w:p w14:paraId="10AB4FA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93,610.31</w:t>
            </w:r>
          </w:p>
        </w:tc>
        <w:tc>
          <w:tcPr>
            <w:tcW w:w="1418" w:type="dxa"/>
            <w:tcBorders>
              <w:top w:val="nil"/>
              <w:left w:val="nil"/>
              <w:bottom w:val="single" w:sz="8" w:space="0" w:color="auto"/>
              <w:right w:val="single" w:sz="8" w:space="0" w:color="auto"/>
            </w:tcBorders>
            <w:shd w:val="clear" w:color="auto" w:fill="auto"/>
            <w:vAlign w:val="center"/>
          </w:tcPr>
          <w:p w14:paraId="171A5D9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985CACA" w14:textId="316D76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4CC18C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82AE68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29E1E2E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26A0752"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销售费用</w:t>
            </w:r>
          </w:p>
        </w:tc>
        <w:tc>
          <w:tcPr>
            <w:tcW w:w="1417" w:type="dxa"/>
            <w:tcBorders>
              <w:top w:val="nil"/>
              <w:left w:val="nil"/>
              <w:bottom w:val="single" w:sz="8" w:space="0" w:color="auto"/>
              <w:right w:val="single" w:sz="8" w:space="0" w:color="auto"/>
            </w:tcBorders>
            <w:shd w:val="clear" w:color="auto" w:fill="auto"/>
            <w:vAlign w:val="center"/>
          </w:tcPr>
          <w:p w14:paraId="08A7911C" w14:textId="4F66867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535,856.46</w:t>
            </w:r>
          </w:p>
        </w:tc>
        <w:tc>
          <w:tcPr>
            <w:tcW w:w="1418" w:type="dxa"/>
            <w:tcBorders>
              <w:top w:val="nil"/>
              <w:left w:val="nil"/>
              <w:bottom w:val="single" w:sz="8" w:space="0" w:color="auto"/>
              <w:right w:val="single" w:sz="8" w:space="0" w:color="auto"/>
            </w:tcBorders>
            <w:shd w:val="clear" w:color="auto" w:fill="auto"/>
            <w:vAlign w:val="center"/>
          </w:tcPr>
          <w:p w14:paraId="1F769B1E"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4298D5D" w14:textId="2B41C89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26,720.00</w:t>
            </w:r>
          </w:p>
        </w:tc>
        <w:tc>
          <w:tcPr>
            <w:tcW w:w="1323" w:type="dxa"/>
            <w:tcBorders>
              <w:top w:val="nil"/>
              <w:left w:val="nil"/>
              <w:bottom w:val="single" w:sz="8" w:space="0" w:color="auto"/>
              <w:right w:val="single" w:sz="8" w:space="0" w:color="auto"/>
            </w:tcBorders>
            <w:shd w:val="clear" w:color="auto" w:fill="auto"/>
            <w:vAlign w:val="center"/>
          </w:tcPr>
          <w:p w14:paraId="6920FCDA" w14:textId="15B933A2"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1912FC2" w14:textId="7CFE7B1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562,576.46</w:t>
            </w:r>
          </w:p>
        </w:tc>
      </w:tr>
      <w:tr w:rsidR="004D1721" w14:paraId="088F1C3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9CB291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管理费用</w:t>
            </w:r>
          </w:p>
        </w:tc>
        <w:tc>
          <w:tcPr>
            <w:tcW w:w="1417" w:type="dxa"/>
            <w:tcBorders>
              <w:top w:val="nil"/>
              <w:left w:val="nil"/>
              <w:bottom w:val="single" w:sz="8" w:space="0" w:color="auto"/>
              <w:right w:val="single" w:sz="8" w:space="0" w:color="auto"/>
            </w:tcBorders>
            <w:shd w:val="clear" w:color="auto" w:fill="auto"/>
            <w:vAlign w:val="center"/>
          </w:tcPr>
          <w:p w14:paraId="61F50BE9" w14:textId="49C5AFE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14,632,608.47</w:t>
            </w:r>
          </w:p>
        </w:tc>
        <w:tc>
          <w:tcPr>
            <w:tcW w:w="1418" w:type="dxa"/>
            <w:tcBorders>
              <w:top w:val="nil"/>
              <w:left w:val="nil"/>
              <w:bottom w:val="single" w:sz="8" w:space="0" w:color="auto"/>
              <w:right w:val="single" w:sz="8" w:space="0" w:color="auto"/>
            </w:tcBorders>
            <w:shd w:val="clear" w:color="auto" w:fill="auto"/>
            <w:vAlign w:val="center"/>
          </w:tcPr>
          <w:p w14:paraId="10D6C35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107DFB" w14:textId="3FFAC6F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729,641.84</w:t>
            </w:r>
          </w:p>
        </w:tc>
        <w:tc>
          <w:tcPr>
            <w:tcW w:w="1323" w:type="dxa"/>
            <w:tcBorders>
              <w:top w:val="nil"/>
              <w:left w:val="nil"/>
              <w:bottom w:val="single" w:sz="8" w:space="0" w:color="auto"/>
              <w:right w:val="single" w:sz="8" w:space="0" w:color="auto"/>
            </w:tcBorders>
            <w:shd w:val="clear" w:color="auto" w:fill="auto"/>
            <w:vAlign w:val="center"/>
          </w:tcPr>
          <w:p w14:paraId="05BDC175" w14:textId="12B04149"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5BB34C9D" w14:textId="0EC5468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15,362,250.31</w:t>
            </w:r>
          </w:p>
        </w:tc>
      </w:tr>
      <w:tr w:rsidR="004D1721" w14:paraId="13ED3D0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53978F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研发费用</w:t>
            </w:r>
          </w:p>
        </w:tc>
        <w:tc>
          <w:tcPr>
            <w:tcW w:w="1417" w:type="dxa"/>
            <w:tcBorders>
              <w:top w:val="nil"/>
              <w:left w:val="nil"/>
              <w:bottom w:val="single" w:sz="8" w:space="0" w:color="auto"/>
              <w:right w:val="single" w:sz="8" w:space="0" w:color="auto"/>
            </w:tcBorders>
            <w:shd w:val="clear" w:color="auto" w:fill="auto"/>
            <w:vAlign w:val="center"/>
          </w:tcPr>
          <w:p w14:paraId="38E35F0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05C220C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37169B0"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30F0392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0ACDCAE4"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18CCD2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0F4A47B4"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财务费用</w:t>
            </w:r>
          </w:p>
        </w:tc>
        <w:tc>
          <w:tcPr>
            <w:tcW w:w="1417" w:type="dxa"/>
            <w:tcBorders>
              <w:top w:val="nil"/>
              <w:left w:val="nil"/>
              <w:bottom w:val="single" w:sz="8" w:space="0" w:color="auto"/>
              <w:right w:val="single" w:sz="8" w:space="0" w:color="auto"/>
            </w:tcBorders>
            <w:shd w:val="clear" w:color="auto" w:fill="auto"/>
            <w:vAlign w:val="center"/>
          </w:tcPr>
          <w:p w14:paraId="2FAD6CEE" w14:textId="412FFEB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517,141.81</w:t>
            </w:r>
          </w:p>
        </w:tc>
        <w:tc>
          <w:tcPr>
            <w:tcW w:w="1418" w:type="dxa"/>
            <w:tcBorders>
              <w:top w:val="nil"/>
              <w:left w:val="nil"/>
              <w:bottom w:val="single" w:sz="8" w:space="0" w:color="auto"/>
              <w:right w:val="single" w:sz="8" w:space="0" w:color="auto"/>
            </w:tcBorders>
            <w:shd w:val="clear" w:color="auto" w:fill="auto"/>
            <w:vAlign w:val="center"/>
          </w:tcPr>
          <w:p w14:paraId="2B38A43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37002C24" w14:textId="694C73F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25,786.81</w:t>
            </w:r>
          </w:p>
        </w:tc>
        <w:tc>
          <w:tcPr>
            <w:tcW w:w="1323" w:type="dxa"/>
            <w:tcBorders>
              <w:top w:val="nil"/>
              <w:left w:val="nil"/>
              <w:bottom w:val="single" w:sz="8" w:space="0" w:color="auto"/>
              <w:right w:val="single" w:sz="8" w:space="0" w:color="auto"/>
            </w:tcBorders>
            <w:shd w:val="clear" w:color="auto" w:fill="auto"/>
            <w:vAlign w:val="center"/>
          </w:tcPr>
          <w:p w14:paraId="1CAA4556" w14:textId="350AE796"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B32A911" w14:textId="7E63392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542,928.62</w:t>
            </w:r>
          </w:p>
        </w:tc>
      </w:tr>
      <w:tr w:rsidR="004D1721" w14:paraId="0131D495"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1A8866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资产减值损失</w:t>
            </w:r>
          </w:p>
        </w:tc>
        <w:tc>
          <w:tcPr>
            <w:tcW w:w="1417" w:type="dxa"/>
            <w:tcBorders>
              <w:top w:val="nil"/>
              <w:left w:val="nil"/>
              <w:bottom w:val="single" w:sz="8" w:space="0" w:color="auto"/>
              <w:right w:val="single" w:sz="8" w:space="0" w:color="auto"/>
            </w:tcBorders>
            <w:shd w:val="clear" w:color="auto" w:fill="auto"/>
            <w:vAlign w:val="center"/>
          </w:tcPr>
          <w:p w14:paraId="7937E5EA" w14:textId="6E601C93"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07C486D"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AF378B4" w14:textId="78352FA1"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196A7C04" w14:textId="2B7139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c>
          <w:tcPr>
            <w:tcW w:w="1417" w:type="dxa"/>
            <w:tcBorders>
              <w:top w:val="nil"/>
              <w:left w:val="nil"/>
              <w:bottom w:val="single" w:sz="8" w:space="0" w:color="auto"/>
              <w:right w:val="single" w:sz="8" w:space="0" w:color="auto"/>
            </w:tcBorders>
            <w:shd w:val="clear" w:color="auto" w:fill="auto"/>
            <w:vAlign w:val="center"/>
          </w:tcPr>
          <w:p w14:paraId="25246B37" w14:textId="31CA542F"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r>
      <w:tr w:rsidR="004D1721" w14:paraId="66FA179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FB5030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加：公允价值变动收益（损失以“-”号填列）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0E4359B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8D5FC9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4478298"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5669F056"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935FB65"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14396A2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2368347B"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其他收益</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6FB21BB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1EDEFF5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BF5C8B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F225C8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444F35F"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45A2C8E"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9AAA166"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资产处置收益</w:t>
            </w:r>
          </w:p>
        </w:tc>
        <w:tc>
          <w:tcPr>
            <w:tcW w:w="1417" w:type="dxa"/>
            <w:tcBorders>
              <w:top w:val="nil"/>
              <w:left w:val="nil"/>
              <w:bottom w:val="single" w:sz="8" w:space="0" w:color="auto"/>
              <w:right w:val="single" w:sz="8" w:space="0" w:color="auto"/>
            </w:tcBorders>
            <w:shd w:val="clear" w:color="auto" w:fill="auto"/>
            <w:vAlign w:val="center"/>
          </w:tcPr>
          <w:p w14:paraId="21FEC59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5EEC4F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7406F76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A4EACD8"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749C6BD"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53F0512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26C3301"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投资收益（损失以“-”号填列）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4BED8B1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2FE20D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3E9B05" w14:textId="3A0C6E8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c>
          <w:tcPr>
            <w:tcW w:w="1323" w:type="dxa"/>
            <w:tcBorders>
              <w:top w:val="nil"/>
              <w:left w:val="nil"/>
              <w:bottom w:val="single" w:sz="8" w:space="0" w:color="auto"/>
              <w:right w:val="single" w:sz="8" w:space="0" w:color="auto"/>
            </w:tcBorders>
            <w:shd w:val="clear" w:color="auto" w:fill="auto"/>
            <w:vAlign w:val="center"/>
          </w:tcPr>
          <w:p w14:paraId="6ECDCA3B" w14:textId="77777777" w:rsidR="004D1721" w:rsidRDefault="004D1721">
            <w:pPr>
              <w:ind w:leftChars="-40" w:left="-80" w:rightChars="-20" w:right="-40"/>
              <w:jc w:val="right"/>
              <w:rPr>
                <w:rFonts w:ascii="Arial Narrow" w:eastAsia="仿宋_GB2312" w:hAnsi="Arial Narrow" w:cs="Arial"/>
                <w:color w:val="000000"/>
                <w:sz w:val="16"/>
                <w:szCs w:val="16"/>
              </w:rPr>
            </w:pPr>
          </w:p>
        </w:tc>
        <w:tc>
          <w:tcPr>
            <w:tcW w:w="1417" w:type="dxa"/>
            <w:tcBorders>
              <w:top w:val="nil"/>
              <w:left w:val="nil"/>
              <w:bottom w:val="single" w:sz="8" w:space="0" w:color="auto"/>
              <w:right w:val="single" w:sz="8" w:space="0" w:color="auto"/>
            </w:tcBorders>
            <w:shd w:val="clear" w:color="auto" w:fill="auto"/>
            <w:vAlign w:val="center"/>
          </w:tcPr>
          <w:p w14:paraId="67D43B35" w14:textId="09F940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r>
      <w:tr w:rsidR="004D1721" w14:paraId="116E65B2"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566D48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其中：对联营企业和合营企业的投资收益</w:t>
            </w:r>
          </w:p>
        </w:tc>
        <w:tc>
          <w:tcPr>
            <w:tcW w:w="1417" w:type="dxa"/>
            <w:tcBorders>
              <w:top w:val="nil"/>
              <w:left w:val="nil"/>
              <w:bottom w:val="single" w:sz="8" w:space="0" w:color="auto"/>
              <w:right w:val="single" w:sz="8" w:space="0" w:color="auto"/>
            </w:tcBorders>
            <w:shd w:val="clear" w:color="auto" w:fill="auto"/>
            <w:vAlign w:val="center"/>
          </w:tcPr>
          <w:p w14:paraId="14F5480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20D99C8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75681F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2CC3DC6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0EB64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C02E05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340074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二、营业利润（亏损以“-”号填列）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5A62F4D2" w14:textId="3A3EB46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12,097,884.34</w:t>
            </w:r>
          </w:p>
        </w:tc>
        <w:tc>
          <w:tcPr>
            <w:tcW w:w="1418" w:type="dxa"/>
            <w:tcBorders>
              <w:top w:val="nil"/>
              <w:left w:val="nil"/>
              <w:bottom w:val="single" w:sz="8" w:space="0" w:color="auto"/>
              <w:right w:val="single" w:sz="8" w:space="0" w:color="auto"/>
            </w:tcBorders>
            <w:shd w:val="clear" w:color="auto" w:fill="auto"/>
            <w:vAlign w:val="center"/>
          </w:tcPr>
          <w:p w14:paraId="2156FC9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124568A" w14:textId="129B9762"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891,101.64</w:t>
            </w:r>
          </w:p>
        </w:tc>
        <w:tc>
          <w:tcPr>
            <w:tcW w:w="1323" w:type="dxa"/>
            <w:tcBorders>
              <w:top w:val="nil"/>
              <w:left w:val="nil"/>
              <w:bottom w:val="single" w:sz="8" w:space="0" w:color="auto"/>
              <w:right w:val="single" w:sz="8" w:space="0" w:color="auto"/>
            </w:tcBorders>
            <w:shd w:val="clear" w:color="auto" w:fill="auto"/>
            <w:vAlign w:val="center"/>
          </w:tcPr>
          <w:p w14:paraId="0A18BC62" w14:textId="760B3469"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60,721.00</w:t>
            </w:r>
          </w:p>
        </w:tc>
        <w:tc>
          <w:tcPr>
            <w:tcW w:w="1417" w:type="dxa"/>
            <w:tcBorders>
              <w:top w:val="nil"/>
              <w:left w:val="nil"/>
              <w:bottom w:val="single" w:sz="8" w:space="0" w:color="auto"/>
              <w:right w:val="single" w:sz="8" w:space="0" w:color="auto"/>
            </w:tcBorders>
            <w:shd w:val="clear" w:color="auto" w:fill="auto"/>
            <w:vAlign w:val="center"/>
          </w:tcPr>
          <w:p w14:paraId="71FFC3AE" w14:textId="26E6879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13,049,706.98</w:t>
            </w:r>
          </w:p>
        </w:tc>
      </w:tr>
    </w:tbl>
    <w:p w14:paraId="15668796"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26"/>
        </w:sectPr>
      </w:pPr>
      <w:r>
        <w:rPr>
          <w:rFonts w:ascii="Arial Narrow" w:eastAsia="仿宋_GB2312" w:hAnsi="Arial Narrow" w:cs="Arial"/>
          <w:sz w:val="22"/>
          <w:szCs w:val="22"/>
        </w:rPr>
        <w:t>注：各项税金、费用、其他收益等，无法根据境内关联交易、非关联交易明确区分的，以收入比重拆分。</w:t>
      </w:r>
    </w:p>
    <w:p w14:paraId="196C4EB3" w14:textId="77777777" w:rsidR="004D1721" w:rsidRDefault="009B16BC">
      <w:pPr>
        <w:pStyle w:val="ListParagraph1"/>
      </w:pPr>
      <w:bookmarkStart w:id="1154" w:name="_Toc53229114"/>
      <w:bookmarkStart w:id="1155" w:name="_Toc140505179"/>
      <w:bookmarkStart w:id="1156" w:name="_Toc50477151"/>
      <w:r>
        <w:lastRenderedPageBreak/>
        <w:t>附件3被选可比公司的业务简介</w:t>
      </w:r>
      <w:r>
        <w:t/>
      </w:r>
      <w:r>
        <w:t/>
      </w:r>
      <w:bookmarkEnd w:id="1149"/>
      <w:bookmarkEnd w:id="1154"/>
      <w:bookmarkEnd w:id="1155"/>
      <w:bookmarkEnd w:id="1156"/>
    </w:p>
    <w:p w14:paraId="6B13EE42"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 xml:space="preserve">SHISEIDO COMPANY LIMITED （日本）</w:t>
      </w:r>
      <w:r>
        <w:rPr>
          <w:rFonts w:ascii="Arial Narrow" w:eastAsia="仿宋_GB2312" w:hAnsi="Arial Narrow" w:cs="Arial"/>
          <w:b/>
          <w:bCs/>
          <w:i/>
          <w:color w:val="002060"/>
          <w:sz w:val="22"/>
          <w:szCs w:val="22"/>
        </w:rPr>
        <w:t/>
      </w:r>
    </w:p>
    <w:p w14:paraId="76A853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该公司是日本主要的护发和化妆品生产商，也是世界上历史最悠久的化妆品公司。该公司的主要业务是制造和销售化妆品、洗漱用品和美容产品。自营化妆品牌主要有Aupress、Cle de Peau Beaute、PURE&amp;Minor、Maquillage。</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2A6F352"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KOSE CORPORATION（日本）</w:t>
      </w:r>
      <w:r>
        <w:rPr>
          <w:rFonts w:ascii="Arial Narrow" w:eastAsia="仿宋_GB2312" w:hAnsi="Arial Narrow" w:cs="Arial"/>
          <w:b/>
          <w:bCs/>
          <w:i/>
          <w:color w:val="002060"/>
          <w:sz w:val="22"/>
          <w:szCs w:val="22"/>
        </w:rPr>
        <w:t/>
      </w:r>
    </w:p>
    <w:p w14:paraId="49D172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该公司位于日本，从事化妆品、护肤品和护发用品的生产和销售。主要品牌包括Astalution、Infinity、Cosme Decorte AQ、Cosme Decorte、Jill Stuart、Stephen Knoll、Aware、Beaute de KOSE、Espirique Precious和Rimmel等。公司产品通过其子公司在零售、百货和百货商店以及其他销售渠道销售。该公司在中国大陆、台湾、韩国和美国都有业务。</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313E73B"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AFC-HD AMS LIFE SCIENCE CO., LTD.（日本）</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lang w:eastAsia="zh-Hans"/>
        </w:rPr>
        <w:t/>
      </w:r>
      <w:r>
        <w:rPr>
          <w:rFonts w:ascii="Arial Narrow" w:eastAsia="仿宋_GB2312" w:hAnsi="Arial Narrow" w:cs="Arial"/>
          <w:b/>
          <w:bCs/>
          <w:i/>
          <w:color w:val="002060"/>
          <w:sz w:val="22"/>
          <w:szCs w:val="22"/>
        </w:rPr>
        <w:t/>
      </w:r>
    </w:p>
    <w:p w14:paraId="2D9A7F5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eastAsia="zh-Hans"/>
        </w:rPr>
        <w:t>该公司在日本和国际上从事保健食品和化妆品的生产。其活动包括规划、研究、开发、加工和完成膳食补充剂和化妆品。其化妆品产品包括面部清洁油、面部乳液、乳白色乳液、化妆油、清洁霜和液体化妆品。该公司成立于1969年，总部位于日本静冈。</w:t>
      </w:r>
      <w:r>
        <w:rPr>
          <w:rFonts w:ascii="Arial Narrow" w:eastAsia="仿宋_GB2312" w:hAnsi="Arial Narrow" w:cs="Arial"/>
          <w:sz w:val="22"/>
          <w:szCs w:val="22"/>
          <w:lang w:eastAsia="zh-Hans"/>
        </w:rPr>
        <w:t/>
      </w:r>
      <w:r>
        <w:rPr>
          <w:rFonts w:ascii="Arial Narrow" w:eastAsia="仿宋_GB2312" w:hAnsi="Arial Narrow" w:cs="Arial" w:hint="eastAsia"/>
          <w:sz w:val="22"/>
          <w:szCs w:val="22"/>
          <w:lang w:eastAsia="zh-Hans"/>
        </w:rPr>
        <w:t/>
      </w:r>
    </w:p>
    <w:p w14:paraId="1B146D07"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S &amp; J INTERNATIONAL ENTERPRISES PCL（泰国）</w:t>
      </w:r>
      <w:r>
        <w:rPr>
          <w:rFonts w:ascii="Arial Narrow" w:eastAsia="仿宋_GB2312" w:hAnsi="Arial Narrow" w:cs="Arial"/>
          <w:b/>
          <w:bCs/>
          <w:i/>
          <w:color w:val="002060"/>
          <w:sz w:val="22"/>
          <w:szCs w:val="22"/>
        </w:rPr>
        <w:t/>
      </w:r>
    </w:p>
    <w:p w14:paraId="79A75B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该公司生产、销售和出口各种品牌的化妆品配方和个人护理产品。公司主要从事香水、古龙水、沐浴露、面霜和其他相关化妆品的生产和销售。</w:t>
      </w:r>
    </w:p>
    <w:p w14:paraId="245C8300"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NIPPON SHIKIZAI INC（日本）</w:t>
      </w:r>
      <w:r>
        <w:rPr>
          <w:rFonts w:ascii="Arial Narrow" w:eastAsia="仿宋_GB2312" w:hAnsi="Arial Narrow" w:cs="Arial"/>
          <w:b/>
          <w:bCs/>
          <w:i/>
          <w:color w:val="002060"/>
          <w:sz w:val="22"/>
          <w:szCs w:val="22"/>
        </w:rPr>
        <w:t/>
      </w:r>
    </w:p>
    <w:p w14:paraId="0C1A4D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化妆品、基础化妆品、准药物的研发和生产。公司的化妆品种类包括粉底、眼影、胭脂、口红、唇膏、保湿剂和防晒乳液，药妆包括益康唑、药用牙膏、漱口水、洗耳水和女性卫生用品。公司的主要客户是化妆品和制药行业，其生产工厂位于日本和法国。</w:t>
      </w:r>
      <w:r>
        <w:rPr>
          <w:rFonts w:ascii="Arial Narrow" w:eastAsia="仿宋_GB2312" w:hAnsi="Arial Narrow" w:cs="Arial"/>
          <w:sz w:val="22"/>
          <w:szCs w:val="22"/>
        </w:rPr>
        <w:lastRenderedPageBreak/>
        <w:t/>
      </w:r>
    </w:p>
    <w:p w14:paraId="682C360B" w14:textId="77777777" w:rsidR="004D1721" w:rsidRDefault="009B16BC">
      <w:pPr>
        <w:spacing w:beforeLines="50" w:before="180" w:afterLines="50" w:after="180"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COREANA COSMETICS CO.,LTD.（韩国）</w:t>
      </w:r>
      <w:r>
        <w:rPr>
          <w:rFonts w:ascii="Arial Narrow" w:eastAsia="仿宋_GB2312" w:hAnsi="Arial Narrow" w:cs="Arial"/>
          <w:b/>
          <w:bCs/>
          <w:i/>
          <w:color w:val="002060"/>
          <w:sz w:val="22"/>
          <w:szCs w:val="22"/>
        </w:rPr>
        <w:t/>
      </w:r>
    </w:p>
    <w:p w14:paraId="03221F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一家在韩国和国际上从事化妆品和美容产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Bio Defense、Coreana、Entia、Nokdu、Remit、Senite、Develop和Zebec。产品远销国内外，包括中国、中国台湾、蒙古、澳大利亚、越南、新加坡和美国。</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F24694F"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HANKOOK COSMETICS MANUFACTURING CO., LTD.（韩国）</w:t>
      </w:r>
      <w:r>
        <w:rPr>
          <w:rFonts w:ascii="Arial Narrow" w:eastAsia="仿宋_GB2312" w:hAnsi="Arial Narrow" w:cs="Arial"/>
          <w:b/>
          <w:bCs/>
          <w:i/>
          <w:color w:val="002060"/>
          <w:sz w:val="22"/>
          <w:szCs w:val="22"/>
        </w:rPr>
        <w:t/>
      </w:r>
    </w:p>
    <w:p w14:paraId="42E8E5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该公司主要从事香水、化妆品和其他卫生间制剂的制造。该公司为皮肤提供基础、清洁、美白和化妆产品，以及沐浴露和香水。公司销售的产品有A3F、caLLI、TENTURE、OSSION、SANSIM、CONTINUE HM、IDEM、GALENIC、ANNICK GOUTAL、XIAN、BEUTRI、CHESS The经典等品牌。其化妆品出口到美国、中国和日本。</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755FE75" w14:textId="77777777" w:rsidR="004D1721" w:rsidRDefault="009B16BC">
      <w:pPr>
        <w:spacing w:line="360" w:lineRule="auto"/>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MAYWUFA COMPANY LTD.（中国台湾）</w:t>
      </w:r>
      <w:r>
        <w:rPr>
          <w:rFonts w:ascii="Arial Narrow" w:eastAsia="仿宋_GB2312" w:hAnsi="Arial Narrow" w:cs="Arial"/>
          <w:b/>
          <w:bCs/>
          <w:i/>
          <w:color w:val="002060"/>
          <w:sz w:val="22"/>
          <w:szCs w:val="22"/>
        </w:rPr>
        <w:t/>
      </w:r>
    </w:p>
    <w:p w14:paraId="390FC3D8" w14:textId="34B7B6CB"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p>
    <w:p w14:paraId="2CD8FA54" w14:textId="77777777" w:rsidR="004D1721" w:rsidRDefault="004D1721">
      <w:pPr>
        <w:spacing w:line="360" w:lineRule="auto"/>
        <w:rPr>
          <w:rFonts w:ascii="Arial Narrow" w:eastAsia="仿宋_GB2312" w:hAnsi="Arial Narrow" w:cs="Arial"/>
          <w:b/>
          <w:bCs/>
          <w:i/>
          <w:color w:val="009CDE"/>
          <w:sz w:val="22"/>
          <w:szCs w:val="22"/>
        </w:rPr>
      </w:pPr>
    </w:p>
    <w:p w14:paraId="1B083F96" w14:textId="77777777" w:rsidR="004D1721" w:rsidRDefault="004D1721">
      <w:pPr>
        <w:spacing w:line="360" w:lineRule="auto"/>
        <w:rPr>
          <w:rFonts w:ascii="Arial Narrow" w:eastAsia="仿宋_GB2312" w:hAnsi="Arial Narrow" w:cs="Arial"/>
          <w:b/>
          <w:bCs/>
          <w:i/>
          <w:color w:val="009CDE"/>
          <w:sz w:val="22"/>
          <w:szCs w:val="22"/>
        </w:rPr>
      </w:pPr>
    </w:p>
    <w:p w14:paraId="267C1384" w14:textId="348490E0" w:rsidR="004D1721" w:rsidRDefault="009B16BC">
      <w:pPr>
        <w:spacing w:line="360" w:lineRule="auto"/>
        <w:rPr>
          <w:rFonts w:ascii="Arial Narrow" w:eastAsia="仿宋_GB2312" w:hAnsi="Arial Narrow" w:cs="Arial"/>
          <w:b/>
          <w:bCs/>
          <w:i/>
          <w:color w:val="009CDE"/>
          <w:sz w:val="22"/>
          <w:szCs w:val="22"/>
        </w:rPr>
      </w:pPr>
      <w:r w:rsidRPr="005D08A5">
        <w:rPr>
          <w:rFonts w:ascii="Arial Narrow" w:eastAsia="仿宋_GB2312" w:hAnsi="Arial Narrow" w:cs="Arial"/>
          <w:b/>
          <w:bCs/>
          <w:i/>
          <w:color w:val="002060"/>
          <w:sz w:val="22"/>
          <w:szCs w:val="22"/>
        </w:rPr>
        <w:lastRenderedPageBreak/>
        <w:t>COSMAX BTI INC.（韩国）</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rPr>
        <w:t/>
      </w:r>
      <w:r>
        <w:rPr>
          <w:rFonts w:ascii="Arial Narrow" w:eastAsia="仿宋_GB2312" w:hAnsi="Arial Narrow" w:cs="Arial"/>
          <w:b/>
          <w:bCs/>
          <w:i/>
          <w:color w:val="002060"/>
          <w:sz w:val="22"/>
          <w:szCs w:val="22"/>
        </w:rPr>
        <w:t/>
      </w:r>
    </w:p>
    <w:p w14:paraId="0105875F" w14:textId="6F6ACF30"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sidRPr="005D08A5">
        <w:rPr>
          <w:rFonts w:ascii="Arial Narrow" w:eastAsia="仿宋_GB2312" w:hAnsi="Arial Narrow" w:cs="Arial" w:hint="eastAsia"/>
          <w:sz w:val="22"/>
          <w:szCs w:val="22"/>
        </w:rPr>
        <w:t>该公司生产的产品包括了护肤品(乳液，乳液，面霜和面膜)，化妆品(粉底，遮瑕膏，粉底，眼影和口红)，护发产品(发蜡，发胶，发型和剃须泡沫)，以及特殊功能产品(防晒，美白和抗皱)。其客户包括了爱茉莉太平洋公司、TheFaceShop、Forever 21、强生、考斯威、欧莱雅和美宝莲。该公司还与意大利的Intercos、日本的ITC和法国的CLC国际化妆品公司建立了合作伙伴关系。</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4C2707E0"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065F758"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850" w:footer="992" w:gutter="0"/>
          <w:cols w:space="720"/>
          <w:docGrid w:type="lines" w:linePitch="360"/>
        </w:sectPr>
      </w:pPr>
    </w:p>
    <w:p w14:paraId="32CE972D" w14:textId="77777777" w:rsidR="004D1721" w:rsidRDefault="009B16BC">
      <w:pPr>
        <w:pStyle w:val="ListParagraph1"/>
      </w:pPr>
      <w:bookmarkStart w:id="1157" w:name="_Toc50477152"/>
      <w:bookmarkStart w:id="1158" w:name="_Toc140505180"/>
      <w:bookmarkStart w:id="1159" w:name="_Toc53229115"/>
      <w:bookmarkStart w:id="1160" w:name="_Hlk417985670"/>
      <w:bookmarkStart w:id="1161" w:name="_Hlk418599089"/>
      <w:bookmarkStart w:id="1162" w:name="_Toc522015265"/>
      <w:bookmarkStart w:id="1163" w:name="_Hlk418937229"/>
      <w:r>
        <w:lastRenderedPageBreak/>
        <w:t>附件4被选可比公司完全成本加成率的计算</w:t>
      </w:r>
      <w:r>
        <w:t/>
      </w:r>
      <w:r>
        <w:t/>
      </w:r>
      <w:bookmarkEnd w:id="1157"/>
      <w:bookmarkEnd w:id="1158"/>
      <w:bookmarkEnd w:id="1159"/>
    </w:p>
    <w:p w14:paraId="3A8A79A2" w14:textId="35ECAAB6" w:rsidR="004D1721" w:rsidRPr="005D08A5" w:rsidRDefault="009B16BC">
      <w:pPr>
        <w:rPr>
          <w:rFonts w:ascii="Arial Narrow" w:eastAsia="仿宋_GB2312" w:hAnsi="Arial Narrow" w:cs="Arial"/>
          <w:b/>
          <w:bCs/>
          <w:i/>
          <w:color w:val="002060"/>
          <w:sz w:val="22"/>
          <w:szCs w:val="22"/>
        </w:rPr>
      </w:pPr>
      <w:r w:rsidRPr="005D08A5">
        <w:rPr>
          <w:rFonts w:ascii="Arial Narrow" w:eastAsia="仿宋_GB2312" w:hAnsi="Arial Narrow" w:cs="Arial" w:hint="eastAsia"/>
          <w:b/>
          <w:bCs/>
          <w:i/>
          <w:color w:val="002060"/>
          <w:sz w:val="22"/>
          <w:szCs w:val="22"/>
        </w:rPr>
        <w:t>可比公司2020-2022年度加权平均财务数据完全成本加成率计算表</w:t>
      </w:r>
      <w:r w:rsidRPr="005D08A5">
        <w:rPr>
          <w:rFonts w:ascii="Arial Narrow" w:eastAsia="仿宋_GB2312" w:hAnsi="Arial Narrow" w:cs="Arial"/>
          <w:b/>
          <w:bCs/>
          <w:i/>
          <w:color w:val="002060"/>
          <w:sz w:val="22"/>
          <w:szCs w:val="22"/>
        </w:rPr>
        <w:t/>
      </w:r>
      <w:r w:rsidRPr="005D08A5">
        <w:rPr>
          <w:rFonts w:ascii="Arial Narrow" w:eastAsia="仿宋_GB2312" w:hAnsi="Arial Narrow" w:cs="Arial" w:hint="eastAsia"/>
          <w:b/>
          <w:bCs/>
          <w:i/>
          <w:color w:val="002060"/>
          <w:sz w:val="22"/>
          <w:szCs w:val="22"/>
        </w:rPr>
        <w:t/>
      </w:r>
    </w:p>
    <w:tbl>
      <w:tblPr>
        <w:tblW w:w="143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rsidR="004D1721" w14:paraId="421A58B3" w14:textId="77777777">
        <w:trPr>
          <w:trHeight w:val="397"/>
        </w:trPr>
        <w:tc>
          <w:tcPr>
            <w:tcW w:w="660" w:type="dxa"/>
            <w:shd w:val="clear" w:color="auto" w:fill="002060"/>
            <w:vAlign w:val="center"/>
          </w:tcPr>
          <w:p w14:paraId="700B0028"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序号</w:t>
            </w:r>
          </w:p>
        </w:tc>
        <w:tc>
          <w:tcPr>
            <w:tcW w:w="2434" w:type="dxa"/>
            <w:shd w:val="clear" w:color="auto" w:fill="002060"/>
            <w:vAlign w:val="center"/>
          </w:tcPr>
          <w:p w14:paraId="7111ED0C"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名称</w:t>
            </w:r>
          </w:p>
        </w:tc>
        <w:tc>
          <w:tcPr>
            <w:tcW w:w="1076" w:type="dxa"/>
            <w:shd w:val="clear" w:color="auto" w:fill="002060"/>
            <w:vAlign w:val="center"/>
          </w:tcPr>
          <w:p w14:paraId="57BFE290"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所属地</w:t>
            </w:r>
          </w:p>
        </w:tc>
        <w:tc>
          <w:tcPr>
            <w:tcW w:w="651" w:type="dxa"/>
            <w:shd w:val="clear" w:color="auto" w:fill="002060"/>
            <w:vAlign w:val="center"/>
          </w:tcPr>
          <w:p w14:paraId="77639C3B"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SIC代码</w:t>
            </w:r>
            <w:r>
              <w:rPr>
                <w:rFonts w:ascii="Arial Narrow" w:eastAsia="仿宋_GB2312" w:hAnsi="Arial Narrow" w:cs="Arial"/>
                <w:b/>
                <w:bCs/>
                <w:color w:val="FFFFFF" w:themeColor="background1"/>
              </w:rPr>
              <w:t/>
            </w:r>
          </w:p>
        </w:tc>
        <w:tc>
          <w:tcPr>
            <w:tcW w:w="1679" w:type="dxa"/>
            <w:shd w:val="clear" w:color="auto" w:fill="002060"/>
            <w:vAlign w:val="center"/>
          </w:tcPr>
          <w:p w14:paraId="436D6F2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销售收入</w:t>
            </w:r>
          </w:p>
        </w:tc>
        <w:tc>
          <w:tcPr>
            <w:tcW w:w="1736" w:type="dxa"/>
            <w:shd w:val="clear" w:color="auto" w:fill="002060"/>
            <w:vAlign w:val="center"/>
          </w:tcPr>
          <w:p w14:paraId="584F1957"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销售成本</w:t>
            </w:r>
          </w:p>
        </w:tc>
        <w:tc>
          <w:tcPr>
            <w:tcW w:w="1783" w:type="dxa"/>
            <w:shd w:val="clear" w:color="auto" w:fill="002060"/>
            <w:vAlign w:val="center"/>
          </w:tcPr>
          <w:p w14:paraId="6D8C1271"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销售费用和管理费用</w:t>
            </w:r>
          </w:p>
        </w:tc>
        <w:tc>
          <w:tcPr>
            <w:tcW w:w="1660" w:type="dxa"/>
            <w:shd w:val="clear" w:color="auto" w:fill="002060"/>
            <w:vAlign w:val="center"/>
          </w:tcPr>
          <w:p w14:paraId="31AC7236"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折旧和摊销</w:t>
            </w:r>
          </w:p>
        </w:tc>
        <w:tc>
          <w:tcPr>
            <w:tcW w:w="1585" w:type="dxa"/>
            <w:shd w:val="clear" w:color="auto" w:fill="002060"/>
            <w:vAlign w:val="center"/>
          </w:tcPr>
          <w:p w14:paraId="3FA65084"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营业利润</w:t>
            </w:r>
          </w:p>
        </w:tc>
        <w:tc>
          <w:tcPr>
            <w:tcW w:w="1076" w:type="dxa"/>
            <w:shd w:val="clear" w:color="auto" w:fill="002060"/>
            <w:vAlign w:val="center"/>
          </w:tcPr>
          <w:p w14:paraId="6A6BBC0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完全成本加成率</w:t>
            </w:r>
          </w:p>
        </w:tc>
      </w:tr>
      <w:tr w:rsidR="004D1721" w14:paraId="548DB77C" w14:textId="77777777">
        <w:trPr>
          <w:trHeight w:val="397"/>
        </w:trPr>
        <w:tc>
          <w:tcPr>
            <w:tcW w:w="660" w:type="dxa"/>
            <w:shd w:val="clear" w:color="000000" w:fill="FFFFFF"/>
            <w:vAlign w:val="center"/>
          </w:tcPr>
          <w:p w14:paraId="07C9AF49" w14:textId="77777777" w:rsidR="004D1721" w:rsidRDefault="009B16BC">
            <w:pPr>
              <w:jc w:val="center"/>
              <w:rPr>
                <w:rFonts w:ascii="Arial Narrow" w:eastAsia="仿宋_GB2312" w:hAnsi="Arial Narrow" w:cs="Arial"/>
              </w:rPr>
            </w:pPr>
            <w:r>
              <w:rPr>
                <w:rFonts w:ascii="Arial Narrow" w:eastAsia="仿宋_GB2312" w:hAnsi="Arial Narrow" w:cs="Arial"/>
              </w:rPr>
              <w:t>1</w:t>
            </w:r>
          </w:p>
        </w:tc>
        <w:tc>
          <w:tcPr>
            <w:tcW w:w="2434" w:type="dxa"/>
            <w:shd w:val="clear" w:color="000000" w:fill="FFFFFF"/>
            <w:vAlign w:val="center"/>
          </w:tcPr>
          <w:p w14:paraId="5F563858" w14:textId="77777777" w:rsidR="004D1721" w:rsidRDefault="009B16BC">
            <w:pPr>
              <w:rPr>
                <w:rFonts w:ascii="Arial Narrow" w:eastAsia="仿宋_GB2312" w:hAnsi="Arial Narrow" w:cs="Arial"/>
              </w:rPr>
            </w:pPr>
            <w:r>
              <w:rPr>
                <w:rFonts w:ascii="Arial Narrow" w:eastAsia="仿宋_GB2312" w:hAnsi="Arial Narrow" w:cs="Arial"/>
              </w:rPr>
              <w:t>SHISEIDO COMPANY LIMITED</w:t>
            </w:r>
          </w:p>
        </w:tc>
        <w:tc>
          <w:tcPr>
            <w:tcW w:w="1076" w:type="dxa"/>
            <w:shd w:val="clear" w:color="000000" w:fill="FFFFFF"/>
            <w:vAlign w:val="center"/>
          </w:tcPr>
          <w:p w14:paraId="09BC63FC"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1B547020"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15E2A3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999,403,000,000.00</w:t>
            </w:r>
          </w:p>
        </w:tc>
        <w:tc>
          <w:tcPr>
            <w:tcW w:w="1736" w:type="dxa"/>
            <w:vAlign w:val="center"/>
          </w:tcPr>
          <w:p w14:paraId="6486F28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-204,725,333,333.33</w:t>
            </w:r>
          </w:p>
        </w:tc>
        <w:tc>
          <w:tcPr>
            <w:tcW w:w="1783" w:type="dxa"/>
            <w:shd w:val="clear" w:color="auto" w:fill="auto"/>
            <w:vAlign w:val="center"/>
          </w:tcPr>
          <w:p w14:paraId="2812D7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-719,898,000,000.00</w:t>
            </w:r>
          </w:p>
        </w:tc>
        <w:tc>
          <w:tcPr>
            <w:tcW w:w="1660" w:type="dxa"/>
            <w:shd w:val="clear" w:color="auto" w:fill="auto"/>
            <w:vAlign w:val="center"/>
          </w:tcPr>
          <w:p w14:paraId="75DE19E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-77,193,000,000.00</w:t>
            </w:r>
          </w:p>
        </w:tc>
        <w:tc>
          <w:tcPr>
            <w:tcW w:w="1585" w:type="dxa"/>
            <w:shd w:val="clear" w:color="auto" w:fill="auto"/>
            <w:vAlign w:val="center"/>
          </w:tcPr>
          <w:p w14:paraId="649589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-2,413,333,333.33</w:t>
            </w:r>
          </w:p>
        </w:tc>
        <w:tc>
          <w:tcPr>
            <w:tcW w:w="1076" w:type="dxa"/>
            <w:shd w:val="clear" w:color="auto" w:fill="auto"/>
            <w:vAlign w:val="center"/>
          </w:tcPr>
          <w:p w14:paraId="57D9AB4E"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-0.24%</w:t>
            </w:r>
          </w:p>
        </w:tc>
      </w:tr>
      <w:tr w:rsidR="004D1721" w14:paraId="39893974" w14:textId="77777777">
        <w:trPr>
          <w:trHeight w:val="397"/>
        </w:trPr>
        <w:tc>
          <w:tcPr>
            <w:tcW w:w="660" w:type="dxa"/>
            <w:shd w:val="clear" w:color="000000" w:fill="FFFFFF"/>
            <w:vAlign w:val="center"/>
          </w:tcPr>
          <w:p w14:paraId="5BC4FC51" w14:textId="77777777" w:rsidR="004D1721" w:rsidRDefault="009B16BC">
            <w:pPr>
              <w:jc w:val="center"/>
              <w:rPr>
                <w:rFonts w:ascii="Arial Narrow" w:eastAsia="仿宋_GB2312" w:hAnsi="Arial Narrow" w:cs="Arial"/>
              </w:rPr>
            </w:pPr>
            <w:r>
              <w:rPr>
                <w:rFonts w:ascii="Arial Narrow" w:eastAsia="仿宋_GB2312" w:hAnsi="Arial Narrow" w:cs="Arial"/>
              </w:rPr>
              <w:t>2</w:t>
            </w:r>
          </w:p>
        </w:tc>
        <w:tc>
          <w:tcPr>
            <w:tcW w:w="2434" w:type="dxa"/>
            <w:shd w:val="clear" w:color="000000" w:fill="FFFFFF"/>
            <w:vAlign w:val="center"/>
          </w:tcPr>
          <w:p w14:paraId="2F109B53" w14:textId="77777777" w:rsidR="004D1721" w:rsidRDefault="009B16BC">
            <w:pPr>
              <w:rPr>
                <w:rFonts w:ascii="Arial Narrow" w:eastAsia="仿宋_GB2312" w:hAnsi="Arial Narrow" w:cs="Arial"/>
              </w:rPr>
            </w:pPr>
            <w:r>
              <w:rPr>
                <w:rFonts w:ascii="Arial Narrow" w:eastAsia="仿宋_GB2312" w:hAnsi="Arial Narrow" w:cs="Arial"/>
              </w:rPr>
              <w:t>KOSE CORPORATION</w:t>
            </w:r>
          </w:p>
        </w:tc>
        <w:tc>
          <w:tcPr>
            <w:tcW w:w="1076" w:type="dxa"/>
            <w:shd w:val="clear" w:color="000000" w:fill="FFFFFF"/>
            <w:vAlign w:val="center"/>
          </w:tcPr>
          <w:p w14:paraId="2B238836"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0D2D36EB"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AA08AC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264,502,666,666.67</w:t>
            </w:r>
          </w:p>
        </w:tc>
        <w:tc>
          <w:tcPr>
            <w:tcW w:w="1736" w:type="dxa"/>
            <w:vAlign w:val="center"/>
          </w:tcPr>
          <w:p w14:paraId="1BF97B2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-70,717,000,000.00</w:t>
            </w:r>
          </w:p>
        </w:tc>
        <w:tc>
          <w:tcPr>
            <w:tcW w:w="1783" w:type="dxa"/>
            <w:shd w:val="clear" w:color="auto" w:fill="auto"/>
            <w:vAlign w:val="center"/>
          </w:tcPr>
          <w:p w14:paraId="4CF5F56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-165,600,333,333.33</w:t>
            </w:r>
          </w:p>
        </w:tc>
        <w:tc>
          <w:tcPr>
            <w:tcW w:w="1660" w:type="dxa"/>
            <w:shd w:val="clear" w:color="auto" w:fill="auto"/>
            <w:vAlign w:val="center"/>
          </w:tcPr>
          <w:p w14:paraId="12D4951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-10,202,000,000.00</w:t>
            </w:r>
          </w:p>
        </w:tc>
        <w:tc>
          <w:tcPr>
            <w:tcW w:w="1585" w:type="dxa"/>
            <w:shd w:val="clear" w:color="auto" w:fill="auto"/>
            <w:vAlign w:val="center"/>
          </w:tcPr>
          <w:p w14:paraId="0069367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17,983,333,333.33</w:t>
            </w:r>
          </w:p>
        </w:tc>
        <w:tc>
          <w:tcPr>
            <w:tcW w:w="1076" w:type="dxa"/>
            <w:shd w:val="clear" w:color="auto" w:fill="auto"/>
            <w:vAlign w:val="center"/>
          </w:tcPr>
          <w:p w14:paraId="5F5ACD7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{{BVD数据模板-数据表B2}}</w:t>
            </w:r>
          </w:p>
        </w:tc>
      </w:tr>
      <w:tr w:rsidR="004D1721" w14:paraId="1464CC8E" w14:textId="77777777">
        <w:trPr>
          <w:trHeight w:val="397"/>
        </w:trPr>
        <w:tc>
          <w:tcPr>
            <w:tcW w:w="660" w:type="dxa"/>
            <w:shd w:val="clear" w:color="000000" w:fill="FFFFFF"/>
            <w:vAlign w:val="center"/>
          </w:tcPr>
          <w:p w14:paraId="606DFC98" w14:textId="77777777" w:rsidR="004D1721" w:rsidRDefault="009B16BC">
            <w:pPr>
              <w:jc w:val="center"/>
              <w:rPr>
                <w:rFonts w:ascii="Arial Narrow" w:eastAsia="仿宋_GB2312" w:hAnsi="Arial Narrow" w:cs="Arial"/>
              </w:rPr>
            </w:pPr>
            <w:r>
              <w:rPr>
                <w:rFonts w:ascii="Arial Narrow" w:eastAsia="仿宋_GB2312" w:hAnsi="Arial Narrow" w:cs="Arial" w:hint="eastAsia"/>
              </w:rPr>
              <w:t>3</w:t>
            </w:r>
          </w:p>
        </w:tc>
        <w:tc>
          <w:tcPr>
            <w:tcW w:w="2434" w:type="dxa"/>
            <w:shd w:val="clear" w:color="000000" w:fill="FFFFFF"/>
            <w:vAlign w:val="center"/>
          </w:tcPr>
          <w:p w14:paraId="76802ACF" w14:textId="77777777" w:rsidR="004D1721" w:rsidRDefault="009B16BC">
            <w:pPr>
              <w:rPr>
                <w:rFonts w:ascii="Arial Narrow" w:eastAsia="仿宋_GB2312" w:hAnsi="Arial Narrow" w:cs="Arial"/>
              </w:rPr>
            </w:pPr>
            <w:r>
              <w:rPr>
                <w:rFonts w:ascii="Arial Narrow" w:eastAsia="仿宋_GB2312" w:hAnsi="Arial Narrow" w:cs="Arial" w:hint="eastAsia"/>
              </w:rPr>
              <w:t>AFC-HD AMS LIFE SCIENCE CO.,LTD.</w:t>
            </w:r>
          </w:p>
        </w:tc>
        <w:tc>
          <w:tcPr>
            <w:tcW w:w="1076" w:type="dxa"/>
            <w:shd w:val="clear" w:color="000000" w:fill="FFFFFF"/>
            <w:vAlign w:val="center"/>
          </w:tcPr>
          <w:p w14:paraId="2DF72E01" w14:textId="77777777" w:rsidR="004D1721" w:rsidRDefault="009B16BC">
            <w:pPr>
              <w:jc w:val="center"/>
              <w:rPr>
                <w:rFonts w:ascii="Arial Narrow" w:eastAsia="仿宋_GB2312" w:hAnsi="Arial Narrow" w:cs="Arial"/>
                <w:lang w:eastAsia="zh-Hans"/>
              </w:rPr>
            </w:pPr>
            <w:r>
              <w:rPr>
                <w:rFonts w:ascii="Arial Narrow" w:eastAsia="仿宋_GB2312" w:hAnsi="Arial Narrow" w:cs="Arial" w:hint="eastAsia"/>
                <w:lang w:eastAsia="zh-Hans"/>
              </w:rPr>
              <w:t>日本</w:t>
            </w:r>
          </w:p>
        </w:tc>
        <w:tc>
          <w:tcPr>
            <w:tcW w:w="651" w:type="dxa"/>
            <w:shd w:val="clear" w:color="000000" w:fill="FFFFFF"/>
            <w:vAlign w:val="center"/>
          </w:tcPr>
          <w:p w14:paraId="7EAC97EE"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E4D6ED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20,394,828,000.00</w:t>
            </w:r>
          </w:p>
        </w:tc>
        <w:tc>
          <w:tcPr>
            <w:tcW w:w="1736" w:type="dxa"/>
            <w:vAlign w:val="center"/>
          </w:tcPr>
          <w:p w14:paraId="3BA0E40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-13,070,575,000.00</w:t>
            </w:r>
          </w:p>
        </w:tc>
        <w:tc>
          <w:tcPr>
            <w:tcW w:w="1783" w:type="dxa"/>
            <w:shd w:val="clear" w:color="auto" w:fill="auto"/>
            <w:vAlign w:val="center"/>
          </w:tcPr>
          <w:p w14:paraId="2658987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-51520833.33</w:t>
            </w:r>
          </w:p>
        </w:tc>
        <w:tc>
          <w:tcPr>
            <w:tcW w:w="1660" w:type="dxa"/>
            <w:shd w:val="clear" w:color="auto" w:fill="auto"/>
            <w:vAlign w:val="center"/>
          </w:tcPr>
          <w:p w14:paraId="2FDCEDD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-727,830,333.33</w:t>
            </w:r>
          </w:p>
        </w:tc>
        <w:tc>
          <w:tcPr>
            <w:tcW w:w="1585" w:type="dxa"/>
            <w:shd w:val="clear" w:color="auto" w:fill="auto"/>
            <w:vAlign w:val="center"/>
          </w:tcPr>
          <w:p w14:paraId="499DDD5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1,444,340,333.33</w:t>
            </w:r>
          </w:p>
        </w:tc>
        <w:tc>
          <w:tcPr>
            <w:tcW w:w="1076" w:type="dxa"/>
            <w:shd w:val="clear" w:color="auto" w:fill="auto"/>
            <w:vAlign w:val="center"/>
          </w:tcPr>
          <w:p w14:paraId="484183A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7.62%</w:t>
            </w:r>
          </w:p>
        </w:tc>
      </w:tr>
      <w:tr w:rsidR="004D1721" w14:paraId="7CB1A974" w14:textId="77777777">
        <w:trPr>
          <w:trHeight w:val="397"/>
        </w:trPr>
        <w:tc>
          <w:tcPr>
            <w:tcW w:w="660" w:type="dxa"/>
            <w:shd w:val="clear" w:color="000000" w:fill="FFFFFF"/>
            <w:vAlign w:val="center"/>
          </w:tcPr>
          <w:p w14:paraId="7A08151C" w14:textId="77777777" w:rsidR="004D1721" w:rsidRDefault="009B16BC">
            <w:pPr>
              <w:jc w:val="center"/>
              <w:rPr>
                <w:rFonts w:ascii="Arial Narrow" w:eastAsia="仿宋_GB2312" w:hAnsi="Arial Narrow" w:cs="Arial"/>
              </w:rPr>
            </w:pPr>
            <w:r>
              <w:rPr>
                <w:rFonts w:ascii="Arial Narrow" w:eastAsia="仿宋_GB2312" w:hAnsi="Arial Narrow" w:cs="Arial" w:hint="eastAsia"/>
              </w:rPr>
              <w:t>4</w:t>
            </w:r>
          </w:p>
        </w:tc>
        <w:tc>
          <w:tcPr>
            <w:tcW w:w="2434" w:type="dxa"/>
            <w:shd w:val="clear" w:color="000000" w:fill="FFFFFF"/>
            <w:vAlign w:val="center"/>
          </w:tcPr>
          <w:p w14:paraId="231ED5D9" w14:textId="77777777" w:rsidR="004D1721" w:rsidRDefault="009B16BC">
            <w:pPr>
              <w:rPr>
                <w:rFonts w:ascii="Arial Narrow" w:eastAsia="仿宋_GB2312" w:hAnsi="Arial Narrow" w:cs="Arial"/>
              </w:rPr>
            </w:pPr>
            <w:r>
              <w:rPr>
                <w:rFonts w:ascii="Arial Narrow" w:eastAsia="仿宋_GB2312" w:hAnsi="Arial Narrow" w:cs="Arial"/>
              </w:rPr>
              <w:t>S&amp;J INTERNATIONAL ENTERPRISES PCL</w:t>
            </w:r>
          </w:p>
        </w:tc>
        <w:tc>
          <w:tcPr>
            <w:tcW w:w="1076" w:type="dxa"/>
            <w:shd w:val="clear" w:color="000000" w:fill="FFFFFF"/>
            <w:vAlign w:val="center"/>
          </w:tcPr>
          <w:p w14:paraId="70FEB747" w14:textId="77777777" w:rsidR="004D1721" w:rsidRDefault="009B16BC">
            <w:pPr>
              <w:jc w:val="center"/>
              <w:rPr>
                <w:rFonts w:ascii="Arial Narrow" w:eastAsia="仿宋_GB2312" w:hAnsi="Arial Narrow" w:cs="Arial"/>
              </w:rPr>
            </w:pPr>
            <w:r>
              <w:rPr>
                <w:rFonts w:ascii="Arial Narrow" w:eastAsia="仿宋_GB2312" w:hAnsi="Arial Narrow" w:cs="Arial"/>
              </w:rPr>
              <w:t>泰国</w:t>
            </w:r>
          </w:p>
        </w:tc>
        <w:tc>
          <w:tcPr>
            <w:tcW w:w="651" w:type="dxa"/>
            <w:shd w:val="clear" w:color="000000" w:fill="FFFFFF"/>
            <w:vAlign w:val="center"/>
          </w:tcPr>
          <w:p w14:paraId="76CA09A3"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FE0B35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5,060,420,666.67</w:t>
            </w:r>
          </w:p>
        </w:tc>
        <w:tc>
          <w:tcPr>
            <w:tcW w:w="1736" w:type="dxa"/>
            <w:vAlign w:val="center"/>
          </w:tcPr>
          <w:p w14:paraId="2A4C031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-2,071,860,666.67</w:t>
            </w:r>
          </w:p>
        </w:tc>
        <w:tc>
          <w:tcPr>
            <w:tcW w:w="1783" w:type="dxa"/>
            <w:shd w:val="clear" w:color="auto" w:fill="auto"/>
            <w:vAlign w:val="center"/>
          </w:tcPr>
          <w:p w14:paraId="411E787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-2,411,684,000.00</w:t>
            </w:r>
          </w:p>
        </w:tc>
        <w:tc>
          <w:tcPr>
            <w:tcW w:w="1660" w:type="dxa"/>
            <w:shd w:val="clear" w:color="auto" w:fill="auto"/>
            <w:vAlign w:val="center"/>
          </w:tcPr>
          <w:p w14:paraId="48FF7C03"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-288,029,333.33</w:t>
            </w:r>
          </w:p>
        </w:tc>
        <w:tc>
          <w:tcPr>
            <w:tcW w:w="1585" w:type="dxa"/>
            <w:shd w:val="clear" w:color="auto" w:fill="auto"/>
            <w:vAlign w:val="center"/>
          </w:tcPr>
          <w:p w14:paraId="0C456DB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288,846,666.67</w:t>
            </w:r>
          </w:p>
        </w:tc>
        <w:tc>
          <w:tcPr>
            <w:tcW w:w="1076" w:type="dxa"/>
            <w:shd w:val="clear" w:color="auto" w:fill="auto"/>
            <w:vAlign w:val="center"/>
          </w:tcPr>
          <w:p w14:paraId="5E8DB04F"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6.05%</w:t>
            </w:r>
          </w:p>
        </w:tc>
      </w:tr>
      <w:tr w:rsidR="004D1721" w14:paraId="731D686A" w14:textId="77777777">
        <w:trPr>
          <w:trHeight w:val="397"/>
        </w:trPr>
        <w:tc>
          <w:tcPr>
            <w:tcW w:w="660" w:type="dxa"/>
            <w:shd w:val="clear" w:color="000000" w:fill="FFFFFF"/>
            <w:vAlign w:val="center"/>
          </w:tcPr>
          <w:p w14:paraId="46BEB06A" w14:textId="77777777" w:rsidR="004D1721" w:rsidRDefault="009B16BC">
            <w:pPr>
              <w:jc w:val="center"/>
              <w:rPr>
                <w:rFonts w:ascii="Arial Narrow" w:eastAsia="仿宋_GB2312" w:hAnsi="Arial Narrow" w:cs="Arial"/>
              </w:rPr>
            </w:pPr>
            <w:r>
              <w:rPr>
                <w:rFonts w:ascii="Arial Narrow" w:eastAsia="仿宋_GB2312" w:hAnsi="Arial Narrow" w:cs="Arial" w:hint="eastAsia"/>
              </w:rPr>
              <w:t>5</w:t>
            </w:r>
          </w:p>
        </w:tc>
        <w:tc>
          <w:tcPr>
            <w:tcW w:w="2434" w:type="dxa"/>
            <w:shd w:val="clear" w:color="000000" w:fill="FFFFFF"/>
            <w:vAlign w:val="center"/>
          </w:tcPr>
          <w:p w14:paraId="1C82B44B" w14:textId="77777777" w:rsidR="004D1721" w:rsidRDefault="009B16BC">
            <w:pPr>
              <w:rPr>
                <w:rFonts w:ascii="Arial Narrow" w:eastAsia="仿宋_GB2312" w:hAnsi="Arial Narrow" w:cs="Arial"/>
              </w:rPr>
            </w:pPr>
            <w:r>
              <w:rPr>
                <w:rFonts w:ascii="Arial Narrow" w:eastAsia="仿宋_GB2312" w:hAnsi="Arial Narrow" w:cs="Arial"/>
              </w:rPr>
              <w:t>NIPPON SHIKIZAI INC</w:t>
            </w:r>
          </w:p>
        </w:tc>
        <w:tc>
          <w:tcPr>
            <w:tcW w:w="1076" w:type="dxa"/>
            <w:shd w:val="clear" w:color="000000" w:fill="FFFFFF"/>
            <w:vAlign w:val="center"/>
          </w:tcPr>
          <w:p w14:paraId="5D4B564B"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auto" w:fill="auto"/>
            <w:vAlign w:val="center"/>
          </w:tcPr>
          <w:p w14:paraId="2E3A6C2A"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2545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9,868,670,666.67</w:t>
            </w:r>
          </w:p>
        </w:tc>
        <w:tc>
          <w:tcPr>
            <w:tcW w:w="1736" w:type="dxa"/>
            <w:vAlign w:val="center"/>
          </w:tcPr>
          <w:p w14:paraId="4893FF7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-8,200,078,333.33</w:t>
            </w:r>
          </w:p>
        </w:tc>
        <w:tc>
          <w:tcPr>
            <w:tcW w:w="1783" w:type="dxa"/>
            <w:shd w:val="clear" w:color="auto" w:fill="auto"/>
            <w:vAlign w:val="center"/>
          </w:tcPr>
          <w:p w14:paraId="70BC937B"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-1,177,3,333.33</w:t>
            </w:r>
          </w:p>
        </w:tc>
        <w:tc>
          <w:tcPr>
            <w:tcW w:w="1660" w:type="dxa"/>
            <w:shd w:val="clear" w:color="auto" w:fill="auto"/>
            <w:vAlign w:val="center"/>
          </w:tcPr>
          <w:p w14:paraId="0D72BD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-835,340,000.00</w:t>
            </w:r>
          </w:p>
        </w:tc>
        <w:tc>
          <w:tcPr>
            <w:tcW w:w="1585" w:type="dxa"/>
            <w:shd w:val="clear" w:color="auto" w:fill="auto"/>
            <w:vAlign w:val="center"/>
          </w:tcPr>
          <w:p w14:paraId="05D561A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-343,981,000.00</w:t>
            </w:r>
          </w:p>
        </w:tc>
        <w:tc>
          <w:tcPr>
            <w:tcW w:w="1076" w:type="dxa"/>
            <w:shd w:val="clear" w:color="auto" w:fill="auto"/>
            <w:vAlign w:val="center"/>
          </w:tcPr>
          <w:p w14:paraId="660F4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-3.37%</w:t>
            </w:r>
          </w:p>
        </w:tc>
      </w:tr>
      <w:tr w:rsidR="004D1721" w14:paraId="1CA9C95E" w14:textId="77777777">
        <w:trPr>
          <w:trHeight w:val="397"/>
        </w:trPr>
        <w:tc>
          <w:tcPr>
            <w:tcW w:w="660" w:type="dxa"/>
            <w:shd w:val="clear" w:color="000000" w:fill="FFFFFF"/>
            <w:vAlign w:val="center"/>
          </w:tcPr>
          <w:p w14:paraId="4A3BA132" w14:textId="77777777" w:rsidR="004D1721" w:rsidRDefault="009B16BC">
            <w:pPr>
              <w:jc w:val="center"/>
              <w:rPr>
                <w:rFonts w:ascii="Arial Narrow" w:eastAsia="仿宋_GB2312" w:hAnsi="Arial Narrow" w:cs="Arial"/>
              </w:rPr>
            </w:pPr>
            <w:r>
              <w:rPr>
                <w:rFonts w:ascii="Arial Narrow" w:eastAsia="仿宋_GB2312" w:hAnsi="Arial Narrow" w:cs="Arial" w:hint="eastAsia"/>
              </w:rPr>
              <w:t>6</w:t>
            </w:r>
          </w:p>
        </w:tc>
        <w:tc>
          <w:tcPr>
            <w:tcW w:w="2434" w:type="dxa"/>
            <w:shd w:val="clear" w:color="000000" w:fill="FFFFFF"/>
            <w:vAlign w:val="center"/>
          </w:tcPr>
          <w:p w14:paraId="6CA3CA36" w14:textId="77777777" w:rsidR="004D1721" w:rsidRDefault="009B16BC">
            <w:pPr>
              <w:rPr>
                <w:rFonts w:ascii="Arial Narrow" w:eastAsia="仿宋_GB2312" w:hAnsi="Arial Narrow" w:cs="Arial"/>
              </w:rPr>
            </w:pPr>
            <w:r>
              <w:rPr>
                <w:rFonts w:ascii="Arial Narrow" w:eastAsia="仿宋_GB2312" w:hAnsi="Arial Narrow" w:cs="Arial"/>
              </w:rPr>
              <w:t>COREANA COSMETICS CO., LTD.</w:t>
            </w:r>
          </w:p>
        </w:tc>
        <w:tc>
          <w:tcPr>
            <w:tcW w:w="1076" w:type="dxa"/>
            <w:shd w:val="clear" w:color="000000" w:fill="FFFFFF"/>
            <w:vAlign w:val="center"/>
          </w:tcPr>
          <w:p w14:paraId="62916BA8"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shd w:val="clear" w:color="000000" w:fill="FFFFFF"/>
            <w:vAlign w:val="center"/>
          </w:tcPr>
          <w:p w14:paraId="7FDBF78D"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4B4CF2A"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84,700,797,000.00</w:t>
            </w:r>
          </w:p>
        </w:tc>
        <w:tc>
          <w:tcPr>
            <w:tcW w:w="1736" w:type="dxa"/>
            <w:vAlign w:val="center"/>
          </w:tcPr>
          <w:p w14:paraId="177C4A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-46,336,465,666.67</w:t>
            </w:r>
          </w:p>
        </w:tc>
        <w:tc>
          <w:tcPr>
            <w:tcW w:w="1783" w:type="dxa"/>
            <w:shd w:val="clear" w:color="auto" w:fill="auto"/>
            <w:vAlign w:val="center"/>
          </w:tcPr>
          <w:p w14:paraId="163BA08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-34,204,699,000.00</w:t>
            </w:r>
          </w:p>
        </w:tc>
        <w:tc>
          <w:tcPr>
            <w:tcW w:w="1660" w:type="dxa"/>
            <w:shd w:val="clear" w:color="auto" w:fill="auto"/>
            <w:vAlign w:val="center"/>
          </w:tcPr>
          <w:p w14:paraId="088B11A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-3,002,449,000.00</w:t>
            </w:r>
          </w:p>
        </w:tc>
        <w:tc>
          <w:tcPr>
            <w:tcW w:w="1585" w:type="dxa"/>
            <w:shd w:val="clear" w:color="auto" w:fill="auto"/>
            <w:vAlign w:val="center"/>
          </w:tcPr>
          <w:p w14:paraId="5A2FD6C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1,157,183,333.33</w:t>
            </w:r>
          </w:p>
        </w:tc>
        <w:tc>
          <w:tcPr>
            <w:tcW w:w="1076" w:type="dxa"/>
            <w:shd w:val="clear" w:color="auto" w:fill="auto"/>
            <w:vAlign w:val="center"/>
          </w:tcPr>
          <w:p w14:paraId="784F7E3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{{BVD数据模板-数据表B3}}</w:t>
            </w:r>
          </w:p>
        </w:tc>
      </w:tr>
      <w:tr w:rsidR="004D1721" w14:paraId="4FC6F2F8" w14:textId="77777777">
        <w:trPr>
          <w:trHeight w:val="397"/>
        </w:trPr>
        <w:tc>
          <w:tcPr>
            <w:tcW w:w="660" w:type="dxa"/>
            <w:tcBorders>
              <w:bottom w:val="nil"/>
            </w:tcBorders>
            <w:shd w:val="clear" w:color="000000" w:fill="FFFFFF"/>
            <w:vAlign w:val="center"/>
          </w:tcPr>
          <w:p w14:paraId="389ED66B" w14:textId="77777777" w:rsidR="004D1721" w:rsidRDefault="009B16BC">
            <w:pPr>
              <w:jc w:val="center"/>
              <w:rPr>
                <w:rFonts w:ascii="Arial Narrow" w:eastAsia="仿宋_GB2312" w:hAnsi="Arial Narrow" w:cs="Arial"/>
              </w:rPr>
            </w:pPr>
            <w:r>
              <w:rPr>
                <w:rFonts w:ascii="Arial Narrow" w:eastAsia="仿宋_GB2312" w:hAnsi="Arial Narrow" w:cs="Arial" w:hint="eastAsia"/>
              </w:rPr>
              <w:t>7</w:t>
            </w:r>
          </w:p>
        </w:tc>
        <w:tc>
          <w:tcPr>
            <w:tcW w:w="2434" w:type="dxa"/>
            <w:tcBorders>
              <w:bottom w:val="nil"/>
            </w:tcBorders>
            <w:shd w:val="clear" w:color="000000" w:fill="FFFFFF"/>
            <w:vAlign w:val="center"/>
          </w:tcPr>
          <w:p w14:paraId="40949459" w14:textId="77777777" w:rsidR="004D1721" w:rsidRDefault="009B16BC">
            <w:pPr>
              <w:rPr>
                <w:rFonts w:ascii="Arial Narrow" w:eastAsia="仿宋_GB2312" w:hAnsi="Arial Narrow" w:cs="Arial"/>
              </w:rPr>
            </w:pPr>
            <w:r>
              <w:rPr>
                <w:rFonts w:ascii="Arial Narrow" w:eastAsia="仿宋_GB2312" w:hAnsi="Arial Narrow" w:cs="Arial"/>
              </w:rPr>
              <w:t>HANKOOK COSMETICS MANUFACTURING CO., LTD.</w:t>
            </w:r>
          </w:p>
        </w:tc>
        <w:tc>
          <w:tcPr>
            <w:tcW w:w="1076" w:type="dxa"/>
            <w:tcBorders>
              <w:bottom w:val="nil"/>
            </w:tcBorders>
            <w:shd w:val="clear" w:color="000000" w:fill="FFFFFF"/>
            <w:vAlign w:val="center"/>
          </w:tcPr>
          <w:p w14:paraId="1F0BED21"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tcBorders>
              <w:bottom w:val="nil"/>
            </w:tcBorders>
            <w:shd w:val="clear" w:color="000000" w:fill="FFFFFF"/>
            <w:vAlign w:val="center"/>
          </w:tcPr>
          <w:p w14:paraId="2794D9D1"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tcBorders>
              <w:bottom w:val="nil"/>
            </w:tcBorders>
            <w:shd w:val="clear" w:color="auto" w:fill="auto"/>
            <w:vAlign w:val="center"/>
          </w:tcPr>
          <w:p w14:paraId="1474DDB4"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778911000.00</w:t>
            </w:r>
          </w:p>
        </w:tc>
        <w:tc>
          <w:tcPr>
            <w:tcW w:w="1736" w:type="dxa"/>
            <w:tcBorders>
              <w:bottom w:val="nil"/>
            </w:tcBorders>
            <w:vAlign w:val="center"/>
          </w:tcPr>
          <w:p w14:paraId="6269ED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-67,155,844,333.33</w:t>
            </w:r>
          </w:p>
        </w:tc>
        <w:tc>
          <w:tcPr>
            <w:tcW w:w="1783" w:type="dxa"/>
            <w:tcBorders>
              <w:bottom w:val="nil"/>
            </w:tcBorders>
            <w:shd w:val="clear" w:color="auto" w:fill="auto"/>
            <w:vAlign w:val="center"/>
          </w:tcPr>
          <w:p w14:paraId="14C545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-9,149,541,000.00</w:t>
            </w:r>
          </w:p>
        </w:tc>
        <w:tc>
          <w:tcPr>
            <w:tcW w:w="1660" w:type="dxa"/>
            <w:tcBorders>
              <w:bottom w:val="nil"/>
            </w:tcBorders>
            <w:shd w:val="clear" w:color="auto" w:fill="auto"/>
            <w:vAlign w:val="center"/>
          </w:tcPr>
          <w:p w14:paraId="6F18C088"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-1,130,764,666.67</w:t>
            </w:r>
          </w:p>
        </w:tc>
        <w:tc>
          <w:tcPr>
            <w:tcW w:w="1585" w:type="dxa"/>
            <w:tcBorders>
              <w:bottom w:val="nil"/>
            </w:tcBorders>
            <w:shd w:val="clear" w:color="auto" w:fill="auto"/>
            <w:vAlign w:val="center"/>
          </w:tcPr>
          <w:p w14:paraId="239F120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456,161,000.00</w:t>
            </w:r>
          </w:p>
        </w:tc>
        <w:tc>
          <w:tcPr>
            <w:tcW w:w="1076" w:type="dxa"/>
            <w:tcBorders>
              <w:bottom w:val="nil"/>
            </w:tcBorders>
            <w:shd w:val="clear" w:color="auto" w:fill="auto"/>
            <w:vAlign w:val="center"/>
          </w:tcPr>
          <w:p w14:paraId="28834A5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{{BVD数据模板-数据表B4}}</w:t>
            </w:r>
          </w:p>
        </w:tc>
      </w:tr>
      <w:tr w:rsidR="004D1721" w14:paraId="749B615A" w14:textId="77777777" w:rsidTr="005D08A5">
        <w:trPr>
          <w:trHeight w:val="431"/>
        </w:trPr>
        <w:tc>
          <w:tcPr>
            <w:tcW w:w="660" w:type="dxa"/>
            <w:shd w:val="clear" w:color="000000" w:fill="FFFFFF"/>
            <w:vAlign w:val="center"/>
          </w:tcPr>
          <w:p w14:paraId="1E64035D" w14:textId="77777777" w:rsidR="004D1721" w:rsidRDefault="009B16BC">
            <w:pPr>
              <w:jc w:val="center"/>
              <w:rPr>
                <w:rFonts w:ascii="Arial Narrow" w:eastAsia="仿宋_GB2312" w:hAnsi="Arial Narrow" w:cs="Arial"/>
              </w:rPr>
            </w:pPr>
            <w:r>
              <w:rPr>
                <w:rFonts w:ascii="Arial Narrow" w:eastAsia="仿宋_GB2312" w:hAnsi="Arial Narrow" w:cs="Arial" w:hint="eastAsia"/>
              </w:rPr>
              <w:t>8</w:t>
            </w:r>
          </w:p>
        </w:tc>
        <w:tc>
          <w:tcPr>
            <w:tcW w:w="2434" w:type="dxa"/>
            <w:shd w:val="clear" w:color="000000" w:fill="FFFFFF"/>
            <w:vAlign w:val="center"/>
          </w:tcPr>
          <w:p w14:paraId="7DE1D681" w14:textId="77777777" w:rsidR="004D1721" w:rsidRDefault="009B16BC">
            <w:pPr>
              <w:rPr>
                <w:rFonts w:ascii="Arial Narrow" w:eastAsia="仿宋_GB2312" w:hAnsi="Arial Narrow" w:cs="Arial"/>
              </w:rPr>
            </w:pPr>
            <w:r>
              <w:rPr>
                <w:rFonts w:ascii="Arial Narrow" w:eastAsia="仿宋_GB2312" w:hAnsi="Arial Narrow" w:cs="Arial" w:hint="eastAsia"/>
              </w:rPr>
              <w:t>MAYWUFA COMPANY LTD.</w:t>
            </w:r>
          </w:p>
        </w:tc>
        <w:tc>
          <w:tcPr>
            <w:tcW w:w="1076" w:type="dxa"/>
            <w:shd w:val="clear" w:color="000000" w:fill="FFFFFF"/>
            <w:vAlign w:val="center"/>
          </w:tcPr>
          <w:p w14:paraId="5BEF1D41" w14:textId="77777777" w:rsidR="004D1721" w:rsidRDefault="009B16BC">
            <w:pPr>
              <w:jc w:val="center"/>
              <w:rPr>
                <w:rFonts w:ascii="Arial Narrow" w:eastAsia="仿宋_GB2312" w:hAnsi="Arial Narrow" w:cs="Arial"/>
              </w:rPr>
            </w:pPr>
            <w:r>
              <w:rPr>
                <w:rFonts w:ascii="Arial Narrow" w:eastAsia="仿宋_GB2312" w:hAnsi="Arial Narrow" w:cs="Arial" w:hint="eastAsia"/>
              </w:rPr>
              <w:t>中国台湾</w:t>
            </w:r>
          </w:p>
        </w:tc>
        <w:tc>
          <w:tcPr>
            <w:tcW w:w="651" w:type="dxa"/>
            <w:shd w:val="clear" w:color="000000" w:fill="FFFFFF"/>
            <w:vAlign w:val="center"/>
          </w:tcPr>
          <w:p w14:paraId="7F423355"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29B83339" w14:textId="535DCE7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1,199,880,333.33 </w:t>
            </w:r>
          </w:p>
        </w:tc>
        <w:tc>
          <w:tcPr>
            <w:tcW w:w="1736" w:type="dxa"/>
            <w:vAlign w:val="center"/>
          </w:tcPr>
          <w:p w14:paraId="1A91E88D" w14:textId="50C6E74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-384,358,000.00 </w:t>
            </w:r>
          </w:p>
        </w:tc>
        <w:tc>
          <w:tcPr>
            <w:tcW w:w="1783" w:type="dxa"/>
            <w:shd w:val="clear" w:color="auto" w:fill="auto"/>
            <w:vAlign w:val="center"/>
          </w:tcPr>
          <w:p w14:paraId="6A9330B4" w14:textId="79A44BA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-588,763,000.00 </w:t>
            </w:r>
          </w:p>
        </w:tc>
        <w:tc>
          <w:tcPr>
            <w:tcW w:w="1660" w:type="dxa"/>
            <w:shd w:val="clear" w:color="auto" w:fill="auto"/>
            <w:vAlign w:val="center"/>
          </w:tcPr>
          <w:p w14:paraId="2BC04E2C" w14:textId="2EF798AB"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-37,336,333.33 </w:t>
            </w:r>
          </w:p>
        </w:tc>
        <w:tc>
          <w:tcPr>
            <w:tcW w:w="1585" w:type="dxa"/>
            <w:shd w:val="clear" w:color="auto" w:fill="auto"/>
            <w:vAlign w:val="center"/>
          </w:tcPr>
          <w:p w14:paraId="0B83AD3A" w14:textId="6BA89EC7"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189,4,000.00 </w:t>
            </w:r>
          </w:p>
        </w:tc>
        <w:tc>
          <w:tcPr>
            <w:tcW w:w="1076" w:type="dxa"/>
            <w:shd w:val="clear" w:color="auto" w:fill="auto"/>
            <w:vAlign w:val="center"/>
          </w:tcPr>
          <w:p w14:paraId="5599493C" w14:textId="3EE01D26"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18.75%</w:t>
            </w:r>
          </w:p>
        </w:tc>
      </w:tr>
      <w:tr w:rsidR="004D1721" w14:paraId="05BDAF60" w14:textId="77777777" w:rsidTr="005D08A5">
        <w:trPr>
          <w:trHeight w:val="431"/>
        </w:trPr>
        <w:tc>
          <w:tcPr>
            <w:tcW w:w="660" w:type="dxa"/>
            <w:shd w:val="clear" w:color="000000" w:fill="FFFFFF"/>
            <w:vAlign w:val="center"/>
          </w:tcPr>
          <w:p w14:paraId="07F2C2BE" w14:textId="77777777" w:rsidR="004D1721" w:rsidRDefault="009B16BC">
            <w:pPr>
              <w:jc w:val="center"/>
              <w:rPr>
                <w:rFonts w:ascii="Arial Narrow" w:eastAsia="仿宋_GB2312" w:hAnsi="Arial Narrow" w:cs="Arial"/>
              </w:rPr>
            </w:pPr>
            <w:r>
              <w:rPr>
                <w:rFonts w:ascii="Arial Narrow" w:eastAsia="仿宋_GB2312" w:hAnsi="Arial Narrow" w:cs="Arial" w:hint="eastAsia"/>
              </w:rPr>
              <w:t>9</w:t>
            </w:r>
          </w:p>
        </w:tc>
        <w:tc>
          <w:tcPr>
            <w:tcW w:w="2434" w:type="dxa"/>
            <w:shd w:val="clear" w:color="000000" w:fill="FFFFFF"/>
            <w:vAlign w:val="center"/>
          </w:tcPr>
          <w:p w14:paraId="0725AF0B" w14:textId="77777777" w:rsidR="004D1721" w:rsidRDefault="009B16BC">
            <w:pPr>
              <w:rPr>
                <w:rFonts w:ascii="Arial Narrow" w:eastAsia="仿宋_GB2312" w:hAnsi="Arial Narrow" w:cs="Arial"/>
              </w:rPr>
            </w:pPr>
            <w:r>
              <w:rPr>
                <w:rFonts w:ascii="Arial Narrow" w:eastAsia="仿宋_GB2312" w:hAnsi="Arial Narrow" w:cs="Arial" w:hint="eastAsia"/>
              </w:rPr>
              <w:t>COSMAX BTI INC.</w:t>
            </w:r>
          </w:p>
        </w:tc>
        <w:tc>
          <w:tcPr>
            <w:tcW w:w="1076" w:type="dxa"/>
            <w:shd w:val="clear" w:color="000000" w:fill="FFFFFF"/>
            <w:vAlign w:val="center"/>
          </w:tcPr>
          <w:p w14:paraId="4BB8FF6E" w14:textId="77777777" w:rsidR="004D1721" w:rsidRDefault="009B16BC">
            <w:pPr>
              <w:jc w:val="center"/>
              <w:rPr>
                <w:rFonts w:ascii="Arial Narrow" w:eastAsia="仿宋_GB2312" w:hAnsi="Arial Narrow" w:cs="Arial"/>
              </w:rPr>
            </w:pPr>
            <w:r>
              <w:rPr>
                <w:rFonts w:ascii="Arial Narrow" w:eastAsia="仿宋_GB2312" w:hAnsi="Arial Narrow" w:cs="Arial" w:hint="eastAsia"/>
              </w:rPr>
              <w:t>韩国</w:t>
            </w:r>
          </w:p>
        </w:tc>
        <w:tc>
          <w:tcPr>
            <w:tcW w:w="651" w:type="dxa"/>
            <w:shd w:val="clear" w:color="000000" w:fill="FFFFFF"/>
            <w:vAlign w:val="center"/>
          </w:tcPr>
          <w:p w14:paraId="132BEEEA"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17793338" w14:textId="36CB012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573,102,094,333.33 </w:t>
            </w:r>
          </w:p>
        </w:tc>
        <w:tc>
          <w:tcPr>
            <w:tcW w:w="1736" w:type="dxa"/>
            <w:vAlign w:val="center"/>
          </w:tcPr>
          <w:p w14:paraId="1FAEA544" w14:textId="24F8713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-490,586,605,666.67 </w:t>
            </w:r>
          </w:p>
        </w:tc>
        <w:tc>
          <w:tcPr>
            <w:tcW w:w="1783" w:type="dxa"/>
            <w:shd w:val="clear" w:color="auto" w:fill="auto"/>
            <w:vAlign w:val="center"/>
          </w:tcPr>
          <w:p w14:paraId="0A06E4D8" w14:textId="6A1D07D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-70,999,356,333.33 </w:t>
            </w:r>
          </w:p>
        </w:tc>
        <w:tc>
          <w:tcPr>
            <w:tcW w:w="1660" w:type="dxa"/>
            <w:shd w:val="clear" w:color="auto" w:fill="auto"/>
            <w:vAlign w:val="center"/>
          </w:tcPr>
          <w:p w14:paraId="4585DC5B" w14:textId="76C3161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-6,006,853,000.00 </w:t>
            </w:r>
          </w:p>
        </w:tc>
        <w:tc>
          <w:tcPr>
            <w:tcW w:w="1585" w:type="dxa"/>
            <w:shd w:val="clear" w:color="auto" w:fill="auto"/>
            <w:vAlign w:val="center"/>
          </w:tcPr>
          <w:p w14:paraId="3B635724" w14:textId="3533D078"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5,509,279,333.33 </w:t>
            </w:r>
          </w:p>
        </w:tc>
        <w:tc>
          <w:tcPr>
            <w:tcW w:w="1076" w:type="dxa"/>
            <w:shd w:val="clear" w:color="auto" w:fill="auto"/>
            <w:vAlign w:val="center"/>
          </w:tcPr>
          <w:p w14:paraId="6D12CFE0" w14:textId="1FD14A29"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0.97%</w:t>
            </w:r>
          </w:p>
        </w:tc>
      </w:tr>
    </w:tbl>
    <w:bookmarkEnd w:id="1136"/>
    <w:bookmarkEnd w:id="1137"/>
    <w:bookmarkEnd w:id="1160"/>
    <w:bookmarkEnd w:id="1161"/>
    <w:bookmarkEnd w:id="1162"/>
    <w:bookmarkEnd w:id="1163"/>
    <w:p w14:paraId="58FDB809" w14:textId="77777777" w:rsidR="004D1721" w:rsidRDefault="009B16BC">
      <w:pPr>
        <w:spacing w:beforeLines="50" w:before="180"/>
        <w:rPr>
          <w:rFonts w:ascii="Arial Narrow" w:eastAsia="仿宋_GB2312" w:hAnsi="Arial Narrow" w:cs="Arial"/>
          <w:sz w:val="18"/>
          <w:szCs w:val="18"/>
        </w:rPr>
      </w:pPr>
      <w:r>
        <w:rPr>
          <w:rFonts w:ascii="Arial Narrow" w:eastAsia="仿宋_GB2312" w:hAnsi="Arial Narrow" w:cs="Arial"/>
          <w:b/>
          <w:bCs/>
          <w:i/>
          <w:color w:val="002060"/>
          <w:sz w:val="22"/>
          <w:szCs w:val="22"/>
        </w:rPr>
        <w:t>四分位区间分析表</w:t>
      </w:r>
    </w:p>
    <w:tbl>
      <w:tblPr>
        <w:tblStyle w:val="TableGrid"/>
        <w:tblW w:w="0" w:type="auto"/>
        <w:tblInd w:w="-5" w:type="dxa"/>
        <w:tblLook w:val="04A0" w:firstRow="1" w:lastRow="0" w:firstColumn="1" w:lastColumn="0" w:noHBand="0" w:noVBand="1"/>
      </w:tblPr>
      <w:tblGrid>
        <w:gridCol w:w="2429"/>
        <w:gridCol w:w="2304"/>
        <w:gridCol w:w="2305"/>
        <w:gridCol w:w="2305"/>
        <w:gridCol w:w="2305"/>
        <w:gridCol w:w="2244"/>
      </w:tblGrid>
      <w:tr w:rsidR="004D1721" w14:paraId="7D023CCA" w14:textId="77777777">
        <w:trPr>
          <w:trHeight w:val="397"/>
        </w:trPr>
        <w:tc>
          <w:tcPr>
            <w:tcW w:w="2429" w:type="dxa"/>
            <w:shd w:val="clear" w:color="auto" w:fill="002060"/>
            <w:vAlign w:val="center"/>
          </w:tcPr>
          <w:p w14:paraId="188A1A06" w14:textId="77777777" w:rsidR="004D1721" w:rsidRDefault="009B16BC">
            <w:pPr>
              <w:jc w:val="center"/>
              <w:rPr>
                <w:rFonts w:ascii="Arial Narrow" w:eastAsia="仿宋_GB2312" w:hAnsi="Arial Narrow" w:cs="Arial"/>
                <w:b/>
                <w:color w:val="FFFFFF" w:themeColor="background1"/>
              </w:rPr>
            </w:pPr>
            <w:bookmarkStart w:id="1164" w:name="RANGE!B9"/>
            <w:bookmarkStart w:id="1165" w:name="RANGE!A7"/>
            <w:bookmarkStart w:id="1166" w:name="RANGE!A10"/>
            <w:bookmarkEnd w:id="1164"/>
            <w:bookmarkEnd w:id="1165"/>
            <w:bookmarkEnd w:id="1166"/>
            <w:r>
              <w:rPr>
                <w:rFonts w:ascii="Arial Narrow" w:eastAsia="仿宋_GB2312" w:hAnsi="Arial Narrow" w:cs="Arial"/>
                <w:b/>
                <w:color w:val="FFFFFF" w:themeColor="background1"/>
              </w:rPr>
              <w:t>利润水平指标</w:t>
            </w:r>
          </w:p>
        </w:tc>
        <w:tc>
          <w:tcPr>
            <w:tcW w:w="2304" w:type="dxa"/>
            <w:shd w:val="clear" w:color="auto" w:fill="002060"/>
            <w:vAlign w:val="center"/>
          </w:tcPr>
          <w:p w14:paraId="0515091D"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最小值</w:t>
            </w:r>
          </w:p>
        </w:tc>
        <w:tc>
          <w:tcPr>
            <w:tcW w:w="2305" w:type="dxa"/>
            <w:shd w:val="clear" w:color="auto" w:fill="002060"/>
            <w:vAlign w:val="center"/>
          </w:tcPr>
          <w:p w14:paraId="130B421A"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第一四分位</w:t>
            </w:r>
          </w:p>
        </w:tc>
        <w:tc>
          <w:tcPr>
            <w:tcW w:w="2305" w:type="dxa"/>
            <w:shd w:val="clear" w:color="auto" w:fill="002060"/>
            <w:vAlign w:val="center"/>
          </w:tcPr>
          <w:p w14:paraId="31F3AB80"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中位值</w:t>
            </w:r>
          </w:p>
        </w:tc>
        <w:tc>
          <w:tcPr>
            <w:tcW w:w="2305" w:type="dxa"/>
            <w:shd w:val="clear" w:color="auto" w:fill="002060"/>
            <w:vAlign w:val="center"/>
          </w:tcPr>
          <w:p w14:paraId="6C070EFC"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第三四分位</w:t>
            </w:r>
          </w:p>
        </w:tc>
        <w:tc>
          <w:tcPr>
            <w:tcW w:w="2244" w:type="dxa"/>
            <w:shd w:val="clear" w:color="auto" w:fill="002060"/>
            <w:vAlign w:val="center"/>
          </w:tcPr>
          <w:p w14:paraId="65D6D04E"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最大值</w:t>
            </w:r>
          </w:p>
        </w:tc>
      </w:tr>
      <w:tr w:rsidR="004D1721" w14:paraId="0992E8FB" w14:textId="77777777">
        <w:trPr>
          <w:trHeight w:val="397"/>
        </w:trPr>
        <w:tc>
          <w:tcPr>
            <w:tcW w:w="2429" w:type="dxa"/>
            <w:vAlign w:val="center"/>
          </w:tcPr>
          <w:p w14:paraId="59E30645" w14:textId="77777777" w:rsidR="004D1721" w:rsidRDefault="009B16BC">
            <w:pPr>
              <w:jc w:val="center"/>
              <w:rPr>
                <w:rFonts w:ascii="Arial Narrow" w:eastAsia="仿宋_GB2312" w:hAnsi="Arial Narrow" w:cs="Arial"/>
              </w:rPr>
            </w:pPr>
            <w:r>
              <w:rPr>
                <w:rFonts w:ascii="Arial Narrow" w:eastAsia="仿宋_GB2312" w:hAnsi="Arial Narrow" w:cs="Arial"/>
              </w:rPr>
              <w:t>完全成本加成率</w:t>
            </w:r>
          </w:p>
        </w:tc>
        <w:tc>
          <w:tcPr>
            <w:tcW w:w="2304" w:type="dxa"/>
            <w:vAlign w:val="center"/>
          </w:tcPr>
          <w:p w14:paraId="75746CB0" w14:textId="09B64A5C" w:rsidR="004D1721" w:rsidRDefault="009B16BC">
            <w:pPr>
              <w:jc w:val="center"/>
              <w:rPr>
                <w:rFonts w:ascii="Arial Narrow" w:eastAsia="仿宋_GB2312" w:hAnsi="Arial Narrow" w:cs="Arial"/>
              </w:rPr>
            </w:pPr>
            <w:r>
              <w:rPr>
                <w:rFonts w:ascii="Arial Narrow" w:eastAsia="仿宋_GB2312" w:hAnsi="Arial Narrow" w:cs="Arial"/>
              </w:rPr>
              <w:t>-3.37%</w:t>
            </w:r>
            <w:r>
              <w:rPr>
                <w:rFonts w:ascii="Arial Narrow" w:eastAsia="仿宋_GB2312" w:hAnsi="Arial Narrow" w:cs="Arial" w:hint="eastAsia"/>
              </w:rPr>
              <w:t/>
            </w:r>
            <w:r>
              <w:rPr>
                <w:rFonts w:ascii="Arial Narrow" w:eastAsia="仿宋_GB2312" w:hAnsi="Arial Narrow" w:cs="Arial"/>
              </w:rPr>
              <w:t/>
            </w:r>
          </w:p>
        </w:tc>
        <w:tc>
          <w:tcPr>
            <w:tcW w:w="2305" w:type="dxa"/>
            <w:vAlign w:val="center"/>
          </w:tcPr>
          <w:p w14:paraId="0E7AA429" w14:textId="314F548F" w:rsidR="004D1721" w:rsidRDefault="009B16BC">
            <w:pPr>
              <w:jc w:val="center"/>
              <w:rPr>
                <w:rFonts w:ascii="Arial Narrow" w:eastAsia="仿宋_GB2312" w:hAnsi="Arial Narrow" w:cs="Arial"/>
              </w:rPr>
            </w:pPr>
            <w:r>
              <w:rPr>
                <w:rFonts w:ascii="Arial Narrow" w:eastAsia="仿宋_GB2312" w:hAnsi="Arial Narrow" w:cs="Arial" w:hint="eastAsia"/>
              </w:rPr>
              <w:t>{{BVD数据模板-数据表B4}}</w:t>
            </w:r>
            <w:r>
              <w:rPr>
                <w:rFonts w:ascii="Arial Narrow" w:eastAsia="仿宋_GB2312" w:hAnsi="Arial Narrow" w:cs="Arial"/>
              </w:rPr>
              <w:t/>
            </w:r>
          </w:p>
        </w:tc>
        <w:tc>
          <w:tcPr>
            <w:tcW w:w="2305" w:type="dxa"/>
            <w:vAlign w:val="center"/>
          </w:tcPr>
          <w:p w14:paraId="11F87511" w14:textId="4B6BC113" w:rsidR="004D1721" w:rsidRDefault="009B16BC">
            <w:pPr>
              <w:jc w:val="center"/>
              <w:rPr>
                <w:rFonts w:ascii="Arial Narrow" w:eastAsia="仿宋_GB2312" w:hAnsi="Arial Narrow" w:cs="Arial"/>
              </w:rPr>
            </w:pPr>
            <w:r>
              <w:rPr>
                <w:rFonts w:ascii="Arial Narrow" w:eastAsia="仿宋_GB2312" w:hAnsi="Arial Narrow" w:cs="Arial" w:hint="eastAsia"/>
              </w:rPr>
              <w:t>{{BVD数据模板-数据表B3}}</w:t>
            </w:r>
            <w:r>
              <w:rPr>
                <w:rFonts w:ascii="Arial Narrow" w:eastAsia="仿宋_GB2312" w:hAnsi="Arial Narrow" w:cs="Arial"/>
              </w:rPr>
              <w:t/>
            </w:r>
          </w:p>
        </w:tc>
        <w:tc>
          <w:tcPr>
            <w:tcW w:w="2305" w:type="dxa"/>
            <w:vAlign w:val="center"/>
          </w:tcPr>
          <w:p w14:paraId="03AFBB30" w14:textId="7FDAC88B" w:rsidR="004D1721" w:rsidRDefault="009B16BC">
            <w:pPr>
              <w:jc w:val="center"/>
              <w:rPr>
                <w:rFonts w:ascii="Arial Narrow" w:eastAsia="仿宋_GB2312" w:hAnsi="Arial Narrow" w:cs="Arial"/>
              </w:rPr>
            </w:pPr>
            <w:r>
              <w:rPr>
                <w:rFonts w:ascii="Arial Narrow" w:eastAsia="仿宋_GB2312" w:hAnsi="Arial Narrow" w:cs="Arial" w:hint="eastAsia"/>
              </w:rPr>
              <w:t>{{BVD数据模板-数据表B2}}</w:t>
            </w:r>
            <w:r>
              <w:rPr>
                <w:rFonts w:ascii="Arial Narrow" w:eastAsia="仿宋_GB2312" w:hAnsi="Arial Narrow" w:cs="Arial"/>
              </w:rPr>
              <w:t/>
            </w:r>
          </w:p>
        </w:tc>
        <w:tc>
          <w:tcPr>
            <w:tcW w:w="2244" w:type="dxa"/>
            <w:vAlign w:val="center"/>
          </w:tcPr>
          <w:p w14:paraId="07ACC1C9" w14:textId="074C8A1D" w:rsidR="004D1721" w:rsidRDefault="009B16BC">
            <w:pPr>
              <w:jc w:val="center"/>
              <w:rPr>
                <w:rFonts w:ascii="Arial Narrow" w:eastAsia="仿宋_GB2312" w:hAnsi="Arial Narrow" w:cs="Arial"/>
              </w:rPr>
            </w:pPr>
            <w:r>
              <w:rPr>
                <w:rFonts w:ascii="Arial Narrow" w:eastAsia="仿宋_GB2312" w:hAnsi="Arial Narrow" w:cs="Arial" w:hint="eastAsia"/>
              </w:rPr>
              <w:t>18.75%</w:t>
            </w:r>
            <w:r>
              <w:rPr>
                <w:rFonts w:ascii="Arial Narrow" w:eastAsia="仿宋_GB2312" w:hAnsi="Arial Narrow" w:cs="Arial"/>
              </w:rPr>
              <w:t/>
            </w:r>
          </w:p>
        </w:tc>
      </w:tr>
    </w:tbl>
    <w:p w14:paraId="6400980F" w14:textId="77777777" w:rsidR="004D1721" w:rsidRDefault="004D1721">
      <w:pPr>
        <w:spacing w:line="240" w:lineRule="exact"/>
        <w:rPr>
          <w:rFonts w:ascii="Arial Narrow" w:eastAsia="仿宋_GB2312" w:hAnsi="Arial Narrow" w:cs="Arial"/>
          <w:sz w:val="2"/>
          <w:szCs w:val="2"/>
        </w:rPr>
      </w:pPr>
    </w:p>
    <w:p w14:paraId="665CBD47" w14:textId="77777777" w:rsidR="004D1721" w:rsidRDefault="004D1721"/>
    <w:sectPr w:rsidR="004D1721">
      <w:headerReference w:type="even" r:id="rId35"/>
      <w:footerReference w:type="default" r:id="rId36"/>
      <w:headerReference w:type="first" r:id="rId3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B2DBE" w14:textId="77777777" w:rsidR="00B35ABF" w:rsidRDefault="00B35ABF">
      <w:r>
        <w:separator/>
      </w:r>
    </w:p>
  </w:endnote>
  <w:endnote w:type="continuationSeparator" w:id="0">
    <w:p w14:paraId="10B4B4B9" w14:textId="77777777" w:rsidR="00B35ABF" w:rsidRDefault="00B3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Times New Roman"/>
    <w:charset w:val="00"/>
    <w:family w:val="auto"/>
    <w:pitch w:val="default"/>
    <w:sig w:usb0="00000000"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FZFangSong-Z02">
    <w:altName w:val="Microsoft YaHei UI"/>
    <w:charset w:val="86"/>
    <w:family w:val="script"/>
    <w:pitch w:val="default"/>
    <w:sig w:usb0="00000000" w:usb1="00000000" w:usb2="00000000" w:usb3="00000000" w:csb0="0016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Palatino">
    <w:altName w:val="Book Antiqua"/>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8CE5A" w14:textId="77777777" w:rsidR="009B16BC" w:rsidRDefault="009B16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1530C" w14:textId="77777777" w:rsidR="009B16BC" w:rsidRDefault="009B16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48131"/>
    </w:sdtPr>
    <w:sdtEndPr/>
    <w:sdtContent>
      <w:p w14:paraId="76CF2804" w14:textId="77777777" w:rsidR="009B16BC" w:rsidRDefault="009B16BC">
        <w:pPr>
          <w:pStyle w:val="Footer"/>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B0177A">
          <w:rPr>
            <w:rFonts w:ascii="Arial Narrow" w:hAnsi="Arial Narrow"/>
            <w:noProof/>
            <w:sz w:val="16"/>
          </w:rPr>
          <w:t>II</w:t>
        </w:r>
        <w:r>
          <w:rPr>
            <w:rFonts w:ascii="Arial Narrow" w:hAnsi="Arial Narrow"/>
            <w:sz w:val="16"/>
          </w:rPr>
          <w:fldChar w:fldCharType="end"/>
        </w:r>
      </w:p>
    </w:sdtContent>
  </w:sdt>
  <w:p w14:paraId="043F29AD" w14:textId="77777777" w:rsidR="009B16BC" w:rsidRDefault="009B16BC">
    <w:pPr>
      <w:pStyle w:val="Footer"/>
      <w:ind w:right="420"/>
      <w:rPr>
        <w:rFonts w:ascii="楷体" w:eastAsia="楷体" w:hAnsi="楷体" w:cs="宋体"/>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078146"/>
    </w:sdtPr>
    <w:sdtEndPr>
      <w:rPr>
        <w:rFonts w:ascii="Arial Narrow" w:hAnsi="Arial Narrow"/>
        <w:sz w:val="18"/>
      </w:rPr>
    </w:sdtEndPr>
    <w:sdtContent>
      <w:p w14:paraId="5276E90A" w14:textId="77777777" w:rsidR="009B16BC" w:rsidRDefault="009B16BC">
        <w:pPr>
          <w:pStyle w:val="Footer"/>
          <w:jc w:val="center"/>
          <w:rPr>
            <w:rFonts w:ascii="Arial Narrow" w:hAnsi="Arial Narrow"/>
            <w:sz w:val="18"/>
          </w:rPr>
        </w:pPr>
        <w:r>
          <w:rPr>
            <w:rFonts w:ascii="Arial Narrow" w:hAnsi="Arial Narrow"/>
            <w:sz w:val="18"/>
          </w:rPr>
          <w:fldChar w:fldCharType="begin"/>
        </w:r>
        <w:r>
          <w:rPr>
            <w:rFonts w:ascii="Arial Narrow" w:hAnsi="Arial Narrow"/>
            <w:sz w:val="18"/>
          </w:rPr>
          <w:instrText>PAGE   \* MERGEFORMAT</w:instrText>
        </w:r>
        <w:r>
          <w:rPr>
            <w:rFonts w:ascii="Arial Narrow" w:hAnsi="Arial Narrow"/>
            <w:sz w:val="18"/>
          </w:rPr>
          <w:fldChar w:fldCharType="separate"/>
        </w:r>
        <w:r w:rsidR="00B0177A" w:rsidRPr="00B0177A">
          <w:rPr>
            <w:rFonts w:ascii="Arial Narrow" w:hAnsi="Arial Narrow"/>
            <w:noProof/>
            <w:sz w:val="18"/>
            <w:lang w:val="zh-CN"/>
          </w:rPr>
          <w:t>iv</w:t>
        </w:r>
        <w:r>
          <w:rPr>
            <w:rFonts w:ascii="Arial Narrow" w:hAnsi="Arial Narrow"/>
            <w:sz w:val="18"/>
          </w:rPr>
          <w:fldChar w:fldCharType="end"/>
        </w:r>
      </w:p>
    </w:sdtContent>
  </w:sdt>
  <w:p w14:paraId="36D7163A" w14:textId="77777777" w:rsidR="009B16BC" w:rsidRDefault="009B16BC">
    <w:pPr>
      <w:pStyle w:val="Footer"/>
      <w:jc w:val="center"/>
      <w:rPr>
        <w:rFonts w:ascii="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38792" w14:textId="77777777" w:rsidR="009B16BC" w:rsidRDefault="009B16BC">
    <w:pPr>
      <w:pStyle w:val="Footer"/>
      <w:jc w:val="center"/>
      <w:rPr>
        <w:rFonts w:ascii="Arial Narrow" w:eastAsia="华文细黑" w:hAnsi="Arial Narrow"/>
        <w:sz w:val="18"/>
        <w:szCs w:val="18"/>
      </w:rPr>
    </w:pPr>
    <w:r>
      <w:rPr>
        <w:rFonts w:ascii="Arial Narrow" w:eastAsia="华文细黑" w:hAnsi="Arial Narrow"/>
        <w:sz w:val="18"/>
        <w:szCs w:val="18"/>
      </w:rPr>
      <w:fldChar w:fldCharType="begin"/>
    </w:r>
    <w:r>
      <w:rPr>
        <w:rFonts w:ascii="Arial Narrow" w:eastAsia="华文细黑" w:hAnsi="Arial Narrow"/>
        <w:sz w:val="18"/>
        <w:szCs w:val="18"/>
      </w:rPr>
      <w:instrText xml:space="preserve"> PAGE   \* MERGEFORMAT </w:instrText>
    </w:r>
    <w:r>
      <w:rPr>
        <w:rFonts w:ascii="Arial Narrow" w:eastAsia="华文细黑" w:hAnsi="Arial Narrow"/>
        <w:sz w:val="18"/>
        <w:szCs w:val="18"/>
      </w:rPr>
      <w:fldChar w:fldCharType="separate"/>
    </w:r>
    <w:r w:rsidR="00B0177A">
      <w:rPr>
        <w:rFonts w:ascii="Arial Narrow" w:eastAsia="华文细黑" w:hAnsi="Arial Narrow"/>
        <w:noProof/>
        <w:sz w:val="18"/>
        <w:szCs w:val="18"/>
      </w:rPr>
      <w:t>iv</w:t>
    </w:r>
    <w:r>
      <w:rPr>
        <w:rFonts w:ascii="Arial Narrow" w:eastAsia="华文细黑" w:hAnsi="Arial Narrow"/>
        <w:sz w:val="18"/>
        <w:szCs w:val="18"/>
      </w:rPr>
      <w:fldChar w:fldCharType="end"/>
    </w:r>
  </w:p>
  <w:p w14:paraId="1B44ABCE" w14:textId="77777777" w:rsidR="009B16BC" w:rsidRDefault="009B16BC">
    <w:pPr>
      <w:pStyle w:val="Footer"/>
      <w:jc w:val="center"/>
      <w:rPr>
        <w:rFonts w:ascii="Arial" w:hAnsi="Arial" w:cs="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E05A3" w14:textId="5531E197" w:rsidR="009B16BC" w:rsidRDefault="009B16BC">
    <w:pPr>
      <w:pStyle w:val="Footer"/>
      <w:jc w:val="both"/>
      <w:rPr>
        <w:rFonts w:ascii="Arial Narrow" w:eastAsia="华文细黑" w:hAnsi="Arial Narrow" w:cs="Arial"/>
        <w:sz w:val="16"/>
        <w:szCs w:val="16"/>
      </w:rPr>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bCs/>
        <w:sz w:val="16"/>
        <w:szCs w:val="24"/>
      </w:rPr>
      <w:t>立信税务师事务所有限公司</w:t>
    </w:r>
    <w:r>
      <w:rPr>
        <w:rFonts w:ascii="Arial Narrow" w:eastAsia="华文细黑" w:hAnsi="Arial Narrow"/>
        <w:sz w:val="16"/>
        <w:szCs w:val="16"/>
        <w:lang w:val="fr-FR"/>
      </w:rPr>
      <w:ptab w:relativeTo="margin" w:alignment="center" w:leader="none"/>
    </w:r>
    <w:r>
      <w:rPr>
        <w:rFonts w:ascii="Arial Narrow" w:eastAsia="华文细黑" w:hAnsi="Arial Narrow" w:cs="Arial"/>
        <w:sz w:val="16"/>
        <w:szCs w:val="16"/>
      </w:rPr>
      <w:fldChar w:fldCharType="begin"/>
    </w:r>
    <w:r>
      <w:rPr>
        <w:rFonts w:ascii="Arial Narrow" w:eastAsia="华文细黑" w:hAnsi="Arial Narrow" w:cs="Arial"/>
        <w:sz w:val="16"/>
        <w:szCs w:val="16"/>
      </w:rPr>
      <w:instrText xml:space="preserve"> PAGE  \* Arabic  \* MERGEFORMAT </w:instrText>
    </w:r>
    <w:r>
      <w:rPr>
        <w:rFonts w:ascii="Arial Narrow" w:eastAsia="华文细黑" w:hAnsi="Arial Narrow" w:cs="Arial"/>
        <w:sz w:val="16"/>
        <w:szCs w:val="16"/>
      </w:rPr>
      <w:fldChar w:fldCharType="separate"/>
    </w:r>
    <w:r w:rsidR="00B0177A">
      <w:rPr>
        <w:rFonts w:ascii="Arial Narrow" w:eastAsia="华文细黑" w:hAnsi="Arial Narrow" w:cs="Arial"/>
        <w:noProof/>
        <w:sz w:val="16"/>
        <w:szCs w:val="16"/>
      </w:rPr>
      <w:t>12</w:t>
    </w:r>
    <w:r>
      <w:rPr>
        <w:rFonts w:ascii="Arial Narrow" w:eastAsia="华文细黑" w:hAnsi="Arial Narrow" w:cs="Arial"/>
        <w:sz w:val="16"/>
        <w:szCs w:val="16"/>
      </w:rPr>
      <w:fldChar w:fldCharType="end"/>
    </w:r>
  </w:p>
  <w:p w14:paraId="1E5B0DF1" w14:textId="77777777" w:rsidR="009B16BC" w:rsidRDefault="009B16BC">
    <w:pPr>
      <w:pStyle w:val="Footer"/>
      <w:jc w:val="center"/>
      <w:rPr>
        <w:rFonts w:ascii="Arial" w:hAnsi="Arial" w:cs="Aria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B72E2" w14:textId="75A8470D" w:rsidR="009B16BC" w:rsidRDefault="009B16BC">
    <w:pPr>
      <w:pStyle w:val="Footer"/>
      <w:rPr>
        <w:rFonts w:ascii="Verdana" w:eastAsia="华文细黑" w:hAnsi="Verdana" w:cs="Arial"/>
        <w:sz w:val="18"/>
        <w:szCs w:val="18"/>
      </w:rPr>
    </w:pPr>
    <w:r>
      <w:rPr>
        <w:rFonts w:ascii="Arial Narrow" w:eastAsia="仿宋_GB2312" w:hAnsi="Arial Narrow" w:cs="Arial"/>
        <w:sz w:val="16"/>
        <w:lang w:val="fr-FR"/>
      </w:rPr>
      <w:t>©202</w:t>
    </w:r>
    <w:r>
      <w:rPr>
        <w:rFonts w:ascii="Arial Narrow" w:eastAsia="仿宋_GB2312" w:hAnsi="Arial Narrow" w:cs="Arial" w:hint="eastAsia"/>
        <w:sz w:val="16"/>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bCs/>
        <w:sz w:val="16"/>
        <w:szCs w:val="24"/>
      </w:rPr>
      <w:ptab w:relativeTo="margin" w:alignment="center" w:leader="none"/>
    </w:r>
    <w:r>
      <w:rPr>
        <w:rFonts w:ascii="Arial Narrow" w:eastAsia="华文细黑" w:hAnsi="Arial Narrow" w:cs="Arial"/>
        <w:sz w:val="18"/>
        <w:szCs w:val="18"/>
      </w:rPr>
      <w:fldChar w:fldCharType="begin"/>
    </w:r>
    <w:r>
      <w:rPr>
        <w:rFonts w:ascii="Arial Narrow" w:eastAsia="华文细黑" w:hAnsi="Arial Narrow" w:cs="Arial"/>
        <w:sz w:val="18"/>
        <w:szCs w:val="18"/>
      </w:rPr>
      <w:instrText xml:space="preserve"> PAGE  \* Arabic  \* MERGEFORMAT </w:instrText>
    </w:r>
    <w:r>
      <w:rPr>
        <w:rFonts w:ascii="Arial Narrow" w:eastAsia="华文细黑" w:hAnsi="Arial Narrow" w:cs="Arial"/>
        <w:sz w:val="18"/>
        <w:szCs w:val="18"/>
      </w:rPr>
      <w:fldChar w:fldCharType="separate"/>
    </w:r>
    <w:r w:rsidR="00B0177A">
      <w:rPr>
        <w:rFonts w:ascii="Arial Narrow" w:eastAsia="华文细黑" w:hAnsi="Arial Narrow" w:cs="Arial"/>
        <w:noProof/>
        <w:sz w:val="18"/>
        <w:szCs w:val="18"/>
      </w:rPr>
      <w:t>55</w:t>
    </w:r>
    <w:r>
      <w:rPr>
        <w:rFonts w:ascii="Arial Narrow" w:eastAsia="华文细黑" w:hAnsi="Arial Narrow" w:cs="Arial"/>
        <w:sz w:val="18"/>
        <w:szCs w:val="18"/>
      </w:rPr>
      <w:fldChar w:fldCharType="end"/>
    </w:r>
  </w:p>
  <w:p w14:paraId="48DDDDC8" w14:textId="77777777" w:rsidR="009B16BC" w:rsidRDefault="009B16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D78FB" w14:textId="77777777" w:rsidR="00B35ABF" w:rsidRDefault="00B35ABF">
      <w:r>
        <w:separator/>
      </w:r>
    </w:p>
  </w:footnote>
  <w:footnote w:type="continuationSeparator" w:id="0">
    <w:p w14:paraId="2DA06F32" w14:textId="77777777" w:rsidR="00B35ABF" w:rsidRDefault="00B35ABF">
      <w:r>
        <w:continuationSeparator/>
      </w:r>
    </w:p>
  </w:footnote>
  <w:footnote w:id="1">
    <w:p w14:paraId="0699606F" w14:textId="77777777" w:rsidR="009B16BC" w:rsidRPr="009B16BC" w:rsidRDefault="009B16BC">
      <w:pPr>
        <w:pStyle w:val="FootnoteText"/>
        <w:rPr>
          <w:rFonts w:ascii="Arial Narrow" w:eastAsia="仿宋_GB2312" w:hAnsi="Arial Narrow" w:cs="Arial Narrow"/>
          <w:sz w:val="16"/>
          <w:szCs w:val="16"/>
          <w:lang w:eastAsia="zh-CN"/>
        </w:rPr>
      </w:pPr>
      <w:r w:rsidRPr="009B16BC">
        <w:rPr>
          <w:rStyle w:val="FootnoteReference"/>
          <w:rFonts w:ascii="Arial Narrow" w:eastAsia="仿宋_GB2312" w:hAnsi="Arial Narrow" w:cs="Arial Narrow"/>
          <w:sz w:val="16"/>
          <w:szCs w:val="16"/>
        </w:rPr>
        <w:footnoteRef/>
      </w:r>
      <w:r w:rsidRPr="009B16BC">
        <w:rPr>
          <w:rFonts w:ascii="Arial Narrow" w:eastAsia="仿宋_GB2312" w:hAnsi="Arial Narrow" w:cs="Arial Narrow"/>
          <w:sz w:val="16"/>
          <w:szCs w:val="16"/>
        </w:rPr>
        <w:t xml:space="preserve"> </w:t>
      </w:r>
      <w:r w:rsidRPr="009B16BC">
        <w:rPr>
          <w:rFonts w:ascii="Arial Narrow" w:eastAsia="仿宋_GB2312" w:hAnsi="Arial Narrow" w:cs="Arial Narrow"/>
          <w:sz w:val="16"/>
          <w:szCs w:val="16"/>
          <w:lang w:eastAsia="zh-CN"/>
        </w:rPr>
        <w:t>资料</w:t>
      </w:r>
      <w:r w:rsidRPr="009B16BC">
        <w:rPr>
          <w:rFonts w:ascii="Arial Narrow" w:eastAsia="仿宋_GB2312" w:hAnsi="Arial Narrow" w:cs="Arial Narrow" w:hint="eastAsia"/>
          <w:sz w:val="16"/>
          <w:szCs w:val="16"/>
        </w:rPr>
        <w:t>来源：集</w:t>
      </w:r>
      <w:r w:rsidRPr="009B16BC">
        <w:rPr>
          <w:rFonts w:ascii="Arial Narrow" w:eastAsia="仿宋_GB2312" w:hAnsi="Arial Narrow" w:cs="Arial Narrow"/>
          <w:sz w:val="16"/>
          <w:szCs w:val="16"/>
        </w:rPr>
        <w:t>团官网</w:t>
      </w:r>
      <w:r w:rsidRPr="009B16BC">
        <w:rPr>
          <w:rFonts w:ascii="Arial Narrow" w:eastAsia="仿宋_GB2312" w:hAnsi="Arial Narrow" w:cs="Arial Narrow"/>
          <w:sz w:val="16"/>
          <w:szCs w:val="16"/>
        </w:rPr>
        <w:t>https://www.markwinsbeauty.com/about/who-we-are/</w:t>
      </w:r>
    </w:p>
  </w:footnote>
  <w:footnote w:id="2">
    <w:p w14:paraId="4515380C"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hint="eastAsia"/>
          <w:bCs/>
          <w:sz w:val="16"/>
          <w:szCs w:val="16"/>
          <w:lang w:eastAsia="zh-CN"/>
        </w:rPr>
        <w:t>《</w:t>
      </w:r>
      <w:r w:rsidRPr="005D08A5">
        <w:rPr>
          <w:rFonts w:ascii="Arial Narrow" w:eastAsia="仿宋_GB2312" w:hAnsi="Arial Narrow" w:cs="Arial Narrow"/>
          <w:bCs/>
          <w:sz w:val="16"/>
          <w:szCs w:val="16"/>
          <w:lang w:eastAsia="zh-CN"/>
        </w:rPr>
        <w:t>OECD</w:t>
      </w:r>
      <w:r w:rsidRPr="005D08A5">
        <w:rPr>
          <w:rFonts w:ascii="Arial Narrow" w:eastAsia="仿宋_GB2312" w:hAnsi="Arial Narrow" w:cs="Arial Narrow" w:hint="eastAsia"/>
          <w:bCs/>
          <w:sz w:val="16"/>
          <w:szCs w:val="16"/>
          <w:lang w:eastAsia="zh-CN"/>
        </w:rPr>
        <w:t>跨国企业与税务机关转让定价指南》，第</w:t>
      </w:r>
      <w:r w:rsidRPr="005D08A5">
        <w:rPr>
          <w:rFonts w:ascii="Arial Narrow" w:eastAsia="仿宋_GB2312" w:hAnsi="Arial Narrow" w:cs="Arial Narrow"/>
          <w:bCs/>
          <w:sz w:val="16"/>
          <w:szCs w:val="16"/>
          <w:lang w:eastAsia="zh-CN"/>
        </w:rPr>
        <w:t>V</w:t>
      </w:r>
      <w:r w:rsidRPr="005D08A5">
        <w:rPr>
          <w:rFonts w:ascii="Arial Narrow" w:eastAsia="仿宋_GB2312" w:hAnsi="Arial Narrow" w:cs="Arial Narrow" w:hint="eastAsia"/>
          <w:bCs/>
          <w:sz w:val="16"/>
          <w:szCs w:val="16"/>
          <w:lang w:eastAsia="zh-CN"/>
        </w:rPr>
        <w:t>章，</w:t>
      </w:r>
      <w:r w:rsidRPr="005D08A5">
        <w:rPr>
          <w:rFonts w:ascii="Arial Narrow" w:eastAsia="仿宋_GB2312" w:hAnsi="Arial Narrow" w:cs="Arial Narrow"/>
          <w:bCs/>
          <w:sz w:val="16"/>
          <w:szCs w:val="16"/>
          <w:lang w:eastAsia="zh-CN"/>
        </w:rPr>
        <w:t>C</w:t>
      </w:r>
      <w:r w:rsidRPr="005D08A5">
        <w:rPr>
          <w:rFonts w:ascii="Arial Narrow" w:eastAsia="仿宋_GB2312" w:hAnsi="Arial Narrow" w:cs="Arial Narrow" w:hint="eastAsia"/>
          <w:bCs/>
          <w:sz w:val="16"/>
          <w:szCs w:val="16"/>
          <w:lang w:eastAsia="zh-CN"/>
        </w:rPr>
        <w:t>部分，第</w:t>
      </w:r>
      <w:r w:rsidRPr="005D08A5">
        <w:rPr>
          <w:rFonts w:ascii="Arial Narrow" w:eastAsia="仿宋_GB2312" w:hAnsi="Arial Narrow" w:cs="Arial Narrow"/>
          <w:bCs/>
          <w:sz w:val="16"/>
          <w:szCs w:val="16"/>
          <w:lang w:eastAsia="zh-CN"/>
        </w:rPr>
        <w:t>5.22</w:t>
      </w:r>
      <w:r w:rsidRPr="005D08A5">
        <w:rPr>
          <w:rFonts w:ascii="Arial Narrow" w:eastAsia="仿宋_GB2312" w:hAnsi="Arial Narrow" w:cs="Arial Narrow" w:hint="eastAsia"/>
          <w:bCs/>
          <w:sz w:val="16"/>
          <w:szCs w:val="16"/>
          <w:lang w:eastAsia="zh-CN"/>
        </w:rPr>
        <w:t>段落</w:t>
      </w:r>
    </w:p>
  </w:footnote>
  <w:footnote w:id="3">
    <w:p w14:paraId="5A140743"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sz w:val="16"/>
          <w:szCs w:val="16"/>
        </w:rPr>
        <w:t xml:space="preserve"> </w:t>
      </w:r>
      <w:r w:rsidRPr="005D08A5">
        <w:rPr>
          <w:rFonts w:ascii="Arial Narrow" w:eastAsia="仿宋_GB2312" w:hAnsi="Arial Narrow" w:cs="Arial Narrow" w:hint="eastAsia"/>
          <w:sz w:val="16"/>
          <w:szCs w:val="16"/>
        </w:rPr>
        <w:t>资料来源：百度百科，</w:t>
      </w:r>
      <w:r w:rsidRPr="005D08A5">
        <w:rPr>
          <w:rFonts w:ascii="Arial Narrow" w:eastAsia="仿宋_GB2312" w:hAnsi="Arial Narrow" w:cs="Arial Narrow"/>
          <w:sz w:val="16"/>
          <w:szCs w:val="16"/>
        </w:rPr>
        <w:t>https://baike.baidu.com/item/%E5%8C%96%E5%A6%86%E5%93%81/140644?fr=aladdin#</w:t>
      </w:r>
    </w:p>
  </w:footnote>
  <w:footnote w:id="4">
    <w:p w14:paraId="4D678C8D" w14:textId="5A0415C8"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资料来源：立鼎产业研究网，</w:t>
      </w:r>
      <w:r w:rsidRPr="005D08A5">
        <w:rPr>
          <w:rFonts w:ascii="Arial Narrow" w:eastAsia="仿宋" w:hAnsi="Arial Narrow" w:cs="Arial Narrow"/>
          <w:sz w:val="16"/>
          <w:szCs w:val="16"/>
        </w:rPr>
        <w:t>http://www.leadingir.com/trend/view/8716.html</w:t>
      </w:r>
    </w:p>
  </w:footnote>
  <w:footnote w:id="5">
    <w:p w14:paraId="1887D6B1" w14:textId="024D488B" w:rsidR="009B16BC" w:rsidRPr="005D08A5" w:rsidRDefault="009B16BC">
      <w:pPr>
        <w:pStyle w:val="FootnoteText"/>
        <w:rPr>
          <w:rFonts w:ascii="Arial Narrow" w:eastAsia="仿宋" w:hAnsi="Arial Narrow" w:cs="Arial Narrow"/>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资料来源：前瞻经济学人，</w:t>
      </w:r>
      <w:r w:rsidRPr="005D08A5">
        <w:rPr>
          <w:rFonts w:ascii="Arial Narrow" w:eastAsia="仿宋" w:hAnsi="Arial Narrow" w:cs="Arial Narrow"/>
          <w:sz w:val="16"/>
          <w:szCs w:val="16"/>
          <w:lang w:eastAsia="zh-CN"/>
        </w:rPr>
        <w:t>https://bg.qianzhan.com/trends/detail/506/211126-284dcfa4.html</w:t>
      </w:r>
    </w:p>
  </w:footnote>
  <w:footnote w:id="6">
    <w:p w14:paraId="2E43F322" w14:textId="0498FCA3"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7">
    <w:p w14:paraId="7FD326FB" w14:textId="6B5FBE88" w:rsidR="009B16BC" w:rsidRPr="005D08A5" w:rsidRDefault="009B16BC">
      <w:pPr>
        <w:pStyle w:val="FootnoteText"/>
        <w:rPr>
          <w:rFonts w:ascii="Times New Roman" w:eastAsia="仿宋" w:hAnsi="Times New Roman"/>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8">
    <w:p w14:paraId="628B5DE6" w14:textId="77777777"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w:t>
      </w:r>
      <w:r w:rsidRPr="005D08A5">
        <w:rPr>
          <w:rFonts w:ascii="Arial Narrow" w:eastAsia="仿宋" w:hAnsi="Arial Narrow" w:cs="Arial Narrow"/>
          <w:sz w:val="16"/>
          <w:szCs w:val="16"/>
        </w:rPr>
        <w:t>2015-2019</w:t>
      </w:r>
      <w:r w:rsidRPr="005D08A5">
        <w:rPr>
          <w:rFonts w:ascii="Arial Narrow" w:eastAsia="仿宋" w:hAnsi="Arial Narrow" w:cs="Arial Narrow"/>
          <w:sz w:val="16"/>
          <w:szCs w:val="16"/>
        </w:rPr>
        <w:t>年中国化妆品行业规模以上企业零售总额情况，</w:t>
      </w:r>
      <w:r w:rsidRPr="005D08A5">
        <w:rPr>
          <w:rFonts w:ascii="Arial Narrow" w:eastAsia="仿宋" w:hAnsi="Arial Narrow" w:cs="Arial Narrow"/>
          <w:sz w:val="16"/>
          <w:szCs w:val="16"/>
        </w:rPr>
        <w:t>http://wukongzhiku.com/chart/61215.html</w:t>
      </w:r>
    </w:p>
  </w:footnote>
  <w:footnote w:id="9">
    <w:p w14:paraId="179E1DFE" w14:textId="2A2AFCB3"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0">
    <w:p w14:paraId="27F16028" w14:textId="34C3B2A9"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1">
    <w:p w14:paraId="7EEF1C17" w14:textId="5DBD777B" w:rsidR="009B16BC" w:rsidRDefault="009B16BC">
      <w:pPr>
        <w:pStyle w:val="FootnoteText"/>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资料来源：浦银国际，</w:t>
      </w:r>
      <w:r w:rsidRPr="005D08A5">
        <w:rPr>
          <w:rFonts w:ascii="Arial Narrow" w:eastAsia="仿宋" w:hAnsi="Arial Narrow" w:cs="Arial Narrow"/>
          <w:sz w:val="16"/>
          <w:szCs w:val="16"/>
        </w:rPr>
        <w:t>http://www.spdbi.com/getfile/index/action/images/name/6577fa4a86f77.pdf</w:t>
      </w:r>
    </w:p>
  </w:footnote>
  <w:footnote w:id="12">
    <w:p w14:paraId="3615936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cs="Arial"/>
          <w:sz w:val="16"/>
          <w:szCs w:val="16"/>
        </w:rPr>
        <w:footnoteRef/>
      </w:r>
      <w:r>
        <w:rPr>
          <w:rStyle w:val="FootnoteReference"/>
          <w:rFonts w:ascii="Arial Narrow" w:eastAsia="仿宋_GB2312" w:hAnsi="Arial Narrow" w:cs="Arial"/>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13">
    <w:p w14:paraId="74C4590A" w14:textId="77777777" w:rsidR="009B16BC" w:rsidRDefault="009B16BC">
      <w:pPr>
        <w:pStyle w:val="FootnoteText"/>
        <w:rPr>
          <w:rFonts w:ascii="仿宋_GB2312" w:eastAsia="仿宋_GB2312" w:hAnsi="Arial Narrow"/>
          <w:sz w:val="16"/>
          <w:szCs w:val="16"/>
          <w:lang w:eastAsia="zh-CN"/>
        </w:rPr>
      </w:pPr>
      <w:r>
        <w:rPr>
          <w:rStyle w:val="FootnoteReference"/>
          <w:rFonts w:ascii="Arial Narrow" w:eastAsia="仿宋_GB2312" w:hAnsi="Arial Narrow" w:hint="eastAsia"/>
          <w:sz w:val="16"/>
          <w:szCs w:val="16"/>
        </w:rPr>
        <w:footnoteRef/>
      </w:r>
      <w:r>
        <w:rPr>
          <w:rStyle w:val="FootnoteReference"/>
          <w:rFonts w:ascii="仿宋_GB2312" w:eastAsia="仿宋_GB2312" w:hAnsi="Arial Narrow" w:hint="eastAsia"/>
          <w:lang w:eastAsia="zh-CN"/>
        </w:rPr>
        <w:t xml:space="preserve"> </w:t>
      </w:r>
      <w:r>
        <w:rPr>
          <w:rFonts w:ascii="仿宋_GB2312" w:eastAsia="仿宋_GB2312" w:hAnsi="Arial Narrow" w:hint="eastAsia"/>
          <w:sz w:val="16"/>
          <w:szCs w:val="16"/>
          <w:lang w:eastAsia="zh-CN"/>
        </w:rPr>
        <w:t>资料来源：中华人民共和国人力资源和社会保障部</w:t>
      </w:r>
    </w:p>
    <w:p w14:paraId="2B98BC2F" w14:textId="489DA52A" w:rsidR="009B16BC" w:rsidRDefault="009B16BC">
      <w:pPr>
        <w:pStyle w:val="FootnoteText"/>
        <w:rPr>
          <w:rFonts w:ascii="仿宋_GB2312" w:eastAsia="仿宋_GB2312" w:hAnsi="Arial Narrow"/>
        </w:rPr>
      </w:pPr>
      <w:r w:rsidRPr="005D08A5">
        <w:rPr>
          <w:rFonts w:ascii="Arial Narrow" w:eastAsia="仿宋_GB2312" w:hAnsi="Arial Narrow" w:cs="Arial Narrow"/>
          <w:sz w:val="16"/>
          <w:szCs w:val="16"/>
        </w:rPr>
        <w:t>http://www.mohrss.gov.cn/SYrlzyhshbzb/laodongguanxi_/fwyd/202401/t20240119_512450.html</w:t>
      </w:r>
    </w:p>
  </w:footnote>
  <w:footnote w:id="14">
    <w:p w14:paraId="1D78321D" w14:textId="484C2842" w:rsidR="009B16BC" w:rsidRDefault="009B16BC">
      <w:pPr>
        <w:pStyle w:val="FootnoteText"/>
        <w:spacing w:line="240" w:lineRule="atLeast"/>
        <w:rPr>
          <w:rFonts w:ascii="Arial Narrow" w:eastAsia="仿宋_GB2312" w:hAnsi="Arial Narrow" w:cs="楷体"/>
          <w:sz w:val="16"/>
          <w:szCs w:val="16"/>
        </w:rPr>
      </w:pPr>
      <w:r>
        <w:rPr>
          <w:rStyle w:val="FootnoteReference"/>
          <w:rFonts w:ascii="Arial Narrow" w:eastAsia="仿宋_GB2312" w:hAnsi="Arial Narrow"/>
          <w:sz w:val="16"/>
          <w:szCs w:val="16"/>
        </w:rPr>
        <w:footnoteRef/>
      </w:r>
      <w:r>
        <w:rPr>
          <w:rStyle w:val="FootnoteReference"/>
          <w:rFonts w:ascii="Arial Narrow" w:eastAsia="仿宋_GB2312" w:hAnsi="Arial Narrow"/>
          <w:sz w:val="16"/>
          <w:szCs w:val="16"/>
        </w:rPr>
        <w:t xml:space="preserve"> </w:t>
      </w:r>
      <w:r>
        <w:rPr>
          <w:rFonts w:ascii="Arial Narrow" w:eastAsia="仿宋_GB2312" w:hAnsi="Arial Narrow"/>
          <w:sz w:val="16"/>
          <w:szCs w:val="16"/>
        </w:rPr>
        <w:t xml:space="preserve"> </w:t>
      </w:r>
      <w:r>
        <w:rPr>
          <w:rFonts w:ascii="Arial Narrow" w:eastAsia="仿宋_GB2312" w:hAnsi="Arial Narrow" w:cs="楷体"/>
          <w:sz w:val="16"/>
          <w:szCs w:val="16"/>
        </w:rPr>
        <w:t>资料来源：国家统计局，</w:t>
      </w:r>
      <w:r>
        <w:rPr>
          <w:rFonts w:ascii="Arial Narrow" w:eastAsia="仿宋_GB2312" w:hAnsi="Arial Narrow" w:cs="楷体"/>
          <w:sz w:val="16"/>
          <w:szCs w:val="16"/>
        </w:rPr>
        <w:t>https://www.stats.gov.cn/sj/zxfb/202405/t20240520_1950434.html</w:t>
      </w:r>
    </w:p>
  </w:footnote>
  <w:footnote w:id="15">
    <w:p w14:paraId="2727509D" w14:textId="77777777" w:rsidR="009B16BC" w:rsidRDefault="009B16BC">
      <w:pPr>
        <w:pStyle w:val="FootnoteTex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cs="微软雅黑"/>
          <w:sz w:val="16"/>
          <w:szCs w:val="16"/>
          <w:lang w:eastAsia="zh-CN"/>
        </w:rPr>
        <w:t>联</w:t>
      </w:r>
      <w:r>
        <w:rPr>
          <w:rFonts w:ascii="Arial Narrow" w:eastAsia="仿宋_GB2312" w:hAnsi="Arial Narrow" w:cs="Yu Gothic UI"/>
          <w:sz w:val="16"/>
          <w:szCs w:val="16"/>
          <w:lang w:eastAsia="zh-CN"/>
        </w:rPr>
        <w:t>合国</w:t>
      </w:r>
      <w:r>
        <w:rPr>
          <w:rFonts w:ascii="Arial Narrow" w:eastAsia="仿宋_GB2312" w:hAnsi="Arial Narrow" w:cs="微软雅黑"/>
          <w:sz w:val="16"/>
          <w:szCs w:val="16"/>
          <w:lang w:eastAsia="zh-CN"/>
        </w:rPr>
        <w:t>发</w:t>
      </w:r>
      <w:r>
        <w:rPr>
          <w:rFonts w:ascii="Arial Narrow" w:eastAsia="仿宋_GB2312" w:hAnsi="Arial Narrow" w:cs="Yu Gothic UI"/>
          <w:sz w:val="16"/>
          <w:szCs w:val="16"/>
          <w:lang w:eastAsia="zh-CN"/>
        </w:rPr>
        <w:t>展中国家</w:t>
      </w:r>
      <w:r>
        <w:rPr>
          <w:rFonts w:ascii="Arial Narrow" w:eastAsia="仿宋_GB2312" w:hAnsi="Arial Narrow" w:cs="微软雅黑"/>
          <w:sz w:val="16"/>
          <w:szCs w:val="16"/>
          <w:lang w:eastAsia="zh-CN"/>
        </w:rPr>
        <w:t>转让</w:t>
      </w:r>
      <w:r>
        <w:rPr>
          <w:rFonts w:ascii="Arial Narrow" w:eastAsia="仿宋_GB2312" w:hAnsi="Arial Narrow" w:cs="Yu Gothic UI"/>
          <w:sz w:val="16"/>
          <w:szCs w:val="16"/>
          <w:lang w:eastAsia="zh-CN"/>
        </w:rPr>
        <w:t>定价操作手册》，第</w:t>
      </w:r>
      <w:r>
        <w:rPr>
          <w:rFonts w:ascii="Arial Narrow" w:eastAsia="仿宋_GB2312" w:hAnsi="Arial Narrow"/>
          <w:sz w:val="16"/>
          <w:szCs w:val="16"/>
          <w:lang w:eastAsia="zh-CN"/>
        </w:rPr>
        <w:t>10</w:t>
      </w:r>
      <w:r>
        <w:rPr>
          <w:rFonts w:ascii="Arial Narrow" w:eastAsia="仿宋_GB2312" w:hAnsi="Arial Narrow"/>
          <w:sz w:val="16"/>
          <w:szCs w:val="16"/>
          <w:lang w:eastAsia="zh-CN"/>
        </w:rPr>
        <w:t>章国家</w:t>
      </w:r>
      <w:r>
        <w:rPr>
          <w:rFonts w:ascii="Arial Narrow" w:eastAsia="仿宋_GB2312" w:hAnsi="Arial Narrow" w:cs="微软雅黑"/>
          <w:sz w:val="16"/>
          <w:szCs w:val="16"/>
          <w:lang w:eastAsia="zh-CN"/>
        </w:rPr>
        <w:t>实</w:t>
      </w:r>
      <w:r>
        <w:rPr>
          <w:rFonts w:ascii="Arial Narrow" w:eastAsia="仿宋_GB2312" w:hAnsi="Arial Narrow" w:cs="Yu Gothic UI"/>
          <w:sz w:val="16"/>
          <w:szCs w:val="16"/>
          <w:lang w:eastAsia="zh-CN"/>
        </w:rPr>
        <w:t>践，第</w:t>
      </w:r>
      <w:r>
        <w:rPr>
          <w:rFonts w:ascii="Arial Narrow" w:eastAsia="仿宋_GB2312" w:hAnsi="Arial Narrow"/>
          <w:sz w:val="16"/>
          <w:szCs w:val="16"/>
          <w:lang w:eastAsia="zh-CN"/>
        </w:rPr>
        <w:t>10.3.3.3</w:t>
      </w:r>
      <w:r>
        <w:rPr>
          <w:rFonts w:ascii="Arial Narrow" w:eastAsia="仿宋_GB2312" w:hAnsi="Arial Narrow"/>
          <w:sz w:val="16"/>
          <w:szCs w:val="16"/>
          <w:lang w:eastAsia="zh-CN"/>
        </w:rPr>
        <w:t>段落</w:t>
      </w:r>
    </w:p>
  </w:footnote>
  <w:footnote w:id="16">
    <w:p w14:paraId="2A4C54D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7">
    <w:p w14:paraId="4D60036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8">
    <w:p w14:paraId="776FD9A3"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9">
    <w:p w14:paraId="18FD442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20">
    <w:p w14:paraId="472BF1B8"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21">
    <w:p w14:paraId="7BE4F51C"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cs="楷体"/>
          <w:sz w:val="16"/>
          <w:szCs w:val="16"/>
          <w:lang w:eastAsia="zh-CN"/>
        </w:rPr>
        <w:t xml:space="preserve"> </w:t>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的使用。四分位区间是指下四分位数至上四分位数之间的区间。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18A6" w14:textId="77777777" w:rsidR="009B16BC" w:rsidRDefault="009B16BC">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B03D3" w14:textId="77777777" w:rsidR="009B16BC" w:rsidRDefault="009B16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4468F" w14:textId="77777777" w:rsidR="009B16BC" w:rsidRDefault="009B16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EC0A6" w14:textId="77777777" w:rsidR="009B16BC" w:rsidRDefault="009B16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B563" w14:textId="77777777" w:rsidR="009B16BC" w:rsidRDefault="009B16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451F0"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华文细黑"/>
        <w:sz w:val="18"/>
        <w:szCs w:val="18"/>
      </w:rPr>
    </w:pPr>
    <w:r>
      <w:rPr>
        <w:rFonts w:ascii="Arial Narrow" w:eastAsia="仿宋_GB2312" w:hAnsi="Arial Narrow" w:cs="华文细黑" w:hint="eastAsia"/>
        <w:sz w:val="18"/>
        <w:szCs w:val="18"/>
      </w:rPr>
      <w:t>松莉美容科技（上海）有限公司</w:t>
    </w:r>
  </w:p>
  <w:p w14:paraId="75785241"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sz w:val="18"/>
        <w:szCs w:val="18"/>
      </w:rPr>
    </w:pPr>
    <w:r>
      <w:rPr>
        <w:rFonts w:ascii="Arial Narrow" w:eastAsia="仿宋_GB2312" w:hAnsi="Arial Narrow" w:hint="eastAsia"/>
        <w:sz w:val="18"/>
        <w:szCs w:val="18"/>
      </w:rPr>
      <w:t>关联交易同期资料报告（本地文档）</w:t>
    </w:r>
  </w:p>
  <w:p w14:paraId="23F8814D"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Arial"/>
      </w:rPr>
    </w:pP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财务年度（截至</w:t>
    </w: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年</w:t>
    </w:r>
    <w:r>
      <w:rPr>
        <w:rFonts w:ascii="Arial Narrow" w:eastAsia="仿宋_GB2312" w:hAnsi="Arial Narrow" w:cs="Arial" w:hint="eastAsia"/>
        <w:sz w:val="18"/>
        <w:szCs w:val="18"/>
      </w:rPr>
      <w:t>12</w:t>
    </w:r>
    <w:r>
      <w:rPr>
        <w:rFonts w:ascii="Arial Narrow" w:eastAsia="仿宋_GB2312" w:hAnsi="Arial Narrow" w:hint="eastAsia"/>
        <w:sz w:val="18"/>
        <w:szCs w:val="18"/>
      </w:rPr>
      <w:t>月</w:t>
    </w:r>
    <w:r>
      <w:rPr>
        <w:rFonts w:ascii="Arial Narrow" w:eastAsia="仿宋_GB2312" w:hAnsi="Arial Narrow" w:cs="Arial" w:hint="eastAsia"/>
        <w:sz w:val="18"/>
        <w:szCs w:val="18"/>
      </w:rPr>
      <w:t>31</w:t>
    </w:r>
    <w:r>
      <w:rPr>
        <w:rFonts w:ascii="Arial Narrow" w:eastAsia="仿宋_GB2312" w:hAnsi="Arial Narrow" w:hint="eastAsia"/>
        <w:sz w:val="18"/>
        <w:szCs w:val="18"/>
      </w:rPr>
      <w:t>日）</w:t>
    </w:r>
    <w:r>
      <w:rPr>
        <w:rFonts w:ascii="Verdana" w:eastAsia="华文楷体" w:hAnsi="Verdana"/>
        <w:sz w:val="18"/>
      </w:rPr>
      <w:tab/>
    </w:r>
  </w:p>
  <w:p w14:paraId="0F8519DA" w14:textId="77777777" w:rsidR="009B16BC" w:rsidRDefault="009B16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4BDDA" w14:textId="77777777" w:rsidR="009B16BC" w:rsidRDefault="009B16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0638B" w14:textId="77777777" w:rsidR="009B16BC" w:rsidRDefault="009B16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0734" w14:textId="77777777" w:rsidR="009B16BC" w:rsidRDefault="009B16BC">
    <w:pPr>
      <w:pStyle w:val="Header"/>
    </w:pPr>
  </w:p>
  <w:p w14:paraId="20C95379" w14:textId="77777777" w:rsidR="009B16BC" w:rsidRDefault="009B16BC">
    <w:r>
      <w:t>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61AC9" w14:textId="77777777" w:rsidR="009B16BC" w:rsidRDefault="009B16BC">
    <w:pPr>
      <w:pStyle w:val="Header"/>
    </w:pPr>
  </w:p>
  <w:p w14:paraId="575E67CA" w14:textId="77777777" w:rsidR="009B16BC" w:rsidRDefault="009B16BC"/>
  <w:p w14:paraId="5BC087E6" w14:textId="77777777" w:rsidR="009B16BC" w:rsidRDefault="009B16BC"/>
  <w:p w14:paraId="042A6264" w14:textId="77777777" w:rsidR="009B16BC" w:rsidRDefault="009B16BC"/>
  <w:p w14:paraId="690D5604" w14:textId="77777777" w:rsidR="009B16BC" w:rsidRDefault="009B16BC"/>
  <w:p w14:paraId="3FA9C06E" w14:textId="77777777" w:rsidR="009B16BC" w:rsidRDefault="009B16BC"/>
  <w:p w14:paraId="6E4801CB" w14:textId="77777777" w:rsidR="009B16BC" w:rsidRDefault="009B16BC"/>
  <w:p w14:paraId="5B79ADAC" w14:textId="77777777" w:rsidR="009B16BC" w:rsidRDefault="009B16B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14E36" w14:textId="77777777" w:rsidR="009B16BC" w:rsidRDefault="009B16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267A01"/>
    <w:multiLevelType w:val="singleLevel"/>
    <w:tmpl w:val="9F267A01"/>
    <w:lvl w:ilvl="0">
      <w:start w:val="1"/>
      <w:numFmt w:val="bullet"/>
      <w:lvlText w:val=""/>
      <w:lvlJc w:val="left"/>
      <w:pPr>
        <w:ind w:left="18" w:hanging="420"/>
      </w:pPr>
      <w:rPr>
        <w:rFonts w:ascii="Wingdings" w:hAnsi="Wingdings" w:hint="default"/>
      </w:rPr>
    </w:lvl>
  </w:abstractNum>
  <w:abstractNum w:abstractNumId="1">
    <w:nsid w:val="FF61C0FF"/>
    <w:multiLevelType w:val="singleLevel"/>
    <w:tmpl w:val="FF61C0FF"/>
    <w:lvl w:ilvl="0">
      <w:start w:val="1"/>
      <w:numFmt w:val="bullet"/>
      <w:lvlText w:val=""/>
      <w:lvlJc w:val="left"/>
      <w:pPr>
        <w:ind w:left="18" w:hanging="420"/>
      </w:pPr>
      <w:rPr>
        <w:rFonts w:ascii="Wingdings" w:hAnsi="Wingdings" w:hint="default"/>
      </w:rPr>
    </w:lvl>
  </w:abstractNum>
  <w:abstractNum w:abstractNumId="2">
    <w:nsid w:val="0200603B"/>
    <w:multiLevelType w:val="multilevel"/>
    <w:tmpl w:val="0200603B"/>
    <w:lvl w:ilvl="0">
      <w:start w:val="1"/>
      <w:numFmt w:val="bullet"/>
      <w:lvlText w:val=""/>
      <w:lvlJc w:val="left"/>
      <w:pPr>
        <w:ind w:left="860" w:hanging="420"/>
      </w:pPr>
      <w:rPr>
        <w:rFonts w:ascii="Wingdings" w:hAnsi="Wingdings" w:hint="default"/>
        <w:sz w:val="13"/>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3">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4">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
    <w:nsid w:val="0A6461D0"/>
    <w:multiLevelType w:val="multilevel"/>
    <w:tmpl w:val="0A6461D0"/>
    <w:lvl w:ilvl="0">
      <w:start w:val="1"/>
      <w:numFmt w:val="bullet"/>
      <w:lvlText w:val=""/>
      <w:lvlJc w:val="left"/>
      <w:pPr>
        <w:ind w:left="420" w:hanging="420"/>
      </w:pPr>
      <w:rPr>
        <w:rFonts w:ascii="Wingdings" w:hAnsi="Wingdings" w:hint="default"/>
        <w:color w:val="00206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1200475C"/>
    <w:multiLevelType w:val="multilevel"/>
    <w:tmpl w:val="1200475C"/>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7">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8">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E220B3"/>
    <w:multiLevelType w:val="singleLevel"/>
    <w:tmpl w:val="17E220B3"/>
    <w:lvl w:ilvl="0">
      <w:start w:val="1"/>
      <w:numFmt w:val="bullet"/>
      <w:lvlText w:val=""/>
      <w:lvlJc w:val="left"/>
      <w:pPr>
        <w:ind w:left="18" w:hanging="420"/>
      </w:pPr>
      <w:rPr>
        <w:rFonts w:ascii="Wingdings" w:hAnsi="Wingdings" w:hint="default"/>
      </w:rPr>
    </w:lvl>
  </w:abstractNum>
  <w:abstractNum w:abstractNumId="11">
    <w:nsid w:val="20BC0DF0"/>
    <w:multiLevelType w:val="multilevel"/>
    <w:tmpl w:val="20BC0DF0"/>
    <w:lvl w:ilvl="0">
      <w:start w:val="1"/>
      <w:numFmt w:val="decimal"/>
      <w:pStyle w:val="Heading1"/>
      <w:lvlText w:val="%1."/>
      <w:lvlJc w:val="left"/>
      <w:pPr>
        <w:ind w:left="360" w:hanging="360"/>
      </w:pPr>
      <w:rPr>
        <w:rFonts w:ascii="Arial Narrow" w:hAnsi="Arial Narrow" w:cs="Arial" w:hint="default"/>
        <w:b w:val="0"/>
        <w:bCs/>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isLgl/>
      <w:lvlText w:val="%1.%2"/>
      <w:lvlJc w:val="left"/>
      <w:pPr>
        <w:ind w:left="360" w:hanging="360"/>
      </w:pPr>
      <w:rPr>
        <w:rFonts w:ascii="Arial Narrow" w:eastAsia="仿宋_GB2312" w:hAnsi="Arial Narrow" w:cs="Arial" w:hint="default"/>
        <w:b w:val="0"/>
        <w:bCs/>
        <w:i w:val="0"/>
        <w:iCs w:val="0"/>
        <w:caps w:val="0"/>
        <w:smallCaps w:val="0"/>
        <w:strike w:val="0"/>
        <w:dstrike w:val="0"/>
        <w:outline w:val="0"/>
        <w:shadow w:val="0"/>
        <w:emboss w:val="0"/>
        <w:imprint w:val="0"/>
        <w:vanish w:val="0"/>
        <w:color w:val="002060"/>
        <w:spacing w:val="0"/>
        <w:kern w:val="0"/>
        <w:position w:val="0"/>
        <w:sz w:val="22"/>
        <w:szCs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720" w:hanging="720"/>
      </w:pPr>
      <w:rPr>
        <w:rFonts w:ascii="Arial Narrow" w:hAnsi="Arial Narrow" w:cs="Arial" w:hint="default"/>
        <w:b w:val="0"/>
        <w:bCs/>
        <w:i w:val="0"/>
        <w:iCs w:val="0"/>
        <w:caps w:val="0"/>
        <w:smallCaps w:val="0"/>
        <w:strike w:val="0"/>
        <w:dstrike w:val="0"/>
        <w:outline w:val="0"/>
        <w:shadow w:val="0"/>
        <w:emboss w:val="0"/>
        <w:imprint w:val="0"/>
        <w:vanish w:val="0"/>
        <w:color w:val="002060"/>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lvlText w:val="%1.%2.%3.%4"/>
      <w:lvlJc w:val="left"/>
      <w:pPr>
        <w:ind w:left="1080" w:hanging="1080"/>
      </w:pPr>
      <w:rPr>
        <w:rFonts w:ascii="Arial" w:hAnsi="Arial" w:cs="Arial" w:hint="default"/>
        <w:b w:val="0"/>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nsid w:val="23E240BB"/>
    <w:multiLevelType w:val="multilevel"/>
    <w:tmpl w:val="23E240BB"/>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3">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4">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43BE0700"/>
    <w:multiLevelType w:val="multilevel"/>
    <w:tmpl w:val="43BE0700"/>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7">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Heading5"/>
      <w:lvlText w:val="%1.%2.%3.%4.%5"/>
      <w:lvlJc w:val="left"/>
      <w:pPr>
        <w:tabs>
          <w:tab w:val="left" w:pos="1008"/>
        </w:tabs>
        <w:ind w:left="1008" w:hanging="1008"/>
      </w:pPr>
      <w:rPr>
        <w:rFonts w:hint="eastAsia"/>
      </w:rPr>
    </w:lvl>
    <w:lvl w:ilvl="5">
      <w:start w:val="1"/>
      <w:numFmt w:val="decimal"/>
      <w:pStyle w:val="Heading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nsid w:val="52C0D4A4"/>
    <w:multiLevelType w:val="singleLevel"/>
    <w:tmpl w:val="52C0D4A4"/>
    <w:lvl w:ilvl="0">
      <w:start w:val="1"/>
      <w:numFmt w:val="decimal"/>
      <w:suff w:val="nothing"/>
      <w:lvlText w:val="%1）"/>
      <w:lvlJc w:val="left"/>
    </w:lvl>
  </w:abstractNum>
  <w:abstractNum w:abstractNumId="2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44D5A"/>
    <w:multiLevelType w:val="singleLevel"/>
    <w:tmpl w:val="5B844D5A"/>
    <w:lvl w:ilvl="0">
      <w:start w:val="1"/>
      <w:numFmt w:val="bullet"/>
      <w:lvlText w:val=""/>
      <w:lvlJc w:val="left"/>
      <w:pPr>
        <w:ind w:left="-382" w:hanging="420"/>
      </w:pPr>
      <w:rPr>
        <w:rFonts w:ascii="Wingdings" w:hAnsi="Wingdings" w:hint="default"/>
      </w:rPr>
    </w:lvl>
  </w:abstractNum>
  <w:abstractNum w:abstractNumId="23">
    <w:nsid w:val="5F9B07F4"/>
    <w:multiLevelType w:val="singleLevel"/>
    <w:tmpl w:val="5F9B07F4"/>
    <w:lvl w:ilvl="0">
      <w:start w:val="1"/>
      <w:numFmt w:val="bullet"/>
      <w:lvlText w:val=""/>
      <w:lvlJc w:val="left"/>
      <w:pPr>
        <w:ind w:left="-382" w:hanging="420"/>
      </w:pPr>
      <w:rPr>
        <w:rFonts w:ascii="Wingdings" w:hAnsi="Wingdings" w:hint="default"/>
      </w:rPr>
    </w:lvl>
  </w:abstractNum>
  <w:abstractNum w:abstractNumId="24">
    <w:nsid w:val="621160FC"/>
    <w:multiLevelType w:val="multilevel"/>
    <w:tmpl w:val="621160FC"/>
    <w:lvl w:ilvl="0">
      <w:start w:val="1"/>
      <w:numFmt w:val="bullet"/>
      <w:pStyle w:val="ListParagraph"/>
      <w:lvlText w:val=""/>
      <w:lvlJc w:val="left"/>
      <w:pPr>
        <w:ind w:left="1162" w:hanging="360"/>
      </w:pPr>
      <w:rPr>
        <w:rFonts w:ascii="Symbol" w:hAnsi="Symbol" w:hint="default"/>
      </w:rPr>
    </w:lvl>
    <w:lvl w:ilvl="1">
      <w:start w:val="1"/>
      <w:numFmt w:val="bullet"/>
      <w:lvlText w:val="o"/>
      <w:lvlJc w:val="left"/>
      <w:pPr>
        <w:ind w:left="1882" w:hanging="360"/>
      </w:pPr>
      <w:rPr>
        <w:rFonts w:ascii="Courier New" w:hAnsi="Courier New" w:cs="Courier New" w:hint="default"/>
      </w:rPr>
    </w:lvl>
    <w:lvl w:ilvl="2">
      <w:start w:val="1"/>
      <w:numFmt w:val="bullet"/>
      <w:lvlText w:val=""/>
      <w:lvlJc w:val="left"/>
      <w:pPr>
        <w:ind w:left="2602" w:hanging="360"/>
      </w:pPr>
      <w:rPr>
        <w:rFonts w:ascii="Wingdings" w:hAnsi="Wingdings" w:hint="default"/>
      </w:rPr>
    </w:lvl>
    <w:lvl w:ilvl="3">
      <w:start w:val="1"/>
      <w:numFmt w:val="bullet"/>
      <w:lvlText w:val=""/>
      <w:lvlJc w:val="left"/>
      <w:pPr>
        <w:ind w:left="3322" w:hanging="360"/>
      </w:pPr>
      <w:rPr>
        <w:rFonts w:ascii="Symbol" w:hAnsi="Symbol" w:hint="default"/>
      </w:rPr>
    </w:lvl>
    <w:lvl w:ilvl="4">
      <w:start w:val="1"/>
      <w:numFmt w:val="bullet"/>
      <w:lvlText w:val="o"/>
      <w:lvlJc w:val="left"/>
      <w:pPr>
        <w:ind w:left="4042" w:hanging="360"/>
      </w:pPr>
      <w:rPr>
        <w:rFonts w:ascii="Courier New" w:hAnsi="Courier New" w:cs="Courier New" w:hint="default"/>
      </w:rPr>
    </w:lvl>
    <w:lvl w:ilvl="5">
      <w:start w:val="1"/>
      <w:numFmt w:val="bullet"/>
      <w:lvlText w:val=""/>
      <w:lvlJc w:val="left"/>
      <w:pPr>
        <w:ind w:left="4762" w:hanging="360"/>
      </w:pPr>
      <w:rPr>
        <w:rFonts w:ascii="Wingdings" w:hAnsi="Wingdings" w:hint="default"/>
      </w:rPr>
    </w:lvl>
    <w:lvl w:ilvl="6">
      <w:start w:val="1"/>
      <w:numFmt w:val="bullet"/>
      <w:lvlText w:val=""/>
      <w:lvlJc w:val="left"/>
      <w:pPr>
        <w:ind w:left="5482" w:hanging="360"/>
      </w:pPr>
      <w:rPr>
        <w:rFonts w:ascii="Symbol" w:hAnsi="Symbol" w:hint="default"/>
      </w:rPr>
    </w:lvl>
    <w:lvl w:ilvl="7">
      <w:start w:val="1"/>
      <w:numFmt w:val="bullet"/>
      <w:lvlText w:val="o"/>
      <w:lvlJc w:val="left"/>
      <w:pPr>
        <w:ind w:left="6202" w:hanging="360"/>
      </w:pPr>
      <w:rPr>
        <w:rFonts w:ascii="Courier New" w:hAnsi="Courier New" w:cs="Courier New" w:hint="default"/>
      </w:rPr>
    </w:lvl>
    <w:lvl w:ilvl="8">
      <w:start w:val="1"/>
      <w:numFmt w:val="bullet"/>
      <w:lvlText w:val=""/>
      <w:lvlJc w:val="left"/>
      <w:pPr>
        <w:ind w:left="6922" w:hanging="360"/>
      </w:pPr>
      <w:rPr>
        <w:rFonts w:ascii="Wingdings" w:hAnsi="Wingdings" w:hint="default"/>
      </w:rPr>
    </w:lvl>
  </w:abstractNum>
  <w:abstractNum w:abstractNumId="25">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6">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3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31">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Formatting/>
  <w:documentProtection w:edit="readOnly" w:formatting="1" w:enforcement="0"/>
  <w:defaultTabStop w:val="720"/>
  <w:drawingGridHorizontalSpacing w:val="10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yYzdhZGI0NDdiNjk4ZDg2MzVmZWNiMGE0MTdjZDQifQ=="/>
  </w:docVars>
  <w:rsids>
    <w:rsidRoot w:val="00AE4D15"/>
    <w:rsid w:val="8BBF5497"/>
    <w:rsid w:val="8E3672DB"/>
    <w:rsid w:val="97FB3DE9"/>
    <w:rsid w:val="9D7E35B3"/>
    <w:rsid w:val="B3BF1565"/>
    <w:rsid w:val="B67E6DC9"/>
    <w:rsid w:val="CBEFA2CF"/>
    <w:rsid w:val="CFFB69B4"/>
    <w:rsid w:val="D7BF33B5"/>
    <w:rsid w:val="DF7B74B4"/>
    <w:rsid w:val="DFB57573"/>
    <w:rsid w:val="DFEED216"/>
    <w:rsid w:val="E7DD3EE7"/>
    <w:rsid w:val="E8BFC301"/>
    <w:rsid w:val="E9E9BDE7"/>
    <w:rsid w:val="EFD6C458"/>
    <w:rsid w:val="F6777E41"/>
    <w:rsid w:val="F9BB5B63"/>
    <w:rsid w:val="FBDF5B14"/>
    <w:rsid w:val="FF8DEF1D"/>
    <w:rsid w:val="FFAB78BC"/>
    <w:rsid w:val="FFBF8E55"/>
    <w:rsid w:val="000006C4"/>
    <w:rsid w:val="0000075A"/>
    <w:rsid w:val="00000BA5"/>
    <w:rsid w:val="00000E68"/>
    <w:rsid w:val="00000EED"/>
    <w:rsid w:val="000011EB"/>
    <w:rsid w:val="000012C8"/>
    <w:rsid w:val="0000132B"/>
    <w:rsid w:val="00001D9A"/>
    <w:rsid w:val="00002221"/>
    <w:rsid w:val="00002EE0"/>
    <w:rsid w:val="000033F7"/>
    <w:rsid w:val="00003858"/>
    <w:rsid w:val="00003AE8"/>
    <w:rsid w:val="00003D2A"/>
    <w:rsid w:val="00003F41"/>
    <w:rsid w:val="00004D8C"/>
    <w:rsid w:val="00004E5B"/>
    <w:rsid w:val="0000501F"/>
    <w:rsid w:val="0000543D"/>
    <w:rsid w:val="000064A1"/>
    <w:rsid w:val="00006822"/>
    <w:rsid w:val="000074C0"/>
    <w:rsid w:val="0001021C"/>
    <w:rsid w:val="000103E7"/>
    <w:rsid w:val="0001045E"/>
    <w:rsid w:val="000106D1"/>
    <w:rsid w:val="00010A7D"/>
    <w:rsid w:val="00010C26"/>
    <w:rsid w:val="00010FC2"/>
    <w:rsid w:val="00011262"/>
    <w:rsid w:val="00012D5C"/>
    <w:rsid w:val="00013B4A"/>
    <w:rsid w:val="00014383"/>
    <w:rsid w:val="00014969"/>
    <w:rsid w:val="00015A70"/>
    <w:rsid w:val="000163BA"/>
    <w:rsid w:val="00016DA2"/>
    <w:rsid w:val="00017457"/>
    <w:rsid w:val="00017468"/>
    <w:rsid w:val="00017D3B"/>
    <w:rsid w:val="00017F4C"/>
    <w:rsid w:val="0002061F"/>
    <w:rsid w:val="00020974"/>
    <w:rsid w:val="000226DD"/>
    <w:rsid w:val="00022719"/>
    <w:rsid w:val="00022E8F"/>
    <w:rsid w:val="0002310D"/>
    <w:rsid w:val="000234CD"/>
    <w:rsid w:val="00023556"/>
    <w:rsid w:val="00024325"/>
    <w:rsid w:val="00024C12"/>
    <w:rsid w:val="00024CBA"/>
    <w:rsid w:val="00024D78"/>
    <w:rsid w:val="00026025"/>
    <w:rsid w:val="00026CF6"/>
    <w:rsid w:val="000276D3"/>
    <w:rsid w:val="0002785C"/>
    <w:rsid w:val="0002789C"/>
    <w:rsid w:val="00027C2C"/>
    <w:rsid w:val="00030382"/>
    <w:rsid w:val="00030890"/>
    <w:rsid w:val="00030AB6"/>
    <w:rsid w:val="00030CEC"/>
    <w:rsid w:val="0003103E"/>
    <w:rsid w:val="000315E7"/>
    <w:rsid w:val="0003191E"/>
    <w:rsid w:val="00031E78"/>
    <w:rsid w:val="00032326"/>
    <w:rsid w:val="00032788"/>
    <w:rsid w:val="00032A04"/>
    <w:rsid w:val="00032B87"/>
    <w:rsid w:val="000333A0"/>
    <w:rsid w:val="00034025"/>
    <w:rsid w:val="0003485B"/>
    <w:rsid w:val="00035426"/>
    <w:rsid w:val="000354C5"/>
    <w:rsid w:val="00035562"/>
    <w:rsid w:val="00035583"/>
    <w:rsid w:val="00035B89"/>
    <w:rsid w:val="00036464"/>
    <w:rsid w:val="00036B11"/>
    <w:rsid w:val="00037396"/>
    <w:rsid w:val="000377D8"/>
    <w:rsid w:val="00037B42"/>
    <w:rsid w:val="00037E7B"/>
    <w:rsid w:val="00037EDA"/>
    <w:rsid w:val="00037F99"/>
    <w:rsid w:val="00040176"/>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66A"/>
    <w:rsid w:val="00045759"/>
    <w:rsid w:val="00045BEB"/>
    <w:rsid w:val="00045FE4"/>
    <w:rsid w:val="0004692E"/>
    <w:rsid w:val="00046B7D"/>
    <w:rsid w:val="00047509"/>
    <w:rsid w:val="00050565"/>
    <w:rsid w:val="0005086E"/>
    <w:rsid w:val="00050E27"/>
    <w:rsid w:val="00051715"/>
    <w:rsid w:val="000517EF"/>
    <w:rsid w:val="00051824"/>
    <w:rsid w:val="00051AF7"/>
    <w:rsid w:val="00051CB6"/>
    <w:rsid w:val="00051EF0"/>
    <w:rsid w:val="00052645"/>
    <w:rsid w:val="000528B3"/>
    <w:rsid w:val="000534F8"/>
    <w:rsid w:val="00054348"/>
    <w:rsid w:val="0005483D"/>
    <w:rsid w:val="000548EF"/>
    <w:rsid w:val="00054E26"/>
    <w:rsid w:val="00055847"/>
    <w:rsid w:val="0005616A"/>
    <w:rsid w:val="000561B5"/>
    <w:rsid w:val="00056361"/>
    <w:rsid w:val="000564B1"/>
    <w:rsid w:val="000569EB"/>
    <w:rsid w:val="00056E4A"/>
    <w:rsid w:val="00056F41"/>
    <w:rsid w:val="000577E8"/>
    <w:rsid w:val="00057F2D"/>
    <w:rsid w:val="000606C9"/>
    <w:rsid w:val="00060AED"/>
    <w:rsid w:val="000612B1"/>
    <w:rsid w:val="000615D2"/>
    <w:rsid w:val="00061772"/>
    <w:rsid w:val="000617C5"/>
    <w:rsid w:val="000634EB"/>
    <w:rsid w:val="00063519"/>
    <w:rsid w:val="00063584"/>
    <w:rsid w:val="00063628"/>
    <w:rsid w:val="00063C91"/>
    <w:rsid w:val="0006511A"/>
    <w:rsid w:val="000652D5"/>
    <w:rsid w:val="00065360"/>
    <w:rsid w:val="00065435"/>
    <w:rsid w:val="00065629"/>
    <w:rsid w:val="00065FEB"/>
    <w:rsid w:val="00066F0D"/>
    <w:rsid w:val="000670A6"/>
    <w:rsid w:val="0006758F"/>
    <w:rsid w:val="000679FC"/>
    <w:rsid w:val="00067E9C"/>
    <w:rsid w:val="00070A14"/>
    <w:rsid w:val="00070F30"/>
    <w:rsid w:val="00071740"/>
    <w:rsid w:val="0007191D"/>
    <w:rsid w:val="000719F3"/>
    <w:rsid w:val="00071FE3"/>
    <w:rsid w:val="0007233E"/>
    <w:rsid w:val="00072941"/>
    <w:rsid w:val="0007363F"/>
    <w:rsid w:val="000739E7"/>
    <w:rsid w:val="000739EA"/>
    <w:rsid w:val="000740A3"/>
    <w:rsid w:val="000740CA"/>
    <w:rsid w:val="000740F8"/>
    <w:rsid w:val="00074E38"/>
    <w:rsid w:val="0007548F"/>
    <w:rsid w:val="00076279"/>
    <w:rsid w:val="0007746E"/>
    <w:rsid w:val="00077C57"/>
    <w:rsid w:val="00077C65"/>
    <w:rsid w:val="00077D38"/>
    <w:rsid w:val="000812D8"/>
    <w:rsid w:val="00081E0A"/>
    <w:rsid w:val="00082227"/>
    <w:rsid w:val="0008227E"/>
    <w:rsid w:val="000822B4"/>
    <w:rsid w:val="000823B3"/>
    <w:rsid w:val="00082951"/>
    <w:rsid w:val="00082C54"/>
    <w:rsid w:val="000832A7"/>
    <w:rsid w:val="00083425"/>
    <w:rsid w:val="000838A4"/>
    <w:rsid w:val="000848D7"/>
    <w:rsid w:val="0008515F"/>
    <w:rsid w:val="00085201"/>
    <w:rsid w:val="00085837"/>
    <w:rsid w:val="00085883"/>
    <w:rsid w:val="00085E59"/>
    <w:rsid w:val="00085F4E"/>
    <w:rsid w:val="00085FAF"/>
    <w:rsid w:val="0008658B"/>
    <w:rsid w:val="00086721"/>
    <w:rsid w:val="00087B4B"/>
    <w:rsid w:val="00087B53"/>
    <w:rsid w:val="00087D55"/>
    <w:rsid w:val="00087F1B"/>
    <w:rsid w:val="00087FEB"/>
    <w:rsid w:val="00090085"/>
    <w:rsid w:val="00090627"/>
    <w:rsid w:val="00090741"/>
    <w:rsid w:val="00090909"/>
    <w:rsid w:val="00090C05"/>
    <w:rsid w:val="0009161A"/>
    <w:rsid w:val="00091846"/>
    <w:rsid w:val="00091E02"/>
    <w:rsid w:val="00091FD2"/>
    <w:rsid w:val="0009322C"/>
    <w:rsid w:val="000938FC"/>
    <w:rsid w:val="0009432A"/>
    <w:rsid w:val="00094390"/>
    <w:rsid w:val="0009472D"/>
    <w:rsid w:val="00094B60"/>
    <w:rsid w:val="00094C23"/>
    <w:rsid w:val="00094E85"/>
    <w:rsid w:val="00094F5C"/>
    <w:rsid w:val="00094FA7"/>
    <w:rsid w:val="00095826"/>
    <w:rsid w:val="00097205"/>
    <w:rsid w:val="00097271"/>
    <w:rsid w:val="000973BB"/>
    <w:rsid w:val="00097582"/>
    <w:rsid w:val="000A0BFD"/>
    <w:rsid w:val="000A1076"/>
    <w:rsid w:val="000A138C"/>
    <w:rsid w:val="000A19D9"/>
    <w:rsid w:val="000A1E0F"/>
    <w:rsid w:val="000A2B4B"/>
    <w:rsid w:val="000A32C6"/>
    <w:rsid w:val="000A4006"/>
    <w:rsid w:val="000A4369"/>
    <w:rsid w:val="000A4916"/>
    <w:rsid w:val="000A4C55"/>
    <w:rsid w:val="000A54EC"/>
    <w:rsid w:val="000A594F"/>
    <w:rsid w:val="000A5AFF"/>
    <w:rsid w:val="000A5B70"/>
    <w:rsid w:val="000A673F"/>
    <w:rsid w:val="000A6771"/>
    <w:rsid w:val="000A69C7"/>
    <w:rsid w:val="000A6A15"/>
    <w:rsid w:val="000A6CCC"/>
    <w:rsid w:val="000A6E9D"/>
    <w:rsid w:val="000B01E6"/>
    <w:rsid w:val="000B0421"/>
    <w:rsid w:val="000B0995"/>
    <w:rsid w:val="000B1BDE"/>
    <w:rsid w:val="000B21D3"/>
    <w:rsid w:val="000B22ED"/>
    <w:rsid w:val="000B2316"/>
    <w:rsid w:val="000B2564"/>
    <w:rsid w:val="000B312C"/>
    <w:rsid w:val="000B3A90"/>
    <w:rsid w:val="000B3D9D"/>
    <w:rsid w:val="000B5119"/>
    <w:rsid w:val="000B5138"/>
    <w:rsid w:val="000B55CB"/>
    <w:rsid w:val="000B572D"/>
    <w:rsid w:val="000B5992"/>
    <w:rsid w:val="000B5E79"/>
    <w:rsid w:val="000B6538"/>
    <w:rsid w:val="000B7394"/>
    <w:rsid w:val="000B75D6"/>
    <w:rsid w:val="000B798F"/>
    <w:rsid w:val="000B79C5"/>
    <w:rsid w:val="000C0CB3"/>
    <w:rsid w:val="000C126A"/>
    <w:rsid w:val="000C1E6E"/>
    <w:rsid w:val="000C29A5"/>
    <w:rsid w:val="000C2E51"/>
    <w:rsid w:val="000C31B4"/>
    <w:rsid w:val="000C3DCC"/>
    <w:rsid w:val="000C477D"/>
    <w:rsid w:val="000C5184"/>
    <w:rsid w:val="000C5750"/>
    <w:rsid w:val="000C7009"/>
    <w:rsid w:val="000C7955"/>
    <w:rsid w:val="000D0B04"/>
    <w:rsid w:val="000D0BAA"/>
    <w:rsid w:val="000D2DC4"/>
    <w:rsid w:val="000D403F"/>
    <w:rsid w:val="000D4249"/>
    <w:rsid w:val="000D4405"/>
    <w:rsid w:val="000D4FDE"/>
    <w:rsid w:val="000D550C"/>
    <w:rsid w:val="000D59DD"/>
    <w:rsid w:val="000D64DB"/>
    <w:rsid w:val="000D67EA"/>
    <w:rsid w:val="000D6D82"/>
    <w:rsid w:val="000D742E"/>
    <w:rsid w:val="000E0374"/>
    <w:rsid w:val="000E03A5"/>
    <w:rsid w:val="000E0464"/>
    <w:rsid w:val="000E0534"/>
    <w:rsid w:val="000E0A7D"/>
    <w:rsid w:val="000E0E76"/>
    <w:rsid w:val="000E2412"/>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05CC"/>
    <w:rsid w:val="000F220D"/>
    <w:rsid w:val="000F249F"/>
    <w:rsid w:val="000F290D"/>
    <w:rsid w:val="000F2C9E"/>
    <w:rsid w:val="000F2DE2"/>
    <w:rsid w:val="000F390A"/>
    <w:rsid w:val="000F4332"/>
    <w:rsid w:val="000F4416"/>
    <w:rsid w:val="000F442A"/>
    <w:rsid w:val="000F460E"/>
    <w:rsid w:val="000F5224"/>
    <w:rsid w:val="000F5308"/>
    <w:rsid w:val="000F542F"/>
    <w:rsid w:val="000F54B0"/>
    <w:rsid w:val="000F64E8"/>
    <w:rsid w:val="000F7523"/>
    <w:rsid w:val="000F79A2"/>
    <w:rsid w:val="000F79F3"/>
    <w:rsid w:val="000F7A3E"/>
    <w:rsid w:val="000F7DAD"/>
    <w:rsid w:val="00100FB2"/>
    <w:rsid w:val="001011D2"/>
    <w:rsid w:val="001013FA"/>
    <w:rsid w:val="00102750"/>
    <w:rsid w:val="00102781"/>
    <w:rsid w:val="00102ACE"/>
    <w:rsid w:val="00103429"/>
    <w:rsid w:val="00103DD9"/>
    <w:rsid w:val="00104617"/>
    <w:rsid w:val="00104749"/>
    <w:rsid w:val="0010478F"/>
    <w:rsid w:val="0010497C"/>
    <w:rsid w:val="00105684"/>
    <w:rsid w:val="0010582E"/>
    <w:rsid w:val="00105DD2"/>
    <w:rsid w:val="001062C8"/>
    <w:rsid w:val="001063C6"/>
    <w:rsid w:val="0010650D"/>
    <w:rsid w:val="00106908"/>
    <w:rsid w:val="00106A7F"/>
    <w:rsid w:val="001073E0"/>
    <w:rsid w:val="001073E1"/>
    <w:rsid w:val="001078B8"/>
    <w:rsid w:val="00110575"/>
    <w:rsid w:val="001105D7"/>
    <w:rsid w:val="00111641"/>
    <w:rsid w:val="00111790"/>
    <w:rsid w:val="00113802"/>
    <w:rsid w:val="00113B98"/>
    <w:rsid w:val="00113DBC"/>
    <w:rsid w:val="00113FF5"/>
    <w:rsid w:val="00114AE5"/>
    <w:rsid w:val="00114B35"/>
    <w:rsid w:val="00115363"/>
    <w:rsid w:val="001153CC"/>
    <w:rsid w:val="00116018"/>
    <w:rsid w:val="00116714"/>
    <w:rsid w:val="00120313"/>
    <w:rsid w:val="001211A7"/>
    <w:rsid w:val="00121265"/>
    <w:rsid w:val="00121759"/>
    <w:rsid w:val="00121AD2"/>
    <w:rsid w:val="00121B19"/>
    <w:rsid w:val="001227C5"/>
    <w:rsid w:val="00122A66"/>
    <w:rsid w:val="00122B19"/>
    <w:rsid w:val="00122E18"/>
    <w:rsid w:val="00123065"/>
    <w:rsid w:val="001231FC"/>
    <w:rsid w:val="001238D9"/>
    <w:rsid w:val="00123901"/>
    <w:rsid w:val="00124510"/>
    <w:rsid w:val="00124A5B"/>
    <w:rsid w:val="0012500E"/>
    <w:rsid w:val="001254E0"/>
    <w:rsid w:val="001259B8"/>
    <w:rsid w:val="00125D10"/>
    <w:rsid w:val="001270FB"/>
    <w:rsid w:val="00127243"/>
    <w:rsid w:val="00127304"/>
    <w:rsid w:val="00127FEA"/>
    <w:rsid w:val="0013144A"/>
    <w:rsid w:val="00131A89"/>
    <w:rsid w:val="00131CA3"/>
    <w:rsid w:val="00132959"/>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90A"/>
    <w:rsid w:val="00143170"/>
    <w:rsid w:val="00143585"/>
    <w:rsid w:val="00143BC7"/>
    <w:rsid w:val="00144015"/>
    <w:rsid w:val="001442BC"/>
    <w:rsid w:val="001447D0"/>
    <w:rsid w:val="00145340"/>
    <w:rsid w:val="0014562C"/>
    <w:rsid w:val="0014584B"/>
    <w:rsid w:val="001462F7"/>
    <w:rsid w:val="001464D1"/>
    <w:rsid w:val="00146949"/>
    <w:rsid w:val="0014713C"/>
    <w:rsid w:val="001474AC"/>
    <w:rsid w:val="001476D6"/>
    <w:rsid w:val="0014772A"/>
    <w:rsid w:val="00147AEA"/>
    <w:rsid w:val="00147FDA"/>
    <w:rsid w:val="00150027"/>
    <w:rsid w:val="00150420"/>
    <w:rsid w:val="001506B4"/>
    <w:rsid w:val="00150DFF"/>
    <w:rsid w:val="0015249B"/>
    <w:rsid w:val="001524D0"/>
    <w:rsid w:val="0015281F"/>
    <w:rsid w:val="00152898"/>
    <w:rsid w:val="0015298B"/>
    <w:rsid w:val="00152D06"/>
    <w:rsid w:val="0015353B"/>
    <w:rsid w:val="001540E7"/>
    <w:rsid w:val="001543A9"/>
    <w:rsid w:val="001543E6"/>
    <w:rsid w:val="001544EF"/>
    <w:rsid w:val="001554C4"/>
    <w:rsid w:val="001560D3"/>
    <w:rsid w:val="00156172"/>
    <w:rsid w:val="001562AB"/>
    <w:rsid w:val="00157143"/>
    <w:rsid w:val="001571F8"/>
    <w:rsid w:val="0016023F"/>
    <w:rsid w:val="001604D7"/>
    <w:rsid w:val="00160707"/>
    <w:rsid w:val="00160A15"/>
    <w:rsid w:val="001613CB"/>
    <w:rsid w:val="00161979"/>
    <w:rsid w:val="00161A4D"/>
    <w:rsid w:val="00163171"/>
    <w:rsid w:val="0016456D"/>
    <w:rsid w:val="00164853"/>
    <w:rsid w:val="001649C9"/>
    <w:rsid w:val="00164C57"/>
    <w:rsid w:val="001652D3"/>
    <w:rsid w:val="001654B4"/>
    <w:rsid w:val="00165829"/>
    <w:rsid w:val="001665E2"/>
    <w:rsid w:val="001669A0"/>
    <w:rsid w:val="0016779C"/>
    <w:rsid w:val="00170BBE"/>
    <w:rsid w:val="00170E18"/>
    <w:rsid w:val="00170F27"/>
    <w:rsid w:val="001710A5"/>
    <w:rsid w:val="00171120"/>
    <w:rsid w:val="00171BDD"/>
    <w:rsid w:val="00172411"/>
    <w:rsid w:val="0017255B"/>
    <w:rsid w:val="00172641"/>
    <w:rsid w:val="00173497"/>
    <w:rsid w:val="00173982"/>
    <w:rsid w:val="00173B07"/>
    <w:rsid w:val="001745CF"/>
    <w:rsid w:val="001747B7"/>
    <w:rsid w:val="001751D8"/>
    <w:rsid w:val="00175D2F"/>
    <w:rsid w:val="00175F1F"/>
    <w:rsid w:val="00176312"/>
    <w:rsid w:val="00176574"/>
    <w:rsid w:val="0017673A"/>
    <w:rsid w:val="00177412"/>
    <w:rsid w:val="0018052A"/>
    <w:rsid w:val="00181E86"/>
    <w:rsid w:val="00182489"/>
    <w:rsid w:val="00182F8F"/>
    <w:rsid w:val="00183061"/>
    <w:rsid w:val="00183A2F"/>
    <w:rsid w:val="001843A9"/>
    <w:rsid w:val="00184582"/>
    <w:rsid w:val="00184598"/>
    <w:rsid w:val="0018459A"/>
    <w:rsid w:val="00185B5F"/>
    <w:rsid w:val="0018606B"/>
    <w:rsid w:val="0018610B"/>
    <w:rsid w:val="0018663F"/>
    <w:rsid w:val="00186956"/>
    <w:rsid w:val="00186F31"/>
    <w:rsid w:val="00187369"/>
    <w:rsid w:val="00191C60"/>
    <w:rsid w:val="00191D48"/>
    <w:rsid w:val="001920B2"/>
    <w:rsid w:val="00192E76"/>
    <w:rsid w:val="001930B3"/>
    <w:rsid w:val="00194629"/>
    <w:rsid w:val="00194637"/>
    <w:rsid w:val="00194D40"/>
    <w:rsid w:val="001959D5"/>
    <w:rsid w:val="00195C5B"/>
    <w:rsid w:val="00195E74"/>
    <w:rsid w:val="00196266"/>
    <w:rsid w:val="00196B3A"/>
    <w:rsid w:val="001976C9"/>
    <w:rsid w:val="00197E20"/>
    <w:rsid w:val="001A026E"/>
    <w:rsid w:val="001A0638"/>
    <w:rsid w:val="001A08F8"/>
    <w:rsid w:val="001A1420"/>
    <w:rsid w:val="001A1508"/>
    <w:rsid w:val="001A1D0F"/>
    <w:rsid w:val="001A207F"/>
    <w:rsid w:val="001A29BD"/>
    <w:rsid w:val="001A2A77"/>
    <w:rsid w:val="001A32B7"/>
    <w:rsid w:val="001A386D"/>
    <w:rsid w:val="001A3DE0"/>
    <w:rsid w:val="001A40F5"/>
    <w:rsid w:val="001A41B1"/>
    <w:rsid w:val="001A459F"/>
    <w:rsid w:val="001A5A63"/>
    <w:rsid w:val="001A61F4"/>
    <w:rsid w:val="001A78E8"/>
    <w:rsid w:val="001A7985"/>
    <w:rsid w:val="001A7EDE"/>
    <w:rsid w:val="001B07D6"/>
    <w:rsid w:val="001B09D7"/>
    <w:rsid w:val="001B114A"/>
    <w:rsid w:val="001B11D1"/>
    <w:rsid w:val="001B16F1"/>
    <w:rsid w:val="001B1B91"/>
    <w:rsid w:val="001B1F14"/>
    <w:rsid w:val="001B2161"/>
    <w:rsid w:val="001B26DB"/>
    <w:rsid w:val="001B2895"/>
    <w:rsid w:val="001B29BC"/>
    <w:rsid w:val="001B3D1B"/>
    <w:rsid w:val="001B4335"/>
    <w:rsid w:val="001B45C3"/>
    <w:rsid w:val="001B46DC"/>
    <w:rsid w:val="001B4990"/>
    <w:rsid w:val="001B4B40"/>
    <w:rsid w:val="001B4CAA"/>
    <w:rsid w:val="001B4DDD"/>
    <w:rsid w:val="001B4EB6"/>
    <w:rsid w:val="001B52FF"/>
    <w:rsid w:val="001B5608"/>
    <w:rsid w:val="001B5A37"/>
    <w:rsid w:val="001B5C50"/>
    <w:rsid w:val="001B64C9"/>
    <w:rsid w:val="001B6916"/>
    <w:rsid w:val="001B71EA"/>
    <w:rsid w:val="001B72EF"/>
    <w:rsid w:val="001B7ACB"/>
    <w:rsid w:val="001B7B63"/>
    <w:rsid w:val="001C1A62"/>
    <w:rsid w:val="001C1EC7"/>
    <w:rsid w:val="001C22D2"/>
    <w:rsid w:val="001C23D9"/>
    <w:rsid w:val="001C28BC"/>
    <w:rsid w:val="001C30BE"/>
    <w:rsid w:val="001C3DD6"/>
    <w:rsid w:val="001C4C8C"/>
    <w:rsid w:val="001C4E74"/>
    <w:rsid w:val="001C5200"/>
    <w:rsid w:val="001C55C3"/>
    <w:rsid w:val="001C5895"/>
    <w:rsid w:val="001C63AC"/>
    <w:rsid w:val="001C6AAA"/>
    <w:rsid w:val="001C6C24"/>
    <w:rsid w:val="001C6DAE"/>
    <w:rsid w:val="001C6E33"/>
    <w:rsid w:val="001C6EAC"/>
    <w:rsid w:val="001C6ECD"/>
    <w:rsid w:val="001C7CB0"/>
    <w:rsid w:val="001D0449"/>
    <w:rsid w:val="001D0B3C"/>
    <w:rsid w:val="001D0DCC"/>
    <w:rsid w:val="001D1707"/>
    <w:rsid w:val="001D1C9F"/>
    <w:rsid w:val="001D28A3"/>
    <w:rsid w:val="001D3173"/>
    <w:rsid w:val="001D387B"/>
    <w:rsid w:val="001D4400"/>
    <w:rsid w:val="001D554B"/>
    <w:rsid w:val="001D56EF"/>
    <w:rsid w:val="001D5A40"/>
    <w:rsid w:val="001D5ADD"/>
    <w:rsid w:val="001D5DAE"/>
    <w:rsid w:val="001D63F1"/>
    <w:rsid w:val="001D6C26"/>
    <w:rsid w:val="001D715D"/>
    <w:rsid w:val="001D7E37"/>
    <w:rsid w:val="001E200C"/>
    <w:rsid w:val="001E2412"/>
    <w:rsid w:val="001E27A4"/>
    <w:rsid w:val="001E2AB3"/>
    <w:rsid w:val="001E4126"/>
    <w:rsid w:val="001E441E"/>
    <w:rsid w:val="001E446B"/>
    <w:rsid w:val="001E4913"/>
    <w:rsid w:val="001E49AF"/>
    <w:rsid w:val="001E5DAE"/>
    <w:rsid w:val="001E5F38"/>
    <w:rsid w:val="001E6045"/>
    <w:rsid w:val="001E6F06"/>
    <w:rsid w:val="001E7BB8"/>
    <w:rsid w:val="001E7BBC"/>
    <w:rsid w:val="001F0164"/>
    <w:rsid w:val="001F03BB"/>
    <w:rsid w:val="001F0590"/>
    <w:rsid w:val="001F0830"/>
    <w:rsid w:val="001F11A0"/>
    <w:rsid w:val="001F1EA0"/>
    <w:rsid w:val="001F2700"/>
    <w:rsid w:val="001F29E7"/>
    <w:rsid w:val="001F3B5A"/>
    <w:rsid w:val="001F4110"/>
    <w:rsid w:val="001F41E4"/>
    <w:rsid w:val="001F52AE"/>
    <w:rsid w:val="001F542B"/>
    <w:rsid w:val="001F5553"/>
    <w:rsid w:val="001F593B"/>
    <w:rsid w:val="001F59C8"/>
    <w:rsid w:val="001F62DA"/>
    <w:rsid w:val="001F662D"/>
    <w:rsid w:val="001F674F"/>
    <w:rsid w:val="001F6A6A"/>
    <w:rsid w:val="001F6BD5"/>
    <w:rsid w:val="001F6F55"/>
    <w:rsid w:val="001F7037"/>
    <w:rsid w:val="0020066F"/>
    <w:rsid w:val="0020157D"/>
    <w:rsid w:val="002026F2"/>
    <w:rsid w:val="00202720"/>
    <w:rsid w:val="0020423B"/>
    <w:rsid w:val="0020444F"/>
    <w:rsid w:val="00204818"/>
    <w:rsid w:val="0020515B"/>
    <w:rsid w:val="00205557"/>
    <w:rsid w:val="00205AB1"/>
    <w:rsid w:val="00205E3F"/>
    <w:rsid w:val="00205EA0"/>
    <w:rsid w:val="00205F2F"/>
    <w:rsid w:val="00206E7A"/>
    <w:rsid w:val="00207430"/>
    <w:rsid w:val="0020743F"/>
    <w:rsid w:val="00207664"/>
    <w:rsid w:val="00207A99"/>
    <w:rsid w:val="00207F47"/>
    <w:rsid w:val="00210514"/>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CCF"/>
    <w:rsid w:val="002163D7"/>
    <w:rsid w:val="00216D7A"/>
    <w:rsid w:val="002179CA"/>
    <w:rsid w:val="00217A52"/>
    <w:rsid w:val="00217B1E"/>
    <w:rsid w:val="00217C3E"/>
    <w:rsid w:val="0022028A"/>
    <w:rsid w:val="00220B61"/>
    <w:rsid w:val="002218AB"/>
    <w:rsid w:val="002219B5"/>
    <w:rsid w:val="00221DB7"/>
    <w:rsid w:val="00222168"/>
    <w:rsid w:val="00222840"/>
    <w:rsid w:val="00222A83"/>
    <w:rsid w:val="00222F8C"/>
    <w:rsid w:val="00223229"/>
    <w:rsid w:val="002238A6"/>
    <w:rsid w:val="00223C9F"/>
    <w:rsid w:val="0022413F"/>
    <w:rsid w:val="00224F84"/>
    <w:rsid w:val="00225918"/>
    <w:rsid w:val="00226128"/>
    <w:rsid w:val="00226D91"/>
    <w:rsid w:val="002271A9"/>
    <w:rsid w:val="00227CAB"/>
    <w:rsid w:val="0023013D"/>
    <w:rsid w:val="00230219"/>
    <w:rsid w:val="002306FC"/>
    <w:rsid w:val="00230A7F"/>
    <w:rsid w:val="0023101E"/>
    <w:rsid w:val="00231543"/>
    <w:rsid w:val="00232284"/>
    <w:rsid w:val="00232363"/>
    <w:rsid w:val="002323C2"/>
    <w:rsid w:val="0023270C"/>
    <w:rsid w:val="00232840"/>
    <w:rsid w:val="0023683D"/>
    <w:rsid w:val="002373DE"/>
    <w:rsid w:val="00237773"/>
    <w:rsid w:val="00237C9E"/>
    <w:rsid w:val="00237CFC"/>
    <w:rsid w:val="00237DC0"/>
    <w:rsid w:val="002403F3"/>
    <w:rsid w:val="0024074E"/>
    <w:rsid w:val="0024123E"/>
    <w:rsid w:val="002423CC"/>
    <w:rsid w:val="002426DB"/>
    <w:rsid w:val="00242B0F"/>
    <w:rsid w:val="00242E83"/>
    <w:rsid w:val="002436E1"/>
    <w:rsid w:val="00243D23"/>
    <w:rsid w:val="0024484D"/>
    <w:rsid w:val="00244C9D"/>
    <w:rsid w:val="00244CAF"/>
    <w:rsid w:val="00244D43"/>
    <w:rsid w:val="00244E8F"/>
    <w:rsid w:val="00245B6C"/>
    <w:rsid w:val="00245DF0"/>
    <w:rsid w:val="00245F7A"/>
    <w:rsid w:val="002461C1"/>
    <w:rsid w:val="00246410"/>
    <w:rsid w:val="00246971"/>
    <w:rsid w:val="00246C7C"/>
    <w:rsid w:val="002471DC"/>
    <w:rsid w:val="00247445"/>
    <w:rsid w:val="0025104D"/>
    <w:rsid w:val="00251D5F"/>
    <w:rsid w:val="00251D6E"/>
    <w:rsid w:val="00252315"/>
    <w:rsid w:val="00252597"/>
    <w:rsid w:val="0025321D"/>
    <w:rsid w:val="002533D7"/>
    <w:rsid w:val="00253B68"/>
    <w:rsid w:val="00254082"/>
    <w:rsid w:val="00254138"/>
    <w:rsid w:val="0025596C"/>
    <w:rsid w:val="002576DF"/>
    <w:rsid w:val="0026040D"/>
    <w:rsid w:val="002619C2"/>
    <w:rsid w:val="00261BEF"/>
    <w:rsid w:val="00261D5D"/>
    <w:rsid w:val="00261F6A"/>
    <w:rsid w:val="00263523"/>
    <w:rsid w:val="0026362E"/>
    <w:rsid w:val="00263846"/>
    <w:rsid w:val="00263DDB"/>
    <w:rsid w:val="00264242"/>
    <w:rsid w:val="0026486B"/>
    <w:rsid w:val="00264912"/>
    <w:rsid w:val="00264F56"/>
    <w:rsid w:val="00265089"/>
    <w:rsid w:val="002650B5"/>
    <w:rsid w:val="00265251"/>
    <w:rsid w:val="00265373"/>
    <w:rsid w:val="0026556D"/>
    <w:rsid w:val="00265973"/>
    <w:rsid w:val="00265C11"/>
    <w:rsid w:val="00265CB6"/>
    <w:rsid w:val="00265D5A"/>
    <w:rsid w:val="0026628B"/>
    <w:rsid w:val="00266919"/>
    <w:rsid w:val="00266AC9"/>
    <w:rsid w:val="00266E7C"/>
    <w:rsid w:val="00267264"/>
    <w:rsid w:val="002674AA"/>
    <w:rsid w:val="002675B6"/>
    <w:rsid w:val="002675CB"/>
    <w:rsid w:val="00267964"/>
    <w:rsid w:val="00267C9E"/>
    <w:rsid w:val="00270178"/>
    <w:rsid w:val="00270663"/>
    <w:rsid w:val="00271FAF"/>
    <w:rsid w:val="00272217"/>
    <w:rsid w:val="00272B19"/>
    <w:rsid w:val="002734E2"/>
    <w:rsid w:val="0027362C"/>
    <w:rsid w:val="00273E64"/>
    <w:rsid w:val="00274F64"/>
    <w:rsid w:val="00275161"/>
    <w:rsid w:val="00275503"/>
    <w:rsid w:val="0027558F"/>
    <w:rsid w:val="00275B41"/>
    <w:rsid w:val="00276DC5"/>
    <w:rsid w:val="00277044"/>
    <w:rsid w:val="00277254"/>
    <w:rsid w:val="002772F9"/>
    <w:rsid w:val="00277B98"/>
    <w:rsid w:val="0028002D"/>
    <w:rsid w:val="00281E2E"/>
    <w:rsid w:val="00282170"/>
    <w:rsid w:val="002822FA"/>
    <w:rsid w:val="00282393"/>
    <w:rsid w:val="0028261E"/>
    <w:rsid w:val="00282B47"/>
    <w:rsid w:val="002835F9"/>
    <w:rsid w:val="00283B8A"/>
    <w:rsid w:val="00284274"/>
    <w:rsid w:val="002848DC"/>
    <w:rsid w:val="00284AD8"/>
    <w:rsid w:val="00284C9E"/>
    <w:rsid w:val="002850B4"/>
    <w:rsid w:val="002850C8"/>
    <w:rsid w:val="0028599B"/>
    <w:rsid w:val="00285ECE"/>
    <w:rsid w:val="00285EF7"/>
    <w:rsid w:val="00286075"/>
    <w:rsid w:val="00286819"/>
    <w:rsid w:val="00286D00"/>
    <w:rsid w:val="00287C29"/>
    <w:rsid w:val="002905CE"/>
    <w:rsid w:val="002905FA"/>
    <w:rsid w:val="00290720"/>
    <w:rsid w:val="0029121C"/>
    <w:rsid w:val="00291643"/>
    <w:rsid w:val="002921AD"/>
    <w:rsid w:val="002928F8"/>
    <w:rsid w:val="00292F09"/>
    <w:rsid w:val="00293A8D"/>
    <w:rsid w:val="00294A52"/>
    <w:rsid w:val="00295974"/>
    <w:rsid w:val="002960BB"/>
    <w:rsid w:val="00296120"/>
    <w:rsid w:val="00296351"/>
    <w:rsid w:val="002970AC"/>
    <w:rsid w:val="002971C2"/>
    <w:rsid w:val="002974D1"/>
    <w:rsid w:val="00297A61"/>
    <w:rsid w:val="002A002F"/>
    <w:rsid w:val="002A049E"/>
    <w:rsid w:val="002A0970"/>
    <w:rsid w:val="002A1878"/>
    <w:rsid w:val="002A1E07"/>
    <w:rsid w:val="002A2E30"/>
    <w:rsid w:val="002A2FEA"/>
    <w:rsid w:val="002A3BC3"/>
    <w:rsid w:val="002A3D18"/>
    <w:rsid w:val="002A3F4F"/>
    <w:rsid w:val="002A4FFC"/>
    <w:rsid w:val="002A5939"/>
    <w:rsid w:val="002A5D84"/>
    <w:rsid w:val="002A6E71"/>
    <w:rsid w:val="002A7800"/>
    <w:rsid w:val="002A7892"/>
    <w:rsid w:val="002B1054"/>
    <w:rsid w:val="002B1095"/>
    <w:rsid w:val="002B1105"/>
    <w:rsid w:val="002B17C5"/>
    <w:rsid w:val="002B1910"/>
    <w:rsid w:val="002B2B1C"/>
    <w:rsid w:val="002B2B85"/>
    <w:rsid w:val="002B2CD0"/>
    <w:rsid w:val="002B32AB"/>
    <w:rsid w:val="002B32B0"/>
    <w:rsid w:val="002B4223"/>
    <w:rsid w:val="002B45CE"/>
    <w:rsid w:val="002B4989"/>
    <w:rsid w:val="002B4C67"/>
    <w:rsid w:val="002B4CF7"/>
    <w:rsid w:val="002B516E"/>
    <w:rsid w:val="002B51B5"/>
    <w:rsid w:val="002B525E"/>
    <w:rsid w:val="002B5517"/>
    <w:rsid w:val="002B58A9"/>
    <w:rsid w:val="002B6369"/>
    <w:rsid w:val="002B6A93"/>
    <w:rsid w:val="002B6CBD"/>
    <w:rsid w:val="002B6E93"/>
    <w:rsid w:val="002B6F2E"/>
    <w:rsid w:val="002C0181"/>
    <w:rsid w:val="002C04E4"/>
    <w:rsid w:val="002C05A4"/>
    <w:rsid w:val="002C09C4"/>
    <w:rsid w:val="002C135A"/>
    <w:rsid w:val="002C169A"/>
    <w:rsid w:val="002C1CBA"/>
    <w:rsid w:val="002C1F72"/>
    <w:rsid w:val="002C2502"/>
    <w:rsid w:val="002C2C01"/>
    <w:rsid w:val="002C3308"/>
    <w:rsid w:val="002C3844"/>
    <w:rsid w:val="002C3A86"/>
    <w:rsid w:val="002C3AA1"/>
    <w:rsid w:val="002C3D17"/>
    <w:rsid w:val="002C3E47"/>
    <w:rsid w:val="002C4759"/>
    <w:rsid w:val="002C4D82"/>
    <w:rsid w:val="002C4E05"/>
    <w:rsid w:val="002C5209"/>
    <w:rsid w:val="002C54CB"/>
    <w:rsid w:val="002C5888"/>
    <w:rsid w:val="002C6237"/>
    <w:rsid w:val="002C70EC"/>
    <w:rsid w:val="002C77D9"/>
    <w:rsid w:val="002C7AF2"/>
    <w:rsid w:val="002C7E2A"/>
    <w:rsid w:val="002D1400"/>
    <w:rsid w:val="002D1B67"/>
    <w:rsid w:val="002D2073"/>
    <w:rsid w:val="002D29B5"/>
    <w:rsid w:val="002D29D0"/>
    <w:rsid w:val="002D300D"/>
    <w:rsid w:val="002D3324"/>
    <w:rsid w:val="002D3999"/>
    <w:rsid w:val="002D4809"/>
    <w:rsid w:val="002D4E60"/>
    <w:rsid w:val="002D4F62"/>
    <w:rsid w:val="002D5D01"/>
    <w:rsid w:val="002D6023"/>
    <w:rsid w:val="002D6721"/>
    <w:rsid w:val="002D6877"/>
    <w:rsid w:val="002E02B1"/>
    <w:rsid w:val="002E0E25"/>
    <w:rsid w:val="002E0E81"/>
    <w:rsid w:val="002E0F0C"/>
    <w:rsid w:val="002E111C"/>
    <w:rsid w:val="002E154F"/>
    <w:rsid w:val="002E2320"/>
    <w:rsid w:val="002E2441"/>
    <w:rsid w:val="002E2620"/>
    <w:rsid w:val="002E2E4B"/>
    <w:rsid w:val="002E2F76"/>
    <w:rsid w:val="002E35A3"/>
    <w:rsid w:val="002E3C35"/>
    <w:rsid w:val="002E3DFC"/>
    <w:rsid w:val="002E5773"/>
    <w:rsid w:val="002E58A6"/>
    <w:rsid w:val="002E59E6"/>
    <w:rsid w:val="002E5B50"/>
    <w:rsid w:val="002E63AB"/>
    <w:rsid w:val="002E6D1B"/>
    <w:rsid w:val="002E72A2"/>
    <w:rsid w:val="002E7407"/>
    <w:rsid w:val="002E7443"/>
    <w:rsid w:val="002F06E0"/>
    <w:rsid w:val="002F0B58"/>
    <w:rsid w:val="002F1147"/>
    <w:rsid w:val="002F12F9"/>
    <w:rsid w:val="002F1638"/>
    <w:rsid w:val="002F176E"/>
    <w:rsid w:val="002F1953"/>
    <w:rsid w:val="002F1CFA"/>
    <w:rsid w:val="002F2332"/>
    <w:rsid w:val="002F2AA6"/>
    <w:rsid w:val="002F3DA6"/>
    <w:rsid w:val="002F411E"/>
    <w:rsid w:val="002F4ECA"/>
    <w:rsid w:val="002F5303"/>
    <w:rsid w:val="002F6D87"/>
    <w:rsid w:val="002F7353"/>
    <w:rsid w:val="002F777C"/>
    <w:rsid w:val="002F77E1"/>
    <w:rsid w:val="002F7ABA"/>
    <w:rsid w:val="0030001B"/>
    <w:rsid w:val="003003D2"/>
    <w:rsid w:val="00300A4E"/>
    <w:rsid w:val="003013A9"/>
    <w:rsid w:val="0030190A"/>
    <w:rsid w:val="00301A93"/>
    <w:rsid w:val="00301C1D"/>
    <w:rsid w:val="003020A9"/>
    <w:rsid w:val="00302941"/>
    <w:rsid w:val="00303058"/>
    <w:rsid w:val="0030347D"/>
    <w:rsid w:val="003037F9"/>
    <w:rsid w:val="00303982"/>
    <w:rsid w:val="00303BDF"/>
    <w:rsid w:val="0030402A"/>
    <w:rsid w:val="0030407D"/>
    <w:rsid w:val="00304129"/>
    <w:rsid w:val="00304210"/>
    <w:rsid w:val="003052E5"/>
    <w:rsid w:val="003057D9"/>
    <w:rsid w:val="00305B03"/>
    <w:rsid w:val="00305B4E"/>
    <w:rsid w:val="0030657F"/>
    <w:rsid w:val="00306C2B"/>
    <w:rsid w:val="00306F9D"/>
    <w:rsid w:val="00307129"/>
    <w:rsid w:val="0030720A"/>
    <w:rsid w:val="003076AF"/>
    <w:rsid w:val="0031150C"/>
    <w:rsid w:val="00311A84"/>
    <w:rsid w:val="00311B82"/>
    <w:rsid w:val="00311E57"/>
    <w:rsid w:val="00311ECE"/>
    <w:rsid w:val="0031251A"/>
    <w:rsid w:val="00312E0A"/>
    <w:rsid w:val="003140EB"/>
    <w:rsid w:val="0031440E"/>
    <w:rsid w:val="00315CA3"/>
    <w:rsid w:val="0031608F"/>
    <w:rsid w:val="0031685C"/>
    <w:rsid w:val="003168AE"/>
    <w:rsid w:val="00317F6A"/>
    <w:rsid w:val="00320297"/>
    <w:rsid w:val="003207DE"/>
    <w:rsid w:val="0032087A"/>
    <w:rsid w:val="003215D6"/>
    <w:rsid w:val="00321CA7"/>
    <w:rsid w:val="00322A93"/>
    <w:rsid w:val="00322E52"/>
    <w:rsid w:val="00323962"/>
    <w:rsid w:val="00323D1B"/>
    <w:rsid w:val="0032465C"/>
    <w:rsid w:val="00324F2A"/>
    <w:rsid w:val="00325053"/>
    <w:rsid w:val="003255E5"/>
    <w:rsid w:val="003258CE"/>
    <w:rsid w:val="00325931"/>
    <w:rsid w:val="003261CA"/>
    <w:rsid w:val="003264EB"/>
    <w:rsid w:val="00326E3A"/>
    <w:rsid w:val="00326F47"/>
    <w:rsid w:val="003277EB"/>
    <w:rsid w:val="00327D8E"/>
    <w:rsid w:val="00330511"/>
    <w:rsid w:val="003305CF"/>
    <w:rsid w:val="00330CDF"/>
    <w:rsid w:val="00330F67"/>
    <w:rsid w:val="0033152E"/>
    <w:rsid w:val="00331653"/>
    <w:rsid w:val="00331F0E"/>
    <w:rsid w:val="00332A6E"/>
    <w:rsid w:val="00332EBB"/>
    <w:rsid w:val="003335B6"/>
    <w:rsid w:val="0033383E"/>
    <w:rsid w:val="0033466C"/>
    <w:rsid w:val="00334830"/>
    <w:rsid w:val="00334C4D"/>
    <w:rsid w:val="00334CA7"/>
    <w:rsid w:val="00334E90"/>
    <w:rsid w:val="003353F1"/>
    <w:rsid w:val="0033658E"/>
    <w:rsid w:val="003365F3"/>
    <w:rsid w:val="0033780B"/>
    <w:rsid w:val="0034025E"/>
    <w:rsid w:val="00340413"/>
    <w:rsid w:val="00340988"/>
    <w:rsid w:val="00340CCF"/>
    <w:rsid w:val="00342328"/>
    <w:rsid w:val="00342A4E"/>
    <w:rsid w:val="00342B61"/>
    <w:rsid w:val="003438D0"/>
    <w:rsid w:val="00343B64"/>
    <w:rsid w:val="00343C65"/>
    <w:rsid w:val="00343EFF"/>
    <w:rsid w:val="00344136"/>
    <w:rsid w:val="003444D5"/>
    <w:rsid w:val="00345A07"/>
    <w:rsid w:val="003468A3"/>
    <w:rsid w:val="00346A82"/>
    <w:rsid w:val="00346F36"/>
    <w:rsid w:val="0034723D"/>
    <w:rsid w:val="003474A3"/>
    <w:rsid w:val="003500AB"/>
    <w:rsid w:val="003502C7"/>
    <w:rsid w:val="0035088B"/>
    <w:rsid w:val="00351C38"/>
    <w:rsid w:val="00351D18"/>
    <w:rsid w:val="0035268C"/>
    <w:rsid w:val="00353481"/>
    <w:rsid w:val="003534B6"/>
    <w:rsid w:val="00353668"/>
    <w:rsid w:val="0035389C"/>
    <w:rsid w:val="00354153"/>
    <w:rsid w:val="003546E2"/>
    <w:rsid w:val="0035487F"/>
    <w:rsid w:val="003549C9"/>
    <w:rsid w:val="0035694A"/>
    <w:rsid w:val="00356BD2"/>
    <w:rsid w:val="00357392"/>
    <w:rsid w:val="003573E6"/>
    <w:rsid w:val="00357E09"/>
    <w:rsid w:val="00357FD6"/>
    <w:rsid w:val="00360C32"/>
    <w:rsid w:val="00361088"/>
    <w:rsid w:val="00361486"/>
    <w:rsid w:val="00361926"/>
    <w:rsid w:val="00361C90"/>
    <w:rsid w:val="00361D4B"/>
    <w:rsid w:val="00361D67"/>
    <w:rsid w:val="00361F8B"/>
    <w:rsid w:val="0036200C"/>
    <w:rsid w:val="0036210D"/>
    <w:rsid w:val="00364299"/>
    <w:rsid w:val="00364393"/>
    <w:rsid w:val="003648B2"/>
    <w:rsid w:val="00364BE5"/>
    <w:rsid w:val="00364C09"/>
    <w:rsid w:val="00364CD1"/>
    <w:rsid w:val="00365164"/>
    <w:rsid w:val="003654D2"/>
    <w:rsid w:val="003658A9"/>
    <w:rsid w:val="00365A74"/>
    <w:rsid w:val="00365D6D"/>
    <w:rsid w:val="003661FF"/>
    <w:rsid w:val="0036665D"/>
    <w:rsid w:val="003668E9"/>
    <w:rsid w:val="003671F5"/>
    <w:rsid w:val="00367441"/>
    <w:rsid w:val="00367744"/>
    <w:rsid w:val="00367C2B"/>
    <w:rsid w:val="00367E04"/>
    <w:rsid w:val="00367E96"/>
    <w:rsid w:val="00370734"/>
    <w:rsid w:val="00370C42"/>
    <w:rsid w:val="00371081"/>
    <w:rsid w:val="00371B64"/>
    <w:rsid w:val="0037256F"/>
    <w:rsid w:val="00372B79"/>
    <w:rsid w:val="00372EC3"/>
    <w:rsid w:val="0037349E"/>
    <w:rsid w:val="003737FE"/>
    <w:rsid w:val="003738FF"/>
    <w:rsid w:val="00373D89"/>
    <w:rsid w:val="00374560"/>
    <w:rsid w:val="00374832"/>
    <w:rsid w:val="003748DB"/>
    <w:rsid w:val="00374D07"/>
    <w:rsid w:val="003750B6"/>
    <w:rsid w:val="003756B1"/>
    <w:rsid w:val="00375785"/>
    <w:rsid w:val="0037584D"/>
    <w:rsid w:val="00376783"/>
    <w:rsid w:val="0037686A"/>
    <w:rsid w:val="00376CB7"/>
    <w:rsid w:val="00376DAC"/>
    <w:rsid w:val="00377BF1"/>
    <w:rsid w:val="00377D76"/>
    <w:rsid w:val="00377DFF"/>
    <w:rsid w:val="003807A9"/>
    <w:rsid w:val="0038119F"/>
    <w:rsid w:val="003815FF"/>
    <w:rsid w:val="00381639"/>
    <w:rsid w:val="0038192D"/>
    <w:rsid w:val="003819F3"/>
    <w:rsid w:val="00382FF6"/>
    <w:rsid w:val="0038435F"/>
    <w:rsid w:val="00384513"/>
    <w:rsid w:val="003847EB"/>
    <w:rsid w:val="00384A1C"/>
    <w:rsid w:val="003852BD"/>
    <w:rsid w:val="00385341"/>
    <w:rsid w:val="003854B2"/>
    <w:rsid w:val="003859AD"/>
    <w:rsid w:val="00385C6F"/>
    <w:rsid w:val="00385D4E"/>
    <w:rsid w:val="0038644A"/>
    <w:rsid w:val="003864C3"/>
    <w:rsid w:val="00386502"/>
    <w:rsid w:val="003865B2"/>
    <w:rsid w:val="0038663B"/>
    <w:rsid w:val="003866FD"/>
    <w:rsid w:val="00386927"/>
    <w:rsid w:val="00386C8E"/>
    <w:rsid w:val="00387750"/>
    <w:rsid w:val="00387847"/>
    <w:rsid w:val="003903D0"/>
    <w:rsid w:val="00390703"/>
    <w:rsid w:val="00391A51"/>
    <w:rsid w:val="00391EA4"/>
    <w:rsid w:val="003927BD"/>
    <w:rsid w:val="00393068"/>
    <w:rsid w:val="003935E5"/>
    <w:rsid w:val="00393C45"/>
    <w:rsid w:val="00393D39"/>
    <w:rsid w:val="003947D1"/>
    <w:rsid w:val="00394F52"/>
    <w:rsid w:val="00394FAB"/>
    <w:rsid w:val="003958F1"/>
    <w:rsid w:val="003961FA"/>
    <w:rsid w:val="003966C2"/>
    <w:rsid w:val="0039719C"/>
    <w:rsid w:val="00397F1A"/>
    <w:rsid w:val="003A05F1"/>
    <w:rsid w:val="003A0720"/>
    <w:rsid w:val="003A0D29"/>
    <w:rsid w:val="003A2100"/>
    <w:rsid w:val="003A2FDA"/>
    <w:rsid w:val="003A3425"/>
    <w:rsid w:val="003A3903"/>
    <w:rsid w:val="003A4AD0"/>
    <w:rsid w:val="003A52E5"/>
    <w:rsid w:val="003A56FE"/>
    <w:rsid w:val="003A6B2B"/>
    <w:rsid w:val="003A6E3D"/>
    <w:rsid w:val="003A773F"/>
    <w:rsid w:val="003A78AC"/>
    <w:rsid w:val="003B01C6"/>
    <w:rsid w:val="003B04F0"/>
    <w:rsid w:val="003B0510"/>
    <w:rsid w:val="003B0839"/>
    <w:rsid w:val="003B0A8D"/>
    <w:rsid w:val="003B1002"/>
    <w:rsid w:val="003B103E"/>
    <w:rsid w:val="003B16ED"/>
    <w:rsid w:val="003B1C1E"/>
    <w:rsid w:val="003B2163"/>
    <w:rsid w:val="003B396D"/>
    <w:rsid w:val="003B3F0F"/>
    <w:rsid w:val="003B3F11"/>
    <w:rsid w:val="003B5183"/>
    <w:rsid w:val="003B5281"/>
    <w:rsid w:val="003B5918"/>
    <w:rsid w:val="003B6066"/>
    <w:rsid w:val="003B61AD"/>
    <w:rsid w:val="003B62A7"/>
    <w:rsid w:val="003B62ED"/>
    <w:rsid w:val="003B637D"/>
    <w:rsid w:val="003B7537"/>
    <w:rsid w:val="003B762E"/>
    <w:rsid w:val="003B7A6D"/>
    <w:rsid w:val="003C0761"/>
    <w:rsid w:val="003C0EC6"/>
    <w:rsid w:val="003C0FCC"/>
    <w:rsid w:val="003C107A"/>
    <w:rsid w:val="003C18D7"/>
    <w:rsid w:val="003C190D"/>
    <w:rsid w:val="003C2ED0"/>
    <w:rsid w:val="003C37C3"/>
    <w:rsid w:val="003C389D"/>
    <w:rsid w:val="003C4802"/>
    <w:rsid w:val="003C484D"/>
    <w:rsid w:val="003C4D8E"/>
    <w:rsid w:val="003C549D"/>
    <w:rsid w:val="003C54C1"/>
    <w:rsid w:val="003C5914"/>
    <w:rsid w:val="003C5D49"/>
    <w:rsid w:val="003C60C0"/>
    <w:rsid w:val="003C6396"/>
    <w:rsid w:val="003C66B1"/>
    <w:rsid w:val="003C6E94"/>
    <w:rsid w:val="003C7340"/>
    <w:rsid w:val="003C7490"/>
    <w:rsid w:val="003C79D2"/>
    <w:rsid w:val="003C7A34"/>
    <w:rsid w:val="003D04D4"/>
    <w:rsid w:val="003D0A74"/>
    <w:rsid w:val="003D13AD"/>
    <w:rsid w:val="003D1500"/>
    <w:rsid w:val="003D1987"/>
    <w:rsid w:val="003D1A2D"/>
    <w:rsid w:val="003D1AFC"/>
    <w:rsid w:val="003D202F"/>
    <w:rsid w:val="003D256B"/>
    <w:rsid w:val="003D28FF"/>
    <w:rsid w:val="003D3811"/>
    <w:rsid w:val="003D398F"/>
    <w:rsid w:val="003D3E20"/>
    <w:rsid w:val="003D4B84"/>
    <w:rsid w:val="003D4BB1"/>
    <w:rsid w:val="003D5ACD"/>
    <w:rsid w:val="003D5FF9"/>
    <w:rsid w:val="003D6E2F"/>
    <w:rsid w:val="003D6E39"/>
    <w:rsid w:val="003D70A2"/>
    <w:rsid w:val="003D70FD"/>
    <w:rsid w:val="003D729D"/>
    <w:rsid w:val="003E1270"/>
    <w:rsid w:val="003E16DC"/>
    <w:rsid w:val="003E1D98"/>
    <w:rsid w:val="003E253E"/>
    <w:rsid w:val="003E39A9"/>
    <w:rsid w:val="003E3A08"/>
    <w:rsid w:val="003E3D31"/>
    <w:rsid w:val="003E468D"/>
    <w:rsid w:val="003E489D"/>
    <w:rsid w:val="003E4D84"/>
    <w:rsid w:val="003E4FA3"/>
    <w:rsid w:val="003E53D3"/>
    <w:rsid w:val="003E5C97"/>
    <w:rsid w:val="003E5E95"/>
    <w:rsid w:val="003E64B3"/>
    <w:rsid w:val="003E68B3"/>
    <w:rsid w:val="003F0248"/>
    <w:rsid w:val="003F0530"/>
    <w:rsid w:val="003F0D6F"/>
    <w:rsid w:val="003F0E63"/>
    <w:rsid w:val="003F1262"/>
    <w:rsid w:val="003F13CC"/>
    <w:rsid w:val="003F1635"/>
    <w:rsid w:val="003F1816"/>
    <w:rsid w:val="003F1E41"/>
    <w:rsid w:val="003F2808"/>
    <w:rsid w:val="003F289F"/>
    <w:rsid w:val="003F2D29"/>
    <w:rsid w:val="003F2DA7"/>
    <w:rsid w:val="003F30B7"/>
    <w:rsid w:val="003F345D"/>
    <w:rsid w:val="003F3AA5"/>
    <w:rsid w:val="003F3CAB"/>
    <w:rsid w:val="003F4210"/>
    <w:rsid w:val="003F4347"/>
    <w:rsid w:val="003F4390"/>
    <w:rsid w:val="003F44DD"/>
    <w:rsid w:val="003F4CE5"/>
    <w:rsid w:val="003F5531"/>
    <w:rsid w:val="003F58B9"/>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E4A"/>
    <w:rsid w:val="004023F5"/>
    <w:rsid w:val="00402BEC"/>
    <w:rsid w:val="00402FCB"/>
    <w:rsid w:val="0040348D"/>
    <w:rsid w:val="00404017"/>
    <w:rsid w:val="004050A9"/>
    <w:rsid w:val="004053C9"/>
    <w:rsid w:val="0040585F"/>
    <w:rsid w:val="0040600D"/>
    <w:rsid w:val="0040616A"/>
    <w:rsid w:val="00406222"/>
    <w:rsid w:val="00406500"/>
    <w:rsid w:val="00406717"/>
    <w:rsid w:val="00407517"/>
    <w:rsid w:val="00407D59"/>
    <w:rsid w:val="00410CB4"/>
    <w:rsid w:val="004119CD"/>
    <w:rsid w:val="00411B9E"/>
    <w:rsid w:val="00412C87"/>
    <w:rsid w:val="00414EEF"/>
    <w:rsid w:val="00414FA7"/>
    <w:rsid w:val="00415625"/>
    <w:rsid w:val="00416773"/>
    <w:rsid w:val="00416C0F"/>
    <w:rsid w:val="00416CE3"/>
    <w:rsid w:val="00416E94"/>
    <w:rsid w:val="00416F7B"/>
    <w:rsid w:val="0041708F"/>
    <w:rsid w:val="00417ADB"/>
    <w:rsid w:val="0042009F"/>
    <w:rsid w:val="00420515"/>
    <w:rsid w:val="004210AC"/>
    <w:rsid w:val="0042139F"/>
    <w:rsid w:val="004215B7"/>
    <w:rsid w:val="00422A7F"/>
    <w:rsid w:val="004234E2"/>
    <w:rsid w:val="004236DB"/>
    <w:rsid w:val="00423722"/>
    <w:rsid w:val="00423B1F"/>
    <w:rsid w:val="00423B9E"/>
    <w:rsid w:val="0042457E"/>
    <w:rsid w:val="004246C2"/>
    <w:rsid w:val="00424A1D"/>
    <w:rsid w:val="00424B97"/>
    <w:rsid w:val="00426220"/>
    <w:rsid w:val="00426CF7"/>
    <w:rsid w:val="00427246"/>
    <w:rsid w:val="00430A39"/>
    <w:rsid w:val="0043286F"/>
    <w:rsid w:val="00432A5E"/>
    <w:rsid w:val="00432B96"/>
    <w:rsid w:val="004331D0"/>
    <w:rsid w:val="00434F3D"/>
    <w:rsid w:val="00434FFF"/>
    <w:rsid w:val="00435A16"/>
    <w:rsid w:val="00435A42"/>
    <w:rsid w:val="00436478"/>
    <w:rsid w:val="0043666A"/>
    <w:rsid w:val="00436980"/>
    <w:rsid w:val="00437241"/>
    <w:rsid w:val="004378B7"/>
    <w:rsid w:val="0044004F"/>
    <w:rsid w:val="00440D86"/>
    <w:rsid w:val="004412EC"/>
    <w:rsid w:val="0044169C"/>
    <w:rsid w:val="004420C3"/>
    <w:rsid w:val="00442520"/>
    <w:rsid w:val="00442784"/>
    <w:rsid w:val="00442B7E"/>
    <w:rsid w:val="00442C09"/>
    <w:rsid w:val="00442CB8"/>
    <w:rsid w:val="00443274"/>
    <w:rsid w:val="0044335B"/>
    <w:rsid w:val="00443E09"/>
    <w:rsid w:val="004441BD"/>
    <w:rsid w:val="00444568"/>
    <w:rsid w:val="004447FF"/>
    <w:rsid w:val="00445043"/>
    <w:rsid w:val="00445C0F"/>
    <w:rsid w:val="0044602D"/>
    <w:rsid w:val="00446137"/>
    <w:rsid w:val="00446A3A"/>
    <w:rsid w:val="0044735E"/>
    <w:rsid w:val="004473EC"/>
    <w:rsid w:val="00447D2B"/>
    <w:rsid w:val="00450165"/>
    <w:rsid w:val="00450242"/>
    <w:rsid w:val="004503BA"/>
    <w:rsid w:val="004505FE"/>
    <w:rsid w:val="00450E72"/>
    <w:rsid w:val="00451523"/>
    <w:rsid w:val="00451C3F"/>
    <w:rsid w:val="00452495"/>
    <w:rsid w:val="00452FC1"/>
    <w:rsid w:val="00453A8C"/>
    <w:rsid w:val="00453AE2"/>
    <w:rsid w:val="004550BC"/>
    <w:rsid w:val="0045535B"/>
    <w:rsid w:val="004555CD"/>
    <w:rsid w:val="0045582F"/>
    <w:rsid w:val="004558D6"/>
    <w:rsid w:val="00455996"/>
    <w:rsid w:val="00455E20"/>
    <w:rsid w:val="0045615C"/>
    <w:rsid w:val="004565A5"/>
    <w:rsid w:val="00456EEA"/>
    <w:rsid w:val="00457C90"/>
    <w:rsid w:val="00460B68"/>
    <w:rsid w:val="00460DFB"/>
    <w:rsid w:val="00460E7A"/>
    <w:rsid w:val="00461981"/>
    <w:rsid w:val="00461E52"/>
    <w:rsid w:val="00462119"/>
    <w:rsid w:val="00462145"/>
    <w:rsid w:val="00462984"/>
    <w:rsid w:val="00462E30"/>
    <w:rsid w:val="00462ECD"/>
    <w:rsid w:val="00462FBB"/>
    <w:rsid w:val="00463771"/>
    <w:rsid w:val="004648D1"/>
    <w:rsid w:val="00464CAB"/>
    <w:rsid w:val="004651DD"/>
    <w:rsid w:val="004655DA"/>
    <w:rsid w:val="00465E10"/>
    <w:rsid w:val="00465E75"/>
    <w:rsid w:val="004661A7"/>
    <w:rsid w:val="004665DB"/>
    <w:rsid w:val="004669CD"/>
    <w:rsid w:val="00467055"/>
    <w:rsid w:val="004672BE"/>
    <w:rsid w:val="0046759F"/>
    <w:rsid w:val="004678E9"/>
    <w:rsid w:val="00467906"/>
    <w:rsid w:val="00467D08"/>
    <w:rsid w:val="00470794"/>
    <w:rsid w:val="004713D3"/>
    <w:rsid w:val="004714AF"/>
    <w:rsid w:val="00471EBD"/>
    <w:rsid w:val="0047208A"/>
    <w:rsid w:val="00472508"/>
    <w:rsid w:val="004726CB"/>
    <w:rsid w:val="00473B6E"/>
    <w:rsid w:val="00473DE5"/>
    <w:rsid w:val="0047458B"/>
    <w:rsid w:val="00474BF7"/>
    <w:rsid w:val="00475735"/>
    <w:rsid w:val="00475CF2"/>
    <w:rsid w:val="0047630F"/>
    <w:rsid w:val="00476641"/>
    <w:rsid w:val="00480B9F"/>
    <w:rsid w:val="00480F40"/>
    <w:rsid w:val="00481273"/>
    <w:rsid w:val="004812BD"/>
    <w:rsid w:val="00482B99"/>
    <w:rsid w:val="004830A4"/>
    <w:rsid w:val="00483A96"/>
    <w:rsid w:val="00483AD1"/>
    <w:rsid w:val="00483CB2"/>
    <w:rsid w:val="0048432C"/>
    <w:rsid w:val="00484872"/>
    <w:rsid w:val="004849A2"/>
    <w:rsid w:val="0048504A"/>
    <w:rsid w:val="004850AC"/>
    <w:rsid w:val="0048555D"/>
    <w:rsid w:val="00485744"/>
    <w:rsid w:val="00485C63"/>
    <w:rsid w:val="0048754F"/>
    <w:rsid w:val="00487571"/>
    <w:rsid w:val="00487951"/>
    <w:rsid w:val="00487A45"/>
    <w:rsid w:val="00487B22"/>
    <w:rsid w:val="00490B90"/>
    <w:rsid w:val="00490BFE"/>
    <w:rsid w:val="00490E03"/>
    <w:rsid w:val="00490E7A"/>
    <w:rsid w:val="00490FBF"/>
    <w:rsid w:val="00491346"/>
    <w:rsid w:val="0049135F"/>
    <w:rsid w:val="0049139C"/>
    <w:rsid w:val="004916DC"/>
    <w:rsid w:val="004917EA"/>
    <w:rsid w:val="0049191A"/>
    <w:rsid w:val="00492039"/>
    <w:rsid w:val="00492DDE"/>
    <w:rsid w:val="004939C0"/>
    <w:rsid w:val="00493AB2"/>
    <w:rsid w:val="00493CC1"/>
    <w:rsid w:val="0049417A"/>
    <w:rsid w:val="00495797"/>
    <w:rsid w:val="004958B6"/>
    <w:rsid w:val="004958D1"/>
    <w:rsid w:val="00496585"/>
    <w:rsid w:val="00496923"/>
    <w:rsid w:val="00496926"/>
    <w:rsid w:val="00497283"/>
    <w:rsid w:val="004978A1"/>
    <w:rsid w:val="004A1396"/>
    <w:rsid w:val="004A1993"/>
    <w:rsid w:val="004A296E"/>
    <w:rsid w:val="004A2CFD"/>
    <w:rsid w:val="004A317A"/>
    <w:rsid w:val="004A326C"/>
    <w:rsid w:val="004A3460"/>
    <w:rsid w:val="004A3BDB"/>
    <w:rsid w:val="004A40AA"/>
    <w:rsid w:val="004A422D"/>
    <w:rsid w:val="004A48AA"/>
    <w:rsid w:val="004A5A2B"/>
    <w:rsid w:val="004A5A53"/>
    <w:rsid w:val="004A5DF8"/>
    <w:rsid w:val="004A5FDF"/>
    <w:rsid w:val="004A6687"/>
    <w:rsid w:val="004A6AFE"/>
    <w:rsid w:val="004A6EDF"/>
    <w:rsid w:val="004A72B9"/>
    <w:rsid w:val="004A7C06"/>
    <w:rsid w:val="004A7EAF"/>
    <w:rsid w:val="004A7F98"/>
    <w:rsid w:val="004B0937"/>
    <w:rsid w:val="004B0B39"/>
    <w:rsid w:val="004B206C"/>
    <w:rsid w:val="004B2082"/>
    <w:rsid w:val="004B20B8"/>
    <w:rsid w:val="004B21F8"/>
    <w:rsid w:val="004B2747"/>
    <w:rsid w:val="004B2CA4"/>
    <w:rsid w:val="004B33FA"/>
    <w:rsid w:val="004B4A97"/>
    <w:rsid w:val="004B4C4D"/>
    <w:rsid w:val="004B50E5"/>
    <w:rsid w:val="004B58AC"/>
    <w:rsid w:val="004B5F0D"/>
    <w:rsid w:val="004B6074"/>
    <w:rsid w:val="004B6092"/>
    <w:rsid w:val="004B6133"/>
    <w:rsid w:val="004B6541"/>
    <w:rsid w:val="004B728C"/>
    <w:rsid w:val="004B79B0"/>
    <w:rsid w:val="004B7E0E"/>
    <w:rsid w:val="004C0162"/>
    <w:rsid w:val="004C01FE"/>
    <w:rsid w:val="004C0233"/>
    <w:rsid w:val="004C0350"/>
    <w:rsid w:val="004C0934"/>
    <w:rsid w:val="004C0A2D"/>
    <w:rsid w:val="004C0EA7"/>
    <w:rsid w:val="004C1852"/>
    <w:rsid w:val="004C1AC1"/>
    <w:rsid w:val="004C28F8"/>
    <w:rsid w:val="004C2A3D"/>
    <w:rsid w:val="004C309D"/>
    <w:rsid w:val="004C3A81"/>
    <w:rsid w:val="004C3C57"/>
    <w:rsid w:val="004C3E28"/>
    <w:rsid w:val="004C411C"/>
    <w:rsid w:val="004C4629"/>
    <w:rsid w:val="004C4FA8"/>
    <w:rsid w:val="004C5838"/>
    <w:rsid w:val="004C6019"/>
    <w:rsid w:val="004C6108"/>
    <w:rsid w:val="004C6398"/>
    <w:rsid w:val="004C7547"/>
    <w:rsid w:val="004C7902"/>
    <w:rsid w:val="004C791F"/>
    <w:rsid w:val="004C7DC3"/>
    <w:rsid w:val="004C7E49"/>
    <w:rsid w:val="004D0737"/>
    <w:rsid w:val="004D0D7A"/>
    <w:rsid w:val="004D0EF0"/>
    <w:rsid w:val="004D1476"/>
    <w:rsid w:val="004D14D4"/>
    <w:rsid w:val="004D1721"/>
    <w:rsid w:val="004D17ED"/>
    <w:rsid w:val="004D1B18"/>
    <w:rsid w:val="004D1B26"/>
    <w:rsid w:val="004D1BD1"/>
    <w:rsid w:val="004D26AA"/>
    <w:rsid w:val="004D2EBF"/>
    <w:rsid w:val="004D2EF9"/>
    <w:rsid w:val="004D30AD"/>
    <w:rsid w:val="004D359F"/>
    <w:rsid w:val="004D3B5E"/>
    <w:rsid w:val="004D3C9D"/>
    <w:rsid w:val="004D4289"/>
    <w:rsid w:val="004D4883"/>
    <w:rsid w:val="004D556C"/>
    <w:rsid w:val="004D57FD"/>
    <w:rsid w:val="004D5BA3"/>
    <w:rsid w:val="004D69F3"/>
    <w:rsid w:val="004D7B16"/>
    <w:rsid w:val="004D7D32"/>
    <w:rsid w:val="004E065B"/>
    <w:rsid w:val="004E1C2A"/>
    <w:rsid w:val="004E21E8"/>
    <w:rsid w:val="004E2BD1"/>
    <w:rsid w:val="004E3334"/>
    <w:rsid w:val="004E38BC"/>
    <w:rsid w:val="004E3C44"/>
    <w:rsid w:val="004E3CBB"/>
    <w:rsid w:val="004E3DCA"/>
    <w:rsid w:val="004E493C"/>
    <w:rsid w:val="004E4A1D"/>
    <w:rsid w:val="004E4A57"/>
    <w:rsid w:val="004E5763"/>
    <w:rsid w:val="004E5AE7"/>
    <w:rsid w:val="004E5CA3"/>
    <w:rsid w:val="004E6228"/>
    <w:rsid w:val="004E62D9"/>
    <w:rsid w:val="004E7E40"/>
    <w:rsid w:val="004F0278"/>
    <w:rsid w:val="004F0586"/>
    <w:rsid w:val="004F099A"/>
    <w:rsid w:val="004F1019"/>
    <w:rsid w:val="004F1072"/>
    <w:rsid w:val="004F1193"/>
    <w:rsid w:val="004F16C6"/>
    <w:rsid w:val="004F1A40"/>
    <w:rsid w:val="004F1CCB"/>
    <w:rsid w:val="004F1D2C"/>
    <w:rsid w:val="004F1EBF"/>
    <w:rsid w:val="004F1FA6"/>
    <w:rsid w:val="004F2A9C"/>
    <w:rsid w:val="004F306E"/>
    <w:rsid w:val="004F380A"/>
    <w:rsid w:val="004F3A33"/>
    <w:rsid w:val="004F3FF7"/>
    <w:rsid w:val="004F5110"/>
    <w:rsid w:val="004F54E0"/>
    <w:rsid w:val="004F5697"/>
    <w:rsid w:val="004F5B55"/>
    <w:rsid w:val="004F5CF0"/>
    <w:rsid w:val="004F7253"/>
    <w:rsid w:val="004F7A6D"/>
    <w:rsid w:val="004F7B6F"/>
    <w:rsid w:val="004F7CFF"/>
    <w:rsid w:val="004F7E34"/>
    <w:rsid w:val="005001A1"/>
    <w:rsid w:val="00500304"/>
    <w:rsid w:val="00500B61"/>
    <w:rsid w:val="00500C2E"/>
    <w:rsid w:val="00501020"/>
    <w:rsid w:val="005011DD"/>
    <w:rsid w:val="00501CB3"/>
    <w:rsid w:val="00501F6D"/>
    <w:rsid w:val="0050292B"/>
    <w:rsid w:val="00502CA8"/>
    <w:rsid w:val="00502FDE"/>
    <w:rsid w:val="005033A9"/>
    <w:rsid w:val="00503565"/>
    <w:rsid w:val="005039FE"/>
    <w:rsid w:val="0050499C"/>
    <w:rsid w:val="00504BC0"/>
    <w:rsid w:val="00504C69"/>
    <w:rsid w:val="005050C5"/>
    <w:rsid w:val="0050539C"/>
    <w:rsid w:val="0050574F"/>
    <w:rsid w:val="00505DEC"/>
    <w:rsid w:val="0050652F"/>
    <w:rsid w:val="005066DD"/>
    <w:rsid w:val="0050717E"/>
    <w:rsid w:val="005071C1"/>
    <w:rsid w:val="00507251"/>
    <w:rsid w:val="00507272"/>
    <w:rsid w:val="00510035"/>
    <w:rsid w:val="005103FB"/>
    <w:rsid w:val="005117CF"/>
    <w:rsid w:val="00511C4D"/>
    <w:rsid w:val="005126E6"/>
    <w:rsid w:val="00513340"/>
    <w:rsid w:val="0051547A"/>
    <w:rsid w:val="0051558F"/>
    <w:rsid w:val="005155FF"/>
    <w:rsid w:val="005158D8"/>
    <w:rsid w:val="00515F14"/>
    <w:rsid w:val="005162B8"/>
    <w:rsid w:val="0051635A"/>
    <w:rsid w:val="005164D8"/>
    <w:rsid w:val="00516620"/>
    <w:rsid w:val="00516780"/>
    <w:rsid w:val="00516D9D"/>
    <w:rsid w:val="005173E7"/>
    <w:rsid w:val="005176B9"/>
    <w:rsid w:val="005178E7"/>
    <w:rsid w:val="00517A16"/>
    <w:rsid w:val="00520222"/>
    <w:rsid w:val="00520F86"/>
    <w:rsid w:val="00520FE9"/>
    <w:rsid w:val="005222FA"/>
    <w:rsid w:val="00522B74"/>
    <w:rsid w:val="00523130"/>
    <w:rsid w:val="00523D4F"/>
    <w:rsid w:val="00524C63"/>
    <w:rsid w:val="00524CE3"/>
    <w:rsid w:val="005251D5"/>
    <w:rsid w:val="00525C8B"/>
    <w:rsid w:val="0052616C"/>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CB7"/>
    <w:rsid w:val="005341BB"/>
    <w:rsid w:val="0053432D"/>
    <w:rsid w:val="00534E72"/>
    <w:rsid w:val="00535567"/>
    <w:rsid w:val="00535667"/>
    <w:rsid w:val="0053580C"/>
    <w:rsid w:val="00536259"/>
    <w:rsid w:val="00536458"/>
    <w:rsid w:val="00536C11"/>
    <w:rsid w:val="00536C2F"/>
    <w:rsid w:val="00536F7C"/>
    <w:rsid w:val="00537039"/>
    <w:rsid w:val="00537853"/>
    <w:rsid w:val="00540C30"/>
    <w:rsid w:val="00541026"/>
    <w:rsid w:val="00541068"/>
    <w:rsid w:val="00541B79"/>
    <w:rsid w:val="00542518"/>
    <w:rsid w:val="00542F38"/>
    <w:rsid w:val="00543068"/>
    <w:rsid w:val="00543589"/>
    <w:rsid w:val="00543ADC"/>
    <w:rsid w:val="00543BBF"/>
    <w:rsid w:val="00543D7D"/>
    <w:rsid w:val="0054436B"/>
    <w:rsid w:val="00544767"/>
    <w:rsid w:val="00544865"/>
    <w:rsid w:val="0054491E"/>
    <w:rsid w:val="00544E90"/>
    <w:rsid w:val="00544FDB"/>
    <w:rsid w:val="005452E3"/>
    <w:rsid w:val="005455E5"/>
    <w:rsid w:val="005456D0"/>
    <w:rsid w:val="00545923"/>
    <w:rsid w:val="005479AF"/>
    <w:rsid w:val="005504A4"/>
    <w:rsid w:val="00550942"/>
    <w:rsid w:val="00551EF6"/>
    <w:rsid w:val="00552B97"/>
    <w:rsid w:val="00552E89"/>
    <w:rsid w:val="00553320"/>
    <w:rsid w:val="0055358E"/>
    <w:rsid w:val="005537DF"/>
    <w:rsid w:val="005537EC"/>
    <w:rsid w:val="00553BD6"/>
    <w:rsid w:val="0055415D"/>
    <w:rsid w:val="00554582"/>
    <w:rsid w:val="00554F9C"/>
    <w:rsid w:val="00555412"/>
    <w:rsid w:val="00555D50"/>
    <w:rsid w:val="00555E13"/>
    <w:rsid w:val="00556044"/>
    <w:rsid w:val="00556AB4"/>
    <w:rsid w:val="00556B20"/>
    <w:rsid w:val="00556C56"/>
    <w:rsid w:val="00556E94"/>
    <w:rsid w:val="005572C4"/>
    <w:rsid w:val="00557EE4"/>
    <w:rsid w:val="00562CEE"/>
    <w:rsid w:val="00563086"/>
    <w:rsid w:val="00563411"/>
    <w:rsid w:val="00563833"/>
    <w:rsid w:val="00563C66"/>
    <w:rsid w:val="00564342"/>
    <w:rsid w:val="00564510"/>
    <w:rsid w:val="00564901"/>
    <w:rsid w:val="00566153"/>
    <w:rsid w:val="005668DF"/>
    <w:rsid w:val="005669E4"/>
    <w:rsid w:val="00566B22"/>
    <w:rsid w:val="0056737F"/>
    <w:rsid w:val="005677DA"/>
    <w:rsid w:val="0056789B"/>
    <w:rsid w:val="005700AB"/>
    <w:rsid w:val="005705FD"/>
    <w:rsid w:val="005707CD"/>
    <w:rsid w:val="005709ED"/>
    <w:rsid w:val="00570B67"/>
    <w:rsid w:val="00571E74"/>
    <w:rsid w:val="00572134"/>
    <w:rsid w:val="00572BAE"/>
    <w:rsid w:val="00573327"/>
    <w:rsid w:val="005735E2"/>
    <w:rsid w:val="00573BA5"/>
    <w:rsid w:val="00573C05"/>
    <w:rsid w:val="00573C7F"/>
    <w:rsid w:val="005740EE"/>
    <w:rsid w:val="00574B55"/>
    <w:rsid w:val="0057507D"/>
    <w:rsid w:val="00575A81"/>
    <w:rsid w:val="005764BD"/>
    <w:rsid w:val="00576E49"/>
    <w:rsid w:val="00577070"/>
    <w:rsid w:val="0057731B"/>
    <w:rsid w:val="0058117B"/>
    <w:rsid w:val="005813F5"/>
    <w:rsid w:val="0058155A"/>
    <w:rsid w:val="005818F4"/>
    <w:rsid w:val="00581AA3"/>
    <w:rsid w:val="00581C27"/>
    <w:rsid w:val="005825CD"/>
    <w:rsid w:val="00582971"/>
    <w:rsid w:val="005829D6"/>
    <w:rsid w:val="00582D82"/>
    <w:rsid w:val="00582E97"/>
    <w:rsid w:val="0058391B"/>
    <w:rsid w:val="00584946"/>
    <w:rsid w:val="00584CA0"/>
    <w:rsid w:val="00584F9B"/>
    <w:rsid w:val="00584FDE"/>
    <w:rsid w:val="005857E1"/>
    <w:rsid w:val="005858B5"/>
    <w:rsid w:val="005861DA"/>
    <w:rsid w:val="00586AEA"/>
    <w:rsid w:val="0058732D"/>
    <w:rsid w:val="00587638"/>
    <w:rsid w:val="00587E3C"/>
    <w:rsid w:val="00590200"/>
    <w:rsid w:val="0059023A"/>
    <w:rsid w:val="005912A5"/>
    <w:rsid w:val="00591E37"/>
    <w:rsid w:val="00592366"/>
    <w:rsid w:val="005924A9"/>
    <w:rsid w:val="0059258A"/>
    <w:rsid w:val="0059298C"/>
    <w:rsid w:val="00592CE1"/>
    <w:rsid w:val="005930FA"/>
    <w:rsid w:val="00593806"/>
    <w:rsid w:val="005942EA"/>
    <w:rsid w:val="005945DD"/>
    <w:rsid w:val="0059469C"/>
    <w:rsid w:val="00594CDE"/>
    <w:rsid w:val="00594EA9"/>
    <w:rsid w:val="005952CF"/>
    <w:rsid w:val="00595310"/>
    <w:rsid w:val="005955FE"/>
    <w:rsid w:val="00595895"/>
    <w:rsid w:val="00596694"/>
    <w:rsid w:val="00596EA5"/>
    <w:rsid w:val="005972E0"/>
    <w:rsid w:val="00597BB9"/>
    <w:rsid w:val="005A0CD8"/>
    <w:rsid w:val="005A0E01"/>
    <w:rsid w:val="005A1CBC"/>
    <w:rsid w:val="005A27D6"/>
    <w:rsid w:val="005A3121"/>
    <w:rsid w:val="005A3661"/>
    <w:rsid w:val="005A3A9F"/>
    <w:rsid w:val="005A3F5A"/>
    <w:rsid w:val="005A596E"/>
    <w:rsid w:val="005A5A81"/>
    <w:rsid w:val="005A5FD5"/>
    <w:rsid w:val="005A668E"/>
    <w:rsid w:val="005A6C80"/>
    <w:rsid w:val="005A7366"/>
    <w:rsid w:val="005A75F6"/>
    <w:rsid w:val="005A7756"/>
    <w:rsid w:val="005A7B9D"/>
    <w:rsid w:val="005A7C68"/>
    <w:rsid w:val="005B019D"/>
    <w:rsid w:val="005B0BF2"/>
    <w:rsid w:val="005B1BE4"/>
    <w:rsid w:val="005B26DE"/>
    <w:rsid w:val="005B3471"/>
    <w:rsid w:val="005B36C9"/>
    <w:rsid w:val="005B3EF5"/>
    <w:rsid w:val="005B42E2"/>
    <w:rsid w:val="005B43E5"/>
    <w:rsid w:val="005B4530"/>
    <w:rsid w:val="005B4594"/>
    <w:rsid w:val="005B499F"/>
    <w:rsid w:val="005B49F5"/>
    <w:rsid w:val="005B4ABD"/>
    <w:rsid w:val="005B4BC3"/>
    <w:rsid w:val="005B55D9"/>
    <w:rsid w:val="005B576A"/>
    <w:rsid w:val="005B5AD6"/>
    <w:rsid w:val="005B5EA0"/>
    <w:rsid w:val="005B6205"/>
    <w:rsid w:val="005B6987"/>
    <w:rsid w:val="005B69D4"/>
    <w:rsid w:val="005B6B87"/>
    <w:rsid w:val="005B6D5E"/>
    <w:rsid w:val="005B72B0"/>
    <w:rsid w:val="005B7695"/>
    <w:rsid w:val="005B7853"/>
    <w:rsid w:val="005C0703"/>
    <w:rsid w:val="005C09E2"/>
    <w:rsid w:val="005C10ED"/>
    <w:rsid w:val="005C1441"/>
    <w:rsid w:val="005C2231"/>
    <w:rsid w:val="005C27C8"/>
    <w:rsid w:val="005C290D"/>
    <w:rsid w:val="005C295E"/>
    <w:rsid w:val="005C2F9F"/>
    <w:rsid w:val="005C30E9"/>
    <w:rsid w:val="005C34E9"/>
    <w:rsid w:val="005C363D"/>
    <w:rsid w:val="005C3A1E"/>
    <w:rsid w:val="005C3A24"/>
    <w:rsid w:val="005C42C2"/>
    <w:rsid w:val="005C4518"/>
    <w:rsid w:val="005C4656"/>
    <w:rsid w:val="005C4755"/>
    <w:rsid w:val="005C5342"/>
    <w:rsid w:val="005C5693"/>
    <w:rsid w:val="005C69EC"/>
    <w:rsid w:val="005C6A0A"/>
    <w:rsid w:val="005C6B4D"/>
    <w:rsid w:val="005C718F"/>
    <w:rsid w:val="005C78FD"/>
    <w:rsid w:val="005C7F01"/>
    <w:rsid w:val="005D0576"/>
    <w:rsid w:val="005D06E7"/>
    <w:rsid w:val="005D08A5"/>
    <w:rsid w:val="005D1B08"/>
    <w:rsid w:val="005D1B7B"/>
    <w:rsid w:val="005D1CE7"/>
    <w:rsid w:val="005D1F92"/>
    <w:rsid w:val="005D2699"/>
    <w:rsid w:val="005D3A0B"/>
    <w:rsid w:val="005D49C1"/>
    <w:rsid w:val="005D4BDD"/>
    <w:rsid w:val="005D4F48"/>
    <w:rsid w:val="005D609A"/>
    <w:rsid w:val="005D6387"/>
    <w:rsid w:val="005D660A"/>
    <w:rsid w:val="005D7960"/>
    <w:rsid w:val="005E0259"/>
    <w:rsid w:val="005E046F"/>
    <w:rsid w:val="005E0569"/>
    <w:rsid w:val="005E06DB"/>
    <w:rsid w:val="005E06DD"/>
    <w:rsid w:val="005E09F6"/>
    <w:rsid w:val="005E1413"/>
    <w:rsid w:val="005E1803"/>
    <w:rsid w:val="005E1D28"/>
    <w:rsid w:val="005E2334"/>
    <w:rsid w:val="005E2651"/>
    <w:rsid w:val="005E2F53"/>
    <w:rsid w:val="005E344A"/>
    <w:rsid w:val="005E3CC7"/>
    <w:rsid w:val="005E4034"/>
    <w:rsid w:val="005E4D35"/>
    <w:rsid w:val="005E4DFF"/>
    <w:rsid w:val="005E5156"/>
    <w:rsid w:val="005E593B"/>
    <w:rsid w:val="005E5B2B"/>
    <w:rsid w:val="005E5D55"/>
    <w:rsid w:val="005E6241"/>
    <w:rsid w:val="005E63E9"/>
    <w:rsid w:val="005E6625"/>
    <w:rsid w:val="005E699E"/>
    <w:rsid w:val="005E69F3"/>
    <w:rsid w:val="005F0908"/>
    <w:rsid w:val="005F0A68"/>
    <w:rsid w:val="005F100F"/>
    <w:rsid w:val="005F25AC"/>
    <w:rsid w:val="005F288C"/>
    <w:rsid w:val="005F28B4"/>
    <w:rsid w:val="005F2D34"/>
    <w:rsid w:val="005F36A7"/>
    <w:rsid w:val="005F3764"/>
    <w:rsid w:val="005F3849"/>
    <w:rsid w:val="005F3A15"/>
    <w:rsid w:val="005F4274"/>
    <w:rsid w:val="005F4E61"/>
    <w:rsid w:val="005F4F7C"/>
    <w:rsid w:val="005F546E"/>
    <w:rsid w:val="005F553D"/>
    <w:rsid w:val="005F57DF"/>
    <w:rsid w:val="005F599A"/>
    <w:rsid w:val="005F5C7A"/>
    <w:rsid w:val="005F5E82"/>
    <w:rsid w:val="005F65BE"/>
    <w:rsid w:val="005F6861"/>
    <w:rsid w:val="005F7B48"/>
    <w:rsid w:val="0060072F"/>
    <w:rsid w:val="00600E21"/>
    <w:rsid w:val="0060113F"/>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E5E"/>
    <w:rsid w:val="006076F4"/>
    <w:rsid w:val="0060776B"/>
    <w:rsid w:val="00607EA1"/>
    <w:rsid w:val="0061070E"/>
    <w:rsid w:val="006108F6"/>
    <w:rsid w:val="006115B6"/>
    <w:rsid w:val="00613154"/>
    <w:rsid w:val="0061364A"/>
    <w:rsid w:val="006138B7"/>
    <w:rsid w:val="00613C64"/>
    <w:rsid w:val="00613CBE"/>
    <w:rsid w:val="00613FCB"/>
    <w:rsid w:val="00614104"/>
    <w:rsid w:val="0061411A"/>
    <w:rsid w:val="006158B9"/>
    <w:rsid w:val="00616008"/>
    <w:rsid w:val="00616695"/>
    <w:rsid w:val="0061794F"/>
    <w:rsid w:val="00620B27"/>
    <w:rsid w:val="00620EAE"/>
    <w:rsid w:val="006216FF"/>
    <w:rsid w:val="00622494"/>
    <w:rsid w:val="0062284D"/>
    <w:rsid w:val="0062294E"/>
    <w:rsid w:val="00623291"/>
    <w:rsid w:val="00623A14"/>
    <w:rsid w:val="00623B4F"/>
    <w:rsid w:val="00623E26"/>
    <w:rsid w:val="00623E4A"/>
    <w:rsid w:val="00623EE0"/>
    <w:rsid w:val="00623EED"/>
    <w:rsid w:val="0062463B"/>
    <w:rsid w:val="00624865"/>
    <w:rsid w:val="00624F36"/>
    <w:rsid w:val="006250A9"/>
    <w:rsid w:val="00625694"/>
    <w:rsid w:val="00625C76"/>
    <w:rsid w:val="00626368"/>
    <w:rsid w:val="00626D35"/>
    <w:rsid w:val="00627464"/>
    <w:rsid w:val="006275C8"/>
    <w:rsid w:val="006300FE"/>
    <w:rsid w:val="0063017D"/>
    <w:rsid w:val="00630725"/>
    <w:rsid w:val="006307E2"/>
    <w:rsid w:val="00630947"/>
    <w:rsid w:val="006310C2"/>
    <w:rsid w:val="0063218E"/>
    <w:rsid w:val="006327C9"/>
    <w:rsid w:val="00633DBC"/>
    <w:rsid w:val="0063446A"/>
    <w:rsid w:val="0063477D"/>
    <w:rsid w:val="0063499F"/>
    <w:rsid w:val="006349BA"/>
    <w:rsid w:val="0063520E"/>
    <w:rsid w:val="00635DD5"/>
    <w:rsid w:val="00635E9F"/>
    <w:rsid w:val="00635F52"/>
    <w:rsid w:val="00635F54"/>
    <w:rsid w:val="006368F7"/>
    <w:rsid w:val="00636F89"/>
    <w:rsid w:val="00636FA8"/>
    <w:rsid w:val="00640439"/>
    <w:rsid w:val="00640496"/>
    <w:rsid w:val="006406BC"/>
    <w:rsid w:val="00640974"/>
    <w:rsid w:val="00641203"/>
    <w:rsid w:val="006413D5"/>
    <w:rsid w:val="0064190F"/>
    <w:rsid w:val="00641FE2"/>
    <w:rsid w:val="00642035"/>
    <w:rsid w:val="00642E25"/>
    <w:rsid w:val="00643348"/>
    <w:rsid w:val="00643769"/>
    <w:rsid w:val="00643C26"/>
    <w:rsid w:val="00643E49"/>
    <w:rsid w:val="006448DD"/>
    <w:rsid w:val="00644D39"/>
    <w:rsid w:val="00645D4E"/>
    <w:rsid w:val="006463D9"/>
    <w:rsid w:val="0064667A"/>
    <w:rsid w:val="0064762B"/>
    <w:rsid w:val="0064790A"/>
    <w:rsid w:val="006501B0"/>
    <w:rsid w:val="006502EB"/>
    <w:rsid w:val="0065059C"/>
    <w:rsid w:val="00650A64"/>
    <w:rsid w:val="00651068"/>
    <w:rsid w:val="00651970"/>
    <w:rsid w:val="00652271"/>
    <w:rsid w:val="006522E3"/>
    <w:rsid w:val="0065276E"/>
    <w:rsid w:val="00653018"/>
    <w:rsid w:val="006536E8"/>
    <w:rsid w:val="00653978"/>
    <w:rsid w:val="00653A40"/>
    <w:rsid w:val="00653D41"/>
    <w:rsid w:val="0065406B"/>
    <w:rsid w:val="006540C0"/>
    <w:rsid w:val="00654792"/>
    <w:rsid w:val="00654AE0"/>
    <w:rsid w:val="00655CC9"/>
    <w:rsid w:val="006565D8"/>
    <w:rsid w:val="006579DB"/>
    <w:rsid w:val="00657BDE"/>
    <w:rsid w:val="00657CDB"/>
    <w:rsid w:val="0066007B"/>
    <w:rsid w:val="00660713"/>
    <w:rsid w:val="00660F39"/>
    <w:rsid w:val="00661095"/>
    <w:rsid w:val="006615E6"/>
    <w:rsid w:val="00661A13"/>
    <w:rsid w:val="0066228C"/>
    <w:rsid w:val="006624BA"/>
    <w:rsid w:val="00662C9A"/>
    <w:rsid w:val="00662F75"/>
    <w:rsid w:val="006634C3"/>
    <w:rsid w:val="00663590"/>
    <w:rsid w:val="00663DDD"/>
    <w:rsid w:val="00663E2A"/>
    <w:rsid w:val="00663EF3"/>
    <w:rsid w:val="006643F9"/>
    <w:rsid w:val="006645BA"/>
    <w:rsid w:val="00664E32"/>
    <w:rsid w:val="00666F70"/>
    <w:rsid w:val="00667DAC"/>
    <w:rsid w:val="00667DD0"/>
    <w:rsid w:val="00667F78"/>
    <w:rsid w:val="00670423"/>
    <w:rsid w:val="00670A0B"/>
    <w:rsid w:val="00670C17"/>
    <w:rsid w:val="00671229"/>
    <w:rsid w:val="00671D59"/>
    <w:rsid w:val="0067241E"/>
    <w:rsid w:val="0067297B"/>
    <w:rsid w:val="00672D2E"/>
    <w:rsid w:val="006730D8"/>
    <w:rsid w:val="00673100"/>
    <w:rsid w:val="006735C5"/>
    <w:rsid w:val="0067377E"/>
    <w:rsid w:val="006742F5"/>
    <w:rsid w:val="00674437"/>
    <w:rsid w:val="0067498A"/>
    <w:rsid w:val="006750E1"/>
    <w:rsid w:val="00675332"/>
    <w:rsid w:val="00675616"/>
    <w:rsid w:val="0067575E"/>
    <w:rsid w:val="00675805"/>
    <w:rsid w:val="00675845"/>
    <w:rsid w:val="0067625D"/>
    <w:rsid w:val="00676BE9"/>
    <w:rsid w:val="00676EAF"/>
    <w:rsid w:val="006776AC"/>
    <w:rsid w:val="00677F66"/>
    <w:rsid w:val="006801C9"/>
    <w:rsid w:val="00680895"/>
    <w:rsid w:val="0068194B"/>
    <w:rsid w:val="00681F0B"/>
    <w:rsid w:val="0068202B"/>
    <w:rsid w:val="006820C3"/>
    <w:rsid w:val="00682BDC"/>
    <w:rsid w:val="00682EA2"/>
    <w:rsid w:val="00683308"/>
    <w:rsid w:val="00684805"/>
    <w:rsid w:val="0068564A"/>
    <w:rsid w:val="006859B8"/>
    <w:rsid w:val="00685BC6"/>
    <w:rsid w:val="0068650F"/>
    <w:rsid w:val="0068694A"/>
    <w:rsid w:val="00686BD7"/>
    <w:rsid w:val="00686D5E"/>
    <w:rsid w:val="00687142"/>
    <w:rsid w:val="006874BF"/>
    <w:rsid w:val="006875D2"/>
    <w:rsid w:val="00687D2C"/>
    <w:rsid w:val="006902F9"/>
    <w:rsid w:val="00690546"/>
    <w:rsid w:val="00691279"/>
    <w:rsid w:val="0069178F"/>
    <w:rsid w:val="00692E59"/>
    <w:rsid w:val="0069311E"/>
    <w:rsid w:val="0069326C"/>
    <w:rsid w:val="006932F4"/>
    <w:rsid w:val="006938D2"/>
    <w:rsid w:val="00693D7B"/>
    <w:rsid w:val="00694298"/>
    <w:rsid w:val="00694BB8"/>
    <w:rsid w:val="00694EA5"/>
    <w:rsid w:val="006950BC"/>
    <w:rsid w:val="006958D0"/>
    <w:rsid w:val="00695B29"/>
    <w:rsid w:val="006965A7"/>
    <w:rsid w:val="006965FD"/>
    <w:rsid w:val="00696CD6"/>
    <w:rsid w:val="006977E7"/>
    <w:rsid w:val="00697950"/>
    <w:rsid w:val="00697BCE"/>
    <w:rsid w:val="006A04D3"/>
    <w:rsid w:val="006A0945"/>
    <w:rsid w:val="006A0C6C"/>
    <w:rsid w:val="006A0CD5"/>
    <w:rsid w:val="006A182D"/>
    <w:rsid w:val="006A1FD2"/>
    <w:rsid w:val="006A2957"/>
    <w:rsid w:val="006A2AED"/>
    <w:rsid w:val="006A32E5"/>
    <w:rsid w:val="006A3393"/>
    <w:rsid w:val="006A4217"/>
    <w:rsid w:val="006A473E"/>
    <w:rsid w:val="006A4FD4"/>
    <w:rsid w:val="006A5949"/>
    <w:rsid w:val="006A5D25"/>
    <w:rsid w:val="006A65C8"/>
    <w:rsid w:val="006A67BF"/>
    <w:rsid w:val="006B0043"/>
    <w:rsid w:val="006B008B"/>
    <w:rsid w:val="006B0DF7"/>
    <w:rsid w:val="006B18FD"/>
    <w:rsid w:val="006B2B86"/>
    <w:rsid w:val="006B2B99"/>
    <w:rsid w:val="006B2EFF"/>
    <w:rsid w:val="006B3503"/>
    <w:rsid w:val="006B3C70"/>
    <w:rsid w:val="006B418A"/>
    <w:rsid w:val="006B44B0"/>
    <w:rsid w:val="006B4575"/>
    <w:rsid w:val="006B4E0D"/>
    <w:rsid w:val="006B52AE"/>
    <w:rsid w:val="006B5A33"/>
    <w:rsid w:val="006B5EE3"/>
    <w:rsid w:val="006B65B7"/>
    <w:rsid w:val="006B6882"/>
    <w:rsid w:val="006B6C1E"/>
    <w:rsid w:val="006B7550"/>
    <w:rsid w:val="006B7968"/>
    <w:rsid w:val="006B7E1E"/>
    <w:rsid w:val="006C0194"/>
    <w:rsid w:val="006C0330"/>
    <w:rsid w:val="006C0583"/>
    <w:rsid w:val="006C0917"/>
    <w:rsid w:val="006C165D"/>
    <w:rsid w:val="006C16A4"/>
    <w:rsid w:val="006C1AAD"/>
    <w:rsid w:val="006C1D70"/>
    <w:rsid w:val="006C2543"/>
    <w:rsid w:val="006C2D3F"/>
    <w:rsid w:val="006C319B"/>
    <w:rsid w:val="006C374C"/>
    <w:rsid w:val="006C375A"/>
    <w:rsid w:val="006C4041"/>
    <w:rsid w:val="006C41BC"/>
    <w:rsid w:val="006C4543"/>
    <w:rsid w:val="006C4CEF"/>
    <w:rsid w:val="006C4D96"/>
    <w:rsid w:val="006C591C"/>
    <w:rsid w:val="006C5BB4"/>
    <w:rsid w:val="006C5BC1"/>
    <w:rsid w:val="006C5F19"/>
    <w:rsid w:val="006C6246"/>
    <w:rsid w:val="006C63C5"/>
    <w:rsid w:val="006C7359"/>
    <w:rsid w:val="006C7676"/>
    <w:rsid w:val="006C788C"/>
    <w:rsid w:val="006C7945"/>
    <w:rsid w:val="006D011E"/>
    <w:rsid w:val="006D06C0"/>
    <w:rsid w:val="006D0A36"/>
    <w:rsid w:val="006D0A6F"/>
    <w:rsid w:val="006D20FB"/>
    <w:rsid w:val="006D2350"/>
    <w:rsid w:val="006D2935"/>
    <w:rsid w:val="006D2C14"/>
    <w:rsid w:val="006D2E31"/>
    <w:rsid w:val="006D3381"/>
    <w:rsid w:val="006D3A80"/>
    <w:rsid w:val="006D42DA"/>
    <w:rsid w:val="006D4CB2"/>
    <w:rsid w:val="006D5214"/>
    <w:rsid w:val="006D5B01"/>
    <w:rsid w:val="006D5BAC"/>
    <w:rsid w:val="006D654A"/>
    <w:rsid w:val="006D654F"/>
    <w:rsid w:val="006D6EE6"/>
    <w:rsid w:val="006D7472"/>
    <w:rsid w:val="006D781A"/>
    <w:rsid w:val="006D78CE"/>
    <w:rsid w:val="006E0651"/>
    <w:rsid w:val="006E1226"/>
    <w:rsid w:val="006E19A0"/>
    <w:rsid w:val="006E1D8D"/>
    <w:rsid w:val="006E2D66"/>
    <w:rsid w:val="006E2FE0"/>
    <w:rsid w:val="006E31A5"/>
    <w:rsid w:val="006E34A3"/>
    <w:rsid w:val="006E403B"/>
    <w:rsid w:val="006E494A"/>
    <w:rsid w:val="006E49C2"/>
    <w:rsid w:val="006E5B5B"/>
    <w:rsid w:val="006E6547"/>
    <w:rsid w:val="006E664F"/>
    <w:rsid w:val="006E6C77"/>
    <w:rsid w:val="006E6D2F"/>
    <w:rsid w:val="006E6FF3"/>
    <w:rsid w:val="006E7133"/>
    <w:rsid w:val="006F0DEF"/>
    <w:rsid w:val="006F1815"/>
    <w:rsid w:val="006F1A27"/>
    <w:rsid w:val="006F1AD2"/>
    <w:rsid w:val="006F2323"/>
    <w:rsid w:val="006F2608"/>
    <w:rsid w:val="006F2ABC"/>
    <w:rsid w:val="006F2E48"/>
    <w:rsid w:val="006F3659"/>
    <w:rsid w:val="006F581D"/>
    <w:rsid w:val="006F58C4"/>
    <w:rsid w:val="006F5B15"/>
    <w:rsid w:val="006F5DD1"/>
    <w:rsid w:val="006F62C2"/>
    <w:rsid w:val="006F655F"/>
    <w:rsid w:val="006F6973"/>
    <w:rsid w:val="00701CD5"/>
    <w:rsid w:val="00701D43"/>
    <w:rsid w:val="007022D4"/>
    <w:rsid w:val="00702714"/>
    <w:rsid w:val="00702BC2"/>
    <w:rsid w:val="00703040"/>
    <w:rsid w:val="00703043"/>
    <w:rsid w:val="00703304"/>
    <w:rsid w:val="007036C7"/>
    <w:rsid w:val="00704087"/>
    <w:rsid w:val="007041F3"/>
    <w:rsid w:val="00704439"/>
    <w:rsid w:val="00704C07"/>
    <w:rsid w:val="00704D1F"/>
    <w:rsid w:val="00704FB4"/>
    <w:rsid w:val="00705207"/>
    <w:rsid w:val="00705444"/>
    <w:rsid w:val="0070567C"/>
    <w:rsid w:val="00705815"/>
    <w:rsid w:val="00705D86"/>
    <w:rsid w:val="00706328"/>
    <w:rsid w:val="007064F3"/>
    <w:rsid w:val="00707178"/>
    <w:rsid w:val="00710014"/>
    <w:rsid w:val="0071079E"/>
    <w:rsid w:val="0071145B"/>
    <w:rsid w:val="0071159D"/>
    <w:rsid w:val="00712612"/>
    <w:rsid w:val="00712BA4"/>
    <w:rsid w:val="00713350"/>
    <w:rsid w:val="00714407"/>
    <w:rsid w:val="00715340"/>
    <w:rsid w:val="007162A5"/>
    <w:rsid w:val="00716453"/>
    <w:rsid w:val="00716483"/>
    <w:rsid w:val="00716661"/>
    <w:rsid w:val="0071707D"/>
    <w:rsid w:val="0071742C"/>
    <w:rsid w:val="00717593"/>
    <w:rsid w:val="00717932"/>
    <w:rsid w:val="00717A26"/>
    <w:rsid w:val="00717D98"/>
    <w:rsid w:val="007201F2"/>
    <w:rsid w:val="007205AA"/>
    <w:rsid w:val="0072152E"/>
    <w:rsid w:val="00721954"/>
    <w:rsid w:val="00721BB5"/>
    <w:rsid w:val="00721E9E"/>
    <w:rsid w:val="00721FB9"/>
    <w:rsid w:val="0072387B"/>
    <w:rsid w:val="00724151"/>
    <w:rsid w:val="00724487"/>
    <w:rsid w:val="007247B8"/>
    <w:rsid w:val="00724D0C"/>
    <w:rsid w:val="007254C3"/>
    <w:rsid w:val="00725708"/>
    <w:rsid w:val="00725B1D"/>
    <w:rsid w:val="00725C53"/>
    <w:rsid w:val="00726698"/>
    <w:rsid w:val="00726876"/>
    <w:rsid w:val="007273C4"/>
    <w:rsid w:val="007279D3"/>
    <w:rsid w:val="00727D15"/>
    <w:rsid w:val="007314F7"/>
    <w:rsid w:val="007315A8"/>
    <w:rsid w:val="00731C9B"/>
    <w:rsid w:val="007325ED"/>
    <w:rsid w:val="00732645"/>
    <w:rsid w:val="00734111"/>
    <w:rsid w:val="00734686"/>
    <w:rsid w:val="007347EB"/>
    <w:rsid w:val="00735305"/>
    <w:rsid w:val="0073559B"/>
    <w:rsid w:val="007356A5"/>
    <w:rsid w:val="00735A11"/>
    <w:rsid w:val="00736183"/>
    <w:rsid w:val="00736502"/>
    <w:rsid w:val="00736C75"/>
    <w:rsid w:val="00736EF4"/>
    <w:rsid w:val="007406EA"/>
    <w:rsid w:val="007407BE"/>
    <w:rsid w:val="00740C70"/>
    <w:rsid w:val="00740E20"/>
    <w:rsid w:val="00740F41"/>
    <w:rsid w:val="00741197"/>
    <w:rsid w:val="00741260"/>
    <w:rsid w:val="0074177B"/>
    <w:rsid w:val="00741EF4"/>
    <w:rsid w:val="007424C2"/>
    <w:rsid w:val="007425C1"/>
    <w:rsid w:val="00742887"/>
    <w:rsid w:val="00742961"/>
    <w:rsid w:val="00742DE2"/>
    <w:rsid w:val="00742E7B"/>
    <w:rsid w:val="00742F2A"/>
    <w:rsid w:val="007432B9"/>
    <w:rsid w:val="00744746"/>
    <w:rsid w:val="00745054"/>
    <w:rsid w:val="00745ABF"/>
    <w:rsid w:val="00746B0A"/>
    <w:rsid w:val="00746FDF"/>
    <w:rsid w:val="00747E8F"/>
    <w:rsid w:val="007507A4"/>
    <w:rsid w:val="00751076"/>
    <w:rsid w:val="00751594"/>
    <w:rsid w:val="007518C4"/>
    <w:rsid w:val="007525DA"/>
    <w:rsid w:val="0075274B"/>
    <w:rsid w:val="007530D5"/>
    <w:rsid w:val="0075320D"/>
    <w:rsid w:val="00753A94"/>
    <w:rsid w:val="00753C8F"/>
    <w:rsid w:val="0075412F"/>
    <w:rsid w:val="00754659"/>
    <w:rsid w:val="007549BF"/>
    <w:rsid w:val="00754C5D"/>
    <w:rsid w:val="00754DA2"/>
    <w:rsid w:val="0075577E"/>
    <w:rsid w:val="0075590B"/>
    <w:rsid w:val="007559CB"/>
    <w:rsid w:val="00756654"/>
    <w:rsid w:val="007576F1"/>
    <w:rsid w:val="00757FE2"/>
    <w:rsid w:val="007601BF"/>
    <w:rsid w:val="00760E58"/>
    <w:rsid w:val="00761EB7"/>
    <w:rsid w:val="00762392"/>
    <w:rsid w:val="007624A6"/>
    <w:rsid w:val="007624A7"/>
    <w:rsid w:val="0076305D"/>
    <w:rsid w:val="0076319B"/>
    <w:rsid w:val="0076355D"/>
    <w:rsid w:val="00764BAB"/>
    <w:rsid w:val="00764BC7"/>
    <w:rsid w:val="00765CBF"/>
    <w:rsid w:val="00766FF6"/>
    <w:rsid w:val="007672A9"/>
    <w:rsid w:val="007673DA"/>
    <w:rsid w:val="0076767C"/>
    <w:rsid w:val="00770BE2"/>
    <w:rsid w:val="007711AF"/>
    <w:rsid w:val="0077166F"/>
    <w:rsid w:val="007723BD"/>
    <w:rsid w:val="00772614"/>
    <w:rsid w:val="00772E9D"/>
    <w:rsid w:val="00772FB1"/>
    <w:rsid w:val="00773087"/>
    <w:rsid w:val="00773660"/>
    <w:rsid w:val="00773D3D"/>
    <w:rsid w:val="00774538"/>
    <w:rsid w:val="0077456C"/>
    <w:rsid w:val="007746E7"/>
    <w:rsid w:val="00774D36"/>
    <w:rsid w:val="00774FEA"/>
    <w:rsid w:val="0077500F"/>
    <w:rsid w:val="007754BB"/>
    <w:rsid w:val="00775840"/>
    <w:rsid w:val="00775A57"/>
    <w:rsid w:val="00775C26"/>
    <w:rsid w:val="00775D1F"/>
    <w:rsid w:val="0077677F"/>
    <w:rsid w:val="007768E1"/>
    <w:rsid w:val="007769E1"/>
    <w:rsid w:val="00776C41"/>
    <w:rsid w:val="00776E47"/>
    <w:rsid w:val="00777309"/>
    <w:rsid w:val="0077788B"/>
    <w:rsid w:val="00777894"/>
    <w:rsid w:val="00780BD9"/>
    <w:rsid w:val="00780F30"/>
    <w:rsid w:val="00781777"/>
    <w:rsid w:val="00781D00"/>
    <w:rsid w:val="0078200B"/>
    <w:rsid w:val="00782D9B"/>
    <w:rsid w:val="00782FD2"/>
    <w:rsid w:val="0078340F"/>
    <w:rsid w:val="007835F3"/>
    <w:rsid w:val="00783BC5"/>
    <w:rsid w:val="00783D7C"/>
    <w:rsid w:val="00784438"/>
    <w:rsid w:val="007845F6"/>
    <w:rsid w:val="00784A82"/>
    <w:rsid w:val="00784AC9"/>
    <w:rsid w:val="007863ED"/>
    <w:rsid w:val="00786622"/>
    <w:rsid w:val="00786DCE"/>
    <w:rsid w:val="007872C0"/>
    <w:rsid w:val="0078760F"/>
    <w:rsid w:val="00787F03"/>
    <w:rsid w:val="00790300"/>
    <w:rsid w:val="00790480"/>
    <w:rsid w:val="00790E6E"/>
    <w:rsid w:val="007913F0"/>
    <w:rsid w:val="0079162D"/>
    <w:rsid w:val="00791758"/>
    <w:rsid w:val="007918E0"/>
    <w:rsid w:val="00792258"/>
    <w:rsid w:val="0079239E"/>
    <w:rsid w:val="00792780"/>
    <w:rsid w:val="00792823"/>
    <w:rsid w:val="0079308C"/>
    <w:rsid w:val="0079367D"/>
    <w:rsid w:val="00793A28"/>
    <w:rsid w:val="0079439B"/>
    <w:rsid w:val="007945C5"/>
    <w:rsid w:val="00794D6C"/>
    <w:rsid w:val="0079520F"/>
    <w:rsid w:val="007956BE"/>
    <w:rsid w:val="00795DDD"/>
    <w:rsid w:val="00796076"/>
    <w:rsid w:val="0079676D"/>
    <w:rsid w:val="00797346"/>
    <w:rsid w:val="00797584"/>
    <w:rsid w:val="00797B62"/>
    <w:rsid w:val="00797BD5"/>
    <w:rsid w:val="007A019D"/>
    <w:rsid w:val="007A0625"/>
    <w:rsid w:val="007A0AEF"/>
    <w:rsid w:val="007A10ED"/>
    <w:rsid w:val="007A1352"/>
    <w:rsid w:val="007A1CB0"/>
    <w:rsid w:val="007A1D78"/>
    <w:rsid w:val="007A281D"/>
    <w:rsid w:val="007A2F7D"/>
    <w:rsid w:val="007A3BC7"/>
    <w:rsid w:val="007A3C6E"/>
    <w:rsid w:val="007A47C7"/>
    <w:rsid w:val="007A48B5"/>
    <w:rsid w:val="007A4C62"/>
    <w:rsid w:val="007A5268"/>
    <w:rsid w:val="007A543C"/>
    <w:rsid w:val="007A615D"/>
    <w:rsid w:val="007A69FE"/>
    <w:rsid w:val="007A7333"/>
    <w:rsid w:val="007A74C5"/>
    <w:rsid w:val="007A7866"/>
    <w:rsid w:val="007A79B9"/>
    <w:rsid w:val="007A7D13"/>
    <w:rsid w:val="007B0263"/>
    <w:rsid w:val="007B0710"/>
    <w:rsid w:val="007B0D3F"/>
    <w:rsid w:val="007B1484"/>
    <w:rsid w:val="007B1496"/>
    <w:rsid w:val="007B1C7F"/>
    <w:rsid w:val="007B2374"/>
    <w:rsid w:val="007B24D2"/>
    <w:rsid w:val="007B2E2C"/>
    <w:rsid w:val="007B4513"/>
    <w:rsid w:val="007B49FA"/>
    <w:rsid w:val="007B4ABA"/>
    <w:rsid w:val="007B5019"/>
    <w:rsid w:val="007B57BB"/>
    <w:rsid w:val="007B5E85"/>
    <w:rsid w:val="007B5FAA"/>
    <w:rsid w:val="007B6043"/>
    <w:rsid w:val="007B67FC"/>
    <w:rsid w:val="007B6A2A"/>
    <w:rsid w:val="007B6A7D"/>
    <w:rsid w:val="007B6BBE"/>
    <w:rsid w:val="007B6D1A"/>
    <w:rsid w:val="007B7119"/>
    <w:rsid w:val="007C0C06"/>
    <w:rsid w:val="007C124B"/>
    <w:rsid w:val="007C1A22"/>
    <w:rsid w:val="007C2B76"/>
    <w:rsid w:val="007C4456"/>
    <w:rsid w:val="007C47E9"/>
    <w:rsid w:val="007C4BF2"/>
    <w:rsid w:val="007C4FD9"/>
    <w:rsid w:val="007C505B"/>
    <w:rsid w:val="007C52AD"/>
    <w:rsid w:val="007C56E4"/>
    <w:rsid w:val="007C5A9C"/>
    <w:rsid w:val="007C5CFA"/>
    <w:rsid w:val="007C5D3D"/>
    <w:rsid w:val="007C60A4"/>
    <w:rsid w:val="007C63F1"/>
    <w:rsid w:val="007C67BC"/>
    <w:rsid w:val="007C6A6F"/>
    <w:rsid w:val="007C730F"/>
    <w:rsid w:val="007C7339"/>
    <w:rsid w:val="007C780B"/>
    <w:rsid w:val="007C7A73"/>
    <w:rsid w:val="007C7ECC"/>
    <w:rsid w:val="007C7F28"/>
    <w:rsid w:val="007C7F45"/>
    <w:rsid w:val="007D0163"/>
    <w:rsid w:val="007D01FE"/>
    <w:rsid w:val="007D03AB"/>
    <w:rsid w:val="007D1815"/>
    <w:rsid w:val="007D1CA5"/>
    <w:rsid w:val="007D26D6"/>
    <w:rsid w:val="007D2837"/>
    <w:rsid w:val="007D28AF"/>
    <w:rsid w:val="007D2AEB"/>
    <w:rsid w:val="007D2FC6"/>
    <w:rsid w:val="007D3ED4"/>
    <w:rsid w:val="007D40F0"/>
    <w:rsid w:val="007D4DD6"/>
    <w:rsid w:val="007D505D"/>
    <w:rsid w:val="007D5611"/>
    <w:rsid w:val="007D5639"/>
    <w:rsid w:val="007D5E9C"/>
    <w:rsid w:val="007D679E"/>
    <w:rsid w:val="007D6CE7"/>
    <w:rsid w:val="007D728E"/>
    <w:rsid w:val="007D7782"/>
    <w:rsid w:val="007D7EC5"/>
    <w:rsid w:val="007E0109"/>
    <w:rsid w:val="007E1429"/>
    <w:rsid w:val="007E1EEB"/>
    <w:rsid w:val="007E1EED"/>
    <w:rsid w:val="007E253D"/>
    <w:rsid w:val="007E2A72"/>
    <w:rsid w:val="007E30DE"/>
    <w:rsid w:val="007E36A8"/>
    <w:rsid w:val="007E438F"/>
    <w:rsid w:val="007E4531"/>
    <w:rsid w:val="007E456C"/>
    <w:rsid w:val="007E4C51"/>
    <w:rsid w:val="007E4CCB"/>
    <w:rsid w:val="007E5340"/>
    <w:rsid w:val="007E5438"/>
    <w:rsid w:val="007E5A4E"/>
    <w:rsid w:val="007E5FAC"/>
    <w:rsid w:val="007E6512"/>
    <w:rsid w:val="007E670C"/>
    <w:rsid w:val="007E68D8"/>
    <w:rsid w:val="007E739A"/>
    <w:rsid w:val="007E73B5"/>
    <w:rsid w:val="007F02ED"/>
    <w:rsid w:val="007F0730"/>
    <w:rsid w:val="007F0A1F"/>
    <w:rsid w:val="007F134B"/>
    <w:rsid w:val="007F1F9D"/>
    <w:rsid w:val="007F27D8"/>
    <w:rsid w:val="007F2F03"/>
    <w:rsid w:val="007F309F"/>
    <w:rsid w:val="007F3766"/>
    <w:rsid w:val="007F3BAE"/>
    <w:rsid w:val="007F4633"/>
    <w:rsid w:val="007F4D7B"/>
    <w:rsid w:val="007F523F"/>
    <w:rsid w:val="007F55C6"/>
    <w:rsid w:val="007F571C"/>
    <w:rsid w:val="007F5863"/>
    <w:rsid w:val="007F5BAC"/>
    <w:rsid w:val="007F5C8D"/>
    <w:rsid w:val="007F6144"/>
    <w:rsid w:val="007F635F"/>
    <w:rsid w:val="007F65EF"/>
    <w:rsid w:val="007F73A2"/>
    <w:rsid w:val="007F768C"/>
    <w:rsid w:val="007F79C5"/>
    <w:rsid w:val="007F79DB"/>
    <w:rsid w:val="007F7D90"/>
    <w:rsid w:val="0080003D"/>
    <w:rsid w:val="00800FAF"/>
    <w:rsid w:val="008016D5"/>
    <w:rsid w:val="0080182A"/>
    <w:rsid w:val="00801D74"/>
    <w:rsid w:val="008023A6"/>
    <w:rsid w:val="0080298D"/>
    <w:rsid w:val="008029F6"/>
    <w:rsid w:val="00802B71"/>
    <w:rsid w:val="00802C62"/>
    <w:rsid w:val="00802CA7"/>
    <w:rsid w:val="00803854"/>
    <w:rsid w:val="00803A8A"/>
    <w:rsid w:val="00803AB5"/>
    <w:rsid w:val="00803ECF"/>
    <w:rsid w:val="00803FBA"/>
    <w:rsid w:val="008042D3"/>
    <w:rsid w:val="00804AC4"/>
    <w:rsid w:val="00805626"/>
    <w:rsid w:val="00805C85"/>
    <w:rsid w:val="00806331"/>
    <w:rsid w:val="008065FD"/>
    <w:rsid w:val="00806E5D"/>
    <w:rsid w:val="008075B3"/>
    <w:rsid w:val="00807A65"/>
    <w:rsid w:val="008106E2"/>
    <w:rsid w:val="008109C8"/>
    <w:rsid w:val="00810B1A"/>
    <w:rsid w:val="00810C42"/>
    <w:rsid w:val="00810F8E"/>
    <w:rsid w:val="00811229"/>
    <w:rsid w:val="0081134E"/>
    <w:rsid w:val="008114B7"/>
    <w:rsid w:val="00811569"/>
    <w:rsid w:val="00811AA3"/>
    <w:rsid w:val="00811E1E"/>
    <w:rsid w:val="008120BC"/>
    <w:rsid w:val="008124CC"/>
    <w:rsid w:val="008127A6"/>
    <w:rsid w:val="00812BC6"/>
    <w:rsid w:val="00812C38"/>
    <w:rsid w:val="00812CDA"/>
    <w:rsid w:val="008130A3"/>
    <w:rsid w:val="00813A88"/>
    <w:rsid w:val="00813B78"/>
    <w:rsid w:val="00813C58"/>
    <w:rsid w:val="0081517A"/>
    <w:rsid w:val="00815564"/>
    <w:rsid w:val="00815FE1"/>
    <w:rsid w:val="0081760C"/>
    <w:rsid w:val="0081783A"/>
    <w:rsid w:val="00817B3D"/>
    <w:rsid w:val="00820283"/>
    <w:rsid w:val="00820449"/>
    <w:rsid w:val="0082061B"/>
    <w:rsid w:val="00820C04"/>
    <w:rsid w:val="00821508"/>
    <w:rsid w:val="00821C1A"/>
    <w:rsid w:val="00821CFD"/>
    <w:rsid w:val="00821F6E"/>
    <w:rsid w:val="008221E4"/>
    <w:rsid w:val="0082229C"/>
    <w:rsid w:val="0082248D"/>
    <w:rsid w:val="008224E4"/>
    <w:rsid w:val="0082288A"/>
    <w:rsid w:val="00822C96"/>
    <w:rsid w:val="0082339D"/>
    <w:rsid w:val="008239AD"/>
    <w:rsid w:val="00823E64"/>
    <w:rsid w:val="00823F4A"/>
    <w:rsid w:val="00824EB8"/>
    <w:rsid w:val="008256AD"/>
    <w:rsid w:val="00825AED"/>
    <w:rsid w:val="008261CD"/>
    <w:rsid w:val="008263A0"/>
    <w:rsid w:val="0082680A"/>
    <w:rsid w:val="0082731A"/>
    <w:rsid w:val="0082776D"/>
    <w:rsid w:val="008278B9"/>
    <w:rsid w:val="00827C18"/>
    <w:rsid w:val="00827F24"/>
    <w:rsid w:val="00830351"/>
    <w:rsid w:val="00830491"/>
    <w:rsid w:val="008307A7"/>
    <w:rsid w:val="00830ECB"/>
    <w:rsid w:val="00830FB8"/>
    <w:rsid w:val="00831223"/>
    <w:rsid w:val="00831BF4"/>
    <w:rsid w:val="00831D72"/>
    <w:rsid w:val="00832685"/>
    <w:rsid w:val="00832A94"/>
    <w:rsid w:val="00834262"/>
    <w:rsid w:val="00834891"/>
    <w:rsid w:val="008349D2"/>
    <w:rsid w:val="008349D8"/>
    <w:rsid w:val="00835132"/>
    <w:rsid w:val="00836028"/>
    <w:rsid w:val="008360AE"/>
    <w:rsid w:val="008369C0"/>
    <w:rsid w:val="00836FA4"/>
    <w:rsid w:val="0083746A"/>
    <w:rsid w:val="00837F25"/>
    <w:rsid w:val="00840313"/>
    <w:rsid w:val="008404CB"/>
    <w:rsid w:val="00840B97"/>
    <w:rsid w:val="00840F42"/>
    <w:rsid w:val="0084144F"/>
    <w:rsid w:val="008419CB"/>
    <w:rsid w:val="008425F4"/>
    <w:rsid w:val="008429AA"/>
    <w:rsid w:val="00842CED"/>
    <w:rsid w:val="00843DA7"/>
    <w:rsid w:val="00844355"/>
    <w:rsid w:val="00844361"/>
    <w:rsid w:val="0084462D"/>
    <w:rsid w:val="0084559B"/>
    <w:rsid w:val="00845908"/>
    <w:rsid w:val="008459E7"/>
    <w:rsid w:val="00845CBB"/>
    <w:rsid w:val="008470A2"/>
    <w:rsid w:val="00847245"/>
    <w:rsid w:val="00847506"/>
    <w:rsid w:val="00847731"/>
    <w:rsid w:val="00847BD7"/>
    <w:rsid w:val="00847E3D"/>
    <w:rsid w:val="00850FE1"/>
    <w:rsid w:val="00850FF6"/>
    <w:rsid w:val="00851131"/>
    <w:rsid w:val="008523A6"/>
    <w:rsid w:val="0085246F"/>
    <w:rsid w:val="00852BA5"/>
    <w:rsid w:val="00853005"/>
    <w:rsid w:val="0085358C"/>
    <w:rsid w:val="00853CCF"/>
    <w:rsid w:val="00854667"/>
    <w:rsid w:val="008548A4"/>
    <w:rsid w:val="0085509A"/>
    <w:rsid w:val="008550F5"/>
    <w:rsid w:val="008552C2"/>
    <w:rsid w:val="00855DD6"/>
    <w:rsid w:val="008569DC"/>
    <w:rsid w:val="00856BEB"/>
    <w:rsid w:val="0085709C"/>
    <w:rsid w:val="0085740D"/>
    <w:rsid w:val="00857652"/>
    <w:rsid w:val="00860392"/>
    <w:rsid w:val="00860576"/>
    <w:rsid w:val="00860932"/>
    <w:rsid w:val="0086099D"/>
    <w:rsid w:val="0086100E"/>
    <w:rsid w:val="00861022"/>
    <w:rsid w:val="00861B5D"/>
    <w:rsid w:val="00861BC4"/>
    <w:rsid w:val="00862A71"/>
    <w:rsid w:val="00863047"/>
    <w:rsid w:val="00863D3A"/>
    <w:rsid w:val="00864019"/>
    <w:rsid w:val="008648D8"/>
    <w:rsid w:val="00864BC2"/>
    <w:rsid w:val="00865BCD"/>
    <w:rsid w:val="00866A2C"/>
    <w:rsid w:val="00866D93"/>
    <w:rsid w:val="00870192"/>
    <w:rsid w:val="00870533"/>
    <w:rsid w:val="008708E0"/>
    <w:rsid w:val="00870ABA"/>
    <w:rsid w:val="00871606"/>
    <w:rsid w:val="00871886"/>
    <w:rsid w:val="00871B48"/>
    <w:rsid w:val="00871E6D"/>
    <w:rsid w:val="00872D0A"/>
    <w:rsid w:val="00872DB2"/>
    <w:rsid w:val="0087323E"/>
    <w:rsid w:val="00873A94"/>
    <w:rsid w:val="00874065"/>
    <w:rsid w:val="00874322"/>
    <w:rsid w:val="00874AFA"/>
    <w:rsid w:val="00875085"/>
    <w:rsid w:val="00875125"/>
    <w:rsid w:val="00875C61"/>
    <w:rsid w:val="008761C7"/>
    <w:rsid w:val="00876BAB"/>
    <w:rsid w:val="00876CBA"/>
    <w:rsid w:val="00877396"/>
    <w:rsid w:val="00877509"/>
    <w:rsid w:val="00877551"/>
    <w:rsid w:val="0087767E"/>
    <w:rsid w:val="008776CA"/>
    <w:rsid w:val="00880FBE"/>
    <w:rsid w:val="0088176E"/>
    <w:rsid w:val="008820F7"/>
    <w:rsid w:val="00882365"/>
    <w:rsid w:val="0088282E"/>
    <w:rsid w:val="00882D5F"/>
    <w:rsid w:val="00884618"/>
    <w:rsid w:val="00884ADD"/>
    <w:rsid w:val="00884E1E"/>
    <w:rsid w:val="00884F9A"/>
    <w:rsid w:val="0088513D"/>
    <w:rsid w:val="0088561C"/>
    <w:rsid w:val="00885AC6"/>
    <w:rsid w:val="00885F39"/>
    <w:rsid w:val="00885FD8"/>
    <w:rsid w:val="008863AF"/>
    <w:rsid w:val="0088695A"/>
    <w:rsid w:val="00886F1E"/>
    <w:rsid w:val="008870D1"/>
    <w:rsid w:val="0088715A"/>
    <w:rsid w:val="0088798D"/>
    <w:rsid w:val="00887DC0"/>
    <w:rsid w:val="00887F32"/>
    <w:rsid w:val="00891198"/>
    <w:rsid w:val="00891437"/>
    <w:rsid w:val="00891D8C"/>
    <w:rsid w:val="00891ECA"/>
    <w:rsid w:val="00891F0F"/>
    <w:rsid w:val="0089245D"/>
    <w:rsid w:val="0089313E"/>
    <w:rsid w:val="00893876"/>
    <w:rsid w:val="00893925"/>
    <w:rsid w:val="00893C6F"/>
    <w:rsid w:val="00895581"/>
    <w:rsid w:val="008957E5"/>
    <w:rsid w:val="00895888"/>
    <w:rsid w:val="00895EE8"/>
    <w:rsid w:val="00895F7F"/>
    <w:rsid w:val="00896882"/>
    <w:rsid w:val="00896CDA"/>
    <w:rsid w:val="00896D6A"/>
    <w:rsid w:val="00897AA7"/>
    <w:rsid w:val="00897CBD"/>
    <w:rsid w:val="008A05C9"/>
    <w:rsid w:val="008A0D8F"/>
    <w:rsid w:val="008A1305"/>
    <w:rsid w:val="008A18A3"/>
    <w:rsid w:val="008A1BD1"/>
    <w:rsid w:val="008A2240"/>
    <w:rsid w:val="008A24AE"/>
    <w:rsid w:val="008A24DE"/>
    <w:rsid w:val="008A2B33"/>
    <w:rsid w:val="008A2F28"/>
    <w:rsid w:val="008A31D1"/>
    <w:rsid w:val="008A3583"/>
    <w:rsid w:val="008A3881"/>
    <w:rsid w:val="008A3A7D"/>
    <w:rsid w:val="008A3DC2"/>
    <w:rsid w:val="008A3FB2"/>
    <w:rsid w:val="008A42A5"/>
    <w:rsid w:val="008A4331"/>
    <w:rsid w:val="008A4972"/>
    <w:rsid w:val="008A4B15"/>
    <w:rsid w:val="008A4CF2"/>
    <w:rsid w:val="008A523A"/>
    <w:rsid w:val="008A5908"/>
    <w:rsid w:val="008A604B"/>
    <w:rsid w:val="008A6C22"/>
    <w:rsid w:val="008A749A"/>
    <w:rsid w:val="008A7D2A"/>
    <w:rsid w:val="008A7EE0"/>
    <w:rsid w:val="008B0CD3"/>
    <w:rsid w:val="008B0F0B"/>
    <w:rsid w:val="008B1124"/>
    <w:rsid w:val="008B15CE"/>
    <w:rsid w:val="008B19DE"/>
    <w:rsid w:val="008B23CB"/>
    <w:rsid w:val="008B2591"/>
    <w:rsid w:val="008B26EC"/>
    <w:rsid w:val="008B3187"/>
    <w:rsid w:val="008B3210"/>
    <w:rsid w:val="008B3574"/>
    <w:rsid w:val="008B37D2"/>
    <w:rsid w:val="008B3889"/>
    <w:rsid w:val="008B3C59"/>
    <w:rsid w:val="008B4668"/>
    <w:rsid w:val="008B51B2"/>
    <w:rsid w:val="008B52F9"/>
    <w:rsid w:val="008B6647"/>
    <w:rsid w:val="008B66F6"/>
    <w:rsid w:val="008B74DF"/>
    <w:rsid w:val="008B7841"/>
    <w:rsid w:val="008B78D3"/>
    <w:rsid w:val="008C025C"/>
    <w:rsid w:val="008C1777"/>
    <w:rsid w:val="008C1B0F"/>
    <w:rsid w:val="008C22A4"/>
    <w:rsid w:val="008C240F"/>
    <w:rsid w:val="008C34C7"/>
    <w:rsid w:val="008C4280"/>
    <w:rsid w:val="008C4406"/>
    <w:rsid w:val="008C4574"/>
    <w:rsid w:val="008C4914"/>
    <w:rsid w:val="008C6C7B"/>
    <w:rsid w:val="008C709C"/>
    <w:rsid w:val="008C7357"/>
    <w:rsid w:val="008C77DA"/>
    <w:rsid w:val="008C7D90"/>
    <w:rsid w:val="008D05CC"/>
    <w:rsid w:val="008D20D7"/>
    <w:rsid w:val="008D20E8"/>
    <w:rsid w:val="008D2C51"/>
    <w:rsid w:val="008D3504"/>
    <w:rsid w:val="008D3635"/>
    <w:rsid w:val="008D36A0"/>
    <w:rsid w:val="008D3F01"/>
    <w:rsid w:val="008D42BB"/>
    <w:rsid w:val="008D51CB"/>
    <w:rsid w:val="008D5410"/>
    <w:rsid w:val="008D542F"/>
    <w:rsid w:val="008D5A84"/>
    <w:rsid w:val="008D5D05"/>
    <w:rsid w:val="008D602F"/>
    <w:rsid w:val="008D6503"/>
    <w:rsid w:val="008D713E"/>
    <w:rsid w:val="008D7190"/>
    <w:rsid w:val="008D71F7"/>
    <w:rsid w:val="008E03CA"/>
    <w:rsid w:val="008E0596"/>
    <w:rsid w:val="008E0ECF"/>
    <w:rsid w:val="008E1095"/>
    <w:rsid w:val="008E1447"/>
    <w:rsid w:val="008E1A7C"/>
    <w:rsid w:val="008E1ABC"/>
    <w:rsid w:val="008E1D8F"/>
    <w:rsid w:val="008E21BC"/>
    <w:rsid w:val="008E273C"/>
    <w:rsid w:val="008E2A84"/>
    <w:rsid w:val="008E316E"/>
    <w:rsid w:val="008E37C5"/>
    <w:rsid w:val="008E4760"/>
    <w:rsid w:val="008E4B2C"/>
    <w:rsid w:val="008E4C2C"/>
    <w:rsid w:val="008E558E"/>
    <w:rsid w:val="008E568F"/>
    <w:rsid w:val="008E690F"/>
    <w:rsid w:val="008E6DE4"/>
    <w:rsid w:val="008E7621"/>
    <w:rsid w:val="008E7E49"/>
    <w:rsid w:val="008E7EE5"/>
    <w:rsid w:val="008F0240"/>
    <w:rsid w:val="008F0823"/>
    <w:rsid w:val="008F0D12"/>
    <w:rsid w:val="008F0E84"/>
    <w:rsid w:val="008F1F22"/>
    <w:rsid w:val="008F2CAD"/>
    <w:rsid w:val="008F2D80"/>
    <w:rsid w:val="008F31DE"/>
    <w:rsid w:val="008F3CDD"/>
    <w:rsid w:val="008F4B6F"/>
    <w:rsid w:val="008F512A"/>
    <w:rsid w:val="008F5168"/>
    <w:rsid w:val="008F536C"/>
    <w:rsid w:val="008F621B"/>
    <w:rsid w:val="008F6226"/>
    <w:rsid w:val="008F642C"/>
    <w:rsid w:val="008F6569"/>
    <w:rsid w:val="008F6828"/>
    <w:rsid w:val="008F68A1"/>
    <w:rsid w:val="008F6A97"/>
    <w:rsid w:val="008F71C6"/>
    <w:rsid w:val="008F7AA2"/>
    <w:rsid w:val="008F7F57"/>
    <w:rsid w:val="00900369"/>
    <w:rsid w:val="00900673"/>
    <w:rsid w:val="00900778"/>
    <w:rsid w:val="00901AF8"/>
    <w:rsid w:val="0090233B"/>
    <w:rsid w:val="009023CD"/>
    <w:rsid w:val="00902450"/>
    <w:rsid w:val="009026BA"/>
    <w:rsid w:val="00902806"/>
    <w:rsid w:val="00902DB0"/>
    <w:rsid w:val="009031DC"/>
    <w:rsid w:val="00903BAA"/>
    <w:rsid w:val="00904534"/>
    <w:rsid w:val="00904826"/>
    <w:rsid w:val="009048B6"/>
    <w:rsid w:val="00904DF2"/>
    <w:rsid w:val="0090517B"/>
    <w:rsid w:val="009058B5"/>
    <w:rsid w:val="00905B71"/>
    <w:rsid w:val="00905C28"/>
    <w:rsid w:val="0090657C"/>
    <w:rsid w:val="009065C9"/>
    <w:rsid w:val="00906C03"/>
    <w:rsid w:val="00906C8C"/>
    <w:rsid w:val="00906EDC"/>
    <w:rsid w:val="00907571"/>
    <w:rsid w:val="00907661"/>
    <w:rsid w:val="00907997"/>
    <w:rsid w:val="00907F0D"/>
    <w:rsid w:val="00907F9D"/>
    <w:rsid w:val="00910575"/>
    <w:rsid w:val="00911C56"/>
    <w:rsid w:val="00911DD6"/>
    <w:rsid w:val="009122DF"/>
    <w:rsid w:val="00912E48"/>
    <w:rsid w:val="009130EA"/>
    <w:rsid w:val="009135DB"/>
    <w:rsid w:val="00913A61"/>
    <w:rsid w:val="00913F77"/>
    <w:rsid w:val="00914332"/>
    <w:rsid w:val="0091455E"/>
    <w:rsid w:val="009149EB"/>
    <w:rsid w:val="0091569D"/>
    <w:rsid w:val="0091618C"/>
    <w:rsid w:val="009165EE"/>
    <w:rsid w:val="00916817"/>
    <w:rsid w:val="00916BA8"/>
    <w:rsid w:val="00916BA9"/>
    <w:rsid w:val="00916CB8"/>
    <w:rsid w:val="00916EB3"/>
    <w:rsid w:val="009200E7"/>
    <w:rsid w:val="00920220"/>
    <w:rsid w:val="0092044D"/>
    <w:rsid w:val="00920526"/>
    <w:rsid w:val="009208CF"/>
    <w:rsid w:val="00920C8C"/>
    <w:rsid w:val="00920DA9"/>
    <w:rsid w:val="009212E5"/>
    <w:rsid w:val="00921C79"/>
    <w:rsid w:val="009225FF"/>
    <w:rsid w:val="00922B8C"/>
    <w:rsid w:val="00924BAF"/>
    <w:rsid w:val="0092575E"/>
    <w:rsid w:val="00925B0A"/>
    <w:rsid w:val="0092623F"/>
    <w:rsid w:val="00926355"/>
    <w:rsid w:val="009271D3"/>
    <w:rsid w:val="0092771F"/>
    <w:rsid w:val="00927B83"/>
    <w:rsid w:val="00927C71"/>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4BBE"/>
    <w:rsid w:val="009350B0"/>
    <w:rsid w:val="009350B9"/>
    <w:rsid w:val="00935903"/>
    <w:rsid w:val="00935B8C"/>
    <w:rsid w:val="00935F2F"/>
    <w:rsid w:val="009361E3"/>
    <w:rsid w:val="0093733F"/>
    <w:rsid w:val="009379C7"/>
    <w:rsid w:val="00937AF9"/>
    <w:rsid w:val="00937DC3"/>
    <w:rsid w:val="009410AB"/>
    <w:rsid w:val="00941FEA"/>
    <w:rsid w:val="009421FA"/>
    <w:rsid w:val="00943032"/>
    <w:rsid w:val="009430CD"/>
    <w:rsid w:val="009439E5"/>
    <w:rsid w:val="00944389"/>
    <w:rsid w:val="00944BC3"/>
    <w:rsid w:val="009450A9"/>
    <w:rsid w:val="0094531C"/>
    <w:rsid w:val="0094579D"/>
    <w:rsid w:val="00945CDE"/>
    <w:rsid w:val="009462ED"/>
    <w:rsid w:val="00946300"/>
    <w:rsid w:val="00946585"/>
    <w:rsid w:val="009467E7"/>
    <w:rsid w:val="00946D2F"/>
    <w:rsid w:val="009471FE"/>
    <w:rsid w:val="00947295"/>
    <w:rsid w:val="00950AEC"/>
    <w:rsid w:val="00951867"/>
    <w:rsid w:val="00952644"/>
    <w:rsid w:val="00952C66"/>
    <w:rsid w:val="0095343E"/>
    <w:rsid w:val="00953BAC"/>
    <w:rsid w:val="00954120"/>
    <w:rsid w:val="00954899"/>
    <w:rsid w:val="009553B5"/>
    <w:rsid w:val="00955D6E"/>
    <w:rsid w:val="00956422"/>
    <w:rsid w:val="00956524"/>
    <w:rsid w:val="0095719B"/>
    <w:rsid w:val="00957224"/>
    <w:rsid w:val="009576FA"/>
    <w:rsid w:val="00957C08"/>
    <w:rsid w:val="009601FF"/>
    <w:rsid w:val="00960C70"/>
    <w:rsid w:val="00960E03"/>
    <w:rsid w:val="0096123E"/>
    <w:rsid w:val="0096142A"/>
    <w:rsid w:val="009617D9"/>
    <w:rsid w:val="00961B01"/>
    <w:rsid w:val="00962360"/>
    <w:rsid w:val="009628E6"/>
    <w:rsid w:val="00962E49"/>
    <w:rsid w:val="00962FA3"/>
    <w:rsid w:val="00963503"/>
    <w:rsid w:val="00964ED8"/>
    <w:rsid w:val="009653EE"/>
    <w:rsid w:val="0096613A"/>
    <w:rsid w:val="00966331"/>
    <w:rsid w:val="00966351"/>
    <w:rsid w:val="00966B75"/>
    <w:rsid w:val="00966C5A"/>
    <w:rsid w:val="00966F3B"/>
    <w:rsid w:val="00967846"/>
    <w:rsid w:val="009701F5"/>
    <w:rsid w:val="00970450"/>
    <w:rsid w:val="00970A47"/>
    <w:rsid w:val="00970FCA"/>
    <w:rsid w:val="009713F7"/>
    <w:rsid w:val="009717C6"/>
    <w:rsid w:val="009726C5"/>
    <w:rsid w:val="00972963"/>
    <w:rsid w:val="00972A6B"/>
    <w:rsid w:val="00972ABA"/>
    <w:rsid w:val="00972EBE"/>
    <w:rsid w:val="00973632"/>
    <w:rsid w:val="00973910"/>
    <w:rsid w:val="00973BF1"/>
    <w:rsid w:val="0097455C"/>
    <w:rsid w:val="00974576"/>
    <w:rsid w:val="009750ED"/>
    <w:rsid w:val="009752AC"/>
    <w:rsid w:val="00975BA1"/>
    <w:rsid w:val="009762F1"/>
    <w:rsid w:val="00976419"/>
    <w:rsid w:val="0097776B"/>
    <w:rsid w:val="009778C2"/>
    <w:rsid w:val="00980330"/>
    <w:rsid w:val="009805F5"/>
    <w:rsid w:val="00980A9D"/>
    <w:rsid w:val="00980ADA"/>
    <w:rsid w:val="00980B10"/>
    <w:rsid w:val="00981507"/>
    <w:rsid w:val="00981553"/>
    <w:rsid w:val="0098179F"/>
    <w:rsid w:val="0098201F"/>
    <w:rsid w:val="0098398F"/>
    <w:rsid w:val="00983FD0"/>
    <w:rsid w:val="00984187"/>
    <w:rsid w:val="0098474F"/>
    <w:rsid w:val="00984831"/>
    <w:rsid w:val="00984855"/>
    <w:rsid w:val="0098516A"/>
    <w:rsid w:val="009858F7"/>
    <w:rsid w:val="0098669C"/>
    <w:rsid w:val="00986A7F"/>
    <w:rsid w:val="00986C23"/>
    <w:rsid w:val="00986FB2"/>
    <w:rsid w:val="009870A4"/>
    <w:rsid w:val="0098786D"/>
    <w:rsid w:val="00987DF3"/>
    <w:rsid w:val="00990B61"/>
    <w:rsid w:val="00990DBA"/>
    <w:rsid w:val="0099133E"/>
    <w:rsid w:val="00991D9D"/>
    <w:rsid w:val="009927DA"/>
    <w:rsid w:val="00992A6E"/>
    <w:rsid w:val="00992C7F"/>
    <w:rsid w:val="00992FAC"/>
    <w:rsid w:val="00993523"/>
    <w:rsid w:val="00993CFE"/>
    <w:rsid w:val="0099419A"/>
    <w:rsid w:val="00994B3F"/>
    <w:rsid w:val="00995850"/>
    <w:rsid w:val="00995F1F"/>
    <w:rsid w:val="00996C31"/>
    <w:rsid w:val="0099710F"/>
    <w:rsid w:val="00997110"/>
    <w:rsid w:val="0099743F"/>
    <w:rsid w:val="00997EC5"/>
    <w:rsid w:val="009A0EB4"/>
    <w:rsid w:val="009A1C99"/>
    <w:rsid w:val="009A309A"/>
    <w:rsid w:val="009A3790"/>
    <w:rsid w:val="009A3F45"/>
    <w:rsid w:val="009A47C5"/>
    <w:rsid w:val="009A5393"/>
    <w:rsid w:val="009A5A24"/>
    <w:rsid w:val="009A5B24"/>
    <w:rsid w:val="009A5E41"/>
    <w:rsid w:val="009A5FD6"/>
    <w:rsid w:val="009A61EA"/>
    <w:rsid w:val="009A628D"/>
    <w:rsid w:val="009A68F8"/>
    <w:rsid w:val="009A7AB6"/>
    <w:rsid w:val="009A7B67"/>
    <w:rsid w:val="009A7F38"/>
    <w:rsid w:val="009B06DE"/>
    <w:rsid w:val="009B0E4C"/>
    <w:rsid w:val="009B16BC"/>
    <w:rsid w:val="009B1BE5"/>
    <w:rsid w:val="009B201D"/>
    <w:rsid w:val="009B217A"/>
    <w:rsid w:val="009B297B"/>
    <w:rsid w:val="009B31C7"/>
    <w:rsid w:val="009B3539"/>
    <w:rsid w:val="009B3705"/>
    <w:rsid w:val="009B3C2E"/>
    <w:rsid w:val="009B5082"/>
    <w:rsid w:val="009B5149"/>
    <w:rsid w:val="009B5714"/>
    <w:rsid w:val="009B682B"/>
    <w:rsid w:val="009B71B7"/>
    <w:rsid w:val="009B74BA"/>
    <w:rsid w:val="009B7B53"/>
    <w:rsid w:val="009C031F"/>
    <w:rsid w:val="009C09B1"/>
    <w:rsid w:val="009C1A48"/>
    <w:rsid w:val="009C204D"/>
    <w:rsid w:val="009C21B8"/>
    <w:rsid w:val="009C2B01"/>
    <w:rsid w:val="009C2F89"/>
    <w:rsid w:val="009C30B4"/>
    <w:rsid w:val="009C3100"/>
    <w:rsid w:val="009C49AD"/>
    <w:rsid w:val="009C58CD"/>
    <w:rsid w:val="009C6304"/>
    <w:rsid w:val="009C693D"/>
    <w:rsid w:val="009C6D10"/>
    <w:rsid w:val="009C7028"/>
    <w:rsid w:val="009C792E"/>
    <w:rsid w:val="009C7AF5"/>
    <w:rsid w:val="009C7FC0"/>
    <w:rsid w:val="009D03BD"/>
    <w:rsid w:val="009D0BA7"/>
    <w:rsid w:val="009D14E8"/>
    <w:rsid w:val="009D30FF"/>
    <w:rsid w:val="009D33E5"/>
    <w:rsid w:val="009D3AA7"/>
    <w:rsid w:val="009D3BD5"/>
    <w:rsid w:val="009D58FD"/>
    <w:rsid w:val="009D5EF4"/>
    <w:rsid w:val="009D5F79"/>
    <w:rsid w:val="009D615B"/>
    <w:rsid w:val="009D6D1F"/>
    <w:rsid w:val="009D751F"/>
    <w:rsid w:val="009E1860"/>
    <w:rsid w:val="009E27A2"/>
    <w:rsid w:val="009E2B7C"/>
    <w:rsid w:val="009E3D70"/>
    <w:rsid w:val="009E3DCC"/>
    <w:rsid w:val="009E45F0"/>
    <w:rsid w:val="009E4AC0"/>
    <w:rsid w:val="009E4B08"/>
    <w:rsid w:val="009E4D37"/>
    <w:rsid w:val="009E5650"/>
    <w:rsid w:val="009E5D5E"/>
    <w:rsid w:val="009E605F"/>
    <w:rsid w:val="009E61A4"/>
    <w:rsid w:val="009E6283"/>
    <w:rsid w:val="009E6A9F"/>
    <w:rsid w:val="009E7130"/>
    <w:rsid w:val="009E72C6"/>
    <w:rsid w:val="009E7451"/>
    <w:rsid w:val="009E79C0"/>
    <w:rsid w:val="009E7CDA"/>
    <w:rsid w:val="009F0117"/>
    <w:rsid w:val="009F046C"/>
    <w:rsid w:val="009F05C9"/>
    <w:rsid w:val="009F060D"/>
    <w:rsid w:val="009F07E3"/>
    <w:rsid w:val="009F0B99"/>
    <w:rsid w:val="009F0F70"/>
    <w:rsid w:val="009F17E5"/>
    <w:rsid w:val="009F1DB5"/>
    <w:rsid w:val="009F1F31"/>
    <w:rsid w:val="009F22CF"/>
    <w:rsid w:val="009F2399"/>
    <w:rsid w:val="009F253C"/>
    <w:rsid w:val="009F2564"/>
    <w:rsid w:val="009F27A6"/>
    <w:rsid w:val="009F344F"/>
    <w:rsid w:val="009F35A1"/>
    <w:rsid w:val="009F3B79"/>
    <w:rsid w:val="009F3CC4"/>
    <w:rsid w:val="009F50F4"/>
    <w:rsid w:val="009F5EF2"/>
    <w:rsid w:val="009F668D"/>
    <w:rsid w:val="009F7244"/>
    <w:rsid w:val="00A0031F"/>
    <w:rsid w:val="00A00909"/>
    <w:rsid w:val="00A00C3E"/>
    <w:rsid w:val="00A00C9A"/>
    <w:rsid w:val="00A00CBD"/>
    <w:rsid w:val="00A01047"/>
    <w:rsid w:val="00A011F6"/>
    <w:rsid w:val="00A0192F"/>
    <w:rsid w:val="00A01DC6"/>
    <w:rsid w:val="00A01F91"/>
    <w:rsid w:val="00A02270"/>
    <w:rsid w:val="00A026AA"/>
    <w:rsid w:val="00A02B9D"/>
    <w:rsid w:val="00A02D59"/>
    <w:rsid w:val="00A03890"/>
    <w:rsid w:val="00A03B76"/>
    <w:rsid w:val="00A03E78"/>
    <w:rsid w:val="00A04461"/>
    <w:rsid w:val="00A04623"/>
    <w:rsid w:val="00A04838"/>
    <w:rsid w:val="00A053B1"/>
    <w:rsid w:val="00A05F31"/>
    <w:rsid w:val="00A06968"/>
    <w:rsid w:val="00A071E4"/>
    <w:rsid w:val="00A07704"/>
    <w:rsid w:val="00A078F0"/>
    <w:rsid w:val="00A07DE7"/>
    <w:rsid w:val="00A10329"/>
    <w:rsid w:val="00A10830"/>
    <w:rsid w:val="00A1097E"/>
    <w:rsid w:val="00A10E29"/>
    <w:rsid w:val="00A113D5"/>
    <w:rsid w:val="00A1140C"/>
    <w:rsid w:val="00A11818"/>
    <w:rsid w:val="00A11C67"/>
    <w:rsid w:val="00A12BE5"/>
    <w:rsid w:val="00A12DF1"/>
    <w:rsid w:val="00A13589"/>
    <w:rsid w:val="00A13FC2"/>
    <w:rsid w:val="00A147C9"/>
    <w:rsid w:val="00A14991"/>
    <w:rsid w:val="00A15164"/>
    <w:rsid w:val="00A151D5"/>
    <w:rsid w:val="00A156A6"/>
    <w:rsid w:val="00A15AEB"/>
    <w:rsid w:val="00A15EDB"/>
    <w:rsid w:val="00A160D1"/>
    <w:rsid w:val="00A16CEA"/>
    <w:rsid w:val="00A17780"/>
    <w:rsid w:val="00A2002B"/>
    <w:rsid w:val="00A2072A"/>
    <w:rsid w:val="00A207F2"/>
    <w:rsid w:val="00A20AB3"/>
    <w:rsid w:val="00A20CFD"/>
    <w:rsid w:val="00A20D58"/>
    <w:rsid w:val="00A220BC"/>
    <w:rsid w:val="00A22C99"/>
    <w:rsid w:val="00A23091"/>
    <w:rsid w:val="00A23289"/>
    <w:rsid w:val="00A233A1"/>
    <w:rsid w:val="00A23E95"/>
    <w:rsid w:val="00A244D8"/>
    <w:rsid w:val="00A247AC"/>
    <w:rsid w:val="00A2524B"/>
    <w:rsid w:val="00A2586B"/>
    <w:rsid w:val="00A25A49"/>
    <w:rsid w:val="00A25BA8"/>
    <w:rsid w:val="00A2685F"/>
    <w:rsid w:val="00A2717B"/>
    <w:rsid w:val="00A271E3"/>
    <w:rsid w:val="00A27402"/>
    <w:rsid w:val="00A274B0"/>
    <w:rsid w:val="00A27643"/>
    <w:rsid w:val="00A277B9"/>
    <w:rsid w:val="00A27872"/>
    <w:rsid w:val="00A27AA5"/>
    <w:rsid w:val="00A3052B"/>
    <w:rsid w:val="00A3056D"/>
    <w:rsid w:val="00A310A0"/>
    <w:rsid w:val="00A3138D"/>
    <w:rsid w:val="00A31C88"/>
    <w:rsid w:val="00A31EDE"/>
    <w:rsid w:val="00A321D4"/>
    <w:rsid w:val="00A329A6"/>
    <w:rsid w:val="00A32D57"/>
    <w:rsid w:val="00A3343C"/>
    <w:rsid w:val="00A33E82"/>
    <w:rsid w:val="00A340B5"/>
    <w:rsid w:val="00A34759"/>
    <w:rsid w:val="00A35F7B"/>
    <w:rsid w:val="00A3669A"/>
    <w:rsid w:val="00A36975"/>
    <w:rsid w:val="00A36B98"/>
    <w:rsid w:val="00A36FA0"/>
    <w:rsid w:val="00A37E51"/>
    <w:rsid w:val="00A4026C"/>
    <w:rsid w:val="00A402B7"/>
    <w:rsid w:val="00A406DE"/>
    <w:rsid w:val="00A408CA"/>
    <w:rsid w:val="00A40A8D"/>
    <w:rsid w:val="00A41034"/>
    <w:rsid w:val="00A41AD4"/>
    <w:rsid w:val="00A421C3"/>
    <w:rsid w:val="00A4232D"/>
    <w:rsid w:val="00A423E8"/>
    <w:rsid w:val="00A42518"/>
    <w:rsid w:val="00A4279F"/>
    <w:rsid w:val="00A42A44"/>
    <w:rsid w:val="00A432B6"/>
    <w:rsid w:val="00A436DC"/>
    <w:rsid w:val="00A4384E"/>
    <w:rsid w:val="00A4412D"/>
    <w:rsid w:val="00A447B2"/>
    <w:rsid w:val="00A44995"/>
    <w:rsid w:val="00A44F16"/>
    <w:rsid w:val="00A45AB0"/>
    <w:rsid w:val="00A47279"/>
    <w:rsid w:val="00A4749F"/>
    <w:rsid w:val="00A4765E"/>
    <w:rsid w:val="00A47879"/>
    <w:rsid w:val="00A51110"/>
    <w:rsid w:val="00A512EC"/>
    <w:rsid w:val="00A51EB0"/>
    <w:rsid w:val="00A5215C"/>
    <w:rsid w:val="00A5295C"/>
    <w:rsid w:val="00A52B01"/>
    <w:rsid w:val="00A5359D"/>
    <w:rsid w:val="00A53691"/>
    <w:rsid w:val="00A55570"/>
    <w:rsid w:val="00A55729"/>
    <w:rsid w:val="00A56113"/>
    <w:rsid w:val="00A5629E"/>
    <w:rsid w:val="00A56693"/>
    <w:rsid w:val="00A56717"/>
    <w:rsid w:val="00A5743C"/>
    <w:rsid w:val="00A57A2A"/>
    <w:rsid w:val="00A57FB8"/>
    <w:rsid w:val="00A60126"/>
    <w:rsid w:val="00A60347"/>
    <w:rsid w:val="00A60572"/>
    <w:rsid w:val="00A615FC"/>
    <w:rsid w:val="00A61621"/>
    <w:rsid w:val="00A616B8"/>
    <w:rsid w:val="00A61A78"/>
    <w:rsid w:val="00A61BC9"/>
    <w:rsid w:val="00A61D1C"/>
    <w:rsid w:val="00A61E07"/>
    <w:rsid w:val="00A61EE5"/>
    <w:rsid w:val="00A62081"/>
    <w:rsid w:val="00A62083"/>
    <w:rsid w:val="00A62330"/>
    <w:rsid w:val="00A62444"/>
    <w:rsid w:val="00A62F65"/>
    <w:rsid w:val="00A63B01"/>
    <w:rsid w:val="00A64789"/>
    <w:rsid w:val="00A64BD9"/>
    <w:rsid w:val="00A651AA"/>
    <w:rsid w:val="00A65378"/>
    <w:rsid w:val="00A65AF1"/>
    <w:rsid w:val="00A65C71"/>
    <w:rsid w:val="00A66242"/>
    <w:rsid w:val="00A66291"/>
    <w:rsid w:val="00A664C4"/>
    <w:rsid w:val="00A665BB"/>
    <w:rsid w:val="00A66E57"/>
    <w:rsid w:val="00A670E1"/>
    <w:rsid w:val="00A675DA"/>
    <w:rsid w:val="00A705EF"/>
    <w:rsid w:val="00A70B38"/>
    <w:rsid w:val="00A70DE1"/>
    <w:rsid w:val="00A7169B"/>
    <w:rsid w:val="00A7179E"/>
    <w:rsid w:val="00A71C30"/>
    <w:rsid w:val="00A725A3"/>
    <w:rsid w:val="00A7351F"/>
    <w:rsid w:val="00A73E52"/>
    <w:rsid w:val="00A7423B"/>
    <w:rsid w:val="00A744B1"/>
    <w:rsid w:val="00A74647"/>
    <w:rsid w:val="00A751B1"/>
    <w:rsid w:val="00A75AD9"/>
    <w:rsid w:val="00A75B3D"/>
    <w:rsid w:val="00A75B69"/>
    <w:rsid w:val="00A75CE6"/>
    <w:rsid w:val="00A75D1B"/>
    <w:rsid w:val="00A7667A"/>
    <w:rsid w:val="00A7686B"/>
    <w:rsid w:val="00A76B01"/>
    <w:rsid w:val="00A80CB6"/>
    <w:rsid w:val="00A81AA2"/>
    <w:rsid w:val="00A81DF3"/>
    <w:rsid w:val="00A82897"/>
    <w:rsid w:val="00A828B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6DE"/>
    <w:rsid w:val="00A87E56"/>
    <w:rsid w:val="00A9082B"/>
    <w:rsid w:val="00A908D7"/>
    <w:rsid w:val="00A90C64"/>
    <w:rsid w:val="00A90C76"/>
    <w:rsid w:val="00A912A2"/>
    <w:rsid w:val="00A914B2"/>
    <w:rsid w:val="00A91D4F"/>
    <w:rsid w:val="00A91DE4"/>
    <w:rsid w:val="00A924DE"/>
    <w:rsid w:val="00A925F6"/>
    <w:rsid w:val="00A92A8A"/>
    <w:rsid w:val="00A92E5C"/>
    <w:rsid w:val="00A9375A"/>
    <w:rsid w:val="00A93D9A"/>
    <w:rsid w:val="00A944FC"/>
    <w:rsid w:val="00A947AB"/>
    <w:rsid w:val="00A9486B"/>
    <w:rsid w:val="00A94ADA"/>
    <w:rsid w:val="00A95E1A"/>
    <w:rsid w:val="00A96165"/>
    <w:rsid w:val="00A9691F"/>
    <w:rsid w:val="00A97120"/>
    <w:rsid w:val="00A97915"/>
    <w:rsid w:val="00A97D99"/>
    <w:rsid w:val="00A97EED"/>
    <w:rsid w:val="00A97F41"/>
    <w:rsid w:val="00AA0098"/>
    <w:rsid w:val="00AA00E4"/>
    <w:rsid w:val="00AA077F"/>
    <w:rsid w:val="00AA10DC"/>
    <w:rsid w:val="00AA1635"/>
    <w:rsid w:val="00AA208A"/>
    <w:rsid w:val="00AA28CA"/>
    <w:rsid w:val="00AA2906"/>
    <w:rsid w:val="00AA2A84"/>
    <w:rsid w:val="00AA3692"/>
    <w:rsid w:val="00AA38BA"/>
    <w:rsid w:val="00AA4048"/>
    <w:rsid w:val="00AA46A0"/>
    <w:rsid w:val="00AA486E"/>
    <w:rsid w:val="00AA558E"/>
    <w:rsid w:val="00AA5898"/>
    <w:rsid w:val="00AA5F3F"/>
    <w:rsid w:val="00AA5F66"/>
    <w:rsid w:val="00AA6298"/>
    <w:rsid w:val="00AA63CB"/>
    <w:rsid w:val="00AA7A54"/>
    <w:rsid w:val="00AB00ED"/>
    <w:rsid w:val="00AB05DA"/>
    <w:rsid w:val="00AB0AC1"/>
    <w:rsid w:val="00AB0D06"/>
    <w:rsid w:val="00AB15CA"/>
    <w:rsid w:val="00AB1E5A"/>
    <w:rsid w:val="00AB267D"/>
    <w:rsid w:val="00AB3E57"/>
    <w:rsid w:val="00AB46C5"/>
    <w:rsid w:val="00AB4D87"/>
    <w:rsid w:val="00AB57A6"/>
    <w:rsid w:val="00AB604F"/>
    <w:rsid w:val="00AB666B"/>
    <w:rsid w:val="00AB794E"/>
    <w:rsid w:val="00AC0110"/>
    <w:rsid w:val="00AC0199"/>
    <w:rsid w:val="00AC063E"/>
    <w:rsid w:val="00AC0C1A"/>
    <w:rsid w:val="00AC103B"/>
    <w:rsid w:val="00AC11FE"/>
    <w:rsid w:val="00AC143E"/>
    <w:rsid w:val="00AC1493"/>
    <w:rsid w:val="00AC153D"/>
    <w:rsid w:val="00AC28FA"/>
    <w:rsid w:val="00AC3066"/>
    <w:rsid w:val="00AC3610"/>
    <w:rsid w:val="00AC3E62"/>
    <w:rsid w:val="00AC3EB0"/>
    <w:rsid w:val="00AC42A0"/>
    <w:rsid w:val="00AC4673"/>
    <w:rsid w:val="00AC48BF"/>
    <w:rsid w:val="00AC54FD"/>
    <w:rsid w:val="00AC63DB"/>
    <w:rsid w:val="00AC64C5"/>
    <w:rsid w:val="00AC6539"/>
    <w:rsid w:val="00AC6706"/>
    <w:rsid w:val="00AC6DFD"/>
    <w:rsid w:val="00AC7CD5"/>
    <w:rsid w:val="00AC7D03"/>
    <w:rsid w:val="00AC7E56"/>
    <w:rsid w:val="00AD038A"/>
    <w:rsid w:val="00AD1131"/>
    <w:rsid w:val="00AD1404"/>
    <w:rsid w:val="00AD1CF7"/>
    <w:rsid w:val="00AD1D80"/>
    <w:rsid w:val="00AD2159"/>
    <w:rsid w:val="00AD36CE"/>
    <w:rsid w:val="00AD3D95"/>
    <w:rsid w:val="00AD439A"/>
    <w:rsid w:val="00AD456B"/>
    <w:rsid w:val="00AD521D"/>
    <w:rsid w:val="00AD5262"/>
    <w:rsid w:val="00AD5605"/>
    <w:rsid w:val="00AD59B3"/>
    <w:rsid w:val="00AD5AEC"/>
    <w:rsid w:val="00AD60B6"/>
    <w:rsid w:val="00AD6738"/>
    <w:rsid w:val="00AD6C98"/>
    <w:rsid w:val="00AD7658"/>
    <w:rsid w:val="00AD7AE4"/>
    <w:rsid w:val="00AE19FA"/>
    <w:rsid w:val="00AE25E4"/>
    <w:rsid w:val="00AE328B"/>
    <w:rsid w:val="00AE3FA8"/>
    <w:rsid w:val="00AE3FA9"/>
    <w:rsid w:val="00AE4CF8"/>
    <w:rsid w:val="00AE4D15"/>
    <w:rsid w:val="00AE5E82"/>
    <w:rsid w:val="00AE68C4"/>
    <w:rsid w:val="00AE6968"/>
    <w:rsid w:val="00AE6E64"/>
    <w:rsid w:val="00AE6FE9"/>
    <w:rsid w:val="00AE768F"/>
    <w:rsid w:val="00AE7D91"/>
    <w:rsid w:val="00AF13B4"/>
    <w:rsid w:val="00AF15CA"/>
    <w:rsid w:val="00AF15E0"/>
    <w:rsid w:val="00AF1711"/>
    <w:rsid w:val="00AF226B"/>
    <w:rsid w:val="00AF3597"/>
    <w:rsid w:val="00AF3E62"/>
    <w:rsid w:val="00AF400D"/>
    <w:rsid w:val="00AF418B"/>
    <w:rsid w:val="00AF4752"/>
    <w:rsid w:val="00AF6418"/>
    <w:rsid w:val="00AF6443"/>
    <w:rsid w:val="00AF693B"/>
    <w:rsid w:val="00AF729B"/>
    <w:rsid w:val="00AF7602"/>
    <w:rsid w:val="00AF76D7"/>
    <w:rsid w:val="00AF789D"/>
    <w:rsid w:val="00B00584"/>
    <w:rsid w:val="00B0177A"/>
    <w:rsid w:val="00B0179E"/>
    <w:rsid w:val="00B0182C"/>
    <w:rsid w:val="00B01CC3"/>
    <w:rsid w:val="00B025FE"/>
    <w:rsid w:val="00B027DB"/>
    <w:rsid w:val="00B02FC0"/>
    <w:rsid w:val="00B03676"/>
    <w:rsid w:val="00B04258"/>
    <w:rsid w:val="00B04968"/>
    <w:rsid w:val="00B049B6"/>
    <w:rsid w:val="00B04BC9"/>
    <w:rsid w:val="00B06113"/>
    <w:rsid w:val="00B06331"/>
    <w:rsid w:val="00B06B53"/>
    <w:rsid w:val="00B06ED8"/>
    <w:rsid w:val="00B0712C"/>
    <w:rsid w:val="00B075BF"/>
    <w:rsid w:val="00B07EDC"/>
    <w:rsid w:val="00B10070"/>
    <w:rsid w:val="00B10241"/>
    <w:rsid w:val="00B10839"/>
    <w:rsid w:val="00B11051"/>
    <w:rsid w:val="00B1130D"/>
    <w:rsid w:val="00B113D4"/>
    <w:rsid w:val="00B1332F"/>
    <w:rsid w:val="00B1393B"/>
    <w:rsid w:val="00B13C8E"/>
    <w:rsid w:val="00B13E81"/>
    <w:rsid w:val="00B13F2B"/>
    <w:rsid w:val="00B147C8"/>
    <w:rsid w:val="00B14B3D"/>
    <w:rsid w:val="00B14CC5"/>
    <w:rsid w:val="00B15A0A"/>
    <w:rsid w:val="00B15F50"/>
    <w:rsid w:val="00B16023"/>
    <w:rsid w:val="00B16C06"/>
    <w:rsid w:val="00B172A4"/>
    <w:rsid w:val="00B17FBE"/>
    <w:rsid w:val="00B204C7"/>
    <w:rsid w:val="00B20A27"/>
    <w:rsid w:val="00B20EF4"/>
    <w:rsid w:val="00B21098"/>
    <w:rsid w:val="00B21818"/>
    <w:rsid w:val="00B21A39"/>
    <w:rsid w:val="00B21B2B"/>
    <w:rsid w:val="00B21BE1"/>
    <w:rsid w:val="00B21D8C"/>
    <w:rsid w:val="00B223FC"/>
    <w:rsid w:val="00B2242F"/>
    <w:rsid w:val="00B22463"/>
    <w:rsid w:val="00B224B1"/>
    <w:rsid w:val="00B22A5A"/>
    <w:rsid w:val="00B22F4A"/>
    <w:rsid w:val="00B2372E"/>
    <w:rsid w:val="00B23A6E"/>
    <w:rsid w:val="00B23E69"/>
    <w:rsid w:val="00B24F99"/>
    <w:rsid w:val="00B25106"/>
    <w:rsid w:val="00B2665D"/>
    <w:rsid w:val="00B26730"/>
    <w:rsid w:val="00B27234"/>
    <w:rsid w:val="00B2744C"/>
    <w:rsid w:val="00B274CA"/>
    <w:rsid w:val="00B27638"/>
    <w:rsid w:val="00B276B7"/>
    <w:rsid w:val="00B27AE2"/>
    <w:rsid w:val="00B27CE8"/>
    <w:rsid w:val="00B27DE9"/>
    <w:rsid w:val="00B27EB0"/>
    <w:rsid w:val="00B27FD9"/>
    <w:rsid w:val="00B30B47"/>
    <w:rsid w:val="00B30B84"/>
    <w:rsid w:val="00B314AA"/>
    <w:rsid w:val="00B316ED"/>
    <w:rsid w:val="00B3232B"/>
    <w:rsid w:val="00B325F8"/>
    <w:rsid w:val="00B328EE"/>
    <w:rsid w:val="00B32A90"/>
    <w:rsid w:val="00B33C0B"/>
    <w:rsid w:val="00B343CA"/>
    <w:rsid w:val="00B34A2A"/>
    <w:rsid w:val="00B34DF5"/>
    <w:rsid w:val="00B356AF"/>
    <w:rsid w:val="00B35A95"/>
    <w:rsid w:val="00B35ABF"/>
    <w:rsid w:val="00B35CC1"/>
    <w:rsid w:val="00B35E39"/>
    <w:rsid w:val="00B36661"/>
    <w:rsid w:val="00B36CC5"/>
    <w:rsid w:val="00B37F6D"/>
    <w:rsid w:val="00B40505"/>
    <w:rsid w:val="00B4062D"/>
    <w:rsid w:val="00B40A6A"/>
    <w:rsid w:val="00B41486"/>
    <w:rsid w:val="00B416BA"/>
    <w:rsid w:val="00B41C17"/>
    <w:rsid w:val="00B41DE9"/>
    <w:rsid w:val="00B42A16"/>
    <w:rsid w:val="00B42C27"/>
    <w:rsid w:val="00B43C8A"/>
    <w:rsid w:val="00B443F1"/>
    <w:rsid w:val="00B44FF4"/>
    <w:rsid w:val="00B45E94"/>
    <w:rsid w:val="00B45EF8"/>
    <w:rsid w:val="00B46124"/>
    <w:rsid w:val="00B462D7"/>
    <w:rsid w:val="00B4661E"/>
    <w:rsid w:val="00B47038"/>
    <w:rsid w:val="00B476DF"/>
    <w:rsid w:val="00B47D32"/>
    <w:rsid w:val="00B50706"/>
    <w:rsid w:val="00B513F9"/>
    <w:rsid w:val="00B51F90"/>
    <w:rsid w:val="00B5219E"/>
    <w:rsid w:val="00B52619"/>
    <w:rsid w:val="00B530A8"/>
    <w:rsid w:val="00B5312F"/>
    <w:rsid w:val="00B53437"/>
    <w:rsid w:val="00B53565"/>
    <w:rsid w:val="00B5395C"/>
    <w:rsid w:val="00B53BC0"/>
    <w:rsid w:val="00B53DE0"/>
    <w:rsid w:val="00B548E4"/>
    <w:rsid w:val="00B54B02"/>
    <w:rsid w:val="00B54DA9"/>
    <w:rsid w:val="00B55A81"/>
    <w:rsid w:val="00B55B1A"/>
    <w:rsid w:val="00B55B45"/>
    <w:rsid w:val="00B55E02"/>
    <w:rsid w:val="00B568F6"/>
    <w:rsid w:val="00B5711D"/>
    <w:rsid w:val="00B57192"/>
    <w:rsid w:val="00B57B57"/>
    <w:rsid w:val="00B60E03"/>
    <w:rsid w:val="00B6210E"/>
    <w:rsid w:val="00B634C1"/>
    <w:rsid w:val="00B636E3"/>
    <w:rsid w:val="00B63F97"/>
    <w:rsid w:val="00B64314"/>
    <w:rsid w:val="00B648B1"/>
    <w:rsid w:val="00B65538"/>
    <w:rsid w:val="00B66A43"/>
    <w:rsid w:val="00B672D2"/>
    <w:rsid w:val="00B675EB"/>
    <w:rsid w:val="00B67BF2"/>
    <w:rsid w:val="00B70413"/>
    <w:rsid w:val="00B70745"/>
    <w:rsid w:val="00B70BF2"/>
    <w:rsid w:val="00B71476"/>
    <w:rsid w:val="00B719EB"/>
    <w:rsid w:val="00B71D64"/>
    <w:rsid w:val="00B72042"/>
    <w:rsid w:val="00B72795"/>
    <w:rsid w:val="00B729D2"/>
    <w:rsid w:val="00B72D4A"/>
    <w:rsid w:val="00B732DD"/>
    <w:rsid w:val="00B738B6"/>
    <w:rsid w:val="00B73B59"/>
    <w:rsid w:val="00B74C22"/>
    <w:rsid w:val="00B75635"/>
    <w:rsid w:val="00B758C5"/>
    <w:rsid w:val="00B75E21"/>
    <w:rsid w:val="00B7633A"/>
    <w:rsid w:val="00B76B6E"/>
    <w:rsid w:val="00B76EA0"/>
    <w:rsid w:val="00B776E9"/>
    <w:rsid w:val="00B800F1"/>
    <w:rsid w:val="00B802B3"/>
    <w:rsid w:val="00B81E9F"/>
    <w:rsid w:val="00B82FEB"/>
    <w:rsid w:val="00B841A8"/>
    <w:rsid w:val="00B84F4E"/>
    <w:rsid w:val="00B8534B"/>
    <w:rsid w:val="00B856BA"/>
    <w:rsid w:val="00B85F9A"/>
    <w:rsid w:val="00B86CAB"/>
    <w:rsid w:val="00B86E04"/>
    <w:rsid w:val="00B870BA"/>
    <w:rsid w:val="00B8782D"/>
    <w:rsid w:val="00B87C94"/>
    <w:rsid w:val="00B87DC1"/>
    <w:rsid w:val="00B90E17"/>
    <w:rsid w:val="00B91450"/>
    <w:rsid w:val="00B9190F"/>
    <w:rsid w:val="00B919A4"/>
    <w:rsid w:val="00B9267F"/>
    <w:rsid w:val="00B93146"/>
    <w:rsid w:val="00B932D2"/>
    <w:rsid w:val="00B93BD3"/>
    <w:rsid w:val="00B93BED"/>
    <w:rsid w:val="00B93CF1"/>
    <w:rsid w:val="00B94719"/>
    <w:rsid w:val="00B94E6B"/>
    <w:rsid w:val="00B94EC7"/>
    <w:rsid w:val="00B950DE"/>
    <w:rsid w:val="00B95179"/>
    <w:rsid w:val="00B95393"/>
    <w:rsid w:val="00B954E4"/>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F5D"/>
    <w:rsid w:val="00BA23AA"/>
    <w:rsid w:val="00BA267F"/>
    <w:rsid w:val="00BA32EF"/>
    <w:rsid w:val="00BA3501"/>
    <w:rsid w:val="00BA502D"/>
    <w:rsid w:val="00BA596B"/>
    <w:rsid w:val="00BA5BDC"/>
    <w:rsid w:val="00BA5D42"/>
    <w:rsid w:val="00BA615F"/>
    <w:rsid w:val="00BA741E"/>
    <w:rsid w:val="00BA79AD"/>
    <w:rsid w:val="00BB0018"/>
    <w:rsid w:val="00BB1A82"/>
    <w:rsid w:val="00BB1B7C"/>
    <w:rsid w:val="00BB1B91"/>
    <w:rsid w:val="00BB1C74"/>
    <w:rsid w:val="00BB2293"/>
    <w:rsid w:val="00BB23EB"/>
    <w:rsid w:val="00BB2DD1"/>
    <w:rsid w:val="00BB2F70"/>
    <w:rsid w:val="00BB3162"/>
    <w:rsid w:val="00BB31D2"/>
    <w:rsid w:val="00BB3790"/>
    <w:rsid w:val="00BB464D"/>
    <w:rsid w:val="00BB4881"/>
    <w:rsid w:val="00BB49E7"/>
    <w:rsid w:val="00BB4A5D"/>
    <w:rsid w:val="00BB4B5F"/>
    <w:rsid w:val="00BB4FC2"/>
    <w:rsid w:val="00BB5160"/>
    <w:rsid w:val="00BB51B2"/>
    <w:rsid w:val="00BB5223"/>
    <w:rsid w:val="00BB52E1"/>
    <w:rsid w:val="00BB5725"/>
    <w:rsid w:val="00BB7122"/>
    <w:rsid w:val="00BB739E"/>
    <w:rsid w:val="00BB7B62"/>
    <w:rsid w:val="00BB7C77"/>
    <w:rsid w:val="00BC13FA"/>
    <w:rsid w:val="00BC1AD3"/>
    <w:rsid w:val="00BC1B4B"/>
    <w:rsid w:val="00BC24D8"/>
    <w:rsid w:val="00BC308C"/>
    <w:rsid w:val="00BC34F6"/>
    <w:rsid w:val="00BC38F7"/>
    <w:rsid w:val="00BC4B80"/>
    <w:rsid w:val="00BC5211"/>
    <w:rsid w:val="00BC5274"/>
    <w:rsid w:val="00BC600D"/>
    <w:rsid w:val="00BC6940"/>
    <w:rsid w:val="00BC6E1B"/>
    <w:rsid w:val="00BC746C"/>
    <w:rsid w:val="00BD0261"/>
    <w:rsid w:val="00BD11BF"/>
    <w:rsid w:val="00BD1363"/>
    <w:rsid w:val="00BD13E4"/>
    <w:rsid w:val="00BD185D"/>
    <w:rsid w:val="00BD185E"/>
    <w:rsid w:val="00BD222E"/>
    <w:rsid w:val="00BD2330"/>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E0726"/>
    <w:rsid w:val="00BE0AD6"/>
    <w:rsid w:val="00BE0E89"/>
    <w:rsid w:val="00BE1021"/>
    <w:rsid w:val="00BE10EB"/>
    <w:rsid w:val="00BE1723"/>
    <w:rsid w:val="00BE2022"/>
    <w:rsid w:val="00BE22FB"/>
    <w:rsid w:val="00BE2D02"/>
    <w:rsid w:val="00BE30E0"/>
    <w:rsid w:val="00BE3674"/>
    <w:rsid w:val="00BE49E6"/>
    <w:rsid w:val="00BE4C59"/>
    <w:rsid w:val="00BE5091"/>
    <w:rsid w:val="00BE528E"/>
    <w:rsid w:val="00BE5615"/>
    <w:rsid w:val="00BE5718"/>
    <w:rsid w:val="00BE58C1"/>
    <w:rsid w:val="00BE596F"/>
    <w:rsid w:val="00BE5BC2"/>
    <w:rsid w:val="00BE5C61"/>
    <w:rsid w:val="00BE68CC"/>
    <w:rsid w:val="00BE6FCE"/>
    <w:rsid w:val="00BE7423"/>
    <w:rsid w:val="00BF03C6"/>
    <w:rsid w:val="00BF05BB"/>
    <w:rsid w:val="00BF1055"/>
    <w:rsid w:val="00BF1228"/>
    <w:rsid w:val="00BF1F0F"/>
    <w:rsid w:val="00BF224F"/>
    <w:rsid w:val="00BF2F20"/>
    <w:rsid w:val="00BF32FC"/>
    <w:rsid w:val="00BF3829"/>
    <w:rsid w:val="00BF3968"/>
    <w:rsid w:val="00BF3C4E"/>
    <w:rsid w:val="00BF3EB0"/>
    <w:rsid w:val="00BF4227"/>
    <w:rsid w:val="00BF4710"/>
    <w:rsid w:val="00BF4886"/>
    <w:rsid w:val="00BF4934"/>
    <w:rsid w:val="00BF4DAC"/>
    <w:rsid w:val="00BF5495"/>
    <w:rsid w:val="00BF57D1"/>
    <w:rsid w:val="00BF7490"/>
    <w:rsid w:val="00BF7722"/>
    <w:rsid w:val="00C00A38"/>
    <w:rsid w:val="00C00B46"/>
    <w:rsid w:val="00C00C2D"/>
    <w:rsid w:val="00C00D9A"/>
    <w:rsid w:val="00C01B09"/>
    <w:rsid w:val="00C027FF"/>
    <w:rsid w:val="00C02E3F"/>
    <w:rsid w:val="00C03F5E"/>
    <w:rsid w:val="00C04356"/>
    <w:rsid w:val="00C04575"/>
    <w:rsid w:val="00C04E35"/>
    <w:rsid w:val="00C050C6"/>
    <w:rsid w:val="00C05EAF"/>
    <w:rsid w:val="00C061DB"/>
    <w:rsid w:val="00C06630"/>
    <w:rsid w:val="00C06A0F"/>
    <w:rsid w:val="00C06B69"/>
    <w:rsid w:val="00C06BC8"/>
    <w:rsid w:val="00C06CD5"/>
    <w:rsid w:val="00C070B7"/>
    <w:rsid w:val="00C07261"/>
    <w:rsid w:val="00C0729F"/>
    <w:rsid w:val="00C07F78"/>
    <w:rsid w:val="00C10AD4"/>
    <w:rsid w:val="00C10C6A"/>
    <w:rsid w:val="00C11704"/>
    <w:rsid w:val="00C12082"/>
    <w:rsid w:val="00C12509"/>
    <w:rsid w:val="00C1269C"/>
    <w:rsid w:val="00C1441F"/>
    <w:rsid w:val="00C14810"/>
    <w:rsid w:val="00C14D53"/>
    <w:rsid w:val="00C15814"/>
    <w:rsid w:val="00C15E7E"/>
    <w:rsid w:val="00C15FAC"/>
    <w:rsid w:val="00C168B2"/>
    <w:rsid w:val="00C16B9C"/>
    <w:rsid w:val="00C206E7"/>
    <w:rsid w:val="00C21087"/>
    <w:rsid w:val="00C2264D"/>
    <w:rsid w:val="00C23FD6"/>
    <w:rsid w:val="00C23FD9"/>
    <w:rsid w:val="00C24CE2"/>
    <w:rsid w:val="00C24E32"/>
    <w:rsid w:val="00C25F1E"/>
    <w:rsid w:val="00C26508"/>
    <w:rsid w:val="00C2748D"/>
    <w:rsid w:val="00C30752"/>
    <w:rsid w:val="00C30C46"/>
    <w:rsid w:val="00C30D39"/>
    <w:rsid w:val="00C312D7"/>
    <w:rsid w:val="00C313EB"/>
    <w:rsid w:val="00C319F2"/>
    <w:rsid w:val="00C31C39"/>
    <w:rsid w:val="00C32B24"/>
    <w:rsid w:val="00C333CD"/>
    <w:rsid w:val="00C33498"/>
    <w:rsid w:val="00C33721"/>
    <w:rsid w:val="00C341FA"/>
    <w:rsid w:val="00C34493"/>
    <w:rsid w:val="00C344AE"/>
    <w:rsid w:val="00C36D50"/>
    <w:rsid w:val="00C37294"/>
    <w:rsid w:val="00C37370"/>
    <w:rsid w:val="00C3760B"/>
    <w:rsid w:val="00C37689"/>
    <w:rsid w:val="00C37870"/>
    <w:rsid w:val="00C37A7E"/>
    <w:rsid w:val="00C40C65"/>
    <w:rsid w:val="00C40D46"/>
    <w:rsid w:val="00C4185C"/>
    <w:rsid w:val="00C418D7"/>
    <w:rsid w:val="00C41D8D"/>
    <w:rsid w:val="00C42349"/>
    <w:rsid w:val="00C42474"/>
    <w:rsid w:val="00C42D1E"/>
    <w:rsid w:val="00C43E1C"/>
    <w:rsid w:val="00C442B1"/>
    <w:rsid w:val="00C4467C"/>
    <w:rsid w:val="00C44A3D"/>
    <w:rsid w:val="00C44C3C"/>
    <w:rsid w:val="00C4541A"/>
    <w:rsid w:val="00C45A08"/>
    <w:rsid w:val="00C45D7C"/>
    <w:rsid w:val="00C466CC"/>
    <w:rsid w:val="00C46D2C"/>
    <w:rsid w:val="00C46E22"/>
    <w:rsid w:val="00C473CE"/>
    <w:rsid w:val="00C47607"/>
    <w:rsid w:val="00C4768B"/>
    <w:rsid w:val="00C477C3"/>
    <w:rsid w:val="00C4786C"/>
    <w:rsid w:val="00C47A5B"/>
    <w:rsid w:val="00C47E46"/>
    <w:rsid w:val="00C50AF3"/>
    <w:rsid w:val="00C5109D"/>
    <w:rsid w:val="00C51570"/>
    <w:rsid w:val="00C51DA3"/>
    <w:rsid w:val="00C522F1"/>
    <w:rsid w:val="00C52444"/>
    <w:rsid w:val="00C52C87"/>
    <w:rsid w:val="00C53009"/>
    <w:rsid w:val="00C53B2C"/>
    <w:rsid w:val="00C545E3"/>
    <w:rsid w:val="00C546CB"/>
    <w:rsid w:val="00C558EC"/>
    <w:rsid w:val="00C55A2A"/>
    <w:rsid w:val="00C55E92"/>
    <w:rsid w:val="00C56665"/>
    <w:rsid w:val="00C56733"/>
    <w:rsid w:val="00C56D5F"/>
    <w:rsid w:val="00C56F8F"/>
    <w:rsid w:val="00C57CCE"/>
    <w:rsid w:val="00C60478"/>
    <w:rsid w:val="00C607BC"/>
    <w:rsid w:val="00C610FA"/>
    <w:rsid w:val="00C616D4"/>
    <w:rsid w:val="00C6186F"/>
    <w:rsid w:val="00C61E56"/>
    <w:rsid w:val="00C62026"/>
    <w:rsid w:val="00C6237F"/>
    <w:rsid w:val="00C625FF"/>
    <w:rsid w:val="00C62A30"/>
    <w:rsid w:val="00C62E9D"/>
    <w:rsid w:val="00C6308F"/>
    <w:rsid w:val="00C631C0"/>
    <w:rsid w:val="00C63A19"/>
    <w:rsid w:val="00C63BC5"/>
    <w:rsid w:val="00C63C44"/>
    <w:rsid w:val="00C63DB3"/>
    <w:rsid w:val="00C63DC0"/>
    <w:rsid w:val="00C64086"/>
    <w:rsid w:val="00C642E7"/>
    <w:rsid w:val="00C64590"/>
    <w:rsid w:val="00C657B8"/>
    <w:rsid w:val="00C65889"/>
    <w:rsid w:val="00C65BA4"/>
    <w:rsid w:val="00C667AA"/>
    <w:rsid w:val="00C669C5"/>
    <w:rsid w:val="00C66F80"/>
    <w:rsid w:val="00C67ADE"/>
    <w:rsid w:val="00C70308"/>
    <w:rsid w:val="00C704B7"/>
    <w:rsid w:val="00C70A67"/>
    <w:rsid w:val="00C70E5F"/>
    <w:rsid w:val="00C70F80"/>
    <w:rsid w:val="00C70FF3"/>
    <w:rsid w:val="00C71882"/>
    <w:rsid w:val="00C71E46"/>
    <w:rsid w:val="00C71E89"/>
    <w:rsid w:val="00C71F81"/>
    <w:rsid w:val="00C72F04"/>
    <w:rsid w:val="00C73466"/>
    <w:rsid w:val="00C73A2E"/>
    <w:rsid w:val="00C74E92"/>
    <w:rsid w:val="00C74FCC"/>
    <w:rsid w:val="00C752D3"/>
    <w:rsid w:val="00C75744"/>
    <w:rsid w:val="00C75CAC"/>
    <w:rsid w:val="00C75DBE"/>
    <w:rsid w:val="00C767B1"/>
    <w:rsid w:val="00C76804"/>
    <w:rsid w:val="00C76875"/>
    <w:rsid w:val="00C76876"/>
    <w:rsid w:val="00C76C28"/>
    <w:rsid w:val="00C76E5D"/>
    <w:rsid w:val="00C7760C"/>
    <w:rsid w:val="00C778B8"/>
    <w:rsid w:val="00C800BA"/>
    <w:rsid w:val="00C802FB"/>
    <w:rsid w:val="00C805F5"/>
    <w:rsid w:val="00C806FC"/>
    <w:rsid w:val="00C815F8"/>
    <w:rsid w:val="00C818EB"/>
    <w:rsid w:val="00C818EC"/>
    <w:rsid w:val="00C823BB"/>
    <w:rsid w:val="00C82AD3"/>
    <w:rsid w:val="00C83398"/>
    <w:rsid w:val="00C837D2"/>
    <w:rsid w:val="00C83980"/>
    <w:rsid w:val="00C83CC3"/>
    <w:rsid w:val="00C845DE"/>
    <w:rsid w:val="00C84C60"/>
    <w:rsid w:val="00C85A2A"/>
    <w:rsid w:val="00C86233"/>
    <w:rsid w:val="00C86518"/>
    <w:rsid w:val="00C867C8"/>
    <w:rsid w:val="00C86AF5"/>
    <w:rsid w:val="00C86D44"/>
    <w:rsid w:val="00C8725C"/>
    <w:rsid w:val="00C874EC"/>
    <w:rsid w:val="00C875C2"/>
    <w:rsid w:val="00C87F5A"/>
    <w:rsid w:val="00C90638"/>
    <w:rsid w:val="00C90D06"/>
    <w:rsid w:val="00C9100B"/>
    <w:rsid w:val="00C916B4"/>
    <w:rsid w:val="00C92021"/>
    <w:rsid w:val="00C921A5"/>
    <w:rsid w:val="00C92D44"/>
    <w:rsid w:val="00C92E2B"/>
    <w:rsid w:val="00C932B5"/>
    <w:rsid w:val="00C94217"/>
    <w:rsid w:val="00C943EE"/>
    <w:rsid w:val="00C946CB"/>
    <w:rsid w:val="00C94C79"/>
    <w:rsid w:val="00C952B8"/>
    <w:rsid w:val="00C959E2"/>
    <w:rsid w:val="00C95F58"/>
    <w:rsid w:val="00C96B43"/>
    <w:rsid w:val="00C96FE7"/>
    <w:rsid w:val="00C97A8A"/>
    <w:rsid w:val="00C97B45"/>
    <w:rsid w:val="00C97BD7"/>
    <w:rsid w:val="00C97D85"/>
    <w:rsid w:val="00CA02EF"/>
    <w:rsid w:val="00CA0785"/>
    <w:rsid w:val="00CA095E"/>
    <w:rsid w:val="00CA11C0"/>
    <w:rsid w:val="00CA17B2"/>
    <w:rsid w:val="00CA1BE5"/>
    <w:rsid w:val="00CA1F66"/>
    <w:rsid w:val="00CA2036"/>
    <w:rsid w:val="00CA2661"/>
    <w:rsid w:val="00CA2AD0"/>
    <w:rsid w:val="00CA2CD5"/>
    <w:rsid w:val="00CA3C9D"/>
    <w:rsid w:val="00CA59F6"/>
    <w:rsid w:val="00CA5F15"/>
    <w:rsid w:val="00CA687D"/>
    <w:rsid w:val="00CA6D16"/>
    <w:rsid w:val="00CA6D75"/>
    <w:rsid w:val="00CA6DB4"/>
    <w:rsid w:val="00CA6EFE"/>
    <w:rsid w:val="00CA7FC1"/>
    <w:rsid w:val="00CB056D"/>
    <w:rsid w:val="00CB07F8"/>
    <w:rsid w:val="00CB0855"/>
    <w:rsid w:val="00CB0877"/>
    <w:rsid w:val="00CB16A1"/>
    <w:rsid w:val="00CB170A"/>
    <w:rsid w:val="00CB1804"/>
    <w:rsid w:val="00CB19EC"/>
    <w:rsid w:val="00CB1D52"/>
    <w:rsid w:val="00CB2168"/>
    <w:rsid w:val="00CB303E"/>
    <w:rsid w:val="00CB3732"/>
    <w:rsid w:val="00CB37EB"/>
    <w:rsid w:val="00CB3E62"/>
    <w:rsid w:val="00CB4267"/>
    <w:rsid w:val="00CB4877"/>
    <w:rsid w:val="00CB4FA1"/>
    <w:rsid w:val="00CB5645"/>
    <w:rsid w:val="00CB6AD5"/>
    <w:rsid w:val="00CB6BB0"/>
    <w:rsid w:val="00CB6DDD"/>
    <w:rsid w:val="00CB6F13"/>
    <w:rsid w:val="00CB72B6"/>
    <w:rsid w:val="00CB7329"/>
    <w:rsid w:val="00CB7AB1"/>
    <w:rsid w:val="00CB7C58"/>
    <w:rsid w:val="00CC05C8"/>
    <w:rsid w:val="00CC1329"/>
    <w:rsid w:val="00CC14AF"/>
    <w:rsid w:val="00CC19A6"/>
    <w:rsid w:val="00CC28FC"/>
    <w:rsid w:val="00CC2DD0"/>
    <w:rsid w:val="00CC327F"/>
    <w:rsid w:val="00CC3B03"/>
    <w:rsid w:val="00CC5725"/>
    <w:rsid w:val="00CC5EE5"/>
    <w:rsid w:val="00CC660C"/>
    <w:rsid w:val="00CC6957"/>
    <w:rsid w:val="00CC6F72"/>
    <w:rsid w:val="00CC768B"/>
    <w:rsid w:val="00CC76F1"/>
    <w:rsid w:val="00CC7BD9"/>
    <w:rsid w:val="00CD03B4"/>
    <w:rsid w:val="00CD09CE"/>
    <w:rsid w:val="00CD09F1"/>
    <w:rsid w:val="00CD1226"/>
    <w:rsid w:val="00CD1452"/>
    <w:rsid w:val="00CD17D1"/>
    <w:rsid w:val="00CD1C54"/>
    <w:rsid w:val="00CD228C"/>
    <w:rsid w:val="00CD29CB"/>
    <w:rsid w:val="00CD2CF6"/>
    <w:rsid w:val="00CD300C"/>
    <w:rsid w:val="00CD3D59"/>
    <w:rsid w:val="00CD4EF6"/>
    <w:rsid w:val="00CD5200"/>
    <w:rsid w:val="00CD542B"/>
    <w:rsid w:val="00CD570E"/>
    <w:rsid w:val="00CD5963"/>
    <w:rsid w:val="00CD59D6"/>
    <w:rsid w:val="00CD633D"/>
    <w:rsid w:val="00CD6A91"/>
    <w:rsid w:val="00CD6E7E"/>
    <w:rsid w:val="00CD7127"/>
    <w:rsid w:val="00CD78F5"/>
    <w:rsid w:val="00CE0816"/>
    <w:rsid w:val="00CE0B49"/>
    <w:rsid w:val="00CE0D1E"/>
    <w:rsid w:val="00CE0D63"/>
    <w:rsid w:val="00CE122C"/>
    <w:rsid w:val="00CE1674"/>
    <w:rsid w:val="00CE342D"/>
    <w:rsid w:val="00CE37DC"/>
    <w:rsid w:val="00CE4222"/>
    <w:rsid w:val="00CE42CB"/>
    <w:rsid w:val="00CE4FA3"/>
    <w:rsid w:val="00CE5092"/>
    <w:rsid w:val="00CE542C"/>
    <w:rsid w:val="00CE5BB7"/>
    <w:rsid w:val="00CE609B"/>
    <w:rsid w:val="00CE617F"/>
    <w:rsid w:val="00CE63C9"/>
    <w:rsid w:val="00CE64D5"/>
    <w:rsid w:val="00CE66D4"/>
    <w:rsid w:val="00CE67E2"/>
    <w:rsid w:val="00CE6F19"/>
    <w:rsid w:val="00CE70BB"/>
    <w:rsid w:val="00CE7247"/>
    <w:rsid w:val="00CE739A"/>
    <w:rsid w:val="00CE762D"/>
    <w:rsid w:val="00CE7E1B"/>
    <w:rsid w:val="00CE7EF0"/>
    <w:rsid w:val="00CE7FCD"/>
    <w:rsid w:val="00CF0575"/>
    <w:rsid w:val="00CF060E"/>
    <w:rsid w:val="00CF0B37"/>
    <w:rsid w:val="00CF0BF6"/>
    <w:rsid w:val="00CF1B8E"/>
    <w:rsid w:val="00CF1CB1"/>
    <w:rsid w:val="00CF2235"/>
    <w:rsid w:val="00CF2AF9"/>
    <w:rsid w:val="00CF2FDB"/>
    <w:rsid w:val="00CF3C8E"/>
    <w:rsid w:val="00CF3EE7"/>
    <w:rsid w:val="00CF41F7"/>
    <w:rsid w:val="00CF460A"/>
    <w:rsid w:val="00CF46F5"/>
    <w:rsid w:val="00CF4870"/>
    <w:rsid w:val="00CF51BC"/>
    <w:rsid w:val="00CF5A65"/>
    <w:rsid w:val="00CF7180"/>
    <w:rsid w:val="00CF730D"/>
    <w:rsid w:val="00CF75F9"/>
    <w:rsid w:val="00CF7F1A"/>
    <w:rsid w:val="00D005FA"/>
    <w:rsid w:val="00D006C5"/>
    <w:rsid w:val="00D01028"/>
    <w:rsid w:val="00D01D97"/>
    <w:rsid w:val="00D02459"/>
    <w:rsid w:val="00D03A37"/>
    <w:rsid w:val="00D03A5F"/>
    <w:rsid w:val="00D03D79"/>
    <w:rsid w:val="00D03EE6"/>
    <w:rsid w:val="00D0468E"/>
    <w:rsid w:val="00D04E10"/>
    <w:rsid w:val="00D05524"/>
    <w:rsid w:val="00D0618B"/>
    <w:rsid w:val="00D076DC"/>
    <w:rsid w:val="00D07789"/>
    <w:rsid w:val="00D07BBA"/>
    <w:rsid w:val="00D07C53"/>
    <w:rsid w:val="00D07DE8"/>
    <w:rsid w:val="00D10BD5"/>
    <w:rsid w:val="00D10BE9"/>
    <w:rsid w:val="00D11763"/>
    <w:rsid w:val="00D11B3B"/>
    <w:rsid w:val="00D11FA1"/>
    <w:rsid w:val="00D12269"/>
    <w:rsid w:val="00D12A0B"/>
    <w:rsid w:val="00D12CEF"/>
    <w:rsid w:val="00D12CFB"/>
    <w:rsid w:val="00D12FAD"/>
    <w:rsid w:val="00D130B4"/>
    <w:rsid w:val="00D1364D"/>
    <w:rsid w:val="00D13B1D"/>
    <w:rsid w:val="00D144C7"/>
    <w:rsid w:val="00D14522"/>
    <w:rsid w:val="00D14B47"/>
    <w:rsid w:val="00D15B46"/>
    <w:rsid w:val="00D15CA7"/>
    <w:rsid w:val="00D170BF"/>
    <w:rsid w:val="00D172EC"/>
    <w:rsid w:val="00D174CD"/>
    <w:rsid w:val="00D17D9E"/>
    <w:rsid w:val="00D20F58"/>
    <w:rsid w:val="00D21AAC"/>
    <w:rsid w:val="00D21BC4"/>
    <w:rsid w:val="00D21CC2"/>
    <w:rsid w:val="00D21D9D"/>
    <w:rsid w:val="00D223AF"/>
    <w:rsid w:val="00D223C6"/>
    <w:rsid w:val="00D22516"/>
    <w:rsid w:val="00D228F5"/>
    <w:rsid w:val="00D229C2"/>
    <w:rsid w:val="00D22D0E"/>
    <w:rsid w:val="00D2321D"/>
    <w:rsid w:val="00D233E8"/>
    <w:rsid w:val="00D233F3"/>
    <w:rsid w:val="00D23FB9"/>
    <w:rsid w:val="00D24597"/>
    <w:rsid w:val="00D246A9"/>
    <w:rsid w:val="00D25712"/>
    <w:rsid w:val="00D25BCC"/>
    <w:rsid w:val="00D2624B"/>
    <w:rsid w:val="00D266AC"/>
    <w:rsid w:val="00D26F0A"/>
    <w:rsid w:val="00D275F0"/>
    <w:rsid w:val="00D27A27"/>
    <w:rsid w:val="00D27B05"/>
    <w:rsid w:val="00D27EBD"/>
    <w:rsid w:val="00D30643"/>
    <w:rsid w:val="00D30747"/>
    <w:rsid w:val="00D31709"/>
    <w:rsid w:val="00D31A2E"/>
    <w:rsid w:val="00D31DA5"/>
    <w:rsid w:val="00D31EEC"/>
    <w:rsid w:val="00D32114"/>
    <w:rsid w:val="00D32F1C"/>
    <w:rsid w:val="00D33730"/>
    <w:rsid w:val="00D33BDF"/>
    <w:rsid w:val="00D33FA5"/>
    <w:rsid w:val="00D343FA"/>
    <w:rsid w:val="00D346CD"/>
    <w:rsid w:val="00D34E8B"/>
    <w:rsid w:val="00D34F0F"/>
    <w:rsid w:val="00D34F3F"/>
    <w:rsid w:val="00D36445"/>
    <w:rsid w:val="00D37301"/>
    <w:rsid w:val="00D375E1"/>
    <w:rsid w:val="00D3796F"/>
    <w:rsid w:val="00D40036"/>
    <w:rsid w:val="00D40DDA"/>
    <w:rsid w:val="00D41BE1"/>
    <w:rsid w:val="00D42E00"/>
    <w:rsid w:val="00D4400F"/>
    <w:rsid w:val="00D4499B"/>
    <w:rsid w:val="00D44E9E"/>
    <w:rsid w:val="00D4552A"/>
    <w:rsid w:val="00D46131"/>
    <w:rsid w:val="00D46559"/>
    <w:rsid w:val="00D468FC"/>
    <w:rsid w:val="00D47206"/>
    <w:rsid w:val="00D5005C"/>
    <w:rsid w:val="00D5037F"/>
    <w:rsid w:val="00D507AE"/>
    <w:rsid w:val="00D50BC4"/>
    <w:rsid w:val="00D50D2D"/>
    <w:rsid w:val="00D50FD3"/>
    <w:rsid w:val="00D50FDB"/>
    <w:rsid w:val="00D5116E"/>
    <w:rsid w:val="00D511FE"/>
    <w:rsid w:val="00D51204"/>
    <w:rsid w:val="00D516D2"/>
    <w:rsid w:val="00D51828"/>
    <w:rsid w:val="00D518C3"/>
    <w:rsid w:val="00D518EE"/>
    <w:rsid w:val="00D51B4B"/>
    <w:rsid w:val="00D51FD3"/>
    <w:rsid w:val="00D5219B"/>
    <w:rsid w:val="00D53775"/>
    <w:rsid w:val="00D5433A"/>
    <w:rsid w:val="00D54BC5"/>
    <w:rsid w:val="00D54C63"/>
    <w:rsid w:val="00D54F1E"/>
    <w:rsid w:val="00D55097"/>
    <w:rsid w:val="00D55641"/>
    <w:rsid w:val="00D558DB"/>
    <w:rsid w:val="00D55CFD"/>
    <w:rsid w:val="00D56102"/>
    <w:rsid w:val="00D563B8"/>
    <w:rsid w:val="00D56B7E"/>
    <w:rsid w:val="00D60076"/>
    <w:rsid w:val="00D6087D"/>
    <w:rsid w:val="00D60A7C"/>
    <w:rsid w:val="00D611ED"/>
    <w:rsid w:val="00D6158F"/>
    <w:rsid w:val="00D626D0"/>
    <w:rsid w:val="00D62920"/>
    <w:rsid w:val="00D62C5A"/>
    <w:rsid w:val="00D6326A"/>
    <w:rsid w:val="00D63296"/>
    <w:rsid w:val="00D63CD3"/>
    <w:rsid w:val="00D63F51"/>
    <w:rsid w:val="00D641AD"/>
    <w:rsid w:val="00D641BC"/>
    <w:rsid w:val="00D64545"/>
    <w:rsid w:val="00D646AB"/>
    <w:rsid w:val="00D65034"/>
    <w:rsid w:val="00D65448"/>
    <w:rsid w:val="00D65FD9"/>
    <w:rsid w:val="00D661AA"/>
    <w:rsid w:val="00D669B2"/>
    <w:rsid w:val="00D67156"/>
    <w:rsid w:val="00D67169"/>
    <w:rsid w:val="00D67870"/>
    <w:rsid w:val="00D67F9F"/>
    <w:rsid w:val="00D7029A"/>
    <w:rsid w:val="00D70456"/>
    <w:rsid w:val="00D715E6"/>
    <w:rsid w:val="00D71DC9"/>
    <w:rsid w:val="00D7295F"/>
    <w:rsid w:val="00D72C20"/>
    <w:rsid w:val="00D72D2C"/>
    <w:rsid w:val="00D72D9C"/>
    <w:rsid w:val="00D731BC"/>
    <w:rsid w:val="00D735A8"/>
    <w:rsid w:val="00D747EB"/>
    <w:rsid w:val="00D765D4"/>
    <w:rsid w:val="00D7666B"/>
    <w:rsid w:val="00D768D6"/>
    <w:rsid w:val="00D769A7"/>
    <w:rsid w:val="00D76E84"/>
    <w:rsid w:val="00D76F65"/>
    <w:rsid w:val="00D77280"/>
    <w:rsid w:val="00D772C0"/>
    <w:rsid w:val="00D8034A"/>
    <w:rsid w:val="00D8040B"/>
    <w:rsid w:val="00D80D10"/>
    <w:rsid w:val="00D81750"/>
    <w:rsid w:val="00D8286D"/>
    <w:rsid w:val="00D829FC"/>
    <w:rsid w:val="00D840D8"/>
    <w:rsid w:val="00D85461"/>
    <w:rsid w:val="00D8596B"/>
    <w:rsid w:val="00D85BF3"/>
    <w:rsid w:val="00D860CF"/>
    <w:rsid w:val="00D86C80"/>
    <w:rsid w:val="00D86D2F"/>
    <w:rsid w:val="00D8704D"/>
    <w:rsid w:val="00D87095"/>
    <w:rsid w:val="00D87446"/>
    <w:rsid w:val="00D875C7"/>
    <w:rsid w:val="00D8760E"/>
    <w:rsid w:val="00D87EE4"/>
    <w:rsid w:val="00D87FBF"/>
    <w:rsid w:val="00D909F6"/>
    <w:rsid w:val="00D91B30"/>
    <w:rsid w:val="00D925AC"/>
    <w:rsid w:val="00D93146"/>
    <w:rsid w:val="00D93548"/>
    <w:rsid w:val="00D9413D"/>
    <w:rsid w:val="00D9414C"/>
    <w:rsid w:val="00D94D1D"/>
    <w:rsid w:val="00D95332"/>
    <w:rsid w:val="00D9597C"/>
    <w:rsid w:val="00D95DE4"/>
    <w:rsid w:val="00D96965"/>
    <w:rsid w:val="00D969FB"/>
    <w:rsid w:val="00DA027B"/>
    <w:rsid w:val="00DA042F"/>
    <w:rsid w:val="00DA0481"/>
    <w:rsid w:val="00DA125E"/>
    <w:rsid w:val="00DA2143"/>
    <w:rsid w:val="00DA21EC"/>
    <w:rsid w:val="00DA229F"/>
    <w:rsid w:val="00DA35AE"/>
    <w:rsid w:val="00DA38C0"/>
    <w:rsid w:val="00DA4284"/>
    <w:rsid w:val="00DA479F"/>
    <w:rsid w:val="00DA4DD1"/>
    <w:rsid w:val="00DA51A8"/>
    <w:rsid w:val="00DA6660"/>
    <w:rsid w:val="00DA7803"/>
    <w:rsid w:val="00DA7A5A"/>
    <w:rsid w:val="00DB128C"/>
    <w:rsid w:val="00DB1C20"/>
    <w:rsid w:val="00DB1EA3"/>
    <w:rsid w:val="00DB2287"/>
    <w:rsid w:val="00DB2A08"/>
    <w:rsid w:val="00DB2D3A"/>
    <w:rsid w:val="00DB3005"/>
    <w:rsid w:val="00DB3142"/>
    <w:rsid w:val="00DB3380"/>
    <w:rsid w:val="00DB35A5"/>
    <w:rsid w:val="00DB416C"/>
    <w:rsid w:val="00DB441C"/>
    <w:rsid w:val="00DB495F"/>
    <w:rsid w:val="00DB5F61"/>
    <w:rsid w:val="00DB6452"/>
    <w:rsid w:val="00DB66F5"/>
    <w:rsid w:val="00DB7CE0"/>
    <w:rsid w:val="00DB7EA3"/>
    <w:rsid w:val="00DC00B4"/>
    <w:rsid w:val="00DC063C"/>
    <w:rsid w:val="00DC06CE"/>
    <w:rsid w:val="00DC11B3"/>
    <w:rsid w:val="00DC2651"/>
    <w:rsid w:val="00DC2EA0"/>
    <w:rsid w:val="00DC3055"/>
    <w:rsid w:val="00DC4255"/>
    <w:rsid w:val="00DC5190"/>
    <w:rsid w:val="00DC5442"/>
    <w:rsid w:val="00DC5D55"/>
    <w:rsid w:val="00DC6205"/>
    <w:rsid w:val="00DC622E"/>
    <w:rsid w:val="00DC6614"/>
    <w:rsid w:val="00DC67A0"/>
    <w:rsid w:val="00DC6AF4"/>
    <w:rsid w:val="00DC6E26"/>
    <w:rsid w:val="00DD0094"/>
    <w:rsid w:val="00DD053E"/>
    <w:rsid w:val="00DD0991"/>
    <w:rsid w:val="00DD0BF9"/>
    <w:rsid w:val="00DD206A"/>
    <w:rsid w:val="00DD22FD"/>
    <w:rsid w:val="00DD24DB"/>
    <w:rsid w:val="00DD2C32"/>
    <w:rsid w:val="00DD3708"/>
    <w:rsid w:val="00DD39B3"/>
    <w:rsid w:val="00DD445B"/>
    <w:rsid w:val="00DD4792"/>
    <w:rsid w:val="00DD4C97"/>
    <w:rsid w:val="00DD4EA8"/>
    <w:rsid w:val="00DD5424"/>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163F"/>
    <w:rsid w:val="00DE2A57"/>
    <w:rsid w:val="00DE314F"/>
    <w:rsid w:val="00DE36DE"/>
    <w:rsid w:val="00DE37FE"/>
    <w:rsid w:val="00DE5177"/>
    <w:rsid w:val="00DE55F5"/>
    <w:rsid w:val="00DE58D3"/>
    <w:rsid w:val="00DE5A56"/>
    <w:rsid w:val="00DE5E44"/>
    <w:rsid w:val="00DE5EDF"/>
    <w:rsid w:val="00DE6E3E"/>
    <w:rsid w:val="00DE7CDB"/>
    <w:rsid w:val="00DE7E2E"/>
    <w:rsid w:val="00DF0B96"/>
    <w:rsid w:val="00DF0C11"/>
    <w:rsid w:val="00DF0CB5"/>
    <w:rsid w:val="00DF12C3"/>
    <w:rsid w:val="00DF149B"/>
    <w:rsid w:val="00DF1986"/>
    <w:rsid w:val="00DF1F48"/>
    <w:rsid w:val="00DF2F7E"/>
    <w:rsid w:val="00DF37B5"/>
    <w:rsid w:val="00DF3A31"/>
    <w:rsid w:val="00DF4264"/>
    <w:rsid w:val="00DF579E"/>
    <w:rsid w:val="00DF5B85"/>
    <w:rsid w:val="00DF6782"/>
    <w:rsid w:val="00DF6855"/>
    <w:rsid w:val="00DF6C2B"/>
    <w:rsid w:val="00DF72C4"/>
    <w:rsid w:val="00DF7AA8"/>
    <w:rsid w:val="00DF7BF7"/>
    <w:rsid w:val="00E000D3"/>
    <w:rsid w:val="00E0027E"/>
    <w:rsid w:val="00E00912"/>
    <w:rsid w:val="00E00ACA"/>
    <w:rsid w:val="00E00CA4"/>
    <w:rsid w:val="00E010C7"/>
    <w:rsid w:val="00E0169D"/>
    <w:rsid w:val="00E01B56"/>
    <w:rsid w:val="00E01F24"/>
    <w:rsid w:val="00E02577"/>
    <w:rsid w:val="00E0260E"/>
    <w:rsid w:val="00E02DA9"/>
    <w:rsid w:val="00E02EC6"/>
    <w:rsid w:val="00E03081"/>
    <w:rsid w:val="00E03194"/>
    <w:rsid w:val="00E035A8"/>
    <w:rsid w:val="00E03676"/>
    <w:rsid w:val="00E04040"/>
    <w:rsid w:val="00E04C56"/>
    <w:rsid w:val="00E04D2E"/>
    <w:rsid w:val="00E05604"/>
    <w:rsid w:val="00E05616"/>
    <w:rsid w:val="00E0641A"/>
    <w:rsid w:val="00E0645A"/>
    <w:rsid w:val="00E06DA1"/>
    <w:rsid w:val="00E07AC8"/>
    <w:rsid w:val="00E10DAE"/>
    <w:rsid w:val="00E11599"/>
    <w:rsid w:val="00E11888"/>
    <w:rsid w:val="00E11C2F"/>
    <w:rsid w:val="00E12225"/>
    <w:rsid w:val="00E1259D"/>
    <w:rsid w:val="00E12B2A"/>
    <w:rsid w:val="00E1322D"/>
    <w:rsid w:val="00E1343F"/>
    <w:rsid w:val="00E13447"/>
    <w:rsid w:val="00E13467"/>
    <w:rsid w:val="00E13E3B"/>
    <w:rsid w:val="00E1461B"/>
    <w:rsid w:val="00E146BD"/>
    <w:rsid w:val="00E14FFA"/>
    <w:rsid w:val="00E151E2"/>
    <w:rsid w:val="00E155B7"/>
    <w:rsid w:val="00E15A22"/>
    <w:rsid w:val="00E15B93"/>
    <w:rsid w:val="00E16552"/>
    <w:rsid w:val="00E1678B"/>
    <w:rsid w:val="00E16B9C"/>
    <w:rsid w:val="00E17275"/>
    <w:rsid w:val="00E17B73"/>
    <w:rsid w:val="00E20325"/>
    <w:rsid w:val="00E20CBF"/>
    <w:rsid w:val="00E2149B"/>
    <w:rsid w:val="00E216A5"/>
    <w:rsid w:val="00E21C06"/>
    <w:rsid w:val="00E21C8F"/>
    <w:rsid w:val="00E21DA2"/>
    <w:rsid w:val="00E222C1"/>
    <w:rsid w:val="00E22345"/>
    <w:rsid w:val="00E224B3"/>
    <w:rsid w:val="00E2275F"/>
    <w:rsid w:val="00E2293C"/>
    <w:rsid w:val="00E22E19"/>
    <w:rsid w:val="00E237D7"/>
    <w:rsid w:val="00E255D2"/>
    <w:rsid w:val="00E25749"/>
    <w:rsid w:val="00E26593"/>
    <w:rsid w:val="00E26833"/>
    <w:rsid w:val="00E26A68"/>
    <w:rsid w:val="00E26DD3"/>
    <w:rsid w:val="00E2786E"/>
    <w:rsid w:val="00E278B3"/>
    <w:rsid w:val="00E27BDB"/>
    <w:rsid w:val="00E27E78"/>
    <w:rsid w:val="00E308D7"/>
    <w:rsid w:val="00E309C3"/>
    <w:rsid w:val="00E31C59"/>
    <w:rsid w:val="00E31E09"/>
    <w:rsid w:val="00E3234E"/>
    <w:rsid w:val="00E3354B"/>
    <w:rsid w:val="00E33ECC"/>
    <w:rsid w:val="00E345B2"/>
    <w:rsid w:val="00E34D51"/>
    <w:rsid w:val="00E358C1"/>
    <w:rsid w:val="00E36980"/>
    <w:rsid w:val="00E36C32"/>
    <w:rsid w:val="00E37062"/>
    <w:rsid w:val="00E37695"/>
    <w:rsid w:val="00E376B2"/>
    <w:rsid w:val="00E37C70"/>
    <w:rsid w:val="00E4011D"/>
    <w:rsid w:val="00E406EE"/>
    <w:rsid w:val="00E4073C"/>
    <w:rsid w:val="00E4099E"/>
    <w:rsid w:val="00E41C62"/>
    <w:rsid w:val="00E41D6D"/>
    <w:rsid w:val="00E428FF"/>
    <w:rsid w:val="00E42968"/>
    <w:rsid w:val="00E43195"/>
    <w:rsid w:val="00E4381E"/>
    <w:rsid w:val="00E43938"/>
    <w:rsid w:val="00E4428C"/>
    <w:rsid w:val="00E45982"/>
    <w:rsid w:val="00E459A6"/>
    <w:rsid w:val="00E4711D"/>
    <w:rsid w:val="00E471CC"/>
    <w:rsid w:val="00E47E86"/>
    <w:rsid w:val="00E50098"/>
    <w:rsid w:val="00E505F0"/>
    <w:rsid w:val="00E50842"/>
    <w:rsid w:val="00E50F47"/>
    <w:rsid w:val="00E517AA"/>
    <w:rsid w:val="00E5299B"/>
    <w:rsid w:val="00E533E4"/>
    <w:rsid w:val="00E534D7"/>
    <w:rsid w:val="00E5366E"/>
    <w:rsid w:val="00E54978"/>
    <w:rsid w:val="00E54A88"/>
    <w:rsid w:val="00E54B2C"/>
    <w:rsid w:val="00E54C6D"/>
    <w:rsid w:val="00E55924"/>
    <w:rsid w:val="00E55BDA"/>
    <w:rsid w:val="00E55BDC"/>
    <w:rsid w:val="00E55FF0"/>
    <w:rsid w:val="00E5662A"/>
    <w:rsid w:val="00E56A6F"/>
    <w:rsid w:val="00E571E2"/>
    <w:rsid w:val="00E57C26"/>
    <w:rsid w:val="00E60B02"/>
    <w:rsid w:val="00E61AC0"/>
    <w:rsid w:val="00E61BA4"/>
    <w:rsid w:val="00E6245B"/>
    <w:rsid w:val="00E62B19"/>
    <w:rsid w:val="00E62E35"/>
    <w:rsid w:val="00E63392"/>
    <w:rsid w:val="00E64159"/>
    <w:rsid w:val="00E642EE"/>
    <w:rsid w:val="00E64470"/>
    <w:rsid w:val="00E64867"/>
    <w:rsid w:val="00E65027"/>
    <w:rsid w:val="00E651E2"/>
    <w:rsid w:val="00E65C19"/>
    <w:rsid w:val="00E65D45"/>
    <w:rsid w:val="00E66406"/>
    <w:rsid w:val="00E66DC6"/>
    <w:rsid w:val="00E67488"/>
    <w:rsid w:val="00E70035"/>
    <w:rsid w:val="00E704B0"/>
    <w:rsid w:val="00E70A97"/>
    <w:rsid w:val="00E70E6E"/>
    <w:rsid w:val="00E70FC1"/>
    <w:rsid w:val="00E7125E"/>
    <w:rsid w:val="00E713BE"/>
    <w:rsid w:val="00E7166A"/>
    <w:rsid w:val="00E719DC"/>
    <w:rsid w:val="00E72766"/>
    <w:rsid w:val="00E7393D"/>
    <w:rsid w:val="00E74484"/>
    <w:rsid w:val="00E74BF6"/>
    <w:rsid w:val="00E74F1A"/>
    <w:rsid w:val="00E75571"/>
    <w:rsid w:val="00E75B53"/>
    <w:rsid w:val="00E75DF5"/>
    <w:rsid w:val="00E763AF"/>
    <w:rsid w:val="00E763C8"/>
    <w:rsid w:val="00E76B5B"/>
    <w:rsid w:val="00E76CD2"/>
    <w:rsid w:val="00E76F1A"/>
    <w:rsid w:val="00E77189"/>
    <w:rsid w:val="00E77545"/>
    <w:rsid w:val="00E777A9"/>
    <w:rsid w:val="00E77ADA"/>
    <w:rsid w:val="00E77D1A"/>
    <w:rsid w:val="00E80340"/>
    <w:rsid w:val="00E805CC"/>
    <w:rsid w:val="00E80DED"/>
    <w:rsid w:val="00E81C1F"/>
    <w:rsid w:val="00E823E1"/>
    <w:rsid w:val="00E83723"/>
    <w:rsid w:val="00E837AA"/>
    <w:rsid w:val="00E83CCB"/>
    <w:rsid w:val="00E85004"/>
    <w:rsid w:val="00E851BB"/>
    <w:rsid w:val="00E85490"/>
    <w:rsid w:val="00E85E04"/>
    <w:rsid w:val="00E8636F"/>
    <w:rsid w:val="00E867D9"/>
    <w:rsid w:val="00E86910"/>
    <w:rsid w:val="00E86F7D"/>
    <w:rsid w:val="00E8739B"/>
    <w:rsid w:val="00E87B1C"/>
    <w:rsid w:val="00E87D10"/>
    <w:rsid w:val="00E912C3"/>
    <w:rsid w:val="00E91503"/>
    <w:rsid w:val="00E915CA"/>
    <w:rsid w:val="00E91E9D"/>
    <w:rsid w:val="00E93105"/>
    <w:rsid w:val="00E935B9"/>
    <w:rsid w:val="00E9407D"/>
    <w:rsid w:val="00E940C2"/>
    <w:rsid w:val="00E94980"/>
    <w:rsid w:val="00E96098"/>
    <w:rsid w:val="00E96955"/>
    <w:rsid w:val="00E969D2"/>
    <w:rsid w:val="00E96B28"/>
    <w:rsid w:val="00E970E9"/>
    <w:rsid w:val="00E974B1"/>
    <w:rsid w:val="00EA0257"/>
    <w:rsid w:val="00EA05C2"/>
    <w:rsid w:val="00EA1035"/>
    <w:rsid w:val="00EA26A9"/>
    <w:rsid w:val="00EA2753"/>
    <w:rsid w:val="00EA325E"/>
    <w:rsid w:val="00EA338D"/>
    <w:rsid w:val="00EA34B7"/>
    <w:rsid w:val="00EA36FD"/>
    <w:rsid w:val="00EA3B62"/>
    <w:rsid w:val="00EA3E04"/>
    <w:rsid w:val="00EA4118"/>
    <w:rsid w:val="00EA4687"/>
    <w:rsid w:val="00EA5EF3"/>
    <w:rsid w:val="00EA67BD"/>
    <w:rsid w:val="00EA69B7"/>
    <w:rsid w:val="00EA6C59"/>
    <w:rsid w:val="00EA6DD1"/>
    <w:rsid w:val="00EA7848"/>
    <w:rsid w:val="00EA7A5B"/>
    <w:rsid w:val="00EA7BD8"/>
    <w:rsid w:val="00EB059E"/>
    <w:rsid w:val="00EB0974"/>
    <w:rsid w:val="00EB1498"/>
    <w:rsid w:val="00EB1BBE"/>
    <w:rsid w:val="00EB2739"/>
    <w:rsid w:val="00EB2749"/>
    <w:rsid w:val="00EB2B0A"/>
    <w:rsid w:val="00EB3240"/>
    <w:rsid w:val="00EB47CC"/>
    <w:rsid w:val="00EB4FF8"/>
    <w:rsid w:val="00EB5F50"/>
    <w:rsid w:val="00EB659F"/>
    <w:rsid w:val="00EB6C6B"/>
    <w:rsid w:val="00EB6E8E"/>
    <w:rsid w:val="00EB720F"/>
    <w:rsid w:val="00EB72DE"/>
    <w:rsid w:val="00EB75D3"/>
    <w:rsid w:val="00EB7D4D"/>
    <w:rsid w:val="00EC0990"/>
    <w:rsid w:val="00EC0A15"/>
    <w:rsid w:val="00EC0F98"/>
    <w:rsid w:val="00EC0FF6"/>
    <w:rsid w:val="00EC14C7"/>
    <w:rsid w:val="00EC27B0"/>
    <w:rsid w:val="00EC29C9"/>
    <w:rsid w:val="00EC29EE"/>
    <w:rsid w:val="00EC2B4A"/>
    <w:rsid w:val="00EC2C8F"/>
    <w:rsid w:val="00EC2D13"/>
    <w:rsid w:val="00EC2DD8"/>
    <w:rsid w:val="00EC326E"/>
    <w:rsid w:val="00EC3513"/>
    <w:rsid w:val="00EC3D85"/>
    <w:rsid w:val="00EC485C"/>
    <w:rsid w:val="00EC4BA4"/>
    <w:rsid w:val="00EC50D0"/>
    <w:rsid w:val="00EC585A"/>
    <w:rsid w:val="00EC6065"/>
    <w:rsid w:val="00EC61BC"/>
    <w:rsid w:val="00EC6327"/>
    <w:rsid w:val="00EC654E"/>
    <w:rsid w:val="00EC68D5"/>
    <w:rsid w:val="00EC7266"/>
    <w:rsid w:val="00ED05EE"/>
    <w:rsid w:val="00ED0F8F"/>
    <w:rsid w:val="00ED1618"/>
    <w:rsid w:val="00ED2586"/>
    <w:rsid w:val="00ED29B3"/>
    <w:rsid w:val="00ED3051"/>
    <w:rsid w:val="00ED3873"/>
    <w:rsid w:val="00ED3CA2"/>
    <w:rsid w:val="00ED3DCD"/>
    <w:rsid w:val="00ED3F08"/>
    <w:rsid w:val="00ED3FB4"/>
    <w:rsid w:val="00ED3FFC"/>
    <w:rsid w:val="00ED45A1"/>
    <w:rsid w:val="00ED550E"/>
    <w:rsid w:val="00ED56D8"/>
    <w:rsid w:val="00ED5F03"/>
    <w:rsid w:val="00ED6437"/>
    <w:rsid w:val="00ED7173"/>
    <w:rsid w:val="00ED718B"/>
    <w:rsid w:val="00ED77B9"/>
    <w:rsid w:val="00ED7FB2"/>
    <w:rsid w:val="00EE03DE"/>
    <w:rsid w:val="00EE05A5"/>
    <w:rsid w:val="00EE118F"/>
    <w:rsid w:val="00EE12A7"/>
    <w:rsid w:val="00EE18F3"/>
    <w:rsid w:val="00EE2680"/>
    <w:rsid w:val="00EE2A3B"/>
    <w:rsid w:val="00EE3199"/>
    <w:rsid w:val="00EE3531"/>
    <w:rsid w:val="00EE41A1"/>
    <w:rsid w:val="00EE42A4"/>
    <w:rsid w:val="00EE5063"/>
    <w:rsid w:val="00EE6177"/>
    <w:rsid w:val="00EE7307"/>
    <w:rsid w:val="00EE7D94"/>
    <w:rsid w:val="00EF0054"/>
    <w:rsid w:val="00EF0FE9"/>
    <w:rsid w:val="00EF12C0"/>
    <w:rsid w:val="00EF15E0"/>
    <w:rsid w:val="00EF19BA"/>
    <w:rsid w:val="00EF19C4"/>
    <w:rsid w:val="00EF1D61"/>
    <w:rsid w:val="00EF264F"/>
    <w:rsid w:val="00EF2E86"/>
    <w:rsid w:val="00EF3192"/>
    <w:rsid w:val="00EF325D"/>
    <w:rsid w:val="00EF33A2"/>
    <w:rsid w:val="00EF35EC"/>
    <w:rsid w:val="00EF377E"/>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678"/>
    <w:rsid w:val="00F00AF1"/>
    <w:rsid w:val="00F01462"/>
    <w:rsid w:val="00F01656"/>
    <w:rsid w:val="00F01983"/>
    <w:rsid w:val="00F02311"/>
    <w:rsid w:val="00F02404"/>
    <w:rsid w:val="00F02964"/>
    <w:rsid w:val="00F033AA"/>
    <w:rsid w:val="00F03629"/>
    <w:rsid w:val="00F04B20"/>
    <w:rsid w:val="00F04CE8"/>
    <w:rsid w:val="00F04D98"/>
    <w:rsid w:val="00F05027"/>
    <w:rsid w:val="00F0557A"/>
    <w:rsid w:val="00F05690"/>
    <w:rsid w:val="00F064C6"/>
    <w:rsid w:val="00F06666"/>
    <w:rsid w:val="00F06BAB"/>
    <w:rsid w:val="00F06EAA"/>
    <w:rsid w:val="00F0737E"/>
    <w:rsid w:val="00F102DF"/>
    <w:rsid w:val="00F10A51"/>
    <w:rsid w:val="00F10D59"/>
    <w:rsid w:val="00F10E47"/>
    <w:rsid w:val="00F11284"/>
    <w:rsid w:val="00F11669"/>
    <w:rsid w:val="00F118E9"/>
    <w:rsid w:val="00F11B6D"/>
    <w:rsid w:val="00F120E4"/>
    <w:rsid w:val="00F123B1"/>
    <w:rsid w:val="00F13154"/>
    <w:rsid w:val="00F13377"/>
    <w:rsid w:val="00F135A0"/>
    <w:rsid w:val="00F13671"/>
    <w:rsid w:val="00F13D4D"/>
    <w:rsid w:val="00F14361"/>
    <w:rsid w:val="00F143B3"/>
    <w:rsid w:val="00F1469A"/>
    <w:rsid w:val="00F153B5"/>
    <w:rsid w:val="00F155C0"/>
    <w:rsid w:val="00F15A55"/>
    <w:rsid w:val="00F15DED"/>
    <w:rsid w:val="00F163B6"/>
    <w:rsid w:val="00F171F8"/>
    <w:rsid w:val="00F17732"/>
    <w:rsid w:val="00F177EA"/>
    <w:rsid w:val="00F17B6E"/>
    <w:rsid w:val="00F17CD8"/>
    <w:rsid w:val="00F17F45"/>
    <w:rsid w:val="00F20062"/>
    <w:rsid w:val="00F20199"/>
    <w:rsid w:val="00F202A2"/>
    <w:rsid w:val="00F209F4"/>
    <w:rsid w:val="00F216CA"/>
    <w:rsid w:val="00F22703"/>
    <w:rsid w:val="00F23500"/>
    <w:rsid w:val="00F23A22"/>
    <w:rsid w:val="00F2444B"/>
    <w:rsid w:val="00F245EB"/>
    <w:rsid w:val="00F24607"/>
    <w:rsid w:val="00F248C7"/>
    <w:rsid w:val="00F24CEA"/>
    <w:rsid w:val="00F24F6C"/>
    <w:rsid w:val="00F2581A"/>
    <w:rsid w:val="00F25B52"/>
    <w:rsid w:val="00F25C61"/>
    <w:rsid w:val="00F26158"/>
    <w:rsid w:val="00F26B1C"/>
    <w:rsid w:val="00F26F5C"/>
    <w:rsid w:val="00F26FD2"/>
    <w:rsid w:val="00F276F3"/>
    <w:rsid w:val="00F27AAE"/>
    <w:rsid w:val="00F27F3E"/>
    <w:rsid w:val="00F30554"/>
    <w:rsid w:val="00F31432"/>
    <w:rsid w:val="00F31BBC"/>
    <w:rsid w:val="00F32695"/>
    <w:rsid w:val="00F326DC"/>
    <w:rsid w:val="00F32EE6"/>
    <w:rsid w:val="00F332ED"/>
    <w:rsid w:val="00F34343"/>
    <w:rsid w:val="00F34E8C"/>
    <w:rsid w:val="00F350E0"/>
    <w:rsid w:val="00F350E9"/>
    <w:rsid w:val="00F35E06"/>
    <w:rsid w:val="00F361FC"/>
    <w:rsid w:val="00F36340"/>
    <w:rsid w:val="00F37B9F"/>
    <w:rsid w:val="00F40430"/>
    <w:rsid w:val="00F410B7"/>
    <w:rsid w:val="00F41120"/>
    <w:rsid w:val="00F42177"/>
    <w:rsid w:val="00F42194"/>
    <w:rsid w:val="00F427D0"/>
    <w:rsid w:val="00F42824"/>
    <w:rsid w:val="00F42931"/>
    <w:rsid w:val="00F430B1"/>
    <w:rsid w:val="00F43B9B"/>
    <w:rsid w:val="00F43D5D"/>
    <w:rsid w:val="00F445FC"/>
    <w:rsid w:val="00F44904"/>
    <w:rsid w:val="00F45DD7"/>
    <w:rsid w:val="00F46278"/>
    <w:rsid w:val="00F46486"/>
    <w:rsid w:val="00F46617"/>
    <w:rsid w:val="00F467BB"/>
    <w:rsid w:val="00F4738E"/>
    <w:rsid w:val="00F47F07"/>
    <w:rsid w:val="00F50122"/>
    <w:rsid w:val="00F5026D"/>
    <w:rsid w:val="00F502DB"/>
    <w:rsid w:val="00F50674"/>
    <w:rsid w:val="00F52263"/>
    <w:rsid w:val="00F53C73"/>
    <w:rsid w:val="00F53DE6"/>
    <w:rsid w:val="00F54183"/>
    <w:rsid w:val="00F54829"/>
    <w:rsid w:val="00F54A37"/>
    <w:rsid w:val="00F5510F"/>
    <w:rsid w:val="00F5555D"/>
    <w:rsid w:val="00F55E5F"/>
    <w:rsid w:val="00F55F32"/>
    <w:rsid w:val="00F560B7"/>
    <w:rsid w:val="00F5645F"/>
    <w:rsid w:val="00F56CC8"/>
    <w:rsid w:val="00F56FDF"/>
    <w:rsid w:val="00F56FE6"/>
    <w:rsid w:val="00F605C8"/>
    <w:rsid w:val="00F605CA"/>
    <w:rsid w:val="00F60F0E"/>
    <w:rsid w:val="00F613C4"/>
    <w:rsid w:val="00F61C83"/>
    <w:rsid w:val="00F61FDA"/>
    <w:rsid w:val="00F62606"/>
    <w:rsid w:val="00F627FC"/>
    <w:rsid w:val="00F633F2"/>
    <w:rsid w:val="00F64AB6"/>
    <w:rsid w:val="00F64ADA"/>
    <w:rsid w:val="00F6554D"/>
    <w:rsid w:val="00F659CF"/>
    <w:rsid w:val="00F664DC"/>
    <w:rsid w:val="00F66625"/>
    <w:rsid w:val="00F66653"/>
    <w:rsid w:val="00F66813"/>
    <w:rsid w:val="00F66941"/>
    <w:rsid w:val="00F67484"/>
    <w:rsid w:val="00F70189"/>
    <w:rsid w:val="00F7020D"/>
    <w:rsid w:val="00F710BA"/>
    <w:rsid w:val="00F71288"/>
    <w:rsid w:val="00F713D5"/>
    <w:rsid w:val="00F71ACB"/>
    <w:rsid w:val="00F71CF8"/>
    <w:rsid w:val="00F71F46"/>
    <w:rsid w:val="00F729E2"/>
    <w:rsid w:val="00F73143"/>
    <w:rsid w:val="00F7339F"/>
    <w:rsid w:val="00F73472"/>
    <w:rsid w:val="00F73726"/>
    <w:rsid w:val="00F740EE"/>
    <w:rsid w:val="00F741C6"/>
    <w:rsid w:val="00F7495D"/>
    <w:rsid w:val="00F74BF4"/>
    <w:rsid w:val="00F74FEE"/>
    <w:rsid w:val="00F751FA"/>
    <w:rsid w:val="00F7592B"/>
    <w:rsid w:val="00F766DA"/>
    <w:rsid w:val="00F779C9"/>
    <w:rsid w:val="00F77B36"/>
    <w:rsid w:val="00F77BD7"/>
    <w:rsid w:val="00F77C5E"/>
    <w:rsid w:val="00F801E7"/>
    <w:rsid w:val="00F80B22"/>
    <w:rsid w:val="00F819E0"/>
    <w:rsid w:val="00F81AA0"/>
    <w:rsid w:val="00F82310"/>
    <w:rsid w:val="00F83030"/>
    <w:rsid w:val="00F8323E"/>
    <w:rsid w:val="00F8389C"/>
    <w:rsid w:val="00F838F7"/>
    <w:rsid w:val="00F8400A"/>
    <w:rsid w:val="00F84AB9"/>
    <w:rsid w:val="00F84C01"/>
    <w:rsid w:val="00F85EA0"/>
    <w:rsid w:val="00F86421"/>
    <w:rsid w:val="00F866B3"/>
    <w:rsid w:val="00F874D9"/>
    <w:rsid w:val="00F90EC6"/>
    <w:rsid w:val="00F91143"/>
    <w:rsid w:val="00F913B0"/>
    <w:rsid w:val="00F915FB"/>
    <w:rsid w:val="00F92822"/>
    <w:rsid w:val="00F93C85"/>
    <w:rsid w:val="00F949BB"/>
    <w:rsid w:val="00F94B6F"/>
    <w:rsid w:val="00F95343"/>
    <w:rsid w:val="00F956FD"/>
    <w:rsid w:val="00F9593F"/>
    <w:rsid w:val="00F95AC8"/>
    <w:rsid w:val="00F95CF8"/>
    <w:rsid w:val="00F960C3"/>
    <w:rsid w:val="00F961BC"/>
    <w:rsid w:val="00F962AC"/>
    <w:rsid w:val="00F96627"/>
    <w:rsid w:val="00F979F8"/>
    <w:rsid w:val="00FA020B"/>
    <w:rsid w:val="00FA08CC"/>
    <w:rsid w:val="00FA0B02"/>
    <w:rsid w:val="00FA0FCD"/>
    <w:rsid w:val="00FA13D7"/>
    <w:rsid w:val="00FA1971"/>
    <w:rsid w:val="00FA205B"/>
    <w:rsid w:val="00FA2F67"/>
    <w:rsid w:val="00FA3538"/>
    <w:rsid w:val="00FA4629"/>
    <w:rsid w:val="00FA4CAA"/>
    <w:rsid w:val="00FA5027"/>
    <w:rsid w:val="00FA5D37"/>
    <w:rsid w:val="00FA5DA3"/>
    <w:rsid w:val="00FA5E8E"/>
    <w:rsid w:val="00FA69EF"/>
    <w:rsid w:val="00FA7D8D"/>
    <w:rsid w:val="00FB0161"/>
    <w:rsid w:val="00FB060C"/>
    <w:rsid w:val="00FB0F84"/>
    <w:rsid w:val="00FB2281"/>
    <w:rsid w:val="00FB2371"/>
    <w:rsid w:val="00FB26DC"/>
    <w:rsid w:val="00FB2A9D"/>
    <w:rsid w:val="00FB2F4A"/>
    <w:rsid w:val="00FB3448"/>
    <w:rsid w:val="00FB3894"/>
    <w:rsid w:val="00FB3E5B"/>
    <w:rsid w:val="00FB46E2"/>
    <w:rsid w:val="00FB4804"/>
    <w:rsid w:val="00FB4ED8"/>
    <w:rsid w:val="00FB5B62"/>
    <w:rsid w:val="00FB5E87"/>
    <w:rsid w:val="00FB625F"/>
    <w:rsid w:val="00FB691C"/>
    <w:rsid w:val="00FB789A"/>
    <w:rsid w:val="00FB7C9F"/>
    <w:rsid w:val="00FC0042"/>
    <w:rsid w:val="00FC00DC"/>
    <w:rsid w:val="00FC02A7"/>
    <w:rsid w:val="00FC0412"/>
    <w:rsid w:val="00FC18E4"/>
    <w:rsid w:val="00FC3641"/>
    <w:rsid w:val="00FC3889"/>
    <w:rsid w:val="00FC4166"/>
    <w:rsid w:val="00FC4E8A"/>
    <w:rsid w:val="00FC4F1D"/>
    <w:rsid w:val="00FC4F38"/>
    <w:rsid w:val="00FC531B"/>
    <w:rsid w:val="00FC5428"/>
    <w:rsid w:val="00FC5502"/>
    <w:rsid w:val="00FC631D"/>
    <w:rsid w:val="00FC6DC4"/>
    <w:rsid w:val="00FC7273"/>
    <w:rsid w:val="00FC733A"/>
    <w:rsid w:val="00FC7A27"/>
    <w:rsid w:val="00FC7C30"/>
    <w:rsid w:val="00FC7EFB"/>
    <w:rsid w:val="00FD0215"/>
    <w:rsid w:val="00FD0442"/>
    <w:rsid w:val="00FD05EB"/>
    <w:rsid w:val="00FD082D"/>
    <w:rsid w:val="00FD10F9"/>
    <w:rsid w:val="00FD1909"/>
    <w:rsid w:val="00FD1ACC"/>
    <w:rsid w:val="00FD1F81"/>
    <w:rsid w:val="00FD2145"/>
    <w:rsid w:val="00FD22CF"/>
    <w:rsid w:val="00FD23DF"/>
    <w:rsid w:val="00FD284F"/>
    <w:rsid w:val="00FD2CE1"/>
    <w:rsid w:val="00FD354F"/>
    <w:rsid w:val="00FD3596"/>
    <w:rsid w:val="00FD3812"/>
    <w:rsid w:val="00FD3A14"/>
    <w:rsid w:val="00FD432E"/>
    <w:rsid w:val="00FD45A0"/>
    <w:rsid w:val="00FD5601"/>
    <w:rsid w:val="00FD5AEB"/>
    <w:rsid w:val="00FD66CF"/>
    <w:rsid w:val="00FD6710"/>
    <w:rsid w:val="00FD686E"/>
    <w:rsid w:val="00FD78A3"/>
    <w:rsid w:val="00FD7DCE"/>
    <w:rsid w:val="00FE0249"/>
    <w:rsid w:val="00FE04C6"/>
    <w:rsid w:val="00FE0592"/>
    <w:rsid w:val="00FE07A8"/>
    <w:rsid w:val="00FE07DA"/>
    <w:rsid w:val="00FE146C"/>
    <w:rsid w:val="00FE2B8E"/>
    <w:rsid w:val="00FE2BF2"/>
    <w:rsid w:val="00FE2E44"/>
    <w:rsid w:val="00FE342C"/>
    <w:rsid w:val="00FE38E8"/>
    <w:rsid w:val="00FE4ADF"/>
    <w:rsid w:val="00FE5C97"/>
    <w:rsid w:val="00FE5EFE"/>
    <w:rsid w:val="00FE5F2D"/>
    <w:rsid w:val="00FE6046"/>
    <w:rsid w:val="00FE62D4"/>
    <w:rsid w:val="00FE7E5C"/>
    <w:rsid w:val="00FE7F0F"/>
    <w:rsid w:val="00FE7F72"/>
    <w:rsid w:val="00FE7F79"/>
    <w:rsid w:val="00FE7FA7"/>
    <w:rsid w:val="00FF0407"/>
    <w:rsid w:val="00FF142C"/>
    <w:rsid w:val="00FF1717"/>
    <w:rsid w:val="00FF1F05"/>
    <w:rsid w:val="00FF281B"/>
    <w:rsid w:val="00FF3164"/>
    <w:rsid w:val="00FF3E34"/>
    <w:rsid w:val="00FF4F10"/>
    <w:rsid w:val="00FF524A"/>
    <w:rsid w:val="00FF5283"/>
    <w:rsid w:val="00FF59AF"/>
    <w:rsid w:val="00FF5A34"/>
    <w:rsid w:val="00FF5ABC"/>
    <w:rsid w:val="00FF5E51"/>
    <w:rsid w:val="00FF62EC"/>
    <w:rsid w:val="00FF6510"/>
    <w:rsid w:val="00FF651A"/>
    <w:rsid w:val="00FF6924"/>
    <w:rsid w:val="00FF6F93"/>
    <w:rsid w:val="00FF73E8"/>
    <w:rsid w:val="00FF7CE0"/>
    <w:rsid w:val="00FF7D62"/>
    <w:rsid w:val="00FF7E93"/>
    <w:rsid w:val="02104022"/>
    <w:rsid w:val="03067098"/>
    <w:rsid w:val="06104332"/>
    <w:rsid w:val="07AA4D6D"/>
    <w:rsid w:val="09835F12"/>
    <w:rsid w:val="0A7F3800"/>
    <w:rsid w:val="0B792C38"/>
    <w:rsid w:val="0D446551"/>
    <w:rsid w:val="0DC95F08"/>
    <w:rsid w:val="0DF32757"/>
    <w:rsid w:val="0E2A6359"/>
    <w:rsid w:val="0E811E04"/>
    <w:rsid w:val="10892319"/>
    <w:rsid w:val="115D74CE"/>
    <w:rsid w:val="124E63D6"/>
    <w:rsid w:val="14F450DE"/>
    <w:rsid w:val="15377F3D"/>
    <w:rsid w:val="155913E5"/>
    <w:rsid w:val="1765072B"/>
    <w:rsid w:val="1C724FA8"/>
    <w:rsid w:val="1CFB3BE7"/>
    <w:rsid w:val="1E264D80"/>
    <w:rsid w:val="220148B7"/>
    <w:rsid w:val="25250DFA"/>
    <w:rsid w:val="25D35DAB"/>
    <w:rsid w:val="25FD39A3"/>
    <w:rsid w:val="27B0664E"/>
    <w:rsid w:val="280D12F9"/>
    <w:rsid w:val="29353E2B"/>
    <w:rsid w:val="2B12230A"/>
    <w:rsid w:val="2BB535B8"/>
    <w:rsid w:val="2E017BA8"/>
    <w:rsid w:val="2E3E76D9"/>
    <w:rsid w:val="2E6D6139"/>
    <w:rsid w:val="2F7F0699"/>
    <w:rsid w:val="31C7343E"/>
    <w:rsid w:val="322F08F2"/>
    <w:rsid w:val="33446DD8"/>
    <w:rsid w:val="33BB7FE1"/>
    <w:rsid w:val="33D7791C"/>
    <w:rsid w:val="33EA3DAC"/>
    <w:rsid w:val="342F12A4"/>
    <w:rsid w:val="353275C9"/>
    <w:rsid w:val="35C83997"/>
    <w:rsid w:val="35F5FB38"/>
    <w:rsid w:val="36C6209E"/>
    <w:rsid w:val="37724274"/>
    <w:rsid w:val="38202F27"/>
    <w:rsid w:val="3B5C3E0E"/>
    <w:rsid w:val="3B7A7ADD"/>
    <w:rsid w:val="3B92A5E4"/>
    <w:rsid w:val="3BFD1D6A"/>
    <w:rsid w:val="3C380CC4"/>
    <w:rsid w:val="3D7B597E"/>
    <w:rsid w:val="3EB219E2"/>
    <w:rsid w:val="47390B1B"/>
    <w:rsid w:val="48DE1FA3"/>
    <w:rsid w:val="4AA03036"/>
    <w:rsid w:val="4C2F55B3"/>
    <w:rsid w:val="4DE70890"/>
    <w:rsid w:val="4E096208"/>
    <w:rsid w:val="4E3441C2"/>
    <w:rsid w:val="51144915"/>
    <w:rsid w:val="512C6EEE"/>
    <w:rsid w:val="51461692"/>
    <w:rsid w:val="52195C25"/>
    <w:rsid w:val="531E5DA0"/>
    <w:rsid w:val="53512DD3"/>
    <w:rsid w:val="54AA47FD"/>
    <w:rsid w:val="56E64117"/>
    <w:rsid w:val="578417E5"/>
    <w:rsid w:val="58F416AE"/>
    <w:rsid w:val="59123931"/>
    <w:rsid w:val="59C93E99"/>
    <w:rsid w:val="5A2450EA"/>
    <w:rsid w:val="5A2E41BB"/>
    <w:rsid w:val="5AC9641E"/>
    <w:rsid w:val="5ACF6289"/>
    <w:rsid w:val="5D1A22E1"/>
    <w:rsid w:val="5E6B5F28"/>
    <w:rsid w:val="5EFD175A"/>
    <w:rsid w:val="5FA7182E"/>
    <w:rsid w:val="606D2901"/>
    <w:rsid w:val="620B4DE2"/>
    <w:rsid w:val="62EB74C5"/>
    <w:rsid w:val="63A1191D"/>
    <w:rsid w:val="67461E8B"/>
    <w:rsid w:val="6AE91B22"/>
    <w:rsid w:val="6B185C7D"/>
    <w:rsid w:val="6D56711D"/>
    <w:rsid w:val="6D717AAF"/>
    <w:rsid w:val="6F556807"/>
    <w:rsid w:val="6F7C1175"/>
    <w:rsid w:val="6FD5DC09"/>
    <w:rsid w:val="6FD7233B"/>
    <w:rsid w:val="6FFBE79D"/>
    <w:rsid w:val="6FFFB48C"/>
    <w:rsid w:val="71ABE782"/>
    <w:rsid w:val="71C77B13"/>
    <w:rsid w:val="727D1B80"/>
    <w:rsid w:val="75287D2D"/>
    <w:rsid w:val="75FB7DD2"/>
    <w:rsid w:val="767A1612"/>
    <w:rsid w:val="76DFB048"/>
    <w:rsid w:val="770761C7"/>
    <w:rsid w:val="7AF90EEB"/>
    <w:rsid w:val="7B911AAD"/>
    <w:rsid w:val="7BC93D06"/>
    <w:rsid w:val="7BEE7527"/>
    <w:rsid w:val="7DE20C95"/>
    <w:rsid w:val="7DFF06B0"/>
    <w:rsid w:val="7ECFADE4"/>
    <w:rsid w:val="7EFFD99A"/>
    <w:rsid w:val="7F854F2C"/>
    <w:rsid w:val="7FBEAD21"/>
    <w:rsid w:val="7FF73B0F"/>
    <w:rsid w:val="7FF7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5:docId w15:val="{434EF4D1-B303-4788-817F-95C33F9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kern w:val="2"/>
    </w:rPr>
  </w:style>
  <w:style w:type="paragraph" w:styleId="Heading1">
    <w:name w:val="heading 1"/>
    <w:basedOn w:val="Normal"/>
    <w:next w:val="Normal"/>
    <w:link w:val="Heading1Char"/>
    <w:autoRedefine/>
    <w:uiPriority w:val="1"/>
    <w:qFormat/>
    <w:pPr>
      <w:keepNext/>
      <w:numPr>
        <w:numId w:val="1"/>
      </w:numPr>
      <w:adjustRightInd w:val="0"/>
      <w:snapToGrid w:val="0"/>
      <w:spacing w:after="240"/>
      <w:jc w:val="both"/>
      <w:outlineLvl w:val="0"/>
    </w:pPr>
    <w:rPr>
      <w:rFonts w:ascii="Arial Narrow" w:eastAsia="仿宋_GB2312" w:hAnsi="Arial Narrow" w:cs="Arial"/>
      <w:bCs/>
      <w:color w:val="486A00" w:themeColor="accent2" w:themeShade="80"/>
      <w:kern w:val="0"/>
      <w:sz w:val="28"/>
      <w:szCs w:val="28"/>
      <w14:scene3d>
        <w14:camera w14:prst="orthographicFront"/>
        <w14:lightRig w14:rig="threePt" w14:dir="t">
          <w14:rot w14:lat="0" w14:lon="0" w14:rev="0"/>
        </w14:lightRig>
      </w14:scene3d>
    </w:rPr>
  </w:style>
  <w:style w:type="paragraph" w:styleId="Heading2">
    <w:name w:val="heading 2"/>
    <w:basedOn w:val="Normal"/>
    <w:next w:val="Normal"/>
    <w:link w:val="Heading2Char"/>
    <w:autoRedefine/>
    <w:uiPriority w:val="1"/>
    <w:qFormat/>
    <w:pPr>
      <w:keepNext/>
      <w:numPr>
        <w:ilvl w:val="1"/>
        <w:numId w:val="1"/>
      </w:numPr>
      <w:adjustRightInd w:val="0"/>
      <w:snapToGrid w:val="0"/>
      <w:spacing w:before="240" w:after="240"/>
      <w:jc w:val="both"/>
      <w:outlineLvl w:val="1"/>
    </w:pPr>
    <w:rPr>
      <w:rFonts w:ascii="Arial Narrow" w:eastAsia="仿宋_GB2312" w:hAnsi="Arial Narrow" w:cs="Arial"/>
      <w:iCs/>
      <w:color w:val="002060"/>
      <w:kern w:val="0"/>
      <w:sz w:val="22"/>
      <w:szCs w:val="22"/>
    </w:rPr>
  </w:style>
  <w:style w:type="paragraph" w:styleId="Heading3">
    <w:name w:val="heading 3"/>
    <w:basedOn w:val="Heading2"/>
    <w:next w:val="Normal"/>
    <w:link w:val="Heading3Char"/>
    <w:autoRedefine/>
    <w:uiPriority w:val="1"/>
    <w:qFormat/>
    <w:pPr>
      <w:numPr>
        <w:ilvl w:val="2"/>
      </w:numPr>
      <w:outlineLvl w:val="2"/>
    </w:pPr>
    <w:rPr>
      <w:sz w:val="24"/>
    </w:rPr>
  </w:style>
  <w:style w:type="paragraph" w:styleId="Heading4">
    <w:name w:val="heading 4"/>
    <w:basedOn w:val="Heading3"/>
    <w:next w:val="Normal"/>
    <w:link w:val="Heading4Char"/>
    <w:autoRedefine/>
    <w:uiPriority w:val="1"/>
    <w:qFormat/>
    <w:pPr>
      <w:numPr>
        <w:ilvl w:val="3"/>
      </w:numPr>
      <w:outlineLvl w:val="3"/>
    </w:pPr>
    <w:rPr>
      <w:sz w:val="22"/>
    </w:rPr>
  </w:style>
  <w:style w:type="paragraph" w:styleId="Heading5">
    <w:name w:val="heading 5"/>
    <w:basedOn w:val="Normal"/>
    <w:next w:val="Normal"/>
    <w:link w:val="Heading5Char"/>
    <w:autoRedefine/>
    <w:qFormat/>
    <w:pPr>
      <w:keepNext/>
      <w:numPr>
        <w:ilvl w:val="4"/>
        <w:numId w:val="2"/>
      </w:numPr>
      <w:tabs>
        <w:tab w:val="left" w:pos="540"/>
      </w:tabs>
      <w:spacing w:before="240"/>
      <w:outlineLvl w:val="4"/>
    </w:pPr>
    <w:rPr>
      <w:rFonts w:ascii="'宋体" w:eastAsia="'宋体"/>
    </w:rPr>
  </w:style>
  <w:style w:type="paragraph" w:styleId="Heading6">
    <w:name w:val="heading 6"/>
    <w:basedOn w:val="Normal"/>
    <w:next w:val="Normal"/>
    <w:link w:val="Heading6Char"/>
    <w:autoRedefine/>
    <w:qFormat/>
    <w:pPr>
      <w:keepNext/>
      <w:numPr>
        <w:ilvl w:val="5"/>
        <w:numId w:val="2"/>
      </w:numPr>
      <w:tabs>
        <w:tab w:val="left" w:pos="540"/>
      </w:tabs>
      <w:outlineLvl w:val="5"/>
    </w:pPr>
    <w:rPr>
      <w:lang w:eastAsia="en-US"/>
    </w:rPr>
  </w:style>
  <w:style w:type="paragraph" w:styleId="Heading7">
    <w:name w:val="heading 7"/>
    <w:basedOn w:val="Normal"/>
    <w:next w:val="Normal"/>
    <w:link w:val="Heading7Char"/>
    <w:autoRedefine/>
    <w:uiPriority w:val="9"/>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autoRedefine/>
    <w:uiPriority w:val="9"/>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autoRedefine/>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76" w:lineRule="auto"/>
      <w:ind w:left="1320"/>
    </w:pPr>
    <w:rPr>
      <w:rFonts w:ascii="Arial" w:hAnsi="Arial"/>
      <w:kern w:val="0"/>
      <w:sz w:val="22"/>
      <w:szCs w:val="22"/>
    </w:rPr>
  </w:style>
  <w:style w:type="paragraph" w:styleId="NoteHeading">
    <w:name w:val="Note Heading"/>
    <w:basedOn w:val="Normal"/>
    <w:next w:val="Normal"/>
    <w:link w:val="NoteHeadingChar"/>
    <w:autoRedefine/>
    <w:qFormat/>
    <w:pPr>
      <w:spacing w:before="120" w:after="120"/>
    </w:pPr>
    <w:rPr>
      <w:rFonts w:ascii="EYInterstate Light" w:hAnsi="EYInterstate Light" w:cs="Arial"/>
      <w:b/>
      <w:kern w:val="24"/>
      <w:sz w:val="18"/>
      <w:lang w:eastAsia="en-US"/>
    </w:rPr>
  </w:style>
  <w:style w:type="paragraph" w:styleId="NormalIndent">
    <w:name w:val="Normal Indent"/>
    <w:basedOn w:val="Normal"/>
    <w:autoRedefine/>
    <w:qFormat/>
    <w:pPr>
      <w:widowControl w:val="0"/>
      <w:jc w:val="both"/>
    </w:pPr>
    <w:rPr>
      <w:rFonts w:ascii="MS Mincho" w:hAnsi="Arial"/>
      <w:b/>
      <w:kern w:val="20"/>
    </w:rPr>
  </w:style>
  <w:style w:type="paragraph" w:styleId="Caption">
    <w:name w:val="caption"/>
    <w:basedOn w:val="Normal"/>
    <w:next w:val="Normal"/>
    <w:link w:val="CaptionChar"/>
    <w:autoRedefine/>
    <w:uiPriority w:val="35"/>
    <w:unhideWhenUsed/>
    <w:qFormat/>
    <w:rPr>
      <w:b/>
      <w:bCs/>
    </w:rPr>
  </w:style>
  <w:style w:type="paragraph" w:styleId="ListBullet">
    <w:name w:val="List Bullet"/>
    <w:basedOn w:val="Normal"/>
    <w:autoRedefine/>
    <w:qFormat/>
    <w:pPr>
      <w:spacing w:after="240" w:line="240" w:lineRule="atLeast"/>
    </w:pPr>
  </w:style>
  <w:style w:type="paragraph" w:styleId="DocumentMap">
    <w:name w:val="Document Map"/>
    <w:basedOn w:val="Normal"/>
    <w:link w:val="DocumentMapChar"/>
    <w:autoRedefine/>
    <w:unhideWhenUsed/>
    <w:qFormat/>
    <w:rPr>
      <w:rFonts w:ascii="Tahoma" w:hAnsi="Tahoma" w:cs="Tahoma"/>
      <w:sz w:val="16"/>
      <w:szCs w:val="16"/>
    </w:rPr>
  </w:style>
  <w:style w:type="paragraph" w:styleId="CommentText">
    <w:name w:val="annotation text"/>
    <w:basedOn w:val="Normal"/>
    <w:link w:val="CommentTextChar"/>
    <w:autoRedefine/>
    <w:semiHidden/>
    <w:qFormat/>
    <w:rPr>
      <w:kern w:val="0"/>
    </w:rPr>
  </w:style>
  <w:style w:type="paragraph" w:styleId="BodyText3">
    <w:name w:val="Body Text 3"/>
    <w:basedOn w:val="Normal"/>
    <w:link w:val="BodyText3Char"/>
    <w:autoRedefine/>
    <w:qFormat/>
    <w:pPr>
      <w:jc w:val="center"/>
    </w:pPr>
    <w:rPr>
      <w:rFonts w:ascii="宋体" w:hAnsi="宋体"/>
      <w:sz w:val="16"/>
      <w:lang w:eastAsia="en-US"/>
    </w:rPr>
  </w:style>
  <w:style w:type="paragraph" w:styleId="BodyText">
    <w:name w:val="Body Text"/>
    <w:basedOn w:val="Normal"/>
    <w:link w:val="BodyTextChar"/>
    <w:autoRedefine/>
    <w:uiPriority w:val="1"/>
    <w:qFormat/>
    <w:pPr>
      <w:spacing w:before="240" w:line="360" w:lineRule="auto"/>
      <w:ind w:right="-91"/>
      <w:jc w:val="both"/>
    </w:pPr>
    <w:rPr>
      <w:rFonts w:ascii="FZFangSong-Z02" w:eastAsia="FZFangSong-Z02"/>
    </w:rPr>
  </w:style>
  <w:style w:type="paragraph" w:styleId="BodyTextIndent">
    <w:name w:val="Body Text Indent"/>
    <w:basedOn w:val="Normal"/>
    <w:link w:val="BodyTextIndentChar"/>
    <w:autoRedefine/>
    <w:qFormat/>
    <w:pPr>
      <w:spacing w:before="240"/>
      <w:ind w:right="-180" w:firstLine="540"/>
      <w:jc w:val="both"/>
    </w:pPr>
    <w:rPr>
      <w:rFonts w:ascii="宋体" w:hAnsi="宋体"/>
      <w:spacing w:val="-6"/>
    </w:rPr>
  </w:style>
  <w:style w:type="paragraph" w:styleId="List2">
    <w:name w:val="List 2"/>
    <w:basedOn w:val="Normal"/>
    <w:autoRedefine/>
    <w:qFormat/>
    <w:pPr>
      <w:ind w:left="720" w:hanging="360"/>
    </w:pPr>
  </w:style>
  <w:style w:type="paragraph" w:styleId="ListContinue">
    <w:name w:val="List Continue"/>
    <w:basedOn w:val="Normal"/>
    <w:autoRedefine/>
    <w:qFormat/>
    <w:pPr>
      <w:spacing w:after="120"/>
      <w:ind w:left="360"/>
    </w:pPr>
  </w:style>
  <w:style w:type="paragraph" w:styleId="BlockText">
    <w:name w:val="Block Text"/>
    <w:basedOn w:val="Normal"/>
    <w:autoRedefine/>
    <w:qFormat/>
    <w:pPr>
      <w:spacing w:before="240" w:line="360" w:lineRule="auto"/>
      <w:ind w:left="360" w:right="-91" w:firstLine="360"/>
      <w:jc w:val="both"/>
    </w:pPr>
    <w:rPr>
      <w:rFonts w:ascii="FZFangSong-Z02" w:eastAsia="FZFangSong-Z02"/>
    </w:rPr>
  </w:style>
  <w:style w:type="paragraph" w:styleId="TOC5">
    <w:name w:val="toc 5"/>
    <w:basedOn w:val="Normal"/>
    <w:next w:val="Normal"/>
    <w:autoRedefine/>
    <w:uiPriority w:val="39"/>
    <w:unhideWhenUsed/>
    <w:qFormat/>
    <w:pPr>
      <w:spacing w:after="100" w:line="276" w:lineRule="auto"/>
      <w:ind w:left="880"/>
    </w:pPr>
    <w:rPr>
      <w:rFonts w:ascii="Arial" w:hAnsi="Arial"/>
      <w:kern w:val="0"/>
      <w:sz w:val="22"/>
      <w:szCs w:val="22"/>
    </w:rPr>
  </w:style>
  <w:style w:type="paragraph" w:styleId="TOC3">
    <w:name w:val="toc 3"/>
    <w:basedOn w:val="Normal"/>
    <w:next w:val="Normal"/>
    <w:autoRedefine/>
    <w:uiPriority w:val="39"/>
    <w:qFormat/>
    <w:pPr>
      <w:tabs>
        <w:tab w:val="left" w:pos="1100"/>
        <w:tab w:val="right" w:leader="dot" w:pos="8297"/>
      </w:tabs>
      <w:ind w:left="480"/>
    </w:pPr>
    <w:rPr>
      <w:rFonts w:ascii="华文楷体" w:hAnsi="华文楷体"/>
      <w:i/>
      <w:iCs/>
    </w:rPr>
  </w:style>
  <w:style w:type="paragraph" w:styleId="TOC8">
    <w:name w:val="toc 8"/>
    <w:basedOn w:val="Normal"/>
    <w:next w:val="Normal"/>
    <w:autoRedefine/>
    <w:uiPriority w:val="39"/>
    <w:unhideWhenUsed/>
    <w:qFormat/>
    <w:pPr>
      <w:spacing w:after="100" w:line="276" w:lineRule="auto"/>
      <w:ind w:left="1540"/>
    </w:pPr>
    <w:rPr>
      <w:rFonts w:ascii="Arial" w:hAnsi="Arial"/>
      <w:kern w:val="0"/>
      <w:sz w:val="22"/>
      <w:szCs w:val="22"/>
    </w:rPr>
  </w:style>
  <w:style w:type="paragraph" w:styleId="BodyTextIndent2">
    <w:name w:val="Body Text Indent 2"/>
    <w:basedOn w:val="Normal"/>
    <w:link w:val="BodyTextIndent2Char"/>
    <w:autoRedefine/>
    <w:qFormat/>
    <w:pPr>
      <w:spacing w:line="360" w:lineRule="auto"/>
      <w:ind w:firstLine="720"/>
    </w:pPr>
    <w:rPr>
      <w:rFonts w:ascii="楷体" w:eastAsia="楷体"/>
    </w:rPr>
  </w:style>
  <w:style w:type="paragraph" w:styleId="EndnoteText">
    <w:name w:val="endnote text"/>
    <w:basedOn w:val="Normal"/>
    <w:link w:val="EndnoteTextChar"/>
    <w:autoRedefine/>
    <w:semiHidden/>
    <w:qFormat/>
    <w:pPr>
      <w:snapToGrid w:val="0"/>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320"/>
        <w:tab w:val="right" w:pos="8640"/>
      </w:tabs>
    </w:pPr>
  </w:style>
  <w:style w:type="paragraph" w:styleId="Header">
    <w:name w:val="header"/>
    <w:basedOn w:val="Normal"/>
    <w:link w:val="HeaderChar"/>
    <w:autoRedefine/>
    <w:unhideWhenUsed/>
    <w:qFormat/>
    <w:pPr>
      <w:tabs>
        <w:tab w:val="center" w:pos="4320"/>
        <w:tab w:val="right" w:pos="8640"/>
      </w:tabs>
    </w:pPr>
  </w:style>
  <w:style w:type="paragraph" w:styleId="TOC1">
    <w:name w:val="toc 1"/>
    <w:basedOn w:val="Normal"/>
    <w:next w:val="Normal"/>
    <w:autoRedefine/>
    <w:uiPriority w:val="39"/>
    <w:qFormat/>
    <w:pPr>
      <w:tabs>
        <w:tab w:val="right" w:leader="dot" w:pos="8280"/>
      </w:tabs>
      <w:snapToGrid w:val="0"/>
      <w:jc w:val="both"/>
    </w:pPr>
    <w:rPr>
      <w:rFonts w:ascii="Verdana" w:eastAsia="Verdana" w:hAnsi="Verdana"/>
      <w:bCs/>
      <w:caps/>
      <w:szCs w:val="36"/>
      <w14:scene3d>
        <w14:camera w14:prst="orthographicFront"/>
        <w14:lightRig w14:rig="threePt" w14:dir="t">
          <w14:rot w14:lat="0" w14:lon="0" w14:rev="0"/>
        </w14:lightRig>
      </w14:scene3d>
    </w:rPr>
  </w:style>
  <w:style w:type="paragraph" w:styleId="TOC4">
    <w:name w:val="toc 4"/>
    <w:basedOn w:val="Normal"/>
    <w:next w:val="Normal"/>
    <w:autoRedefine/>
    <w:uiPriority w:val="39"/>
    <w:unhideWhenUsed/>
    <w:qFormat/>
    <w:pPr>
      <w:spacing w:after="100" w:line="276" w:lineRule="auto"/>
      <w:ind w:left="660"/>
    </w:pPr>
    <w:rPr>
      <w:rFonts w:ascii="Arial" w:hAnsi="Arial"/>
      <w:kern w:val="0"/>
      <w:sz w:val="22"/>
      <w:szCs w:val="22"/>
    </w:rPr>
  </w:style>
  <w:style w:type="paragraph" w:styleId="List">
    <w:name w:val="List"/>
    <w:basedOn w:val="Normal"/>
    <w:autoRedefine/>
    <w:qFormat/>
    <w:pPr>
      <w:ind w:left="360" w:hanging="360"/>
    </w:pPr>
  </w:style>
  <w:style w:type="paragraph" w:styleId="FootnoteText">
    <w:name w:val="footnote text"/>
    <w:basedOn w:val="Normal"/>
    <w:link w:val="FootnoteTextChar"/>
    <w:autoRedefine/>
    <w:qFormat/>
    <w:pPr>
      <w:widowControl w:val="0"/>
      <w:snapToGrid w:val="0"/>
    </w:pPr>
    <w:rPr>
      <w:rFonts w:ascii="Century" w:eastAsia="MS Mincho" w:hAnsi="Century"/>
      <w:sz w:val="21"/>
      <w:lang w:eastAsia="ja-JP"/>
    </w:rPr>
  </w:style>
  <w:style w:type="paragraph" w:styleId="TOC6">
    <w:name w:val="toc 6"/>
    <w:basedOn w:val="Normal"/>
    <w:next w:val="Normal"/>
    <w:autoRedefine/>
    <w:uiPriority w:val="39"/>
    <w:unhideWhenUsed/>
    <w:qFormat/>
    <w:pPr>
      <w:spacing w:after="100" w:line="276" w:lineRule="auto"/>
      <w:ind w:left="1100"/>
    </w:pPr>
    <w:rPr>
      <w:rFonts w:ascii="Arial" w:hAnsi="Arial"/>
      <w:kern w:val="0"/>
      <w:sz w:val="22"/>
      <w:szCs w:val="22"/>
    </w:rPr>
  </w:style>
  <w:style w:type="paragraph" w:styleId="BodyTextIndent3">
    <w:name w:val="Body Text Indent 3"/>
    <w:basedOn w:val="Normal"/>
    <w:link w:val="BodyTextIndent3Char"/>
    <w:autoRedefine/>
    <w:qFormat/>
    <w:pPr>
      <w:ind w:right="-90" w:firstLine="540"/>
    </w:pPr>
    <w:rPr>
      <w:rFonts w:eastAsia="'宋体"/>
    </w:rPr>
  </w:style>
  <w:style w:type="paragraph" w:styleId="TableofFigures">
    <w:name w:val="table of figures"/>
    <w:basedOn w:val="Normal"/>
    <w:next w:val="Normal"/>
    <w:autoRedefine/>
    <w:uiPriority w:val="99"/>
    <w:unhideWhenUsed/>
    <w:qFormat/>
    <w:rPr>
      <w:rFonts w:ascii="华文细黑" w:eastAsia="华文楷体" w:hAnsi="华文细黑"/>
      <w:sz w:val="21"/>
    </w:rPr>
  </w:style>
  <w:style w:type="paragraph" w:styleId="TOC2">
    <w:name w:val="toc 2"/>
    <w:basedOn w:val="Normal"/>
    <w:next w:val="Normal"/>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Normal"/>
    <w:next w:val="Normal"/>
    <w:autoRedefine/>
    <w:uiPriority w:val="39"/>
    <w:unhideWhenUsed/>
    <w:qFormat/>
    <w:pPr>
      <w:spacing w:after="100" w:line="276" w:lineRule="auto"/>
      <w:ind w:left="1760"/>
    </w:pPr>
    <w:rPr>
      <w:rFonts w:ascii="Arial" w:hAnsi="Arial"/>
      <w:kern w:val="0"/>
      <w:sz w:val="22"/>
      <w:szCs w:val="22"/>
    </w:rPr>
  </w:style>
  <w:style w:type="paragraph" w:styleId="BodyText2">
    <w:name w:val="Body Text 2"/>
    <w:basedOn w:val="Normal"/>
    <w:link w:val="BodyText2Char"/>
    <w:autoRedefine/>
    <w:qFormat/>
    <w:pPr>
      <w:spacing w:line="360" w:lineRule="auto"/>
      <w:jc w:val="both"/>
    </w:pPr>
    <w:rPr>
      <w:rFonts w:ascii="FZFangSong-Z02" w:eastAsia="FZFangSong-Z02"/>
    </w:rPr>
  </w:style>
  <w:style w:type="paragraph" w:styleId="HTMLPreformatted">
    <w:name w:val="HTML Preformatted"/>
    <w:basedOn w:val="Normal"/>
    <w:link w:val="HTMLPreformattedChar"/>
    <w:autoRedefine/>
    <w:uiPriority w:val="99"/>
    <w:unhideWhenUsed/>
    <w:qFormat/>
    <w:rPr>
      <w:rFonts w:ascii="Courier New" w:hAnsi="Courier New" w:cs="Courier New"/>
    </w:rPr>
  </w:style>
  <w:style w:type="paragraph" w:styleId="NormalWeb">
    <w:name w:val="Normal (Web)"/>
    <w:basedOn w:val="Normal"/>
    <w:autoRedefine/>
    <w:uiPriority w:val="99"/>
    <w:unhideWhenUsed/>
    <w:qFormat/>
    <w:pPr>
      <w:spacing w:before="100" w:beforeAutospacing="1" w:after="100" w:afterAutospacing="1"/>
    </w:pPr>
    <w:rPr>
      <w:rFonts w:eastAsia="Times New Roman"/>
      <w:kern w:val="0"/>
      <w:sz w:val="24"/>
      <w:szCs w:val="24"/>
    </w:rPr>
  </w:style>
  <w:style w:type="paragraph" w:styleId="Title">
    <w:name w:val="Title"/>
    <w:basedOn w:val="Normal"/>
    <w:next w:val="Normal"/>
    <w:link w:val="TitleChar"/>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CommentSubject">
    <w:name w:val="annotation subject"/>
    <w:basedOn w:val="CommentText"/>
    <w:next w:val="CommentText"/>
    <w:link w:val="CommentSubjectChar"/>
    <w:autoRedefine/>
    <w:semiHidden/>
    <w:qFormat/>
    <w:rPr>
      <w:b/>
      <w:bCs/>
      <w:kern w:val="2"/>
    </w:rPr>
  </w:style>
  <w:style w:type="table" w:styleId="TableGrid">
    <w:name w:val="Table Grid"/>
    <w:basedOn w:val="TableNormal"/>
    <w:autoRedefine/>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rPr>
  </w:style>
  <w:style w:type="character" w:styleId="EndnoteReference">
    <w:name w:val="endnote reference"/>
    <w:autoRedefine/>
    <w:semiHidden/>
    <w:qFormat/>
    <w:rPr>
      <w:vertAlign w:val="superscript"/>
    </w:rPr>
  </w:style>
  <w:style w:type="character" w:styleId="PageNumber">
    <w:name w:val="page number"/>
    <w:basedOn w:val="DefaultParagraphFont"/>
    <w:autoRedefine/>
    <w:uiPriority w:val="99"/>
    <w:qFormat/>
  </w:style>
  <w:style w:type="character" w:styleId="FollowedHyperlink">
    <w:name w:val="FollowedHyperlink"/>
    <w:autoRedefine/>
    <w:qFormat/>
    <w:rPr>
      <w:color w:val="800080"/>
      <w:u w:val="single"/>
    </w:rPr>
  </w:style>
  <w:style w:type="character" w:styleId="Hyperlink">
    <w:name w:val="Hyperlink"/>
    <w:autoRedefine/>
    <w:uiPriority w:val="99"/>
    <w:qFormat/>
    <w:rPr>
      <w:color w:val="0000FF"/>
      <w:u w:val="single"/>
    </w:rPr>
  </w:style>
  <w:style w:type="character" w:styleId="CommentReference">
    <w:name w:val="annotation reference"/>
    <w:autoRedefine/>
    <w:uiPriority w:val="99"/>
    <w:qFormat/>
    <w:rPr>
      <w:sz w:val="16"/>
      <w:szCs w:val="16"/>
    </w:rPr>
  </w:style>
  <w:style w:type="character" w:styleId="FootnoteReference">
    <w:name w:val="footnote reference"/>
    <w:autoRedefine/>
    <w:qFormat/>
    <w:rPr>
      <w:vertAlign w:val="superscript"/>
    </w:rPr>
  </w:style>
  <w:style w:type="character" w:customStyle="1" w:styleId="Heading1Char">
    <w:name w:val="Heading 1 Char"/>
    <w:link w:val="Heading1"/>
    <w:autoRedefine/>
    <w:uiPriority w:val="1"/>
    <w:qFormat/>
    <w:rPr>
      <w:rFonts w:ascii="Arial Narrow" w:eastAsia="仿宋_GB2312" w:hAnsi="Arial Narrow" w:cs="Arial"/>
      <w:bCs/>
      <w:color w:val="486A00" w:themeColor="accent2" w:themeShade="80"/>
      <w:sz w:val="28"/>
      <w:szCs w:val="28"/>
      <w14:scene3d>
        <w14:camera w14:prst="orthographicFront"/>
        <w14:lightRig w14:rig="threePt" w14:dir="t">
          <w14:rot w14:lat="0" w14:lon="0" w14:rev="0"/>
        </w14:lightRig>
      </w14:scene3d>
    </w:rPr>
  </w:style>
  <w:style w:type="character" w:customStyle="1" w:styleId="Heading2Char">
    <w:name w:val="Heading 2 Char"/>
    <w:link w:val="Heading2"/>
    <w:autoRedefine/>
    <w:uiPriority w:val="1"/>
    <w:qFormat/>
    <w:rPr>
      <w:rFonts w:ascii="Arial Narrow" w:eastAsia="仿宋_GB2312" w:hAnsi="Arial Narrow" w:cs="Arial"/>
      <w:iCs/>
      <w:color w:val="002060"/>
      <w:sz w:val="22"/>
      <w:szCs w:val="22"/>
    </w:rPr>
  </w:style>
  <w:style w:type="character" w:customStyle="1" w:styleId="Heading3Char">
    <w:name w:val="Heading 3 Char"/>
    <w:link w:val="Heading3"/>
    <w:autoRedefine/>
    <w:uiPriority w:val="1"/>
    <w:qFormat/>
    <w:rPr>
      <w:rFonts w:ascii="Verdana" w:eastAsia="华文细黑" w:hAnsi="Verdana" w:cstheme="majorBidi"/>
      <w:b/>
      <w:bCs/>
      <w:iCs/>
      <w:color w:val="009CDE"/>
      <w:sz w:val="24"/>
      <w:szCs w:val="24"/>
    </w:rPr>
  </w:style>
  <w:style w:type="character" w:customStyle="1" w:styleId="Heading4Char">
    <w:name w:val="Heading 4 Char"/>
    <w:link w:val="Heading4"/>
    <w:autoRedefine/>
    <w:uiPriority w:val="1"/>
    <w:qFormat/>
    <w:rPr>
      <w:rFonts w:ascii="Verdana" w:eastAsia="仿宋_GB2312" w:hAnsi="Verdana" w:cstheme="majorBidi"/>
      <w:b/>
      <w:bCs/>
      <w:iCs/>
      <w:color w:val="009CDE"/>
      <w:sz w:val="22"/>
      <w:szCs w:val="24"/>
    </w:rPr>
  </w:style>
  <w:style w:type="character" w:customStyle="1" w:styleId="Heading5Char">
    <w:name w:val="Heading 5 Char"/>
    <w:link w:val="Heading5"/>
    <w:autoRedefine/>
    <w:qFormat/>
    <w:rPr>
      <w:rFonts w:ascii="'宋体" w:eastAsia="'宋体" w:hAnsi="Times New Roman"/>
      <w:kern w:val="2"/>
    </w:rPr>
  </w:style>
  <w:style w:type="character" w:customStyle="1" w:styleId="Heading6Char">
    <w:name w:val="Heading 6 Char"/>
    <w:link w:val="Heading6"/>
    <w:autoRedefine/>
    <w:qFormat/>
    <w:rPr>
      <w:rFonts w:ascii="Times New Roman" w:hAnsi="Times New Roman"/>
      <w:kern w:val="2"/>
      <w:lang w:eastAsia="en-US"/>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character" w:customStyle="1" w:styleId="BodyTextIndentChar">
    <w:name w:val="Body Text Indent Char"/>
    <w:link w:val="BodyTextIndent"/>
    <w:autoRedefine/>
    <w:qFormat/>
    <w:rPr>
      <w:rFonts w:ascii="宋体" w:eastAsia="宋体" w:hAnsi="宋体" w:cs="Times New Roman"/>
      <w:spacing w:val="-6"/>
      <w:kern w:val="2"/>
      <w:sz w:val="20"/>
      <w:szCs w:val="20"/>
    </w:rPr>
  </w:style>
  <w:style w:type="character" w:customStyle="1" w:styleId="BodyText3Char">
    <w:name w:val="Body Text 3 Char"/>
    <w:link w:val="BodyText3"/>
    <w:autoRedefine/>
    <w:qFormat/>
    <w:rPr>
      <w:rFonts w:ascii="宋体" w:eastAsia="宋体" w:hAnsi="宋体" w:cs="Times New Roman"/>
      <w:kern w:val="2"/>
      <w:sz w:val="16"/>
      <w:szCs w:val="20"/>
      <w:lang w:eastAsia="en-US"/>
    </w:rPr>
  </w:style>
  <w:style w:type="character" w:customStyle="1" w:styleId="BodyTextIndent2Char">
    <w:name w:val="Body Text Indent 2 Char"/>
    <w:link w:val="BodyTextIndent2"/>
    <w:autoRedefine/>
    <w:qFormat/>
    <w:rPr>
      <w:rFonts w:ascii="楷体" w:eastAsia="楷体" w:hAnsi="Times New Roman" w:cs="Times New Roman"/>
      <w:kern w:val="2"/>
      <w:sz w:val="20"/>
      <w:szCs w:val="20"/>
    </w:rPr>
  </w:style>
  <w:style w:type="character" w:customStyle="1" w:styleId="BodyTextIndent3Char">
    <w:name w:val="Body Text Indent 3 Char"/>
    <w:link w:val="BodyTextIndent3"/>
    <w:autoRedefine/>
    <w:qFormat/>
    <w:rPr>
      <w:rFonts w:ascii="Times New Roman" w:eastAsia="'宋体" w:hAnsi="Times New Roman" w:cs="Times New Roman"/>
      <w:kern w:val="2"/>
      <w:sz w:val="20"/>
      <w:szCs w:val="20"/>
    </w:rPr>
  </w:style>
  <w:style w:type="paragraph" w:customStyle="1" w:styleId="AD">
    <w:name w:val="AD"/>
    <w:autoRedefine/>
    <w:qFormat/>
    <w:pPr>
      <w:spacing w:line="240" w:lineRule="atLeast"/>
    </w:pPr>
    <w:rPr>
      <w:rFonts w:ascii="Palatino" w:hAnsi="Palatino"/>
      <w:sz w:val="24"/>
      <w:lang w:eastAsia="en-US"/>
    </w:rPr>
  </w:style>
  <w:style w:type="character" w:customStyle="1" w:styleId="BodyTextChar">
    <w:name w:val="Body Text Char"/>
    <w:link w:val="BodyText"/>
    <w:autoRedefine/>
    <w:qFormat/>
    <w:rPr>
      <w:rFonts w:ascii="FZFangSong-Z02" w:eastAsia="FZFangSong-Z02" w:hAnsi="Times New Roman" w:cs="Times New Roman"/>
      <w:kern w:val="2"/>
      <w:sz w:val="20"/>
      <w:szCs w:val="20"/>
    </w:rPr>
  </w:style>
  <w:style w:type="character" w:customStyle="1" w:styleId="FootnoteTextChar">
    <w:name w:val="Footnote Text Char"/>
    <w:link w:val="FootnoteText"/>
    <w:autoRedefine/>
    <w:qFormat/>
    <w:rPr>
      <w:rFonts w:ascii="Century" w:eastAsia="MS Mincho" w:hAnsi="Century" w:cs="Times New Roman"/>
      <w:kern w:val="2"/>
      <w:sz w:val="21"/>
      <w:szCs w:val="20"/>
      <w:lang w:eastAsia="ja-JP"/>
    </w:rPr>
  </w:style>
  <w:style w:type="character" w:customStyle="1" w:styleId="BodyText2Char">
    <w:name w:val="Body Text 2 Char"/>
    <w:link w:val="BodyText2"/>
    <w:autoRedefine/>
    <w:qFormat/>
    <w:rPr>
      <w:rFonts w:ascii="FZFangSong-Z02" w:eastAsia="FZFangSong-Z02" w:hAnsi="Times New Roman" w:cs="Times New Roman"/>
      <w:kern w:val="2"/>
      <w:sz w:val="20"/>
      <w:szCs w:val="20"/>
    </w:rPr>
  </w:style>
  <w:style w:type="paragraph" w:customStyle="1" w:styleId="ShortReturnAddress">
    <w:name w:val="Short Return Address"/>
    <w:basedOn w:val="Normal"/>
    <w:autoRedefine/>
    <w:qFormat/>
  </w:style>
  <w:style w:type="paragraph" w:customStyle="1" w:styleId="font5">
    <w:name w:val="font5"/>
    <w:basedOn w:val="Normal"/>
    <w:autoRedefine/>
    <w:qFormat/>
    <w:pPr>
      <w:spacing w:before="100" w:beforeAutospacing="1" w:after="100" w:afterAutospacing="1"/>
    </w:pPr>
    <w:rPr>
      <w:rFonts w:ascii="Arial" w:eastAsia="Arial Unicode MS" w:hAnsi="Arial" w:cs="Arial"/>
      <w:lang w:eastAsia="en-US"/>
    </w:rPr>
  </w:style>
  <w:style w:type="paragraph" w:customStyle="1" w:styleId="font6">
    <w:name w:val="font6"/>
    <w:basedOn w:val="Normal"/>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Normal"/>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Normal"/>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Normal"/>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Normal"/>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Normal"/>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Normal"/>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Normal"/>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Normal"/>
    <w:autoRedefine/>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Normal"/>
    <w:autoRedefine/>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Normal"/>
    <w:autoRedefine/>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Normal"/>
    <w:autoRedefine/>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Normal"/>
    <w:autoRedefine/>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Normal"/>
    <w:autoRedefine/>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Normal"/>
    <w:autoRedefine/>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Normal"/>
    <w:autoRedefine/>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DefaultParagraphFont"/>
    <w:autoRedefine/>
    <w:qFormat/>
  </w:style>
  <w:style w:type="paragraph" w:customStyle="1" w:styleId="MCText">
    <w:name w:val="MC Text"/>
    <w:basedOn w:val="Normal"/>
    <w:autoRedefine/>
    <w:qFormat/>
    <w:pPr>
      <w:spacing w:before="240" w:line="360" w:lineRule="auto"/>
      <w:jc w:val="both"/>
    </w:pPr>
    <w:rPr>
      <w:sz w:val="22"/>
    </w:rPr>
  </w:style>
  <w:style w:type="character" w:customStyle="1" w:styleId="BalloonTextChar">
    <w:name w:val="Balloon Text Char"/>
    <w:link w:val="BalloonText"/>
    <w:autoRedefine/>
    <w:semiHidden/>
    <w:qFormat/>
    <w:rPr>
      <w:rFonts w:ascii="Tahoma" w:eastAsia="宋体" w:hAnsi="Tahoma" w:cs="Tahoma"/>
      <w:kern w:val="2"/>
      <w:sz w:val="16"/>
      <w:szCs w:val="16"/>
    </w:rPr>
  </w:style>
  <w:style w:type="character" w:customStyle="1" w:styleId="CommentTextChar">
    <w:name w:val="Comment Text Char"/>
    <w:link w:val="CommentText"/>
    <w:autoRedefine/>
    <w:semiHidden/>
    <w:qFormat/>
    <w:rPr>
      <w:rFonts w:ascii="Times New Roman" w:eastAsia="宋体" w:hAnsi="Times New Roman" w:cs="Times New Roman"/>
      <w:sz w:val="20"/>
      <w:szCs w:val="20"/>
    </w:rPr>
  </w:style>
  <w:style w:type="character" w:customStyle="1" w:styleId="CommentSubjectChar">
    <w:name w:val="Comment Subject Char"/>
    <w:link w:val="CommentSubject"/>
    <w:autoRedefine/>
    <w:semiHidden/>
    <w:qFormat/>
    <w:rPr>
      <w:rFonts w:ascii="Times New Roman" w:eastAsia="宋体" w:hAnsi="Times New Roman" w:cs="Times New Roman"/>
      <w:b/>
      <w:bCs/>
      <w:kern w:val="2"/>
      <w:sz w:val="20"/>
      <w:szCs w:val="20"/>
    </w:rPr>
  </w:style>
  <w:style w:type="character" w:customStyle="1" w:styleId="EndnoteTextChar">
    <w:name w:val="Endnote Text Char"/>
    <w:link w:val="EndnoteText"/>
    <w:autoRedefine/>
    <w:semiHidden/>
    <w:qFormat/>
    <w:rPr>
      <w:rFonts w:ascii="Times New Roman" w:eastAsia="宋体" w:hAnsi="Times New Roman" w:cs="Times New Roman"/>
      <w:kern w:val="2"/>
      <w:sz w:val="20"/>
      <w:szCs w:val="20"/>
    </w:rPr>
  </w:style>
  <w:style w:type="paragraph" w:customStyle="1" w:styleId="1">
    <w:name w:val="修订1"/>
    <w:autoRedefine/>
    <w:hidden/>
    <w:uiPriority w:val="99"/>
    <w:semiHidden/>
    <w:qFormat/>
    <w:rPr>
      <w:kern w:val="2"/>
    </w:rPr>
  </w:style>
  <w:style w:type="paragraph" w:customStyle="1" w:styleId="10">
    <w:name w:val="列出段落1"/>
    <w:basedOn w:val="Normal"/>
    <w:link w:val="a"/>
    <w:autoRedefine/>
    <w:uiPriority w:val="99"/>
    <w:qFormat/>
    <w:pPr>
      <w:spacing w:after="120"/>
      <w:ind w:left="720"/>
      <w:contextualSpacing/>
    </w:pPr>
    <w:rPr>
      <w:rFonts w:ascii="Calibri" w:hAnsi="Calibri"/>
      <w:kern w:val="0"/>
      <w:sz w:val="22"/>
      <w:szCs w:val="22"/>
      <w:lang w:val="en-GB"/>
    </w:rPr>
  </w:style>
  <w:style w:type="paragraph" w:customStyle="1" w:styleId="CoverpageTitle">
    <w:name w:val="Coverpage Title"/>
    <w:basedOn w:val="Normal"/>
    <w:autoRedefine/>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Normal"/>
    <w:autoRedefine/>
    <w:qFormat/>
    <w:rPr>
      <w:rFonts w:ascii="Arial" w:eastAsia="华文楷体" w:hAnsi="Arial"/>
      <w:b/>
      <w:kern w:val="0"/>
      <w:sz w:val="44"/>
      <w:szCs w:val="24"/>
    </w:rPr>
  </w:style>
  <w:style w:type="paragraph" w:customStyle="1" w:styleId="CoverpageText">
    <w:name w:val="Coverpage Text"/>
    <w:basedOn w:val="Normal"/>
    <w:autoRedefine/>
    <w:qFormat/>
    <w:pPr>
      <w:spacing w:line="240" w:lineRule="atLeast"/>
    </w:pPr>
    <w:rPr>
      <w:rFonts w:ascii="Arial" w:eastAsia="华文楷体" w:hAnsi="Arial"/>
      <w:kern w:val="0"/>
      <w:sz w:val="32"/>
      <w:szCs w:val="24"/>
      <w:lang w:val="en-GB"/>
    </w:rPr>
  </w:style>
  <w:style w:type="paragraph" w:customStyle="1" w:styleId="TableText">
    <w:name w:val="Table Text"/>
    <w:basedOn w:val="Normal"/>
    <w:link w:val="TableTextChar"/>
    <w:autoRedefine/>
    <w:qFormat/>
    <w:pPr>
      <w:spacing w:before="20" w:after="20" w:line="240" w:lineRule="atLeast"/>
    </w:pPr>
    <w:rPr>
      <w:rFonts w:ascii="Arial" w:eastAsia="华文楷体" w:hAnsi="Arial"/>
      <w:kern w:val="0"/>
      <w:sz w:val="22"/>
      <w:szCs w:val="18"/>
      <w:lang w:val="en-GB" w:eastAsia="en-US"/>
    </w:rPr>
  </w:style>
  <w:style w:type="character" w:customStyle="1" w:styleId="TableTextChar">
    <w:name w:val="Table Text Char"/>
    <w:link w:val="TableText"/>
    <w:autoRedefine/>
    <w:qFormat/>
    <w:rPr>
      <w:rFonts w:ascii="Arial" w:eastAsia="华文楷体" w:hAnsi="Arial" w:cs="Times New Roman"/>
      <w:szCs w:val="18"/>
      <w:lang w:val="en-GB" w:eastAsia="en-US"/>
    </w:rPr>
  </w:style>
  <w:style w:type="paragraph" w:customStyle="1" w:styleId="Bodycopy">
    <w:name w:val="Body copy"/>
    <w:basedOn w:val="Normal"/>
    <w:link w:val="BodycopyChar"/>
    <w:autoRedefine/>
    <w:qFormat/>
    <w:pPr>
      <w:spacing w:after="113" w:line="240" w:lineRule="atLeast"/>
    </w:pPr>
    <w:rPr>
      <w:kern w:val="0"/>
      <w:sz w:val="22"/>
      <w:szCs w:val="24"/>
      <w:lang w:val="en-AU" w:eastAsia="en-US"/>
    </w:rPr>
  </w:style>
  <w:style w:type="character" w:customStyle="1" w:styleId="BodycopyChar">
    <w:name w:val="Body copy Char"/>
    <w:link w:val="Bodycopy"/>
    <w:autoRedefine/>
    <w:qFormat/>
    <w:rPr>
      <w:rFonts w:ascii="Times New Roman" w:eastAsia="宋体" w:hAnsi="Times New Roman" w:cs="Times New Roman"/>
      <w:szCs w:val="24"/>
      <w:lang w:val="en-AU" w:eastAsia="en-US"/>
    </w:rPr>
  </w:style>
  <w:style w:type="character" w:customStyle="1" w:styleId="mediumtext1">
    <w:name w:val="medium_text1"/>
    <w:autoRedefine/>
    <w:qFormat/>
    <w:rPr>
      <w:sz w:val="24"/>
      <w:szCs w:val="24"/>
    </w:rPr>
  </w:style>
  <w:style w:type="character" w:customStyle="1" w:styleId="shorttext1">
    <w:name w:val="short_text1"/>
    <w:autoRedefine/>
    <w:qFormat/>
    <w:rPr>
      <w:sz w:val="29"/>
      <w:szCs w:val="29"/>
    </w:rPr>
  </w:style>
  <w:style w:type="paragraph" w:customStyle="1" w:styleId="F">
    <w:name w:val="F中文正文"/>
    <w:basedOn w:val="Normal"/>
    <w:link w:val="FChar"/>
    <w:autoRedefine/>
    <w:qFormat/>
    <w:pPr>
      <w:spacing w:before="120" w:after="120" w:line="360" w:lineRule="auto"/>
      <w:ind w:firstLine="432"/>
      <w:jc w:val="both"/>
    </w:pPr>
    <w:rPr>
      <w:kern w:val="0"/>
      <w:sz w:val="22"/>
      <w:szCs w:val="22"/>
      <w:lang w:eastAsia="en-US"/>
    </w:rPr>
  </w:style>
  <w:style w:type="character" w:customStyle="1" w:styleId="FChar">
    <w:name w:val="F中文正文 Char"/>
    <w:link w:val="F"/>
    <w:autoRedefine/>
    <w:qFormat/>
    <w:rPr>
      <w:rFonts w:ascii="Times New Roman" w:eastAsia="宋体" w:hAnsi="Times New Roman" w:cs="Times New Roman"/>
      <w:lang w:eastAsia="en-US"/>
    </w:rPr>
  </w:style>
  <w:style w:type="character" w:customStyle="1" w:styleId="NoteHeadingChar">
    <w:name w:val="Note Heading Char"/>
    <w:link w:val="NoteHeading"/>
    <w:autoRedefine/>
    <w:qFormat/>
    <w:rPr>
      <w:rFonts w:ascii="EYInterstate Light" w:hAnsi="EYInterstate Light" w:cs="Arial"/>
      <w:b/>
      <w:kern w:val="24"/>
      <w:sz w:val="18"/>
      <w:lang w:eastAsia="en-US"/>
    </w:rPr>
  </w:style>
  <w:style w:type="character" w:customStyle="1" w:styleId="maincontenttext1">
    <w:name w:val="main_content_text1"/>
    <w:autoRedefine/>
    <w:qFormat/>
    <w:rPr>
      <w:rFonts w:ascii="Arial" w:hAnsi="Arial" w:cs="Arial" w:hint="default"/>
      <w:color w:val="000000"/>
      <w:sz w:val="18"/>
      <w:szCs w:val="18"/>
    </w:rPr>
  </w:style>
  <w:style w:type="paragraph" w:customStyle="1" w:styleId="Instructions-bodytext">
    <w:name w:val="Instructions - body text"/>
    <w:basedOn w:val="Normal"/>
    <w:next w:val="Normal"/>
    <w:link w:val="Instructions-bodytextChar"/>
    <w:autoRedefine/>
    <w:qFormat/>
    <w:pPr>
      <w:spacing w:before="120" w:after="120" w:line="360" w:lineRule="auto"/>
    </w:pPr>
    <w:rPr>
      <w:rFonts w:ascii="Arial" w:hAnsi="Arial" w:cs="Arial"/>
      <w:iCs/>
      <w:color w:val="0000FF"/>
      <w:kern w:val="24"/>
      <w:lang w:eastAsia="en-US"/>
    </w:rPr>
  </w:style>
  <w:style w:type="character" w:customStyle="1" w:styleId="Instructions-bodytextChar">
    <w:name w:val="Instructions - body text Char"/>
    <w:link w:val="Instructions-bodytext"/>
    <w:autoRedefine/>
    <w:qFormat/>
    <w:rPr>
      <w:rFonts w:cs="Arial"/>
      <w:iCs/>
      <w:color w:val="0000FF"/>
      <w:kern w:val="24"/>
      <w:lang w:eastAsia="en-US"/>
    </w:rPr>
  </w:style>
  <w:style w:type="character" w:customStyle="1" w:styleId="Heading7Char">
    <w:name w:val="Heading 7 Char"/>
    <w:link w:val="Heading7"/>
    <w:autoRedefine/>
    <w:uiPriority w:val="9"/>
    <w:semiHidden/>
    <w:qFormat/>
    <w:rPr>
      <w:rFonts w:ascii="Calibri" w:eastAsia="宋体" w:hAnsi="Calibri" w:cs="Times New Roman"/>
      <w:kern w:val="2"/>
      <w:sz w:val="24"/>
      <w:szCs w:val="24"/>
    </w:rPr>
  </w:style>
  <w:style w:type="character" w:customStyle="1" w:styleId="Heading8Char">
    <w:name w:val="Heading 8 Char"/>
    <w:link w:val="Heading8"/>
    <w:autoRedefine/>
    <w:uiPriority w:val="9"/>
    <w:semiHidden/>
    <w:qFormat/>
    <w:rPr>
      <w:rFonts w:ascii="Calibri" w:eastAsia="宋体" w:hAnsi="Calibri" w:cs="Times New Roman"/>
      <w:i/>
      <w:iCs/>
      <w:kern w:val="2"/>
      <w:sz w:val="24"/>
      <w:szCs w:val="24"/>
    </w:rPr>
  </w:style>
  <w:style w:type="character" w:customStyle="1" w:styleId="Heading9Char">
    <w:name w:val="Heading 9 Char"/>
    <w:link w:val="Heading9"/>
    <w:autoRedefine/>
    <w:uiPriority w:val="9"/>
    <w:semiHidden/>
    <w:qFormat/>
    <w:rPr>
      <w:rFonts w:ascii="Cambria" w:eastAsia="宋体" w:hAnsi="Cambria" w:cs="Times New Roman"/>
      <w:kern w:val="2"/>
      <w:sz w:val="22"/>
      <w:szCs w:val="22"/>
    </w:rPr>
  </w:style>
  <w:style w:type="paragraph" w:customStyle="1" w:styleId="Bulletnumbers">
    <w:name w:val="Bullet numbers"/>
    <w:basedOn w:val="Normal"/>
    <w:next w:val="Normal"/>
    <w:autoRedefine/>
    <w:qFormat/>
    <w:pPr>
      <w:spacing w:before="120" w:after="120" w:line="360" w:lineRule="auto"/>
    </w:pPr>
    <w:rPr>
      <w:rFonts w:ascii="EYInterstate Light" w:hAnsi="EYInterstate Light" w:cs="Arial"/>
      <w:kern w:val="24"/>
      <w:lang w:val="en-GB"/>
    </w:rPr>
  </w:style>
  <w:style w:type="paragraph" w:customStyle="1" w:styleId="TOC10">
    <w:name w:val="TOC 标题1"/>
    <w:basedOn w:val="Heading1"/>
    <w:next w:val="Normal"/>
    <w:autoRedefine/>
    <w:uiPriority w:val="39"/>
    <w:unhideWhenUsed/>
    <w:qFormat/>
    <w:pPr>
      <w:keepLines/>
      <w:spacing w:before="480" w:after="0" w:line="276" w:lineRule="auto"/>
      <w:outlineLvl w:val="9"/>
    </w:pPr>
    <w:rPr>
      <w:rFonts w:ascii="Cambria" w:hAnsi="Cambria" w:cs="Times New Roman"/>
      <w:color w:val="365F91"/>
      <w:lang w:eastAsia="en-US"/>
    </w:rPr>
  </w:style>
  <w:style w:type="paragraph" w:customStyle="1" w:styleId="Headline2">
    <w:name w:val="Headline 2"/>
    <w:autoRedefine/>
    <w:qFormat/>
    <w:pPr>
      <w:spacing w:line="470" w:lineRule="exact"/>
    </w:pPr>
    <w:rPr>
      <w:rFonts w:ascii="Arial" w:eastAsia="黑体" w:hAnsi="Arial" w:cs="Arial"/>
      <w:bCs/>
      <w:kern w:val="32"/>
      <w:sz w:val="36"/>
      <w:szCs w:val="48"/>
      <w:lang w:val="en-GB" w:eastAsia="en-US"/>
    </w:rPr>
  </w:style>
  <w:style w:type="character" w:customStyle="1" w:styleId="DocumentMapChar">
    <w:name w:val="Document Map Char"/>
    <w:link w:val="DocumentMap"/>
    <w:autoRedefine/>
    <w:uiPriority w:val="99"/>
    <w:semiHidden/>
    <w:qFormat/>
    <w:rPr>
      <w:rFonts w:ascii="Tahoma" w:hAnsi="Tahoma" w:cs="Tahoma"/>
      <w:kern w:val="2"/>
      <w:sz w:val="16"/>
      <w:szCs w:val="16"/>
    </w:rPr>
  </w:style>
  <w:style w:type="paragraph" w:customStyle="1" w:styleId="Tablebullet">
    <w:name w:val="Table bullet"/>
    <w:basedOn w:val="Normal"/>
    <w:autoRedefine/>
    <w:qFormat/>
    <w:pPr>
      <w:numPr>
        <w:numId w:val="3"/>
      </w:numPr>
      <w:spacing w:before="120"/>
    </w:pPr>
    <w:rPr>
      <w:kern w:val="0"/>
      <w:lang w:eastAsia="en-US"/>
    </w:rPr>
  </w:style>
  <w:style w:type="paragraph" w:customStyle="1" w:styleId="Tableautexte">
    <w:name w:val="Tableau texte"/>
    <w:basedOn w:val="Normal"/>
    <w:autoRedefine/>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customStyle="1" w:styleId="11">
    <w:name w:val="引用1"/>
    <w:basedOn w:val="Normal"/>
    <w:link w:val="a0"/>
    <w:autoRedefine/>
    <w:qFormat/>
    <w:pPr>
      <w:spacing w:before="120" w:after="180" w:line="360" w:lineRule="exact"/>
      <w:ind w:left="720"/>
    </w:pPr>
    <w:rPr>
      <w:rFonts w:ascii="EYInterstate Light" w:hAnsi="EYInterstate Light" w:cs="Arial"/>
      <w:bCs/>
      <w:i/>
      <w:spacing w:val="-10"/>
      <w:kern w:val="32"/>
      <w:szCs w:val="48"/>
      <w:lang w:eastAsia="en-US"/>
    </w:rPr>
  </w:style>
  <w:style w:type="character" w:customStyle="1" w:styleId="a0">
    <w:name w:val="引用 字符"/>
    <w:link w:val="11"/>
    <w:autoRedefine/>
    <w:qFormat/>
    <w:rPr>
      <w:rFonts w:ascii="EYInterstate Light" w:hAnsi="EYInterstate Light" w:cs="Arial"/>
      <w:bCs/>
      <w:i/>
      <w:spacing w:val="-10"/>
      <w:kern w:val="32"/>
      <w:szCs w:val="48"/>
      <w:lang w:eastAsia="en-US"/>
    </w:rPr>
  </w:style>
  <w:style w:type="paragraph" w:customStyle="1" w:styleId="ListBulletBlue">
    <w:name w:val="List Bullet + Blue"/>
    <w:basedOn w:val="ListBullet"/>
    <w:link w:val="ListBulletBlueChar"/>
    <w:autoRedefine/>
    <w:qFormat/>
    <w:pPr>
      <w:tabs>
        <w:tab w:val="left" w:pos="595"/>
      </w:tabs>
      <w:ind w:left="595" w:hanging="595"/>
    </w:pPr>
    <w:rPr>
      <w:rFonts w:ascii="Arial" w:eastAsia="华文楷体" w:hAnsi="Arial"/>
      <w:color w:val="0099CC"/>
      <w:kern w:val="0"/>
      <w:sz w:val="22"/>
      <w:lang w:val="en-GB" w:eastAsia="en-US"/>
    </w:rPr>
  </w:style>
  <w:style w:type="character" w:customStyle="1" w:styleId="ListBulletBlueChar">
    <w:name w:val="List Bullet + Blue Char"/>
    <w:link w:val="ListBulletBlue"/>
    <w:autoRedefine/>
    <w:qFormat/>
    <w:rPr>
      <w:rFonts w:eastAsia="华文楷体"/>
      <w:color w:val="0099CC"/>
      <w:sz w:val="22"/>
      <w:lang w:val="en-GB" w:eastAsia="en-US"/>
    </w:rPr>
  </w:style>
  <w:style w:type="paragraph" w:customStyle="1" w:styleId="BulletEY">
    <w:name w:val="Bullet EY"/>
    <w:basedOn w:val="Normal"/>
    <w:next w:val="Normal"/>
    <w:autoRedefine/>
    <w:qFormat/>
    <w:pPr>
      <w:spacing w:before="120" w:after="240" w:line="360" w:lineRule="auto"/>
    </w:pPr>
    <w:rPr>
      <w:rFonts w:ascii="EYInterstate Light" w:hAnsi="EYInterstate Light" w:cs="Arial"/>
      <w:kern w:val="24"/>
      <w:szCs w:val="18"/>
      <w:lang w:eastAsia="en-US"/>
    </w:rPr>
  </w:style>
  <w:style w:type="paragraph" w:customStyle="1" w:styleId="BodyTextBold">
    <w:name w:val="Body Text  Bold"/>
    <w:basedOn w:val="BodyText"/>
    <w:autoRedefine/>
    <w:qFormat/>
    <w:pPr>
      <w:numPr>
        <w:numId w:val="4"/>
      </w:numPr>
      <w:tabs>
        <w:tab w:val="clear" w:pos="595"/>
      </w:tabs>
      <w:spacing w:before="0" w:after="240" w:line="240" w:lineRule="atLeast"/>
      <w:ind w:left="0" w:right="0" w:firstLine="0"/>
      <w:jc w:val="left"/>
    </w:pPr>
    <w:rPr>
      <w:rFonts w:ascii="Arial" w:eastAsia="华文楷体" w:hAnsi="Arial"/>
      <w:b/>
      <w:bCs/>
      <w:kern w:val="0"/>
      <w:sz w:val="22"/>
      <w:szCs w:val="22"/>
      <w:lang w:val="en-GB" w:eastAsia="en-US"/>
    </w:rPr>
  </w:style>
  <w:style w:type="paragraph" w:customStyle="1" w:styleId="ExhibitTextboxText">
    <w:name w:val="Exhibit Textbox Text"/>
    <w:basedOn w:val="Normal"/>
    <w:autoRedefine/>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BodyText"/>
    <w:link w:val="BodyTextBlueChar"/>
    <w:autoRedefine/>
    <w:qFormat/>
    <w:pPr>
      <w:spacing w:before="0" w:after="240" w:line="240" w:lineRule="atLeast"/>
      <w:ind w:right="0"/>
      <w:jc w:val="left"/>
    </w:pPr>
    <w:rPr>
      <w:rFonts w:ascii="Arial" w:eastAsia="华文楷体" w:hAnsi="Arial"/>
      <w:color w:val="0099CC"/>
      <w:kern w:val="0"/>
      <w:sz w:val="22"/>
      <w:szCs w:val="22"/>
      <w:lang w:val="en-GB" w:eastAsia="en-US"/>
    </w:rPr>
  </w:style>
  <w:style w:type="character" w:customStyle="1" w:styleId="BodyTextBlueChar">
    <w:name w:val="Body Text Blue Char"/>
    <w:link w:val="BodyTextBlue"/>
    <w:autoRedefin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Normal"/>
    <w:link w:val="EYBodytextwithparaspaceChar"/>
    <w:autoRedefine/>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autoRedefine/>
    <w:qFormat/>
    <w:rPr>
      <w:rFonts w:ascii="EYInterstate Light" w:hAnsi="EYInterstate Light"/>
      <w:kern w:val="12"/>
      <w:szCs w:val="24"/>
      <w:lang w:val="en-GB" w:eastAsia="en-US"/>
    </w:rPr>
  </w:style>
  <w:style w:type="paragraph" w:customStyle="1" w:styleId="BodyCopy0">
    <w:name w:val="BodyCopy"/>
    <w:basedOn w:val="Normal"/>
    <w:autoRedefine/>
    <w:qFormat/>
    <w:pPr>
      <w:spacing w:after="260"/>
    </w:pPr>
    <w:rPr>
      <w:kern w:val="0"/>
      <w:sz w:val="22"/>
      <w:szCs w:val="24"/>
      <w:lang w:eastAsia="en-US"/>
    </w:rPr>
  </w:style>
  <w:style w:type="table" w:customStyle="1" w:styleId="2-41">
    <w:name w:val="清单表 2 - 着色 41"/>
    <w:basedOn w:val="TableNormal"/>
    <w:autoRedefine/>
    <w:uiPriority w:val="47"/>
    <w:qFormat/>
    <w:tblPr>
      <w:tblInd w:w="0" w:type="dxa"/>
      <w:tblBorders>
        <w:top w:val="single" w:sz="4" w:space="0" w:color="7ACE6C" w:themeColor="accent4" w:themeTint="99"/>
        <w:bottom w:val="single" w:sz="4" w:space="0" w:color="7ACE6C" w:themeColor="accent4" w:themeTint="99"/>
        <w:insideH w:val="single" w:sz="4" w:space="0" w:color="7ACE6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TableNormal"/>
    <w:autoRedefine/>
    <w:uiPriority w:val="52"/>
    <w:qFormat/>
    <w:rPr>
      <w:color w:val="2C6722" w:themeColor="accent4"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TableNormal"/>
    <w:autoRedefine/>
    <w:uiPriority w:val="51"/>
    <w:qFormat/>
    <w:rPr>
      <w:color w:val="2C6722" w:themeColor="accent4" w:themeShade="BF"/>
    </w:rPr>
    <w:tblPr>
      <w:tblInd w:w="0" w:type="dxa"/>
      <w:tblBorders>
        <w:top w:val="single" w:sz="4" w:space="0" w:color="3C8A2E" w:themeColor="accent4"/>
        <w:bottom w:val="single" w:sz="4" w:space="0" w:color="3C8A2E" w:themeColor="accent4"/>
      </w:tblBorders>
      <w:tblCellMar>
        <w:top w:w="0" w:type="dxa"/>
        <w:left w:w="108" w:type="dxa"/>
        <w:bottom w:w="0" w:type="dxa"/>
        <w:right w:w="108" w:type="dxa"/>
      </w:tblCellMar>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TableNormal"/>
    <w:autoRedefine/>
    <w:uiPriority w:val="48"/>
    <w:qFormat/>
    <w:tblPr>
      <w:tblInd w:w="0" w:type="dxa"/>
      <w:tblBorders>
        <w:top w:val="single" w:sz="4" w:space="0" w:color="3C8A2E" w:themeColor="accent4"/>
        <w:left w:val="single" w:sz="4" w:space="0" w:color="3C8A2E" w:themeColor="accent4"/>
        <w:bottom w:val="single" w:sz="4" w:space="0" w:color="3C8A2E" w:themeColor="accent4"/>
        <w:right w:val="single" w:sz="4" w:space="0" w:color="3C8A2E" w:themeColor="accent4"/>
      </w:tblBorders>
      <w:tblCellMar>
        <w:top w:w="0" w:type="dxa"/>
        <w:left w:w="108" w:type="dxa"/>
        <w:bottom w:w="0" w:type="dxa"/>
        <w:right w:w="108" w:type="dxa"/>
      </w:tblCellMar>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TableNormal"/>
    <w:autoRedefine/>
    <w:uiPriority w:val="48"/>
    <w:qFormat/>
    <w:tblPr>
      <w:tblInd w:w="0" w:type="dxa"/>
      <w:tblBorders>
        <w:top w:val="single" w:sz="4" w:space="0" w:color="72C7E7" w:themeColor="accent5"/>
        <w:left w:val="single" w:sz="4" w:space="0" w:color="72C7E7" w:themeColor="accent5"/>
        <w:bottom w:val="single" w:sz="4" w:space="0" w:color="72C7E7" w:themeColor="accent5"/>
        <w:right w:val="single" w:sz="4" w:space="0" w:color="72C7E7" w:themeColor="accent5"/>
      </w:tblBorders>
      <w:tblCellMar>
        <w:top w:w="0" w:type="dxa"/>
        <w:left w:w="108" w:type="dxa"/>
        <w:bottom w:w="0" w:type="dxa"/>
        <w:right w:w="108" w:type="dxa"/>
      </w:tblCellMar>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TableNormal"/>
    <w:autoRedefine/>
    <w:uiPriority w:val="52"/>
    <w:qFormat/>
    <w:rPr>
      <w:color w:val="28A9DA" w:themeColor="accent5"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TableNormal"/>
    <w:autoRedefine/>
    <w:uiPriority w:val="52"/>
    <w:qFormat/>
    <w:rPr>
      <w:color w:val="0077A6" w:themeColor="accent3"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TableNormal"/>
    <w:autoRedefine/>
    <w:uiPriority w:val="52"/>
    <w:qFormat/>
    <w:rPr>
      <w:color w:val="28A9DA" w:themeColor="accent5" w:themeShade="BF"/>
    </w:rPr>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TableNormal"/>
    <w:autoRedefine/>
    <w:uiPriority w:val="47"/>
    <w:qFormat/>
    <w:tblPr>
      <w:tblInd w:w="0" w:type="dxa"/>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CellMar>
        <w:top w:w="0" w:type="dxa"/>
        <w:left w:w="108" w:type="dxa"/>
        <w:bottom w:w="0" w:type="dxa"/>
        <w:right w:w="108" w:type="dxa"/>
      </w:tblCellMar>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TableNormal"/>
    <w:autoRedefine/>
    <w:uiPriority w:val="48"/>
    <w:qFormat/>
    <w:tblPr>
      <w:tblInd w:w="0" w:type="dxa"/>
      <w:tblBorders>
        <w:top w:val="single" w:sz="4" w:space="0" w:color="00A1DE" w:themeColor="accent3"/>
        <w:left w:val="single" w:sz="4" w:space="0" w:color="00A1DE" w:themeColor="accent3"/>
        <w:bottom w:val="single" w:sz="4" w:space="0" w:color="00A1DE" w:themeColor="accent3"/>
        <w:right w:val="single" w:sz="4" w:space="0" w:color="00A1DE" w:themeColor="accent3"/>
      </w:tblBorders>
      <w:tblCellMar>
        <w:top w:w="0" w:type="dxa"/>
        <w:left w:w="108" w:type="dxa"/>
        <w:bottom w:w="0" w:type="dxa"/>
        <w:right w:w="108" w:type="dxa"/>
      </w:tblCellMar>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TableNormal"/>
    <w:autoRedefine/>
    <w:uiPriority w:val="47"/>
    <w:qFormat/>
    <w:tblPr>
      <w:tblInd w:w="0" w:type="dxa"/>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CellMar>
        <w:top w:w="0" w:type="dxa"/>
        <w:left w:w="108" w:type="dxa"/>
        <w:bottom w:w="0" w:type="dxa"/>
        <w:right w:w="108" w:type="dxa"/>
      </w:tblCellMar>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TableNormal"/>
    <w:autoRedefine/>
    <w:uiPriority w:val="51"/>
    <w:qFormat/>
    <w:rPr>
      <w:color w:val="0077A6" w:themeColor="accent3" w:themeShade="BF"/>
    </w:rPr>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TableNormal"/>
    <w:autoRedefine/>
    <w:uiPriority w:val="46"/>
    <w:qFormat/>
    <w:tblPr>
      <w:tblInd w:w="0" w:type="dxa"/>
      <w:tblCellMar>
        <w:top w:w="0" w:type="dxa"/>
        <w:left w:w="108" w:type="dxa"/>
        <w:bottom w:w="0" w:type="dxa"/>
        <w:right w:w="108" w:type="dxa"/>
      </w:tblCellMar>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TableNormal"/>
    <w:autoRedefine/>
    <w:uiPriority w:val="51"/>
    <w:qFormat/>
    <w:rPr>
      <w:color w:val="0077A6" w:themeColor="accent3" w:themeShade="BF"/>
    </w:rPr>
    <w:tblPr>
      <w:tblInd w:w="0" w:type="dxa"/>
      <w:tblBorders>
        <w:top w:val="single" w:sz="4" w:space="0" w:color="00A1DE" w:themeColor="accent3"/>
        <w:bottom w:val="single" w:sz="4" w:space="0" w:color="00A1DE" w:themeColor="accent3"/>
      </w:tblBorders>
      <w:tblCellMar>
        <w:top w:w="0" w:type="dxa"/>
        <w:left w:w="108" w:type="dxa"/>
        <w:bottom w:w="0" w:type="dxa"/>
        <w:right w:w="108" w:type="dxa"/>
      </w:tblCellMar>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TableNormal"/>
    <w:autoRedefine/>
    <w:uiPriority w:val="49"/>
    <w:qFormat/>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TableNormal"/>
    <w:autoRedefine/>
    <w:uiPriority w:val="49"/>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TableNormal"/>
    <w:autoRedefine/>
    <w:uiPriority w:val="47"/>
    <w:qFormat/>
    <w:tblPr>
      <w:tblInd w:w="0" w:type="dxa"/>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CellMar>
        <w:top w:w="0" w:type="dxa"/>
        <w:left w:w="108" w:type="dxa"/>
        <w:bottom w:w="0" w:type="dxa"/>
        <w:right w:w="108" w:type="dxa"/>
      </w:tblCellMar>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TitleChar">
    <w:name w:val="Title Char"/>
    <w:basedOn w:val="DefaultParagraphFont"/>
    <w:link w:val="Title"/>
    <w:autoRedefine/>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autoRedefine/>
    <w:qFormat/>
    <w:pPr>
      <w:spacing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autoRedefine/>
    <w:qFormat/>
    <w:pPr>
      <w:spacing w:after="120" w:line="440" w:lineRule="atLeast"/>
    </w:pPr>
    <w:rPr>
      <w:rFonts w:asciiTheme="minorHAnsi" w:hAnsiTheme="minorHAnsi" w:cstheme="minorBidi"/>
      <w:kern w:val="0"/>
      <w:sz w:val="36"/>
      <w:szCs w:val="22"/>
      <w:lang w:eastAsia="en-US"/>
    </w:rPr>
  </w:style>
  <w:style w:type="paragraph" w:customStyle="1" w:styleId="Documentdate">
    <w:name w:val="Document date"/>
    <w:autoRedefine/>
    <w:qFormat/>
    <w:pPr>
      <w:spacing w:line="240" w:lineRule="atLeast"/>
    </w:pPr>
    <w:rPr>
      <w:rFonts w:asciiTheme="minorHAnsi" w:hAnsiTheme="minorHAnsi" w:cstheme="minorBidi"/>
      <w:sz w:val="18"/>
      <w:szCs w:val="22"/>
      <w:lang w:eastAsia="en-US"/>
    </w:rPr>
  </w:style>
  <w:style w:type="paragraph" w:customStyle="1" w:styleId="Default">
    <w:name w:val="Default"/>
    <w:autoRedefine/>
    <w:qFormat/>
    <w:pPr>
      <w:autoSpaceDE w:val="0"/>
      <w:autoSpaceDN w:val="0"/>
      <w:adjustRightInd w:val="0"/>
    </w:pPr>
    <w:rPr>
      <w:rFonts w:ascii="Verdana" w:hAnsi="Verdana" w:cs="Verdana"/>
      <w:color w:val="000000"/>
      <w:sz w:val="24"/>
      <w:szCs w:val="24"/>
    </w:rPr>
  </w:style>
  <w:style w:type="paragraph" w:customStyle="1" w:styleId="Figure">
    <w:name w:val="Figure"/>
    <w:basedOn w:val="Normal"/>
    <w:next w:val="Normal"/>
    <w:autoRedefine/>
    <w:qFormat/>
    <w:pPr>
      <w:spacing w:before="120" w:after="120" w:line="360" w:lineRule="auto"/>
    </w:pPr>
    <w:rPr>
      <w:rFonts w:ascii="EYInterstate" w:eastAsiaTheme="minorEastAsia" w:hAnsi="EYInterstate" w:cs="Arial"/>
      <w:b/>
      <w:bCs/>
      <w:kern w:val="24"/>
      <w:lang w:eastAsia="en-US"/>
    </w:rPr>
  </w:style>
  <w:style w:type="character" w:customStyle="1" w:styleId="a">
    <w:name w:val="列出段落 字符"/>
    <w:basedOn w:val="DefaultParagraphFont"/>
    <w:link w:val="10"/>
    <w:autoRedefine/>
    <w:uiPriority w:val="99"/>
    <w:qFormat/>
    <w:rPr>
      <w:rFonts w:ascii="Calibri" w:hAnsi="Calibri"/>
      <w:sz w:val="22"/>
      <w:szCs w:val="22"/>
      <w:lang w:val="en-GB"/>
    </w:rPr>
  </w:style>
  <w:style w:type="table" w:customStyle="1" w:styleId="1-21">
    <w:name w:val="网格表 1 浅色 - 着色 21"/>
    <w:basedOn w:val="TableNormal"/>
    <w:autoRedefine/>
    <w:uiPriority w:val="46"/>
    <w:qFormat/>
    <w:tblPr>
      <w:tblInd w:w="0" w:type="dxa"/>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CellMar>
        <w:top w:w="0" w:type="dxa"/>
        <w:left w:w="108" w:type="dxa"/>
        <w:bottom w:w="0" w:type="dxa"/>
        <w:right w:w="108" w:type="dxa"/>
      </w:tblCellMar>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TableNormal"/>
    <w:autoRedefine/>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TableNormal"/>
    <w:autoRedefine/>
    <w:uiPriority w:val="48"/>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TableNormal"/>
    <w:autoRedefine/>
    <w:uiPriority w:val="47"/>
    <w:qFormat/>
    <w:tblPr>
      <w:tblInd w:w="0" w:type="dxa"/>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CellMar>
        <w:top w:w="0" w:type="dxa"/>
        <w:left w:w="108" w:type="dxa"/>
        <w:bottom w:w="0" w:type="dxa"/>
        <w:right w:w="108" w:type="dxa"/>
      </w:tblCellMar>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autoRedefine/>
    <w:qFormat/>
    <w:pPr>
      <w:keepNext/>
      <w:widowControl w:val="0"/>
      <w:spacing w:before="60" w:after="60"/>
      <w:jc w:val="center"/>
    </w:pPr>
    <w:rPr>
      <w:rFonts w:ascii="Arial Bold" w:hAnsi="Arial Bold"/>
      <w:b/>
      <w:szCs w:val="20"/>
    </w:rPr>
  </w:style>
  <w:style w:type="paragraph" w:customStyle="1" w:styleId="ExhibitTitle">
    <w:name w:val="Exhibit Title"/>
    <w:basedOn w:val="Caption"/>
    <w:link w:val="ExhibitTitleChar"/>
    <w:autoRedefine/>
    <w:qFormat/>
    <w:pPr>
      <w:keepNext/>
      <w:tabs>
        <w:tab w:val="left" w:pos="1224"/>
      </w:tabs>
      <w:spacing w:before="120" w:after="120" w:line="240" w:lineRule="atLeast"/>
      <w:ind w:left="1021" w:hanging="1021"/>
    </w:pPr>
    <w:rPr>
      <w:rFonts w:ascii="Arial Bold" w:eastAsia="华文楷体" w:hAnsi="Arial Bold"/>
      <w:bCs w:val="0"/>
      <w:color w:val="FFFFFF"/>
      <w:kern w:val="0"/>
      <w:sz w:val="22"/>
      <w:lang w:val="en-GB" w:eastAsia="en-US"/>
    </w:rPr>
  </w:style>
  <w:style w:type="character" w:customStyle="1" w:styleId="ExhibitTitleChar">
    <w:name w:val="Exhibit Title Char"/>
    <w:basedOn w:val="DefaultParagraphFont"/>
    <w:link w:val="ExhibitTitle"/>
    <w:autoRedefin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autoRedefine/>
    <w:qFormat/>
    <w:rPr>
      <w:b/>
      <w:bCs/>
    </w:rPr>
  </w:style>
  <w:style w:type="character" w:customStyle="1" w:styleId="TableTextBoldChar">
    <w:name w:val="Table Text  Bold Char"/>
    <w:basedOn w:val="TableTextChar"/>
    <w:link w:val="TableTextBold"/>
    <w:autoRedefine/>
    <w:qFormat/>
    <w:rPr>
      <w:rFonts w:ascii="Arial" w:eastAsia="华文楷体" w:hAnsi="Arial" w:cs="Times New Roman"/>
      <w:b/>
      <w:bCs/>
      <w:sz w:val="22"/>
      <w:szCs w:val="18"/>
      <w:lang w:val="en-GB" w:eastAsia="en-US"/>
    </w:rPr>
  </w:style>
  <w:style w:type="paragraph" w:customStyle="1" w:styleId="ListBulletsinglespace">
    <w:name w:val="List Bullet single space"/>
    <w:basedOn w:val="ListBullet"/>
    <w:autoRedefine/>
    <w:qFormat/>
    <w:pPr>
      <w:numPr>
        <w:numId w:val="6"/>
      </w:numPr>
      <w:spacing w:after="0" w:line="240" w:lineRule="auto"/>
    </w:pPr>
    <w:rPr>
      <w:rFonts w:ascii="Arial" w:eastAsia="华文楷体" w:hAnsi="Arial"/>
      <w:kern w:val="0"/>
      <w:sz w:val="22"/>
      <w:lang w:val="en-GB" w:eastAsia="en-US"/>
    </w:rPr>
  </w:style>
  <w:style w:type="paragraph" w:customStyle="1" w:styleId="TableTextItalic">
    <w:name w:val="Table Text Italic"/>
    <w:basedOn w:val="TableText"/>
    <w:autoRedefine/>
    <w:qFormat/>
    <w:pPr>
      <w:keepNext/>
    </w:pPr>
    <w:rPr>
      <w:i/>
    </w:rPr>
  </w:style>
  <w:style w:type="paragraph" w:customStyle="1" w:styleId="ExhibitNote">
    <w:name w:val="Exhibit Note"/>
    <w:basedOn w:val="TableText"/>
    <w:autoRedefine/>
    <w:qFormat/>
    <w:rPr>
      <w:i/>
      <w:sz w:val="20"/>
      <w:lang w:val="en-CA"/>
    </w:rPr>
  </w:style>
  <w:style w:type="paragraph" w:customStyle="1" w:styleId="CNTPReport-Bullet2">
    <w:name w:val="CN TP Report-Bullet 2"/>
    <w:basedOn w:val="Normal"/>
    <w:autoRedefine/>
    <w:qFormat/>
    <w:pPr>
      <w:numPr>
        <w:numId w:val="7"/>
      </w:numPr>
      <w:spacing w:before="120" w:after="120" w:line="280" w:lineRule="exact"/>
      <w:jc w:val="both"/>
    </w:pPr>
    <w:rPr>
      <w:rFonts w:ascii="Verdana" w:hAnsi="Verdana" w:cs="Arial"/>
      <w:iCs/>
      <w:color w:val="222222"/>
      <w:kern w:val="0"/>
      <w:sz w:val="21"/>
      <w:szCs w:val="21"/>
      <w:lang w:val="en" w:eastAsia="en-US"/>
    </w:rPr>
  </w:style>
  <w:style w:type="paragraph" w:customStyle="1" w:styleId="ordinary-output">
    <w:name w:val="ordinary-output"/>
    <w:basedOn w:val="Normal"/>
    <w:autoRedefine/>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DefaultParagraphFont"/>
    <w:autoRedefine/>
    <w:qFormat/>
  </w:style>
  <w:style w:type="paragraph" w:customStyle="1" w:styleId="AnnexHeading">
    <w:name w:val="Annex Heading"/>
    <w:basedOn w:val="Heading1"/>
    <w:next w:val="BodyText"/>
    <w:autoRedefine/>
    <w:qFormat/>
    <w:pPr>
      <w:adjustRightInd/>
      <w:snapToGrid/>
      <w:spacing w:before="1620" w:after="1620" w:line="240" w:lineRule="atLeast"/>
      <w:ind w:left="432" w:hanging="432"/>
    </w:pPr>
    <w:rPr>
      <w:rFonts w:ascii="Arial" w:eastAsia="宋体" w:hAnsi="Arial"/>
      <w:b/>
      <w:bCs w:val="0"/>
      <w:kern w:val="32"/>
      <w:sz w:val="56"/>
      <w:szCs w:val="32"/>
      <w:lang w:val="en-GB"/>
    </w:rPr>
  </w:style>
  <w:style w:type="paragraph" w:customStyle="1" w:styleId="tgt">
    <w:name w:val="_tgt"/>
    <w:basedOn w:val="Normal"/>
    <w:autoRedefine/>
    <w:qFormat/>
    <w:pPr>
      <w:spacing w:before="100" w:beforeAutospacing="1" w:after="100" w:afterAutospacing="1"/>
    </w:pPr>
    <w:rPr>
      <w:rFonts w:eastAsia="Times New Roman"/>
      <w:kern w:val="0"/>
      <w:sz w:val="24"/>
      <w:szCs w:val="24"/>
    </w:rPr>
  </w:style>
  <w:style w:type="character" w:customStyle="1" w:styleId="transsent">
    <w:name w:val="transsent"/>
    <w:basedOn w:val="DefaultParagraphFont"/>
    <w:autoRedefine/>
    <w:qFormat/>
  </w:style>
  <w:style w:type="character" w:customStyle="1" w:styleId="HTMLPreformattedChar">
    <w:name w:val="HTML Preformatted Char"/>
    <w:basedOn w:val="DefaultParagraphFont"/>
    <w:link w:val="HTMLPreformatted"/>
    <w:autoRedefine/>
    <w:uiPriority w:val="99"/>
    <w:semiHidden/>
    <w:qFormat/>
    <w:rPr>
      <w:rFonts w:ascii="Courier New" w:hAnsi="Courier New" w:cs="Courier New"/>
      <w:kern w:val="2"/>
    </w:rPr>
  </w:style>
  <w:style w:type="paragraph" w:customStyle="1" w:styleId="TableParagraph">
    <w:name w:val="Table Paragraph"/>
    <w:basedOn w:val="Normal"/>
    <w:autoRedefine/>
    <w:uiPriority w:val="1"/>
    <w:qFormat/>
    <w:pPr>
      <w:widowControl w:val="0"/>
      <w:autoSpaceDE w:val="0"/>
      <w:autoSpaceDN w:val="0"/>
    </w:pPr>
    <w:rPr>
      <w:rFonts w:ascii="Verdana" w:eastAsia="Verdana" w:hAnsi="Verdana" w:cs="Verdana"/>
      <w:kern w:val="0"/>
      <w:sz w:val="22"/>
      <w:szCs w:val="22"/>
      <w:lang w:eastAsia="en-US"/>
    </w:rPr>
  </w:style>
  <w:style w:type="paragraph" w:customStyle="1" w:styleId="SPXEN">
    <w:name w:val="SPX EN"/>
    <w:basedOn w:val="Normal"/>
    <w:link w:val="SPXEN0"/>
    <w:autoRedefine/>
    <w:qFormat/>
    <w:pPr>
      <w:spacing w:before="120" w:after="120" w:line="240" w:lineRule="atLeast"/>
      <w:jc w:val="both"/>
    </w:pPr>
    <w:rPr>
      <w:rFonts w:ascii="Verdana" w:eastAsia="Verdana" w:hAnsi="Verdana"/>
      <w:sz w:val="21"/>
    </w:rPr>
  </w:style>
  <w:style w:type="character" w:customStyle="1" w:styleId="SPXEN0">
    <w:name w:val="SPX EN 字符"/>
    <w:basedOn w:val="DefaultParagraphFont"/>
    <w:link w:val="SPXEN"/>
    <w:autoRedefine/>
    <w:qFormat/>
    <w:rPr>
      <w:rFonts w:ascii="Verdana" w:eastAsia="Verdana" w:hAnsi="Verdana"/>
      <w:kern w:val="2"/>
      <w:sz w:val="21"/>
    </w:rPr>
  </w:style>
  <w:style w:type="character" w:customStyle="1" w:styleId="tlid-translation">
    <w:name w:val="tlid-translation"/>
    <w:basedOn w:val="DefaultParagraphFont"/>
    <w:autoRedefine/>
    <w:qFormat/>
  </w:style>
  <w:style w:type="paragraph" w:customStyle="1" w:styleId="ListParagraph1">
    <w:name w:val="List Paragraph1"/>
    <w:basedOn w:val="Normal"/>
    <w:autoRedefine/>
    <w:uiPriority w:val="34"/>
    <w:qFormat/>
    <w:pPr>
      <w:spacing w:before="100" w:beforeAutospacing="1" w:after="100" w:afterAutospacing="1"/>
      <w:jc w:val="both"/>
      <w:outlineLvl w:val="0"/>
    </w:pPr>
    <w:rPr>
      <w:rFonts w:ascii="Arial Narrow" w:eastAsia="仿宋_GB2312" w:hAnsi="Arial Narrow" w:cs="Arial"/>
      <w:color w:val="2C6722" w:themeColor="accent4" w:themeShade="BF"/>
      <w:kern w:val="0"/>
      <w:sz w:val="28"/>
      <w:szCs w:val="22"/>
    </w:rPr>
  </w:style>
  <w:style w:type="table" w:customStyle="1" w:styleId="4-51">
    <w:name w:val="网格表 4 - 着色 51"/>
    <w:basedOn w:val="TableNormal"/>
    <w:autoRedefine/>
    <w:uiPriority w:val="49"/>
    <w:qFormat/>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autoRedefine/>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2">
    <w:name w:val="列出段落2"/>
    <w:basedOn w:val="Normal"/>
    <w:autoRedefine/>
    <w:uiPriority w:val="99"/>
    <w:qFormat/>
    <w:pPr>
      <w:spacing w:after="120"/>
      <w:ind w:left="720"/>
      <w:contextualSpacing/>
    </w:pPr>
    <w:rPr>
      <w:rFonts w:ascii="Calibri" w:hAnsi="Calibri"/>
      <w:kern w:val="0"/>
      <w:sz w:val="22"/>
      <w:szCs w:val="22"/>
      <w:lang w:val="en-GB"/>
    </w:rPr>
  </w:style>
  <w:style w:type="character" w:customStyle="1" w:styleId="CaptionChar">
    <w:name w:val="Caption Char"/>
    <w:basedOn w:val="DefaultParagraphFont"/>
    <w:link w:val="Caption"/>
    <w:autoRedefine/>
    <w:uiPriority w:val="35"/>
    <w:qFormat/>
    <w:rPr>
      <w:b/>
      <w:bCs/>
      <w:kern w:val="2"/>
    </w:rPr>
  </w:style>
  <w:style w:type="paragraph" w:customStyle="1" w:styleId="20">
    <w:name w:val="修订2"/>
    <w:autoRedefine/>
    <w:hidden/>
    <w:uiPriority w:val="99"/>
    <w:semiHidden/>
    <w:qFormat/>
    <w:rPr>
      <w:kern w:val="2"/>
    </w:rPr>
  </w:style>
  <w:style w:type="paragraph" w:customStyle="1" w:styleId="3">
    <w:name w:val="修订3"/>
    <w:autoRedefine/>
    <w:hidden/>
    <w:uiPriority w:val="99"/>
    <w:semiHidden/>
    <w:qFormat/>
    <w:rPr>
      <w:kern w:val="2"/>
    </w:rPr>
  </w:style>
  <w:style w:type="paragraph" w:styleId="ListParagraph">
    <w:name w:val="List Paragraph"/>
    <w:basedOn w:val="Normal"/>
    <w:link w:val="ListParagraphChar"/>
    <w:autoRedefine/>
    <w:uiPriority w:val="99"/>
    <w:qFormat/>
    <w:pPr>
      <w:numPr>
        <w:numId w:val="8"/>
      </w:numPr>
      <w:spacing w:beforeLines="50" w:before="180" w:afterLines="50" w:after="180" w:line="360" w:lineRule="auto"/>
      <w:contextualSpacing/>
      <w:jc w:val="both"/>
    </w:pPr>
    <w:rPr>
      <w:rFonts w:ascii="Arial Narrow" w:eastAsia="仿宋_GB2312" w:hAnsi="Arial Narrow" w:cs="Arial"/>
      <w:kern w:val="0"/>
      <w:sz w:val="22"/>
      <w:szCs w:val="22"/>
      <w:lang w:val="en-GB"/>
    </w:rPr>
  </w:style>
  <w:style w:type="character" w:customStyle="1" w:styleId="ListParagraphChar">
    <w:name w:val="List Paragraph Char"/>
    <w:basedOn w:val="DefaultParagraphFont"/>
    <w:link w:val="ListParagraph"/>
    <w:autoRedefine/>
    <w:uiPriority w:val="99"/>
    <w:qFormat/>
    <w:rPr>
      <w:rFonts w:ascii="Arial Narrow" w:eastAsia="仿宋_GB2312" w:hAnsi="Arial Narrow" w:cs="Arial"/>
      <w:sz w:val="22"/>
      <w:szCs w:val="22"/>
      <w:lang w:val="en-GB"/>
    </w:rPr>
  </w:style>
  <w:style w:type="paragraph" w:customStyle="1" w:styleId="4">
    <w:name w:val="修订4"/>
    <w:autoRedefine/>
    <w:hidden/>
    <w:uiPriority w:val="99"/>
    <w:unhideWhenUsed/>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oter2.xml" Type="http://schemas.openxmlformats.org/officeDocument/2006/relationships/footer"/><Relationship Id="rId14" Target="header4.xml" Type="http://schemas.openxmlformats.org/officeDocument/2006/relationships/header"/><Relationship Id="rId15" Target="header5.xml" Type="http://schemas.openxmlformats.org/officeDocument/2006/relationships/header"/><Relationship Id="rId16" Target="header6.xml" Type="http://schemas.openxmlformats.org/officeDocument/2006/relationships/header"/><Relationship Id="rId17" Target="footer3.xml" Type="http://schemas.openxmlformats.org/officeDocument/2006/relationships/footer"/><Relationship Id="rId18" Target="header7.xml" Type="http://schemas.openxmlformats.org/officeDocument/2006/relationships/header"/><Relationship Id="rId19" Target="footer4.xml" Type="http://schemas.openxmlformats.org/officeDocument/2006/relationships/footer"/><Relationship Id="rId2" Target="../customXml/item2.xml" Type="http://schemas.openxmlformats.org/officeDocument/2006/relationships/customXml"/><Relationship Id="rId20" Target="footer5.xml" Type="http://schemas.openxmlformats.org/officeDocument/2006/relationships/footer"/><Relationship Id="rId21" Target="media/image1.jpeg" Type="http://schemas.openxmlformats.org/officeDocument/2006/relationships/image"/><Relationship Id="rId22" Target="media/image2.png" Type="http://schemas.openxmlformats.org/officeDocument/2006/relationships/image"/><Relationship Id="rId23" Target="media/image3.png" Type="http://schemas.openxmlformats.org/officeDocument/2006/relationships/image"/><Relationship Id="rId24" Target="media/image4.png" Type="http://schemas.openxmlformats.org/officeDocument/2006/relationships/image"/><Relationship Id="rId25" Target="charts/chart1.xml" Type="http://schemas.openxmlformats.org/officeDocument/2006/relationships/chart"/><Relationship Id="rId26" Target="charts/chart2.xml" Type="http://schemas.openxmlformats.org/officeDocument/2006/relationships/chart"/><Relationship Id="rId27" Target="charts/chart3.xml" Type="http://schemas.openxmlformats.org/officeDocument/2006/relationships/chart"/><Relationship Id="rId28" Target="charts/chart4.xml" Type="http://schemas.openxmlformats.org/officeDocument/2006/relationships/chart"/><Relationship Id="rId29" Target="media/image5.png" Type="http://schemas.openxmlformats.org/officeDocument/2006/relationships/image"/><Relationship Id="rId3" Target="numbering.xml" Type="http://schemas.openxmlformats.org/officeDocument/2006/relationships/numbering"/><Relationship Id="rId30" Target="media/image6.jpeg" Type="http://schemas.openxmlformats.org/officeDocument/2006/relationships/image"/><Relationship Id="rId31" Target="header8.xml" Type="http://schemas.openxmlformats.org/officeDocument/2006/relationships/header"/><Relationship Id="rId32" Target="header9.xml" Type="http://schemas.openxmlformats.org/officeDocument/2006/relationships/header"/><Relationship Id="rId33" Target="media/image7.png" Type="http://schemas.openxmlformats.org/officeDocument/2006/relationships/image"/><Relationship Id="rId34" Target="charts/chart5.xml" Type="http://schemas.openxmlformats.org/officeDocument/2006/relationships/chart"/><Relationship Id="rId35" Target="header10.xml" Type="http://schemas.openxmlformats.org/officeDocument/2006/relationships/header"/><Relationship Id="rId36" Target="footer6.xml" Type="http://schemas.openxmlformats.org/officeDocument/2006/relationships/footer"/><Relationship Id="rId37" Target="header11.xml" Type="http://schemas.openxmlformats.org/officeDocument/2006/relationships/header"/><Relationship Id="rId38" Target="fontTable.xml" Type="http://schemas.openxmlformats.org/officeDocument/2006/relationships/fontTable"/><Relationship Id="rId39" Target="theme/theme1.xml" Type="http://schemas.openxmlformats.org/officeDocument/2006/relationships/theme"/><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charts/_rels/chart1.xml.rels><?xml version="1.0" encoding="UTF-8" standalone="yes"?><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___1.xlsx" Type="http://schemas.openxmlformats.org/officeDocument/2006/relationships/package"/></Relationships>
</file>

<file path=word/charts/_rels/chart2.xml.rels><?xml version="1.0" encoding="UTF-8" standalone="yes"?><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___2.xlsx" Type="http://schemas.openxmlformats.org/officeDocument/2006/relationships/package"/></Relationships>
</file>

<file path=word/charts/_rels/chart3.xml.rels><?xml version="1.0" encoding="UTF-8" standalone="yes"?><Relationships xmlns="http://schemas.openxmlformats.org/package/2006/relationships"><Relationship Id="rId1" Target="style3.xml" Type="http://schemas.microsoft.com/office/2011/relationships/chartStyle"/><Relationship Id="rId2" Target="colors3.xml" Type="http://schemas.microsoft.com/office/2011/relationships/chartColorStyle"/><Relationship Id="rId3" Target="../embeddings/Microsoft_Excel____3.xlsx" Type="http://schemas.openxmlformats.org/officeDocument/2006/relationships/package"/></Relationships>
</file>

<file path=word/charts/_rels/chart4.xml.rels><?xml version="1.0" encoding="UTF-8" standalone="yes"?><Relationships xmlns="http://schemas.openxmlformats.org/package/2006/relationships"><Relationship Id="rId1" Target="style4.xml" Type="http://schemas.microsoft.com/office/2011/relationships/chartStyle"/><Relationship Id="rId2" Target="colors4.xml" Type="http://schemas.microsoft.com/office/2011/relationships/chartColorStyle"/><Relationship Id="rId3" Target="../embeddings/Microsoft_Excel____4.xlsx" Type="http://schemas.openxmlformats.org/officeDocument/2006/relationships/package"/></Relationships>
</file>

<file path=word/charts/_rels/chart5.xml.rels><?xml version="1.0" encoding="UTF-8" standalone="yes"?><Relationships xmlns="http://schemas.openxmlformats.org/package/2006/relationships"><Relationship Id="rId1" Target="style5.xml" Type="http://schemas.microsoft.com/office/2011/relationships/chartStyle"/><Relationship Id="rId2" Target="colors5.xml" Type="http://schemas.microsoft.com/office/2011/relationships/chartColorStyle"/><Relationship Id="rId3" Target="../embeddings/Microsoft_Excel____5.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LegendKey val="0"/>
          <c:showVal val="0"/>
          <c:showCatName val="0"/>
          <c:showSerName val="0"/>
          <c:showPercent val="0"/>
          <c:showBubbleSize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2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626762745642"/>
          <c:y val="8.2525273364967996E-2"/>
          <c:w val="0.53208881745721104"/>
          <c:h val="0.91213657607839205"/>
        </c:manualLayout>
      </c:layout>
      <c:pieChart>
        <c:varyColors val="1"/>
        <c:ser>
          <c:idx val="0"/>
          <c:order val="0"/>
          <c:tx>
            <c:strRef>
              <c:f>Sheet1!$B$1</c:f>
              <c:strCache>
                <c:ptCount val="1"/>
                <c:pt idx="0">
                  <c:v>市场份额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2"/>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0.25891823000000003</c:v>
                </c:pt>
                <c:pt idx="1">
                  <c:v>0.27067807900000002</c:v>
                </c:pt>
                <c:pt idx="2">
                  <c:v>0.31585746399999998</c:v>
                </c:pt>
                <c:pt idx="3">
                  <c:v>7.0828629000000004E-2</c:v>
                </c:pt>
                <c:pt idx="4">
                  <c:v>8.3717598000000004E-2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4"/>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9499091678409595"/>
          <c:y val="0.30084848327319902"/>
          <c:w val="0.14634556856459"/>
          <c:h val="0.44283265169888503"/>
        </c:manualLayout>
      </c:layout>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319398608603"/>
          <c:y val="2.4466562706556599E-2"/>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layout>
                <c:manualLayout>
                  <c:x val="0.11228406108327373"/>
                  <c:y val="-0.2548638274183002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0.36238693599999999</c:v>
                </c:pt>
                <c:pt idx="1">
                  <c:v>0.368425909</c:v>
                </c:pt>
                <c:pt idx="2">
                  <c:v>0.113006738</c:v>
                </c:pt>
                <c:pt idx="3">
                  <c:v>0.15618284499999999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7808476312854902"/>
          <c:y val="0.28147092860336198"/>
          <c:w val="0.221915162228559"/>
          <c:h val="0.41557921178483598"/>
        </c:manualLayout>
      </c:layout>
      <c:overlay val="1"/>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none"/>
          </c:marker>
          <c:dLbls>
            <c:dLbl>
              <c:idx val="0"/>
              <c:layout>
                <c:manualLayout>
                  <c:x val="-2.60598742680153E-17"/>
                  <c:y val="3.433476394849790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2"/>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1.04239497072061E-16"/>
                  <c:y val="2.86123032904147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1.04239497072061E-16"/>
                  <c:y val="4.0057224606580802E-2"/>
                </c:manualLayout>
              </c:layout>
              <c:dLblPos val="r"/>
              <c:showLegendKey val="0"/>
              <c:showVal val="1"/>
              <c:showCatName val="0"/>
              <c:showSerName val="0"/>
              <c:showPercent val="0"/>
              <c:showBubbleSize val="0"/>
              <c:extLst>
                <c:ext xmlns:c15="http://schemas.microsoft.com/office/drawing/2012/chart" uri="{CE6537A1-D6FC-4f65-9D91-7224C49458BB}"/>
              </c:extLst>
            </c:dLbl>
            <c:dLbl>
              <c:idx val="5"/>
              <c:layout>
                <c:manualLayout>
                  <c:x val="0"/>
                  <c:y val="4.5779685264663798E-2"/>
                </c:manualLayout>
              </c:layout>
              <c:dLblPos val="r"/>
              <c:showLegendKey val="0"/>
              <c:showVal val="1"/>
              <c:showCatName val="0"/>
              <c:showSerName val="0"/>
              <c:showPercent val="0"/>
              <c:showBubbleSize val="0"/>
              <c:extLst>
                <c:ext xmlns:c15="http://schemas.microsoft.com/office/drawing/2012/chart" uri="{CE6537A1-D6FC-4f65-9D91-7224C49458BB}"/>
              </c:extLst>
            </c:dLbl>
            <c:dLbl>
              <c:idx val="6"/>
              <c:layout>
                <c:manualLayout>
                  <c:x val="2.8429282160624398E-3"/>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7"/>
              <c:layout>
                <c:manualLayout>
                  <c:x val="0"/>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_GB2312" pitchFamily="3" charset="-122"/>
                    <a:cs typeface="Arial" panose="020B0604020202020204" pitchFamily="2"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LegendKey val="0"/>
          <c:showVal val="0"/>
          <c:showCatName val="0"/>
          <c:showSerName val="0"/>
          <c:showPercent val="0"/>
          <c:showBubbleSize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000"/>
        <c:crosses val="autoZero"/>
        <c:auto val="1"/>
        <c:lblAlgn val="ctr"/>
        <c:lblOffset val="100"/>
        <c:noMultiLvlLbl val="0"/>
      </c:catAx>
      <c:valAx>
        <c:axId val="-67891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_GB2312" pitchFamily="3" charset="-122"/>
          <a:cs typeface="Arial" panose="020B0604020202020204" pitchFamily="2"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LegendKey val="0"/>
          <c:showVal val="0"/>
          <c:showCatName val="0"/>
          <c:showSerName val="0"/>
          <c:showPercent val="0"/>
          <c:showBubbleSize val="0"/>
        </c:dLbls>
        <c:gapWidth val="219"/>
        <c:axId val="-678925968"/>
        <c:axId val="-83967025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ser>
        <c:dLbls>
          <c:showLegendKey val="0"/>
          <c:showVal val="0"/>
          <c:showCatName val="0"/>
          <c:showSerName val="0"/>
          <c:showPercent val="0"/>
          <c:showBubbleSize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70256"/>
        <c:crosses val="autoZero"/>
        <c:auto val="1"/>
        <c:lblAlgn val="ctr"/>
        <c:lblOffset val="100"/>
        <c:noMultiLvlLbl val="0"/>
      </c:catAx>
      <c:valAx>
        <c:axId val="-839670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65904"/>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6171</Words>
  <Characters>35180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2024-10-30T08:40:00Z</dcterms:created>
  <dc:creator>Deng Lillian</dc:creator>
  <cp:lastModifiedBy>LD</cp:lastModifiedBy>
  <cp:lastPrinted>2024-06-12T08:17:00Z</cp:lastPrinted>
  <dcterms:modified xsi:type="dcterms:W3CDTF">2024-10-30T08:40:00Z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