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Calibri" w:hAnsi="Calibri"/>
          <w:b/>
          <w:color w:val="2E74B5"/>
          <w:sz w:val="56"/>
        </w:rPr>
        <w:t>AI AT WORK</w:t>
      </w:r>
    </w:p>
    <w:p>
      <w:pPr>
        <w:spacing w:after="80"/>
        <w:jc w:val="center"/>
      </w:pPr>
      <w:r>
        <w:rPr>
          <w:rFonts w:ascii="Calibri" w:hAnsi="Calibri"/>
          <w:b/>
          <w:color w:val="182D4A"/>
          <w:sz w:val="40"/>
        </w:rPr>
        <w:t>Three Commercial AI Developments Reshaping Business</w:t>
      </w:r>
    </w:p>
    <w:p>
      <w:pPr>
        <w:spacing w:after="400"/>
        <w:jc w:val="center"/>
      </w:pPr>
      <w:r>
        <w:rPr>
          <w:rFonts w:ascii="Calibri" w:hAnsi="Calibri"/>
          <w:i/>
          <w:color w:val="5C6B7F"/>
          <w:sz w:val="22"/>
        </w:rPr>
        <w:t>A fact-checked business newsletter for non-specialist leaders</w:t>
      </w:r>
    </w:p>
    <w:p>
      <w:pPr>
        <w:spacing w:after="200" w:line="264" w:lineRule="auto"/>
      </w:pPr>
      <w:r>
        <w:rPr>
          <w:rFonts w:ascii="Calibri" w:hAnsi="Calibri"/>
        </w:rPr>
        <w:t>Artificial intelligence is moving beyond stand-alone chat assistants and into the systems where organizations test products, manage risk, and validate engineering decisions. This issue examines three commercial releases announced during July 17-August 17, 2026 and asks a practical question: what changes in the work itself?</w:t>
      </w:r>
    </w:p>
    <w:p>
      <w:pPr>
        <w:pStyle w:val="Heading1"/>
      </w:pPr>
      <w:r>
        <w:t>Industry Overview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Healthcare robotics: NVIDIA moves more robot training and failure exploration into reusable GPU simulation.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Financial services: Glia lets institutions tune generative freedom to the risk of each banking topic.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Semiconductor engineering: Siemens pairs agentic workflows with continuous validation from physics-based EDA tools.</w:t>
      </w:r>
    </w:p>
    <w:p>
      <w:pPr>
        <w:pStyle w:val="Heading1"/>
      </w:pPr>
      <w:r>
        <w:t>Executive Takeaway</w:t>
      </w:r>
    </w:p>
    <w:p>
      <w:pPr>
        <w:spacing w:after="100" w:line="264" w:lineRule="auto"/>
      </w:pPr>
      <w:r>
        <w:rPr>
          <w:rFonts w:ascii="Calibri" w:hAnsi="Calibri"/>
        </w:rPr>
        <w:t>The common pattern is not autonomy by itself. Each product combines AI with a domain constraint: physics simulation, institution-approved knowledge, or deterministic engineering software. Business value comes from improving a measurable decision while preserving evidence, boundaries, and human accountability.</w:t>
      </w:r>
    </w:p>
    <w:p>
      <w:pPr>
        <w:pStyle w:val="Heading1"/>
        <w:pageBreakBefore/>
      </w:pPr>
      <w:r>
        <w:rPr>
          <w:rFonts w:ascii="Calibri" w:hAnsi="Calibri"/>
          <w:b/>
          <w:color w:val="182D4A"/>
          <w:sz w:val="32"/>
        </w:rPr>
        <w:t>1. Healthcare Robotics: Test More Before Touching Hardware</w:t>
      </w:r>
    </w:p>
    <w:p>
      <w:pPr>
        <w:spacing w:after="200"/>
      </w:pPr>
      <w:r>
        <w:rPr>
          <w:rFonts w:ascii="Calibri" w:hAnsi="Calibri"/>
          <w:b/>
          <w:color w:val="2E74B5"/>
          <w:sz w:val="22"/>
        </w:rPr>
        <w:t>NVIDIA Medical Physics Simulation</w:t>
      </w:r>
      <w:r>
        <w:rPr>
          <w:rFonts w:ascii="Calibri" w:hAnsi="Calibri"/>
          <w:color w:val="5C6B7F"/>
          <w:sz w:val="22"/>
        </w:rPr>
        <w:t xml:space="preserve">  |  Announced July 22, 2026</w:t>
      </w:r>
    </w:p>
    <w:p>
      <w:pPr>
        <w:spacing w:after="100" w:line="264" w:lineRule="auto"/>
      </w:pPr>
      <w:r>
        <w:rPr>
          <w:rFonts w:ascii="Calibri" w:hAnsi="Calibri"/>
        </w:rPr>
        <w:t>Medical-robotics teams face a difficult testing problem. Anatomy varies, rare failures are hard to reproduce, and physical trials are expensive and sequential. NVIDIA's new open-source, GPU-accelerated Medical Physics Simulation framework moves more early exploration into a virtual environment.</w:t>
      </w:r>
    </w:p>
    <w:p>
      <w:pPr>
        <w:spacing w:after="100" w:line="264" w:lineRule="auto"/>
      </w:pPr>
      <w:r>
        <w:rPr>
          <w:rFonts w:ascii="Calibri" w:hAnsi="Calibri"/>
        </w:rPr>
        <w:t>Developers can model anatomy-device interactions, sensors, medical imaging, and robot behavior before hardware-heavy testing. NVIDIA reports that 8,192 parallel training environments reduced one benchmark from more than five hours to under two minutes. This vendor-reported result is not a universal performance guarantee.</w:t>
      </w:r>
    </w:p>
    <w:p>
      <w:pPr>
        <w:pStyle w:val="Heading2"/>
      </w:pPr>
      <w:r>
        <w:t>How the workflow changes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Product development: teams can identify failure modes earlier and reuse simulation environments across iterations.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Engineering decisions: alternatives can be compared across more anatomy, device, and sensor conditions.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Resource allocation: scarce physical testing can be reserved for questions that simulation cannot answer.</w:t>
      </w:r>
    </w:p>
    <w:p>
      <w:pPr>
        <w:pStyle w:val="Heading2"/>
      </w:pPr>
      <w:r>
        <w:t>Specific example</w:t>
      </w:r>
    </w:p>
    <w:p>
      <w:pPr>
        <w:spacing w:after="100" w:line="264" w:lineRule="auto"/>
      </w:pPr>
      <w:r>
        <w:rPr>
          <w:rFonts w:ascii="Calibri" w:hAnsi="Calibri"/>
        </w:rPr>
        <w:t>NVIDIA reports that Johnson &amp; Johnson MedTech is using the framework to build digital twins of its MONARCH platform. The value is not replacing physical validation, but entering it with better hypotheses and broader virtual-test evidence.</w:t>
      </w:r>
    </w:p>
    <w:p>
      <w:pPr>
        <w:spacing w:after="100" w:line="264" w:lineRule="auto"/>
      </w:pPr>
      <w:r>
        <w:rPr>
          <w:rFonts w:ascii="Calibri" w:hAnsi="Calibri"/>
          <w:b/>
        </w:rPr>
        <w:t>Leadership question:</w:t>
      </w:r>
      <w:r>
        <w:rPr>
          <w:rFonts w:ascii="Calibri" w:hAnsi="Calibri"/>
        </w:rPr>
        <w:t xml:space="preserve"> What evidence shows that simulated performance transfers to the real device and operating environment?</w:t>
      </w:r>
    </w:p>
    <w:p>
      <w:pPr>
        <w:pStyle w:val="Heading1"/>
        <w:pageBreakBefore/>
      </w:pPr>
      <w:r>
        <w:rPr>
          <w:rFonts w:ascii="Calibri" w:hAnsi="Calibri"/>
          <w:b/>
          <w:color w:val="182D4A"/>
          <w:sz w:val="32"/>
        </w:rPr>
        <w:t>2. Financial Services: Tune AI Freedom to the Risk of the Task</w:t>
      </w:r>
    </w:p>
    <w:p>
      <w:pPr>
        <w:spacing w:after="200"/>
      </w:pPr>
      <w:r>
        <w:rPr>
          <w:rFonts w:ascii="Calibri" w:hAnsi="Calibri"/>
          <w:b/>
          <w:color w:val="2E74B5"/>
          <w:sz w:val="22"/>
        </w:rPr>
        <w:t>Glia Precision AI Response Modes</w:t>
      </w:r>
      <w:r>
        <w:rPr>
          <w:rFonts w:ascii="Calibri" w:hAnsi="Calibri"/>
          <w:color w:val="5C6B7F"/>
          <w:sz w:val="22"/>
        </w:rPr>
        <w:t xml:space="preserve">  |  Announced July 21, 2026</w:t>
      </w:r>
    </w:p>
    <w:p>
      <w:pPr>
        <w:spacing w:after="100" w:line="264" w:lineRule="auto"/>
      </w:pPr>
      <w:r>
        <w:rPr>
          <w:rFonts w:ascii="Calibri" w:hAnsi="Calibri"/>
        </w:rPr>
        <w:t>Banks cannot treat every customer question as equally risky. A branch-hours question allows more flexibility than a wire-transfer or loan-policy question. Glia's new response modes let banks and credit unions choose how much generative freedom an AI agent receives at the topic level.</w:t>
      </w:r>
    </w:p>
    <w:p>
      <w:pPr>
        <w:pStyle w:val="Heading2"/>
      </w:pPr>
      <w:r>
        <w:t>Three response modes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Strict Mode returns institution-approved wording.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Rephrase Mode adapts approved wording to the customer's language and context without adding new information.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Compose Mode generates a response from institution-designated content.</w:t>
      </w:r>
    </w:p>
    <w:p>
      <w:pPr>
        <w:pStyle w:val="Heading2"/>
      </w:pPr>
      <w:r>
        <w:t>How the workflow changes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Customer-service design: risk control becomes configurable by topic instead of all-or-nothing.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Frontline decisions: teams decide where consistency is essential and where conversational flexibility adds value.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Governance: approved content and explicit response modes become part of the operating workflow.</w:t>
      </w:r>
    </w:p>
    <w:p>
      <w:pPr>
        <w:pStyle w:val="Heading2"/>
      </w:pPr>
      <w:r>
        <w:t>Specific example</w:t>
      </w:r>
    </w:p>
    <w:p>
      <w:pPr>
        <w:spacing w:after="100" w:line="264" w:lineRule="auto"/>
      </w:pPr>
      <w:r>
        <w:rPr>
          <w:rFonts w:ascii="Calibri" w:hAnsi="Calibri"/>
        </w:rPr>
        <w:t>A bank might use Compose Mode for travel-related conversation, Rephrase Mode for product explanations, and Strict Mode for high-stakes transaction instructions. Glia says its banking AI is trusted by more than 700 financial institutions and that the modes are designed to contain up to 80% of inquiries. These figures are company-reported and should be validated against a buyer's own channel mix and service metrics.</w:t>
      </w:r>
    </w:p>
    <w:p>
      <w:pPr>
        <w:spacing w:after="100" w:line="264" w:lineRule="auto"/>
      </w:pPr>
      <w:r>
        <w:rPr>
          <w:rFonts w:ascii="Calibri" w:hAnsi="Calibri"/>
          <w:b/>
        </w:rPr>
        <w:t>Leadership question:</w:t>
      </w:r>
      <w:r>
        <w:rPr>
          <w:rFonts w:ascii="Calibri" w:hAnsi="Calibri"/>
        </w:rPr>
        <w:t xml:space="preserve"> Who owns the topic-risk map, and how will the institution test that each mode remains compliant after policies change?</w:t>
      </w:r>
    </w:p>
    <w:p>
      <w:pPr>
        <w:pStyle w:val="Heading1"/>
        <w:pageBreakBefore/>
      </w:pPr>
      <w:r>
        <w:rPr>
          <w:rFonts w:ascii="Calibri" w:hAnsi="Calibri"/>
          <w:b/>
          <w:color w:val="182D4A"/>
          <w:sz w:val="32"/>
        </w:rPr>
        <w:t>3. Semiconductor Engineering: Make the Agent Verify Its Work</w:t>
      </w:r>
    </w:p>
    <w:p>
      <w:pPr>
        <w:spacing w:after="200"/>
      </w:pPr>
      <w:r>
        <w:rPr>
          <w:rFonts w:ascii="Calibri" w:hAnsi="Calibri"/>
          <w:b/>
          <w:color w:val="2E74B5"/>
          <w:sz w:val="22"/>
        </w:rPr>
        <w:t>Siemens Fuse EDA AI Agent updates</w:t>
      </w:r>
      <w:r>
        <w:rPr>
          <w:rFonts w:ascii="Calibri" w:hAnsi="Calibri"/>
          <w:color w:val="5C6B7F"/>
          <w:sz w:val="22"/>
        </w:rPr>
        <w:t xml:space="preserve">  |  Announced July 26, 2026</w:t>
      </w:r>
    </w:p>
    <w:p>
      <w:pPr>
        <w:spacing w:after="100" w:line="264" w:lineRule="auto"/>
      </w:pPr>
      <w:r>
        <w:rPr>
          <w:rFonts w:ascii="Calibri" w:hAnsi="Calibri"/>
        </w:rPr>
        <w:t>Semiconductor and printed-circuit-board design involves long, complex workflows where a plausible AI answer is not enough. Siemens expanded its Fuse EDA AI Agent system with NVIDIA technology so agents can continuously validate their actions against deterministic, physics-based electronic-design-automation tools.</w:t>
      </w:r>
    </w:p>
    <w:p>
      <w:pPr>
        <w:spacing w:after="100" w:line="264" w:lineRule="auto"/>
      </w:pPr>
      <w:r>
        <w:rPr>
          <w:rFonts w:ascii="Calibri" w:hAnsi="Calibri"/>
        </w:rPr>
        <w:t>The key idea is self-verifying workflow orchestration: an AI agent can reason and call tools, while established engineering software checks whether the result satisfies physical and design constraints.</w:t>
      </w:r>
    </w:p>
    <w:p>
      <w:pPr>
        <w:pStyle w:val="Heading2"/>
      </w:pPr>
      <w:r>
        <w:t>How the workflow changes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Engineering productivity: agents coordinate multi-step work rather than assist with isolated prompts.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Quality control: validation occurs during the workflow, not only after an agent produces a final answer.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Decision confidence: engineers receive tool-grounded results that are easier to review and trace.</w:t>
      </w:r>
    </w:p>
    <w:p>
      <w:pPr>
        <w:pStyle w:val="Heading2"/>
      </w:pPr>
      <w:r>
        <w:t>Specific example</w:t>
      </w:r>
    </w:p>
    <w:p>
      <w:pPr>
        <w:spacing w:after="100" w:line="264" w:lineRule="auto"/>
      </w:pPr>
      <w:r>
        <w:rPr>
          <w:rFonts w:ascii="Calibri" w:hAnsi="Calibri"/>
        </w:rPr>
        <w:t>For a long-running PCB or chip-design task, the agent can propose and execute steps, then use deterministic EDA engines to test the outcome. A failed validation becomes a reason to revise the workflow rather than pass a polished but physically invalid result to an engineer.</w:t>
      </w:r>
    </w:p>
    <w:p>
      <w:pPr>
        <w:spacing w:after="100" w:line="264" w:lineRule="auto"/>
      </w:pPr>
      <w:r>
        <w:rPr>
          <w:rFonts w:ascii="Calibri" w:hAnsi="Calibri"/>
          <w:b/>
        </w:rPr>
        <w:t>Leadership question:</w:t>
      </w:r>
      <w:r>
        <w:rPr>
          <w:rFonts w:ascii="Calibri" w:hAnsi="Calibri"/>
        </w:rPr>
        <w:t xml:space="preserve"> Which checks are genuinely deterministic, which judgments still depend on the model, and what audit trail is retained for design approval?</w:t>
      </w:r>
    </w:p>
    <w:p>
      <w:pPr>
        <w:pStyle w:val="Heading1"/>
        <w:pageBreakBefore w:val="0"/>
      </w:pPr>
      <w:r>
        <w:rPr>
          <w:rFonts w:ascii="Calibri" w:hAnsi="Calibri"/>
          <w:b/>
          <w:color w:val="182D4A"/>
          <w:sz w:val="32"/>
        </w:rPr>
        <w:t>Industry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8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2664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Company / Product</w:t>
            </w:r>
          </w:p>
        </w:tc>
        <w:tc>
          <w:tcPr>
            <w:tcW w:type="dxa" w:w="1656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528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Decision Impact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Healthcare robotics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NVIDIA Medical Physics Simulation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Jul 22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Compare more failure scenarios before physical testing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Financial services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Glia Precision AI Response Modes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Jul 21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Match AI discretion to topic-level risk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Semiconductor engineering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Siemens Fuse EDA AI Agent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Jul 26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Validate agent work against deterministic EDA tools</w:t>
            </w:r>
          </w:p>
        </w:tc>
      </w:tr>
    </w:tbl>
    <w:p>
      <w:pPr>
        <w:pStyle w:val="SourceNote"/>
      </w:pPr>
      <w:r>
        <w:t>Research window: July 17-August 17, 2026. Dates are based on official company announcements.</w:t>
      </w:r>
    </w:p>
    <w:p>
      <w:pPr>
        <w:pStyle w:val="Heading1"/>
      </w:pPr>
      <w:r>
        <w:t>One Pattern Connects All Three</w:t>
      </w:r>
    </w:p>
    <w:p>
      <w:pPr>
        <w:spacing w:after="100" w:line="264" w:lineRule="auto"/>
      </w:pPr>
      <w:r>
        <w:rPr>
          <w:rFonts w:ascii="Calibri" w:hAnsi="Calibri"/>
        </w:rPr>
        <w:t>These products embed AI inside a controlled operating loop: NVIDIA pairs learned robot policies with physics simulation; Glia pairs generative language with topic-level governance; Siemens pairs agentic reasoning with deterministic engineering validation. The strongest commercial opportunity is therefore not unrestricted autonomy, but appropriately bounded participation in real work.</w:t>
      </w:r>
    </w:p>
    <w:p>
      <w:pPr>
        <w:pStyle w:val="Heading1"/>
      </w:pPr>
      <w:r>
        <w:t>Subscriber Checklist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Process: Which step is removed, shortened, or improved?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Evidence: Is the performance claim independently measured or vendor-reported?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Boundary: What can the system recommend, execute, or never do?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Oversight: Who approves high-impact actions and handles exceptions?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</w:rPr>
        <w:t>Metric: Will success be measured through cost, time, quality, risk, revenue, or customer outcomes?</w:t>
      </w:r>
    </w:p>
    <w:p>
      <w:pPr>
        <w:pStyle w:val="Heading1"/>
      </w:pPr>
      <w:r>
        <w:t>Final Takeaway</w:t>
      </w:r>
    </w:p>
    <w:p>
      <w:pPr>
        <w:spacing w:after="100" w:line="264" w:lineRule="auto"/>
      </w:pPr>
      <w:r>
        <w:rPr>
          <w:rFonts w:ascii="Calibri" w:hAnsi="Calibri"/>
        </w:rPr>
        <w:t>Commercial AI should be judged less by how impressive its responses sound and more by whether it improves a measurable decision while preserving control, evidence, and accountability. Leaders should ask not only what a model can do, but also what constrains it, what verifies it, and who remains responsible for the outcome.</w:t>
      </w:r>
    </w:p>
    <w:p>
      <w:pPr>
        <w:pStyle w:val="Heading1"/>
      </w:pPr>
      <w:r>
        <w:t>Sources</w:t>
      </w:r>
    </w:p>
    <w:p>
      <w:pPr>
        <w:pStyle w:val="SourceNote"/>
      </w:pPr>
      <w:r>
        <w:rPr>
          <w:rFonts w:ascii="Calibri" w:hAnsi="Calibri"/>
          <w:i/>
          <w:color w:val="5C6B7F"/>
          <w:sz w:val="18"/>
        </w:rPr>
        <w:t xml:space="preserve">NVIDIA. “NVIDIA Open Sources First GPU-Accelerated Medical Physics Simulation Framework.” July 22, 2026. </w:t>
      </w:r>
      <w:r>
        <w:rPr>
          <w:rFonts w:ascii="Calibri" w:hAnsi="Calibri"/>
          <w:color w:val="2E74B5"/>
          <w:sz w:val="18"/>
        </w:rPr>
        <w:t>https://blogs.nvidia.com/blog/medical-physics-simulation-open-source/</w:t>
      </w:r>
    </w:p>
    <w:p>
      <w:pPr>
        <w:pStyle w:val="SourceNote"/>
      </w:pPr>
      <w:r>
        <w:rPr>
          <w:rFonts w:ascii="Calibri" w:hAnsi="Calibri"/>
          <w:i/>
          <w:color w:val="5C6B7F"/>
          <w:sz w:val="18"/>
        </w:rPr>
        <w:t xml:space="preserve">Glia. “Glia Launches Banking's First Precision AI Response Modes.” July 21, 2026. </w:t>
      </w:r>
      <w:r>
        <w:rPr>
          <w:rFonts w:ascii="Calibri" w:hAnsi="Calibri"/>
          <w:color w:val="2E74B5"/>
          <w:sz w:val="18"/>
        </w:rPr>
        <w:t>https://www.glia.com/news/glia-banker-response-modes</w:t>
      </w:r>
    </w:p>
    <w:p>
      <w:pPr>
        <w:pStyle w:val="SourceNote"/>
      </w:pPr>
      <w:r>
        <w:rPr>
          <w:rFonts w:ascii="Calibri" w:hAnsi="Calibri"/>
          <w:i/>
          <w:color w:val="5C6B7F"/>
          <w:sz w:val="18"/>
        </w:rPr>
        <w:t xml:space="preserve">Siemens. “Siemens Advances Self-Verifying Agentic AI Workflows for Semiconductor and PCB Design.” July 26, 2026. </w:t>
      </w:r>
      <w:r>
        <w:rPr>
          <w:rFonts w:ascii="Calibri" w:hAnsi="Calibri"/>
          <w:color w:val="2E74B5"/>
          <w:sz w:val="18"/>
        </w:rPr>
        <w:t>https://news.siemens.com/en-us/siemens-nvidia-dac-2026/</w:t>
      </w:r>
    </w:p>
    <w:p>
      <w:pPr>
        <w:pStyle w:val="Heading1"/>
      </w:pPr>
      <w:r>
        <w:t>AI Tool Disclosure</w:t>
      </w:r>
    </w:p>
    <w:p>
      <w:pPr>
        <w:spacing w:after="100" w:line="264" w:lineRule="auto"/>
      </w:pPr>
      <w:r>
        <w:rPr>
          <w:rFonts w:ascii="Calibri" w:hAnsi="Calibri"/>
        </w:rPr>
        <w:t>Claude was used to prototype the newsletter presentation. ChatGPT/Codex by OpenAI was used to review the supplied document, verify time-sensitive claims against primary company sources, refine the professional wording, and prepare the portfolio repository. Zihuan Wang remains responsible for reviewing and submitting the final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B7F"/>
        <w:sz w:val="18"/>
      </w:rPr>
      <w:t xml:space="preserve">Zihuan Wang  ·  Page </w:t>
    </w:r>
    <w:r>
      <w:rPr>
        <w:rFonts w:ascii="Calibri" w:hAnsi="Calibri"/>
        <w:color w:val="5C6B7F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B7F"/>
        <w:sz w:val="18"/>
      </w:rPr>
      <w:t>AI at Work Monthly  · 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82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2D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40"/>
    </w:pPr>
    <w:rPr>
      <w:rFonts w:ascii="Calibri" w:hAnsi="Calibri"/>
      <w:i/>
      <w:color w:val="5C6B7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at Work: Three Commercial AI Developments Reshaping Business</dc:title>
  <dc:subject>Commercial AI newsletter: healthcare robotics, financial services, and semiconductor engineering</dc:subject>
  <dc:creator>Zihuan Wang</dc:creator>
  <cp:keywords>AI, business, healthcare robotics, banking, semiconductor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