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rFonts w:ascii="Times New Roman" w:hAnsi="Times New Roman" w:eastAsia="Microsoft YaHei"/>
          <w:b/>
          <w:i w:val="0"/>
          <w:color w:val="176B87"/>
          <w:sz w:val="40"/>
        </w:rPr>
        <w:t>任务一：Early Waker 早起行为预测</w:t>
        <w:br/>
        <w:t>完整建模报告</w:t>
      </w:r>
    </w:p>
    <w:p>
      <w:pPr>
        <w:spacing w:after="360"/>
        <w:jc w:val="center"/>
      </w:pPr>
      <w:r>
        <w:rPr>
          <w:rFonts w:ascii="Times New Roman" w:hAnsi="Times New Roman" w:eastAsia="Microsoft YaHei"/>
          <w:b w:val="0"/>
          <w:i w:val="0"/>
          <w:color w:val="376795"/>
          <w:sz w:val="23"/>
        </w:rPr>
        <w:t>Competition Performance / Explanatory Scope / Minimal Rule 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6973"/>
      </w:tblGrid>
      <w:tr>
        <w:trPr>
          <w:tblHeader w:val="true"/>
        </w:trPr>
        <w:tc>
          <w:tcPr>
            <w:tcW w:type="dxa" w:w="4621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4621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20"/>
              </w:rPr>
              <w:t>赛题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20"/>
              </w:rPr>
              <w:t>2026年第五届“创新杯”大学生大数据挑战赛 A题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20"/>
              </w:rPr>
              <w:t>任务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20"/>
              </w:rPr>
              <w:t>任务一：Early Waker 二分类预测（ACC1，权重20%）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20"/>
              </w:rPr>
              <w:t>数据规模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20"/>
              </w:rPr>
              <w:t>10,000行 × 64列；Early Waker：No 5,842，Yes 4,158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20"/>
              </w:rPr>
              <w:t>验证协议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20"/>
              </w:rPr>
              <w:t>固定20%锁定留出集；开发集内3随机种子 × 5折交叉验证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20"/>
              </w:rPr>
              <w:t>随机种子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20"/>
              </w:rPr>
              <w:t>留出集 seed=42；重复CV seeds=42、2026、3407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20"/>
              </w:rPr>
              <w:t>队伍编号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20"/>
              </w:rPr>
              <w:t>DATA26XXXXXX（提交前统一替换）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242"/>
            <w:shd w:fill="EAF3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Times New Roman" w:hAnsi="Times New Roman" w:eastAsia="Microsoft YaHei"/>
                <w:b/>
                <w:i w:val="0"/>
                <w:color w:val="176B87"/>
                <w:sz w:val="20"/>
              </w:rPr>
              <w:t>复核状态：PASS。三个作用域的模型均完成逐样本重算，预测标签完全一致，最大概率差不超过 1.11×10⁻¹⁶。</w:t>
            </w:r>
          </w:p>
        </w:tc>
      </w:tr>
    </w:tbl>
    <w:p>
      <w:pPr>
        <w:spacing w:after="0"/>
      </w:pPr>
    </w:p>
    <w:p>
      <w:pPr>
        <w:spacing w:before="200"/>
        <w:jc w:val="center"/>
      </w:pPr>
      <w:r>
        <w:rPr>
          <w:rFonts w:ascii="Times New Roman" w:hAnsi="Times New Roman" w:eastAsia="Microsoft YaHei"/>
          <w:b w:val="0"/>
          <w:i/>
          <w:color w:val="777777"/>
          <w:sz w:val="18"/>
        </w:rPr>
        <w:t>当前附件没有官方未知测试集；报告中的 submission 文件仅用于验证接口，不冒充正式竞赛提交。</w:t>
      </w:r>
    </w:p>
    <w:p>
      <w:r>
        <w:br w:type="page"/>
      </w:r>
    </w:p>
    <w:p>
      <w:pPr>
        <w:pStyle w:val="Heading1"/>
        <w:keepNext/>
      </w:pPr>
      <w:r>
        <w:t>1 任务目标与评价协议</w:t>
      </w:r>
    </w:p>
    <w:p>
      <w:pPr>
        <w:spacing w:after="80" w:before="0" w:line="348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任务一要求根据人口属性、睡眠作息、生活方式和健康指标预测个体是否属于早起者。竞赛以准确率 ACC1 为主评价指标；为避免只关注单一指标，本文同时报告 Precision、Recall、F1、ROC-AUC、Average Precision 和 Log Loss。</w:t>
      </w:r>
    </w:p>
    <w:p>
      <w:pPr>
        <w:pStyle w:val="ListBullet"/>
        <w:spacing w:after="40" w:before="0" w:line="324" w:lineRule="auto"/>
      </w:pPr>
      <w:r>
        <w:rPr>
          <w:rFonts w:ascii="Times New Roman" w:hAnsi="Times New Roman" w:eastAsia="Microsoft YaHei"/>
          <w:b w:val="0"/>
          <w:i w:val="0"/>
          <w:sz w:val="20"/>
        </w:rPr>
        <w:t>固定划分：按 Early Waker 分层，将80%样本作为开发集、20%作为锁定留出集；锁定留出集仅在模型方案确定后评价一次。</w:t>
      </w:r>
    </w:p>
    <w:p>
      <w:pPr>
        <w:pStyle w:val="ListBullet"/>
        <w:spacing w:after="40" w:before="0" w:line="324" w:lineRule="auto"/>
      </w:pPr>
      <w:r>
        <w:rPr>
          <w:rFonts w:ascii="Times New Roman" w:hAnsi="Times New Roman" w:eastAsia="Microsoft YaHei"/>
          <w:b w:val="0"/>
          <w:i w:val="0"/>
          <w:sz w:val="20"/>
        </w:rPr>
        <w:t>重复验证：开发集分别采用随机种子42、2026、3407进行5折 StratifiedKFold，共15个验证折。</w:t>
      </w:r>
    </w:p>
    <w:p>
      <w:pPr>
        <w:pStyle w:val="ListBullet"/>
        <w:spacing w:after="40" w:before="0" w:line="324" w:lineRule="auto"/>
      </w:pPr>
      <w:r>
        <w:rPr>
          <w:rFonts w:ascii="Times New Roman" w:hAnsi="Times New Roman" w:eastAsia="Microsoft YaHei"/>
          <w:b w:val="0"/>
          <w:i w:val="0"/>
          <w:sz w:val="20"/>
        </w:rPr>
        <w:t>泄漏控制：Person_ID不作为特征；任务二、任务三的综合字段 Health_Score、Fitness_Level、Healthy_Aging_Score、Wellness_Category 在所有任务一模型中删除。</w:t>
      </w:r>
    </w:p>
    <w:p>
      <w:pPr>
        <w:pStyle w:val="ListBullet"/>
        <w:spacing w:after="40" w:before="0" w:line="324" w:lineRule="auto"/>
      </w:pPr>
      <w:r>
        <w:rPr>
          <w:rFonts w:ascii="Times New Roman" w:hAnsi="Times New Roman" w:eastAsia="Microsoft YaHei"/>
          <w:b w:val="0"/>
          <w:i w:val="0"/>
          <w:sz w:val="20"/>
        </w:rPr>
        <w:t>提交隔离：验证集预测文件与未来官方无标签测试集预测文件严格分开。</w:t>
      </w:r>
    </w:p>
    <w:p>
      <w:pPr>
        <w:pStyle w:val="Heading1"/>
        <w:keepNext/>
      </w:pPr>
      <w:r>
        <w:t>2 数据审计与直接定义关系核查</w:t>
      </w:r>
    </w:p>
    <w:p>
      <w:pPr>
        <w:spacing w:after="80" w:before="0" w:line="348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原始数据包含10,000条记录和64个字段，Person_ID完全唯一。Early Waker 中 No 类5,842例（58.42%），Yes类4,158例（41.58%），属于轻度类别不平衡。缺失值主要集中在 Alcohol_Consumption、Exercise_Type 和 Workout_Intensity。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701"/>
        <w:gridCol w:w="1417"/>
        <w:gridCol w:w="3175"/>
      </w:tblGrid>
      <w:tr>
        <w:trPr>
          <w:tblHeader w:val="true"/>
        </w:trPr>
        <w:tc>
          <w:tcPr>
            <w:tcW w:type="dxa" w:w="2310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变量</w:t>
            </w:r>
          </w:p>
        </w:tc>
        <w:tc>
          <w:tcPr>
            <w:tcW w:type="dxa" w:w="2310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缺失数量</w:t>
            </w:r>
          </w:p>
        </w:tc>
        <w:tc>
          <w:tcPr>
            <w:tcW w:type="dxa" w:w="2310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缺失率</w:t>
            </w:r>
          </w:p>
        </w:tc>
        <w:tc>
          <w:tcPr>
            <w:tcW w:type="dxa" w:w="2310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处理方式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Alcohol_Consumption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3,014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30.14%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填充 Unknown，并增加缺失指示变量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Exercise_Type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824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8.24%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无运动样本标记 None，其余缺失标记 Unknown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Workout_Intensity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824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8.24%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无运动样本标记 None，其余缺失标记 Unknown</w:t>
            </w:r>
          </w:p>
        </w:tc>
      </w:tr>
    </w:tbl>
    <w:p>
      <w:pPr>
        <w:spacing w:after="2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149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T1_01_target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1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40"/>
        <w:jc w:val="center"/>
      </w:pPr>
      <w:r>
        <w:rPr>
          <w:rFonts w:ascii="Times New Roman" w:hAnsi="Times New Roman" w:eastAsia="Microsoft YaHei"/>
          <w:b/>
          <w:i w:val="0"/>
          <w:sz w:val="18"/>
        </w:rPr>
        <w:t>图1 Early Waker 目标变量类别分布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1134"/>
        <w:gridCol w:w="2494"/>
        <w:gridCol w:w="1644"/>
      </w:tblGrid>
      <w:tr>
        <w:trPr>
          <w:tblHeader w:val="true"/>
        </w:trPr>
        <w:tc>
          <w:tcPr>
            <w:tcW w:type="dxa" w:w="2310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核查规则</w:t>
            </w:r>
          </w:p>
        </w:tc>
        <w:tc>
          <w:tcPr>
            <w:tcW w:type="dxa" w:w="2310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一致率</w:t>
            </w:r>
          </w:p>
        </w:tc>
        <w:tc>
          <w:tcPr>
            <w:tcW w:type="dxa" w:w="2310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边界</w:t>
            </w:r>
          </w:p>
        </w:tc>
        <w:tc>
          <w:tcPr>
            <w:tcW w:type="dxa" w:w="2310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结论</w:t>
            </w:r>
          </w:p>
        </w:tc>
      </w:tr>
      <w:tr>
        <w:trPr>
          <w:cantSplit/>
        </w:trPr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Wake_Up_Time &lt; 06:30 → Yes；否则 No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100.00%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Yes最晚06:29；No最早06:30</w:t>
            </w:r>
          </w:p>
        </w:tc>
        <w:tc>
          <w:tcPr>
            <w:tcW w:type="dxa" w:w="16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direct definition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242"/>
            <w:shd w:fill="EAF3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Times New Roman" w:hAnsi="Times New Roman" w:eastAsia="Microsoft YaHei"/>
                <w:b/>
                <w:i w:val="0"/>
                <w:color w:val="B24745"/>
                <w:sz w:val="20"/>
              </w:rPr>
              <w:t>关键解释：Wake Up Time 在当前数据中可按 06:30 阈值完全复现 Early Waker。FULL 口径的 100% 准确率反映的是标签定义关系，不能单独解释为模型对健康规律的独立学习能力。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 特征工程与三套实验口径</w:t>
      </w:r>
    </w:p>
    <w:p>
      <w:pPr>
        <w:pStyle w:val="ListBullet"/>
        <w:spacing w:after="40" w:before="0" w:line="324" w:lineRule="auto"/>
      </w:pPr>
      <w:r>
        <w:rPr>
          <w:rFonts w:ascii="Times New Roman" w:hAnsi="Times New Roman" w:eastAsia="Microsoft YaHei"/>
          <w:b w:val="0"/>
          <w:i w:val="0"/>
          <w:sz w:val="20"/>
        </w:rPr>
        <w:t>语义缺失处理：Alcohol Consumption 设为 Unknown 并增加缺失标记；运动频率为0时，Exercise Type 与 Workout Intensity 的缺失编码为 None。</w:t>
      </w:r>
    </w:p>
    <w:p>
      <w:pPr>
        <w:pStyle w:val="ListBullet"/>
        <w:spacing w:after="40" w:before="0" w:line="324" w:lineRule="auto"/>
      </w:pPr>
      <w:r>
        <w:rPr>
          <w:rFonts w:ascii="Times New Roman" w:hAnsi="Times New Roman" w:eastAsia="Microsoft YaHei"/>
          <w:b w:val="0"/>
          <w:i w:val="0"/>
          <w:sz w:val="20"/>
        </w:rPr>
        <w:t>时间处理：Wake Up Time 与 Sleep Time 转换为分钟，并构造 sin/cos 周期编码，避免午夜附近的时间距离失真。</w:t>
      </w:r>
    </w:p>
    <w:p>
      <w:pPr>
        <w:pStyle w:val="ListBullet"/>
        <w:spacing w:after="40" w:before="0" w:line="324" w:lineRule="auto"/>
      </w:pPr>
      <w:r>
        <w:rPr>
          <w:rFonts w:ascii="Times New Roman" w:hAnsi="Times New Roman" w:eastAsia="Microsoft YaHei"/>
          <w:b w:val="0"/>
          <w:i w:val="0"/>
          <w:sz w:val="20"/>
        </w:rPr>
        <w:t>数值处理：训练折内中位数插补；逻辑回归额外进行标准化。</w:t>
      </w:r>
    </w:p>
    <w:p>
      <w:pPr>
        <w:pStyle w:val="ListBullet"/>
        <w:spacing w:after="40" w:before="0" w:line="324" w:lineRule="auto"/>
      </w:pPr>
      <w:r>
        <w:rPr>
          <w:rFonts w:ascii="Times New Roman" w:hAnsi="Times New Roman" w:eastAsia="Microsoft YaHei"/>
          <w:b w:val="0"/>
          <w:i w:val="0"/>
          <w:sz w:val="20"/>
        </w:rPr>
        <w:t>类别处理：训练折内常量填补后独热编码，未知类别由 handle_unknown=ignore 处理。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685"/>
        <w:gridCol w:w="1701"/>
        <w:gridCol w:w="1417"/>
      </w:tblGrid>
      <w:tr>
        <w:trPr>
          <w:tblHeader w:val="true"/>
        </w:trPr>
        <w:tc>
          <w:tcPr>
            <w:tcW w:type="dxa" w:w="2310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口径</w:t>
            </w:r>
          </w:p>
        </w:tc>
        <w:tc>
          <w:tcPr>
            <w:tcW w:type="dxa" w:w="2310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删除变量</w:t>
            </w:r>
          </w:p>
        </w:tc>
        <w:tc>
          <w:tcPr>
            <w:tcW w:type="dxa" w:w="2310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最终模型</w:t>
            </w:r>
          </w:p>
        </w:tc>
        <w:tc>
          <w:tcPr>
            <w:tcW w:type="dxa" w:w="2310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FULL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删除4个跨任务综合字段；保留时间变量及周期特征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Random Forest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竞赛性能上限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NO_TIME_NO_COMPOSITE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在FULL基础上再删 Wake Up Time、Sleep Time、Sleep Duration Hours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Logistic Regression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论文主要解释实验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Minimal rule tree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仅使用 Wake Up Minutes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深度1决策树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验证06:30定义规则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 候选模型与训练过程</w:t>
      </w:r>
    </w:p>
    <w:p>
      <w:pPr>
        <w:spacing w:after="80" w:before="0" w:line="348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在 FULL 与解释口径下均比较 Logistic Regression、Random Forest 和 XGBoost。所有预处理均封装在 Pipeline 内并只在训练折拟合。模型选择优先依据重复交叉验证平均准确率；若结果接近，再比较F1、ROC-AUC和模型稳定性。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252"/>
        <w:gridCol w:w="2494"/>
      </w:tblGrid>
      <w:tr>
        <w:trPr>
          <w:tblHeader w:val="true"/>
        </w:trPr>
        <w:tc>
          <w:tcPr>
            <w:tcW w:type="dxa" w:w="3081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模型</w:t>
            </w:r>
          </w:p>
        </w:tc>
        <w:tc>
          <w:tcPr>
            <w:tcW w:type="dxa" w:w="3081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主要设置</w:t>
            </w:r>
          </w:p>
        </w:tc>
        <w:tc>
          <w:tcPr>
            <w:tcW w:type="dxa" w:w="3081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Logistic Regression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lbfgs，max_iter=3000，C=1.0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提供稳定线性边界与可解释系数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Random Forest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250棵树，max_features=sqrt，seed=42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捕捉非线性和高阶交互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XGBoost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100棵树，max_depth=4，learning_rate=0.05，subsample=0.9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作为梯度提升基准模型</w:t>
            </w:r>
          </w:p>
        </w:tc>
      </w:tr>
    </w:tbl>
    <w:p>
      <w:pPr>
        <w:spacing w:after="2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401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T1_03_model_cv_accura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40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40"/>
        <w:jc w:val="center"/>
      </w:pPr>
      <w:r>
        <w:rPr>
          <w:rFonts w:ascii="Times New Roman" w:hAnsi="Times New Roman" w:eastAsia="Microsoft YaHei"/>
          <w:b/>
          <w:i w:val="0"/>
          <w:sz w:val="18"/>
        </w:rPr>
        <w:t>图2 候选模型3随机种子×5折准确率比较</w:t>
      </w:r>
    </w:p>
    <w:p>
      <w:pPr>
        <w:spacing w:after="80" w:before="0" w:line="348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FULL 中 Random Forest 与 XGBoost 的15折准确率均为1.0000，最终按预设偏好与稳定性选择 Random Forest；解释口径中 Logistic Regression 以0.7450的平均准确率略高于 XGBoost 的0.7449，并具有更好的F1，因此作为最终解释模型。</w:t>
      </w:r>
    </w:p>
    <w:p>
      <w:pPr>
        <w:pStyle w:val="Heading1"/>
        <w:keepNext/>
      </w:pPr>
      <w:r>
        <w:t>5 锁定留出集结果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814"/>
        <w:gridCol w:w="1757"/>
        <w:gridCol w:w="1191"/>
        <w:gridCol w:w="1134"/>
        <w:gridCol w:w="1134"/>
      </w:tblGrid>
      <w:tr>
        <w:trPr>
          <w:tblHeader w:val="true"/>
        </w:trPr>
        <w:tc>
          <w:tcPr>
            <w:tcW w:type="dxa" w:w="1540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口径</w:t>
            </w:r>
          </w:p>
        </w:tc>
        <w:tc>
          <w:tcPr>
            <w:tcW w:type="dxa" w:w="1540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最终模型</w:t>
            </w:r>
          </w:p>
        </w:tc>
        <w:tc>
          <w:tcPr>
            <w:tcW w:type="dxa" w:w="1540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15折CV ACC</w:t>
            </w:r>
          </w:p>
        </w:tc>
        <w:tc>
          <w:tcPr>
            <w:tcW w:type="dxa" w:w="1540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Holdout ACC</w:t>
            </w:r>
          </w:p>
        </w:tc>
        <w:tc>
          <w:tcPr>
            <w:tcW w:type="dxa" w:w="1540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Holdout F1</w:t>
            </w:r>
          </w:p>
        </w:tc>
        <w:tc>
          <w:tcPr>
            <w:tcW w:type="dxa" w:w="1540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Holdout AUC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FULL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Random_Forest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1.0000 ± 0.0000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1.0000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1.0000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1.0000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NO_TIME_NO_COMPOSITE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Logistic_Regression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0.7450 ± 0.0058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0.7685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0.7097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0.8355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Minimal rule tree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Decision_Tree_Depth1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1.0000 ± 0.0000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1.0000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1.0000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1.0000</w:t>
            </w:r>
          </w:p>
        </w:tc>
      </w:tr>
    </w:tbl>
    <w:p>
      <w:pPr>
        <w:spacing w:after="2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2617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T1_02_scope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61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40"/>
        <w:jc w:val="center"/>
      </w:pPr>
      <w:r>
        <w:rPr>
          <w:rFonts w:ascii="Times New Roman" w:hAnsi="Times New Roman" w:eastAsia="Microsoft YaHei"/>
          <w:b/>
          <w:i w:val="0"/>
          <w:sz w:val="18"/>
        </w:rPr>
        <w:t>图3 三种特征口径的锁定留出集准确率</w:t>
      </w:r>
    </w:p>
    <w:p>
      <w:pPr>
        <w:spacing w:after="80" w:before="0" w:line="348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FULL Random Forest 在锁定留出集上 ACC、F1 和 ROC-AUC 均为1.0000。删除直接时间变量及跨任务综合字段后，Logistic Regression 的 ACC/F1/AUC 为0.7685/0.7097/0.8355，说明其他生活方式和健康指标仍具有一定预测价值，但无法替代起床时间的定义信息。极简规则树仅依赖 Wake Up Minutes，学习到阈值389.5分钟，即约06:29.5，并同样达到100%。</w:t>
      </w:r>
    </w:p>
    <w:p>
      <w:pPr>
        <w:pStyle w:val="Heading1"/>
        <w:keepNext/>
      </w:pPr>
      <w:r>
        <w:t>5.1 误差结构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252"/>
      </w:tblGrid>
      <w:tr>
        <w:tc>
          <w:tcPr>
            <w:tcW w:type="dxa" w:w="4621"/>
            <w:tcMar>
              <w:top w:w="30" w:type="dxa"/>
              <w:start w:w="30" w:type="dxa"/>
              <w:bottom w:w="20" w:type="dxa"/>
              <w:end w:w="30" w:type="dxa"/>
            </w:tcMar>
            <w:vAlign w:val="top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63248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T1_04_full_confusion_matrix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6324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rFonts w:ascii="Times New Roman" w:hAnsi="Times New Roman" w:eastAsia="Microsoft YaHei"/>
                <w:b/>
                <w:i w:val="0"/>
                <w:sz w:val="17"/>
              </w:rPr>
              <w:t>图4 FULL最终模型混淆矩阵</w:t>
            </w:r>
          </w:p>
        </w:tc>
        <w:tc>
          <w:tcPr>
            <w:tcW w:type="dxa" w:w="4621"/>
            <w:tcMar>
              <w:top w:w="30" w:type="dxa"/>
              <w:start w:w="30" w:type="dxa"/>
              <w:bottom w:w="20" w:type="dxa"/>
              <w:end w:w="30" w:type="dxa"/>
            </w:tcMar>
            <w:vAlign w:val="top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63248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T1_05_strict_confusion_matrix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6324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rFonts w:ascii="Times New Roman" w:hAnsi="Times New Roman" w:eastAsia="Microsoft YaHei"/>
                <w:b/>
                <w:i w:val="0"/>
                <w:sz w:val="17"/>
              </w:rPr>
              <w:t>图5 解释口径最终模型混淆矩阵</w:t>
            </w:r>
          </w:p>
        </w:tc>
      </w:tr>
    </w:tbl>
    <w:p>
      <w:pPr>
        <w:spacing w:after="80" w:before="0" w:line="348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FULL模型在2,000条锁定留出样本中无误判（TN=1,168，TP=832）。解释口径中 TN=971、FP=197、FN=266、TP=566；其正类Recall为0.6803，表明删除时间变量后，部分真实早起者难以仅凭生活方式与健康特征被识别。</w:t>
      </w:r>
    </w:p>
    <w:p>
      <w:pPr>
        <w:pStyle w:val="Heading1"/>
        <w:keepNext/>
      </w:pPr>
      <w:r>
        <w:t>6 概率判别与校准性能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252"/>
      </w:tblGrid>
      <w:tr>
        <w:tc>
          <w:tcPr>
            <w:tcW w:type="dxa" w:w="4621"/>
            <w:tcMar>
              <w:top w:w="30" w:type="dxa"/>
              <w:start w:w="30" w:type="dxa"/>
              <w:bottom w:w="20" w:type="dxa"/>
              <w:end w:w="30" w:type="dxa"/>
            </w:tcMar>
            <w:vAlign w:val="top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38000" cy="147172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T1_06_roc_curve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000" cy="1471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rFonts w:ascii="Times New Roman" w:hAnsi="Times New Roman" w:eastAsia="Microsoft YaHei"/>
                <w:b/>
                <w:i w:val="0"/>
                <w:sz w:val="17"/>
              </w:rPr>
              <w:t>图6 锁定留出集ROC曲线</w:t>
            </w:r>
          </w:p>
        </w:tc>
        <w:tc>
          <w:tcPr>
            <w:tcW w:type="dxa" w:w="4621"/>
            <w:tcMar>
              <w:top w:w="30" w:type="dxa"/>
              <w:start w:w="30" w:type="dxa"/>
              <w:bottom w:w="20" w:type="dxa"/>
              <w:end w:w="30" w:type="dxa"/>
            </w:tcMar>
            <w:vAlign w:val="top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38000" cy="147172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T1_07_pr_curve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000" cy="1471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rFonts w:ascii="Times New Roman" w:hAnsi="Times New Roman" w:eastAsia="Microsoft YaHei"/>
                <w:b/>
                <w:i w:val="0"/>
                <w:sz w:val="17"/>
              </w:rPr>
              <w:t>图7 锁定留出集Precision-Recall曲线</w:t>
            </w:r>
          </w:p>
        </w:tc>
      </w:tr>
    </w:tbl>
    <w:p>
      <w:pPr>
        <w:spacing w:after="80" w:before="0" w:line="348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FULL模型的ROC-AUC与Average Precision均为1.0000。解释口径的ROC-AUC为0.8355、Average Precision为0.7913，明显高于正类基线比例0.4158，说明其概率排序具有较好的区分能力。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6094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T1_08_reliabil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09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40"/>
        <w:jc w:val="center"/>
      </w:pPr>
      <w:r>
        <w:rPr>
          <w:rFonts w:ascii="Times New Roman" w:hAnsi="Times New Roman" w:eastAsia="Microsoft YaHei"/>
          <w:b/>
          <w:i w:val="0"/>
          <w:sz w:val="18"/>
        </w:rPr>
        <w:t>图8 FULL与解释口径模型可靠性曲线</w:t>
      </w:r>
    </w:p>
    <w:p>
      <w:pPr>
        <w:spacing w:after="80" w:before="0" w:line="348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FULL模型的Log Loss为0.0221，概率输出高度集中且与定义关系一致；解释口径Log Loss为0.4927，可靠性曲线总体接近理想对角线，但中低概率区间仍存在轻微偏差。若论文后续进一步强调风险概率，可在开发集内部比较温度缩放或等距回归校准。</w:t>
      </w:r>
    </w:p>
    <w:p>
      <w:r>
        <w:br w:type="page"/>
      </w:r>
    </w:p>
    <w:p>
      <w:pPr>
        <w:pStyle w:val="Heading1"/>
        <w:keepNext/>
      </w:pPr>
      <w:r>
        <w:t>7 模型解释与关键特征</w:t>
      </w:r>
    </w:p>
    <w:p>
      <w:pPr>
        <w:spacing w:after="80" w:before="0" w:line="348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SHAP分析分别对应两套真实最终模型。FULL口径用于揭示模型为何达到100%；解释口径用于分析删除直接时间变量后，哪些生活方式与健康指标仍提供预测信息。SHAP数值只表示当前模型中的预测贡献，不等于因果效应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508000" cy="28553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T1_09_shap_global_import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855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40"/>
        <w:jc w:val="center"/>
      </w:pPr>
      <w:r>
        <w:rPr>
          <w:rFonts w:ascii="Times New Roman" w:hAnsi="Times New Roman" w:eastAsia="Microsoft YaHei"/>
          <w:b/>
          <w:i w:val="0"/>
          <w:sz w:val="18"/>
        </w:rPr>
        <w:t>图9 FULL与解释口径前12个特征的全局SHAP重要性</w:t>
      </w:r>
    </w:p>
    <w:p>
      <w:pPr>
        <w:spacing w:after="80" w:before="0" w:line="348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FULL模型的重要性主要集中在 Wake Up Minutes、Wake Up Cos、Wake Up Sin、Sleep Time Sin 和 Sleep Time Minutes，证明模型首先利用了时间定义和时间代理变量。解释口径中 Productivity Score、Exercise Frequency Per Week、Stress Level、Breakfast Regularity Score 和 Sleep Quality Score 位于前列。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5272"/>
        <w:gridCol w:w="2381"/>
      </w:tblGrid>
      <w:tr>
        <w:trPr>
          <w:tblHeader w:val="true"/>
        </w:trPr>
        <w:tc>
          <w:tcPr>
            <w:tcW w:type="dxa" w:w="3081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排名</w:t>
            </w:r>
          </w:p>
        </w:tc>
        <w:tc>
          <w:tcPr>
            <w:tcW w:type="dxa" w:w="3081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特征</w:t>
            </w:r>
          </w:p>
        </w:tc>
        <w:tc>
          <w:tcPr>
            <w:tcW w:type="dxa" w:w="3081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Mean |SHAP|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type="dxa" w:w="52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Productivity_Score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1.383411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2</w:t>
            </w:r>
          </w:p>
        </w:tc>
        <w:tc>
          <w:tcPr>
            <w:tcW w:type="dxa" w:w="52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Exercise_Frequency_Per_Week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0.445534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3</w:t>
            </w:r>
          </w:p>
        </w:tc>
        <w:tc>
          <w:tcPr>
            <w:tcW w:type="dxa" w:w="52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Stress_Level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0.427784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4</w:t>
            </w:r>
          </w:p>
        </w:tc>
        <w:tc>
          <w:tcPr>
            <w:tcW w:type="dxa" w:w="52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Breakfast_Regularity_Score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0.400749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5</w:t>
            </w:r>
          </w:p>
        </w:tc>
        <w:tc>
          <w:tcPr>
            <w:tcW w:type="dxa" w:w="52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Sleep_Quality_Score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0.193149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6</w:t>
            </w:r>
          </w:p>
        </w:tc>
        <w:tc>
          <w:tcPr>
            <w:tcW w:type="dxa" w:w="52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Sitting_Hours_Per_Day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0.085142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7</w:t>
            </w:r>
          </w:p>
        </w:tc>
        <w:tc>
          <w:tcPr>
            <w:tcW w:type="dxa" w:w="52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Working_Hours_Per_Day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0.073982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8</w:t>
            </w:r>
          </w:p>
        </w:tc>
        <w:tc>
          <w:tcPr>
            <w:tcW w:type="dxa" w:w="52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Workout_Intensity_Moderate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0.055470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9</w:t>
            </w:r>
          </w:p>
        </w:tc>
        <w:tc>
          <w:tcPr>
            <w:tcW w:type="dxa" w:w="52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Exercise_Duration_Minutes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0.048968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10</w:t>
            </w:r>
          </w:p>
        </w:tc>
        <w:tc>
          <w:tcPr>
            <w:tcW w:type="dxa" w:w="52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Anxiety_Score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0.047906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7.1 解释口径SHAP蜂群图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3168000" cy="23204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T1_10_strict_shap_beeswar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320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40"/>
        <w:jc w:val="center"/>
      </w:pPr>
      <w:r>
        <w:rPr>
          <w:rFonts w:ascii="Times New Roman" w:hAnsi="Times New Roman" w:eastAsia="Microsoft YaHei"/>
          <w:b/>
          <w:i w:val="0"/>
          <w:sz w:val="18"/>
        </w:rPr>
        <w:t>图10 NO_TIME_NO_COMPOSITE最终模型SHAP蜂群图（Top 15）</w:t>
      </w:r>
    </w:p>
    <w:p>
      <w:pPr>
        <w:spacing w:after="80" w:before="0" w:line="348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蜂群图同时呈现特征贡献方向、贡献强度和样本异质性。Productivity Score 的高取值总体推动模型预测为早起者；Exercise Frequency、早餐规律性与睡眠质量也表现出较稳定的方向性。Stress Level 的影响方向需结合具体编码和其他变量共同解释，不能简单转写为医学因果结论。</w:t>
      </w:r>
    </w:p>
    <w:p>
      <w:pPr>
        <w:pStyle w:val="Heading1"/>
        <w:keepNext/>
      </w:pPr>
      <w:r>
        <w:t>7.2 FULL口径关键时间变量依赖关系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3168000" cy="29852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T1_11_full_shap_depende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98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40"/>
        <w:jc w:val="center"/>
      </w:pPr>
      <w:r>
        <w:rPr>
          <w:rFonts w:ascii="Times New Roman" w:hAnsi="Times New Roman" w:eastAsia="Microsoft YaHei"/>
          <w:b/>
          <w:i w:val="0"/>
          <w:sz w:val="18"/>
        </w:rPr>
        <w:t>图11 起床时间与睡眠时长的SHAP依赖关系</w:t>
      </w:r>
    </w:p>
    <w:p>
      <w:pPr>
        <w:spacing w:after="80" w:before="0" w:line="348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Wake Up Minutes 在约390分钟前后出现明显符号翻转，与06:30规则边界一致。Sleep Duration Hours 的SHAP贡献更弱且存在波动，说明睡眠时长主要作为辅助变量，而非决定 Early Waker 标签的核心依据。</w:t>
      </w:r>
    </w:p>
    <w:p>
      <w:r>
        <w:br w:type="page"/>
      </w:r>
    </w:p>
    <w:p>
      <w:pPr>
        <w:pStyle w:val="Heading1"/>
        <w:keepNext/>
      </w:pPr>
      <w:r>
        <w:t>8 最终模型、调用方式与可复现性</w:t>
      </w:r>
    </w:p>
    <w:p>
      <w:pPr>
        <w:pStyle w:val="Heading2"/>
        <w:keepNext/>
      </w:pPr>
      <w:r>
        <w:t>8.1 最终模型选择</w:t>
      </w:r>
    </w:p>
    <w:p>
      <w:pPr>
        <w:pStyle w:val="ListBullet"/>
        <w:spacing w:after="40" w:before="0" w:line="324" w:lineRule="auto"/>
      </w:pPr>
      <w:r>
        <w:rPr>
          <w:rFonts w:ascii="Times New Roman" w:hAnsi="Times New Roman" w:eastAsia="Microsoft YaHei"/>
          <w:b w:val="0"/>
          <w:i w:val="0"/>
          <w:sz w:val="20"/>
        </w:rPr>
        <w:t>竞赛提交主口径：competition_full / Random Forest。该模型保留时间变量，但删除四个跨任务综合字段。</w:t>
      </w:r>
    </w:p>
    <w:p>
      <w:pPr>
        <w:pStyle w:val="ListBullet"/>
        <w:spacing w:after="40" w:before="0" w:line="324" w:lineRule="auto"/>
      </w:pPr>
      <w:r>
        <w:rPr>
          <w:rFonts w:ascii="Times New Roman" w:hAnsi="Times New Roman" w:eastAsia="Microsoft YaHei"/>
          <w:b w:val="0"/>
          <w:i w:val="0"/>
          <w:sz w:val="20"/>
        </w:rPr>
        <w:t>论文解释主口径：no_time_no_composite / Logistic Regression。该模型同时删除直接时间变量和跨任务综合字段。</w:t>
      </w:r>
    </w:p>
    <w:p>
      <w:pPr>
        <w:pStyle w:val="ListBullet"/>
        <w:spacing w:after="40" w:before="0" w:line="324" w:lineRule="auto"/>
      </w:pPr>
      <w:r>
        <w:rPr>
          <w:rFonts w:ascii="Times New Roman" w:hAnsi="Times New Roman" w:eastAsia="Microsoft YaHei"/>
          <w:b w:val="0"/>
          <w:i w:val="0"/>
          <w:sz w:val="20"/>
        </w:rPr>
        <w:t>规则核查模型：minimal_rule_tree / Decision Tree Depth 1，仅用于验证标签定义，不替代正式机器学习结果。</w:t>
      </w:r>
    </w:p>
    <w:p>
      <w:pPr>
        <w:pStyle w:val="Heading2"/>
        <w:keepNext/>
      </w:pPr>
      <w:r>
        <w:t>8.2 模型文件与调用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rPr>
          <w:tblHeader w:val="true"/>
        </w:trPr>
        <w:tc>
          <w:tcPr>
            <w:tcW w:type="dxa" w:w="4621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用途</w:t>
            </w:r>
          </w:p>
        </w:tc>
        <w:tc>
          <w:tcPr>
            <w:tcW w:type="dxa" w:w="4621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路径/命令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FULL验证模型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experiments/competition_full/models/task1_competition_full_validation_bundle.joblib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FULL全量重训模型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experiments/competition_full/models/task1_competition_full_refit_bundle.joblib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解释口径验证模型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experiments/no_time_no_composite/models/task1_no_time_no_composite_validation_bundle.joblib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预测命令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7"/>
              </w:rPr>
              <w:t>python code/predict_task1.py --model &lt;joblib&gt; --input &lt;csv&gt; --output &lt;csv&gt;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8.3 运行环境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5953"/>
      </w:tblGrid>
      <w:tr>
        <w:trPr>
          <w:tblHeader w:val="true"/>
        </w:trPr>
        <w:tc>
          <w:tcPr>
            <w:tcW w:type="dxa" w:w="4621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4621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版本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Python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3.13.5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操作系统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Linux-6.12.13-x86_64-with-glibc2.41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pandas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2.2.3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NumPy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2.3.5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scikit-learn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1.8.0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XGBoost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3.1.3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SHAP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0.50.0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joblib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8"/>
              </w:rPr>
              <w:t>1.5.3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242"/>
            <w:shd w:fill="EAF3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Times New Roman" w:hAnsi="Times New Roman" w:eastAsia="Microsoft YaHei"/>
                <w:b/>
                <w:i w:val="0"/>
                <w:color w:val="176B87"/>
                <w:sz w:val="20"/>
              </w:rPr>
              <w:t>verification_report.json 状态为 PASS：competition_full、no_time_no_composite 和 minimal_rule_tree 的保存模型均通过重新加载、逐样本预测和指标复算。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 已知限制与提交前检查</w:t>
      </w:r>
    </w:p>
    <w:p>
      <w:pPr>
        <w:pStyle w:val="ListBullet"/>
        <w:spacing w:after="40" w:before="0" w:line="324" w:lineRule="auto"/>
      </w:pPr>
      <w:r>
        <w:rPr>
          <w:rFonts w:ascii="Times New Roman" w:hAnsi="Times New Roman" w:eastAsia="Microsoft YaHei"/>
          <w:b w:val="0"/>
          <w:i w:val="0"/>
          <w:sz w:val="20"/>
        </w:rPr>
        <w:t>FULL 结果包含直接定义变量，论文必须与解释口径同时报告，并明确100%准确率的来源。</w:t>
      </w:r>
    </w:p>
    <w:p>
      <w:pPr>
        <w:pStyle w:val="ListBullet"/>
        <w:spacing w:after="40" w:before="0" w:line="324" w:lineRule="auto"/>
      </w:pPr>
      <w:r>
        <w:rPr>
          <w:rFonts w:ascii="Times New Roman" w:hAnsi="Times New Roman" w:eastAsia="Microsoft YaHei"/>
          <w:b w:val="0"/>
          <w:i w:val="0"/>
          <w:sz w:val="20"/>
        </w:rPr>
        <w:t>当前没有官方未知测试集，task1_validation_predictions.csv 仅用于接口与格式验收。</w:t>
      </w:r>
    </w:p>
    <w:p>
      <w:pPr>
        <w:pStyle w:val="ListBullet"/>
        <w:spacing w:after="40" w:before="0" w:line="324" w:lineRule="auto"/>
      </w:pPr>
      <w:r>
        <w:rPr>
          <w:rFonts w:ascii="Times New Roman" w:hAnsi="Times New Roman" w:eastAsia="Microsoft YaHei"/>
          <w:b w:val="0"/>
          <w:i w:val="0"/>
          <w:sz w:val="20"/>
        </w:rPr>
        <w:t>队伍编号 DATA26XXXXXX 仍为占位符；正式论文、页眉、模型压缩包和提交文件需统一替换。</w:t>
      </w:r>
    </w:p>
    <w:p>
      <w:pPr>
        <w:pStyle w:val="ListBullet"/>
        <w:spacing w:after="40" w:before="0" w:line="324" w:lineRule="auto"/>
      </w:pPr>
      <w:r>
        <w:rPr>
          <w:rFonts w:ascii="Times New Roman" w:hAnsi="Times New Roman" w:eastAsia="Microsoft YaHei"/>
          <w:b w:val="0"/>
          <w:i w:val="0"/>
          <w:sz w:val="20"/>
        </w:rPr>
        <w:t>最终提交前必须根据官方样例核对 Person_ID、预测列名、标签拼写和行顺序。</w:t>
      </w:r>
    </w:p>
    <w:p>
      <w:pPr>
        <w:pStyle w:val="ListBullet"/>
        <w:spacing w:after="40" w:before="0" w:line="324" w:lineRule="auto"/>
      </w:pPr>
      <w:r>
        <w:rPr>
          <w:rFonts w:ascii="Times New Roman" w:hAnsi="Times New Roman" w:eastAsia="Microsoft YaHei"/>
          <w:b w:val="0"/>
          <w:i w:val="0"/>
          <w:sz w:val="20"/>
        </w:rPr>
        <w:t>SHAP解释属于模型层面的统计贡献，不应表述为睡眠或健康因素的因果效应。</w:t>
      </w:r>
    </w:p>
    <w:p>
      <w:pPr>
        <w:pStyle w:val="Heading1"/>
        <w:keepNext/>
      </w:pPr>
      <w:r>
        <w:t>附录A 任务一文件与运行顺序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309"/>
        <w:gridCol w:w="3458"/>
      </w:tblGrid>
      <w:tr>
        <w:trPr>
          <w:tblHeader w:val="true"/>
        </w:trPr>
        <w:tc>
          <w:tcPr>
            <w:tcW w:type="dxa" w:w="3081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顺序</w:t>
            </w:r>
          </w:p>
        </w:tc>
        <w:tc>
          <w:tcPr>
            <w:tcW w:type="dxa" w:w="3081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脚本/文件</w:t>
            </w:r>
          </w:p>
        </w:tc>
        <w:tc>
          <w:tcPr>
            <w:tcW w:type="dxa" w:w="3081"/>
            <w:shd w:fill="176B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Microsoft YaHei"/>
                <w:b/>
                <w:i w:val="0"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6"/>
              </w:rPr>
              <w:t>1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6"/>
              </w:rPr>
              <w:t>code/train_task1.py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6"/>
              </w:rPr>
              <w:t>说明训练脚本执行顺序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6"/>
              </w:rPr>
              <w:t>2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6"/>
              </w:rPr>
              <w:t>code/repro_build/01_build_full_scope_and_package.py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6"/>
              </w:rPr>
              <w:t>FULL模型、数据审计与初始交付结构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6"/>
              </w:rPr>
              <w:t>3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6"/>
              </w:rPr>
              <w:t>code/repro_build/02_strict_repeated_cv_chunk.py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6"/>
              </w:rPr>
              <w:t>解释口径3种子×5折验证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6"/>
              </w:rPr>
              <w:t>4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6"/>
              </w:rPr>
              <w:t>code/repro_build/03_finalize_models_docs_and_verify.py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6"/>
              </w:rPr>
              <w:t>最终模型、图表数据、文档与复核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6"/>
              </w:rPr>
              <w:t>5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6"/>
              </w:rPr>
              <w:t>code/verify_task1.py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6"/>
              </w:rPr>
              <w:t>重新加载模型并核验预测与指标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6"/>
              </w:rPr>
              <w:t>6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6"/>
              </w:rPr>
              <w:t>code/predict_task1.py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Microsoft YaHei"/>
                <w:b w:val="0"/>
                <w:i w:val="0"/>
                <w:sz w:val="16"/>
              </w:rPr>
              <w:t>对新CSV执行预测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Microsoft YaHei"/>
        <w:color w:val="777777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Microsoft YaHei"/>
        <w:b w:val="0"/>
        <w:i w:val="0"/>
        <w:color w:val="777777"/>
        <w:sz w:val="17"/>
      </w:rPr>
      <w:t>创新杯A题 · 任务一建模报告 · DATA26XXXXXX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Times New Roman" w:hAnsi="Times New Roman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76B8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3B9B8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37679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任务一：Early Waker早起行为预测完整建模报告</dc:title>
  <dc:subject>2026年第五届创新杯大学生大数据挑战赛A题任务一</dc:subject>
  <dc:creator>DATA26XXXXXX</dc:creator>
  <cp:keywords>Early Waker, Random Forest, Logistic Regression, SHAP, Innovation Cup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