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7"/>
        <w:jc w:val="center"/>
        <w:rPr>
          <w:rFonts w:ascii="宋体" w:hAnsi="宋体" w:cs="宋体"/>
        </w:rPr>
      </w:pPr>
      <w:bookmarkStart w:id="0" w:name="_Toc233605081"/>
    </w:p>
    <w:p>
      <w:pPr>
        <w:pStyle w:val="27"/>
        <w:rPr>
          <w:rFonts w:ascii="宋体" w:hAnsi="宋体" w:cs="宋体"/>
        </w:rPr>
      </w:pPr>
    </w:p>
    <w:p>
      <w:pPr>
        <w:pStyle w:val="27"/>
        <w:rPr>
          <w:rFonts w:ascii="宋体" w:hAnsi="宋体" w:cs="宋体"/>
        </w:rPr>
      </w:pPr>
    </w:p>
    <w:p>
      <w:pPr>
        <w:pStyle w:val="27"/>
        <w:rPr>
          <w:rFonts w:ascii="宋体" w:hAnsi="宋体" w:cs="宋体"/>
        </w:rPr>
      </w:pPr>
    </w:p>
    <w:p>
      <w:pPr>
        <w:pStyle w:val="27"/>
        <w:rPr>
          <w:rFonts w:ascii="宋体" w:hAnsi="宋体" w:cs="宋体"/>
        </w:rPr>
      </w:pPr>
    </w:p>
    <w:p>
      <w:pPr>
        <w:pStyle w:val="28"/>
        <w:spacing w:after="156" w:afterLines="50"/>
        <w:rPr>
          <w:rFonts w:ascii="宋体" w:hAnsi="宋体" w:eastAsia="宋体" w:cs="宋体"/>
          <w:sz w:val="52"/>
          <w:szCs w:val="52"/>
        </w:rPr>
      </w:pPr>
      <w:r>
        <w:rPr>
          <w:rFonts w:hint="eastAsia" w:ascii="宋体" w:hAnsi="宋体" w:eastAsia="宋体" w:cs="宋体"/>
          <w:sz w:val="52"/>
          <w:szCs w:val="52"/>
        </w:rPr>
        <w:t>西安银行软件项目</w:t>
      </w:r>
      <w:r>
        <w:rPr>
          <w:rFonts w:hint="eastAsia" w:ascii="宋体" w:hAnsi="宋体" w:eastAsia="宋体" w:cs="宋体"/>
          <w:sz w:val="52"/>
          <w:szCs w:val="52"/>
          <w:lang w:val="en-US" w:eastAsia="zh-CN"/>
        </w:rPr>
        <w:t>企业微信票据业务新增票据直转一体化</w:t>
      </w:r>
      <w:r>
        <w:rPr>
          <w:rFonts w:hint="eastAsia" w:ascii="宋体" w:hAnsi="宋体" w:eastAsia="宋体" w:cs="宋体"/>
          <w:sz w:val="52"/>
          <w:szCs w:val="52"/>
        </w:rPr>
        <w:t>需求</w:t>
      </w:r>
    </w:p>
    <w:p>
      <w:pPr>
        <w:pStyle w:val="28"/>
        <w:spacing w:after="156" w:afterLines="50"/>
        <w:rPr>
          <w:rFonts w:ascii="宋体" w:hAnsi="宋体" w:eastAsia="宋体" w:cs="宋体"/>
          <w:sz w:val="52"/>
          <w:szCs w:val="52"/>
        </w:rPr>
      </w:pPr>
    </w:p>
    <w:p>
      <w:pPr>
        <w:jc w:val="center"/>
        <w:rPr>
          <w:rFonts w:ascii="宋体" w:hAnsi="宋体" w:cs="宋体"/>
          <w:b/>
          <w:bCs/>
          <w:sz w:val="28"/>
          <w:szCs w:val="28"/>
        </w:rPr>
      </w:pPr>
      <w:bookmarkStart w:id="1" w:name="_Toc266716514"/>
      <w:bookmarkStart w:id="2" w:name="_Toc276734866"/>
    </w:p>
    <w:p>
      <w:pPr>
        <w:jc w:val="center"/>
        <w:rPr>
          <w:rFonts w:ascii="宋体" w:hAnsi="宋体" w:cs="宋体"/>
          <w:b/>
          <w:bCs/>
          <w:sz w:val="28"/>
          <w:szCs w:val="28"/>
        </w:rPr>
      </w:pPr>
    </w:p>
    <w:p>
      <w:pPr>
        <w:jc w:val="center"/>
        <w:rPr>
          <w:rFonts w:ascii="宋体" w:hAnsi="宋体" w:cs="宋体"/>
          <w:b/>
          <w:bCs/>
          <w:sz w:val="28"/>
          <w:szCs w:val="28"/>
        </w:rPr>
      </w:pPr>
    </w:p>
    <w:p>
      <w:pPr>
        <w:jc w:val="center"/>
        <w:rPr>
          <w:rFonts w:ascii="宋体" w:hAnsi="宋体" w:cs="宋体"/>
          <w:b/>
          <w:bCs/>
          <w:sz w:val="28"/>
          <w:szCs w:val="28"/>
        </w:rPr>
      </w:pPr>
    </w:p>
    <w:p>
      <w:pPr>
        <w:jc w:val="center"/>
        <w:rPr>
          <w:rFonts w:ascii="宋体" w:hAnsi="宋体" w:cs="宋体"/>
          <w:b/>
          <w:bCs/>
          <w:sz w:val="28"/>
          <w:szCs w:val="28"/>
        </w:rPr>
      </w:pPr>
    </w:p>
    <w:p>
      <w:pPr>
        <w:jc w:val="center"/>
        <w:rPr>
          <w:rFonts w:ascii="宋体" w:hAnsi="宋体" w:cs="宋体"/>
          <w:b/>
          <w:bCs/>
          <w:sz w:val="28"/>
          <w:szCs w:val="28"/>
        </w:rPr>
      </w:pPr>
    </w:p>
    <w:p>
      <w:pPr>
        <w:jc w:val="center"/>
        <w:rPr>
          <w:rFonts w:ascii="宋体" w:hAnsi="宋体" w:cs="宋体"/>
          <w:b/>
          <w:bCs/>
          <w:sz w:val="28"/>
          <w:szCs w:val="28"/>
        </w:rPr>
      </w:pPr>
    </w:p>
    <w:p>
      <w:pPr>
        <w:jc w:val="center"/>
        <w:rPr>
          <w:rFonts w:ascii="宋体" w:hAnsi="宋体" w:cs="宋体"/>
          <w:b/>
          <w:bCs/>
          <w:sz w:val="28"/>
          <w:szCs w:val="28"/>
        </w:rPr>
      </w:pPr>
    </w:p>
    <w:p>
      <w:pPr>
        <w:jc w:val="center"/>
        <w:rPr>
          <w:rFonts w:ascii="宋体" w:hAnsi="宋体" w:cs="宋体"/>
          <w:b/>
          <w:bCs/>
          <w:sz w:val="28"/>
          <w:szCs w:val="28"/>
        </w:rPr>
      </w:pPr>
    </w:p>
    <w:p>
      <w:pPr>
        <w:jc w:val="center"/>
        <w:rPr>
          <w:rFonts w:ascii="宋体" w:hAnsi="宋体" w:cs="宋体"/>
          <w:b/>
          <w:bCs/>
          <w:sz w:val="28"/>
          <w:szCs w:val="28"/>
        </w:rPr>
      </w:pPr>
    </w:p>
    <w:p>
      <w:pPr>
        <w:jc w:val="center"/>
        <w:rPr>
          <w:rFonts w:ascii="宋体" w:hAnsi="宋体" w:cs="宋体"/>
          <w:b/>
          <w:bCs/>
          <w:sz w:val="28"/>
          <w:szCs w:val="28"/>
        </w:rPr>
      </w:pPr>
      <w:r>
        <w:rPr>
          <w:rFonts w:hint="eastAsia" w:ascii="宋体" w:hAnsi="宋体" w:cs="宋体"/>
          <w:b/>
          <w:bCs/>
          <w:sz w:val="28"/>
          <w:szCs w:val="28"/>
        </w:rPr>
        <w:t>版本：V1.0</w:t>
      </w:r>
      <w:bookmarkEnd w:id="1"/>
      <w:bookmarkEnd w:id="2"/>
    </w:p>
    <w:p>
      <w:pPr>
        <w:pStyle w:val="27"/>
        <w:rPr>
          <w:rFonts w:ascii="宋体" w:hAnsi="宋体" w:cs="宋体"/>
        </w:rPr>
      </w:pPr>
    </w:p>
    <w:p>
      <w:pPr>
        <w:pStyle w:val="27"/>
        <w:rPr>
          <w:rFonts w:ascii="宋体" w:hAnsi="宋体" w:cs="宋体"/>
        </w:rPr>
      </w:pPr>
    </w:p>
    <w:p>
      <w:pPr>
        <w:pStyle w:val="28"/>
        <w:spacing w:line="240" w:lineRule="atLeast"/>
        <w:rPr>
          <w:rFonts w:ascii="宋体" w:hAnsi="宋体" w:eastAsia="宋体" w:cs="宋体"/>
        </w:rPr>
      </w:pPr>
      <w:r>
        <w:rPr>
          <w:rFonts w:hint="eastAsia" w:ascii="宋体" w:hAnsi="宋体" w:eastAsia="宋体" w:cs="宋体"/>
        </w:rPr>
        <w:t>目 录</w:t>
      </w:r>
    </w:p>
    <w:p>
      <w:pPr>
        <w:pStyle w:val="17"/>
        <w:tabs>
          <w:tab w:val="right" w:leader="dot" w:pos="8306"/>
        </w:tabs>
      </w:pPr>
      <w:r>
        <w:rPr>
          <w:rFonts w:hint="eastAsia" w:ascii="宋体" w:hAnsi="宋体" w:cs="宋体"/>
        </w:rPr>
        <w:fldChar w:fldCharType="begin"/>
      </w:r>
      <w:r>
        <w:rPr>
          <w:rFonts w:hint="eastAsia" w:ascii="宋体" w:hAnsi="宋体" w:cs="宋体"/>
        </w:rPr>
        <w:instrText xml:space="preserve"> TOC \o "1-3" \h \z \u </w:instrText>
      </w:r>
      <w:r>
        <w:rPr>
          <w:rFonts w:hint="eastAsia" w:ascii="宋体" w:hAnsi="宋体" w:cs="宋体"/>
        </w:rPr>
        <w:fldChar w:fldCharType="separate"/>
      </w:r>
      <w:r>
        <w:rPr>
          <w:rFonts w:hint="eastAsia" w:ascii="宋体" w:hAnsi="宋体" w:cs="宋体"/>
        </w:rPr>
        <w:fldChar w:fldCharType="begin"/>
      </w:r>
      <w:r>
        <w:rPr>
          <w:rFonts w:hint="eastAsia" w:ascii="宋体" w:hAnsi="宋体" w:cs="宋体"/>
        </w:rPr>
        <w:instrText xml:space="preserve"> HYPERLINK \l _Toc39666144 </w:instrText>
      </w:r>
      <w:r>
        <w:rPr>
          <w:rFonts w:hint="eastAsia" w:ascii="宋体" w:hAnsi="宋体" w:cs="宋体"/>
        </w:rPr>
        <w:fldChar w:fldCharType="separate"/>
      </w:r>
      <w:r>
        <w:rPr>
          <w:rFonts w:hint="default"/>
        </w:rPr>
        <w:t xml:space="preserve">1. </w:t>
      </w:r>
      <w:r>
        <w:rPr>
          <w:rFonts w:hint="eastAsia"/>
        </w:rPr>
        <w:t>需求概述</w:t>
      </w:r>
      <w:r>
        <w:tab/>
      </w:r>
      <w:r>
        <w:fldChar w:fldCharType="begin"/>
      </w:r>
      <w:r>
        <w:instrText xml:space="preserve"> PAGEREF _Toc39666144 \h </w:instrText>
      </w:r>
      <w:r>
        <w:fldChar w:fldCharType="separate"/>
      </w:r>
      <w:r>
        <w:t>3</w:t>
      </w:r>
      <w:r>
        <w:fldChar w:fldCharType="end"/>
      </w:r>
      <w:r>
        <w:rPr>
          <w:rFonts w:hint="eastAsia" w:ascii="宋体" w:hAnsi="宋体" w:cs="宋体"/>
        </w:rPr>
        <w:fldChar w:fldCharType="end"/>
      </w:r>
    </w:p>
    <w:p>
      <w:pPr>
        <w:pStyle w:val="17"/>
        <w:tabs>
          <w:tab w:val="right" w:leader="dot" w:pos="8306"/>
        </w:tabs>
      </w:pPr>
      <w:r>
        <w:rPr>
          <w:rFonts w:hint="eastAsia" w:ascii="宋体" w:hAnsi="宋体" w:cs="宋体"/>
        </w:rPr>
        <w:fldChar w:fldCharType="begin"/>
      </w:r>
      <w:r>
        <w:rPr>
          <w:rFonts w:hint="eastAsia" w:ascii="宋体" w:hAnsi="宋体" w:cs="宋体"/>
        </w:rPr>
        <w:instrText xml:space="preserve"> HYPERLINK \l _Toc948951638 </w:instrText>
      </w:r>
      <w:r>
        <w:rPr>
          <w:rFonts w:hint="eastAsia" w:ascii="宋体" w:hAnsi="宋体" w:cs="宋体"/>
        </w:rPr>
        <w:fldChar w:fldCharType="separate"/>
      </w:r>
      <w:r>
        <w:rPr>
          <w:rFonts w:hint="default"/>
        </w:rPr>
        <w:t xml:space="preserve">2. </w:t>
      </w:r>
      <w:r>
        <w:rPr>
          <w:rFonts w:hint="eastAsia"/>
        </w:rPr>
        <w:t>涉及行外机构</w:t>
      </w:r>
      <w:r>
        <w:tab/>
      </w:r>
      <w:r>
        <w:fldChar w:fldCharType="begin"/>
      </w:r>
      <w:r>
        <w:instrText xml:space="preserve"> PAGEREF _Toc948951638 \h </w:instrText>
      </w:r>
      <w:r>
        <w:fldChar w:fldCharType="separate"/>
      </w:r>
      <w:r>
        <w:t>3</w:t>
      </w:r>
      <w:r>
        <w:fldChar w:fldCharType="end"/>
      </w:r>
      <w:r>
        <w:rPr>
          <w:rFonts w:hint="eastAsia" w:ascii="宋体" w:hAnsi="宋体" w:cs="宋体"/>
        </w:rPr>
        <w:fldChar w:fldCharType="end"/>
      </w:r>
    </w:p>
    <w:p>
      <w:pPr>
        <w:pStyle w:val="17"/>
        <w:tabs>
          <w:tab w:val="right" w:leader="dot" w:pos="8306"/>
        </w:tabs>
      </w:pPr>
      <w:r>
        <w:rPr>
          <w:rFonts w:hint="eastAsia" w:ascii="宋体" w:hAnsi="宋体" w:cs="宋体"/>
        </w:rPr>
        <w:fldChar w:fldCharType="begin"/>
      </w:r>
      <w:r>
        <w:rPr>
          <w:rFonts w:hint="eastAsia" w:ascii="宋体" w:hAnsi="宋体" w:cs="宋体"/>
        </w:rPr>
        <w:instrText xml:space="preserve"> HYPERLINK \l _Toc1816617244 </w:instrText>
      </w:r>
      <w:r>
        <w:rPr>
          <w:rFonts w:hint="eastAsia" w:ascii="宋体" w:hAnsi="宋体" w:cs="宋体"/>
        </w:rPr>
        <w:fldChar w:fldCharType="separate"/>
      </w:r>
      <w:r>
        <w:rPr>
          <w:rFonts w:hint="default"/>
        </w:rPr>
        <w:t xml:space="preserve">3. </w:t>
      </w:r>
      <w:r>
        <w:rPr>
          <w:rFonts w:hint="eastAsia"/>
        </w:rPr>
        <w:t>实现功能描述</w:t>
      </w:r>
      <w:r>
        <w:tab/>
      </w:r>
      <w:r>
        <w:fldChar w:fldCharType="begin"/>
      </w:r>
      <w:r>
        <w:instrText xml:space="preserve"> PAGEREF _Toc1816617244 \h </w:instrText>
      </w:r>
      <w:r>
        <w:fldChar w:fldCharType="separate"/>
      </w:r>
      <w:r>
        <w:t>3</w:t>
      </w:r>
      <w:r>
        <w:fldChar w:fldCharType="end"/>
      </w:r>
      <w:r>
        <w:rPr>
          <w:rFonts w:hint="eastAsia" w:ascii="宋体" w:hAnsi="宋体" w:cs="宋体"/>
        </w:rPr>
        <w:fldChar w:fldCharType="end"/>
      </w:r>
    </w:p>
    <w:p>
      <w:pPr>
        <w:pStyle w:val="18"/>
        <w:tabs>
          <w:tab w:val="right" w:leader="dot" w:pos="8306"/>
          <w:tab w:val="clear" w:pos="1050"/>
          <w:tab w:val="clear" w:pos="8296"/>
        </w:tabs>
      </w:pPr>
      <w:r>
        <w:rPr>
          <w:rFonts w:hint="eastAsia" w:ascii="宋体" w:hAnsi="宋体" w:cs="宋体"/>
        </w:rPr>
        <w:fldChar w:fldCharType="begin"/>
      </w:r>
      <w:r>
        <w:rPr>
          <w:rFonts w:hint="eastAsia" w:ascii="宋体" w:hAnsi="宋体" w:cs="宋体"/>
        </w:rPr>
        <w:instrText xml:space="preserve"> HYPERLINK \l _Toc1111010509 </w:instrText>
      </w:r>
      <w:r>
        <w:rPr>
          <w:rFonts w:hint="eastAsia" w:ascii="宋体" w:hAnsi="宋体" w:cs="宋体"/>
        </w:rPr>
        <w:fldChar w:fldCharType="separate"/>
      </w:r>
      <w:r>
        <w:rPr>
          <w:rFonts w:hint="default"/>
          <w:lang w:val="en-US" w:eastAsia="zh-CN"/>
        </w:rPr>
        <w:t xml:space="preserve">3.1. </w:t>
      </w:r>
      <w:r>
        <w:rPr>
          <w:rFonts w:hint="eastAsia"/>
          <w:lang w:val="en-US" w:eastAsia="zh-CN"/>
        </w:rPr>
        <w:t>转贴现卖出</w:t>
      </w:r>
      <w:r>
        <w:tab/>
      </w:r>
      <w:r>
        <w:fldChar w:fldCharType="begin"/>
      </w:r>
      <w:r>
        <w:instrText xml:space="preserve"> PAGEREF _Toc1111010509 \h </w:instrText>
      </w:r>
      <w:r>
        <w:fldChar w:fldCharType="separate"/>
      </w:r>
      <w:r>
        <w:t>3</w:t>
      </w:r>
      <w:r>
        <w:fldChar w:fldCharType="end"/>
      </w:r>
      <w:r>
        <w:rPr>
          <w:rFonts w:hint="eastAsia" w:ascii="宋体" w:hAnsi="宋体" w:cs="宋体"/>
        </w:rPr>
        <w:fldChar w:fldCharType="end"/>
      </w:r>
    </w:p>
    <w:p>
      <w:pPr>
        <w:pStyle w:val="14"/>
        <w:tabs>
          <w:tab w:val="right" w:leader="dot" w:pos="8306"/>
          <w:tab w:val="clear" w:pos="1680"/>
          <w:tab w:val="clear" w:pos="8296"/>
        </w:tabs>
      </w:pPr>
      <w:r>
        <w:rPr>
          <w:rFonts w:hint="eastAsia" w:ascii="宋体" w:hAnsi="宋体" w:cs="宋体"/>
        </w:rPr>
        <w:fldChar w:fldCharType="begin"/>
      </w:r>
      <w:r>
        <w:rPr>
          <w:rFonts w:hint="eastAsia" w:ascii="宋体" w:hAnsi="宋体" w:cs="宋体"/>
        </w:rPr>
        <w:instrText xml:space="preserve"> HYPERLINK \l _Toc383314098 </w:instrText>
      </w:r>
      <w:r>
        <w:rPr>
          <w:rFonts w:hint="eastAsia" w:ascii="宋体" w:hAnsi="宋体" w:cs="宋体"/>
        </w:rPr>
        <w:fldChar w:fldCharType="separate"/>
      </w:r>
      <w:r>
        <w:rPr>
          <w:rFonts w:hint="default"/>
        </w:rPr>
        <w:t xml:space="preserve">3.1.1. </w:t>
      </w:r>
      <w:r>
        <w:rPr>
          <w:rFonts w:hint="eastAsia"/>
        </w:rPr>
        <w:t>功能描述</w:t>
      </w:r>
      <w:r>
        <w:tab/>
      </w:r>
      <w:r>
        <w:fldChar w:fldCharType="begin"/>
      </w:r>
      <w:r>
        <w:instrText xml:space="preserve"> PAGEREF _Toc383314098 \h </w:instrText>
      </w:r>
      <w:r>
        <w:fldChar w:fldCharType="separate"/>
      </w:r>
      <w:r>
        <w:t>3</w:t>
      </w:r>
      <w:r>
        <w:fldChar w:fldCharType="end"/>
      </w:r>
      <w:r>
        <w:rPr>
          <w:rFonts w:hint="eastAsia" w:ascii="宋体" w:hAnsi="宋体" w:cs="宋体"/>
        </w:rPr>
        <w:fldChar w:fldCharType="end"/>
      </w:r>
    </w:p>
    <w:p>
      <w:pPr>
        <w:pStyle w:val="14"/>
        <w:tabs>
          <w:tab w:val="right" w:leader="dot" w:pos="8306"/>
          <w:tab w:val="clear" w:pos="1680"/>
          <w:tab w:val="clear" w:pos="8296"/>
        </w:tabs>
      </w:pPr>
      <w:r>
        <w:rPr>
          <w:rFonts w:hint="eastAsia" w:ascii="宋体" w:hAnsi="宋体" w:cs="宋体"/>
        </w:rPr>
        <w:fldChar w:fldCharType="begin"/>
      </w:r>
      <w:r>
        <w:rPr>
          <w:rFonts w:hint="eastAsia" w:ascii="宋体" w:hAnsi="宋体" w:cs="宋体"/>
        </w:rPr>
        <w:instrText xml:space="preserve"> HYPERLINK \l _Toc2056587733 </w:instrText>
      </w:r>
      <w:r>
        <w:rPr>
          <w:rFonts w:hint="eastAsia" w:ascii="宋体" w:hAnsi="宋体" w:cs="宋体"/>
        </w:rPr>
        <w:fldChar w:fldCharType="separate"/>
      </w:r>
      <w:r>
        <w:rPr>
          <w:rFonts w:hint="default"/>
        </w:rPr>
        <w:t xml:space="preserve">3.1.2. </w:t>
      </w:r>
      <w:r>
        <w:rPr>
          <w:rFonts w:hint="eastAsia"/>
        </w:rPr>
        <w:t>输入输出</w:t>
      </w:r>
      <w:r>
        <w:tab/>
      </w:r>
      <w:r>
        <w:fldChar w:fldCharType="begin"/>
      </w:r>
      <w:r>
        <w:instrText xml:space="preserve"> PAGEREF _Toc2056587733 \h </w:instrText>
      </w:r>
      <w:r>
        <w:fldChar w:fldCharType="separate"/>
      </w:r>
      <w:r>
        <w:t>3</w:t>
      </w:r>
      <w:r>
        <w:fldChar w:fldCharType="end"/>
      </w:r>
      <w:r>
        <w:rPr>
          <w:rFonts w:hint="eastAsia" w:ascii="宋体" w:hAnsi="宋体" w:cs="宋体"/>
        </w:rPr>
        <w:fldChar w:fldCharType="end"/>
      </w:r>
    </w:p>
    <w:p>
      <w:pPr>
        <w:pStyle w:val="14"/>
        <w:tabs>
          <w:tab w:val="right" w:leader="dot" w:pos="8306"/>
          <w:tab w:val="clear" w:pos="1680"/>
          <w:tab w:val="clear" w:pos="8296"/>
        </w:tabs>
      </w:pPr>
      <w:r>
        <w:rPr>
          <w:rFonts w:hint="eastAsia" w:ascii="宋体" w:hAnsi="宋体" w:cs="宋体"/>
        </w:rPr>
        <w:fldChar w:fldCharType="begin"/>
      </w:r>
      <w:r>
        <w:rPr>
          <w:rFonts w:hint="eastAsia" w:ascii="宋体" w:hAnsi="宋体" w:cs="宋体"/>
        </w:rPr>
        <w:instrText xml:space="preserve"> HYPERLINK \l _Toc1320730066 </w:instrText>
      </w:r>
      <w:r>
        <w:rPr>
          <w:rFonts w:hint="eastAsia" w:ascii="宋体" w:hAnsi="宋体" w:cs="宋体"/>
        </w:rPr>
        <w:fldChar w:fldCharType="separate"/>
      </w:r>
      <w:r>
        <w:rPr>
          <w:rFonts w:hint="default"/>
        </w:rPr>
        <w:t xml:space="preserve">3.1.3. </w:t>
      </w:r>
      <w:r>
        <w:rPr>
          <w:rFonts w:hint="eastAsia"/>
        </w:rPr>
        <w:t>处理逻辑、业务规则及约束</w:t>
      </w:r>
      <w:r>
        <w:tab/>
      </w:r>
      <w:r>
        <w:fldChar w:fldCharType="begin"/>
      </w:r>
      <w:r>
        <w:instrText xml:space="preserve"> PAGEREF _Toc1320730066 \h </w:instrText>
      </w:r>
      <w:r>
        <w:fldChar w:fldCharType="separate"/>
      </w:r>
      <w:r>
        <w:t>4</w:t>
      </w:r>
      <w:r>
        <w:fldChar w:fldCharType="end"/>
      </w:r>
      <w:r>
        <w:rPr>
          <w:rFonts w:hint="eastAsia" w:ascii="宋体" w:hAnsi="宋体" w:cs="宋体"/>
        </w:rPr>
        <w:fldChar w:fldCharType="end"/>
      </w:r>
    </w:p>
    <w:p>
      <w:pPr>
        <w:pStyle w:val="14"/>
        <w:tabs>
          <w:tab w:val="right" w:leader="dot" w:pos="8306"/>
          <w:tab w:val="clear" w:pos="1680"/>
          <w:tab w:val="clear" w:pos="8296"/>
        </w:tabs>
      </w:pPr>
      <w:r>
        <w:rPr>
          <w:rFonts w:hint="eastAsia" w:ascii="宋体" w:hAnsi="宋体" w:cs="宋体"/>
        </w:rPr>
        <w:fldChar w:fldCharType="begin"/>
      </w:r>
      <w:r>
        <w:rPr>
          <w:rFonts w:hint="eastAsia" w:ascii="宋体" w:hAnsi="宋体" w:cs="宋体"/>
        </w:rPr>
        <w:instrText xml:space="preserve"> HYPERLINK \l _Toc1119243870 </w:instrText>
      </w:r>
      <w:r>
        <w:rPr>
          <w:rFonts w:hint="eastAsia" w:ascii="宋体" w:hAnsi="宋体" w:cs="宋体"/>
        </w:rPr>
        <w:fldChar w:fldCharType="separate"/>
      </w:r>
      <w:r>
        <w:rPr>
          <w:rFonts w:hint="default"/>
        </w:rPr>
        <w:t xml:space="preserve">3.1.4. </w:t>
      </w:r>
      <w:r>
        <w:rPr>
          <w:rFonts w:hint="eastAsia"/>
        </w:rPr>
        <w:t>涉及样式要求</w:t>
      </w:r>
      <w:r>
        <w:tab/>
      </w:r>
      <w:r>
        <w:fldChar w:fldCharType="begin"/>
      </w:r>
      <w:r>
        <w:instrText xml:space="preserve"> PAGEREF _Toc1119243870 \h </w:instrText>
      </w:r>
      <w:r>
        <w:fldChar w:fldCharType="separate"/>
      </w:r>
      <w:r>
        <w:t>5</w:t>
      </w:r>
      <w:r>
        <w:fldChar w:fldCharType="end"/>
      </w:r>
      <w:r>
        <w:rPr>
          <w:rFonts w:hint="eastAsia" w:ascii="宋体" w:hAnsi="宋体" w:cs="宋体"/>
        </w:rPr>
        <w:fldChar w:fldCharType="end"/>
      </w:r>
    </w:p>
    <w:p>
      <w:pPr>
        <w:pStyle w:val="14"/>
        <w:tabs>
          <w:tab w:val="right" w:leader="dot" w:pos="8306"/>
          <w:tab w:val="clear" w:pos="1680"/>
          <w:tab w:val="clear" w:pos="8296"/>
        </w:tabs>
      </w:pPr>
      <w:r>
        <w:rPr>
          <w:rFonts w:hint="eastAsia" w:ascii="宋体" w:hAnsi="宋体" w:cs="宋体"/>
        </w:rPr>
        <w:fldChar w:fldCharType="begin"/>
      </w:r>
      <w:r>
        <w:rPr>
          <w:rFonts w:hint="eastAsia" w:ascii="宋体" w:hAnsi="宋体" w:cs="宋体"/>
        </w:rPr>
        <w:instrText xml:space="preserve"> HYPERLINK \l _Toc1322459017 </w:instrText>
      </w:r>
      <w:r>
        <w:rPr>
          <w:rFonts w:hint="eastAsia" w:ascii="宋体" w:hAnsi="宋体" w:cs="宋体"/>
        </w:rPr>
        <w:fldChar w:fldCharType="separate"/>
      </w:r>
      <w:r>
        <w:rPr>
          <w:rFonts w:hint="default"/>
        </w:rPr>
        <w:t xml:space="preserve">3.1.5. </w:t>
      </w:r>
      <w:r>
        <w:rPr>
          <w:rFonts w:hint="eastAsia"/>
        </w:rPr>
        <w:t>核算规则</w:t>
      </w:r>
      <w:r>
        <w:tab/>
      </w:r>
      <w:r>
        <w:fldChar w:fldCharType="begin"/>
      </w:r>
      <w:r>
        <w:instrText xml:space="preserve"> PAGEREF _Toc1322459017 \h </w:instrText>
      </w:r>
      <w:r>
        <w:fldChar w:fldCharType="separate"/>
      </w:r>
      <w:r>
        <w:t>5</w:t>
      </w:r>
      <w:r>
        <w:fldChar w:fldCharType="end"/>
      </w:r>
      <w:r>
        <w:rPr>
          <w:rFonts w:hint="eastAsia" w:ascii="宋体" w:hAnsi="宋体" w:cs="宋体"/>
        </w:rPr>
        <w:fldChar w:fldCharType="end"/>
      </w:r>
    </w:p>
    <w:p>
      <w:pPr>
        <w:pStyle w:val="14"/>
        <w:tabs>
          <w:tab w:val="right" w:leader="dot" w:pos="8306"/>
          <w:tab w:val="clear" w:pos="1680"/>
          <w:tab w:val="clear" w:pos="8296"/>
        </w:tabs>
      </w:pPr>
      <w:r>
        <w:rPr>
          <w:rFonts w:hint="eastAsia" w:ascii="宋体" w:hAnsi="宋体" w:cs="宋体"/>
        </w:rPr>
        <w:fldChar w:fldCharType="begin"/>
      </w:r>
      <w:r>
        <w:rPr>
          <w:rFonts w:hint="eastAsia" w:ascii="宋体" w:hAnsi="宋体" w:cs="宋体"/>
        </w:rPr>
        <w:instrText xml:space="preserve"> HYPERLINK \l _Toc112952269 </w:instrText>
      </w:r>
      <w:r>
        <w:rPr>
          <w:rFonts w:hint="eastAsia" w:ascii="宋体" w:hAnsi="宋体" w:cs="宋体"/>
        </w:rPr>
        <w:fldChar w:fldCharType="separate"/>
      </w:r>
      <w:r>
        <w:rPr>
          <w:rFonts w:hint="default"/>
        </w:rPr>
        <w:t xml:space="preserve">3.1.6. </w:t>
      </w:r>
      <w:r>
        <w:rPr>
          <w:rFonts w:hint="eastAsia"/>
        </w:rPr>
        <w:t>相关风险描述</w:t>
      </w:r>
      <w:r>
        <w:tab/>
      </w:r>
      <w:r>
        <w:fldChar w:fldCharType="begin"/>
      </w:r>
      <w:r>
        <w:instrText xml:space="preserve"> PAGEREF _Toc112952269 \h </w:instrText>
      </w:r>
      <w:r>
        <w:fldChar w:fldCharType="separate"/>
      </w:r>
      <w:r>
        <w:t>5</w:t>
      </w:r>
      <w:r>
        <w:fldChar w:fldCharType="end"/>
      </w:r>
      <w:r>
        <w:rPr>
          <w:rFonts w:hint="eastAsia" w:ascii="宋体" w:hAnsi="宋体" w:cs="宋体"/>
        </w:rPr>
        <w:fldChar w:fldCharType="end"/>
      </w:r>
    </w:p>
    <w:p>
      <w:pPr>
        <w:pStyle w:val="14"/>
        <w:tabs>
          <w:tab w:val="right" w:leader="dot" w:pos="8306"/>
          <w:tab w:val="clear" w:pos="1680"/>
          <w:tab w:val="clear" w:pos="8296"/>
        </w:tabs>
      </w:pPr>
      <w:r>
        <w:rPr>
          <w:rFonts w:hint="eastAsia" w:ascii="宋体" w:hAnsi="宋体" w:cs="宋体"/>
        </w:rPr>
        <w:fldChar w:fldCharType="begin"/>
      </w:r>
      <w:r>
        <w:rPr>
          <w:rFonts w:hint="eastAsia" w:ascii="宋体" w:hAnsi="宋体" w:cs="宋体"/>
        </w:rPr>
        <w:instrText xml:space="preserve"> HYPERLINK \l _Toc13241135 </w:instrText>
      </w:r>
      <w:r>
        <w:rPr>
          <w:rFonts w:hint="eastAsia" w:ascii="宋体" w:hAnsi="宋体" w:cs="宋体"/>
        </w:rPr>
        <w:fldChar w:fldCharType="separate"/>
      </w:r>
      <w:r>
        <w:rPr>
          <w:rFonts w:hint="default"/>
        </w:rPr>
        <w:t xml:space="preserve">3.1.7. </w:t>
      </w:r>
      <w:r>
        <w:rPr>
          <w:rFonts w:hint="eastAsia"/>
        </w:rPr>
        <w:t>差异化分析</w:t>
      </w:r>
      <w:r>
        <w:tab/>
      </w:r>
      <w:r>
        <w:fldChar w:fldCharType="begin"/>
      </w:r>
      <w:r>
        <w:instrText xml:space="preserve"> PAGEREF _Toc13241135 \h </w:instrText>
      </w:r>
      <w:r>
        <w:fldChar w:fldCharType="separate"/>
      </w:r>
      <w:r>
        <w:t>6</w:t>
      </w:r>
      <w:r>
        <w:fldChar w:fldCharType="end"/>
      </w:r>
      <w:r>
        <w:rPr>
          <w:rFonts w:hint="eastAsia" w:ascii="宋体" w:hAnsi="宋体" w:cs="宋体"/>
        </w:rPr>
        <w:fldChar w:fldCharType="end"/>
      </w:r>
    </w:p>
    <w:p>
      <w:pPr>
        <w:pStyle w:val="14"/>
        <w:tabs>
          <w:tab w:val="right" w:leader="dot" w:pos="8306"/>
          <w:tab w:val="clear" w:pos="1680"/>
          <w:tab w:val="clear" w:pos="8296"/>
        </w:tabs>
      </w:pPr>
      <w:r>
        <w:rPr>
          <w:rFonts w:hint="eastAsia" w:ascii="宋体" w:hAnsi="宋体" w:cs="宋体"/>
        </w:rPr>
        <w:fldChar w:fldCharType="begin"/>
      </w:r>
      <w:r>
        <w:rPr>
          <w:rFonts w:hint="eastAsia" w:ascii="宋体" w:hAnsi="宋体" w:cs="宋体"/>
        </w:rPr>
        <w:instrText xml:space="preserve"> HYPERLINK \l _Toc1352940304 </w:instrText>
      </w:r>
      <w:r>
        <w:rPr>
          <w:rFonts w:hint="eastAsia" w:ascii="宋体" w:hAnsi="宋体" w:cs="宋体"/>
        </w:rPr>
        <w:fldChar w:fldCharType="separate"/>
      </w:r>
      <w:r>
        <w:rPr>
          <w:rFonts w:hint="default"/>
          <w:lang w:val="en-US" w:eastAsia="zh-CN"/>
        </w:rPr>
        <w:t xml:space="preserve">3.1.8. </w:t>
      </w:r>
      <w:r>
        <w:rPr>
          <w:rFonts w:hint="eastAsia"/>
        </w:rPr>
        <w:t>场景描述</w:t>
      </w:r>
      <w:r>
        <w:tab/>
      </w:r>
      <w:r>
        <w:fldChar w:fldCharType="begin"/>
      </w:r>
      <w:r>
        <w:instrText xml:space="preserve"> PAGEREF _Toc1352940304 \h </w:instrText>
      </w:r>
      <w:r>
        <w:fldChar w:fldCharType="separate"/>
      </w:r>
      <w:r>
        <w:t>6</w:t>
      </w:r>
      <w:r>
        <w:fldChar w:fldCharType="end"/>
      </w:r>
      <w:r>
        <w:rPr>
          <w:rFonts w:hint="eastAsia" w:ascii="宋体" w:hAnsi="宋体" w:cs="宋体"/>
        </w:rPr>
        <w:fldChar w:fldCharType="end"/>
      </w:r>
    </w:p>
    <w:p>
      <w:pPr>
        <w:pStyle w:val="18"/>
        <w:tabs>
          <w:tab w:val="right" w:leader="dot" w:pos="8306"/>
          <w:tab w:val="clear" w:pos="1050"/>
          <w:tab w:val="clear" w:pos="8296"/>
        </w:tabs>
      </w:pPr>
      <w:r>
        <w:rPr>
          <w:rFonts w:hint="eastAsia" w:ascii="宋体" w:hAnsi="宋体" w:cs="宋体"/>
        </w:rPr>
        <w:fldChar w:fldCharType="begin"/>
      </w:r>
      <w:r>
        <w:rPr>
          <w:rFonts w:hint="eastAsia" w:ascii="宋体" w:hAnsi="宋体" w:cs="宋体"/>
        </w:rPr>
        <w:instrText xml:space="preserve"> HYPERLINK \l _Toc1310834892 </w:instrText>
      </w:r>
      <w:r>
        <w:rPr>
          <w:rFonts w:hint="eastAsia" w:ascii="宋体" w:hAnsi="宋体" w:cs="宋体"/>
        </w:rPr>
        <w:fldChar w:fldCharType="separate"/>
      </w:r>
      <w:r>
        <w:rPr>
          <w:rFonts w:hint="default"/>
          <w:lang w:val="en-US" w:eastAsia="zh-CN"/>
        </w:rPr>
        <w:t xml:space="preserve">3.2. </w:t>
      </w:r>
      <w:r>
        <w:rPr>
          <w:rFonts w:hint="eastAsia"/>
          <w:lang w:val="en-US" w:eastAsia="zh-CN"/>
        </w:rPr>
        <w:t>转贴现买入查询</w:t>
      </w:r>
      <w:r>
        <w:tab/>
      </w:r>
      <w:r>
        <w:fldChar w:fldCharType="begin"/>
      </w:r>
      <w:r>
        <w:instrText xml:space="preserve"> PAGEREF _Toc1310834892 \h </w:instrText>
      </w:r>
      <w:r>
        <w:fldChar w:fldCharType="separate"/>
      </w:r>
      <w:r>
        <w:t>6</w:t>
      </w:r>
      <w:r>
        <w:fldChar w:fldCharType="end"/>
      </w:r>
      <w:r>
        <w:rPr>
          <w:rFonts w:hint="eastAsia" w:ascii="宋体" w:hAnsi="宋体" w:cs="宋体"/>
        </w:rPr>
        <w:fldChar w:fldCharType="end"/>
      </w:r>
    </w:p>
    <w:p>
      <w:pPr>
        <w:pStyle w:val="14"/>
        <w:tabs>
          <w:tab w:val="right" w:leader="dot" w:pos="8306"/>
          <w:tab w:val="clear" w:pos="1680"/>
          <w:tab w:val="clear" w:pos="8296"/>
        </w:tabs>
      </w:pPr>
      <w:r>
        <w:rPr>
          <w:rFonts w:hint="eastAsia" w:ascii="宋体" w:hAnsi="宋体" w:cs="宋体"/>
        </w:rPr>
        <w:fldChar w:fldCharType="begin"/>
      </w:r>
      <w:r>
        <w:rPr>
          <w:rFonts w:hint="eastAsia" w:ascii="宋体" w:hAnsi="宋体" w:cs="宋体"/>
        </w:rPr>
        <w:instrText xml:space="preserve"> HYPERLINK \l _Toc167295271 </w:instrText>
      </w:r>
      <w:r>
        <w:rPr>
          <w:rFonts w:hint="eastAsia" w:ascii="宋体" w:hAnsi="宋体" w:cs="宋体"/>
        </w:rPr>
        <w:fldChar w:fldCharType="separate"/>
      </w:r>
      <w:r>
        <w:rPr>
          <w:rFonts w:hint="default"/>
        </w:rPr>
        <w:t xml:space="preserve">3.2.1. </w:t>
      </w:r>
      <w:r>
        <w:rPr>
          <w:rFonts w:hint="eastAsia"/>
        </w:rPr>
        <w:t>功能描述</w:t>
      </w:r>
      <w:r>
        <w:tab/>
      </w:r>
      <w:r>
        <w:fldChar w:fldCharType="begin"/>
      </w:r>
      <w:r>
        <w:instrText xml:space="preserve"> PAGEREF _Toc167295271 \h </w:instrText>
      </w:r>
      <w:r>
        <w:fldChar w:fldCharType="separate"/>
      </w:r>
      <w:r>
        <w:t>6</w:t>
      </w:r>
      <w:r>
        <w:fldChar w:fldCharType="end"/>
      </w:r>
      <w:r>
        <w:rPr>
          <w:rFonts w:hint="eastAsia" w:ascii="宋体" w:hAnsi="宋体" w:cs="宋体"/>
        </w:rPr>
        <w:fldChar w:fldCharType="end"/>
      </w:r>
    </w:p>
    <w:p>
      <w:pPr>
        <w:pStyle w:val="14"/>
        <w:tabs>
          <w:tab w:val="right" w:leader="dot" w:pos="8306"/>
          <w:tab w:val="clear" w:pos="1680"/>
          <w:tab w:val="clear" w:pos="8296"/>
        </w:tabs>
      </w:pPr>
      <w:r>
        <w:rPr>
          <w:rFonts w:hint="eastAsia" w:ascii="宋体" w:hAnsi="宋体" w:cs="宋体"/>
        </w:rPr>
        <w:fldChar w:fldCharType="begin"/>
      </w:r>
      <w:r>
        <w:rPr>
          <w:rFonts w:hint="eastAsia" w:ascii="宋体" w:hAnsi="宋体" w:cs="宋体"/>
        </w:rPr>
        <w:instrText xml:space="preserve"> HYPERLINK \l _Toc675525774 </w:instrText>
      </w:r>
      <w:r>
        <w:rPr>
          <w:rFonts w:hint="eastAsia" w:ascii="宋体" w:hAnsi="宋体" w:cs="宋体"/>
        </w:rPr>
        <w:fldChar w:fldCharType="separate"/>
      </w:r>
      <w:r>
        <w:rPr>
          <w:rFonts w:hint="default"/>
        </w:rPr>
        <w:t xml:space="preserve">3.2.2. </w:t>
      </w:r>
      <w:r>
        <w:rPr>
          <w:rFonts w:hint="eastAsia"/>
        </w:rPr>
        <w:t>输入输出</w:t>
      </w:r>
      <w:r>
        <w:tab/>
      </w:r>
      <w:r>
        <w:fldChar w:fldCharType="begin"/>
      </w:r>
      <w:r>
        <w:instrText xml:space="preserve"> PAGEREF _Toc675525774 \h </w:instrText>
      </w:r>
      <w:r>
        <w:fldChar w:fldCharType="separate"/>
      </w:r>
      <w:r>
        <w:t>7</w:t>
      </w:r>
      <w:r>
        <w:fldChar w:fldCharType="end"/>
      </w:r>
      <w:r>
        <w:rPr>
          <w:rFonts w:hint="eastAsia" w:ascii="宋体" w:hAnsi="宋体" w:cs="宋体"/>
        </w:rPr>
        <w:fldChar w:fldCharType="end"/>
      </w:r>
    </w:p>
    <w:p>
      <w:pPr>
        <w:pStyle w:val="14"/>
        <w:tabs>
          <w:tab w:val="right" w:leader="dot" w:pos="8306"/>
          <w:tab w:val="clear" w:pos="1680"/>
          <w:tab w:val="clear" w:pos="8296"/>
        </w:tabs>
      </w:pPr>
      <w:r>
        <w:rPr>
          <w:rFonts w:hint="eastAsia" w:ascii="宋体" w:hAnsi="宋体" w:cs="宋体"/>
        </w:rPr>
        <w:fldChar w:fldCharType="begin"/>
      </w:r>
      <w:r>
        <w:rPr>
          <w:rFonts w:hint="eastAsia" w:ascii="宋体" w:hAnsi="宋体" w:cs="宋体"/>
        </w:rPr>
        <w:instrText xml:space="preserve"> HYPERLINK \l _Toc1963125576 </w:instrText>
      </w:r>
      <w:r>
        <w:rPr>
          <w:rFonts w:hint="eastAsia" w:ascii="宋体" w:hAnsi="宋体" w:cs="宋体"/>
        </w:rPr>
        <w:fldChar w:fldCharType="separate"/>
      </w:r>
      <w:r>
        <w:rPr>
          <w:rFonts w:hint="default"/>
        </w:rPr>
        <w:t xml:space="preserve">3.2.3. </w:t>
      </w:r>
      <w:r>
        <w:rPr>
          <w:rFonts w:hint="eastAsia"/>
        </w:rPr>
        <w:t>处理逻辑、业务规则及约束</w:t>
      </w:r>
      <w:r>
        <w:tab/>
      </w:r>
      <w:r>
        <w:fldChar w:fldCharType="begin"/>
      </w:r>
      <w:r>
        <w:instrText xml:space="preserve"> PAGEREF _Toc1963125576 \h </w:instrText>
      </w:r>
      <w:r>
        <w:fldChar w:fldCharType="separate"/>
      </w:r>
      <w:r>
        <w:t>7</w:t>
      </w:r>
      <w:r>
        <w:fldChar w:fldCharType="end"/>
      </w:r>
      <w:r>
        <w:rPr>
          <w:rFonts w:hint="eastAsia" w:ascii="宋体" w:hAnsi="宋体" w:cs="宋体"/>
        </w:rPr>
        <w:fldChar w:fldCharType="end"/>
      </w:r>
    </w:p>
    <w:p>
      <w:pPr>
        <w:pStyle w:val="14"/>
        <w:tabs>
          <w:tab w:val="right" w:leader="dot" w:pos="8306"/>
          <w:tab w:val="clear" w:pos="1680"/>
          <w:tab w:val="clear" w:pos="8296"/>
        </w:tabs>
      </w:pPr>
      <w:r>
        <w:rPr>
          <w:rFonts w:hint="eastAsia" w:ascii="宋体" w:hAnsi="宋体" w:cs="宋体"/>
        </w:rPr>
        <w:fldChar w:fldCharType="begin"/>
      </w:r>
      <w:r>
        <w:rPr>
          <w:rFonts w:hint="eastAsia" w:ascii="宋体" w:hAnsi="宋体" w:cs="宋体"/>
        </w:rPr>
        <w:instrText xml:space="preserve"> HYPERLINK \l _Toc312803324 </w:instrText>
      </w:r>
      <w:r>
        <w:rPr>
          <w:rFonts w:hint="eastAsia" w:ascii="宋体" w:hAnsi="宋体" w:cs="宋体"/>
        </w:rPr>
        <w:fldChar w:fldCharType="separate"/>
      </w:r>
      <w:r>
        <w:rPr>
          <w:rFonts w:hint="default"/>
        </w:rPr>
        <w:t xml:space="preserve">3.2.4. </w:t>
      </w:r>
      <w:r>
        <w:rPr>
          <w:rFonts w:hint="eastAsia"/>
        </w:rPr>
        <w:t>涉及样式要求</w:t>
      </w:r>
      <w:r>
        <w:tab/>
      </w:r>
      <w:r>
        <w:fldChar w:fldCharType="begin"/>
      </w:r>
      <w:r>
        <w:instrText xml:space="preserve"> PAGEREF _Toc312803324 \h </w:instrText>
      </w:r>
      <w:r>
        <w:fldChar w:fldCharType="separate"/>
      </w:r>
      <w:r>
        <w:t>9</w:t>
      </w:r>
      <w:r>
        <w:fldChar w:fldCharType="end"/>
      </w:r>
      <w:r>
        <w:rPr>
          <w:rFonts w:hint="eastAsia" w:ascii="宋体" w:hAnsi="宋体" w:cs="宋体"/>
        </w:rPr>
        <w:fldChar w:fldCharType="end"/>
      </w:r>
    </w:p>
    <w:p>
      <w:pPr>
        <w:pStyle w:val="14"/>
        <w:tabs>
          <w:tab w:val="right" w:leader="dot" w:pos="8306"/>
          <w:tab w:val="clear" w:pos="1680"/>
          <w:tab w:val="clear" w:pos="8296"/>
        </w:tabs>
      </w:pPr>
      <w:r>
        <w:rPr>
          <w:rFonts w:hint="eastAsia" w:ascii="宋体" w:hAnsi="宋体" w:cs="宋体"/>
        </w:rPr>
        <w:fldChar w:fldCharType="begin"/>
      </w:r>
      <w:r>
        <w:rPr>
          <w:rFonts w:hint="eastAsia" w:ascii="宋体" w:hAnsi="宋体" w:cs="宋体"/>
        </w:rPr>
        <w:instrText xml:space="preserve"> HYPERLINK \l _Toc245498612 </w:instrText>
      </w:r>
      <w:r>
        <w:rPr>
          <w:rFonts w:hint="eastAsia" w:ascii="宋体" w:hAnsi="宋体" w:cs="宋体"/>
        </w:rPr>
        <w:fldChar w:fldCharType="separate"/>
      </w:r>
      <w:r>
        <w:rPr>
          <w:rFonts w:hint="default"/>
        </w:rPr>
        <w:t xml:space="preserve">3.2.5. </w:t>
      </w:r>
      <w:r>
        <w:rPr>
          <w:rFonts w:hint="eastAsia"/>
        </w:rPr>
        <w:t>核算规则</w:t>
      </w:r>
      <w:r>
        <w:tab/>
      </w:r>
      <w:r>
        <w:fldChar w:fldCharType="begin"/>
      </w:r>
      <w:r>
        <w:instrText xml:space="preserve"> PAGEREF _Toc245498612 \h </w:instrText>
      </w:r>
      <w:r>
        <w:fldChar w:fldCharType="separate"/>
      </w:r>
      <w:r>
        <w:t>9</w:t>
      </w:r>
      <w:r>
        <w:fldChar w:fldCharType="end"/>
      </w:r>
      <w:r>
        <w:rPr>
          <w:rFonts w:hint="eastAsia" w:ascii="宋体" w:hAnsi="宋体" w:cs="宋体"/>
        </w:rPr>
        <w:fldChar w:fldCharType="end"/>
      </w:r>
    </w:p>
    <w:p>
      <w:pPr>
        <w:pStyle w:val="14"/>
        <w:tabs>
          <w:tab w:val="right" w:leader="dot" w:pos="8306"/>
          <w:tab w:val="clear" w:pos="1680"/>
          <w:tab w:val="clear" w:pos="8296"/>
        </w:tabs>
      </w:pPr>
      <w:r>
        <w:rPr>
          <w:rFonts w:hint="eastAsia" w:ascii="宋体" w:hAnsi="宋体" w:cs="宋体"/>
        </w:rPr>
        <w:fldChar w:fldCharType="begin"/>
      </w:r>
      <w:r>
        <w:rPr>
          <w:rFonts w:hint="eastAsia" w:ascii="宋体" w:hAnsi="宋体" w:cs="宋体"/>
        </w:rPr>
        <w:instrText xml:space="preserve"> HYPERLINK \l _Toc779085997 </w:instrText>
      </w:r>
      <w:r>
        <w:rPr>
          <w:rFonts w:hint="eastAsia" w:ascii="宋体" w:hAnsi="宋体" w:cs="宋体"/>
        </w:rPr>
        <w:fldChar w:fldCharType="separate"/>
      </w:r>
      <w:r>
        <w:rPr>
          <w:rFonts w:hint="default"/>
        </w:rPr>
        <w:t xml:space="preserve">3.2.6. </w:t>
      </w:r>
      <w:r>
        <w:rPr>
          <w:rFonts w:hint="eastAsia"/>
        </w:rPr>
        <w:t>相关风险描述</w:t>
      </w:r>
      <w:r>
        <w:tab/>
      </w:r>
      <w:r>
        <w:fldChar w:fldCharType="begin"/>
      </w:r>
      <w:r>
        <w:instrText xml:space="preserve"> PAGEREF _Toc779085997 \h </w:instrText>
      </w:r>
      <w:r>
        <w:fldChar w:fldCharType="separate"/>
      </w:r>
      <w:r>
        <w:t>9</w:t>
      </w:r>
      <w:r>
        <w:fldChar w:fldCharType="end"/>
      </w:r>
      <w:r>
        <w:rPr>
          <w:rFonts w:hint="eastAsia" w:ascii="宋体" w:hAnsi="宋体" w:cs="宋体"/>
        </w:rPr>
        <w:fldChar w:fldCharType="end"/>
      </w:r>
    </w:p>
    <w:p>
      <w:pPr>
        <w:pStyle w:val="14"/>
        <w:tabs>
          <w:tab w:val="right" w:leader="dot" w:pos="8306"/>
          <w:tab w:val="clear" w:pos="1680"/>
          <w:tab w:val="clear" w:pos="8296"/>
        </w:tabs>
      </w:pPr>
      <w:r>
        <w:rPr>
          <w:rFonts w:hint="eastAsia" w:ascii="宋体" w:hAnsi="宋体" w:cs="宋体"/>
        </w:rPr>
        <w:fldChar w:fldCharType="begin"/>
      </w:r>
      <w:r>
        <w:rPr>
          <w:rFonts w:hint="eastAsia" w:ascii="宋体" w:hAnsi="宋体" w:cs="宋体"/>
        </w:rPr>
        <w:instrText xml:space="preserve"> HYPERLINK \l _Toc890555820 </w:instrText>
      </w:r>
      <w:r>
        <w:rPr>
          <w:rFonts w:hint="eastAsia" w:ascii="宋体" w:hAnsi="宋体" w:cs="宋体"/>
        </w:rPr>
        <w:fldChar w:fldCharType="separate"/>
      </w:r>
      <w:r>
        <w:rPr>
          <w:rFonts w:hint="default"/>
        </w:rPr>
        <w:t xml:space="preserve">3.2.7. </w:t>
      </w:r>
      <w:r>
        <w:rPr>
          <w:rFonts w:hint="eastAsia"/>
        </w:rPr>
        <w:t>差异化分析</w:t>
      </w:r>
      <w:r>
        <w:tab/>
      </w:r>
      <w:r>
        <w:fldChar w:fldCharType="begin"/>
      </w:r>
      <w:r>
        <w:instrText xml:space="preserve"> PAGEREF _Toc890555820 \h </w:instrText>
      </w:r>
      <w:r>
        <w:fldChar w:fldCharType="separate"/>
      </w:r>
      <w:r>
        <w:t>9</w:t>
      </w:r>
      <w:r>
        <w:fldChar w:fldCharType="end"/>
      </w:r>
      <w:r>
        <w:rPr>
          <w:rFonts w:hint="eastAsia" w:ascii="宋体" w:hAnsi="宋体" w:cs="宋体"/>
        </w:rPr>
        <w:fldChar w:fldCharType="end"/>
      </w:r>
    </w:p>
    <w:p>
      <w:pPr>
        <w:pStyle w:val="14"/>
        <w:tabs>
          <w:tab w:val="right" w:leader="dot" w:pos="8306"/>
          <w:tab w:val="clear" w:pos="1680"/>
          <w:tab w:val="clear" w:pos="8296"/>
        </w:tabs>
      </w:pPr>
      <w:r>
        <w:rPr>
          <w:rFonts w:hint="eastAsia" w:ascii="宋体" w:hAnsi="宋体" w:cs="宋体"/>
        </w:rPr>
        <w:fldChar w:fldCharType="begin"/>
      </w:r>
      <w:r>
        <w:rPr>
          <w:rFonts w:hint="eastAsia" w:ascii="宋体" w:hAnsi="宋体" w:cs="宋体"/>
        </w:rPr>
        <w:instrText xml:space="preserve"> HYPERLINK \l _Toc1758130797 </w:instrText>
      </w:r>
      <w:r>
        <w:rPr>
          <w:rFonts w:hint="eastAsia" w:ascii="宋体" w:hAnsi="宋体" w:cs="宋体"/>
        </w:rPr>
        <w:fldChar w:fldCharType="separate"/>
      </w:r>
      <w:r>
        <w:rPr>
          <w:rFonts w:hint="default"/>
          <w:lang w:val="en-US" w:eastAsia="zh-CN"/>
        </w:rPr>
        <w:t xml:space="preserve">3.2.8. </w:t>
      </w:r>
      <w:r>
        <w:rPr>
          <w:rFonts w:hint="eastAsia"/>
        </w:rPr>
        <w:t>场景描述</w:t>
      </w:r>
      <w:r>
        <w:tab/>
      </w:r>
      <w:r>
        <w:fldChar w:fldCharType="begin"/>
      </w:r>
      <w:r>
        <w:instrText xml:space="preserve"> PAGEREF _Toc1758130797 \h </w:instrText>
      </w:r>
      <w:r>
        <w:fldChar w:fldCharType="separate"/>
      </w:r>
      <w:r>
        <w:t>9</w:t>
      </w:r>
      <w:r>
        <w:fldChar w:fldCharType="end"/>
      </w:r>
      <w:r>
        <w:rPr>
          <w:rFonts w:hint="eastAsia" w:ascii="宋体" w:hAnsi="宋体" w:cs="宋体"/>
        </w:rPr>
        <w:fldChar w:fldCharType="end"/>
      </w:r>
    </w:p>
    <w:p>
      <w:pPr>
        <w:rPr>
          <w:rFonts w:ascii="宋体" w:hAnsi="宋体" w:cs="宋体"/>
        </w:rPr>
      </w:pPr>
      <w:r>
        <w:rPr>
          <w:rFonts w:hint="eastAsia" w:ascii="宋体" w:hAnsi="宋体" w:cs="宋体"/>
        </w:rPr>
        <w:fldChar w:fldCharType="end"/>
      </w:r>
    </w:p>
    <w:p>
      <w:pPr>
        <w:rPr>
          <w:rFonts w:ascii="宋体" w:hAnsi="宋体" w:cs="宋体"/>
        </w:rPr>
      </w:pPr>
      <w:r>
        <w:rPr>
          <w:rFonts w:hint="eastAsia" w:ascii="宋体" w:hAnsi="宋体" w:cs="宋体"/>
        </w:rPr>
        <w:br w:type="page"/>
      </w:r>
    </w:p>
    <w:p>
      <w:pPr>
        <w:pStyle w:val="2"/>
        <w:tabs>
          <w:tab w:val="left" w:pos="432"/>
        </w:tabs>
      </w:pPr>
      <w:bookmarkStart w:id="3" w:name="_Toc334025146"/>
      <w:r>
        <w:rPr>
          <w:rFonts w:hint="eastAsia"/>
        </w:rPr>
        <w:t xml:space="preserve"> </w:t>
      </w:r>
      <w:bookmarkStart w:id="4" w:name="_Toc39666144"/>
      <w:r>
        <w:rPr>
          <w:rFonts w:hint="eastAsia"/>
        </w:rPr>
        <w:t>需求概述</w:t>
      </w:r>
      <w:bookmarkEnd w:id="4"/>
    </w:p>
    <w:p>
      <w:pPr>
        <w:pStyle w:val="4"/>
        <w:bidi w:val="0"/>
        <w:rPr>
          <w:rFonts w:hint="eastAsia" w:eastAsia="宋体"/>
          <w:lang w:eastAsia="zh-CN"/>
        </w:rPr>
      </w:pPr>
      <w:r>
        <w:t>本需求规格说明书</w:t>
      </w:r>
      <w:r>
        <w:rPr>
          <w:rFonts w:hint="eastAsia"/>
        </w:rPr>
        <w:t>是</w:t>
      </w:r>
      <w:r>
        <w:rPr>
          <w:rFonts w:hint="eastAsia"/>
          <w:lang w:val="en-US" w:eastAsia="zh-CN"/>
        </w:rPr>
        <w:t>针对西</w:t>
      </w:r>
      <w:bookmarkStart w:id="25" w:name="_GoBack"/>
      <w:bookmarkEnd w:id="25"/>
      <w:r>
        <w:rPr>
          <w:rFonts w:hint="eastAsia"/>
          <w:lang w:val="en-US" w:eastAsia="zh-CN"/>
        </w:rPr>
        <w:t>安银行软件项目企业微信票据业务新增票据直转一体化需求规格说明书，后续工作可</w:t>
      </w:r>
      <w:r>
        <w:t>根据提出的需求进行</w:t>
      </w:r>
      <w:r>
        <w:rPr>
          <w:rFonts w:hint="eastAsia"/>
          <w:lang w:val="en-US" w:eastAsia="zh-CN"/>
        </w:rPr>
        <w:t>下一步</w:t>
      </w:r>
      <w:r>
        <w:t>的</w:t>
      </w:r>
      <w:r>
        <w:rPr>
          <w:rFonts w:hint="eastAsia"/>
        </w:rPr>
        <w:t>开发</w:t>
      </w:r>
      <w:r>
        <w:t>工作</w:t>
      </w:r>
      <w:r>
        <w:rPr>
          <w:rFonts w:hint="eastAsia"/>
        </w:rPr>
        <w:t>。</w:t>
      </w:r>
      <w:r>
        <w:rPr>
          <w:rFonts w:hint="eastAsia"/>
          <w:lang w:eastAsia="zh-CN"/>
        </w:rPr>
        <w:t>前期我部已完成票据业务直转一体化方案制定，加强了票据业务总分联动，现提交需求在企业微信票据业务板块新增直转一体化功能。</w:t>
      </w:r>
    </w:p>
    <w:p>
      <w:pPr>
        <w:pStyle w:val="2"/>
        <w:tabs>
          <w:tab w:val="left" w:pos="432"/>
        </w:tabs>
      </w:pPr>
      <w:r>
        <w:rPr>
          <w:rFonts w:hint="eastAsia"/>
        </w:rPr>
        <w:t xml:space="preserve"> </w:t>
      </w:r>
      <w:bookmarkStart w:id="5" w:name="_Toc948951638"/>
      <w:r>
        <w:rPr>
          <w:rFonts w:hint="eastAsia"/>
        </w:rPr>
        <w:t>涉及行外机构</w:t>
      </w:r>
      <w:bookmarkEnd w:id="5"/>
    </w:p>
    <w:p>
      <w:pPr>
        <w:pStyle w:val="4"/>
        <w:bidi w:val="0"/>
        <w:rPr>
          <w:rFonts w:hint="eastAsia"/>
          <w:lang w:val="en-US" w:eastAsia="zh-CN"/>
        </w:rPr>
      </w:pPr>
      <w:r>
        <w:rPr>
          <w:rFonts w:hint="eastAsia"/>
          <w:lang w:val="en-US" w:eastAsia="zh-CN"/>
        </w:rPr>
        <w:t>无</w:t>
      </w:r>
    </w:p>
    <w:p>
      <w:pPr>
        <w:pStyle w:val="2"/>
        <w:tabs>
          <w:tab w:val="left" w:pos="432"/>
        </w:tabs>
        <w:bidi w:val="0"/>
      </w:pPr>
      <w:r>
        <w:rPr>
          <w:rFonts w:hint="eastAsia"/>
        </w:rPr>
        <w:t xml:space="preserve"> </w:t>
      </w:r>
      <w:bookmarkStart w:id="6" w:name="_Toc1816617244"/>
      <w:r>
        <w:rPr>
          <w:rFonts w:hint="eastAsia"/>
        </w:rPr>
        <w:t>实现功能描述</w:t>
      </w:r>
      <w:bookmarkEnd w:id="6"/>
    </w:p>
    <w:p>
      <w:pPr>
        <w:pStyle w:val="3"/>
        <w:bidi w:val="0"/>
        <w:rPr>
          <w:rFonts w:hint="eastAsia"/>
          <w:lang w:val="en-US" w:eastAsia="zh-CN"/>
        </w:rPr>
      </w:pPr>
      <w:bookmarkStart w:id="7" w:name="_Toc1111010509"/>
      <w:r>
        <w:rPr>
          <w:rFonts w:hint="eastAsia"/>
          <w:lang w:val="en-US" w:eastAsia="zh-CN"/>
        </w:rPr>
        <w:t>转贴现卖出</w:t>
      </w:r>
      <w:bookmarkEnd w:id="7"/>
    </w:p>
    <w:p>
      <w:pPr>
        <w:pStyle w:val="5"/>
        <w:tabs>
          <w:tab w:val="left" w:pos="720"/>
        </w:tabs>
        <w:bidi w:val="0"/>
      </w:pPr>
      <w:bookmarkStart w:id="8" w:name="_Toc383314098"/>
      <w:r>
        <w:rPr>
          <w:rFonts w:hint="eastAsia"/>
        </w:rPr>
        <w:t>功能描述</w:t>
      </w:r>
      <w:bookmarkEnd w:id="8"/>
    </w:p>
    <w:p>
      <w:pPr>
        <w:pStyle w:val="4"/>
        <w:numPr>
          <w:ilvl w:val="0"/>
          <w:numId w:val="2"/>
        </w:numPr>
        <w:ind w:left="845"/>
        <w:rPr>
          <w:b/>
          <w:bCs/>
        </w:rPr>
      </w:pPr>
      <w:r>
        <w:rPr>
          <w:rFonts w:hint="eastAsia"/>
          <w:b/>
          <w:bCs/>
        </w:rPr>
        <w:t>新增或修改交易说明</w:t>
      </w:r>
    </w:p>
    <w:tbl>
      <w:tblPr>
        <w:tblStyle w:val="22"/>
        <w:tblW w:w="85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6"/>
        <w:gridCol w:w="2595"/>
        <w:gridCol w:w="2374"/>
        <w:gridCol w:w="23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jc w:val="center"/>
        </w:trPr>
        <w:tc>
          <w:tcPr>
            <w:tcW w:w="1216" w:type="dxa"/>
            <w:shd w:val="clear" w:color="auto" w:fill="CFCECE" w:themeFill="background2" w:themeFillShade="E5"/>
            <w:vAlign w:val="center"/>
          </w:tcPr>
          <w:p>
            <w:pPr>
              <w:jc w:val="center"/>
            </w:pPr>
            <w:r>
              <w:rPr>
                <w:rFonts w:hint="eastAsia"/>
              </w:rPr>
              <w:t>新增/修改</w:t>
            </w:r>
          </w:p>
        </w:tc>
        <w:tc>
          <w:tcPr>
            <w:tcW w:w="2595" w:type="dxa"/>
            <w:shd w:val="clear" w:color="auto" w:fill="CFCECE" w:themeFill="background2" w:themeFillShade="E5"/>
            <w:vAlign w:val="center"/>
          </w:tcPr>
          <w:p>
            <w:pPr>
              <w:jc w:val="center"/>
            </w:pPr>
            <w:r>
              <w:rPr>
                <w:rFonts w:hint="eastAsia"/>
              </w:rPr>
              <w:t>功能名称</w:t>
            </w:r>
          </w:p>
        </w:tc>
        <w:tc>
          <w:tcPr>
            <w:tcW w:w="2374" w:type="dxa"/>
            <w:shd w:val="clear" w:color="auto" w:fill="CFCECE" w:themeFill="background2" w:themeFillShade="E5"/>
            <w:vAlign w:val="center"/>
          </w:tcPr>
          <w:p>
            <w:pPr>
              <w:jc w:val="center"/>
              <w:rPr>
                <w:rFonts w:hint="eastAsia" w:eastAsia="宋体"/>
                <w:lang w:eastAsia="zh-CN"/>
              </w:rPr>
            </w:pPr>
            <w:r>
              <w:rPr>
                <w:rFonts w:hint="eastAsia"/>
              </w:rPr>
              <w:t>交易码</w:t>
            </w:r>
          </w:p>
        </w:tc>
        <w:tc>
          <w:tcPr>
            <w:tcW w:w="2336" w:type="dxa"/>
            <w:shd w:val="clear" w:color="auto" w:fill="CFCECE" w:themeFill="background2" w:themeFillShade="E5"/>
            <w:vAlign w:val="center"/>
          </w:tcPr>
          <w:p>
            <w:pPr>
              <w:jc w:val="center"/>
            </w:pPr>
            <w:r>
              <w:rPr>
                <w:rFonts w:hint="eastAsia"/>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216" w:type="dxa"/>
            <w:vAlign w:val="center"/>
          </w:tcPr>
          <w:p>
            <w:pPr>
              <w:ind w:firstLine="210" w:firstLineChars="100"/>
              <w:jc w:val="both"/>
              <w:rPr>
                <w:rFonts w:hint="default" w:eastAsia="宋体"/>
                <w:lang w:val="en-US" w:eastAsia="zh-CN"/>
              </w:rPr>
            </w:pPr>
            <w:r>
              <w:rPr>
                <w:rFonts w:hint="eastAsia" w:eastAsia="宋体"/>
                <w:lang w:val="en-US" w:eastAsia="zh-CN"/>
              </w:rPr>
              <w:t>新增</w:t>
            </w:r>
          </w:p>
        </w:tc>
        <w:tc>
          <w:tcPr>
            <w:tcW w:w="2595" w:type="dxa"/>
            <w:vAlign w:val="center"/>
          </w:tcPr>
          <w:p>
            <w:pPr>
              <w:jc w:val="center"/>
              <w:rPr>
                <w:rFonts w:hint="default" w:eastAsia="宋体"/>
                <w:lang w:val="en-US" w:eastAsia="zh-CN"/>
              </w:rPr>
            </w:pPr>
            <w:r>
              <w:rPr>
                <w:rFonts w:hint="eastAsia"/>
                <w:lang w:val="en-US" w:eastAsia="zh-CN"/>
              </w:rPr>
              <w:t>转贴现卖出</w:t>
            </w:r>
          </w:p>
        </w:tc>
        <w:tc>
          <w:tcPr>
            <w:tcW w:w="2374" w:type="dxa"/>
            <w:vAlign w:val="center"/>
          </w:tcPr>
          <w:p>
            <w:pPr>
              <w:jc w:val="center"/>
              <w:rPr>
                <w:rFonts w:hint="default" w:eastAsia="宋体"/>
                <w:lang w:val="en-US" w:eastAsia="zh-CN"/>
              </w:rPr>
            </w:pPr>
          </w:p>
        </w:tc>
        <w:tc>
          <w:tcPr>
            <w:tcW w:w="2336" w:type="dxa"/>
            <w:vAlign w:val="center"/>
          </w:tcPr>
          <w:p>
            <w:pPr>
              <w:jc w:val="center"/>
              <w:rPr>
                <w:rFonts w:hint="default" w:eastAsia="宋体"/>
                <w:lang w:val="en-US" w:eastAsia="zh-CN"/>
              </w:rPr>
            </w:pPr>
          </w:p>
        </w:tc>
      </w:tr>
    </w:tbl>
    <w:p>
      <w:pPr>
        <w:ind w:left="420"/>
      </w:pPr>
    </w:p>
    <w:p>
      <w:pPr>
        <w:pStyle w:val="4"/>
        <w:numPr>
          <w:ilvl w:val="0"/>
          <w:numId w:val="2"/>
        </w:numPr>
        <w:ind w:left="845"/>
        <w:rPr>
          <w:b/>
          <w:bCs/>
        </w:rPr>
      </w:pPr>
      <w:r>
        <w:rPr>
          <w:rFonts w:hint="eastAsia"/>
          <w:b/>
          <w:bCs/>
        </w:rPr>
        <w:t>功能概述</w:t>
      </w:r>
    </w:p>
    <w:p>
      <w:pPr>
        <w:pStyle w:val="4"/>
        <w:bidi w:val="0"/>
        <w:rPr>
          <w:rFonts w:hint="eastAsia"/>
          <w:lang w:val="en-US" w:eastAsia="zh-CN"/>
        </w:rPr>
      </w:pPr>
      <w:r>
        <w:rPr>
          <w:rFonts w:hint="eastAsia"/>
          <w:lang w:val="en-US" w:eastAsia="zh-CN"/>
        </w:rPr>
        <w:t>贴现行操作员通过“企业微信-票据业务-直转一体-转贴现卖出申请”业务，查询并选择可转贴现票据列表，输入转贴现相关业务信息进行转贴现卖出申请操作。转贴现卖出交易申请成功后系统推送信息给企业微信贴现行操作员，同时推送待签收信息给企业微信交易银行部。</w:t>
      </w:r>
    </w:p>
    <w:p>
      <w:pPr>
        <w:pStyle w:val="4"/>
        <w:bidi w:val="0"/>
        <w:rPr>
          <w:rFonts w:hint="default"/>
          <w:lang w:val="en-US" w:eastAsia="zh-CN"/>
        </w:rPr>
      </w:pPr>
      <w:r>
        <w:rPr>
          <w:rFonts w:hint="eastAsia"/>
          <w:lang w:val="en-US" w:eastAsia="zh-CN"/>
        </w:rPr>
        <w:t>贴现行操作员通过“企业微信-票据业务-直转一体-卖出结果查询”业务，进行转贴现卖出结果查询操作。</w:t>
      </w:r>
    </w:p>
    <w:p>
      <w:pPr>
        <w:pStyle w:val="5"/>
        <w:tabs>
          <w:tab w:val="left" w:pos="720"/>
        </w:tabs>
        <w:bidi w:val="0"/>
      </w:pPr>
      <w:bookmarkStart w:id="9" w:name="_Toc2056587733"/>
      <w:r>
        <w:rPr>
          <w:rFonts w:hint="eastAsia"/>
        </w:rPr>
        <w:t>输入输出</w:t>
      </w:r>
      <w:bookmarkEnd w:id="9"/>
    </w:p>
    <w:p>
      <w:pPr>
        <w:pStyle w:val="4"/>
        <w:numPr>
          <w:ilvl w:val="0"/>
          <w:numId w:val="3"/>
        </w:numPr>
        <w:ind w:left="845"/>
        <w:rPr>
          <w:b/>
          <w:bCs/>
        </w:rPr>
      </w:pPr>
      <w:r>
        <w:rPr>
          <w:rFonts w:hint="eastAsia"/>
          <w:b/>
          <w:bCs/>
        </w:rPr>
        <w:t>触发渠道及方式</w:t>
      </w:r>
    </w:p>
    <w:p>
      <w:pPr>
        <w:pStyle w:val="4"/>
        <w:bidi w:val="0"/>
        <w:spacing w:line="360" w:lineRule="auto"/>
        <w:ind w:firstLine="200"/>
        <w:rPr>
          <w:rFonts w:hint="default" w:ascii="Times New Roman" w:hAnsi="Times New Roman" w:eastAsia="宋体" w:cs="Times New Roman"/>
          <w:szCs w:val="24"/>
          <w:lang w:val="en-US" w:eastAsia="zh-CN"/>
        </w:rPr>
      </w:pPr>
      <w:r>
        <w:rPr>
          <w:rFonts w:hint="eastAsia"/>
          <w:lang w:val="en-US" w:eastAsia="zh-CN"/>
        </w:rPr>
        <w:t>企业微信-票据业务-直转一体</w:t>
      </w:r>
    </w:p>
    <w:p>
      <w:pPr>
        <w:pStyle w:val="4"/>
        <w:numPr>
          <w:ilvl w:val="0"/>
          <w:numId w:val="3"/>
        </w:numPr>
        <w:ind w:left="845"/>
        <w:rPr>
          <w:b/>
          <w:bCs/>
        </w:rPr>
      </w:pPr>
      <w:r>
        <w:rPr>
          <w:rFonts w:hint="eastAsia"/>
          <w:b/>
          <w:bCs/>
        </w:rPr>
        <w:t>输入要素</w:t>
      </w:r>
    </w:p>
    <w:p>
      <w:pPr>
        <w:pStyle w:val="4"/>
        <w:bidi w:val="0"/>
        <w:rPr>
          <w:rFonts w:hint="default" w:ascii="Times New Roman" w:hAnsi="Times New Roman" w:cs="Times New Roman"/>
          <w:szCs w:val="24"/>
          <w:lang w:val="en-US" w:eastAsia="zh-CN"/>
        </w:rPr>
      </w:pPr>
      <w:r>
        <w:rPr>
          <w:rFonts w:hint="eastAsia" w:ascii="Times New Roman" w:hAnsi="Times New Roman" w:cs="Times New Roman"/>
          <w:szCs w:val="24"/>
          <w:lang w:val="en-US" w:eastAsia="zh-CN"/>
        </w:rPr>
        <w:t>转贴现卖出申请查询输入-交易时间、票据总金额</w:t>
      </w:r>
    </w:p>
    <w:p>
      <w:pPr>
        <w:pStyle w:val="4"/>
        <w:numPr>
          <w:ilvl w:val="0"/>
          <w:numId w:val="3"/>
        </w:numPr>
        <w:ind w:left="845"/>
        <w:rPr>
          <w:b/>
          <w:bCs/>
        </w:rPr>
      </w:pPr>
      <w:r>
        <w:rPr>
          <w:rFonts w:hint="eastAsia"/>
          <w:b/>
          <w:bCs/>
        </w:rPr>
        <w:t>输出要素</w:t>
      </w:r>
    </w:p>
    <w:p>
      <w:pPr>
        <w:pStyle w:val="4"/>
        <w:bidi w:val="0"/>
        <w:rPr>
          <w:rFonts w:hint="default"/>
          <w:lang w:val="en-US" w:eastAsia="zh-CN"/>
        </w:rPr>
      </w:pPr>
      <w:r>
        <w:rPr>
          <w:rFonts w:hint="eastAsia" w:ascii="Times New Roman" w:hAnsi="Times New Roman" w:cs="Times New Roman"/>
          <w:szCs w:val="24"/>
          <w:lang w:val="en-US" w:eastAsia="zh-CN"/>
        </w:rPr>
        <w:t>转贴现卖出申请查询输出-转贴现批次列表（</w:t>
      </w:r>
      <w:r>
        <w:rPr>
          <w:rFonts w:hint="eastAsia" w:ascii="Times New Roman" w:hAnsi="Times New Roman" w:eastAsia="宋体" w:cs="Times New Roman"/>
          <w:szCs w:val="24"/>
          <w:lang w:val="en-US" w:eastAsia="zh-CN"/>
        </w:rPr>
        <w:t>批次号、业务类型、报价单编号、批次状态、交易日期、票据类型、票据总数量、票据总金额、结算金额、交易利率、应付利息、报价有效时间、清算速度、清算类型、清算状态、最晚结算时间、结算方式、结算日期、交易员编号、交易对手行号、交易对手行名称、交易对手名称和转贴现票据明细【票据（包）号、子票区间、票据金额、到期日期、实际到期日、剩余期限（天）、应付利息、结算金额和三分类标识】）</w:t>
      </w:r>
    </w:p>
    <w:p>
      <w:pPr>
        <w:pStyle w:val="4"/>
        <w:numPr>
          <w:ilvl w:val="0"/>
          <w:numId w:val="3"/>
        </w:numPr>
        <w:ind w:left="845"/>
        <w:rPr>
          <w:b/>
          <w:bCs/>
        </w:rPr>
      </w:pPr>
      <w:r>
        <w:rPr>
          <w:rFonts w:hint="eastAsia"/>
          <w:b/>
          <w:bCs/>
        </w:rPr>
        <w:t>输出方式</w:t>
      </w:r>
    </w:p>
    <w:p>
      <w:pPr>
        <w:pStyle w:val="4"/>
        <w:bidi w:val="0"/>
        <w:rPr>
          <w:rFonts w:hint="default"/>
          <w:lang w:val="en-US" w:eastAsia="zh-CN"/>
        </w:rPr>
      </w:pPr>
      <w:r>
        <w:rPr>
          <w:rFonts w:hint="eastAsia"/>
          <w:lang w:val="en-US" w:eastAsia="zh-CN"/>
        </w:rPr>
        <w:t>界面显示</w:t>
      </w:r>
    </w:p>
    <w:p>
      <w:pPr>
        <w:pStyle w:val="5"/>
        <w:tabs>
          <w:tab w:val="left" w:pos="720"/>
        </w:tabs>
        <w:bidi w:val="0"/>
      </w:pPr>
      <w:bookmarkStart w:id="10" w:name="_Toc1320730066"/>
      <w:r>
        <w:rPr>
          <w:rFonts w:hint="eastAsia"/>
        </w:rPr>
        <w:t>处理逻辑、业务规则及约束</w:t>
      </w:r>
      <w:bookmarkEnd w:id="10"/>
    </w:p>
    <w:p>
      <w:pPr>
        <w:pStyle w:val="4"/>
        <w:numPr>
          <w:ilvl w:val="0"/>
          <w:numId w:val="4"/>
        </w:numPr>
        <w:ind w:left="845"/>
        <w:rPr>
          <w:rFonts w:hint="default"/>
          <w:lang w:val="en-US" w:eastAsia="zh-CN"/>
        </w:rPr>
      </w:pPr>
      <w:r>
        <w:rPr>
          <w:rFonts w:hint="eastAsia"/>
          <w:b/>
          <w:bCs/>
        </w:rPr>
        <w:t>处理逻辑</w:t>
      </w:r>
      <w:r>
        <w:rPr>
          <w:rFonts w:hint="default"/>
          <w:lang w:val="en-US" w:eastAsia="zh-CN"/>
        </w:rPr>
        <w:t xml:space="preserve"> </w:t>
      </w:r>
    </w:p>
    <w:p>
      <w:pPr>
        <w:pStyle w:val="4"/>
        <w:bidi w:val="0"/>
        <w:rPr>
          <w:rFonts w:hint="eastAsia"/>
          <w:lang w:val="en-US" w:eastAsia="zh-CN"/>
        </w:rPr>
      </w:pPr>
      <w:r>
        <w:rPr>
          <w:rFonts w:hint="eastAsia"/>
          <w:lang w:val="en-US" w:eastAsia="zh-CN"/>
        </w:rPr>
        <w:t>贴现行操作员进入“企业微信-票据业务-直转一体-转贴现卖出”页面，页面tab页展示转贴现卖出申请和卖出结果查询，默认展示转贴现卖出申请页面。</w:t>
      </w:r>
    </w:p>
    <w:p>
      <w:pPr>
        <w:pStyle w:val="4"/>
        <w:bidi w:val="0"/>
        <w:rPr>
          <w:rFonts w:hint="default" w:eastAsia="宋体" w:cs="Calibri"/>
          <w:kern w:val="2"/>
          <w:szCs w:val="21"/>
          <w:lang w:val="en-US" w:eastAsia="zh-CN" w:bidi="ar-SA"/>
        </w:rPr>
      </w:pPr>
      <w:r>
        <w:rPr>
          <w:rFonts w:hint="eastAsia"/>
          <w:lang w:val="en-US" w:eastAsia="zh-CN"/>
        </w:rPr>
        <w:t>转贴现卖出申请页面查询展示可发起转贴现的银票票据列表，可转贴现票据列表信息包括：票据（包）号、子票区间、出票日期、到期日期、出票人名称、收票人名称和承兑人名称。</w:t>
      </w:r>
    </w:p>
    <w:p>
      <w:pPr>
        <w:pStyle w:val="4"/>
        <w:bidi w:val="0"/>
        <w:rPr>
          <w:rFonts w:hint="default"/>
          <w:lang w:val="en-US" w:eastAsia="zh-CN"/>
        </w:rPr>
      </w:pPr>
      <w:r>
        <w:rPr>
          <w:rFonts w:hint="eastAsia"/>
          <w:lang w:val="en-US" w:eastAsia="zh-CN"/>
        </w:rPr>
        <w:t>贴现行操作员可通过票据类型、出票日期、到期日期和票面金额查询符合条件的可转贴现票据列表。</w:t>
      </w:r>
    </w:p>
    <w:p>
      <w:pPr>
        <w:numPr>
          <w:ilvl w:val="0"/>
          <w:numId w:val="0"/>
        </w:numPr>
        <w:bidi w:val="0"/>
        <w:spacing w:line="360" w:lineRule="auto"/>
        <w:ind w:firstLine="420" w:firstLineChars="0"/>
        <w:rPr>
          <w:rFonts w:hint="default" w:ascii="Calibri" w:hAnsi="Calibri" w:eastAsia="宋体" w:cs="Calibri"/>
          <w:kern w:val="2"/>
          <w:sz w:val="24"/>
          <w:szCs w:val="21"/>
          <w:lang w:val="en-US" w:eastAsia="zh-CN" w:bidi="ar-SA"/>
        </w:rPr>
      </w:pPr>
      <w:r>
        <w:rPr>
          <w:rFonts w:hint="eastAsia" w:eastAsia="宋体" w:cs="Calibri"/>
          <w:kern w:val="2"/>
          <w:sz w:val="24"/>
          <w:szCs w:val="21"/>
          <w:lang w:val="en-US" w:eastAsia="zh-CN" w:bidi="ar-SA"/>
        </w:rPr>
        <w:t>贴现行操作员选择可转贴现</w:t>
      </w:r>
      <w:r>
        <w:rPr>
          <w:rFonts w:hint="eastAsia" w:ascii="Calibri" w:hAnsi="Calibri" w:eastAsia="宋体" w:cs="Calibri"/>
          <w:kern w:val="2"/>
          <w:sz w:val="24"/>
          <w:szCs w:val="21"/>
          <w:lang w:val="en-US" w:eastAsia="zh-CN" w:bidi="ar-SA"/>
        </w:rPr>
        <w:t>票据</w:t>
      </w:r>
      <w:r>
        <w:rPr>
          <w:rFonts w:hint="eastAsia" w:eastAsia="宋体" w:cs="Calibri"/>
          <w:kern w:val="2"/>
          <w:sz w:val="24"/>
          <w:szCs w:val="21"/>
          <w:lang w:val="en-US" w:eastAsia="zh-CN" w:bidi="ar-SA"/>
        </w:rPr>
        <w:t>列表，点击“转贴现卖出申请”按钮，系统</w:t>
      </w:r>
      <w:r>
        <w:rPr>
          <w:rFonts w:hint="eastAsia" w:ascii="Calibri" w:hAnsi="Calibri" w:eastAsia="宋体" w:cs="Calibri"/>
          <w:kern w:val="2"/>
          <w:sz w:val="24"/>
          <w:szCs w:val="21"/>
          <w:lang w:val="en-US" w:eastAsia="zh-CN" w:bidi="ar-SA"/>
        </w:rPr>
        <w:t>发送锁票申请到票据系统，票据系统对</w:t>
      </w:r>
      <w:r>
        <w:rPr>
          <w:rFonts w:hint="eastAsia" w:eastAsia="宋体" w:cs="Calibri"/>
          <w:kern w:val="2"/>
          <w:sz w:val="24"/>
          <w:szCs w:val="21"/>
          <w:lang w:val="en-US" w:eastAsia="zh-CN" w:bidi="ar-SA"/>
        </w:rPr>
        <w:t>要进行转贴现的</w:t>
      </w:r>
      <w:r>
        <w:rPr>
          <w:rFonts w:hint="eastAsia" w:ascii="Calibri" w:hAnsi="Calibri" w:eastAsia="宋体" w:cs="Calibri"/>
          <w:kern w:val="2"/>
          <w:sz w:val="24"/>
          <w:szCs w:val="21"/>
          <w:lang w:val="en-US" w:eastAsia="zh-CN" w:bidi="ar-SA"/>
        </w:rPr>
        <w:t>票据进行锁票操作，</w:t>
      </w:r>
      <w:r>
        <w:rPr>
          <w:rFonts w:hint="eastAsia" w:eastAsia="宋体" w:cs="Calibri"/>
          <w:kern w:val="2"/>
          <w:sz w:val="24"/>
          <w:szCs w:val="21"/>
          <w:lang w:val="en-US" w:eastAsia="zh-CN" w:bidi="ar-SA"/>
        </w:rPr>
        <w:t>锁票成功进入转贴现卖出利率页面。</w:t>
      </w:r>
    </w:p>
    <w:p>
      <w:pPr>
        <w:numPr>
          <w:ilvl w:val="0"/>
          <w:numId w:val="0"/>
        </w:numPr>
        <w:bidi w:val="0"/>
        <w:spacing w:line="360" w:lineRule="auto"/>
        <w:ind w:firstLine="420" w:firstLineChars="0"/>
        <w:rPr>
          <w:rFonts w:hint="eastAsia" w:eastAsia="宋体" w:cs="Calibri"/>
          <w:kern w:val="2"/>
          <w:sz w:val="24"/>
          <w:szCs w:val="21"/>
          <w:lang w:val="en-US" w:eastAsia="zh-CN" w:bidi="ar-SA"/>
        </w:rPr>
      </w:pPr>
      <w:r>
        <w:rPr>
          <w:rFonts w:hint="eastAsia" w:eastAsia="宋体" w:cs="Calibri"/>
          <w:kern w:val="2"/>
          <w:sz w:val="24"/>
          <w:szCs w:val="21"/>
          <w:lang w:val="en-US" w:eastAsia="zh-CN" w:bidi="ar-SA"/>
        </w:rPr>
        <w:t>操作员输入转贴现卖出利率，点击“下一步”进行转贴现利率试算，利率试算成功进入转贴现信息确认页面，贴现行操作员确认转贴现利率试算信息无误，输入交易对手信息、转贴现清算信息和转贴现结算信息，点击“提交”发起转贴现卖出申请操作。</w:t>
      </w:r>
    </w:p>
    <w:p>
      <w:pPr>
        <w:numPr>
          <w:ilvl w:val="0"/>
          <w:numId w:val="0"/>
        </w:numPr>
        <w:bidi w:val="0"/>
        <w:spacing w:line="360" w:lineRule="auto"/>
        <w:ind w:firstLine="420" w:firstLineChars="0"/>
        <w:rPr>
          <w:rFonts w:hint="eastAsia" w:eastAsia="宋体" w:cs="Calibri"/>
          <w:kern w:val="2"/>
          <w:sz w:val="24"/>
          <w:szCs w:val="21"/>
          <w:lang w:val="en-US" w:eastAsia="zh-CN" w:bidi="ar-SA"/>
        </w:rPr>
      </w:pPr>
      <w:r>
        <w:rPr>
          <w:rFonts w:hint="eastAsia" w:eastAsia="宋体" w:cs="Calibri"/>
          <w:kern w:val="2"/>
          <w:sz w:val="24"/>
          <w:szCs w:val="21"/>
          <w:lang w:val="en-US" w:eastAsia="zh-CN" w:bidi="ar-SA"/>
        </w:rPr>
        <w:t>企业微信发起转贴现卖出申请到票据系统，票据系统接收到交易确认成功报文后，发送卖出交易申请成功报文给企业微信贴现行。票据系统接收到交易业务转发报文后，推送转贴现待签收信息给企业微信，通知交易银行部待签收。</w:t>
      </w:r>
    </w:p>
    <w:p>
      <w:pPr>
        <w:pStyle w:val="4"/>
        <w:bidi w:val="0"/>
        <w:rPr>
          <w:rFonts w:hint="eastAsia"/>
          <w:lang w:val="en-US" w:eastAsia="zh-CN"/>
        </w:rPr>
      </w:pPr>
      <w:r>
        <w:rPr>
          <w:rFonts w:hint="eastAsia"/>
          <w:lang w:val="en-US" w:eastAsia="zh-CN"/>
        </w:rPr>
        <w:t>点击“卖出结果查询”tab页，进入转贴现卖出申请结果查询页面，页面查询展示当日转贴现卖出结果查询列表，转贴现卖出结果列表信息包括：批次号、报价单编号、票据总数、票据总金额、结算金额、应付利息、交易日期和批次状态。</w:t>
      </w:r>
    </w:p>
    <w:p>
      <w:pPr>
        <w:pStyle w:val="4"/>
        <w:bidi w:val="0"/>
        <w:rPr>
          <w:rFonts w:hint="default"/>
          <w:lang w:val="en-US" w:eastAsia="zh-CN"/>
        </w:rPr>
      </w:pPr>
      <w:r>
        <w:rPr>
          <w:rFonts w:hint="eastAsia"/>
          <w:lang w:val="en-US" w:eastAsia="zh-CN"/>
        </w:rPr>
        <w:t>贴现行操作员可通过交易日期和票据总金额查询符合条件的转贴现卖出结果查询列表。</w:t>
      </w:r>
    </w:p>
    <w:p>
      <w:pPr>
        <w:pStyle w:val="4"/>
        <w:bidi w:val="0"/>
        <w:rPr>
          <w:rFonts w:hint="eastAsia"/>
          <w:lang w:val="en-US" w:eastAsia="zh-CN"/>
        </w:rPr>
      </w:pPr>
      <w:r>
        <w:rPr>
          <w:rFonts w:hint="eastAsia"/>
          <w:lang w:val="en-US" w:eastAsia="zh-CN"/>
        </w:rPr>
        <w:t>点击转贴现卖出结果查询列表记录，可查看转贴现卖出详情。</w:t>
      </w:r>
    </w:p>
    <w:p>
      <w:pPr>
        <w:pStyle w:val="4"/>
        <w:bidi w:val="0"/>
        <w:rPr>
          <w:rFonts w:hint="default"/>
          <w:lang w:val="en-US" w:eastAsia="zh-CN"/>
        </w:rPr>
      </w:pPr>
      <w:r>
        <w:rPr>
          <w:rFonts w:hint="eastAsia"/>
          <w:lang w:val="en-US" w:eastAsia="zh-CN"/>
        </w:rPr>
        <w:t>页面展示信息以交互为准。</w:t>
      </w:r>
    </w:p>
    <w:p>
      <w:pPr>
        <w:pStyle w:val="4"/>
        <w:numPr>
          <w:ilvl w:val="0"/>
          <w:numId w:val="4"/>
        </w:numPr>
        <w:ind w:left="845"/>
        <w:rPr>
          <w:b/>
          <w:bCs/>
        </w:rPr>
      </w:pPr>
      <w:r>
        <w:rPr>
          <w:rFonts w:hint="eastAsia"/>
          <w:b/>
          <w:bCs/>
        </w:rPr>
        <w:t>关联系统业务规则及约束</w:t>
      </w:r>
    </w:p>
    <w:p>
      <w:pPr>
        <w:pStyle w:val="4"/>
        <w:bidi w:val="0"/>
        <w:rPr>
          <w:rFonts w:hint="eastAsia" w:eastAsia="宋体"/>
          <w:lang w:eastAsia="zh-CN"/>
        </w:rPr>
      </w:pPr>
      <w:r>
        <w:rPr>
          <w:rFonts w:hint="eastAsia"/>
        </w:rPr>
        <w:t>无</w:t>
      </w:r>
    </w:p>
    <w:p>
      <w:pPr>
        <w:pStyle w:val="4"/>
        <w:numPr>
          <w:ilvl w:val="0"/>
          <w:numId w:val="4"/>
        </w:numPr>
        <w:ind w:left="845"/>
        <w:rPr>
          <w:b/>
          <w:bCs/>
        </w:rPr>
      </w:pPr>
      <w:r>
        <w:rPr>
          <w:rFonts w:hint="eastAsia"/>
          <w:b/>
          <w:bCs/>
        </w:rPr>
        <w:t>业务权限控制</w:t>
      </w:r>
    </w:p>
    <w:p>
      <w:pPr>
        <w:pStyle w:val="4"/>
        <w:bidi w:val="0"/>
        <w:rPr>
          <w:rFonts w:hint="default"/>
          <w:lang w:val="en-US" w:eastAsia="zh-CN"/>
        </w:rPr>
      </w:pPr>
      <w:r>
        <w:rPr>
          <w:rFonts w:hint="eastAsia"/>
          <w:lang w:val="en-US" w:eastAsia="zh-CN"/>
        </w:rPr>
        <w:t>无</w:t>
      </w:r>
    </w:p>
    <w:p>
      <w:pPr>
        <w:pStyle w:val="4"/>
        <w:numPr>
          <w:ilvl w:val="0"/>
          <w:numId w:val="4"/>
        </w:numPr>
        <w:ind w:left="845"/>
        <w:rPr>
          <w:b/>
          <w:bCs/>
        </w:rPr>
      </w:pPr>
      <w:r>
        <w:rPr>
          <w:rFonts w:hint="eastAsia"/>
          <w:b/>
          <w:bCs/>
        </w:rPr>
        <w:t>描述业务限额控制</w:t>
      </w:r>
    </w:p>
    <w:p>
      <w:pPr>
        <w:pStyle w:val="4"/>
        <w:spacing w:before="156" w:beforeLines="50" w:after="156" w:afterLines="50" w:line="240" w:lineRule="auto"/>
        <w:ind w:firstLine="420"/>
        <w:rPr>
          <w:b/>
          <w:bCs/>
        </w:rPr>
      </w:pPr>
      <w:r>
        <w:rPr>
          <w:rFonts w:hint="eastAsia"/>
          <w:lang w:val="en-US" w:eastAsia="zh-CN"/>
        </w:rPr>
        <w:t>无</w:t>
      </w:r>
    </w:p>
    <w:p>
      <w:pPr>
        <w:pStyle w:val="5"/>
        <w:tabs>
          <w:tab w:val="left" w:pos="720"/>
        </w:tabs>
        <w:bidi w:val="0"/>
      </w:pPr>
      <w:bookmarkStart w:id="11" w:name="_Toc1119243870"/>
      <w:r>
        <w:rPr>
          <w:rFonts w:hint="eastAsia"/>
        </w:rPr>
        <w:t>涉及样式要求</w:t>
      </w:r>
      <w:bookmarkEnd w:id="11"/>
    </w:p>
    <w:p>
      <w:pPr>
        <w:pStyle w:val="4"/>
        <w:spacing w:before="156" w:beforeLines="50" w:after="156" w:afterLines="50" w:line="240" w:lineRule="auto"/>
        <w:ind w:firstLine="420"/>
        <w:rPr>
          <w:rFonts w:hint="eastAsia" w:eastAsia="宋体"/>
          <w:lang w:val="en-US" w:eastAsia="zh-CN"/>
        </w:rPr>
      </w:pPr>
      <w:r>
        <w:rPr>
          <w:rFonts w:hint="eastAsia"/>
          <w:lang w:val="en-US" w:eastAsia="zh-CN"/>
        </w:rPr>
        <w:t>无</w:t>
      </w:r>
    </w:p>
    <w:p>
      <w:pPr>
        <w:pStyle w:val="5"/>
        <w:tabs>
          <w:tab w:val="left" w:pos="720"/>
        </w:tabs>
        <w:bidi w:val="0"/>
        <w:rPr>
          <w:rFonts w:hint="eastAsia"/>
        </w:rPr>
      </w:pPr>
      <w:bookmarkStart w:id="12" w:name="_Toc1322459017"/>
      <w:r>
        <w:rPr>
          <w:rFonts w:hint="eastAsia"/>
        </w:rPr>
        <w:t>核算规则</w:t>
      </w:r>
      <w:bookmarkEnd w:id="12"/>
    </w:p>
    <w:p>
      <w:pPr>
        <w:pStyle w:val="4"/>
        <w:rPr>
          <w:rFonts w:hint="eastAsia" w:eastAsia="宋体"/>
          <w:lang w:val="en-US" w:eastAsia="zh-CN"/>
        </w:rPr>
      </w:pPr>
      <w:r>
        <w:rPr>
          <w:rFonts w:hint="eastAsia"/>
          <w:lang w:val="en-US" w:eastAsia="zh-CN"/>
        </w:rPr>
        <w:t>无</w:t>
      </w:r>
    </w:p>
    <w:p>
      <w:pPr>
        <w:pStyle w:val="5"/>
        <w:tabs>
          <w:tab w:val="left" w:pos="720"/>
        </w:tabs>
        <w:bidi w:val="0"/>
      </w:pPr>
      <w:bookmarkStart w:id="13" w:name="_Toc112952269"/>
      <w:r>
        <w:rPr>
          <w:rFonts w:hint="eastAsia"/>
        </w:rPr>
        <w:t>相关风险描述</w:t>
      </w:r>
      <w:bookmarkEnd w:id="13"/>
    </w:p>
    <w:p>
      <w:pPr>
        <w:pStyle w:val="4"/>
        <w:numPr>
          <w:ilvl w:val="0"/>
          <w:numId w:val="5"/>
        </w:numPr>
        <w:ind w:left="845"/>
        <w:rPr>
          <w:b/>
          <w:bCs/>
        </w:rPr>
      </w:pPr>
      <w:r>
        <w:rPr>
          <w:rFonts w:hint="eastAsia"/>
          <w:b/>
          <w:bCs/>
        </w:rPr>
        <w:t>该功能需要注意的风险防范和补偿措施</w:t>
      </w:r>
    </w:p>
    <w:p>
      <w:pPr>
        <w:pStyle w:val="4"/>
        <w:bidi w:val="0"/>
        <w:rPr>
          <w:rFonts w:hint="eastAsia"/>
          <w:lang w:val="en-US" w:eastAsia="zh-CN"/>
        </w:rPr>
      </w:pPr>
      <w:r>
        <w:rPr>
          <w:rFonts w:hint="eastAsia"/>
          <w:lang w:val="en-US" w:eastAsia="zh-CN"/>
        </w:rPr>
        <w:t>无</w:t>
      </w:r>
    </w:p>
    <w:p>
      <w:pPr>
        <w:pStyle w:val="4"/>
        <w:numPr>
          <w:ilvl w:val="0"/>
          <w:numId w:val="5"/>
        </w:numPr>
        <w:ind w:left="845"/>
        <w:rPr>
          <w:b/>
          <w:bCs/>
        </w:rPr>
      </w:pPr>
      <w:r>
        <w:rPr>
          <w:rFonts w:hint="eastAsia"/>
          <w:b/>
          <w:bCs/>
        </w:rPr>
        <w:t>受影响的其他业务功能场景及需要注意的风险防范和补偿措施</w:t>
      </w:r>
    </w:p>
    <w:p>
      <w:pPr>
        <w:pStyle w:val="4"/>
        <w:bidi w:val="0"/>
        <w:rPr>
          <w:rFonts w:hint="default" w:eastAsia="宋体"/>
          <w:lang w:val="en-US" w:eastAsia="zh-CN"/>
        </w:rPr>
      </w:pPr>
      <w:r>
        <w:rPr>
          <w:rFonts w:hint="eastAsia" w:eastAsia="宋体"/>
          <w:lang w:val="en-US" w:eastAsia="zh-CN"/>
        </w:rPr>
        <w:t>无</w:t>
      </w:r>
      <w:r>
        <w:rPr>
          <w:rFonts w:hint="eastAsia" w:eastAsia="宋体"/>
          <w:lang w:val="en-US" w:eastAsia="zh-CN"/>
        </w:rPr>
        <w:tab/>
      </w:r>
    </w:p>
    <w:p>
      <w:pPr>
        <w:pStyle w:val="5"/>
        <w:tabs>
          <w:tab w:val="left" w:pos="720"/>
        </w:tabs>
        <w:bidi w:val="0"/>
        <w:rPr>
          <w:rFonts w:hint="eastAsia"/>
        </w:rPr>
      </w:pPr>
      <w:bookmarkStart w:id="14" w:name="_Toc13241135"/>
      <w:r>
        <w:rPr>
          <w:rFonts w:hint="eastAsia"/>
        </w:rPr>
        <w:t>差异化分析</w:t>
      </w:r>
      <w:bookmarkEnd w:id="14"/>
    </w:p>
    <w:p>
      <w:pPr>
        <w:pStyle w:val="4"/>
        <w:bidi w:val="0"/>
        <w:rPr>
          <w:rFonts w:hint="eastAsia"/>
          <w:lang w:val="en-US" w:eastAsia="zh-CN"/>
        </w:rPr>
      </w:pPr>
      <w:r>
        <w:rPr>
          <w:rFonts w:hint="eastAsia"/>
          <w:lang w:val="en-US" w:eastAsia="zh-CN"/>
        </w:rPr>
        <w:t>无</w:t>
      </w:r>
    </w:p>
    <w:p>
      <w:pPr>
        <w:pStyle w:val="5"/>
        <w:tabs>
          <w:tab w:val="left" w:pos="720"/>
        </w:tabs>
        <w:bidi w:val="0"/>
        <w:rPr>
          <w:rFonts w:hint="eastAsia"/>
          <w:lang w:val="en-US" w:eastAsia="zh-CN"/>
        </w:rPr>
      </w:pPr>
      <w:bookmarkStart w:id="15" w:name="_Toc1352940304"/>
      <w:r>
        <w:rPr>
          <w:rFonts w:hint="eastAsia"/>
        </w:rPr>
        <w:t>场景描述</w:t>
      </w:r>
      <w:bookmarkEnd w:id="15"/>
    </w:p>
    <w:bookmarkEnd w:id="0"/>
    <w:bookmarkEnd w:id="3"/>
    <w:p>
      <w:pPr>
        <w:pStyle w:val="4"/>
        <w:numPr>
          <w:ilvl w:val="0"/>
          <w:numId w:val="6"/>
        </w:numPr>
        <w:bidi w:val="0"/>
        <w:rPr>
          <w:rFonts w:hint="default"/>
          <w:lang w:val="en-US" w:eastAsia="zh-CN"/>
        </w:rPr>
      </w:pPr>
      <w:r>
        <w:rPr>
          <w:rFonts w:hint="eastAsia"/>
          <w:lang w:val="en-US" w:eastAsia="zh-CN"/>
        </w:rPr>
        <w:t>转贴现卖出申请：贴现行操作员可通过转贴现卖出申请业务功能查询并选择可转贴现票据列表，输入转贴现相关业务信息发起转贴现卖出申请操作。转贴现卖出交易申请成功后系统推送信息给贴现行操作员，同时推送待签收信息给企业微信交易银行部。</w:t>
      </w:r>
    </w:p>
    <w:p>
      <w:pPr>
        <w:pStyle w:val="4"/>
        <w:numPr>
          <w:ilvl w:val="0"/>
          <w:numId w:val="6"/>
        </w:numPr>
        <w:bidi w:val="0"/>
        <w:rPr>
          <w:rFonts w:hint="default"/>
          <w:lang w:val="en-US" w:eastAsia="zh-CN"/>
        </w:rPr>
      </w:pPr>
      <w:r>
        <w:rPr>
          <w:rFonts w:hint="eastAsia"/>
          <w:lang w:val="en-US" w:eastAsia="zh-CN"/>
        </w:rPr>
        <w:t>转贴现卖出结果查询：贴现行操作员可通过该功能进行转贴现卖出结果查询操作。</w:t>
      </w:r>
    </w:p>
    <w:p>
      <w:pPr>
        <w:pStyle w:val="3"/>
        <w:bidi w:val="0"/>
        <w:rPr>
          <w:rFonts w:hint="eastAsia"/>
          <w:lang w:val="en-US" w:eastAsia="zh-CN"/>
        </w:rPr>
      </w:pPr>
      <w:bookmarkStart w:id="16" w:name="_Toc1310834892"/>
      <w:r>
        <w:rPr>
          <w:rFonts w:hint="eastAsia"/>
          <w:lang w:val="en-US" w:eastAsia="zh-CN"/>
        </w:rPr>
        <w:t>转贴现买入查询</w:t>
      </w:r>
      <w:bookmarkEnd w:id="16"/>
    </w:p>
    <w:p>
      <w:pPr>
        <w:pStyle w:val="5"/>
        <w:tabs>
          <w:tab w:val="left" w:pos="720"/>
        </w:tabs>
        <w:bidi w:val="0"/>
      </w:pPr>
      <w:bookmarkStart w:id="17" w:name="_Toc167295271"/>
      <w:r>
        <w:rPr>
          <w:rFonts w:hint="eastAsia"/>
        </w:rPr>
        <w:t>功能描述</w:t>
      </w:r>
      <w:bookmarkEnd w:id="17"/>
    </w:p>
    <w:p>
      <w:pPr>
        <w:pStyle w:val="4"/>
        <w:numPr>
          <w:ilvl w:val="0"/>
          <w:numId w:val="7"/>
        </w:numPr>
        <w:ind w:left="845"/>
        <w:rPr>
          <w:b/>
          <w:bCs/>
        </w:rPr>
      </w:pPr>
      <w:r>
        <w:rPr>
          <w:rFonts w:hint="eastAsia"/>
          <w:b/>
          <w:bCs/>
        </w:rPr>
        <w:t>新增或修改交易说明</w:t>
      </w:r>
    </w:p>
    <w:tbl>
      <w:tblPr>
        <w:tblStyle w:val="22"/>
        <w:tblW w:w="85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6"/>
        <w:gridCol w:w="2595"/>
        <w:gridCol w:w="2374"/>
        <w:gridCol w:w="23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jc w:val="center"/>
        </w:trPr>
        <w:tc>
          <w:tcPr>
            <w:tcW w:w="1216" w:type="dxa"/>
            <w:shd w:val="clear" w:color="auto" w:fill="CFCECE" w:themeFill="background2" w:themeFillShade="E5"/>
            <w:vAlign w:val="center"/>
          </w:tcPr>
          <w:p>
            <w:pPr>
              <w:jc w:val="center"/>
            </w:pPr>
            <w:r>
              <w:rPr>
                <w:rFonts w:hint="eastAsia"/>
              </w:rPr>
              <w:t>新增/修改</w:t>
            </w:r>
          </w:p>
        </w:tc>
        <w:tc>
          <w:tcPr>
            <w:tcW w:w="2595" w:type="dxa"/>
            <w:shd w:val="clear" w:color="auto" w:fill="CFCECE" w:themeFill="background2" w:themeFillShade="E5"/>
            <w:vAlign w:val="center"/>
          </w:tcPr>
          <w:p>
            <w:pPr>
              <w:jc w:val="center"/>
            </w:pPr>
            <w:r>
              <w:rPr>
                <w:rFonts w:hint="eastAsia"/>
              </w:rPr>
              <w:t>功能名称</w:t>
            </w:r>
          </w:p>
        </w:tc>
        <w:tc>
          <w:tcPr>
            <w:tcW w:w="2374" w:type="dxa"/>
            <w:shd w:val="clear" w:color="auto" w:fill="CFCECE" w:themeFill="background2" w:themeFillShade="E5"/>
            <w:vAlign w:val="center"/>
          </w:tcPr>
          <w:p>
            <w:pPr>
              <w:jc w:val="center"/>
              <w:rPr>
                <w:rFonts w:hint="eastAsia" w:eastAsia="宋体"/>
                <w:lang w:eastAsia="zh-CN"/>
              </w:rPr>
            </w:pPr>
            <w:r>
              <w:rPr>
                <w:rFonts w:hint="eastAsia"/>
              </w:rPr>
              <w:t>交易码</w:t>
            </w:r>
          </w:p>
        </w:tc>
        <w:tc>
          <w:tcPr>
            <w:tcW w:w="2336" w:type="dxa"/>
            <w:shd w:val="clear" w:color="auto" w:fill="CFCECE" w:themeFill="background2" w:themeFillShade="E5"/>
            <w:vAlign w:val="center"/>
          </w:tcPr>
          <w:p>
            <w:pPr>
              <w:jc w:val="center"/>
            </w:pPr>
            <w:r>
              <w:rPr>
                <w:rFonts w:hint="eastAsia"/>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216" w:type="dxa"/>
            <w:vAlign w:val="center"/>
          </w:tcPr>
          <w:p>
            <w:pPr>
              <w:ind w:firstLine="210" w:firstLineChars="100"/>
              <w:jc w:val="both"/>
              <w:rPr>
                <w:rFonts w:hint="default" w:eastAsia="宋体"/>
                <w:lang w:val="en-US" w:eastAsia="zh-CN"/>
              </w:rPr>
            </w:pPr>
            <w:r>
              <w:rPr>
                <w:rFonts w:hint="eastAsia" w:eastAsia="宋体"/>
                <w:lang w:val="en-US" w:eastAsia="zh-CN"/>
              </w:rPr>
              <w:t>新增</w:t>
            </w:r>
          </w:p>
        </w:tc>
        <w:tc>
          <w:tcPr>
            <w:tcW w:w="2595" w:type="dxa"/>
            <w:vAlign w:val="center"/>
          </w:tcPr>
          <w:p>
            <w:pPr>
              <w:jc w:val="center"/>
              <w:rPr>
                <w:rFonts w:hint="default" w:eastAsia="宋体"/>
                <w:lang w:val="en-US" w:eastAsia="zh-CN"/>
              </w:rPr>
            </w:pPr>
            <w:r>
              <w:rPr>
                <w:rFonts w:hint="eastAsia"/>
                <w:lang w:val="en-US" w:eastAsia="zh-CN"/>
              </w:rPr>
              <w:t>转贴现买入查询</w:t>
            </w:r>
          </w:p>
        </w:tc>
        <w:tc>
          <w:tcPr>
            <w:tcW w:w="2374" w:type="dxa"/>
            <w:vAlign w:val="center"/>
          </w:tcPr>
          <w:p>
            <w:pPr>
              <w:jc w:val="center"/>
              <w:rPr>
                <w:rFonts w:hint="default" w:eastAsia="宋体"/>
                <w:lang w:val="en-US" w:eastAsia="zh-CN"/>
              </w:rPr>
            </w:pPr>
          </w:p>
        </w:tc>
        <w:tc>
          <w:tcPr>
            <w:tcW w:w="2336" w:type="dxa"/>
            <w:vAlign w:val="center"/>
          </w:tcPr>
          <w:p>
            <w:pPr>
              <w:jc w:val="center"/>
              <w:rPr>
                <w:rFonts w:hint="default" w:eastAsia="宋体"/>
                <w:lang w:val="en-US" w:eastAsia="zh-CN"/>
              </w:rPr>
            </w:pPr>
          </w:p>
        </w:tc>
      </w:tr>
    </w:tbl>
    <w:p>
      <w:pPr>
        <w:ind w:left="420"/>
      </w:pPr>
    </w:p>
    <w:p>
      <w:pPr>
        <w:pStyle w:val="4"/>
        <w:numPr>
          <w:ilvl w:val="0"/>
          <w:numId w:val="7"/>
        </w:numPr>
        <w:ind w:left="845"/>
        <w:rPr>
          <w:b/>
          <w:bCs/>
        </w:rPr>
      </w:pPr>
      <w:r>
        <w:rPr>
          <w:rFonts w:hint="eastAsia"/>
          <w:b/>
          <w:bCs/>
        </w:rPr>
        <w:t>功能概述</w:t>
      </w:r>
    </w:p>
    <w:p>
      <w:pPr>
        <w:pStyle w:val="4"/>
        <w:bidi w:val="0"/>
        <w:rPr>
          <w:rFonts w:hint="eastAsia"/>
          <w:lang w:val="en-US" w:eastAsia="zh-CN"/>
        </w:rPr>
      </w:pPr>
      <w:r>
        <w:rPr>
          <w:rFonts w:hint="eastAsia"/>
          <w:lang w:val="en-US" w:eastAsia="zh-CN"/>
        </w:rPr>
        <w:t>交易银行部操作员可通过“转贴现买入查询-待签收”业务，查询待签收的转贴现票据批次列表信息，交易银行部操作员可对待签收的转贴现票据进行签收和拒绝操作。交易银行部操作员发起转贴现签收拒绝后，票据系统通知企业微信端贴现行终止交易；转贴现签收成功后，票据系统将转贴现签收成功信息分别通知企业微信端贴现行和交易银行部操作员。</w:t>
      </w:r>
    </w:p>
    <w:p>
      <w:pPr>
        <w:pStyle w:val="4"/>
        <w:bidi w:val="0"/>
        <w:rPr>
          <w:rFonts w:hint="default"/>
          <w:lang w:val="en-US" w:eastAsia="zh-CN"/>
        </w:rPr>
      </w:pPr>
      <w:r>
        <w:rPr>
          <w:rFonts w:hint="eastAsia"/>
          <w:strike w:val="0"/>
          <w:dstrike w:val="0"/>
          <w:lang w:val="en-US" w:eastAsia="zh-CN"/>
        </w:rPr>
        <w:t>交易银行部操作员可通过“转贴现买入查询-签收结果查询”业务，进行转贴现买入结果查询操作。</w:t>
      </w:r>
    </w:p>
    <w:p>
      <w:pPr>
        <w:pStyle w:val="5"/>
        <w:tabs>
          <w:tab w:val="left" w:pos="720"/>
        </w:tabs>
        <w:bidi w:val="0"/>
      </w:pPr>
      <w:bookmarkStart w:id="18" w:name="_Toc675525774"/>
      <w:r>
        <w:rPr>
          <w:rFonts w:hint="eastAsia"/>
        </w:rPr>
        <w:t>输入输出</w:t>
      </w:r>
      <w:bookmarkEnd w:id="18"/>
    </w:p>
    <w:p>
      <w:pPr>
        <w:pStyle w:val="4"/>
        <w:numPr>
          <w:ilvl w:val="0"/>
          <w:numId w:val="8"/>
        </w:numPr>
        <w:ind w:left="845"/>
        <w:rPr>
          <w:b/>
          <w:bCs/>
        </w:rPr>
      </w:pPr>
      <w:r>
        <w:rPr>
          <w:rFonts w:hint="eastAsia"/>
          <w:b/>
          <w:bCs/>
        </w:rPr>
        <w:t>触发渠道及方式</w:t>
      </w:r>
    </w:p>
    <w:p>
      <w:pPr>
        <w:pStyle w:val="4"/>
        <w:bidi w:val="0"/>
        <w:spacing w:line="360" w:lineRule="auto"/>
        <w:ind w:firstLine="200"/>
        <w:rPr>
          <w:rFonts w:hint="default" w:ascii="Times New Roman" w:hAnsi="Times New Roman" w:eastAsia="宋体" w:cs="Times New Roman"/>
          <w:szCs w:val="24"/>
          <w:lang w:val="en-US" w:eastAsia="zh-CN"/>
        </w:rPr>
      </w:pPr>
      <w:r>
        <w:rPr>
          <w:rFonts w:hint="eastAsia"/>
          <w:lang w:val="en-US" w:eastAsia="zh-CN"/>
        </w:rPr>
        <w:t>企业微信-票据业务-直转一体</w:t>
      </w:r>
    </w:p>
    <w:p>
      <w:pPr>
        <w:pStyle w:val="4"/>
        <w:numPr>
          <w:ilvl w:val="0"/>
          <w:numId w:val="8"/>
        </w:numPr>
        <w:ind w:left="845"/>
        <w:rPr>
          <w:b/>
          <w:bCs/>
        </w:rPr>
      </w:pPr>
      <w:r>
        <w:rPr>
          <w:rFonts w:hint="eastAsia"/>
          <w:b/>
          <w:bCs/>
        </w:rPr>
        <w:t>输入要素</w:t>
      </w:r>
    </w:p>
    <w:p>
      <w:pPr>
        <w:pStyle w:val="4"/>
        <w:bidi w:val="0"/>
        <w:rPr>
          <w:rFonts w:hint="eastAsia" w:ascii="Times New Roman" w:hAnsi="Times New Roman" w:cs="Times New Roman"/>
          <w:szCs w:val="24"/>
          <w:lang w:val="en-US" w:eastAsia="zh-CN"/>
        </w:rPr>
      </w:pPr>
      <w:r>
        <w:rPr>
          <w:rFonts w:hint="eastAsia" w:ascii="Times New Roman" w:hAnsi="Times New Roman" w:cs="Times New Roman"/>
          <w:szCs w:val="24"/>
          <w:lang w:val="en-US" w:eastAsia="zh-CN"/>
        </w:rPr>
        <w:t>转贴现买入待签收查询输入-交易对手机构号、报价单编号、卖出时间</w:t>
      </w:r>
    </w:p>
    <w:p>
      <w:pPr>
        <w:pStyle w:val="4"/>
        <w:bidi w:val="0"/>
        <w:rPr>
          <w:rFonts w:hint="default" w:ascii="Times New Roman" w:hAnsi="Times New Roman" w:cs="Times New Roman"/>
          <w:szCs w:val="24"/>
          <w:lang w:val="en-US" w:eastAsia="zh-CN"/>
        </w:rPr>
      </w:pPr>
      <w:r>
        <w:rPr>
          <w:rFonts w:hint="eastAsia" w:ascii="Times New Roman" w:hAnsi="Times New Roman" w:cs="Times New Roman"/>
          <w:szCs w:val="24"/>
          <w:lang w:val="en-US" w:eastAsia="zh-CN"/>
        </w:rPr>
        <w:t>已签收结果查询输入-交易时间、</w:t>
      </w:r>
    </w:p>
    <w:p>
      <w:pPr>
        <w:pStyle w:val="4"/>
        <w:numPr>
          <w:ilvl w:val="0"/>
          <w:numId w:val="8"/>
        </w:numPr>
        <w:ind w:left="845"/>
        <w:rPr>
          <w:b/>
          <w:bCs/>
        </w:rPr>
      </w:pPr>
      <w:r>
        <w:rPr>
          <w:rFonts w:hint="eastAsia"/>
          <w:b/>
          <w:bCs/>
        </w:rPr>
        <w:t>输出要素</w:t>
      </w:r>
    </w:p>
    <w:p>
      <w:pPr>
        <w:pStyle w:val="4"/>
        <w:bidi w:val="0"/>
        <w:rPr>
          <w:rFonts w:hint="eastAsia" w:ascii="Times New Roman" w:hAnsi="Times New Roman" w:cs="Times New Roman"/>
          <w:szCs w:val="24"/>
          <w:lang w:val="en-US" w:eastAsia="zh-CN"/>
        </w:rPr>
      </w:pPr>
      <w:r>
        <w:rPr>
          <w:rFonts w:hint="eastAsia" w:ascii="Times New Roman" w:hAnsi="Times New Roman" w:cs="Times New Roman"/>
          <w:szCs w:val="24"/>
          <w:lang w:val="en-US" w:eastAsia="zh-CN"/>
        </w:rPr>
        <w:t>转贴现待签收列表输出-</w:t>
      </w:r>
      <w:r>
        <w:rPr>
          <w:rFonts w:hint="eastAsia" w:ascii="Times New Roman" w:hAnsi="Times New Roman" w:eastAsia="宋体" w:cs="Times New Roman"/>
          <w:szCs w:val="24"/>
          <w:lang w:val="en-US" w:eastAsia="zh-CN"/>
        </w:rPr>
        <w:t>报价单编号、票据类型、票据总数量、票据总金额、结算金额、利率、利息、</w:t>
      </w:r>
      <w:r>
        <w:rPr>
          <w:rFonts w:hint="eastAsia" w:ascii="Times New Roman" w:hAnsi="Times New Roman" w:cs="Times New Roman"/>
          <w:szCs w:val="24"/>
          <w:lang w:val="en-US" w:eastAsia="zh-CN"/>
        </w:rPr>
        <w:t>机构号、机构名称、交易员编号、交易员名称、</w:t>
      </w:r>
      <w:r>
        <w:rPr>
          <w:rFonts w:hint="eastAsia" w:ascii="Times New Roman" w:hAnsi="Times New Roman" w:eastAsia="宋体" w:cs="Times New Roman"/>
          <w:szCs w:val="24"/>
          <w:lang w:val="en-US" w:eastAsia="zh-CN"/>
        </w:rPr>
        <w:t>票据明细</w:t>
      </w:r>
      <w:r>
        <w:rPr>
          <w:rFonts w:hint="eastAsia" w:ascii="Times New Roman" w:hAnsi="Times New Roman" w:cs="Times New Roman"/>
          <w:szCs w:val="24"/>
          <w:lang w:val="en-US" w:eastAsia="zh-CN"/>
        </w:rPr>
        <w:t>（</w:t>
      </w:r>
      <w:r>
        <w:rPr>
          <w:rFonts w:hint="eastAsia" w:ascii="Times New Roman" w:hAnsi="Times New Roman" w:eastAsia="宋体" w:cs="Times New Roman"/>
          <w:szCs w:val="24"/>
          <w:lang w:val="en-US" w:eastAsia="zh-CN"/>
        </w:rPr>
        <w:t>票据（包）号、子票区间、票据金额、</w:t>
      </w:r>
      <w:r>
        <w:rPr>
          <w:rFonts w:hint="eastAsia" w:ascii="Times New Roman" w:hAnsi="Times New Roman" w:cs="Times New Roman"/>
          <w:szCs w:val="24"/>
          <w:lang w:val="en-US" w:eastAsia="zh-CN"/>
        </w:rPr>
        <w:t>利息</w:t>
      </w:r>
      <w:r>
        <w:rPr>
          <w:rFonts w:hint="eastAsia" w:ascii="Times New Roman" w:hAnsi="Times New Roman" w:eastAsia="宋体" w:cs="Times New Roman"/>
          <w:szCs w:val="24"/>
          <w:lang w:val="en-US" w:eastAsia="zh-CN"/>
        </w:rPr>
        <w:t>、结算金额和票据到期日期</w:t>
      </w:r>
      <w:r>
        <w:rPr>
          <w:rFonts w:hint="eastAsia" w:ascii="Times New Roman" w:hAnsi="Times New Roman" w:cs="Times New Roman"/>
          <w:szCs w:val="24"/>
          <w:lang w:val="en-US" w:eastAsia="zh-CN"/>
        </w:rPr>
        <w:t>）</w:t>
      </w:r>
    </w:p>
    <w:p>
      <w:pPr>
        <w:pStyle w:val="4"/>
        <w:bidi w:val="0"/>
        <w:rPr>
          <w:rFonts w:hint="default" w:ascii="Times New Roman" w:hAnsi="Times New Roman" w:cs="Times New Roman"/>
          <w:szCs w:val="24"/>
          <w:lang w:val="en-US" w:eastAsia="zh-CN"/>
        </w:rPr>
      </w:pPr>
      <w:r>
        <w:rPr>
          <w:rFonts w:hint="eastAsia" w:ascii="Times New Roman" w:hAnsi="Times New Roman" w:cs="Times New Roman"/>
          <w:szCs w:val="24"/>
          <w:lang w:val="en-US" w:eastAsia="zh-CN"/>
        </w:rPr>
        <w:t>已签收结果查询输出-批次号、业务类型、报价单编号、批次状态、交易日期、成交单编号、票据类型、票据总数量、票据总金额、结算金额、交易利率、应付利息、报价有效时间、清算速度、清算类型、清算状态、最晚结算时间、结算方式、结算日期、交易员编号、交易对手行号、交易对手行名称、交易对手名称、票据明细（票据（包）号、子票区间、票据金额、到期日期、实际到期日、剩余期限（天）、应付利息、结算金额、三分类标识、处理状态、记账状态）</w:t>
      </w:r>
    </w:p>
    <w:p>
      <w:pPr>
        <w:pStyle w:val="4"/>
        <w:numPr>
          <w:ilvl w:val="0"/>
          <w:numId w:val="8"/>
        </w:numPr>
        <w:ind w:left="845"/>
        <w:rPr>
          <w:b/>
          <w:bCs/>
        </w:rPr>
      </w:pPr>
      <w:r>
        <w:rPr>
          <w:rFonts w:hint="eastAsia"/>
          <w:b/>
          <w:bCs/>
        </w:rPr>
        <w:t>输出方式</w:t>
      </w:r>
    </w:p>
    <w:p>
      <w:pPr>
        <w:pStyle w:val="4"/>
        <w:bidi w:val="0"/>
        <w:rPr>
          <w:rFonts w:hint="default"/>
          <w:lang w:val="en-US" w:eastAsia="zh-CN"/>
        </w:rPr>
      </w:pPr>
      <w:r>
        <w:rPr>
          <w:rFonts w:hint="eastAsia"/>
          <w:lang w:val="en-US" w:eastAsia="zh-CN"/>
        </w:rPr>
        <w:t>界面显示</w:t>
      </w:r>
    </w:p>
    <w:p>
      <w:pPr>
        <w:pStyle w:val="5"/>
        <w:tabs>
          <w:tab w:val="left" w:pos="720"/>
        </w:tabs>
        <w:bidi w:val="0"/>
      </w:pPr>
      <w:bookmarkStart w:id="19" w:name="_Toc1963125576"/>
      <w:r>
        <w:rPr>
          <w:rFonts w:hint="eastAsia"/>
        </w:rPr>
        <w:t>处理逻辑、业务规则及约束</w:t>
      </w:r>
      <w:bookmarkEnd w:id="19"/>
    </w:p>
    <w:p>
      <w:pPr>
        <w:pStyle w:val="4"/>
        <w:numPr>
          <w:ilvl w:val="0"/>
          <w:numId w:val="9"/>
        </w:numPr>
        <w:ind w:left="845"/>
        <w:rPr>
          <w:rFonts w:hint="default"/>
          <w:lang w:val="en-US" w:eastAsia="zh-CN"/>
        </w:rPr>
      </w:pPr>
      <w:r>
        <w:rPr>
          <w:rFonts w:hint="eastAsia"/>
          <w:b/>
          <w:bCs/>
        </w:rPr>
        <w:t>处理逻辑</w:t>
      </w:r>
      <w:r>
        <w:rPr>
          <w:rFonts w:hint="default"/>
          <w:lang w:val="en-US" w:eastAsia="zh-CN"/>
        </w:rPr>
        <w:t xml:space="preserve"> </w:t>
      </w:r>
    </w:p>
    <w:p>
      <w:pPr>
        <w:pStyle w:val="4"/>
        <w:bidi w:val="0"/>
        <w:rPr>
          <w:rFonts w:hint="eastAsia"/>
          <w:lang w:val="en-US" w:eastAsia="zh-CN"/>
        </w:rPr>
      </w:pPr>
      <w:r>
        <w:rPr>
          <w:rFonts w:hint="eastAsia"/>
          <w:lang w:val="en-US" w:eastAsia="zh-CN"/>
        </w:rPr>
        <w:t>贴现行操作员进入“转贴现买入查询”页面，页面tab页展示待签收和已签收查询，默认展示待签收页面。</w:t>
      </w:r>
    </w:p>
    <w:p>
      <w:pPr>
        <w:pStyle w:val="4"/>
        <w:bidi w:val="0"/>
        <w:rPr>
          <w:rFonts w:hint="eastAsia"/>
          <w:lang w:val="en-US" w:eastAsia="zh-CN"/>
        </w:rPr>
      </w:pPr>
      <w:r>
        <w:rPr>
          <w:rFonts w:hint="eastAsia"/>
          <w:lang w:val="en-US" w:eastAsia="zh-CN"/>
        </w:rPr>
        <w:t>待签收页面查询展示待签收的转贴现票据列表，待签收的转贴现票据列表信息包括：票据（包）号、票据类型、票据总数、票据总金额、利率、利息、结算金额和交易对手机构名称。</w:t>
      </w:r>
    </w:p>
    <w:p>
      <w:pPr>
        <w:pStyle w:val="4"/>
        <w:bidi w:val="0"/>
        <w:rPr>
          <w:rFonts w:hint="default"/>
          <w:lang w:val="en-US" w:eastAsia="zh-CN"/>
        </w:rPr>
      </w:pPr>
      <w:r>
        <w:rPr>
          <w:rFonts w:hint="eastAsia"/>
          <w:lang w:val="en-US" w:eastAsia="zh-CN"/>
        </w:rPr>
        <w:t>交易银行部操作员可通过交易对手机构号、报价单编号和卖出时间查询符合条件的转贴现待签收票据列表。</w:t>
      </w:r>
    </w:p>
    <w:p>
      <w:pPr>
        <w:pStyle w:val="4"/>
        <w:bidi w:val="0"/>
        <w:rPr>
          <w:rFonts w:hint="default"/>
          <w:lang w:val="en-US" w:eastAsia="zh-CN"/>
        </w:rPr>
      </w:pPr>
      <w:r>
        <w:rPr>
          <w:rFonts w:hint="eastAsia"/>
          <w:lang w:val="en-US" w:eastAsia="zh-CN"/>
        </w:rPr>
        <w:t>交易银行部操作员点击转贴现待签收票据列表上的“去签收”，进入待签收转贴现票据详情页面，详情页面展示转贴现待签收信息，交易银行部操作员确认转贴现信息无误，点击“拒绝”，进行转贴现签收拒绝操作。企业微信系统发送转贴现买入拒绝报文到票据系统，票据系统修改相关业务数据后，发送对话报价终止报文到票据所，票交所接收到后，通知票据系统，票据系统通知企业微信端贴现行终止交易票据。</w:t>
      </w:r>
    </w:p>
    <w:p>
      <w:pPr>
        <w:pStyle w:val="4"/>
        <w:bidi w:val="0"/>
        <w:rPr>
          <w:rFonts w:hint="default"/>
          <w:lang w:val="en-US" w:eastAsia="zh-CN"/>
        </w:rPr>
      </w:pPr>
      <w:r>
        <w:rPr>
          <w:rFonts w:hint="eastAsia"/>
          <w:lang w:val="en-US" w:eastAsia="zh-CN"/>
        </w:rPr>
        <w:t>交易银行部操作员点击“签收”，系统发起转贴现签收操作。企业微信系统发送转贴现签收报文到票据系统，票据系统校验报文，将买入方的数据入库后，发送对话报价成交报文到票交所，票交所回复签收方交易成交确认报文，票交所回复卖出方对话报价交易成交通知报文。票据系统接收到确认报文和通知报文后，分别进行业务逻辑处理后，分别通知企业微信端贴现行和交易银行部。</w:t>
      </w:r>
    </w:p>
    <w:p>
      <w:pPr>
        <w:pStyle w:val="4"/>
        <w:bidi w:val="0"/>
        <w:rPr>
          <w:rFonts w:hint="default"/>
          <w:lang w:val="en-US" w:eastAsia="zh-CN"/>
        </w:rPr>
      </w:pPr>
      <w:r>
        <w:rPr>
          <w:rFonts w:hint="eastAsia"/>
          <w:lang w:val="en-US" w:eastAsia="zh-CN"/>
        </w:rPr>
        <w:t>操作员通过“已签收查询”业务，进行转贴现卖出结果查询操作。</w:t>
      </w:r>
    </w:p>
    <w:p>
      <w:pPr>
        <w:pStyle w:val="4"/>
        <w:bidi w:val="0"/>
        <w:rPr>
          <w:rFonts w:hint="eastAsia"/>
          <w:lang w:val="en-US" w:eastAsia="zh-CN"/>
        </w:rPr>
      </w:pPr>
      <w:r>
        <w:rPr>
          <w:rFonts w:hint="eastAsia"/>
          <w:lang w:val="en-US" w:eastAsia="zh-CN"/>
        </w:rPr>
        <w:t>点击“已签收查询”tab页，进入转贴现已签收查询页面，页面查询展示当日已签收转贴现票据批次列表，已签收转贴现票据批次列表信息包括：批次号、报价单编号、票据总数、票据总金额、结算金额、应付利息、交易日期和批次状态。</w:t>
      </w:r>
    </w:p>
    <w:p>
      <w:pPr>
        <w:pStyle w:val="4"/>
        <w:bidi w:val="0"/>
        <w:rPr>
          <w:rFonts w:hint="default"/>
          <w:lang w:val="en-US" w:eastAsia="zh-CN"/>
        </w:rPr>
      </w:pPr>
      <w:r>
        <w:rPr>
          <w:rFonts w:hint="eastAsia"/>
          <w:lang w:val="en-US" w:eastAsia="zh-CN"/>
        </w:rPr>
        <w:t>贴现行操作员可通过交易日期、卖出方机构号、卖出方行号和交易金额查询符合条件的已签收转贴现票据批次列表。</w:t>
      </w:r>
    </w:p>
    <w:p>
      <w:pPr>
        <w:pStyle w:val="4"/>
        <w:bidi w:val="0"/>
        <w:rPr>
          <w:rFonts w:hint="eastAsia"/>
          <w:lang w:val="en-US" w:eastAsia="zh-CN"/>
        </w:rPr>
      </w:pPr>
      <w:r>
        <w:rPr>
          <w:rFonts w:hint="eastAsia"/>
          <w:lang w:val="en-US" w:eastAsia="zh-CN"/>
        </w:rPr>
        <w:t>点击已签收转贴现票据批次列表记录，可查看已签收转贴现票据详情。</w:t>
      </w:r>
    </w:p>
    <w:p>
      <w:pPr>
        <w:pStyle w:val="4"/>
        <w:bidi w:val="0"/>
        <w:rPr>
          <w:rFonts w:hint="default"/>
          <w:lang w:val="en-US" w:eastAsia="zh-CN"/>
        </w:rPr>
      </w:pPr>
      <w:r>
        <w:rPr>
          <w:rFonts w:hint="eastAsia"/>
          <w:lang w:val="en-US" w:eastAsia="zh-CN"/>
        </w:rPr>
        <w:t>页面展示信息以交互为准。</w:t>
      </w:r>
    </w:p>
    <w:p>
      <w:pPr>
        <w:pStyle w:val="4"/>
        <w:numPr>
          <w:ilvl w:val="0"/>
          <w:numId w:val="9"/>
        </w:numPr>
        <w:ind w:left="845"/>
        <w:rPr>
          <w:b/>
          <w:bCs/>
        </w:rPr>
      </w:pPr>
      <w:r>
        <w:rPr>
          <w:rFonts w:hint="eastAsia"/>
          <w:b/>
          <w:bCs/>
        </w:rPr>
        <w:t>关联系统业务规则及约束</w:t>
      </w:r>
    </w:p>
    <w:p>
      <w:pPr>
        <w:pStyle w:val="4"/>
        <w:bidi w:val="0"/>
        <w:rPr>
          <w:rFonts w:hint="eastAsia" w:eastAsia="宋体"/>
          <w:lang w:eastAsia="zh-CN"/>
        </w:rPr>
      </w:pPr>
      <w:r>
        <w:rPr>
          <w:rFonts w:hint="eastAsia"/>
        </w:rPr>
        <w:t>无</w:t>
      </w:r>
    </w:p>
    <w:p>
      <w:pPr>
        <w:pStyle w:val="4"/>
        <w:numPr>
          <w:ilvl w:val="0"/>
          <w:numId w:val="9"/>
        </w:numPr>
        <w:ind w:left="845"/>
        <w:rPr>
          <w:b/>
          <w:bCs/>
        </w:rPr>
      </w:pPr>
      <w:r>
        <w:rPr>
          <w:rFonts w:hint="eastAsia"/>
          <w:b/>
          <w:bCs/>
        </w:rPr>
        <w:t>业务权限控制</w:t>
      </w:r>
    </w:p>
    <w:p>
      <w:pPr>
        <w:pStyle w:val="4"/>
        <w:bidi w:val="0"/>
        <w:rPr>
          <w:rFonts w:hint="default"/>
          <w:lang w:val="en-US" w:eastAsia="zh-CN"/>
        </w:rPr>
      </w:pPr>
      <w:r>
        <w:rPr>
          <w:rFonts w:hint="eastAsia"/>
          <w:lang w:val="en-US" w:eastAsia="zh-CN"/>
        </w:rPr>
        <w:t>无</w:t>
      </w:r>
    </w:p>
    <w:p>
      <w:pPr>
        <w:pStyle w:val="4"/>
        <w:numPr>
          <w:ilvl w:val="0"/>
          <w:numId w:val="9"/>
        </w:numPr>
        <w:ind w:left="845"/>
        <w:rPr>
          <w:b/>
          <w:bCs/>
        </w:rPr>
      </w:pPr>
      <w:r>
        <w:rPr>
          <w:rFonts w:hint="eastAsia"/>
          <w:b/>
          <w:bCs/>
        </w:rPr>
        <w:t>描述业务限额控制</w:t>
      </w:r>
    </w:p>
    <w:p>
      <w:pPr>
        <w:pStyle w:val="4"/>
        <w:spacing w:before="156" w:beforeLines="50" w:after="156" w:afterLines="50" w:line="240" w:lineRule="auto"/>
        <w:ind w:firstLine="420"/>
        <w:rPr>
          <w:b/>
          <w:bCs/>
        </w:rPr>
      </w:pPr>
      <w:r>
        <w:rPr>
          <w:rFonts w:hint="eastAsia"/>
          <w:lang w:val="en-US" w:eastAsia="zh-CN"/>
        </w:rPr>
        <w:t>无</w:t>
      </w:r>
    </w:p>
    <w:p>
      <w:pPr>
        <w:pStyle w:val="5"/>
        <w:tabs>
          <w:tab w:val="left" w:pos="720"/>
        </w:tabs>
        <w:bidi w:val="0"/>
      </w:pPr>
      <w:bookmarkStart w:id="20" w:name="_Toc312803324"/>
      <w:r>
        <w:rPr>
          <w:rFonts w:hint="eastAsia"/>
        </w:rPr>
        <w:t>涉及样式要求</w:t>
      </w:r>
      <w:bookmarkEnd w:id="20"/>
    </w:p>
    <w:p>
      <w:pPr>
        <w:pStyle w:val="4"/>
        <w:spacing w:before="156" w:beforeLines="50" w:after="156" w:afterLines="50" w:line="240" w:lineRule="auto"/>
        <w:ind w:firstLine="420"/>
        <w:rPr>
          <w:rFonts w:hint="eastAsia" w:eastAsia="宋体"/>
          <w:lang w:val="en-US" w:eastAsia="zh-CN"/>
        </w:rPr>
      </w:pPr>
      <w:r>
        <w:rPr>
          <w:rFonts w:hint="eastAsia"/>
          <w:lang w:val="en-US" w:eastAsia="zh-CN"/>
        </w:rPr>
        <w:t>无</w:t>
      </w:r>
    </w:p>
    <w:p>
      <w:pPr>
        <w:pStyle w:val="5"/>
        <w:tabs>
          <w:tab w:val="left" w:pos="720"/>
        </w:tabs>
        <w:bidi w:val="0"/>
        <w:rPr>
          <w:rFonts w:hint="eastAsia"/>
        </w:rPr>
      </w:pPr>
      <w:bookmarkStart w:id="21" w:name="_Toc245498612"/>
      <w:r>
        <w:rPr>
          <w:rFonts w:hint="eastAsia"/>
        </w:rPr>
        <w:t>核算规则</w:t>
      </w:r>
      <w:bookmarkEnd w:id="21"/>
    </w:p>
    <w:p>
      <w:pPr>
        <w:pStyle w:val="4"/>
        <w:rPr>
          <w:rFonts w:hint="eastAsia" w:eastAsia="宋体"/>
          <w:lang w:val="en-US" w:eastAsia="zh-CN"/>
        </w:rPr>
      </w:pPr>
      <w:r>
        <w:rPr>
          <w:rFonts w:hint="eastAsia"/>
          <w:lang w:val="en-US" w:eastAsia="zh-CN"/>
        </w:rPr>
        <w:t>无</w:t>
      </w:r>
    </w:p>
    <w:p>
      <w:pPr>
        <w:pStyle w:val="5"/>
        <w:tabs>
          <w:tab w:val="left" w:pos="720"/>
        </w:tabs>
        <w:bidi w:val="0"/>
      </w:pPr>
      <w:bookmarkStart w:id="22" w:name="_Toc779085997"/>
      <w:r>
        <w:rPr>
          <w:rFonts w:hint="eastAsia"/>
        </w:rPr>
        <w:t>相关风险描述</w:t>
      </w:r>
      <w:bookmarkEnd w:id="22"/>
    </w:p>
    <w:p>
      <w:pPr>
        <w:pStyle w:val="4"/>
        <w:numPr>
          <w:ilvl w:val="0"/>
          <w:numId w:val="10"/>
        </w:numPr>
        <w:ind w:left="845"/>
        <w:rPr>
          <w:b/>
          <w:bCs/>
        </w:rPr>
      </w:pPr>
      <w:r>
        <w:rPr>
          <w:rFonts w:hint="eastAsia"/>
          <w:b/>
          <w:bCs/>
        </w:rPr>
        <w:t>该功能需要注意的风险防范和补偿措施</w:t>
      </w:r>
    </w:p>
    <w:p>
      <w:pPr>
        <w:pStyle w:val="4"/>
        <w:bidi w:val="0"/>
        <w:rPr>
          <w:rFonts w:hint="eastAsia"/>
          <w:lang w:val="en-US" w:eastAsia="zh-CN"/>
        </w:rPr>
      </w:pPr>
      <w:r>
        <w:rPr>
          <w:rFonts w:hint="eastAsia"/>
          <w:lang w:val="en-US" w:eastAsia="zh-CN"/>
        </w:rPr>
        <w:t>无</w:t>
      </w:r>
    </w:p>
    <w:p>
      <w:pPr>
        <w:pStyle w:val="4"/>
        <w:numPr>
          <w:ilvl w:val="0"/>
          <w:numId w:val="10"/>
        </w:numPr>
        <w:ind w:left="845"/>
        <w:rPr>
          <w:b/>
          <w:bCs/>
        </w:rPr>
      </w:pPr>
      <w:r>
        <w:rPr>
          <w:rFonts w:hint="eastAsia"/>
          <w:b/>
          <w:bCs/>
        </w:rPr>
        <w:t>受影响的其他业务功能场景及需要注意的风险防范和补偿措施</w:t>
      </w:r>
    </w:p>
    <w:p>
      <w:pPr>
        <w:pStyle w:val="4"/>
        <w:bidi w:val="0"/>
        <w:rPr>
          <w:rFonts w:hint="default" w:eastAsia="宋体"/>
          <w:lang w:val="en-US" w:eastAsia="zh-CN"/>
        </w:rPr>
      </w:pPr>
      <w:r>
        <w:rPr>
          <w:rFonts w:hint="eastAsia" w:eastAsia="宋体"/>
          <w:lang w:val="en-US" w:eastAsia="zh-CN"/>
        </w:rPr>
        <w:t>无</w:t>
      </w:r>
      <w:r>
        <w:rPr>
          <w:rFonts w:hint="eastAsia" w:eastAsia="宋体"/>
          <w:lang w:val="en-US" w:eastAsia="zh-CN"/>
        </w:rPr>
        <w:tab/>
      </w:r>
    </w:p>
    <w:p>
      <w:pPr>
        <w:pStyle w:val="5"/>
        <w:tabs>
          <w:tab w:val="left" w:pos="720"/>
        </w:tabs>
        <w:bidi w:val="0"/>
        <w:rPr>
          <w:rFonts w:hint="eastAsia"/>
        </w:rPr>
      </w:pPr>
      <w:bookmarkStart w:id="23" w:name="_Toc890555820"/>
      <w:r>
        <w:rPr>
          <w:rFonts w:hint="eastAsia"/>
        </w:rPr>
        <w:t>差异化分析</w:t>
      </w:r>
      <w:bookmarkEnd w:id="23"/>
    </w:p>
    <w:p>
      <w:pPr>
        <w:pStyle w:val="4"/>
        <w:bidi w:val="0"/>
        <w:rPr>
          <w:rFonts w:hint="eastAsia"/>
          <w:lang w:val="en-US" w:eastAsia="zh-CN"/>
        </w:rPr>
      </w:pPr>
      <w:r>
        <w:rPr>
          <w:rFonts w:hint="eastAsia"/>
          <w:lang w:val="en-US" w:eastAsia="zh-CN"/>
        </w:rPr>
        <w:t>无</w:t>
      </w:r>
    </w:p>
    <w:p>
      <w:pPr>
        <w:pStyle w:val="5"/>
        <w:tabs>
          <w:tab w:val="left" w:pos="720"/>
        </w:tabs>
        <w:bidi w:val="0"/>
        <w:rPr>
          <w:rFonts w:hint="eastAsia"/>
          <w:lang w:val="en-US" w:eastAsia="zh-CN"/>
        </w:rPr>
      </w:pPr>
      <w:bookmarkStart w:id="24" w:name="_Toc1758130797"/>
      <w:r>
        <w:rPr>
          <w:rFonts w:hint="eastAsia"/>
        </w:rPr>
        <w:t>场景描述</w:t>
      </w:r>
      <w:bookmarkEnd w:id="24"/>
    </w:p>
    <w:p>
      <w:pPr>
        <w:pStyle w:val="4"/>
        <w:numPr>
          <w:ilvl w:val="0"/>
          <w:numId w:val="11"/>
        </w:numPr>
        <w:bidi w:val="0"/>
        <w:rPr>
          <w:rFonts w:hint="eastAsia"/>
          <w:lang w:val="en-US" w:eastAsia="zh-CN"/>
        </w:rPr>
      </w:pPr>
      <w:r>
        <w:rPr>
          <w:rFonts w:hint="eastAsia"/>
          <w:lang w:val="en-US" w:eastAsia="zh-CN"/>
        </w:rPr>
        <w:t>转贴现买入：交易银行部操作员可通过“转贴现买入查询-待签收”业务，查询待签收的转贴现票据批次列表信息，交易银行部操作员可对待签收的转贴现票据进行签收和拒绝操作。交易银行部操作员发起转贴现签收拒绝后，票据系统通知企业微信端贴现行终止交易；转贴现签收成功后，票据系统将转贴现签收成功信息分别通知企业微信端贴现行和交易银行部操作员。</w:t>
      </w:r>
    </w:p>
    <w:p>
      <w:pPr>
        <w:pStyle w:val="4"/>
        <w:numPr>
          <w:ilvl w:val="0"/>
          <w:numId w:val="11"/>
        </w:numPr>
        <w:bidi w:val="0"/>
        <w:ind w:left="0" w:leftChars="0" w:firstLine="480" w:firstLineChars="200"/>
        <w:rPr>
          <w:rFonts w:hint="default"/>
          <w:lang w:val="en-US" w:eastAsia="zh-CN"/>
        </w:rPr>
      </w:pPr>
      <w:r>
        <w:rPr>
          <w:rFonts w:hint="eastAsia"/>
          <w:strike w:val="0"/>
          <w:dstrike w:val="0"/>
          <w:lang w:val="en-US" w:eastAsia="zh-CN"/>
        </w:rPr>
        <w:t>转贴现买入查询：交易银行部操作员可通过“转贴现买入查询-签收结果查询”业务，进行转贴现买入结果查询操作</w:t>
      </w:r>
      <w:r>
        <w:rPr>
          <w:rFonts w:hint="eastAsia"/>
          <w:lang w:val="en-US" w:eastAsia="zh-CN"/>
        </w:rPr>
        <w:t>。</w:t>
      </w: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华文楷体">
    <w:altName w:val="方正楷体_GBK"/>
    <w:panose1 w:val="02010600040101010101"/>
    <w:charset w:val="86"/>
    <w:family w:val="auto"/>
    <w:pitch w:val="default"/>
    <w:sig w:usb0="00000000" w:usb1="0000000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方正楷体_GBK">
    <w:panose1 w:val="02000000000000000000"/>
    <w:charset w:val="86"/>
    <w:family w:val="auto"/>
    <w:pitch w:val="default"/>
    <w:sig w:usb0="A00002BF" w:usb1="38CF7CFA" w:usb2="00082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right="360"/>
      <w:jc w:val="both"/>
    </w:pPr>
    <w:r>
      <w:rPr>
        <w:rFonts w:hint="eastAsia"/>
      </w:rPr>
      <w:tab/>
    </w:r>
    <w:r>
      <w:rPr>
        <w:rFonts w:hint="eastAsia"/>
      </w:rPr>
      <w:t>第</w:t>
    </w:r>
    <w:r>
      <w:fldChar w:fldCharType="begin"/>
    </w:r>
    <w:r>
      <w:rPr>
        <w:rStyle w:val="24"/>
      </w:rPr>
      <w:instrText xml:space="preserve"> PAGE </w:instrText>
    </w:r>
    <w:r>
      <w:fldChar w:fldCharType="separate"/>
    </w:r>
    <w:r>
      <w:rPr>
        <w:rStyle w:val="24"/>
      </w:rPr>
      <w:t>6</w:t>
    </w:r>
    <w:r>
      <w:fldChar w:fldCharType="end"/>
    </w:r>
    <w:r>
      <w:rPr>
        <w:rStyle w:val="24"/>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jc w:val="right"/>
      <w:rPr>
        <w:rFonts w:hint="eastAsia"/>
        <w:lang w:val="en-US" w:eastAsia="zh-CN"/>
      </w:rPr>
    </w:pPr>
    <w:r>
      <w:rPr>
        <w:rFonts w:hint="eastAsia"/>
      </w:rPr>
      <w:t>西安银行软件项目</w:t>
    </w:r>
    <w:r>
      <w:rPr>
        <w:rFonts w:hint="eastAsia"/>
        <w:lang w:val="en-US" w:eastAsia="zh-CN"/>
      </w:rPr>
      <w:t>企业微信票据业务新增票据直转一体化</w:t>
    </w:r>
    <w:r>
      <w:rPr>
        <w:rFonts w:hint="eastAsia"/>
      </w:rPr>
      <w:t>需求</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FE5692"/>
    <w:multiLevelType w:val="singleLevel"/>
    <w:tmpl w:val="AEFE5692"/>
    <w:lvl w:ilvl="0" w:tentative="0">
      <w:start w:val="1"/>
      <w:numFmt w:val="decimal"/>
      <w:suff w:val="space"/>
      <w:lvlText w:val="%1."/>
      <w:lvlJc w:val="left"/>
    </w:lvl>
  </w:abstractNum>
  <w:abstractNum w:abstractNumId="1">
    <w:nsid w:val="B4773913"/>
    <w:multiLevelType w:val="singleLevel"/>
    <w:tmpl w:val="B4773913"/>
    <w:lvl w:ilvl="0" w:tentative="0">
      <w:start w:val="1"/>
      <w:numFmt w:val="decimal"/>
      <w:lvlText w:val="%1."/>
      <w:lvlJc w:val="left"/>
      <w:pPr>
        <w:ind w:left="425" w:hanging="425"/>
      </w:pPr>
      <w:rPr>
        <w:rFonts w:hint="default"/>
      </w:rPr>
    </w:lvl>
  </w:abstractNum>
  <w:abstractNum w:abstractNumId="2">
    <w:nsid w:val="B5BB6BA2"/>
    <w:multiLevelType w:val="singleLevel"/>
    <w:tmpl w:val="B5BB6BA2"/>
    <w:lvl w:ilvl="0" w:tentative="0">
      <w:start w:val="1"/>
      <w:numFmt w:val="decimal"/>
      <w:lvlText w:val="%1."/>
      <w:lvlJc w:val="left"/>
      <w:pPr>
        <w:ind w:left="425" w:hanging="425"/>
      </w:pPr>
      <w:rPr>
        <w:rFonts w:hint="default"/>
      </w:rPr>
    </w:lvl>
  </w:abstractNum>
  <w:abstractNum w:abstractNumId="3">
    <w:nsid w:val="CDF68AB5"/>
    <w:multiLevelType w:val="singleLevel"/>
    <w:tmpl w:val="CDF68AB5"/>
    <w:lvl w:ilvl="0" w:tentative="0">
      <w:start w:val="1"/>
      <w:numFmt w:val="decimal"/>
      <w:lvlText w:val="%1."/>
      <w:lvlJc w:val="left"/>
      <w:pPr>
        <w:ind w:left="425" w:hanging="425"/>
      </w:pPr>
      <w:rPr>
        <w:rFonts w:hint="default"/>
      </w:rPr>
    </w:lvl>
  </w:abstractNum>
  <w:abstractNum w:abstractNumId="4">
    <w:nsid w:val="DFE52B2D"/>
    <w:multiLevelType w:val="singleLevel"/>
    <w:tmpl w:val="DFE52B2D"/>
    <w:lvl w:ilvl="0" w:tentative="0">
      <w:start w:val="1"/>
      <w:numFmt w:val="decimal"/>
      <w:lvlText w:val="%1."/>
      <w:lvlJc w:val="left"/>
      <w:pPr>
        <w:ind w:left="425" w:hanging="425"/>
      </w:pPr>
      <w:rPr>
        <w:rFonts w:hint="default"/>
      </w:rPr>
    </w:lvl>
  </w:abstractNum>
  <w:abstractNum w:abstractNumId="5">
    <w:nsid w:val="FC7256EB"/>
    <w:multiLevelType w:val="singleLevel"/>
    <w:tmpl w:val="FC7256EB"/>
    <w:lvl w:ilvl="0" w:tentative="0">
      <w:start w:val="1"/>
      <w:numFmt w:val="decimal"/>
      <w:lvlText w:val="%1."/>
      <w:lvlJc w:val="left"/>
      <w:pPr>
        <w:ind w:left="425" w:hanging="425"/>
      </w:pPr>
      <w:rPr>
        <w:rFonts w:hint="default"/>
      </w:rPr>
    </w:lvl>
  </w:abstractNum>
  <w:abstractNum w:abstractNumId="6">
    <w:nsid w:val="FEF6BBA9"/>
    <w:multiLevelType w:val="singleLevel"/>
    <w:tmpl w:val="FEF6BBA9"/>
    <w:lvl w:ilvl="0" w:tentative="0">
      <w:start w:val="1"/>
      <w:numFmt w:val="decimal"/>
      <w:suff w:val="space"/>
      <w:lvlText w:val="%1."/>
      <w:lvlJc w:val="left"/>
    </w:lvl>
  </w:abstractNum>
  <w:abstractNum w:abstractNumId="7">
    <w:nsid w:val="4DBDCB09"/>
    <w:multiLevelType w:val="singleLevel"/>
    <w:tmpl w:val="4DBDCB09"/>
    <w:lvl w:ilvl="0" w:tentative="0">
      <w:start w:val="1"/>
      <w:numFmt w:val="decimal"/>
      <w:lvlText w:val="%1."/>
      <w:lvlJc w:val="left"/>
      <w:pPr>
        <w:ind w:left="425" w:hanging="425"/>
      </w:pPr>
      <w:rPr>
        <w:rFonts w:hint="default"/>
      </w:rPr>
    </w:lvl>
  </w:abstractNum>
  <w:abstractNum w:abstractNumId="8">
    <w:nsid w:val="5EC50EE5"/>
    <w:multiLevelType w:val="singleLevel"/>
    <w:tmpl w:val="5EC50EE5"/>
    <w:lvl w:ilvl="0" w:tentative="0">
      <w:start w:val="1"/>
      <w:numFmt w:val="decimal"/>
      <w:lvlText w:val="%1."/>
      <w:lvlJc w:val="left"/>
      <w:pPr>
        <w:ind w:left="425" w:hanging="425"/>
      </w:pPr>
      <w:rPr>
        <w:rFonts w:hint="default"/>
      </w:rPr>
    </w:lvl>
  </w:abstractNum>
  <w:abstractNum w:abstractNumId="9">
    <w:nsid w:val="60910782"/>
    <w:multiLevelType w:val="multilevel"/>
    <w:tmpl w:val="60910782"/>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5"/>
      <w:lvlText w:val="%1.%2.%3."/>
      <w:lvlJc w:val="left"/>
      <w:pPr>
        <w:ind w:left="720" w:hanging="720"/>
      </w:pPr>
      <w:rPr>
        <w:rFonts w:hint="default"/>
      </w:rPr>
    </w:lvl>
    <w:lvl w:ilvl="3" w:tentative="0">
      <w:start w:val="1"/>
      <w:numFmt w:val="decimal"/>
      <w:pStyle w:val="6"/>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10">
    <w:nsid w:val="6E7B8DC6"/>
    <w:multiLevelType w:val="singleLevel"/>
    <w:tmpl w:val="6E7B8DC6"/>
    <w:lvl w:ilvl="0" w:tentative="0">
      <w:start w:val="1"/>
      <w:numFmt w:val="decimal"/>
      <w:lvlText w:val="%1."/>
      <w:lvlJc w:val="left"/>
      <w:pPr>
        <w:ind w:left="425" w:hanging="425"/>
      </w:pPr>
      <w:rPr>
        <w:rFonts w:hint="default"/>
      </w:rPr>
    </w:lvl>
  </w:abstractNum>
  <w:num w:numId="1">
    <w:abstractNumId w:val="9"/>
  </w:num>
  <w:num w:numId="2">
    <w:abstractNumId w:val="3"/>
  </w:num>
  <w:num w:numId="3">
    <w:abstractNumId w:val="10"/>
  </w:num>
  <w:num w:numId="4">
    <w:abstractNumId w:val="1"/>
  </w:num>
  <w:num w:numId="5">
    <w:abstractNumId w:val="8"/>
  </w:num>
  <w:num w:numId="6">
    <w:abstractNumId w:val="6"/>
  </w:num>
  <w:num w:numId="7">
    <w:abstractNumId w:val="4"/>
  </w:num>
  <w:num w:numId="8">
    <w:abstractNumId w:val="7"/>
  </w:num>
  <w:num w:numId="9">
    <w:abstractNumId w:val="5"/>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ZjNDY0NDc5MWU4MmI3ZGE4MDgxYjA5N2RmMTljOWMifQ=="/>
  </w:docVars>
  <w:rsids>
    <w:rsidRoot w:val="21983CCC"/>
    <w:rsid w:val="000A33A1"/>
    <w:rsid w:val="00897F78"/>
    <w:rsid w:val="008C6C96"/>
    <w:rsid w:val="01222B60"/>
    <w:rsid w:val="01431C3D"/>
    <w:rsid w:val="014F219D"/>
    <w:rsid w:val="015772A4"/>
    <w:rsid w:val="01675739"/>
    <w:rsid w:val="01783713"/>
    <w:rsid w:val="018F0913"/>
    <w:rsid w:val="01A83E16"/>
    <w:rsid w:val="01E51C33"/>
    <w:rsid w:val="02201D8C"/>
    <w:rsid w:val="025D08EA"/>
    <w:rsid w:val="028C628A"/>
    <w:rsid w:val="02B50F02"/>
    <w:rsid w:val="02CB3234"/>
    <w:rsid w:val="02E81B31"/>
    <w:rsid w:val="02EE59E6"/>
    <w:rsid w:val="02F41C86"/>
    <w:rsid w:val="03092820"/>
    <w:rsid w:val="034D2547"/>
    <w:rsid w:val="038C112E"/>
    <w:rsid w:val="03A541FB"/>
    <w:rsid w:val="03A67F76"/>
    <w:rsid w:val="03D66BA6"/>
    <w:rsid w:val="04090D29"/>
    <w:rsid w:val="041D47D5"/>
    <w:rsid w:val="04277401"/>
    <w:rsid w:val="04A12A4D"/>
    <w:rsid w:val="04AC332C"/>
    <w:rsid w:val="05051AC7"/>
    <w:rsid w:val="05062DF9"/>
    <w:rsid w:val="052B1670"/>
    <w:rsid w:val="0570354F"/>
    <w:rsid w:val="05C25634"/>
    <w:rsid w:val="05D57976"/>
    <w:rsid w:val="05D72FA2"/>
    <w:rsid w:val="05E05ABA"/>
    <w:rsid w:val="064C3B0D"/>
    <w:rsid w:val="06AB009E"/>
    <w:rsid w:val="06BA0457"/>
    <w:rsid w:val="06C036D3"/>
    <w:rsid w:val="06E710CA"/>
    <w:rsid w:val="06EE2458"/>
    <w:rsid w:val="07603356"/>
    <w:rsid w:val="07660241"/>
    <w:rsid w:val="079B438E"/>
    <w:rsid w:val="07D05639"/>
    <w:rsid w:val="0800623E"/>
    <w:rsid w:val="08025FA4"/>
    <w:rsid w:val="082A5523"/>
    <w:rsid w:val="08524981"/>
    <w:rsid w:val="086F1377"/>
    <w:rsid w:val="08713341"/>
    <w:rsid w:val="08841C0F"/>
    <w:rsid w:val="0897033B"/>
    <w:rsid w:val="08A52E38"/>
    <w:rsid w:val="08BC0A60"/>
    <w:rsid w:val="08BD2864"/>
    <w:rsid w:val="090B4829"/>
    <w:rsid w:val="09207EA3"/>
    <w:rsid w:val="093A7BD7"/>
    <w:rsid w:val="09736C45"/>
    <w:rsid w:val="097F4C99"/>
    <w:rsid w:val="0A20762F"/>
    <w:rsid w:val="0A21382F"/>
    <w:rsid w:val="0A9B46A5"/>
    <w:rsid w:val="0AA7304A"/>
    <w:rsid w:val="0B16361E"/>
    <w:rsid w:val="0B293C38"/>
    <w:rsid w:val="0B325009"/>
    <w:rsid w:val="0B340C82"/>
    <w:rsid w:val="0B3A138F"/>
    <w:rsid w:val="0B460AB5"/>
    <w:rsid w:val="0B584DA1"/>
    <w:rsid w:val="0B835EE6"/>
    <w:rsid w:val="0B871E89"/>
    <w:rsid w:val="0B8E7D66"/>
    <w:rsid w:val="0BA6790D"/>
    <w:rsid w:val="0BD51D23"/>
    <w:rsid w:val="0BF70001"/>
    <w:rsid w:val="0BFB1A79"/>
    <w:rsid w:val="0C5C29BB"/>
    <w:rsid w:val="0C6344DB"/>
    <w:rsid w:val="0CA27F6D"/>
    <w:rsid w:val="0CA43DE6"/>
    <w:rsid w:val="0CD8050E"/>
    <w:rsid w:val="0CF54541"/>
    <w:rsid w:val="0D611BD6"/>
    <w:rsid w:val="0DF43F73"/>
    <w:rsid w:val="0DF90060"/>
    <w:rsid w:val="0E08678C"/>
    <w:rsid w:val="0E2B5D40"/>
    <w:rsid w:val="0E5A0FFA"/>
    <w:rsid w:val="0E9E5C08"/>
    <w:rsid w:val="0F4114E8"/>
    <w:rsid w:val="0F4C2412"/>
    <w:rsid w:val="0F6F1C49"/>
    <w:rsid w:val="0FE2071D"/>
    <w:rsid w:val="10207B26"/>
    <w:rsid w:val="105C6685"/>
    <w:rsid w:val="106F04BE"/>
    <w:rsid w:val="107C2883"/>
    <w:rsid w:val="108D4A90"/>
    <w:rsid w:val="109C4CD3"/>
    <w:rsid w:val="10B226B6"/>
    <w:rsid w:val="10D8453A"/>
    <w:rsid w:val="10F62635"/>
    <w:rsid w:val="11105D46"/>
    <w:rsid w:val="111451B1"/>
    <w:rsid w:val="11665A0D"/>
    <w:rsid w:val="11E22BBA"/>
    <w:rsid w:val="11F8418B"/>
    <w:rsid w:val="120B2D5A"/>
    <w:rsid w:val="12282624"/>
    <w:rsid w:val="124629D9"/>
    <w:rsid w:val="124C2E2E"/>
    <w:rsid w:val="126B0E01"/>
    <w:rsid w:val="12C549B5"/>
    <w:rsid w:val="130926E9"/>
    <w:rsid w:val="13160D39"/>
    <w:rsid w:val="1332191F"/>
    <w:rsid w:val="13541895"/>
    <w:rsid w:val="13855EF2"/>
    <w:rsid w:val="13C57211"/>
    <w:rsid w:val="143B0866"/>
    <w:rsid w:val="145A5D58"/>
    <w:rsid w:val="146D5DCC"/>
    <w:rsid w:val="1470712F"/>
    <w:rsid w:val="14B30BD5"/>
    <w:rsid w:val="14B720DC"/>
    <w:rsid w:val="14C03686"/>
    <w:rsid w:val="14E32ED1"/>
    <w:rsid w:val="14E97179"/>
    <w:rsid w:val="150A2B53"/>
    <w:rsid w:val="15510782"/>
    <w:rsid w:val="15585F50"/>
    <w:rsid w:val="15593193"/>
    <w:rsid w:val="15932B49"/>
    <w:rsid w:val="15B50385"/>
    <w:rsid w:val="15B50F51"/>
    <w:rsid w:val="15C2342E"/>
    <w:rsid w:val="15D60C87"/>
    <w:rsid w:val="15E86C31"/>
    <w:rsid w:val="16290DB7"/>
    <w:rsid w:val="16610551"/>
    <w:rsid w:val="16770D10"/>
    <w:rsid w:val="16CB1E6E"/>
    <w:rsid w:val="16D06D6A"/>
    <w:rsid w:val="16E71CC5"/>
    <w:rsid w:val="17125CEF"/>
    <w:rsid w:val="1720665E"/>
    <w:rsid w:val="17233A58"/>
    <w:rsid w:val="17307E20"/>
    <w:rsid w:val="17585637"/>
    <w:rsid w:val="177E671F"/>
    <w:rsid w:val="17D17567"/>
    <w:rsid w:val="17DE15C4"/>
    <w:rsid w:val="17F85D03"/>
    <w:rsid w:val="18441ED8"/>
    <w:rsid w:val="18470E5D"/>
    <w:rsid w:val="188F1A4B"/>
    <w:rsid w:val="189A2440"/>
    <w:rsid w:val="19145351"/>
    <w:rsid w:val="19397563"/>
    <w:rsid w:val="1945139C"/>
    <w:rsid w:val="195E346D"/>
    <w:rsid w:val="197761E6"/>
    <w:rsid w:val="197B8C22"/>
    <w:rsid w:val="198418C7"/>
    <w:rsid w:val="199319F8"/>
    <w:rsid w:val="19E62F0B"/>
    <w:rsid w:val="19EC0A79"/>
    <w:rsid w:val="1A004525"/>
    <w:rsid w:val="1A2B024E"/>
    <w:rsid w:val="1AB01AA7"/>
    <w:rsid w:val="1ABC0073"/>
    <w:rsid w:val="1ABD4133"/>
    <w:rsid w:val="1AC15A62"/>
    <w:rsid w:val="1AE6371B"/>
    <w:rsid w:val="1B13014B"/>
    <w:rsid w:val="1B412D32"/>
    <w:rsid w:val="1B57375F"/>
    <w:rsid w:val="1B7A4A13"/>
    <w:rsid w:val="1BB05B34"/>
    <w:rsid w:val="1BE7774A"/>
    <w:rsid w:val="1C3A5A50"/>
    <w:rsid w:val="1C6C7C4F"/>
    <w:rsid w:val="1C741F74"/>
    <w:rsid w:val="1CA53161"/>
    <w:rsid w:val="1CB3762C"/>
    <w:rsid w:val="1CDA2E0B"/>
    <w:rsid w:val="1CE4118F"/>
    <w:rsid w:val="1CEB5018"/>
    <w:rsid w:val="1D0B2024"/>
    <w:rsid w:val="1D44287F"/>
    <w:rsid w:val="1D595274"/>
    <w:rsid w:val="1D6C29D0"/>
    <w:rsid w:val="1D8F2E08"/>
    <w:rsid w:val="1DA96856"/>
    <w:rsid w:val="1DC85359"/>
    <w:rsid w:val="1DF24184"/>
    <w:rsid w:val="1E09427B"/>
    <w:rsid w:val="1E307A11"/>
    <w:rsid w:val="1E4E3AB1"/>
    <w:rsid w:val="1EA549C9"/>
    <w:rsid w:val="1EBB0A1A"/>
    <w:rsid w:val="1F10520A"/>
    <w:rsid w:val="1F3A4035"/>
    <w:rsid w:val="1F4B6242"/>
    <w:rsid w:val="1F605702"/>
    <w:rsid w:val="1F777037"/>
    <w:rsid w:val="1FB57B59"/>
    <w:rsid w:val="1FB77434"/>
    <w:rsid w:val="1FBF453A"/>
    <w:rsid w:val="20212DCC"/>
    <w:rsid w:val="2039621B"/>
    <w:rsid w:val="20484530"/>
    <w:rsid w:val="20920A50"/>
    <w:rsid w:val="210D2B5B"/>
    <w:rsid w:val="2116462E"/>
    <w:rsid w:val="212E1977"/>
    <w:rsid w:val="213571AA"/>
    <w:rsid w:val="213C1937"/>
    <w:rsid w:val="217A0030"/>
    <w:rsid w:val="21871088"/>
    <w:rsid w:val="21983CCC"/>
    <w:rsid w:val="21A346F6"/>
    <w:rsid w:val="21AD4F92"/>
    <w:rsid w:val="21CE6CB6"/>
    <w:rsid w:val="21DA565B"/>
    <w:rsid w:val="21F4496F"/>
    <w:rsid w:val="21F81D7D"/>
    <w:rsid w:val="21FA7AAB"/>
    <w:rsid w:val="220C7D44"/>
    <w:rsid w:val="221D3044"/>
    <w:rsid w:val="22576CAC"/>
    <w:rsid w:val="22731EB6"/>
    <w:rsid w:val="228F28EA"/>
    <w:rsid w:val="22970932"/>
    <w:rsid w:val="22B86CD9"/>
    <w:rsid w:val="22E91FFA"/>
    <w:rsid w:val="23244644"/>
    <w:rsid w:val="2338787B"/>
    <w:rsid w:val="23B975A0"/>
    <w:rsid w:val="24294678"/>
    <w:rsid w:val="245331CC"/>
    <w:rsid w:val="245F7273"/>
    <w:rsid w:val="247973AD"/>
    <w:rsid w:val="24942439"/>
    <w:rsid w:val="24A0025B"/>
    <w:rsid w:val="24BB79C6"/>
    <w:rsid w:val="24C543A1"/>
    <w:rsid w:val="24D12D46"/>
    <w:rsid w:val="24D32F62"/>
    <w:rsid w:val="24ED7495"/>
    <w:rsid w:val="24FC01C3"/>
    <w:rsid w:val="25071E01"/>
    <w:rsid w:val="2517428B"/>
    <w:rsid w:val="25607FA6"/>
    <w:rsid w:val="2580296E"/>
    <w:rsid w:val="258A1146"/>
    <w:rsid w:val="25A805AA"/>
    <w:rsid w:val="25B70FF0"/>
    <w:rsid w:val="25F52A64"/>
    <w:rsid w:val="263E440B"/>
    <w:rsid w:val="26552BE2"/>
    <w:rsid w:val="265C6F87"/>
    <w:rsid w:val="26741004"/>
    <w:rsid w:val="26DE799C"/>
    <w:rsid w:val="26E03714"/>
    <w:rsid w:val="272E4725"/>
    <w:rsid w:val="27814EF7"/>
    <w:rsid w:val="279B763B"/>
    <w:rsid w:val="27BF23F3"/>
    <w:rsid w:val="27DA0163"/>
    <w:rsid w:val="27E7D788"/>
    <w:rsid w:val="28416434"/>
    <w:rsid w:val="286B34B1"/>
    <w:rsid w:val="287A36F4"/>
    <w:rsid w:val="287B7B98"/>
    <w:rsid w:val="288B5901"/>
    <w:rsid w:val="28956780"/>
    <w:rsid w:val="294C32E2"/>
    <w:rsid w:val="2996630C"/>
    <w:rsid w:val="299918A1"/>
    <w:rsid w:val="29BB478D"/>
    <w:rsid w:val="29CF0E65"/>
    <w:rsid w:val="29E7057C"/>
    <w:rsid w:val="29FA689B"/>
    <w:rsid w:val="2A2808B3"/>
    <w:rsid w:val="2A2B2EF8"/>
    <w:rsid w:val="2A470A39"/>
    <w:rsid w:val="2A631A2D"/>
    <w:rsid w:val="2A7566BD"/>
    <w:rsid w:val="2AF77789"/>
    <w:rsid w:val="2B1C0A93"/>
    <w:rsid w:val="2B481888"/>
    <w:rsid w:val="2B674404"/>
    <w:rsid w:val="2B8F7466"/>
    <w:rsid w:val="2BD976C9"/>
    <w:rsid w:val="2BEF9AE1"/>
    <w:rsid w:val="2BF205F3"/>
    <w:rsid w:val="2C047EA4"/>
    <w:rsid w:val="2C153990"/>
    <w:rsid w:val="2C182D0C"/>
    <w:rsid w:val="2C207B38"/>
    <w:rsid w:val="2C2E4F21"/>
    <w:rsid w:val="2C5D5807"/>
    <w:rsid w:val="2C892158"/>
    <w:rsid w:val="2C8B0BF0"/>
    <w:rsid w:val="2CAC09AD"/>
    <w:rsid w:val="2CBF6C92"/>
    <w:rsid w:val="2D151C3D"/>
    <w:rsid w:val="2D2B654F"/>
    <w:rsid w:val="2D2C76B3"/>
    <w:rsid w:val="2DD85145"/>
    <w:rsid w:val="2E192E94"/>
    <w:rsid w:val="2E2F375B"/>
    <w:rsid w:val="2E3F39C1"/>
    <w:rsid w:val="2E81638C"/>
    <w:rsid w:val="2EB40EB4"/>
    <w:rsid w:val="2ED578D6"/>
    <w:rsid w:val="2F175B37"/>
    <w:rsid w:val="2F361BF4"/>
    <w:rsid w:val="2F6B1FE9"/>
    <w:rsid w:val="2FAD1DFD"/>
    <w:rsid w:val="2FBED27D"/>
    <w:rsid w:val="2FEC137B"/>
    <w:rsid w:val="2FFA0078"/>
    <w:rsid w:val="2FFCCF37"/>
    <w:rsid w:val="30087837"/>
    <w:rsid w:val="302D7172"/>
    <w:rsid w:val="30366D3E"/>
    <w:rsid w:val="306A1EEC"/>
    <w:rsid w:val="307D1C7D"/>
    <w:rsid w:val="30874C00"/>
    <w:rsid w:val="309C7E8C"/>
    <w:rsid w:val="30C23E8A"/>
    <w:rsid w:val="316B3F37"/>
    <w:rsid w:val="318F6462"/>
    <w:rsid w:val="31A87524"/>
    <w:rsid w:val="31B00187"/>
    <w:rsid w:val="31F3494A"/>
    <w:rsid w:val="320A3B2C"/>
    <w:rsid w:val="3260395B"/>
    <w:rsid w:val="32696CB3"/>
    <w:rsid w:val="327959C9"/>
    <w:rsid w:val="327F0285"/>
    <w:rsid w:val="32C95E16"/>
    <w:rsid w:val="330C2839"/>
    <w:rsid w:val="332350B4"/>
    <w:rsid w:val="332B5ADF"/>
    <w:rsid w:val="33721B98"/>
    <w:rsid w:val="33785E6A"/>
    <w:rsid w:val="33A5075F"/>
    <w:rsid w:val="33AC109C"/>
    <w:rsid w:val="33C7204D"/>
    <w:rsid w:val="33D804C6"/>
    <w:rsid w:val="34143EC1"/>
    <w:rsid w:val="342D5ABF"/>
    <w:rsid w:val="34634E5B"/>
    <w:rsid w:val="346548A3"/>
    <w:rsid w:val="348778C5"/>
    <w:rsid w:val="349A4A49"/>
    <w:rsid w:val="34E24AFB"/>
    <w:rsid w:val="34EA5654"/>
    <w:rsid w:val="34F52A80"/>
    <w:rsid w:val="363A6674"/>
    <w:rsid w:val="366D6646"/>
    <w:rsid w:val="36AD414F"/>
    <w:rsid w:val="36FD3E6E"/>
    <w:rsid w:val="375004A1"/>
    <w:rsid w:val="38044FC4"/>
    <w:rsid w:val="3845787B"/>
    <w:rsid w:val="38843B8C"/>
    <w:rsid w:val="388F0AF6"/>
    <w:rsid w:val="389D1465"/>
    <w:rsid w:val="38B850BD"/>
    <w:rsid w:val="38DE55D9"/>
    <w:rsid w:val="393D2C48"/>
    <w:rsid w:val="3941614C"/>
    <w:rsid w:val="397B2F8E"/>
    <w:rsid w:val="3980371B"/>
    <w:rsid w:val="398443D3"/>
    <w:rsid w:val="39904B26"/>
    <w:rsid w:val="39BA46DC"/>
    <w:rsid w:val="39E12752"/>
    <w:rsid w:val="39F633AC"/>
    <w:rsid w:val="3A4818A4"/>
    <w:rsid w:val="3A7F1DCD"/>
    <w:rsid w:val="3A8A3559"/>
    <w:rsid w:val="3ABA0584"/>
    <w:rsid w:val="3B353EE9"/>
    <w:rsid w:val="3B7255D4"/>
    <w:rsid w:val="3B930C25"/>
    <w:rsid w:val="3BA96372"/>
    <w:rsid w:val="3BAC19BF"/>
    <w:rsid w:val="3BD73BB5"/>
    <w:rsid w:val="3BE3142E"/>
    <w:rsid w:val="3BE42E37"/>
    <w:rsid w:val="3C5067EE"/>
    <w:rsid w:val="3C5E53AF"/>
    <w:rsid w:val="3C6368D6"/>
    <w:rsid w:val="3C8F3B0A"/>
    <w:rsid w:val="3CBE25E8"/>
    <w:rsid w:val="3CF47AC1"/>
    <w:rsid w:val="3CFD5C00"/>
    <w:rsid w:val="3D2008B6"/>
    <w:rsid w:val="3D421EAB"/>
    <w:rsid w:val="3D6D16AB"/>
    <w:rsid w:val="3D72372C"/>
    <w:rsid w:val="3D9B1CEB"/>
    <w:rsid w:val="3D9D25E4"/>
    <w:rsid w:val="3DA34E3B"/>
    <w:rsid w:val="3DBC7EA9"/>
    <w:rsid w:val="3DD37196"/>
    <w:rsid w:val="3DF8D8E3"/>
    <w:rsid w:val="3E2B12C1"/>
    <w:rsid w:val="3E4342E9"/>
    <w:rsid w:val="3E46434D"/>
    <w:rsid w:val="3E5F88C0"/>
    <w:rsid w:val="3E8F4C29"/>
    <w:rsid w:val="3EA370A9"/>
    <w:rsid w:val="3EE3071E"/>
    <w:rsid w:val="3F3019F6"/>
    <w:rsid w:val="3F7D5B4C"/>
    <w:rsid w:val="3F7FCFC7"/>
    <w:rsid w:val="3F8D6398"/>
    <w:rsid w:val="3FB20F88"/>
    <w:rsid w:val="3FB3DDFD"/>
    <w:rsid w:val="3FECBACE"/>
    <w:rsid w:val="3FEE53A6"/>
    <w:rsid w:val="400E27EA"/>
    <w:rsid w:val="40242563"/>
    <w:rsid w:val="40291830"/>
    <w:rsid w:val="408B0022"/>
    <w:rsid w:val="40980764"/>
    <w:rsid w:val="40BE641C"/>
    <w:rsid w:val="40CA7CD4"/>
    <w:rsid w:val="40E862DB"/>
    <w:rsid w:val="40E90FBF"/>
    <w:rsid w:val="40FC4058"/>
    <w:rsid w:val="41106543"/>
    <w:rsid w:val="41734BB4"/>
    <w:rsid w:val="4187580D"/>
    <w:rsid w:val="41BC3D02"/>
    <w:rsid w:val="41F61BE6"/>
    <w:rsid w:val="424B3CDF"/>
    <w:rsid w:val="42A20D5C"/>
    <w:rsid w:val="42D24401"/>
    <w:rsid w:val="42F021AA"/>
    <w:rsid w:val="43090CD0"/>
    <w:rsid w:val="43291B47"/>
    <w:rsid w:val="432E404D"/>
    <w:rsid w:val="43432C09"/>
    <w:rsid w:val="434A033A"/>
    <w:rsid w:val="434B2730"/>
    <w:rsid w:val="435F70FB"/>
    <w:rsid w:val="436A4639"/>
    <w:rsid w:val="438D1254"/>
    <w:rsid w:val="43A318F9"/>
    <w:rsid w:val="43B65AD0"/>
    <w:rsid w:val="43BF715A"/>
    <w:rsid w:val="43D95FFF"/>
    <w:rsid w:val="43DD54DD"/>
    <w:rsid w:val="43FC7370"/>
    <w:rsid w:val="44153252"/>
    <w:rsid w:val="443D1D4E"/>
    <w:rsid w:val="4441183E"/>
    <w:rsid w:val="447E5D6C"/>
    <w:rsid w:val="44AD6F8C"/>
    <w:rsid w:val="44C52FBC"/>
    <w:rsid w:val="44F00B6E"/>
    <w:rsid w:val="451A5F22"/>
    <w:rsid w:val="452627E2"/>
    <w:rsid w:val="453F38A4"/>
    <w:rsid w:val="4541586E"/>
    <w:rsid w:val="45521829"/>
    <w:rsid w:val="456E62DB"/>
    <w:rsid w:val="459534C4"/>
    <w:rsid w:val="459C534C"/>
    <w:rsid w:val="45A533CA"/>
    <w:rsid w:val="45A81449"/>
    <w:rsid w:val="45B84A42"/>
    <w:rsid w:val="45E701C3"/>
    <w:rsid w:val="45EA7652"/>
    <w:rsid w:val="46164604"/>
    <w:rsid w:val="4622744D"/>
    <w:rsid w:val="466A28FD"/>
    <w:rsid w:val="466C59DF"/>
    <w:rsid w:val="46AA2F9F"/>
    <w:rsid w:val="46E63A89"/>
    <w:rsid w:val="46FC37FA"/>
    <w:rsid w:val="473F1DA3"/>
    <w:rsid w:val="47534946"/>
    <w:rsid w:val="475565F6"/>
    <w:rsid w:val="47677C4E"/>
    <w:rsid w:val="47BB1907"/>
    <w:rsid w:val="47F95F8C"/>
    <w:rsid w:val="48382F58"/>
    <w:rsid w:val="48632A01"/>
    <w:rsid w:val="486432C4"/>
    <w:rsid w:val="48BE1D3C"/>
    <w:rsid w:val="48D56167"/>
    <w:rsid w:val="48F826E7"/>
    <w:rsid w:val="492E1B1D"/>
    <w:rsid w:val="49366D6C"/>
    <w:rsid w:val="49423962"/>
    <w:rsid w:val="49853685"/>
    <w:rsid w:val="49920446"/>
    <w:rsid w:val="49CA1E8F"/>
    <w:rsid w:val="49CF3D92"/>
    <w:rsid w:val="49FA3C27"/>
    <w:rsid w:val="4A1306EB"/>
    <w:rsid w:val="4A17094B"/>
    <w:rsid w:val="4A181C87"/>
    <w:rsid w:val="4A477482"/>
    <w:rsid w:val="4A4F1729"/>
    <w:rsid w:val="4A705EC8"/>
    <w:rsid w:val="4A737E99"/>
    <w:rsid w:val="4A9138C5"/>
    <w:rsid w:val="4AA67DAC"/>
    <w:rsid w:val="4AB34B18"/>
    <w:rsid w:val="4B133ECE"/>
    <w:rsid w:val="4B3D4EB9"/>
    <w:rsid w:val="4B441C14"/>
    <w:rsid w:val="4B55797D"/>
    <w:rsid w:val="4B7122DD"/>
    <w:rsid w:val="4BA12BC2"/>
    <w:rsid w:val="4BAF026C"/>
    <w:rsid w:val="4C015FDB"/>
    <w:rsid w:val="4C0373D9"/>
    <w:rsid w:val="4C127068"/>
    <w:rsid w:val="4C402BF7"/>
    <w:rsid w:val="4C4C538B"/>
    <w:rsid w:val="4C520360"/>
    <w:rsid w:val="4C54488D"/>
    <w:rsid w:val="4C596450"/>
    <w:rsid w:val="4C600F41"/>
    <w:rsid w:val="4C9E35A6"/>
    <w:rsid w:val="4CD174D7"/>
    <w:rsid w:val="4CD314A1"/>
    <w:rsid w:val="4D001B6A"/>
    <w:rsid w:val="4D07448D"/>
    <w:rsid w:val="4D484DFC"/>
    <w:rsid w:val="4DD03C33"/>
    <w:rsid w:val="4DE003D0"/>
    <w:rsid w:val="4E133EA7"/>
    <w:rsid w:val="4E1E0386"/>
    <w:rsid w:val="4E2B226F"/>
    <w:rsid w:val="4E322D57"/>
    <w:rsid w:val="4E4769E3"/>
    <w:rsid w:val="4E564138"/>
    <w:rsid w:val="4E5C46C4"/>
    <w:rsid w:val="4EBD41B7"/>
    <w:rsid w:val="4F4676C9"/>
    <w:rsid w:val="4F5D32A4"/>
    <w:rsid w:val="4F6373D5"/>
    <w:rsid w:val="4F642884"/>
    <w:rsid w:val="4F691C49"/>
    <w:rsid w:val="4F6FAF81"/>
    <w:rsid w:val="4F74239C"/>
    <w:rsid w:val="4F936CC6"/>
    <w:rsid w:val="4F94359E"/>
    <w:rsid w:val="4F965725"/>
    <w:rsid w:val="4FFA5659"/>
    <w:rsid w:val="501D7CA0"/>
    <w:rsid w:val="50506033"/>
    <w:rsid w:val="508437B4"/>
    <w:rsid w:val="50B37E70"/>
    <w:rsid w:val="50B82E88"/>
    <w:rsid w:val="50C51101"/>
    <w:rsid w:val="51640784"/>
    <w:rsid w:val="5190642C"/>
    <w:rsid w:val="51D6733E"/>
    <w:rsid w:val="51E63A25"/>
    <w:rsid w:val="51F8461D"/>
    <w:rsid w:val="5255311F"/>
    <w:rsid w:val="5257222D"/>
    <w:rsid w:val="525E58F2"/>
    <w:rsid w:val="52C04276"/>
    <w:rsid w:val="52CB6E2F"/>
    <w:rsid w:val="52DC0984"/>
    <w:rsid w:val="52F97788"/>
    <w:rsid w:val="530F7219"/>
    <w:rsid w:val="53160B7D"/>
    <w:rsid w:val="53221A51"/>
    <w:rsid w:val="532E5683"/>
    <w:rsid w:val="53715570"/>
    <w:rsid w:val="537B019D"/>
    <w:rsid w:val="538B0AE9"/>
    <w:rsid w:val="539A4696"/>
    <w:rsid w:val="53C636D4"/>
    <w:rsid w:val="53D310DE"/>
    <w:rsid w:val="53EC4BF7"/>
    <w:rsid w:val="53F17BE3"/>
    <w:rsid w:val="540939FA"/>
    <w:rsid w:val="547E6196"/>
    <w:rsid w:val="54C37BFE"/>
    <w:rsid w:val="54C82262"/>
    <w:rsid w:val="54E104D3"/>
    <w:rsid w:val="54E522C9"/>
    <w:rsid w:val="55055618"/>
    <w:rsid w:val="551D58EF"/>
    <w:rsid w:val="55575199"/>
    <w:rsid w:val="556D1825"/>
    <w:rsid w:val="55A8040D"/>
    <w:rsid w:val="56222B52"/>
    <w:rsid w:val="56350AD7"/>
    <w:rsid w:val="563F993C"/>
    <w:rsid w:val="56431446"/>
    <w:rsid w:val="566E223B"/>
    <w:rsid w:val="567F7744"/>
    <w:rsid w:val="56E52D99"/>
    <w:rsid w:val="56E96193"/>
    <w:rsid w:val="56FF8151"/>
    <w:rsid w:val="57193F55"/>
    <w:rsid w:val="573B5557"/>
    <w:rsid w:val="577675F9"/>
    <w:rsid w:val="57814C4E"/>
    <w:rsid w:val="57CF227D"/>
    <w:rsid w:val="57FF139C"/>
    <w:rsid w:val="58176868"/>
    <w:rsid w:val="582B6BEF"/>
    <w:rsid w:val="58624705"/>
    <w:rsid w:val="58670CF0"/>
    <w:rsid w:val="58B35FAB"/>
    <w:rsid w:val="58B54151"/>
    <w:rsid w:val="58BA0753"/>
    <w:rsid w:val="59237831"/>
    <w:rsid w:val="59295FCC"/>
    <w:rsid w:val="59352B9C"/>
    <w:rsid w:val="59411541"/>
    <w:rsid w:val="59502F8F"/>
    <w:rsid w:val="595474C6"/>
    <w:rsid w:val="596736F4"/>
    <w:rsid w:val="59887321"/>
    <w:rsid w:val="59A230E8"/>
    <w:rsid w:val="59B461B6"/>
    <w:rsid w:val="59D6437F"/>
    <w:rsid w:val="59DB67B6"/>
    <w:rsid w:val="59E051FD"/>
    <w:rsid w:val="5A2B3229"/>
    <w:rsid w:val="5A343C1C"/>
    <w:rsid w:val="5A4E660B"/>
    <w:rsid w:val="5A561CCE"/>
    <w:rsid w:val="5A965153"/>
    <w:rsid w:val="5ACE14FA"/>
    <w:rsid w:val="5AF819B5"/>
    <w:rsid w:val="5BAB86B5"/>
    <w:rsid w:val="5BBB5CEC"/>
    <w:rsid w:val="5BC528FD"/>
    <w:rsid w:val="5BCA3A6F"/>
    <w:rsid w:val="5BD24C71"/>
    <w:rsid w:val="5BEFC427"/>
    <w:rsid w:val="5C427AAA"/>
    <w:rsid w:val="5C55127E"/>
    <w:rsid w:val="5C6ED808"/>
    <w:rsid w:val="5C904CB9"/>
    <w:rsid w:val="5CC04E72"/>
    <w:rsid w:val="5CD91082"/>
    <w:rsid w:val="5CEC5C67"/>
    <w:rsid w:val="5CF15EC7"/>
    <w:rsid w:val="5D074CA9"/>
    <w:rsid w:val="5D3F223B"/>
    <w:rsid w:val="5D60171F"/>
    <w:rsid w:val="5D84F5D7"/>
    <w:rsid w:val="5DAF357F"/>
    <w:rsid w:val="5DD45C6C"/>
    <w:rsid w:val="5DDD79E4"/>
    <w:rsid w:val="5DE141DE"/>
    <w:rsid w:val="5DF474C9"/>
    <w:rsid w:val="5DF7A2F8"/>
    <w:rsid w:val="5DFD9CBD"/>
    <w:rsid w:val="5E413D91"/>
    <w:rsid w:val="5ED36690"/>
    <w:rsid w:val="5EE64998"/>
    <w:rsid w:val="5EFFB3B4"/>
    <w:rsid w:val="5F376B17"/>
    <w:rsid w:val="5F5031D4"/>
    <w:rsid w:val="5FCF5CB3"/>
    <w:rsid w:val="5FDFC560"/>
    <w:rsid w:val="5FFF5093"/>
    <w:rsid w:val="600E14BC"/>
    <w:rsid w:val="6039385B"/>
    <w:rsid w:val="60575AEE"/>
    <w:rsid w:val="6065645C"/>
    <w:rsid w:val="60A45972"/>
    <w:rsid w:val="61016185"/>
    <w:rsid w:val="611C6F26"/>
    <w:rsid w:val="6120368F"/>
    <w:rsid w:val="612C0D28"/>
    <w:rsid w:val="61441FA0"/>
    <w:rsid w:val="61501B48"/>
    <w:rsid w:val="618601E0"/>
    <w:rsid w:val="6192502F"/>
    <w:rsid w:val="61A0593E"/>
    <w:rsid w:val="61B2122D"/>
    <w:rsid w:val="61C07850"/>
    <w:rsid w:val="61D73854"/>
    <w:rsid w:val="621B3277"/>
    <w:rsid w:val="62261C1B"/>
    <w:rsid w:val="62265778"/>
    <w:rsid w:val="623528B1"/>
    <w:rsid w:val="623E6F65"/>
    <w:rsid w:val="6245035E"/>
    <w:rsid w:val="624A76B8"/>
    <w:rsid w:val="626977EB"/>
    <w:rsid w:val="626D490B"/>
    <w:rsid w:val="628A45AF"/>
    <w:rsid w:val="62954A01"/>
    <w:rsid w:val="6299063F"/>
    <w:rsid w:val="637D5F3F"/>
    <w:rsid w:val="6387289F"/>
    <w:rsid w:val="639F3076"/>
    <w:rsid w:val="63A174E2"/>
    <w:rsid w:val="63CD38C1"/>
    <w:rsid w:val="64487C27"/>
    <w:rsid w:val="6477258E"/>
    <w:rsid w:val="64866038"/>
    <w:rsid w:val="64CC6AAA"/>
    <w:rsid w:val="64EC2CA8"/>
    <w:rsid w:val="64F55B6C"/>
    <w:rsid w:val="653308D7"/>
    <w:rsid w:val="65534AC6"/>
    <w:rsid w:val="655C6080"/>
    <w:rsid w:val="657607C4"/>
    <w:rsid w:val="659B022A"/>
    <w:rsid w:val="659D0447"/>
    <w:rsid w:val="65A95ACA"/>
    <w:rsid w:val="65CD0E55"/>
    <w:rsid w:val="65E322FD"/>
    <w:rsid w:val="65E41BD1"/>
    <w:rsid w:val="65F04A1A"/>
    <w:rsid w:val="65F71905"/>
    <w:rsid w:val="65FC7392"/>
    <w:rsid w:val="66240220"/>
    <w:rsid w:val="66655FDB"/>
    <w:rsid w:val="6683763C"/>
    <w:rsid w:val="6696081C"/>
    <w:rsid w:val="66A17AC3"/>
    <w:rsid w:val="66F61BBC"/>
    <w:rsid w:val="66FD73EF"/>
    <w:rsid w:val="671B5AC7"/>
    <w:rsid w:val="672F6913"/>
    <w:rsid w:val="67474A40"/>
    <w:rsid w:val="674A2488"/>
    <w:rsid w:val="67535261"/>
    <w:rsid w:val="675D1C3B"/>
    <w:rsid w:val="67762CFD"/>
    <w:rsid w:val="677F18FD"/>
    <w:rsid w:val="67876CB8"/>
    <w:rsid w:val="679C7030"/>
    <w:rsid w:val="67AB127E"/>
    <w:rsid w:val="67B215EE"/>
    <w:rsid w:val="67C33160"/>
    <w:rsid w:val="67EC2FBF"/>
    <w:rsid w:val="682664D1"/>
    <w:rsid w:val="68394B34"/>
    <w:rsid w:val="684D3A5E"/>
    <w:rsid w:val="68541290"/>
    <w:rsid w:val="68725BBA"/>
    <w:rsid w:val="68B166E3"/>
    <w:rsid w:val="68D76843"/>
    <w:rsid w:val="68D777CC"/>
    <w:rsid w:val="68F10FDD"/>
    <w:rsid w:val="690D7691"/>
    <w:rsid w:val="695F37AF"/>
    <w:rsid w:val="697534E8"/>
    <w:rsid w:val="698A0599"/>
    <w:rsid w:val="699D6C67"/>
    <w:rsid w:val="69A2427D"/>
    <w:rsid w:val="69BE2739"/>
    <w:rsid w:val="6A1F1880"/>
    <w:rsid w:val="6A2B4273"/>
    <w:rsid w:val="6A2C1A6B"/>
    <w:rsid w:val="6A507835"/>
    <w:rsid w:val="6A7C062B"/>
    <w:rsid w:val="6A7C687C"/>
    <w:rsid w:val="6A876919"/>
    <w:rsid w:val="6AE765D4"/>
    <w:rsid w:val="6AF91C7B"/>
    <w:rsid w:val="6B146AB5"/>
    <w:rsid w:val="6B431148"/>
    <w:rsid w:val="6B81332C"/>
    <w:rsid w:val="6B90593C"/>
    <w:rsid w:val="6BCC3C21"/>
    <w:rsid w:val="6C032026"/>
    <w:rsid w:val="6C0E5BFA"/>
    <w:rsid w:val="6CA07C25"/>
    <w:rsid w:val="6CA4030D"/>
    <w:rsid w:val="6CAD4A62"/>
    <w:rsid w:val="6CCC2CC3"/>
    <w:rsid w:val="6CD1ED39"/>
    <w:rsid w:val="6CE100A0"/>
    <w:rsid w:val="6D062402"/>
    <w:rsid w:val="6D200F77"/>
    <w:rsid w:val="6D3C22F3"/>
    <w:rsid w:val="6D512828"/>
    <w:rsid w:val="6D737BA2"/>
    <w:rsid w:val="6D7F247F"/>
    <w:rsid w:val="6D837514"/>
    <w:rsid w:val="6D99152F"/>
    <w:rsid w:val="6D9A740B"/>
    <w:rsid w:val="6DAF8FD5"/>
    <w:rsid w:val="6DE85FD7"/>
    <w:rsid w:val="6DEE2F8B"/>
    <w:rsid w:val="6EFB84F2"/>
    <w:rsid w:val="6EFCE1C9"/>
    <w:rsid w:val="6F7A67C1"/>
    <w:rsid w:val="6F8F2BAE"/>
    <w:rsid w:val="6F90683D"/>
    <w:rsid w:val="6F9B59F7"/>
    <w:rsid w:val="6FA7614A"/>
    <w:rsid w:val="6FEC0000"/>
    <w:rsid w:val="6FF6417C"/>
    <w:rsid w:val="702A28D7"/>
    <w:rsid w:val="70326AC1"/>
    <w:rsid w:val="709661BE"/>
    <w:rsid w:val="709F1517"/>
    <w:rsid w:val="70C159D3"/>
    <w:rsid w:val="70F41A96"/>
    <w:rsid w:val="7100515F"/>
    <w:rsid w:val="7126189C"/>
    <w:rsid w:val="712B6906"/>
    <w:rsid w:val="71722787"/>
    <w:rsid w:val="718911F9"/>
    <w:rsid w:val="71B44497"/>
    <w:rsid w:val="71B5480E"/>
    <w:rsid w:val="71CD4658"/>
    <w:rsid w:val="71E868E7"/>
    <w:rsid w:val="71FB452B"/>
    <w:rsid w:val="72840E99"/>
    <w:rsid w:val="72DA3734"/>
    <w:rsid w:val="7304366E"/>
    <w:rsid w:val="73045661"/>
    <w:rsid w:val="73243F55"/>
    <w:rsid w:val="733F2B3D"/>
    <w:rsid w:val="735D75BA"/>
    <w:rsid w:val="739A5FC5"/>
    <w:rsid w:val="73A429A0"/>
    <w:rsid w:val="73AA6208"/>
    <w:rsid w:val="73E86D31"/>
    <w:rsid w:val="73FC0A2E"/>
    <w:rsid w:val="73FFA63A"/>
    <w:rsid w:val="74096F68"/>
    <w:rsid w:val="74423409"/>
    <w:rsid w:val="74542618"/>
    <w:rsid w:val="74767812"/>
    <w:rsid w:val="749E7115"/>
    <w:rsid w:val="74AF209F"/>
    <w:rsid w:val="74CB7A5F"/>
    <w:rsid w:val="74D15A17"/>
    <w:rsid w:val="74DA22BB"/>
    <w:rsid w:val="74ED54C2"/>
    <w:rsid w:val="74F82FA3"/>
    <w:rsid w:val="7513602F"/>
    <w:rsid w:val="75383CE8"/>
    <w:rsid w:val="753B54A1"/>
    <w:rsid w:val="753F29A8"/>
    <w:rsid w:val="75A91776"/>
    <w:rsid w:val="75A924F0"/>
    <w:rsid w:val="75AB44BA"/>
    <w:rsid w:val="75AF5F2C"/>
    <w:rsid w:val="75F45E61"/>
    <w:rsid w:val="75F615E6"/>
    <w:rsid w:val="760F2C9B"/>
    <w:rsid w:val="763B3A90"/>
    <w:rsid w:val="76AFB04C"/>
    <w:rsid w:val="76E52316"/>
    <w:rsid w:val="77016C3D"/>
    <w:rsid w:val="771F9B9F"/>
    <w:rsid w:val="773F5120"/>
    <w:rsid w:val="774626EC"/>
    <w:rsid w:val="774E378F"/>
    <w:rsid w:val="776E579F"/>
    <w:rsid w:val="77866F8C"/>
    <w:rsid w:val="778C471C"/>
    <w:rsid w:val="77CD0717"/>
    <w:rsid w:val="77E872FF"/>
    <w:rsid w:val="77EE9163"/>
    <w:rsid w:val="77F008AA"/>
    <w:rsid w:val="77F76BB5"/>
    <w:rsid w:val="780647D5"/>
    <w:rsid w:val="786646C8"/>
    <w:rsid w:val="786A54B0"/>
    <w:rsid w:val="78773A0B"/>
    <w:rsid w:val="78CB4582"/>
    <w:rsid w:val="78EF46BD"/>
    <w:rsid w:val="78F955B0"/>
    <w:rsid w:val="790A2276"/>
    <w:rsid w:val="791977B8"/>
    <w:rsid w:val="795A0484"/>
    <w:rsid w:val="796926C2"/>
    <w:rsid w:val="797B41A3"/>
    <w:rsid w:val="79DA35C0"/>
    <w:rsid w:val="79DF2984"/>
    <w:rsid w:val="7A0F3024"/>
    <w:rsid w:val="7A163075"/>
    <w:rsid w:val="7A5F5B6B"/>
    <w:rsid w:val="7A8377B3"/>
    <w:rsid w:val="7A97500D"/>
    <w:rsid w:val="7A980FD9"/>
    <w:rsid w:val="7AADF523"/>
    <w:rsid w:val="7AB72E71"/>
    <w:rsid w:val="7AC027B5"/>
    <w:rsid w:val="7AF13BC5"/>
    <w:rsid w:val="7AFF3F6E"/>
    <w:rsid w:val="7AFFFE0A"/>
    <w:rsid w:val="7B097D76"/>
    <w:rsid w:val="7B114DBF"/>
    <w:rsid w:val="7B252618"/>
    <w:rsid w:val="7B486307"/>
    <w:rsid w:val="7B48665E"/>
    <w:rsid w:val="7B576646"/>
    <w:rsid w:val="7B9463F7"/>
    <w:rsid w:val="7B977A32"/>
    <w:rsid w:val="7BA94FF8"/>
    <w:rsid w:val="7BBA5457"/>
    <w:rsid w:val="7BFED047"/>
    <w:rsid w:val="7C0A7F2F"/>
    <w:rsid w:val="7C705B15"/>
    <w:rsid w:val="7C79153C"/>
    <w:rsid w:val="7C7C44BA"/>
    <w:rsid w:val="7C9E250A"/>
    <w:rsid w:val="7CAE3BAE"/>
    <w:rsid w:val="7CB14E88"/>
    <w:rsid w:val="7CB41EA6"/>
    <w:rsid w:val="7CB83B83"/>
    <w:rsid w:val="7CFC4E26"/>
    <w:rsid w:val="7D005DCD"/>
    <w:rsid w:val="7D0A5F6A"/>
    <w:rsid w:val="7D1C4793"/>
    <w:rsid w:val="7D2C7C8E"/>
    <w:rsid w:val="7D6E4684"/>
    <w:rsid w:val="7D9805A7"/>
    <w:rsid w:val="7DACD5A9"/>
    <w:rsid w:val="7DC600E3"/>
    <w:rsid w:val="7DD03107"/>
    <w:rsid w:val="7DDEF2CB"/>
    <w:rsid w:val="7DDF2F52"/>
    <w:rsid w:val="7DEF3D99"/>
    <w:rsid w:val="7DF804B8"/>
    <w:rsid w:val="7DFE185C"/>
    <w:rsid w:val="7DFFDE05"/>
    <w:rsid w:val="7E154BC6"/>
    <w:rsid w:val="7E3463CF"/>
    <w:rsid w:val="7E3B7AAB"/>
    <w:rsid w:val="7E67A5C5"/>
    <w:rsid w:val="7E7A711F"/>
    <w:rsid w:val="7E7C4C45"/>
    <w:rsid w:val="7E961972"/>
    <w:rsid w:val="7EA321D2"/>
    <w:rsid w:val="7EA63A70"/>
    <w:rsid w:val="7EB00019"/>
    <w:rsid w:val="7EB68CB0"/>
    <w:rsid w:val="7EB9097C"/>
    <w:rsid w:val="7EFA4470"/>
    <w:rsid w:val="7EFDEFBD"/>
    <w:rsid w:val="7F1B7B78"/>
    <w:rsid w:val="7F666E11"/>
    <w:rsid w:val="7F6EDED8"/>
    <w:rsid w:val="7F773313"/>
    <w:rsid w:val="7F92DB3E"/>
    <w:rsid w:val="7FC27283"/>
    <w:rsid w:val="7FD1C20B"/>
    <w:rsid w:val="7FE7292D"/>
    <w:rsid w:val="7FF96418"/>
    <w:rsid w:val="7FFA66BE"/>
    <w:rsid w:val="966B439F"/>
    <w:rsid w:val="9DB90794"/>
    <w:rsid w:val="9FFFF9CF"/>
    <w:rsid w:val="B3B517D1"/>
    <w:rsid w:val="B5ECB303"/>
    <w:rsid w:val="B6D3CC15"/>
    <w:rsid w:val="B7C20E50"/>
    <w:rsid w:val="BB2EF51A"/>
    <w:rsid w:val="BBDF5EEF"/>
    <w:rsid w:val="BCE51A31"/>
    <w:rsid w:val="BF7ED516"/>
    <w:rsid w:val="BFDCA0F7"/>
    <w:rsid w:val="BFFEE4DA"/>
    <w:rsid w:val="BFFFC820"/>
    <w:rsid w:val="C7FF6731"/>
    <w:rsid w:val="D79AD429"/>
    <w:rsid w:val="D7AA5CD5"/>
    <w:rsid w:val="DAF7D355"/>
    <w:rsid w:val="DAFBBD1D"/>
    <w:rsid w:val="DBBF5EBD"/>
    <w:rsid w:val="DE321AD5"/>
    <w:rsid w:val="DEEFB809"/>
    <w:rsid w:val="DFBF158D"/>
    <w:rsid w:val="DFE6ABAC"/>
    <w:rsid w:val="E4AF4DBD"/>
    <w:rsid w:val="E5DD1227"/>
    <w:rsid w:val="E9F1F9B1"/>
    <w:rsid w:val="EBA8ECD1"/>
    <w:rsid w:val="EBF933C4"/>
    <w:rsid w:val="EBFF2B84"/>
    <w:rsid w:val="EED36D35"/>
    <w:rsid w:val="EF6469D4"/>
    <w:rsid w:val="EFBDC4DE"/>
    <w:rsid w:val="EFBFD15E"/>
    <w:rsid w:val="EFFEDAE4"/>
    <w:rsid w:val="F331DA14"/>
    <w:rsid w:val="F3FF64EC"/>
    <w:rsid w:val="F5FD15A3"/>
    <w:rsid w:val="F7BF8E41"/>
    <w:rsid w:val="F9D74865"/>
    <w:rsid w:val="FAFEE3A9"/>
    <w:rsid w:val="FBFD6B37"/>
    <w:rsid w:val="FBFDC5EE"/>
    <w:rsid w:val="FC9FE3E5"/>
    <w:rsid w:val="FCDF55D4"/>
    <w:rsid w:val="FD5AF3D3"/>
    <w:rsid w:val="FDFF67D3"/>
    <w:rsid w:val="FEBD7FBE"/>
    <w:rsid w:val="FEEEFD6F"/>
    <w:rsid w:val="FF3736A0"/>
    <w:rsid w:val="FF8BF16F"/>
    <w:rsid w:val="FF99F3C0"/>
    <w:rsid w:val="FFAF5EAE"/>
    <w:rsid w:val="FFFBCD7C"/>
    <w:rsid w:val="FFFFA8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1"/>
      <w:lang w:val="en-US" w:eastAsia="zh-CN" w:bidi="ar-SA"/>
    </w:rPr>
  </w:style>
  <w:style w:type="paragraph" w:styleId="2">
    <w:name w:val="heading 1"/>
    <w:basedOn w:val="1"/>
    <w:next w:val="1"/>
    <w:link w:val="26"/>
    <w:qFormat/>
    <w:uiPriority w:val="0"/>
    <w:pPr>
      <w:keepNext/>
      <w:keepLines/>
      <w:numPr>
        <w:ilvl w:val="0"/>
        <w:numId w:val="1"/>
      </w:numPr>
      <w:autoSpaceDE w:val="0"/>
      <w:autoSpaceDN w:val="0"/>
      <w:adjustRightInd w:val="0"/>
      <w:snapToGrid w:val="0"/>
      <w:spacing w:before="100" w:beforeLines="100" w:after="100" w:afterLines="100" w:line="360" w:lineRule="auto"/>
      <w:ind w:left="432" w:hanging="432"/>
      <w:jc w:val="left"/>
      <w:outlineLvl w:val="0"/>
    </w:pPr>
    <w:rPr>
      <w:rFonts w:ascii="宋体" w:hAnsi="宋体" w:eastAsia="黑体" w:cs="Arial"/>
      <w:bCs/>
      <w:snapToGrid w:val="0"/>
      <w:color w:val="000000"/>
      <w:spacing w:val="23"/>
      <w:sz w:val="36"/>
      <w:szCs w:val="36"/>
    </w:rPr>
  </w:style>
  <w:style w:type="paragraph" w:styleId="3">
    <w:name w:val="heading 2"/>
    <w:basedOn w:val="1"/>
    <w:next w:val="4"/>
    <w:link w:val="25"/>
    <w:unhideWhenUsed/>
    <w:qFormat/>
    <w:uiPriority w:val="0"/>
    <w:pPr>
      <w:keepNext/>
      <w:keepLines/>
      <w:numPr>
        <w:ilvl w:val="1"/>
        <w:numId w:val="1"/>
      </w:numPr>
      <w:spacing w:before="260" w:after="260" w:line="416" w:lineRule="auto"/>
      <w:ind w:left="575" w:leftChars="200" w:hanging="575"/>
      <w:outlineLvl w:val="1"/>
    </w:pPr>
    <w:rPr>
      <w:rFonts w:asciiTheme="majorAscii" w:hAnsiTheme="majorAscii" w:eastAsiaTheme="majorEastAsia" w:cstheme="majorBidi"/>
      <w:b/>
      <w:bCs/>
      <w:sz w:val="32"/>
      <w:szCs w:val="32"/>
    </w:rPr>
  </w:style>
  <w:style w:type="paragraph" w:styleId="5">
    <w:name w:val="heading 3"/>
    <w:basedOn w:val="1"/>
    <w:next w:val="4"/>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6">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7">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8">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9">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10">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1">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3">
    <w:name w:val="Default Paragraph Font"/>
    <w:semiHidden/>
    <w:unhideWhenUsed/>
    <w:qFormat/>
    <w:uiPriority w:val="1"/>
  </w:style>
  <w:style w:type="table" w:default="1" w:styleId="21">
    <w:name w:val="Normal Table"/>
    <w:semiHidden/>
    <w:qFormat/>
    <w:uiPriority w:val="0"/>
    <w:tblPr>
      <w:tblCellMar>
        <w:top w:w="0" w:type="dxa"/>
        <w:left w:w="108" w:type="dxa"/>
        <w:bottom w:w="0" w:type="dxa"/>
        <w:right w:w="108" w:type="dxa"/>
      </w:tblCellMar>
    </w:tblPr>
  </w:style>
  <w:style w:type="paragraph" w:styleId="4">
    <w:name w:val="Normal Indent"/>
    <w:basedOn w:val="1"/>
    <w:qFormat/>
    <w:uiPriority w:val="0"/>
    <w:pPr>
      <w:spacing w:line="360" w:lineRule="auto"/>
      <w:ind w:firstLine="420" w:firstLineChars="200"/>
    </w:pPr>
    <w:rPr>
      <w:rFonts w:eastAsia="宋体"/>
      <w:sz w:val="24"/>
    </w:rPr>
  </w:style>
  <w:style w:type="paragraph" w:styleId="12">
    <w:name w:val="annotation text"/>
    <w:basedOn w:val="1"/>
    <w:qFormat/>
    <w:uiPriority w:val="0"/>
    <w:pPr>
      <w:jc w:val="left"/>
    </w:pPr>
  </w:style>
  <w:style w:type="paragraph" w:styleId="13">
    <w:name w:val="Body Text"/>
    <w:basedOn w:val="1"/>
    <w:unhideWhenUsed/>
    <w:qFormat/>
    <w:uiPriority w:val="99"/>
    <w:pPr>
      <w:spacing w:after="120"/>
    </w:pPr>
  </w:style>
  <w:style w:type="paragraph" w:styleId="14">
    <w:name w:val="toc 3"/>
    <w:basedOn w:val="1"/>
    <w:next w:val="1"/>
    <w:qFormat/>
    <w:uiPriority w:val="0"/>
    <w:pPr>
      <w:tabs>
        <w:tab w:val="left" w:pos="1680"/>
        <w:tab w:val="right" w:leader="dot" w:pos="8296"/>
      </w:tabs>
      <w:ind w:left="840" w:leftChars="400"/>
    </w:pPr>
  </w:style>
  <w:style w:type="paragraph" w:styleId="15">
    <w:name w:val="footer"/>
    <w:basedOn w:val="1"/>
    <w:qFormat/>
    <w:uiPriority w:val="0"/>
    <w:pPr>
      <w:tabs>
        <w:tab w:val="center" w:pos="4153"/>
        <w:tab w:val="right" w:pos="8306"/>
      </w:tabs>
      <w:snapToGrid w:val="0"/>
      <w:jc w:val="left"/>
    </w:pPr>
    <w:rPr>
      <w:sz w:val="18"/>
      <w:szCs w:val="18"/>
    </w:rPr>
  </w:style>
  <w:style w:type="paragraph" w:styleId="1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0"/>
  </w:style>
  <w:style w:type="paragraph" w:styleId="18">
    <w:name w:val="toc 2"/>
    <w:basedOn w:val="1"/>
    <w:next w:val="1"/>
    <w:qFormat/>
    <w:uiPriority w:val="0"/>
    <w:pPr>
      <w:tabs>
        <w:tab w:val="left" w:pos="1050"/>
        <w:tab w:val="right" w:leader="dot" w:pos="8296"/>
      </w:tabs>
      <w:spacing w:beforeLines="50" w:afterLines="50"/>
      <w:ind w:left="420" w:leftChars="200"/>
    </w:p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20">
    <w:name w:val="Body Text First Indent"/>
    <w:basedOn w:val="13"/>
    <w:unhideWhenUsed/>
    <w:qFormat/>
    <w:uiPriority w:val="99"/>
    <w:pPr>
      <w:spacing w:line="240" w:lineRule="auto"/>
      <w:ind w:firstLine="420" w:firstLineChars="100"/>
    </w:pPr>
    <w:rPr>
      <w:rFonts w:ascii="Calibri" w:hAnsi="Calibri"/>
      <w:sz w:val="21"/>
      <w:szCs w:val="22"/>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4">
    <w:name w:val="page number"/>
    <w:qFormat/>
    <w:uiPriority w:val="0"/>
  </w:style>
  <w:style w:type="character" w:customStyle="1" w:styleId="25">
    <w:name w:val="标题 2 字符"/>
    <w:basedOn w:val="23"/>
    <w:link w:val="3"/>
    <w:qFormat/>
    <w:uiPriority w:val="0"/>
    <w:rPr>
      <w:rFonts w:ascii="Arial" w:hAnsi="Arial" w:eastAsia="宋体" w:cs="Times New Roman"/>
      <w:b/>
      <w:bCs/>
      <w:sz w:val="24"/>
      <w:szCs w:val="32"/>
    </w:rPr>
  </w:style>
  <w:style w:type="character" w:customStyle="1" w:styleId="26">
    <w:name w:val="标题 1 字符"/>
    <w:link w:val="2"/>
    <w:qFormat/>
    <w:uiPriority w:val="0"/>
    <w:rPr>
      <w:rFonts w:ascii="宋体" w:hAnsi="宋体" w:eastAsia="黑体" w:cs="Arial"/>
      <w:b/>
      <w:bCs/>
      <w:snapToGrid w:val="0"/>
      <w:color w:val="000000"/>
      <w:spacing w:val="23"/>
      <w:sz w:val="36"/>
      <w:szCs w:val="36"/>
      <w:lang w:bidi="ar-SA"/>
    </w:rPr>
  </w:style>
  <w:style w:type="paragraph" w:customStyle="1" w:styleId="27">
    <w:name w:val="正文不缩进"/>
    <w:basedOn w:val="1"/>
    <w:qFormat/>
    <w:uiPriority w:val="0"/>
    <w:pPr>
      <w:spacing w:line="360" w:lineRule="auto"/>
    </w:pPr>
    <w:rPr>
      <w:rFonts w:ascii="Times New Roman" w:hAnsi="Times New Roman" w:cs="Times New Roman"/>
    </w:rPr>
  </w:style>
  <w:style w:type="paragraph" w:customStyle="1" w:styleId="28">
    <w:name w:val="文档类别"/>
    <w:basedOn w:val="1"/>
    <w:qFormat/>
    <w:uiPriority w:val="0"/>
    <w:pPr>
      <w:spacing w:line="360" w:lineRule="auto"/>
      <w:jc w:val="center"/>
    </w:pPr>
    <w:rPr>
      <w:rFonts w:ascii="华文楷体" w:hAnsi="Times New Roman" w:eastAsia="华文楷体" w:cs="华文楷体"/>
      <w:b/>
      <w:bCs/>
      <w:sz w:val="48"/>
      <w:szCs w:val="4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1911</Words>
  <Characters>2049</Characters>
  <Lines>0</Lines>
  <Paragraphs>0</Paragraphs>
  <TotalTime>5</TotalTime>
  <ScaleCrop>false</ScaleCrop>
  <LinksUpToDate>false</LinksUpToDate>
  <CharactersWithSpaces>2304</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2021-07-15T01:16:00Z</dcterms:created>
  <dc:creator>卟啉卟啉 </dc:creator>
  <cp:lastModifiedBy>xacb</cp:lastModifiedBy>
  <dcterms:modified xsi:type="dcterms:W3CDTF">2025-09-17T01:20:06Z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176AC3DEB1580AA2FCB7F265ED6DF106_43</vt:lpwstr>
  </property>
</Properties>
</file>