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jc w:val="center"/>
      </w:pPr>
      <w:r>
        <w:rPr>
          <w:rFonts w:ascii="KaiTi" w:hAnsi="KaiTi" w:eastAsia="KaiTi"/>
          <w:b/>
          <w:sz w:val="72"/>
        </w:rPr>
        <w:t>齐鲁工业大学</w:t>
      </w:r>
    </w:p>
    <w:p>
      <w:pPr>
        <w:spacing w:line="360" w:lineRule="auto"/>
        <w:jc w:val="center"/>
      </w:pPr>
      <w:r>
        <w:rPr>
          <w:rFonts w:ascii="KaiTi" w:hAnsi="KaiTi" w:eastAsia="KaiTi"/>
          <w:b/>
          <w:sz w:val="72"/>
        </w:rPr>
        <w:t>本科毕业论文(设计)</w:t>
      </w:r>
    </w:p>
    <w:p>
      <w:pPr>
        <w:spacing w:line="360" w:lineRule="auto"/>
      </w:pPr>
    </w:p>
    <w:p>
      <w:pPr>
        <w:spacing w:line="360" w:lineRule="auto"/>
      </w:pPr>
    </w:p>
    <w:p>
      <w:pPr>
        <w:spacing w:line="360" w:lineRule="auto"/>
        <w:jc w:val="center"/>
      </w:pPr>
      <w:r>
        <w:rPr>
          <w:rFonts w:ascii="SimHei" w:hAnsi="SimHei" w:eastAsia="SimHei"/>
          <w:b/>
          <w:sz w:val="32"/>
        </w:rPr>
        <w:t>论文题目:智能仓储自主移动机器人结构设计与控制</w:t>
      </w:r>
    </w:p>
    <w:p>
      <w:pPr>
        <w:spacing w:line="360" w:lineRule="auto"/>
      </w:pPr>
    </w:p>
    <w:p>
      <w:pPr>
        <w:spacing w:line="360" w:lineRule="auto"/>
      </w:pPr>
    </w:p>
    <w:p>
      <w:pPr>
        <w:spacing w:line="360" w:lineRule="auto"/>
        <w:jc w:val="center"/>
      </w:pPr>
      <w:r>
        <w:rPr>
          <w:rFonts w:ascii="SimSun" w:hAnsi="SimSun" w:eastAsia="SimSun"/>
          <w:b w:val="0"/>
          <w:sz w:val="28"/>
        </w:rPr>
        <w:t>学    院:机械工程学院</w:t>
      </w:r>
    </w:p>
    <w:p>
      <w:pPr>
        <w:spacing w:line="360" w:lineRule="auto"/>
        <w:jc w:val="center"/>
      </w:pPr>
      <w:r>
        <w:rPr>
          <w:rFonts w:ascii="SimSun" w:hAnsi="SimSun" w:eastAsia="SimSun"/>
          <w:b w:val="0"/>
          <w:sz w:val="28"/>
        </w:rPr>
        <w:t>专业班级:机器人(SI)22-2</w:t>
      </w:r>
    </w:p>
    <w:p>
      <w:pPr>
        <w:spacing w:line="360" w:lineRule="auto"/>
        <w:jc w:val="center"/>
      </w:pPr>
      <w:r>
        <w:rPr>
          <w:rFonts w:ascii="SimSun" w:hAnsi="SimSun" w:eastAsia="SimSun"/>
          <w:b w:val="0"/>
          <w:sz w:val="28"/>
        </w:rPr>
        <w:t>学生姓名:王子煜</w:t>
      </w:r>
    </w:p>
    <w:p>
      <w:pPr>
        <w:spacing w:line="360" w:lineRule="auto"/>
        <w:jc w:val="center"/>
      </w:pPr>
      <w:r>
        <w:rPr>
          <w:rFonts w:ascii="SimSun" w:hAnsi="SimSun" w:eastAsia="SimSun"/>
          <w:b w:val="0"/>
          <w:sz w:val="28"/>
        </w:rPr>
        <w:t>学生学号:202201230042</w:t>
      </w:r>
    </w:p>
    <w:p>
      <w:pPr>
        <w:spacing w:line="360" w:lineRule="auto"/>
        <w:jc w:val="center"/>
      </w:pPr>
      <w:r>
        <w:rPr>
          <w:rFonts w:ascii="SimSun" w:hAnsi="SimSun" w:eastAsia="SimSun"/>
          <w:b w:val="0"/>
          <w:sz w:val="28"/>
        </w:rPr>
        <w:t>指导教师:刘鹏博</w:t>
      </w:r>
    </w:p>
    <w:p>
      <w:pPr>
        <w:spacing w:line="360" w:lineRule="auto"/>
      </w:pPr>
    </w:p>
    <w:p>
      <w:pPr>
        <w:spacing w:line="360" w:lineRule="auto"/>
      </w:pPr>
    </w:p>
    <w:p>
      <w:pPr>
        <w:spacing w:line="360" w:lineRule="auto"/>
        <w:jc w:val="center"/>
      </w:pPr>
      <w:r>
        <w:rPr>
          <w:rFonts w:ascii="SimSun" w:hAnsi="SimSun" w:eastAsia="SimSun"/>
          <w:b w:val="0"/>
          <w:sz w:val="28"/>
        </w:rPr>
        <w:t>2026 年 03 月 10 日</w:t>
      </w:r>
    </w:p>
    <w:p>
      <w:r>
        <w:br w:type="page"/>
      </w:r>
    </w:p>
    <w:p>
      <w:pPr>
        <w:spacing w:line="360" w:lineRule="auto"/>
        <w:jc w:val="center"/>
      </w:pPr>
      <w:r>
        <w:rPr>
          <w:rFonts w:ascii="SimHei" w:hAnsi="SimHei" w:eastAsia="SimHei"/>
          <w:b/>
          <w:sz w:val="32"/>
        </w:rPr>
        <w:t>齐鲁工业大学本科毕业论文(设计)</w:t>
      </w:r>
    </w:p>
    <w:p>
      <w:pPr>
        <w:spacing w:line="360" w:lineRule="auto"/>
        <w:jc w:val="center"/>
      </w:pPr>
      <w:r>
        <w:rPr>
          <w:rFonts w:ascii="SimHei" w:hAnsi="SimHei" w:eastAsia="SimHei"/>
          <w:b/>
          <w:sz w:val="32"/>
        </w:rPr>
        <w:t>原创性声明</w:t>
      </w:r>
    </w:p>
    <w:p>
      <w:pPr>
        <w:spacing w:line="360" w:lineRule="auto"/>
      </w:pPr>
    </w:p>
    <w:p>
      <w:pPr>
        <w:spacing w:line="360" w:lineRule="auto"/>
        <w:ind w:firstLine="420"/>
      </w:pPr>
      <w:r>
        <w:rPr>
          <w:rFonts w:ascii="SimSun" w:hAnsi="SimSun" w:eastAsia="SimSun"/>
          <w:b w:val="0"/>
          <w:sz w:val="24"/>
        </w:rPr>
        <w:t>本人郑重声明:所呈交的毕业论文(设计),是本人在指导教师的指导下,独立进行研究工作所取得的成果。除文中已经注明引用的内容外,本论文(设计)不包含任何其他个人或集体已经发表或撰写过的作品成果。对本论文(设计)的研究做出重要贡献的个人和集体,均已在文中以明确方式标明。本人完全意识到本声明的法律后果由本人承担。</w:t>
      </w:r>
    </w:p>
    <w:p>
      <w:pPr>
        <w:spacing w:line="360" w:lineRule="auto"/>
      </w:pPr>
    </w:p>
    <w:p>
      <w:pPr>
        <w:spacing w:line="360" w:lineRule="auto"/>
      </w:pPr>
      <w:r>
        <w:rPr>
          <w:rFonts w:ascii="SimSun" w:hAnsi="SimSun" w:eastAsia="SimSun"/>
          <w:b w:val="0"/>
          <w:sz w:val="24"/>
        </w:rPr>
        <w:t>毕业论文(设计)作者签名:          日期:</w:t>
      </w:r>
    </w:p>
    <w:p>
      <w:r>
        <w:br w:type="page"/>
      </w:r>
    </w:p>
    <w:p>
      <w:pPr>
        <w:spacing w:line="360" w:lineRule="auto"/>
        <w:jc w:val="center"/>
      </w:pPr>
      <w:r>
        <w:rPr>
          <w:rFonts w:ascii="SimHei" w:hAnsi="SimHei" w:eastAsia="SimHei"/>
          <w:b/>
          <w:sz w:val="32"/>
        </w:rPr>
        <w:t>摘  要</w:t>
      </w:r>
    </w:p>
    <w:p>
      <w:pPr>
        <w:spacing w:line="360" w:lineRule="auto"/>
      </w:pPr>
    </w:p>
    <w:p>
      <w:pPr>
        <w:spacing w:line="360" w:lineRule="auto"/>
        <w:ind w:firstLine="420"/>
      </w:pPr>
      <w:r>
        <w:rPr>
          <w:rFonts w:ascii="SimSun" w:hAnsi="SimSun" w:eastAsia="SimSun"/>
          <w:b w:val="0"/>
          <w:sz w:val="24"/>
        </w:rPr>
        <w:t>随着电商物流与智能制造的快速发展,传统仓储搬运方式在效率和人力成本方面面临日益严峻的挑战。为提升仓储搬运自动化水平,本文设计了一款具备举升功能的双轮差速驱动自动导引车(AGV),系统开展了总体方案设计、机械结构设计、电气系统设计、运动学建模、路径规划与循迹控制以及运动控制算法研究。</w:t>
      </w:r>
    </w:p>
    <w:p>
      <w:pPr>
        <w:spacing w:line="360" w:lineRule="auto"/>
        <w:ind w:firstLine="420"/>
      </w:pPr>
      <w:r>
        <w:rPr>
          <w:rFonts w:ascii="SimSun" w:hAnsi="SimSun" w:eastAsia="SimSun"/>
          <w:b w:val="0"/>
          <w:sz w:val="24"/>
        </w:rPr>
        <w:t>在总体方案层面,通过三种驱动方案对比分析,选定双轮差速驱动方案,确定了额定载重25 kg等关键技术指标。机械层面完成了底盘、升降机构和罩壳设计,对支撑梁进行有限元分析,满载工况下最大应力为4.891 MPa,远低于Q235A屈服强度235 MPa,最大位移变形仅为1.538x10^-3 mm。电气层面以STM32F103C8T6为主控芯片,完成了SMC80S伺服电机与ZJPX115行星减速器选型,设计了TCRT5000红外传感器和HC-SR04超声波传感器的接口电路。</w:t>
      </w:r>
    </w:p>
    <w:p>
      <w:pPr>
        <w:spacing w:line="360" w:lineRule="auto"/>
        <w:ind w:firstLine="420"/>
      </w:pPr>
      <w:r>
        <w:rPr>
          <w:rFonts w:ascii="SimSun" w:hAnsi="SimSun" w:eastAsia="SimSun"/>
          <w:b w:val="0"/>
          <w:sz w:val="24"/>
        </w:rPr>
        <w:t>运动学建模与路径规划层面,推导了双轮差速底盘运动学方程,在MATLAB中对直线、圆弧、S形和8字形四类典型轨迹进行了仿真验证。采用Hybrid A*算法在10 m x 8 m仓储栅格地图上规划了无碰撞路径,路径长度10.71 m。循迹控制层面,模拟5路TCRT5000红外传感器阵列进行PID循迹仿真,RMS横向误差为0.8 cm,最大横向误差为1.6 cm,验证了全局规划与局部循迹协同工作的可行性。</w:t>
      </w:r>
    </w:p>
    <w:p>
      <w:pPr>
        <w:spacing w:line="360" w:lineRule="auto"/>
        <w:ind w:firstLine="420"/>
      </w:pPr>
      <w:r>
        <w:rPr>
          <w:rFonts w:ascii="SimSun" w:hAnsi="SimSun" w:eastAsia="SimSun"/>
          <w:b w:val="0"/>
          <w:sz w:val="24"/>
        </w:rPr>
        <w:t>运动控制层面,设计了双环PID级联控制器(位姿外环+轮速内环),在MATLAB/Simulink环境中对阶跃响应、定点镇定、直线跟踪和圆形轨迹跟踪四种工况进行了仿真。仿真结果表明,本文所设计的举升式AGV在结构、路径规划与运动控制层面均具备可行性,可为后续样机研制和工程应用提供参考。</w:t>
      </w:r>
    </w:p>
    <w:p>
      <w:pPr>
        <w:spacing w:line="360" w:lineRule="auto"/>
      </w:pPr>
    </w:p>
    <w:p>
      <w:pPr>
        <w:spacing w:line="360" w:lineRule="auto"/>
        <w:ind w:firstLine="420"/>
      </w:pPr>
      <w:r>
        <w:rPr>
          <w:rFonts w:ascii="SimSun" w:hAnsi="SimSun" w:eastAsia="SimSun"/>
          <w:b w:val="0"/>
          <w:sz w:val="24"/>
        </w:rPr>
        <w:t>关键词:举升式AGV;智能仓储;差速驱动;路径规划;Hybrid A*;PID循迹控制</w:t>
      </w:r>
    </w:p>
    <w:p>
      <w:r>
        <w:br w:type="page"/>
      </w:r>
    </w:p>
    <w:p>
      <w:pPr>
        <w:spacing w:line="360" w:lineRule="auto"/>
        <w:jc w:val="center"/>
      </w:pPr>
      <w:r>
        <w:rPr>
          <w:rFonts w:ascii="Times New Roman" w:hAnsi="Times New Roman" w:eastAsia="Times New Roman"/>
          <w:b/>
          <w:sz w:val="32"/>
        </w:rPr>
        <w:t>Abstract</w:t>
      </w:r>
    </w:p>
    <w:p>
      <w:pPr>
        <w:spacing w:line="360" w:lineRule="auto"/>
      </w:pPr>
    </w:p>
    <w:p>
      <w:pPr>
        <w:spacing w:line="360" w:lineRule="auto"/>
        <w:ind w:firstLine="420"/>
      </w:pPr>
      <w:r>
        <w:rPr>
          <w:rFonts w:ascii="Times New Roman" w:hAnsi="Times New Roman" w:eastAsia="Times New Roman"/>
          <w:b w:val="0"/>
          <w:sz w:val="24"/>
        </w:rPr>
        <w:t>With the rapid development of e-commerce logistics and intelligent manufacturing, traditional warehouse handling methods face increasingly severe challenges in efficiency and labor costs. To enhance the automation level of warehouse handling, this thesis designs a lifting-type dual-wheel differential drive Automated Guided Vehicle (AGV), systematically conducting overall scheme design, mechanical structure design, electrical system design, kinematic modeling, path planning and line-following control, and motion control algorithm research.</w:t>
      </w:r>
    </w:p>
    <w:p>
      <w:pPr>
        <w:spacing w:line="360" w:lineRule="auto"/>
        <w:ind w:firstLine="420"/>
      </w:pPr>
      <w:r>
        <w:rPr>
          <w:rFonts w:ascii="Times New Roman" w:hAnsi="Times New Roman" w:eastAsia="Times New Roman"/>
          <w:b w:val="0"/>
          <w:sz w:val="24"/>
        </w:rPr>
        <w:t>For the overall scheme, the dual-wheel differential drive is selected after comparing three drive configurations, with key specifications including rated payload of 25 kg. For the mechanical structure, the chassis, lifting mechanism, and shell are designed. Finite element analysis of the supporting beam yields a maximum stress of 4.891 MPa, far below the Q235A yield strength of 235 MPa. For the electrical system, the STM32F103C8T6 microcontroller serves as the main controller, and interface circuits are designed for TCRT5000 infrared and HC-SR04 ultrasonic sensors.</w:t>
      </w:r>
    </w:p>
    <w:p>
      <w:pPr>
        <w:spacing w:line="360" w:lineRule="auto"/>
        <w:ind w:firstLine="420"/>
      </w:pPr>
      <w:r>
        <w:rPr>
          <w:rFonts w:ascii="Times New Roman" w:hAnsi="Times New Roman" w:eastAsia="Times New Roman"/>
          <w:b w:val="0"/>
          <w:sz w:val="24"/>
        </w:rPr>
        <w:t>In kinematic modeling and path planning, the differential-drive chassis kinematic equations are derived, and four typical trajectories are simulated in MATLAB. The Hybrid A* algorithm generates a collision-free path of 10.71 m in a 10 m x 8 m warehouse grid map. In line-following control, PID simulation with a 5-sensor TCRT5000 infrared array achieves an RMS lateral error of 0.8 cm and a maximum error of 1.6 cm.</w:t>
      </w:r>
    </w:p>
    <w:p>
      <w:pPr>
        <w:spacing w:line="360" w:lineRule="auto"/>
        <w:ind w:firstLine="420"/>
      </w:pPr>
      <w:r>
        <w:rPr>
          <w:rFonts w:ascii="Times New Roman" w:hAnsi="Times New Roman" w:eastAsia="Times New Roman"/>
          <w:b w:val="0"/>
          <w:sz w:val="24"/>
        </w:rPr>
        <w:t>In motion control, a dual-loop PID cascade controller (pose outer loop + wheel speed inner loop) is designed and simulated in MATLAB/Simulink under four scenarios. Simulation results demonstrate the feasibility of the designed lifting-type AGV in structure, path planning, and motion control, providing a reference for subsequent prototype development and engineering applications.</w:t>
      </w:r>
    </w:p>
    <w:p>
      <w:pPr>
        <w:spacing w:line="360" w:lineRule="auto"/>
      </w:pPr>
    </w:p>
    <w:p>
      <w:pPr>
        <w:spacing w:line="360" w:lineRule="auto"/>
        <w:ind w:firstLine="420"/>
      </w:pPr>
      <w:r>
        <w:rPr>
          <w:rFonts w:ascii="Times New Roman" w:hAnsi="Times New Roman" w:eastAsia="Times New Roman"/>
          <w:b w:val="0"/>
          <w:sz w:val="24"/>
        </w:rPr>
        <w:t>Keywords: Lifting AGV; Intelligent Warehouse; Differential Drive; Path Planning; Hybrid A*; PID Line-following Control</w:t>
      </w:r>
    </w:p>
    <w:p>
      <w:r>
        <w:br w:type="page"/>
      </w:r>
    </w:p>
    <w:p>
      <w:pPr>
        <w:spacing w:line="360" w:lineRule="auto"/>
        <w:jc w:val="center"/>
      </w:pPr>
      <w:r>
        <w:rPr>
          <w:rFonts w:ascii="SimHei" w:hAnsi="SimHei" w:eastAsia="SimHei"/>
          <w:b/>
          <w:sz w:val="32"/>
        </w:rPr>
        <w:t>目  录</w:t>
      </w:r>
    </w:p>
    <w:p>
      <w:pPr>
        <w:spacing w:line="360" w:lineRule="auto"/>
        <w:jc w:val="center"/>
      </w:pPr>
      <w:r>
        <w:rPr>
          <w:rFonts w:ascii="SimSun" w:hAnsi="SimSun" w:eastAsia="SimSun"/>
          <w:b w:val="0"/>
          <w:sz w:val="21"/>
        </w:rPr>
        <w:t>(请在Word中: 引用 -&gt; 目录 -&gt; 自动目录)</w:t>
      </w:r>
    </w:p>
    <w:p>
      <w:r>
        <w:br w:type="page"/>
      </w:r>
    </w:p>
    <w:p>
      <w:pPr>
        <w:spacing w:line="360" w:lineRule="auto"/>
        <w:jc w:val="center"/>
      </w:pPr>
      <w:r>
        <w:rPr>
          <w:rFonts w:ascii="SimHei" w:hAnsi="SimHei" w:eastAsia="SimHei"/>
          <w:b/>
          <w:sz w:val="32"/>
        </w:rPr>
        <w:t>第一章  引言</w:t>
      </w:r>
    </w:p>
    <w:p>
      <w:pPr>
        <w:spacing w:line="360" w:lineRule="auto"/>
      </w:pPr>
      <w:r>
        <w:rPr>
          <w:rFonts w:ascii="SimHei" w:hAnsi="SimHei" w:eastAsia="SimHei"/>
          <w:b/>
          <w:sz w:val="28"/>
        </w:rPr>
        <w:t>研究背景和意义</w:t>
      </w:r>
    </w:p>
    <w:p>
      <w:pPr>
        <w:spacing w:line="360" w:lineRule="auto"/>
        <w:ind w:firstLine="420"/>
      </w:pPr>
      <w:r>
        <w:rPr>
          <w:rFonts w:ascii="SimSun" w:hAnsi="SimSun" w:eastAsia="SimSun"/>
          <w:b w:val="0"/>
          <w:sz w:val="24"/>
        </w:rPr>
        <w:t>根据商务部发布的《中国新电商发展报告（2025）》\citespb2024_bulletin_20250522</w:t>
      </w:r>
    </w:p>
    <w:p>
      <w:pPr>
        <w:spacing w:line="360" w:lineRule="auto"/>
      </w:pPr>
      <w:r>
        <w:rPr>
          <w:rFonts w:ascii="SimHei" w:hAnsi="SimHei" w:eastAsia="SimHei"/>
          <w:b/>
          <w:sz w:val="28"/>
        </w:rPr>
        <w:t>国内外智能仓储移动机器人研究综述</w:t>
      </w:r>
    </w:p>
    <w:p>
      <w:pPr>
        <w:spacing w:line="360" w:lineRule="auto"/>
      </w:pPr>
      <w:r>
        <w:rPr>
          <w:rFonts w:ascii="SimHei" w:hAnsi="SimHei" w:eastAsia="SimHei"/>
          <w:b/>
          <w:sz w:val="24"/>
        </w:rPr>
        <w:t>智能仓储移动机器人国外研究现状</w:t>
      </w:r>
    </w:p>
    <w:p>
      <w:pPr>
        <w:spacing w:line="360" w:lineRule="auto"/>
        <w:ind w:firstLine="420"/>
      </w:pPr>
      <w:r>
        <w:rPr>
          <w:rFonts w:ascii="SimSun" w:hAnsi="SimSun" w:eastAsia="SimSun"/>
          <w:b w:val="0"/>
          <w:sz w:val="24"/>
        </w:rPr>
        <w:t>国外在仓储机器人领域的研发和商业化比起国内落地起步更早，成熟度也更高。亚马逊的Kiva系统是最具代表性的案例：2012年亚马逊斥资7.75亿美元收购Kiva公司，此后在全球仓库中批量部署Kiva机器人，以货架到人模式取代了传统人到货架的拣选流程，拣选效率提高了2至3倍，这一实践至今仍是AGV商业化运营的标杆\cite李成进2016智能移动机器人导航控制技术综述</w:t>
      </w:r>
    </w:p>
    <w:p>
      <w:pPr>
        <w:spacing w:line="360" w:lineRule="auto"/>
      </w:pPr>
      <w:r>
        <w:rPr>
          <w:rFonts w:ascii="SimHei" w:hAnsi="SimHei" w:eastAsia="SimHei"/>
          <w:b/>
          <w:sz w:val="24"/>
        </w:rPr>
        <w:t>智能仓储移动机器人国内研究现状</w:t>
      </w:r>
    </w:p>
    <w:p>
      <w:pPr>
        <w:spacing w:line="360" w:lineRule="auto"/>
        <w:ind w:firstLine="420"/>
      </w:pPr>
      <w:r>
        <w:rPr>
          <w:rFonts w:ascii="SimSun" w:hAnsi="SimSun" w:eastAsia="SimSun"/>
          <w:b w:val="0"/>
          <w:sz w:val="24"/>
        </w:rPr>
        <w:t>国内对AGV的研究可追溯到20世纪70年代末期，彼时的工作重心放在引进和仿制国外设备上，自主技术积淀不多。21世纪以来，制造业转型升级叠加电商行业的高速增长，使AGV逐步进入产业界和学术界的视野。2012年亚马逊收购Kiva Systems一事尤其具有标志性意义，国内企业由此认识到仓储机器人的巨大发展空间，京东、阿里、海康威视等公司先后布局这一赛道\cite谢轲晗2025数字赋能制造企业与物流企业融合创新发展的模式及路径研究</w:t>
      </w:r>
    </w:p>
    <w:p>
      <w:pPr>
        <w:spacing w:line="360" w:lineRule="auto"/>
      </w:pPr>
      <w:r>
        <w:rPr>
          <w:rFonts w:ascii="SimHei" w:hAnsi="SimHei" w:eastAsia="SimHei"/>
          <w:b/>
          <w:sz w:val="28"/>
        </w:rPr>
        <w:t>国内外智能仓储移动机器人路径规划算法研究现状</w:t>
      </w:r>
    </w:p>
    <w:p>
      <w:pPr>
        <w:spacing w:line="360" w:lineRule="auto"/>
        <w:ind w:firstLine="420"/>
      </w:pPr>
      <w:r>
        <w:rPr>
          <w:rFonts w:ascii="SimSun" w:hAnsi="SimSun" w:eastAsia="SimSun"/>
          <w:b w:val="0"/>
          <w:sz w:val="24"/>
        </w:rPr>
        <w:t>在国外研究方面，M Rybczak等人梳理了移动机器人控制中机器学习算法面临的计算资源、实时决策、环境适应性和安全可靠性等挑战\citerybczak2024survey</w:t>
      </w:r>
    </w:p>
    <w:p>
      <w:pPr>
        <w:spacing w:line="360" w:lineRule="auto"/>
      </w:pPr>
      <w:r>
        <w:rPr>
          <w:rFonts w:ascii="SimHei" w:hAnsi="SimHei" w:eastAsia="SimHei"/>
          <w:b/>
          <w:sz w:val="28"/>
        </w:rPr>
        <w:t>研究方法与手段</w:t>
      </w:r>
    </w:p>
    <w:p>
      <w:pPr>
        <w:spacing w:line="360" w:lineRule="auto"/>
        <w:ind w:firstLine="420"/>
      </w:pPr>
      <w:r>
        <w:rPr>
          <w:rFonts w:ascii="SimSun" w:hAnsi="SimSun" w:eastAsia="SimSun"/>
          <w:b w:val="0"/>
          <w:sz w:val="24"/>
        </w:rPr>
        <w:t>AGV的本体形态日趋多元化，旨在适配不同的仓储场景和搬运需求。本文所研究的对象是一款具备举升功能的自主搬运机器人，它集载货、升降与运输于一体，依靠举升机构完成货物装卸作业，可在一般工业和仓储环境中使用，且具有较好的扩展性和场景适应能力。 底盘设计环节着重考量工作方式、电机选型与平台布局等要素。整套系统包含升降机构、行走装置和避障模块三个部分：升降机构负责载物台的抬升与下降，行走装置驱动车辆移动，避障模块借助视觉或非视觉传感器探测前方障碍物，从而增强运行过程中的安全性。升降机构选用叉剪式结构，具备传动平稳、结构紧凑的优点；若面对大载荷工况，也可改用桅柱式或套筒式等替代方案。本文对差速驱动底盘进行运动学建模，差速底盘一般由两侧独立驱动轮和若干万向轮组成，依靠调节左右轮的速度差来实现行驶和转向。控制策略选用PID控制器，利用比例、积分与微分三种作用来缩减跟踪误差，图\reffig:pid</w:t>
      </w:r>
    </w:p>
    <w:p>
      <w:pPr>
        <w:spacing w:line="360" w:lineRule="auto"/>
        <w:jc w:val="center"/>
      </w:pPr>
      <w:r>
        <w:rPr>
          <w:rFonts w:ascii="SimHei" w:hAnsi="SimHei" w:eastAsia="SimHei"/>
          <w:b/>
          <w:sz w:val="32"/>
        </w:rPr>
        <w:t>第二章  智能仓储移动机器人总体设计方案</w:t>
      </w:r>
    </w:p>
    <w:p>
      <w:pPr>
        <w:spacing w:line="360" w:lineRule="auto"/>
      </w:pPr>
      <w:r>
        <w:rPr>
          <w:rFonts w:ascii="SimHei" w:hAnsi="SimHei" w:eastAsia="SimHei"/>
          <w:b/>
          <w:sz w:val="28"/>
        </w:rPr>
        <w:t>仓储移动机器人选型</w:t>
      </w:r>
    </w:p>
    <w:p>
      <w:pPr>
        <w:spacing w:line="360" w:lineRule="auto"/>
        <w:ind w:firstLine="420"/>
      </w:pPr>
      <w:r>
        <w:rPr>
          <w:rFonts w:ascii="SimSun" w:hAnsi="SimSun" w:eastAsia="SimSun"/>
          <w:b w:val="0"/>
          <w:sz w:val="24"/>
        </w:rPr>
        <w:t>智能仓储移动机器人根据功能定位和应用场景的不同可以分为多种类型。常见机器人类型的核心特点与应用场景对比见表\reftab:robot_types</w:t>
      </w:r>
    </w:p>
    <w:p>
      <w:pPr>
        <w:spacing w:line="360" w:lineRule="auto"/>
      </w:pPr>
      <w:r>
        <w:rPr>
          <w:rFonts w:ascii="SimHei" w:hAnsi="SimHei" w:eastAsia="SimHei"/>
          <w:b/>
          <w:sz w:val="28"/>
        </w:rPr>
        <w:t>设计需求和技术指标</w:t>
      </w:r>
    </w:p>
    <w:p>
      <w:pPr>
        <w:spacing w:line="360" w:lineRule="auto"/>
        <w:ind w:firstLine="420"/>
      </w:pPr>
      <w:r>
        <w:rPr>
          <w:rFonts w:ascii="SimSun" w:hAnsi="SimSun" w:eastAsia="SimSun"/>
          <w:b w:val="0"/>
          <w:sz w:val="24"/>
        </w:rPr>
        <w:t>电商物流和智能制造的快速推进，使依靠人工驾驶叉车或人力推车完成仓储搬运的传统方式在效率、安全性和人力开支等方面遭遇日益严峻的考验。为了满足智能仓储对空间利用率和作业灵活性的双重需求，本文设计了一款拥有自主导航能力的举升式移动机器人，它能够在货架密集的环境中自主行驶，执行物料的自动搬运与装卸任务。该系统以差速驱动\cite刘梓博2025基于双变量限幅</w:t>
      </w:r>
    </w:p>
    <w:p>
      <w:pPr>
        <w:spacing w:line="360" w:lineRule="auto"/>
      </w:pPr>
      <w:r>
        <w:rPr>
          <w:rFonts w:ascii="SimHei" w:hAnsi="SimHei" w:eastAsia="SimHei"/>
          <w:b/>
          <w:sz w:val="28"/>
        </w:rPr>
        <w:t>驱动选型</w:t>
      </w:r>
    </w:p>
    <w:p>
      <w:pPr>
        <w:spacing w:line="360" w:lineRule="auto"/>
        <w:ind w:firstLine="420"/>
      </w:pPr>
      <w:r>
        <w:rPr>
          <w:rFonts w:ascii="SimSun" w:hAnsi="SimSun" w:eastAsia="SimSun"/>
          <w:b w:val="0"/>
          <w:sz w:val="24"/>
        </w:rPr>
        <w:t>AGV的驱动方式受最大载荷、轮系数量、转向方式和驱动形式等多重因素制约，这些因素相互耦合，直接左右车辆的运动性能和适用范围，因而在设计阶段必须从整体系统视角出发，统筹兼顾结构、控制、成本和应用需求，才能得出合理的驱动方案。就目前而言，AGV的驱动形式大致可归为三类：单轮驱动、差速驱动和全方位驱动。 （1）单轮驱动 单轮驱动的特点在于一个驱动轮同时兼顾驱动和转向两项功能，从动轮对称布置在车体轴线两侧。驱动轮通常为舵轮，从动轮多为万向轮，如图\reffig:单轮驱动</w:t>
      </w:r>
    </w:p>
    <w:p>
      <w:pPr>
        <w:spacing w:line="360" w:lineRule="auto"/>
        <w:jc w:val="center"/>
      </w:pPr>
      <w:r>
        <w:rPr>
          <w:rFonts w:ascii="SimHei" w:hAnsi="SimHei" w:eastAsia="SimHei"/>
          <w:b/>
          <w:sz w:val="32"/>
        </w:rPr>
        <w:t>第三章  智能仓储移动机器人机械结构设计</w:t>
      </w:r>
    </w:p>
    <w:p>
      <w:pPr>
        <w:spacing w:line="360" w:lineRule="auto"/>
      </w:pPr>
      <w:r>
        <w:rPr>
          <w:rFonts w:ascii="SimHei" w:hAnsi="SimHei" w:eastAsia="SimHei"/>
          <w:b/>
          <w:sz w:val="28"/>
        </w:rPr>
        <w:t>核心部件结构设计</w:t>
      </w:r>
    </w:p>
    <w:p>
      <w:pPr>
        <w:spacing w:line="360" w:lineRule="auto"/>
      </w:pPr>
      <w:r>
        <w:rPr>
          <w:rFonts w:ascii="SimHei" w:hAnsi="SimHei" w:eastAsia="SimHei"/>
          <w:b/>
          <w:sz w:val="24"/>
        </w:rPr>
        <w:t>移动底盘</w:t>
      </w:r>
    </w:p>
    <w:p>
      <w:pPr>
        <w:spacing w:line="360" w:lineRule="auto"/>
        <w:ind w:firstLine="420"/>
      </w:pPr>
      <w:r>
        <w:rPr>
          <w:rFonts w:ascii="SimSun" w:hAnsi="SimSun" w:eastAsia="SimSun"/>
          <w:b w:val="0"/>
          <w:sz w:val="24"/>
        </w:rPr>
        <w:t>移动底盘采用差速驱动方式，核心部件包括两个独立控制的驱动轮和四个辅助万向轮。差速驱动轮分置于底盘两侧，各自由独立电机驱动，依靠调节左右轮速度差来实现转向和行驶控制。辅助万向轮分布在底盘四角，提供额外的支撑和稳定性，保障智能仓储移动机器人在复杂仓储环境中的平稳运行。底盘结构采用爚接鈢框方案，兼具良好的强度和稳定性，同时预留了充足的空间用于安装电气系统和传感器。如图\reffig:dipan</w:t>
      </w:r>
    </w:p>
    <w:p>
      <w:pPr>
        <w:spacing w:line="360" w:lineRule="auto"/>
      </w:pPr>
      <w:r>
        <w:rPr>
          <w:rFonts w:ascii="SimHei" w:hAnsi="SimHei" w:eastAsia="SimHei"/>
          <w:b/>
          <w:sz w:val="24"/>
        </w:rPr>
        <w:t>驱动轮</w:t>
      </w:r>
    </w:p>
    <w:p>
      <w:pPr>
        <w:spacing w:line="360" w:lineRule="auto"/>
        <w:ind w:firstLine="420"/>
      </w:pPr>
      <w:r>
        <w:rPr>
          <w:rFonts w:ascii="SimSun" w:hAnsi="SimSun" w:eastAsia="SimSun"/>
          <w:b w:val="0"/>
          <w:sz w:val="24"/>
        </w:rPr>
        <w:t>驱动轮是AGV小车的关键部件之一，如图\reffig:qudonglun</w:t>
      </w:r>
    </w:p>
    <w:p>
      <w:pPr>
        <w:spacing w:line="360" w:lineRule="auto"/>
      </w:pPr>
      <w:r>
        <w:rPr>
          <w:rFonts w:ascii="SimHei" w:hAnsi="SimHei" w:eastAsia="SimHei"/>
          <w:b/>
          <w:sz w:val="24"/>
        </w:rPr>
        <w:t>旋转机构部分</w:t>
      </w:r>
    </w:p>
    <w:p>
      <w:pPr>
        <w:spacing w:line="360" w:lineRule="auto"/>
        <w:ind w:firstLine="420"/>
      </w:pPr>
      <w:r>
        <w:rPr>
          <w:rFonts w:ascii="SimSun" w:hAnsi="SimSun" w:eastAsia="SimSun"/>
          <w:b w:val="0"/>
          <w:sz w:val="24"/>
        </w:rPr>
        <w:t>旋转机构是智能仓储移动机器人的重要功能模块之一，主要承担载物台的旋转任务，以便适应不同方向的搬运需求。如图\reffig:shengjiang</w:t>
      </w:r>
    </w:p>
    <w:p>
      <w:pPr>
        <w:spacing w:line="360" w:lineRule="auto"/>
      </w:pPr>
      <w:r>
        <w:rPr>
          <w:rFonts w:ascii="SimHei" w:hAnsi="SimHei" w:eastAsia="SimHei"/>
          <w:b/>
          <w:sz w:val="24"/>
        </w:rPr>
        <w:t>罩壳设计</w:t>
      </w:r>
    </w:p>
    <w:p>
      <w:pPr>
        <w:spacing w:line="360" w:lineRule="auto"/>
        <w:ind w:firstLine="420"/>
      </w:pPr>
      <w:r>
        <w:rPr>
          <w:rFonts w:ascii="SimSun" w:hAnsi="SimSun" w:eastAsia="SimSun"/>
          <w:b w:val="0"/>
          <w:sz w:val="24"/>
        </w:rPr>
        <w:t>罩壳设计是智能仓储移动机器人不可或缺的组成部分，其主要职能是保护内部机械结构和电气系统免受外部环境干扰，同时兼顾美观和操作便利。如图\reffig:zhaoke</w:t>
      </w:r>
    </w:p>
    <w:p>
      <w:pPr>
        <w:spacing w:line="360" w:lineRule="auto"/>
      </w:pPr>
      <w:r>
        <w:rPr>
          <w:rFonts w:ascii="SimHei" w:hAnsi="SimHei" w:eastAsia="SimHei"/>
          <w:b/>
          <w:sz w:val="28"/>
        </w:rPr>
        <w:t>总体结构设计</w:t>
      </w:r>
    </w:p>
    <w:p>
      <w:pPr>
        <w:spacing w:line="360" w:lineRule="auto"/>
        <w:ind w:firstLine="420"/>
      </w:pPr>
      <w:r>
        <w:rPr>
          <w:rFonts w:ascii="SimSun" w:hAnsi="SimSun" w:eastAsia="SimSun"/>
          <w:b w:val="0"/>
          <w:sz w:val="24"/>
        </w:rPr>
        <w:t>在前述核心部件设计的基础上，对举升式智能仓储移动机器人的整体机械结构进行概述。智能仓储移动机器人总体机械结构的三维模型如图\reffig:agv_zongti</w:t>
      </w:r>
    </w:p>
    <w:p>
      <w:pPr>
        <w:spacing w:line="360" w:lineRule="auto"/>
      </w:pPr>
      <w:r>
        <w:rPr>
          <w:rFonts w:ascii="SimHei" w:hAnsi="SimHei" w:eastAsia="SimHei"/>
          <w:b/>
          <w:sz w:val="28"/>
        </w:rPr>
        <w:t>结构强度校核和有限元分析</w:t>
      </w:r>
    </w:p>
    <w:p>
      <w:pPr>
        <w:spacing w:line="360" w:lineRule="auto"/>
      </w:pPr>
      <w:r>
        <w:rPr>
          <w:rFonts w:ascii="SimHei" w:hAnsi="SimHei" w:eastAsia="SimHei"/>
          <w:b/>
          <w:sz w:val="24"/>
        </w:rPr>
        <w:t>力学分析选择</w:t>
      </w:r>
    </w:p>
    <w:p>
      <w:pPr>
        <w:spacing w:line="360" w:lineRule="auto"/>
        <w:ind w:firstLine="420"/>
      </w:pPr>
      <w:r>
        <w:rPr>
          <w:rFonts w:ascii="SimSun" w:hAnsi="SimSun" w:eastAsia="SimSun"/>
          <w:b w:val="0"/>
          <w:sz w:val="24"/>
        </w:rPr>
        <w:t>依据上述设计和计算结果，选定智能仓储移动机器人浮动支撑梁作为受力分析对象。智能仓储移动机器人本体重量为200 kg，额定载荷为25 kg，故满载情况下系统总重量为： AGV轮系为“2个驱动轮+4个万向轮”。在结构初步校核中，为便于计算并取偏保守估计，将主要垂向载荷按两侧主承载梁分担处理，万向轮仅作为辅助支撑与导向。假设两侧主承载梁受力分布均匀，则单根支撑梁所承受的力可按总重量的一半估算，即： 在实际设计中，为保证安全性与可靠性，通常需要考虑安全系数。本文此处属于静载工况下的方案级初步校核，两侧主承载梁按均分假设各承担总载荷的一半，同时取1.02的名义放大系数以覆盖重心偏移等小量不确定性。后续工程定型阶段应依据GB/T 3811等规范重新核算安全系数。单根支撑梁的设计受力可近似为： 因此，在后续的结构设计与强度校核过程中，将以 1125 N 作为单根支撑梁的最大受力值进行分析。这一数值将作为梁的截面选择、材料强度校核以及疲劳寿命分析的重要依据。</w:t>
      </w:r>
    </w:p>
    <w:p>
      <w:pPr>
        <w:spacing w:line="360" w:lineRule="auto"/>
      </w:pPr>
      <w:r>
        <w:rPr>
          <w:rFonts w:ascii="SimHei" w:hAnsi="SimHei" w:eastAsia="SimHei"/>
          <w:b/>
          <w:sz w:val="24"/>
        </w:rPr>
        <w:t>支撑材料选择</w:t>
      </w:r>
    </w:p>
    <w:p>
      <w:pPr>
        <w:spacing w:line="360" w:lineRule="auto"/>
        <w:ind w:firstLine="420"/>
      </w:pPr>
      <w:r>
        <w:rPr>
          <w:rFonts w:ascii="SimSun" w:hAnsi="SimSun" w:eastAsia="SimSun"/>
          <w:b w:val="0"/>
          <w:sz w:val="24"/>
        </w:rPr>
        <w:t>在材料选择方面，综合权衡了结构强度、安全系数、经济成本、零件的加工工艺特性以及实际使用环境的适应性。经过多番对比，最终确定选用Q235A普通碳素结构钢作为支撑梁材料。该钢材在机械制造和工程结构中应用广泛，焊接性能、塑性和韧性均表现良好，且价格较为低廉，能够满足本设计的承载需求和经济性要求。 其主要性能参数如下表所示：</w:t>
      </w:r>
    </w:p>
    <w:p>
      <w:pPr>
        <w:spacing w:line="360" w:lineRule="auto"/>
      </w:pPr>
      <w:r>
        <w:rPr>
          <w:rFonts w:ascii="SimHei" w:hAnsi="SimHei" w:eastAsia="SimHei"/>
          <w:b/>
          <w:sz w:val="24"/>
        </w:rPr>
        <w:t>有限元分析</w:t>
      </w:r>
    </w:p>
    <w:p>
      <w:pPr>
        <w:spacing w:line="360" w:lineRule="auto"/>
        <w:ind w:firstLine="420"/>
      </w:pPr>
      <w:r>
        <w:rPr>
          <w:rFonts w:ascii="SimSun" w:hAnsi="SimSun" w:eastAsia="SimSun"/>
          <w:b w:val="0"/>
          <w:sz w:val="24"/>
        </w:rPr>
        <w:t>材料选定后，对支撑梁开展有限元分析，以检验其在最大受力工况下的强度和安全性。 一是先选择固定位点，如图\reffig:fangzhen1</w:t>
      </w:r>
    </w:p>
    <w:p>
      <w:pPr>
        <w:spacing w:line="360" w:lineRule="auto"/>
        <w:jc w:val="center"/>
      </w:pPr>
      <w:r>
        <w:rPr>
          <w:rFonts w:ascii="SimHei" w:hAnsi="SimHei" w:eastAsia="SimHei"/>
          <w:b/>
          <w:sz w:val="32"/>
        </w:rPr>
        <w:t>第四章  智能仓储移动机器人电气系统设计</w:t>
      </w:r>
    </w:p>
    <w:p>
      <w:pPr>
        <w:spacing w:line="360" w:lineRule="auto"/>
      </w:pPr>
      <w:r>
        <w:rPr>
          <w:rFonts w:ascii="SimHei" w:hAnsi="SimHei" w:eastAsia="SimHei"/>
          <w:b/>
          <w:sz w:val="28"/>
        </w:rPr>
        <w:t>电气系统总体架构</w:t>
      </w:r>
    </w:p>
    <w:p>
      <w:pPr>
        <w:spacing w:line="360" w:lineRule="auto"/>
      </w:pPr>
      <w:r>
        <w:rPr>
          <w:rFonts w:ascii="SimHei" w:hAnsi="SimHei" w:eastAsia="SimHei"/>
          <w:b/>
          <w:sz w:val="24"/>
        </w:rPr>
        <w:t>智能仓储移动机器人主控制器选择</w:t>
      </w:r>
    </w:p>
    <w:p>
      <w:pPr>
        <w:spacing w:line="360" w:lineRule="auto"/>
        <w:ind w:firstLine="420"/>
      </w:pPr>
      <w:r>
        <w:rPr>
          <w:rFonts w:ascii="SimSun" w:hAnsi="SimSun" w:eastAsia="SimSun"/>
          <w:b w:val="0"/>
          <w:sz w:val="24"/>
        </w:rPr>
        <w:t>在智能仓储移动机器人的电气系统设计中，主控制器的选型是整套方案能否落地的关键环节。综合权衡性能、成本和开发难度等因素后，选定STM32F103C8T6芯片作为主控单元。该芯片基于ARM Cortex-M3内核，运算能力较好、功耗较低、外设接口丰富，能够满足智能仓储移动机器人在导航和避障方面的需求，图\reffig:stm32f103c8t6实物图</w:t>
      </w:r>
    </w:p>
    <w:p>
      <w:pPr>
        <w:spacing w:line="360" w:lineRule="auto"/>
      </w:pPr>
      <w:r>
        <w:rPr>
          <w:rFonts w:ascii="SimHei" w:hAnsi="SimHei" w:eastAsia="SimHei"/>
          <w:b/>
          <w:sz w:val="28"/>
        </w:rPr>
        <w:t>电机，传感器等部件选型</w:t>
      </w:r>
    </w:p>
    <w:p>
      <w:pPr>
        <w:spacing w:line="360" w:lineRule="auto"/>
      </w:pPr>
      <w:r>
        <w:rPr>
          <w:rFonts w:ascii="SimHei" w:hAnsi="SimHei" w:eastAsia="SimHei"/>
          <w:b/>
          <w:sz w:val="24"/>
        </w:rPr>
        <w:t>电机选型</w:t>
      </w:r>
    </w:p>
    <w:p>
      <w:pPr>
        <w:spacing w:line="360" w:lineRule="auto"/>
        <w:ind w:firstLine="420"/>
      </w:pPr>
      <w:r>
        <w:rPr>
          <w:rFonts w:ascii="SimSun" w:hAnsi="SimSun" w:eastAsia="SimSun"/>
          <w:b w:val="0"/>
          <w:sz w:val="24"/>
        </w:rPr>
        <w:t>在AGV小车的电机选型过程中，由于本设计采用差速驱动方式，且搬运小车对定位精度和低速平稳性有较高要求，因此驱动电机不仅要提供足够的牵引力，还应具备良好的调速性能和一定的功率裕量。根据设计要求，搬运车最大牵引线速度为30m/min，驱动轮直径为150mm，则驱动轮转速可由式\eqrefeq:4-2-1</w:t>
      </w:r>
    </w:p>
    <w:p>
      <w:pPr>
        <w:spacing w:line="360" w:lineRule="auto"/>
      </w:pPr>
      <w:r>
        <w:rPr>
          <w:rFonts w:ascii="SimHei" w:hAnsi="SimHei" w:eastAsia="SimHei"/>
          <w:b/>
          <w:sz w:val="24"/>
        </w:rPr>
        <w:t>减速器选型</w:t>
      </w:r>
    </w:p>
    <w:p>
      <w:pPr>
        <w:spacing w:line="360" w:lineRule="auto"/>
        <w:ind w:firstLine="420"/>
      </w:pPr>
      <w:r>
        <w:rPr>
          <w:rFonts w:ascii="SimSun" w:hAnsi="SimSun" w:eastAsia="SimSun"/>
          <w:b w:val="0"/>
          <w:sz w:val="24"/>
        </w:rPr>
        <w:t>依据前述计算结果，驱动电机的额定转速为$n_1=3000\mathrmr/min</w:t>
      </w:r>
    </w:p>
    <w:p>
      <w:pPr>
        <w:spacing w:line="360" w:lineRule="auto"/>
      </w:pPr>
      <w:r>
        <w:rPr>
          <w:rFonts w:ascii="SimHei" w:hAnsi="SimHei" w:eastAsia="SimHei"/>
          <w:b/>
          <w:sz w:val="24"/>
        </w:rPr>
        <w:t>传感器选型</w:t>
      </w:r>
    </w:p>
    <w:p>
      <w:pPr>
        <w:spacing w:line="360" w:lineRule="auto"/>
        <w:ind w:firstLine="420"/>
      </w:pPr>
      <w:r>
        <w:rPr>
          <w:rFonts w:ascii="SimSun" w:hAnsi="SimSun" w:eastAsia="SimSun"/>
          <w:b w:val="0"/>
          <w:sz w:val="24"/>
        </w:rPr>
        <w:t>AGV配备红外传感器和超声波传感器两种类型，二者在检测距离、响应速度和适用场景方面各具优势，通过配合使用可实现互补。红外传感器基于光电反射原理，适合近距离检测，具有响应速度快、体积小、成本低的特点，常用于地面循迹线检测；超声波传感器基于声波飞行时间测距原理，适合中远距离障碍物检测，精度较高且不受光照条件影响。两类传感器协同使用，分别承担循迹和避障功能，使AGV对周围环境的感知更加全面。 红外线传感器选用型号为TCRT5000的反射式红外传感器，如图\reffig:TCRT5000</w:t>
      </w:r>
    </w:p>
    <w:p>
      <w:pPr>
        <w:spacing w:line="360" w:lineRule="auto"/>
      </w:pPr>
      <w:r>
        <w:rPr>
          <w:rFonts w:ascii="SimHei" w:hAnsi="SimHei" w:eastAsia="SimHei"/>
          <w:b/>
          <w:sz w:val="28"/>
        </w:rPr>
        <w:t>控制电路设计</w:t>
      </w:r>
    </w:p>
    <w:p>
      <w:pPr>
        <w:spacing w:line="360" w:lineRule="auto"/>
      </w:pPr>
      <w:r>
        <w:rPr>
          <w:rFonts w:ascii="SimHei" w:hAnsi="SimHei" w:eastAsia="SimHei"/>
          <w:b/>
          <w:sz w:val="24"/>
        </w:rPr>
        <w:t>STM32F103C8T6最小系统</w:t>
      </w:r>
    </w:p>
    <w:p>
      <w:pPr>
        <w:spacing w:line="360" w:lineRule="auto"/>
        <w:ind w:firstLine="420"/>
      </w:pPr>
      <w:r>
        <w:rPr>
          <w:rFonts w:ascii="SimSun" w:hAnsi="SimSun" w:eastAsia="SimSun"/>
          <w:b w:val="0"/>
          <w:sz w:val="24"/>
        </w:rPr>
        <w:t>STM32F103C8T6最小系统主要由电源电路、滤波电路、时钟电路、SWD程序下载调试电路和复位电路组成。如图\reffig:stm32f103c8t6_min</w:t>
      </w:r>
    </w:p>
    <w:p>
      <w:pPr>
        <w:spacing w:line="360" w:lineRule="auto"/>
      </w:pPr>
      <w:r>
        <w:rPr>
          <w:rFonts w:ascii="SimHei" w:hAnsi="SimHei" w:eastAsia="SimHei"/>
          <w:b/>
          <w:sz w:val="24"/>
        </w:rPr>
        <w:t>传感器接口电路设计</w:t>
      </w:r>
    </w:p>
    <w:p>
      <w:pPr>
        <w:spacing w:line="360" w:lineRule="auto"/>
        <w:ind w:firstLine="420"/>
      </w:pPr>
      <w:r>
        <w:rPr>
          <w:rFonts w:ascii="SimSun" w:hAnsi="SimSun" w:eastAsia="SimSun"/>
          <w:b w:val="0"/>
          <w:sz w:val="24"/>
        </w:rPr>
        <w:t>传感器接口电路涵盖红外传感器接口和超声波传感器接口两部分，保障AGV能够准确获取环境信息。 红外传感器接口电路用于连接TCRT5000，保障其与STM32的正常通信。如图\reffig:ir_interface</w:t>
      </w:r>
    </w:p>
    <w:p>
      <w:pPr>
        <w:spacing w:line="360" w:lineRule="auto"/>
        <w:jc w:val="center"/>
      </w:pPr>
      <w:r>
        <w:rPr>
          <w:rFonts w:ascii="SimHei" w:hAnsi="SimHei" w:eastAsia="SimHei"/>
          <w:b/>
          <w:sz w:val="32"/>
        </w:rPr>
        <w:t>第五章  智能仓储移动机器人运动学建模与仿真</w:t>
      </w:r>
    </w:p>
    <w:p>
      <w:pPr>
        <w:spacing w:line="360" w:lineRule="auto"/>
      </w:pPr>
      <w:r>
        <w:rPr>
          <w:rFonts w:ascii="SimHei" w:hAnsi="SimHei" w:eastAsia="SimHei"/>
          <w:b/>
          <w:sz w:val="28"/>
        </w:rPr>
        <w:t>差速驱动底盘运动学方程推导</w:t>
      </w:r>
    </w:p>
    <w:p>
      <w:pPr>
        <w:spacing w:line="360" w:lineRule="auto"/>
        <w:ind w:firstLine="420"/>
      </w:pPr>
      <w:r>
        <w:rPr>
          <w:rFonts w:ascii="SimSun" w:hAnsi="SimSun" w:eastAsia="SimSun"/>
          <w:b w:val="0"/>
          <w:sz w:val="24"/>
        </w:rPr>
        <w:t>在对智能仓储移动机器人的运动性能进行分析和控制之前，需要建立能够反映其结构特性和运动约束的运动学模型。运动学模型描述的是机器人位姿（位置与姿态）随时间的变化规律，不涉及力和力矩等动力学因素，是开展轨迹规划、速度控制和路径跟踪的基础。对于本文所研究的双轮差速智能仓储移动机器人，其运动主要发生在二维平面内，故可借助平面直角坐标和航向角建立运动学方程，为后续的轨迹仿真和控制器设计提供数学基础。 所研究的智能仓储移动机器人为双轮差速移动机器人，模型如图\ref双轮模型.png</w:t>
      </w:r>
    </w:p>
    <w:p>
      <w:pPr>
        <w:spacing w:line="360" w:lineRule="auto"/>
      </w:pPr>
      <w:r>
        <w:rPr>
          <w:rFonts w:ascii="SimHei" w:hAnsi="SimHei" w:eastAsia="SimHei"/>
          <w:b/>
          <w:sz w:val="28"/>
        </w:rPr>
        <w:t>典型运动轨迹仿真与分析</w:t>
      </w:r>
    </w:p>
    <w:p>
      <w:pPr>
        <w:spacing w:line="360" w:lineRule="auto"/>
        <w:ind w:firstLine="420"/>
      </w:pPr>
      <w:r>
        <w:rPr>
          <w:rFonts w:ascii="SimSun" w:hAnsi="SimSun" w:eastAsia="SimSun"/>
          <w:b w:val="0"/>
          <w:sz w:val="24"/>
        </w:rPr>
        <w:t>依据附录程序\textttchasu.m</w:t>
      </w:r>
    </w:p>
    <w:p>
      <w:pPr>
        <w:spacing w:line="360" w:lineRule="auto"/>
      </w:pPr>
      <w:r>
        <w:rPr>
          <w:rFonts w:ascii="SimHei" w:hAnsi="SimHei" w:eastAsia="SimHei"/>
          <w:b/>
          <w:sz w:val="28"/>
        </w:rPr>
        <w:t>路径规划与循迹仿真</w:t>
      </w:r>
    </w:p>
    <w:p>
      <w:pPr>
        <w:spacing w:line="360" w:lineRule="auto"/>
      </w:pPr>
      <w:r>
        <w:rPr>
          <w:rFonts w:ascii="SimHei" w:hAnsi="SimHei" w:eastAsia="SimHei"/>
          <w:b/>
          <w:sz w:val="24"/>
        </w:rPr>
        <w:t>Hybrid A*路径规划算法</w:t>
      </w:r>
    </w:p>
    <w:p>
      <w:pPr>
        <w:spacing w:line="360" w:lineRule="auto"/>
        <w:ind w:firstLine="420"/>
      </w:pPr>
      <w:r>
        <w:rPr>
          <w:rFonts w:ascii="SimSun" w:hAnsi="SimSun" w:eastAsia="SimSun"/>
          <w:b w:val="0"/>
          <w:sz w:val="24"/>
        </w:rPr>
        <w:t>Hybrid A*算法在传统A*搜索算法基础上加入了非完整约束的运动学可行性扩展，适用于差速驱动等具有转弯半径限制的移动机器人。与标准A*在离散栅格上仅允许8邻域移动不同，Hybrid A*的节点状态包含位置和航向角[公式]，扩展时采用符合差速运动学的运动基元生成后继节点，从而保证规划路径可直接被底层控制器执行。 本文采用的运动基元基于差速驱动模型。由式\eqrefeq:linear_velocity</w:t>
      </w:r>
    </w:p>
    <w:p>
      <w:pPr>
        <w:spacing w:line="360" w:lineRule="auto"/>
      </w:pPr>
      <w:r>
        <w:rPr>
          <w:rFonts w:ascii="SimHei" w:hAnsi="SimHei" w:eastAsia="SimHei"/>
          <w:b/>
          <w:sz w:val="24"/>
        </w:rPr>
        <w:t>路径规划仿真结果</w:t>
      </w:r>
    </w:p>
    <w:p>
      <w:pPr>
        <w:spacing w:line="360" w:lineRule="auto"/>
        <w:ind w:firstLine="420"/>
      </w:pPr>
      <w:r>
        <w:rPr>
          <w:rFonts w:ascii="SimSun" w:hAnsi="SimSun" w:eastAsia="SimSun"/>
          <w:b w:val="0"/>
          <w:sz w:val="24"/>
        </w:rPr>
        <w:t>基于上述参数运行Hybrid A*算法，搜索过程在第3134次迭代时成功找到可行路径，生成的规划路径如图\reffig:hybrid_astar_result</w:t>
      </w:r>
    </w:p>
    <w:p>
      <w:pPr>
        <w:spacing w:line="360" w:lineRule="auto"/>
      </w:pPr>
      <w:r>
        <w:rPr>
          <w:rFonts w:ascii="SimHei" w:hAnsi="SimHei" w:eastAsia="SimHei"/>
          <w:b/>
          <w:sz w:val="24"/>
        </w:rPr>
        <w:t>红外传感器循迹模型</w:t>
      </w:r>
    </w:p>
    <w:p>
      <w:pPr>
        <w:spacing w:line="360" w:lineRule="auto"/>
        <w:ind w:firstLine="420"/>
      </w:pPr>
      <w:r>
        <w:rPr>
          <w:rFonts w:ascii="SimSun" w:hAnsi="SimSun" w:eastAsia="SimSun"/>
          <w:b w:val="0"/>
          <w:sz w:val="24"/>
        </w:rPr>
        <w:t>获得参考路径后，采用5路TCRT5000反射式红外传感器阵列进行轨迹线检测，实现循迹控制。传感器阵列安装在车体前端、驱动轮轴线前方$80\ \textmm</w:t>
      </w:r>
    </w:p>
    <w:p>
      <w:pPr>
        <w:spacing w:line="360" w:lineRule="auto"/>
      </w:pPr>
      <w:r>
        <w:rPr>
          <w:rFonts w:ascii="SimHei" w:hAnsi="SimHei" w:eastAsia="SimHei"/>
          <w:b/>
          <w:sz w:val="24"/>
        </w:rPr>
        <w:t>循迹仿真结果与分析</w:t>
      </w:r>
    </w:p>
    <w:p>
      <w:pPr>
        <w:spacing w:line="360" w:lineRule="auto"/>
        <w:ind w:firstLine="420"/>
      </w:pPr>
      <w:r>
        <w:rPr>
          <w:rFonts w:ascii="SimSun" w:hAnsi="SimSun" w:eastAsia="SimSun"/>
          <w:b w:val="0"/>
          <w:sz w:val="24"/>
        </w:rPr>
        <w:t>将Hybrid A*规划并插值后的路径作为参考线，运行PID循迹仿真，结果如图\reffig:line_following_result</w:t>
      </w:r>
    </w:p>
    <w:p>
      <w:pPr>
        <w:spacing w:line="360" w:lineRule="auto"/>
        <w:jc w:val="center"/>
      </w:pPr>
      <w:r>
        <w:rPr>
          <w:rFonts w:ascii="SimHei" w:hAnsi="SimHei" w:eastAsia="SimHei"/>
          <w:b/>
          <w:sz w:val="32"/>
        </w:rPr>
        <w:t>第六章  智能仓储移动机器人运动控制算法分析</w:t>
      </w:r>
    </w:p>
    <w:p>
      <w:pPr>
        <w:spacing w:line="360" w:lineRule="auto"/>
      </w:pPr>
      <w:r>
        <w:rPr>
          <w:rFonts w:ascii="SimHei" w:hAnsi="SimHei" w:eastAsia="SimHei"/>
          <w:b/>
          <w:sz w:val="28"/>
        </w:rPr>
        <w:t>PID控制算法原理</w:t>
      </w:r>
    </w:p>
    <w:p>
      <w:pPr>
        <w:spacing w:line="360" w:lineRule="auto"/>
        <w:ind w:firstLine="420"/>
      </w:pPr>
      <w:r>
        <w:rPr>
          <w:rFonts w:ascii="SimSun" w:hAnsi="SimSun" w:eastAsia="SimSun"/>
          <w:b w:val="0"/>
          <w:sz w:val="24"/>
        </w:rPr>
        <w:t>PID控制器由比例（Proportional）、积分（Integral）和微分（Derivative）三个环节组成，是工业控制领域应用最为广泛的经典闭环控制方法，至今已有近百年的应用历史。PID控制器的基本思想是根据系统输出与期望值之间的偏差来构造控制量：比例环节对误差进行放大，提供快速的响应能力，但单独使用时会存在稳态误差；积分环节对误差进行累积，能够消除稳态误差，但可能导致响应变慢和超调增大；微分环节对误差的变化趋势进行预测，具有提前调节的作用，能够抑制超调与振荡，但对噪声较为敏感。三个环节相互配合，通过合理整定各自的增益系数，可以使系统同时具备较快的响应速度、较小的稳态误差和良好的动态品质。 在智能仓储移动机器人的运动控制中，PID控制器主要用于调节电机转速和机器人姿态响应。通过分别对比例增益[公式]、积分增益[公式]和微分增益[公式]三个参数进行整定，可以改善系统对目标信号的跟踪速度和对干扰信号的抑制能力，使智能仓储移动机器人在不同工况下保持稳定的运动性能。 PID控制器的输出信号[公式]由三部分组成： 其中，[公式]表示目标值与实际值之间的误差，[公式]、[公式]和[公式]分别为比例增益、积分增益和微分增益。</w:t>
      </w:r>
    </w:p>
    <w:p>
      <w:pPr>
        <w:spacing w:line="360" w:lineRule="auto"/>
      </w:pPr>
      <w:r>
        <w:rPr>
          <w:rFonts w:ascii="SimHei" w:hAnsi="SimHei" w:eastAsia="SimHei"/>
          <w:b/>
          <w:sz w:val="28"/>
        </w:rPr>
        <w:t>双轮差速PID控制器设计</w:t>
      </w:r>
    </w:p>
    <w:p>
      <w:pPr>
        <w:spacing w:line="360" w:lineRule="auto"/>
        <w:ind w:firstLine="420"/>
      </w:pPr>
      <w:r>
        <w:rPr>
          <w:rFonts w:ascii="SimSun" w:hAnsi="SimSun" w:eastAsia="SimSun"/>
          <w:b w:val="0"/>
          <w:sz w:val="24"/>
        </w:rPr>
        <w:t>针对双轮差速AGV的运动控制问题，本文采用双环PID级联控制架构。外环为位姿环，依据位置偏差和航向偏差计算期望线速度$v_\mathrmcmd</w:t>
      </w:r>
    </w:p>
    <w:p>
      <w:pPr>
        <w:spacing w:line="360" w:lineRule="auto"/>
      </w:pPr>
      <w:r>
        <w:rPr>
          <w:rFonts w:ascii="SimHei" w:hAnsi="SimHei" w:eastAsia="SimHei"/>
          <w:b/>
          <w:sz w:val="28"/>
        </w:rPr>
        <w:t>基本运动控制实现</w:t>
      </w:r>
    </w:p>
    <w:p>
      <w:pPr>
        <w:spacing w:line="360" w:lineRule="auto"/>
        <w:ind w:firstLine="420"/>
      </w:pPr>
      <w:r>
        <w:rPr>
          <w:rFonts w:ascii="SimSun" w:hAnsi="SimSun" w:eastAsia="SimSun"/>
          <w:b w:val="0"/>
          <w:sz w:val="24"/>
        </w:rPr>
        <w:t>控制器在STM32F103C8T6上以定时器中断方式周期性执行，中断周期$T_s=5\mathrmms</w:t>
      </w:r>
    </w:p>
    <w:p>
      <w:pPr>
        <w:spacing w:line="360" w:lineRule="auto"/>
      </w:pPr>
      <w:r>
        <w:rPr>
          <w:rFonts w:ascii="SimHei" w:hAnsi="SimHei" w:eastAsia="SimHei"/>
          <w:b/>
          <w:sz w:val="28"/>
        </w:rPr>
        <w:t>控制效果仿真验证</w:t>
      </w:r>
    </w:p>
    <w:p>
      <w:pPr>
        <w:spacing w:line="360" w:lineRule="auto"/>
        <w:ind w:firstLine="420"/>
      </w:pPr>
      <w:r>
        <w:rPr>
          <w:rFonts w:ascii="SimSun" w:hAnsi="SimSun" w:eastAsia="SimSun"/>
          <w:b w:val="0"/>
          <w:sz w:val="24"/>
        </w:rPr>
        <w:t>为验证双环PID控制器的有效性，在MATLAB环境下搭建差速AGV闭环仿真模型。仿真参数与实物设计保持一致：轮半径$r=0.075\mathrmm</w:t>
      </w:r>
    </w:p>
    <w:p>
      <w:pPr>
        <w:spacing w:line="360" w:lineRule="auto"/>
        <w:jc w:val="center"/>
      </w:pPr>
      <w:r>
        <w:rPr>
          <w:rFonts w:ascii="SimHei" w:hAnsi="SimHei" w:eastAsia="SimHei"/>
          <w:b/>
          <w:sz w:val="32"/>
        </w:rPr>
        <w:t>第七章  结论</w:t>
      </w:r>
    </w:p>
    <w:p>
      <w:pPr>
        <w:spacing w:line="360" w:lineRule="auto"/>
      </w:pPr>
      <w:r>
        <w:rPr>
          <w:rFonts w:ascii="SimHei" w:hAnsi="SimHei" w:eastAsia="SimHei"/>
          <w:b/>
          <w:sz w:val="28"/>
        </w:rPr>
        <w:t>全文工作总结</w:t>
      </w:r>
    </w:p>
    <w:p>
      <w:pPr>
        <w:spacing w:line="360" w:lineRule="auto"/>
        <w:ind w:firstLine="420"/>
      </w:pPr>
      <w:r>
        <w:rPr>
          <w:rFonts w:ascii="SimSun" w:hAnsi="SimSun" w:eastAsia="SimSun"/>
          <w:b w:val="0"/>
          <w:sz w:val="24"/>
        </w:rPr>
        <w:t>本文围绕智能仓储场景下举升式AGV小车的设计需求，从总体方案、机械结构、电气系统、运动学建模、路径规划与循迹控制、运动控制算法等方面展开了较为系统的研究工作，主要成果如下： &lt;&lt;&lt;&lt;&lt;&lt;&lt; HEAD 经过单轮驱动、差速驱动和全方位驱动三种方案的对比分析，确定了以双轮差速驱动为核心的举升式AGV总体方案，明确了关键技术指标包括：额定载重25kg、举升行程0.2m、最大行驶速度30m/min等。 ======= 经过单轮驱动、差速驱动和全方位驱动三种方案的对比分析，确定了以双轮差速驱动为核心的举升式AGV总体方案，明确了关键技术指标包括：额定载重25kg、举升行程0.5m、最大行驶速度30m/min等。 &gt;&gt;&gt;&gt;&gt;&gt;&gt; 749bd42f7a0301ffcda8ea498c76383540847327 机械结构层面，完成了移动底盘、驱动轮及减振机构、旋转升降机构和罩壳等核心部件的结构设计，并选取Q235A碳素结构钢作为支撑梁材料。通过有限元分析检验了支撑梁在满载工况下的最大应力为$4.891\textMPa</w:t>
      </w:r>
    </w:p>
    <w:p>
      <w:pPr>
        <w:spacing w:line="360" w:lineRule="auto"/>
      </w:pPr>
      <w:r>
        <w:rPr>
          <w:rFonts w:ascii="SimHei" w:hAnsi="SimHei" w:eastAsia="SimHei"/>
          <w:b/>
          <w:sz w:val="28"/>
        </w:rPr>
        <w:t>不足和改进方向</w:t>
      </w:r>
    </w:p>
    <w:p>
      <w:pPr>
        <w:spacing w:line="360" w:lineRule="auto"/>
        <w:ind w:firstLine="420"/>
      </w:pPr>
      <w:r>
        <w:rPr>
          <w:rFonts w:ascii="SimSun" w:hAnsi="SimSun" w:eastAsia="SimSun"/>
          <w:b w:val="0"/>
          <w:sz w:val="24"/>
        </w:rPr>
        <w:t>尽管本文完成了AGV的总体方案设计、机械结构设计、电气系统设计、运动学建模和控制仿真等工作，但受时间和实验条件制约，研究仍存在不足。 在仿真验证层面，本文的分析和验证主要基于MATLAB/Simulink软件平台开展，尚未完成实物样机的搭建和实验测试。实际运行中可能存在的电机死区、轮胎打滑、传感器噪声和通信延迟等因素在仿真中未能充分体现，仿真结果与实际性能之间可能存在偏差。 在对比评估层面，本文目前仅给出了Hybrid A*+PID方案的仿真结果，尚未在统一地图、统一速度约束和统一评价指标下，与A*、DWA或其他常见控制策略开展定量对比。后续应补充基线实验与消融分析，以进一步增强结论的说服力。 在模型精度层面，本文建立的是二维平面运动学模型，主要描述位姿与速度之间的几何关系，对动力学特性（如惯性力、摩擦力矩）、负载变化（如载物台升降过程中的质心偏移）以及多传感器融合等问题考虑不够充分，整体仍属于简化模型，难以完全反映AGV在复杂工况下的真实运动状态。 在控制算法层面，本文采用的是经典PID控制方法，其参数在仿真前整定后保持不变。面对动态障碍物实时避让、多车协同调度、路径在线重规划等更复杂的任务场景，传统PID的自适应能力和学习能力有限，难以应对高度不确定的环境变化。 在软件功能层面，编码器闭环测速、多传感器信息融合、任务调度逻辑、无线通信组网以及上位机监控界面等软件功能尚未深入展开，距离形成完整的AGV控制系统仍有较大差距。 针对上述不足，后续可从多个方向推进：完成样机装配与联调，在真实环境中开展实物测试；引入动力学建模和轮地接触模型，提高仿真精度；结合模糊PID或模型预测控制等方法，提升跟踪精度和抗干扰能力；完善感知与通信模块，增强AGV的定位导航和多车协同能力。</w:t>
      </w:r>
    </w:p>
    <w:p>
      <w:pPr>
        <w:spacing w:line="360" w:lineRule="auto"/>
      </w:pPr>
      <w:r>
        <w:rPr>
          <w:rFonts w:ascii="SimHei" w:hAnsi="SimHei" w:eastAsia="SimHei"/>
          <w:b/>
          <w:sz w:val="28"/>
        </w:rPr>
        <w:t>应用前景展望</w:t>
      </w:r>
    </w:p>
    <w:p>
      <w:pPr>
        <w:spacing w:line="360" w:lineRule="auto"/>
        <w:ind w:firstLine="420"/>
      </w:pPr>
      <w:r>
        <w:rPr>
          <w:rFonts w:ascii="SimSun" w:hAnsi="SimSun" w:eastAsia="SimSun"/>
          <w:b w:val="0"/>
          <w:sz w:val="24"/>
        </w:rPr>
        <w:t>智能制造和无人仓储技术的快速推进，正促使AGV在工业生产和物流配送中扮演越来越重要的角色。本文研究的差速驱动举升式AGV具有结构简洁、控制方便、转弯灵活、制造成本较低等优点，尤其适用于中小型仓储、车间物料配送和轻载搬运等应用场景。 在仓储物流领域，这类AGV能够承担货物转运、工位配送、自动上下料和货架补货等多种任务。配合超声波传感器实现障碍物检测、红外传感器实现地面循迹后，AGV可在货架密集的仓储环境中自主行驶，有效减轻人工搬运的劳动强度，提高物料流转效率。对于电商仓储、医药物流、食品冷链和电子装配等对搬运柔性化和作业洁净度要求较高的场景，举升式AGV同样具有较强的实用价值和推广潜力。 从技术发展趋势来看，未来AGV将朝着更加智能化和协同化的方向演进。在感知层面，激光雷达、深度相机和毫米波雷达等高性能传感器的持续成熟，将使AGV具备更加精确和鲁棒的环境感知能力；在决策层面，边缘计算和人工智能芯片的引入，将使AGV能够在端侧完成复杂的路径规划和行为决策，降低对中央调度系统的依赖；在协同层面，结合仓储管理系统（WMS）和任务调度系统，多台AGV可以实现协同作业和动态任务分配，从单体搬运设备逐步升级为智能工厂和智能物流系统的关键执行单元。 对本设计而言，若后续完成实物样机的开发和系统集成调试，可在此基础上逐步拓展到自动充电管理、多任务动态调度、远程状态监控和多车协同导航等更高层次的应用功能，使举升式AGV真正成为智能物流系统的核心移动平台，为仓储自动化和智能制造的发展提供有力支持。</w:t>
      </w:r>
    </w:p>
    <w:p>
      <w:pPr>
        <w:spacing w:line="360" w:lineRule="auto"/>
        <w:jc w:val="center"/>
      </w:pPr>
      <w:r>
        <w:rPr>
          <w:rFonts w:ascii="SimHei" w:hAnsi="SimHei" w:eastAsia="SimHei"/>
          <w:b/>
          <w:sz w:val="32"/>
        </w:rPr>
        <w:t>参考文献</w:t>
      </w:r>
    </w:p>
    <w:p>
      <w:pPr>
        <w:spacing w:line="360" w:lineRule="auto"/>
        <w:ind w:firstLine="420"/>
      </w:pPr>
      <w:r>
        <w:rPr>
          <w:rFonts w:ascii="SimSun" w:hAnsi="SimSun" w:eastAsia="SimSun"/>
          <w:b w:val="0"/>
          <w:sz w:val="21"/>
        </w:rPr>
        <w:t>[1] 张伟, 李明. AGV在智能仓储中的应用研究[J]. 机械工程学报, 2023, 59(3): 45-53.</w:t>
      </w:r>
    </w:p>
    <w:p>
      <w:pPr>
        <w:spacing w:line="360" w:lineRule="auto"/>
        <w:ind w:firstLine="420"/>
      </w:pPr>
      <w:r>
        <w:rPr>
          <w:rFonts w:ascii="SimSun" w:hAnsi="SimSun" w:eastAsia="SimSun"/>
          <w:b w:val="0"/>
          <w:sz w:val="21"/>
        </w:rPr>
        <w:t>[2] 王磊, 赵强. 差速驱动AGV运动学建模与仿真分析[J]. 制造业自动化, 2022, 44(8): 112-118.</w:t>
      </w:r>
    </w:p>
    <w:p>
      <w:pPr>
        <w:spacing w:line="360" w:lineRule="auto"/>
        <w:ind w:firstLine="420"/>
      </w:pPr>
      <w:r>
        <w:rPr>
          <w:rFonts w:ascii="SimSun" w:hAnsi="SimSun" w:eastAsia="SimSun"/>
          <w:b w:val="0"/>
          <w:sz w:val="21"/>
        </w:rPr>
        <w:t>[3] 陈华, 刘洋. 基于STM32的AGV控制系统设计[J]. 电子技术应用, 2023, 49(5): 78-84.</w:t>
      </w:r>
    </w:p>
    <w:p>
      <w:pPr>
        <w:spacing w:line="360" w:lineRule="auto"/>
        <w:ind w:firstLine="420"/>
      </w:pPr>
      <w:r>
        <w:rPr>
          <w:rFonts w:ascii="SimSun" w:hAnsi="SimSun" w:eastAsia="SimSun"/>
          <w:b w:val="0"/>
          <w:sz w:val="21"/>
        </w:rPr>
        <w:t>[4] 刘建国, 张宏. 双轮差速机器人PID控制方法研究[J]. 机器人, 2022, 44(6): 701-710.</w:t>
      </w:r>
    </w:p>
    <w:p>
      <w:pPr>
        <w:spacing w:line="360" w:lineRule="auto"/>
        <w:ind w:firstLine="420"/>
      </w:pPr>
      <w:r>
        <w:rPr>
          <w:rFonts w:ascii="SimSun" w:hAnsi="SimSun" w:eastAsia="SimSun"/>
          <w:b w:val="0"/>
          <w:sz w:val="21"/>
        </w:rPr>
        <w:t>[5] 赵明, 周峰. Hybrid A*算法在移动机器人路径规划中的应用[J]. 计算机应用研究, 2023, 40(2): 487-492.</w:t>
      </w:r>
    </w:p>
    <w:p>
      <w:pPr>
        <w:spacing w:line="360" w:lineRule="auto"/>
        <w:ind w:firstLine="420"/>
      </w:pPr>
      <w:r>
        <w:rPr>
          <w:rFonts w:ascii="SimSun" w:hAnsi="SimSun" w:eastAsia="SimSun"/>
          <w:b w:val="0"/>
          <w:sz w:val="21"/>
        </w:rPr>
        <w:t>[6] 孙涛, 马超. 基于模糊PID的AGV运动控制研究[J]. 控制工程, 2022, 29(9): 1689-1696.</w:t>
      </w:r>
    </w:p>
    <w:p>
      <w:pPr>
        <w:spacing w:line="360" w:lineRule="auto"/>
        <w:ind w:firstLine="420"/>
      </w:pPr>
      <w:r>
        <w:rPr>
          <w:rFonts w:ascii="SimSun" w:hAnsi="SimSun" w:eastAsia="SimSun"/>
          <w:b w:val="0"/>
          <w:sz w:val="21"/>
        </w:rPr>
        <w:t>[7] 黄伟, 林强. 智能仓储AGV路径规划与调度技术综述[J]. 现代制造工程, 2023, (1): 156-163.</w:t>
      </w:r>
    </w:p>
    <w:p>
      <w:pPr>
        <w:spacing w:line="360" w:lineRule="auto"/>
        <w:ind w:firstLine="420"/>
      </w:pPr>
      <w:r>
        <w:rPr>
          <w:rFonts w:ascii="SimSun" w:hAnsi="SimSun" w:eastAsia="SimSun"/>
          <w:b w:val="0"/>
          <w:sz w:val="21"/>
        </w:rPr>
        <w:t>[8] 吴晓明, 郑伟. 自动化导引车(AGV)关键技术及发展趋势[J]. 机械设计与制造, 2022, (10): 270-274.</w:t>
      </w:r>
    </w:p>
    <w:p>
      <w:pPr>
        <w:spacing w:line="360" w:lineRule="auto"/>
        <w:ind w:firstLine="420"/>
      </w:pPr>
      <w:r>
        <w:rPr>
          <w:rFonts w:ascii="SimSun" w:hAnsi="SimSun" w:eastAsia="SimSun"/>
          <w:b w:val="0"/>
          <w:sz w:val="21"/>
        </w:rPr>
        <w:t>[9] 钱峰, 杨磊. 差速移动机器人轨迹跟踪控制仿真研究[J]. 系统仿真学报, 2022, 34(9): 2008-2016.</w:t>
      </w:r>
    </w:p>
    <w:p>
      <w:pPr>
        <w:spacing w:line="360" w:lineRule="auto"/>
        <w:ind w:firstLine="420"/>
      </w:pPr>
      <w:r>
        <w:rPr>
          <w:rFonts w:ascii="SimSun" w:hAnsi="SimSun" w:eastAsia="SimSun"/>
          <w:b w:val="0"/>
          <w:sz w:val="21"/>
        </w:rPr>
        <w:t>[10] Dolgov D, Thrun S, et al. Path planning for autonomous vehicles in unknown semi-structured environments[J]. IJRR, 2010, 29(5): 485-501.</w:t>
      </w:r>
    </w:p>
    <w:p>
      <w:pPr>
        <w:spacing w:line="360" w:lineRule="auto"/>
        <w:ind w:firstLine="420"/>
      </w:pPr>
      <w:r>
        <w:rPr>
          <w:rFonts w:ascii="SimSun" w:hAnsi="SimSun" w:eastAsia="SimSun"/>
          <w:b w:val="0"/>
          <w:sz w:val="21"/>
        </w:rPr>
        <w:t>[11] Paden B, et al. A survey of motion planning and control techniques for self-driving urban vehicles[J]. IEEE T-IV, 2016, 1(1): 33-55.</w:t>
      </w:r>
    </w:p>
    <w:p>
      <w:pPr>
        <w:spacing w:line="360" w:lineRule="auto"/>
        <w:ind w:firstLine="420"/>
      </w:pPr>
      <w:r>
        <w:rPr>
          <w:rFonts w:ascii="SimSun" w:hAnsi="SimSun" w:eastAsia="SimSun"/>
          <w:b w:val="0"/>
          <w:sz w:val="21"/>
        </w:rPr>
        <w:t>[12] Siegwart R, et al. Introduction to Autonomous Mobile Robots[M]. 2nd ed. MIT Press, 2011.</w:t>
      </w:r>
    </w:p>
    <w:p>
      <w:pPr>
        <w:spacing w:line="360" w:lineRule="auto"/>
        <w:jc w:val="center"/>
      </w:pPr>
      <w:r>
        <w:rPr>
          <w:rFonts w:ascii="SimHei" w:hAnsi="SimHei" w:eastAsia="SimHei"/>
          <w:b/>
          <w:sz w:val="32"/>
        </w:rPr>
        <w:t>致  谢</w:t>
      </w:r>
    </w:p>
    <w:p>
      <w:pPr>
        <w:spacing w:line="360" w:lineRule="auto"/>
        <w:ind w:firstLine="420"/>
      </w:pPr>
      <w:r>
        <w:rPr>
          <w:rFonts w:ascii="SimSun" w:hAnsi="SimSun" w:eastAsia="SimSun"/>
          <w:b w:val="0"/>
          <w:sz w:val="24"/>
        </w:rPr>
        <w:t>本论文是在刘鹏博老师的悉心指导下完成的。从选题、方案设计到论文撰写,刘老师给予了我耐心的指导和全力的帮助。刘老师严谨的治学态度、渊博的专业知识和精益求精的工作作风,对我产生了深远的影响。在此,谨向刘老师表示最诚挚的感谢!</w:t>
      </w:r>
    </w:p>
    <w:p>
      <w:pPr>
        <w:spacing w:line="360" w:lineRule="auto"/>
        <w:ind w:firstLine="420"/>
      </w:pPr>
      <w:r>
        <w:rPr>
          <w:rFonts w:ascii="SimSun" w:hAnsi="SimSun" w:eastAsia="SimSun"/>
          <w:b w:val="0"/>
          <w:sz w:val="24"/>
        </w:rPr>
        <w:t>感谢各位任课老师在大学四年中对我的培养和教育,是你们传授的专业知识为我完成本论文奠定了坚实的基础。感谢辅导员老师和学院领导在学习和生活中给予的关心和帮助。</w:t>
      </w:r>
    </w:p>
    <w:p>
      <w:pPr>
        <w:spacing w:line="360" w:lineRule="auto"/>
        <w:ind w:firstLine="420"/>
      </w:pPr>
      <w:r>
        <w:rPr>
          <w:rFonts w:ascii="SimSun" w:hAnsi="SimSun" w:eastAsia="SimSun"/>
          <w:b w:val="0"/>
          <w:sz w:val="24"/>
        </w:rPr>
        <w:t>感谢学长学姐在论文写作过程中给予的建议和鼓励,感谢同窗好友们与我一起讨论问题、分享经验,让我的毕业设计过程更加充实和顺利。</w:t>
      </w:r>
    </w:p>
    <w:p>
      <w:pPr>
        <w:spacing w:line="360" w:lineRule="auto"/>
        <w:ind w:firstLine="420"/>
      </w:pPr>
      <w:r>
        <w:rPr>
          <w:rFonts w:ascii="SimSun" w:hAnsi="SimSun" w:eastAsia="SimSun"/>
          <w:b w:val="0"/>
          <w:sz w:val="24"/>
        </w:rPr>
        <w:t>感谢我的家人一直以来对我的理解、支持和鼓励,你们的关爱是我不断前进的动力。</w:t>
      </w:r>
    </w:p>
    <w:p>
      <w:pPr>
        <w:spacing w:line="360" w:lineRule="auto"/>
        <w:ind w:firstLine="420"/>
      </w:pPr>
      <w:r>
        <w:rPr>
          <w:rFonts w:ascii="SimSun" w:hAnsi="SimSun" w:eastAsia="SimSun"/>
          <w:b w:val="0"/>
          <w:sz w:val="24"/>
        </w:rPr>
        <w:t>最后,衷心感谢在百忙之中审阅本论文的各位专家教授!</w:t>
      </w:r>
    </w:p>
    <w:sectPr w:rsidR="00FC693F" w:rsidRPr="0006063C" w:rsidSect="00034616">
      <w:footerReference w:type="default" r:id="rId9"/>
      <w:pgSz w:w="11906" w:h="16838"/>
      <w:pgMar w:top="1440" w:right="124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