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C64F691">
      <w:pPr>
        <w:spacing w:after="0"/>
        <w:jc w:val="center"/>
      </w:pPr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  <w:spacing w:val="33"/>
        </w:rPr>
        <w:t>FDE 项目交付文档</w:t>
      </w:r>
    </w:p>
    <w:p w14:paraId="4E001E2D">
      <w:pPr>
        <w:spacing w:after="0"/>
        <w:jc w:val="center"/>
      </w:pPr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山海旅居 · 酒店房态与入住协同</w:t>
      </w:r>
    </w:p>
    <w:p w14:paraId="5E1249B9">
      <w:pPr>
        <w:spacing w:after="0"/>
        <w:jc w:val="center"/>
      </w:pPr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设计方案与报价单</w:t>
      </w:r>
    </w:p>
    <w:p w14:paraId="7856DA94">
      <w:pPr>
        <w:spacing w:before="0" w:after="0"/>
        <w:jc w:val="center"/>
      </w:pPr>
      <w:r>
        <w:rPr>
          <w:rFonts w:ascii="var(--typography-fontFamily-body)" w:hAnsi="var(--typography-fontFamily-body)" w:eastAsia="var(--typography-fontFamily-body)" w:cs="var(--typography-fontFamily-body)"/>
          <w:spacing w:val="14"/>
        </w:rPr>
        <w:t>Design Proposal &amp; Commercial Quotation</w:t>
      </w:r>
    </w:p>
    <w:tbl>
      <w:tblPr>
        <w:tblW w:w="598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4186"/>
      </w:tblGrid>
      <w:tr>
        <w:trPr>
          <w:tblHeader w:val="1"/>
        </w:trPr>
        <w:tc>
          <w:tcPr>
            <w:tcW w:w="1794" w:type="dxa"/>
            <w:vAlign w:val="center"/>
          </w:tcPr>
          <w:p w14:paraId="71677886">
            <w:pPr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项目</w:t>
            </w:r>
          </w:p>
        </w:tc>
        <w:tc>
          <w:tcPr>
            <w:tcW w:w="4186" w:type="dxa"/>
            <w:vAlign w:val="center"/>
          </w:tcPr>
          <w:p w14:paraId="6A001A87">
            <w:pPr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内容</w:t>
            </w:r>
          </w:p>
        </w:tc>
      </w:tr>
      <w:tr>
        <w:trPr/>
        <w:tc>
          <w:tcPr>
            <w:tcW w:w="1794" w:type="dxa"/>
            <w:tcBorders>
              <w:bottom w:val="single" w:sz="8"/>
            </w:tcBorders>
            <w:tcMar/>
            <w:vAlign w:val="center"/>
          </w:tcPr>
          <w:p w14:paraId="3D80797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文档编号</w:t>
            </w:r>
          </w:p>
        </w:tc>
        <w:tc>
          <w:tcPr>
            <w:tcW w:w="4186" w:type="dxa"/>
            <w:tcBorders>
              <w:bottom w:val="single" w:sz="8"/>
            </w:tcBorders>
            <w:tcMar/>
            <w:vAlign w:val="center"/>
          </w:tcPr>
          <w:p w14:paraId="7B95B6A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SHLY-FDE-2026-001</w:t>
            </w:r>
          </w:p>
        </w:tc>
      </w:tr>
      <w:tr>
        <w:trPr/>
        <w:tc>
          <w:tcPr>
            <w:tcW w:w="1794" w:type="dxa"/>
            <w:tcBorders>
              <w:bottom w:val="single" w:sz="8"/>
            </w:tcBorders>
            <w:tcMar/>
            <w:vAlign w:val="center"/>
          </w:tcPr>
          <w:p w14:paraId="12ACBCF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版本</w:t>
            </w:r>
          </w:p>
        </w:tc>
        <w:tc>
          <w:tcPr>
            <w:tcW w:w="4186" w:type="dxa"/>
            <w:tcBorders>
              <w:bottom w:val="single" w:sz="8"/>
            </w:tcBorders>
            <w:tcMar/>
            <w:vAlign w:val="center"/>
          </w:tcPr>
          <w:p w14:paraId="4872404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V1.0</w:t>
            </w:r>
          </w:p>
        </w:tc>
      </w:tr>
      <w:tr>
        <w:trPr/>
        <w:tc>
          <w:tcPr>
            <w:tcW w:w="1794" w:type="dxa"/>
            <w:tcBorders>
              <w:bottom w:val="single" w:sz="8"/>
            </w:tcBorders>
            <w:tcMar/>
            <w:vAlign w:val="center"/>
          </w:tcPr>
          <w:p w14:paraId="7DCB1F4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委托方</w:t>
            </w:r>
          </w:p>
        </w:tc>
        <w:tc>
          <w:tcPr>
            <w:tcW w:w="4186" w:type="dxa"/>
            <w:tcBorders>
              <w:bottom w:val="single" w:sz="8"/>
            </w:tcBorders>
            <w:tcMar/>
            <w:vAlign w:val="center"/>
          </w:tcPr>
          <w:p w14:paraId="24D92E6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山海旅居酒店管理有限公司</w:t>
            </w:r>
          </w:p>
        </w:tc>
      </w:tr>
      <w:tr>
        <w:trPr/>
        <w:tc>
          <w:tcPr>
            <w:tcW w:w="1794" w:type="dxa"/>
            <w:tcBorders>
              <w:bottom w:val="single" w:sz="8"/>
            </w:tcBorders>
            <w:tcMar/>
            <w:vAlign w:val="center"/>
          </w:tcPr>
          <w:p w14:paraId="59803CE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受托方</w:t>
            </w:r>
          </w:p>
        </w:tc>
        <w:tc>
          <w:tcPr>
            <w:tcW w:w="4186" w:type="dxa"/>
            <w:tcBorders>
              <w:bottom w:val="single" w:sz="8"/>
            </w:tcBorders>
            <w:tcMar/>
            <w:vAlign w:val="center"/>
          </w:tcPr>
          <w:p w14:paraId="0864AE7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FDE 交付团队</w:t>
            </w:r>
          </w:p>
        </w:tc>
      </w:tr>
      <w:tr>
        <w:trPr/>
        <w:tc>
          <w:tcPr>
            <w:tcW w:w="1794" w:type="dxa"/>
            <w:tcBorders>
              <w:bottom w:val="single" w:sz="8"/>
            </w:tcBorders>
            <w:tcMar/>
            <w:vAlign w:val="center"/>
          </w:tcPr>
          <w:p w14:paraId="5BECA10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出具日期</w:t>
            </w:r>
          </w:p>
        </w:tc>
        <w:tc>
          <w:tcPr>
            <w:tcW w:w="4186" w:type="dxa"/>
            <w:tcBorders>
              <w:bottom w:val="single" w:sz="8"/>
            </w:tcBorders>
            <w:tcMar/>
            <w:vAlign w:val="center"/>
          </w:tcPr>
          <w:p w14:paraId="7B00F2F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2026 年 10 月 23 日</w:t>
            </w:r>
          </w:p>
        </w:tc>
      </w:tr>
      <w:tr>
        <w:trPr/>
        <w:tc>
          <w:tcPr>
            <w:tcW w:w="1794" w:type="dxa"/>
            <w:tcBorders>
              <w:bottom w:val="single" w:sz="8"/>
            </w:tcBorders>
            <w:tcMar/>
            <w:vAlign w:val="center"/>
          </w:tcPr>
          <w:p w14:paraId="30C9536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有效期</w:t>
            </w:r>
          </w:p>
        </w:tc>
        <w:tc>
          <w:tcPr>
            <w:tcW w:w="4186" w:type="dxa"/>
            <w:tcBorders>
              <w:bottom w:val="single" w:sz="8"/>
            </w:tcBorders>
            <w:tcMar/>
            <w:vAlign w:val="center"/>
          </w:tcPr>
          <w:p w14:paraId="144AEB5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自出具之日起 30 个自然日</w:t>
            </w:r>
          </w:p>
        </w:tc>
      </w:tr>
    </w:tbl>
    <w:p w14:paraId="271ED6F9">
      <w:pPr>
        <w:jc w:val="center"/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本文件共两部分：第一部分设计方案（第一至七章），第二部分报价单（第八至十一章）</w:t>
      </w:r>
    </w:p>
    <w:p w14:paraId="02B65C86">
      <w:pPr>
        <w:spacing w:before="240" w:after="120"/>
      </w:pPr>
      <w:r>
        <w:rPr>
          <w:rFonts w:hint="eastAsia"/>
          <w:b w:val="1"/>
        </w:rPr>
        <w:t>目录</w:t>
      </w:r>
    </w:p>
    <w:p w14:paraId="28006A1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阅读指引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75B87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一、项目背景与现状诊断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5BB2A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1.1 业务背景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E4B8C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1.2 现状主流程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80303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1.3 核心问题：三态被压缩为一个字段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004A6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1.4 由问题派生的两个次生问题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7FE0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1.5 问题定性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2D2D0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二、需求梳理与优先级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592E3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2.1 需求的来源与收敛方式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92036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2.2 六项候选需求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EC4FC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2.3 待核实事项清单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CE9BD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三、总体设计方案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AEE7F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49C3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 房态三态投影模型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72D0F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3.3 系统架构与数据边界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135A2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3.4 交接单设计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25053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3.5 人工复核与不可逆动作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EEC1C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3.6 权限与隐私边界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1EF9E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四、实施计划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D9A61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 阶段划分与交付物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DC0A0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 里程碑与付款节点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FB20E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 人力配置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64033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 甲方配合事项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6FDF4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五、验收标准与停止条件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FD302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5.1 验收指标体系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6C17F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5.2 验收判定方式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2BDB0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5.3 停止条件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D9F7A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六、项目风险与应对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07F3C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七、交付物清单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81D7E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八、报价说明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CA239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8.1 报价基础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2D0FB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8.2 报价三档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75136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8.3 报价有效期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B79C4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九、分档报价明细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BCE44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9.1 A 精简版　¥78,000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7E904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9.2 B 标准版　¥126,000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BE3C3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"section-10-3" </w:instrText>
      </w:r>
      <w:r>
        <w:fldChar w:fldCharType="separate" w:fldLock="0" w:dirty="0"/>
      </w:r>
      <w:r>
        <w:rPr>
          <w:rFonts w:hint="eastAsia"/>
        </w:rPr>
        <w:t>9.3 C 完整版　¥168,000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831B6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"section-10-4" </w:instrText>
      </w:r>
      <w:r>
        <w:fldChar w:fldCharType="separate" w:fldLock="0" w:dirty="0"/>
      </w:r>
      <w:r>
        <w:rPr>
          <w:rFonts w:hint="eastAsia"/>
        </w:rPr>
        <w:t>9.4 三档对比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836F8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十、付款方式与其他费用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B85CF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"section-11-1" </w:instrText>
      </w:r>
      <w:r>
        <w:fldChar w:fldCharType="separate" w:fldLock="0" w:dirty="0"/>
      </w:r>
      <w:r>
        <w:rPr>
          <w:rFonts w:hint="eastAsia"/>
        </w:rPr>
        <w:t>10.1 阶段付款节点（以 B 标准版为例）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F5400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"section-11-2" </w:instrText>
      </w:r>
      <w:r>
        <w:fldChar w:fldCharType="separate" w:fldLock="0" w:dirty="0"/>
      </w:r>
      <w:r>
        <w:rPr>
          <w:rFonts w:hint="eastAsia"/>
        </w:rPr>
        <w:t>10.2 未包含的费用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78298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"section-11-3" </w:instrText>
      </w:r>
      <w:r>
        <w:fldChar w:fldCharType="separate" w:fldLock="0" w:dirty="0"/>
      </w:r>
      <w:r>
        <w:rPr>
          <w:rFonts w:hint="eastAsia"/>
        </w:rPr>
        <w:t>10.3 运营期费用（试点验收后）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E7F02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十一、商务条款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BE2C5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11.1 范围变更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7868C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11.2 知识产权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63BF6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"section-12-3" </w:instrText>
      </w:r>
      <w:r>
        <w:fldChar w:fldCharType="separate" w:fldLock="0" w:dirty="0"/>
      </w:r>
      <w:r>
        <w:rPr>
          <w:rFonts w:hint="eastAsia"/>
        </w:rPr>
        <w:t>11.3 数据与保密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A48A3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"section-12-4" </w:instrText>
      </w:r>
      <w:r>
        <w:fldChar w:fldCharType="separate" w:fldLock="0" w:dirty="0"/>
      </w:r>
      <w:r>
        <w:rPr>
          <w:rFonts w:hint="eastAsia"/>
        </w:rPr>
        <w:t>11.4 质保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C8078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"section-12-5" </w:instrText>
      </w:r>
      <w:r>
        <w:fldChar w:fldCharType="separate" w:fldLock="0" w:dirty="0"/>
      </w:r>
      <w:r>
        <w:rPr>
          <w:rFonts w:hint="eastAsia"/>
        </w:rPr>
        <w:t>11.5 验收争议处理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A64A0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"section-12-6" </w:instrText>
      </w:r>
      <w:r>
        <w:fldChar w:fldCharType="separate" w:fldLock="0" w:dirty="0"/>
      </w:r>
      <w:r>
        <w:rPr>
          <w:rFonts w:hint="eastAsia"/>
        </w:rPr>
        <w:t>11.6 报价前提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4E5F6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附：文档说明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E01375F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71C8EE0">
      <w:pPr>
        <w:pBdr>
          <w:top w:space="0"/>
          <w:left w:val="single" w:sz="8" w:space="0"/>
          <w:bottom w:space="0"/>
          <w:right w:space="0"/>
        </w:pBdr>
        <w:spacing w:after="0"/>
        <w:jc w:val="left"/>
      </w:pPr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执行摘要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E7F60AA">
            <w:pPr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指标</w:t>
            </w:r>
          </w:p>
        </w:tc>
        <w:tc>
          <w:tcPr>
            <w:tcW w:w="2076" w:type="dxa"/>
            <w:vAlign w:val="center"/>
          </w:tcPr>
          <w:p w14:paraId="595FCE94">
            <w:pPr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数值</w:t>
            </w:r>
          </w:p>
        </w:tc>
        <w:tc>
          <w:tcPr>
            <w:tcW w:w="2076" w:type="dxa"/>
            <w:vAlign w:val="center"/>
          </w:tcPr>
          <w:p w14:paraId="41BE4D96">
            <w:pPr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说明</w:t>
            </w:r>
          </w:p>
        </w:tc>
        <w:tc>
          <w:tcPr>
            <w:tcW w:w="2076" w:type="dxa"/>
            <w:vAlign w:val="center"/>
          </w:tcPr>
          <w:p w14:paraId="0C2F7DB6">
            <w:pPr>
              <w:rPr>
                <w:b w:val="1"/>
                <w:bCs w:val="1"/>
              </w:rPr>
            </w:pP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C01550D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推荐档位报价</w:t>
            </w:r>
          </w:p>
          <w:p w14:paraId="2C112291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ascii="var(--typography-fontFamily-heading)" w:hAnsi="var(--typography-fontFamily-heading)" w:eastAsia="var(--typography-fontFamily-heading)" w:cs="var(--typography-fontFamily-heading)"/>
                <w:b w:val="0"/>
              </w:rPr>
              <w:t>¥126,000</w:t>
            </w:r>
          </w:p>
          <w:p w14:paraId="53C838BA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B 标准版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6833367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实施周期</w:t>
            </w:r>
          </w:p>
          <w:p w14:paraId="6A03F3F2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heading)" w:hAnsi="var(--typography-fontFamily-heading)" w:eastAsia="var(--typography-fontFamily-heading)" w:cs="var(--typography-fontFamily-heading)"/>
                <w:b w:val="0"/>
              </w:rPr>
              <w:t>21.5 周</w:t>
            </w:r>
          </w:p>
          <w:p w14:paraId="030132DD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九阶段 + 4 周周末试点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59FA51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高峰入住等待</w:t>
            </w:r>
          </w:p>
          <w:p w14:paraId="649139A4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ascii="var(--typography-fontFamily-heading)" w:hAnsi="var(--typography-fontFamily-heading)" w:eastAsia="var(--typography-fontFamily-heading)" w:cs="var(--typography-fontFamily-heading)"/>
                <w:b w:val="0"/>
              </w:rPr>
              <w:t>38 → 15</w:t>
            </w:r>
          </w:p>
          <w:p w14:paraId="41F489E0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分钟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4A76619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验收要求</w:t>
            </w:r>
          </w:p>
          <w:p w14:paraId="1D6FE88F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heading)" w:hAnsi="var(--typography-fontFamily-heading)" w:eastAsia="var(--typography-fontFamily-heading)" w:cs="var(--typography-fontFamily-heading)"/>
                <w:b w:val="0"/>
              </w:rPr>
              <w:t>误判为零</w:t>
            </w:r>
          </w:p>
          <w:p w14:paraId="2D64E703">
            <w:pPr>
              <w:pBdr>
                <w:top w:space="0"/>
                <w:left w:val="single" w:sz="8" w:space="0"/>
                <w:bottom w:space="0"/>
                <w:right w:space="0"/>
              </w:pBdr>
              <w:spacing w:after="0"/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周末连续 4 周</w:t>
            </w:r>
          </w:p>
        </w:tc>
      </w:tr>
    </w:tbl>
    <w:p w14:paraId="2DC81FE6">
      <w:pPr>
        <w:pBdr>
          <w:top w:space="0"/>
          <w:left w:val="single" w:sz="8" w:space="0"/>
          <w:bottom w:space="0"/>
          <w:right w:space="0"/>
        </w:pBd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本方案针对「客房部标已清扫、前台以为可入住、查房尚未完成」这一具体断点，提出以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三态投影模型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为核心的技术路线：把被压缩成一个字段的「已清扫 / 已查房 / 可售」拆成三个可独立读取的事实，用确定性规则投影为展示码，并把不可逆动作（对外承诺、解除维修封锁、放房）放在人工确认闸门之后。</w:t>
      </w:r>
    </w:p>
    <w:p w14:paraId="328147E4">
      <w:pPr>
        <w:pBdr>
          <w:top w:space="0"/>
          <w:left w:val="single" w:sz="8" w:space="0"/>
          <w:bottom w:space="0"/>
          <w:right w:space="0"/>
        </w:pBd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报价提供三档：A 精简版 ¥78,000（覆盖口径统一与只读视图）、B 标准版 ¥126,000（增加交接流转与高风险拦截）、C 完整版 ¥168,000（增加对客解释与留存审计）。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推荐 B 档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——它落在甲方 13 万元首期预算内，且能产出可复盘的完整试点结论。</w:t>
      </w:r>
    </w:p>
    <w:p w14:paraId="288152EC">
      <w:pPr>
        <w:pBdr>
          <w:top w:space="0"/>
          <w:left w:val="single" w:sz="8" w:space="0"/>
          <w:bottom w:space="0"/>
          <w:right w:space="0"/>
        </w:pBd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需特别提示：本方案所有需求均为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待验证假设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，调查覆盖率 36/36 不代表需求已确认。误判口径、等待基线、统计周期三项必须在第 3 周前书面签字，否则后续验收无法判定。</w:t>
      </w:r>
    </w:p>
    <w:p w14:paraId="4CAE6FB7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文档编号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：SHLY-FDE-2026-001　|　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版本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：V1.0　|　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出具日期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：2026年10月23日</w:t>
      </w:r>
    </w:p>
    <w:p w14:paraId="7C91F624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委托方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：山海旅居酒店管理有限公司（以下简称"甲方"）</w:t>
      </w:r>
    </w:p>
    <w:p w14:paraId="27A3C2BF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受托方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：FDE 交付团队（以下简称"乙方"）</w:t>
      </w:r>
    </w:p>
    <w:p w14:paraId="2FAA37D3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文档性质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：本文件由两部分组成——第一部分为设计方案（第一至七章），第二部分为报价单（第八至十一章）。两部分共同构成完整报价依据，单独使用任一部分无效。</w:t>
      </w:r>
    </w:p>
    <w:p w14:paraId="49634FD4">
      <w:pPr>
        <w:pBdr>
          <w:top w:val="single" w:sz="8"/>
        </w:pBdr>
        <w:spacing w:before="0" w:after="0"/>
      </w:pPr>
    </w:p>
    <w:p w14:paraId="501337C4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1" w:name="section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阅读指引</w:t>
      </w:r>
      <w:bookmarkEnd w:id="1"/>
    </w:p>
    <w:p w14:paraId="78346DCB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本方案建立在一份已完成的业务需求发现报告之上。该报告通过 36 条事实、6 个岗位的独立陈述，定位到一条具体的业务断点：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客房部标记"已清扫"，前台理解为"可入住"，但查房实际上还没完成。</w:t>
      </w:r>
    </w:p>
    <w:p w14:paraId="20E60818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在进入方案正文之前，需要先向甲方说明一个基本判断，因为它决定了整份方案的结构。</w:t>
      </w:r>
    </w:p>
    <w:p w14:paraId="77DB6AC6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这不是一个"信息不透明"的问题，而是一个"三个岗位对同一个词的理解不同"的问题。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客房部认"清扫结束"，前台认"可交付"，渠道认"可售"，三个口径在业务上是三件事，在系统里却被压成了一个字段。因此本方案的核心不是做一个更漂亮的看板，而是先让三个口径在数据层可分、在流程层可追、在责任层可究。任何跳过口径统一直接做界面的做法，都会在试点期内被一线绕过——因为前台在高峰期没有时间去分辨一个字段背后究竟是哪种含义。</w:t>
      </w:r>
    </w:p>
    <w:p w14:paraId="13D86B1A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方案共七章。第一章说明现状与问题成因，第二章列出经四来源核对后的需求，第三章给出总体设计，第四章是分阶段实施计划，第五章专门讲人工复核与权限边界（这是本项目的核心设计，不是附加条款），第六章讲验收口径与停止条件，第七章说明项目风险。第八至十一章为报价单。</w:t>
      </w:r>
    </w:p>
    <w:p w14:paraId="3D9F5A89">
      <w:pPr>
        <w:pBdr>
          <w:top w:val="single" w:sz="8"/>
        </w:pBdr>
        <w:spacing w:before="0" w:after="0"/>
      </w:pPr>
    </w:p>
    <w:p w14:paraId="2AFE809B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2" w:name="section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一、项目背景与现状诊断</w:t>
      </w:r>
      <w:bookmarkEnd w:id="2"/>
    </w:p>
    <w:p w14:paraId="0C95CE14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本章先交代业务量级与预算约束，再逐层拆解问题的成因，最后给出问题的定性——它决定了后续方案的全部设计取向。</w:t>
      </w:r>
    </w:p>
    <w:p w14:paraId="1C8E8689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" w:name="section-2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1.1 业务背景</w:t>
      </w:r>
      <w:bookmarkEnd w:id="3"/>
    </w:p>
    <w:p w14:paraId="0014EFE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山海旅居现有客房 180 间，周末日均入住 140 次，前台每班次用于房态核对的时间约 2 小时。管理层希望借助 AI 改善入住协同效率，但尚未确定优先环节、验收标准与权限边界，因此首期定位为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发现与验证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，而非系统替换。</w:t>
      </w:r>
    </w:p>
    <w:p w14:paraId="26C7B33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首期可用预算 13 万元，包含集成、培训与验证三部分。甲方明确提出一条核算硬约束：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收益须扣除维护及人工复核成本，不能把全部节省工时当作现金回款。</w:t>
      </w:r>
    </w:p>
    <w:p w14:paraId="54E702E0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" w:name="section-2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1.2 现状主流程</w:t>
      </w:r>
      <w:bookmarkEnd w:id="4"/>
    </w:p>
    <w:p w14:paraId="0A019D7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现有主流程为六段：</w:t>
      </w:r>
    </w:p>
    <w:p w14:paraId="41231F6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预订 → 房态确认 → 清扫 → 查房 → 入住 → 服务回访</w:t>
      </w:r>
    </w:p>
    <w:p w14:paraId="68A30BDD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流程本身没有断点。断点在于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各段的完成信号没有被分别记录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——管理层尚未逐节点测量等待与处理时间，因此"卡在哪一段"目前没有数据支撑，只能依据一线陈述定位。</w:t>
      </w:r>
    </w:p>
    <w:p w14:paraId="4C6A3294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5" w:name="section-2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1.3 核心问题：三态被压缩为一个字段</w:t>
      </w:r>
      <w:bookmarkEnd w:id="5"/>
    </w:p>
    <w:p w14:paraId="31DD3F55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房态在业务上实际由三个彼此独立的事实构成，但在 PMS 中被压成一个字段：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F2C2FF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事实维度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A7D1F4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责任岗位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F137ED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该岗位认定的"完成"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CE315A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在系统里的表现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8A2FDE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清洁进度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B1659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客房部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CC982B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清扫结束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86BB7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与可售状态共用同一字段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30FDBE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质量复核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7A6EA5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客房主管 / 质检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2A644F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查房通过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CE5394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无独立时间戳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86D19D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商业可售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84B316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前台 / 渠道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B8274E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可交付、可售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B90AF7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无法区分前两者</w:t>
            </w:r>
          </w:p>
        </w:tc>
      </w:tr>
    </w:tbl>
    <w:p w14:paraId="00F37B18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三套系统（PMS、客房任务平台、渠道订单库）的账号权限各自独立维护，业务状态没有统一视图；现有接口只能读取房态与任务，不能自动分配房间或打开门锁。</w:t>
      </w:r>
    </w:p>
    <w:p w14:paraId="2BA64A79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这三个条件叠加，产生了一条固定的误判路径：</w:t>
      </w:r>
    </w:p>
    <w:p w14:paraId="0F376C28">
      <w:pPr>
        <w:numPr>
          <w:ilvl w:val="0"/>
          <w:numId w:val="1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客房部完成清扫，将字段置为"已清扫"。</w:t>
      </w:r>
    </w:p>
    <w:p w14:paraId="709197C8">
      <w:pPr>
        <w:numPr>
          <w:ilvl w:val="0"/>
          <w:numId w:val="1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前台看到该字段，按习惯理解为"可入住"。</w:t>
      </w:r>
    </w:p>
    <w:p w14:paraId="54CBB42A">
      <w:pPr>
        <w:numPr>
          <w:ilvl w:val="0"/>
          <w:numId w:val="1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查房尚未完成，房间实际不具备交付条件。</w:t>
      </w:r>
    </w:p>
    <w:p w14:paraId="2365781D">
      <w:pPr>
        <w:numPr>
          <w:ilvl w:val="0"/>
          <w:numId w:val="1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客人到店，前台才发现房间不能交付，需现场协调。</w:t>
      </w:r>
    </w:p>
    <w:p w14:paraId="7879784D">
      <w:pPr>
        <w:numPr>
          <w:ilvl w:val="0"/>
          <w:numId w:val="1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协调过程的说明留在个人便签或群里，未随单据流转，事后无法追溯。</w:t>
      </w:r>
    </w:p>
    <w:p w14:paraId="7AA2D455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6" w:name="section-2-4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1.4 由问题派生的两个次生问题</w:t>
      </w:r>
      <w:bookmarkEnd w:id="6"/>
    </w:p>
    <w:p w14:paraId="0B34147B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第一，交接不随单据走。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关键说明依赖个人便签与群消息，没有随业务单据流转。跨岗问题只写"已转交"是不够的，必须写明下一责任人。</w:t>
      </w:r>
    </w:p>
    <w:p w14:paraId="2CC7E5E6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第二，解除封锁缺少强制复核。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维修房解除封锁后曾漏掉异味复查，导致客人入住后再次换房。这类动作一旦漏掉，损害在客人到店时才发现，此时已不可撤销。</w:t>
      </w:r>
    </w:p>
    <w:p w14:paraId="3CAEBC74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7" w:name="section-2-5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1.5 问题定性</w:t>
      </w:r>
      <w:bookmarkEnd w:id="7"/>
    </w:p>
    <w:p w14:paraId="164BA76A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从交付角度看，本项目要解决的不是"让信息更快流动"，而是三件事：</w:t>
      </w:r>
    </w:p>
    <w:p w14:paraId="5ECF14DD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可分辨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：三个口径在数据层必须是三个可独立读取的字段，而不是一个字段的三种解释。</w:t>
      </w:r>
    </w:p>
    <w:p w14:paraId="07E34020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可追溯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：每一次交接必须能回答"谁在什么时间、基于哪份资料、把哪件事交给了谁"。</w:t>
      </w:r>
    </w:p>
    <w:p w14:paraId="5CAFC7B7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可拦截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：不可逆动作（对外承诺、解除维修封锁、放房）之前必须有一道人工确认，且该确认有具名责任人。</w:t>
      </w:r>
    </w:p>
    <w:p w14:paraId="5BDA9527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这三件事构成本方案的骨架。后续所有功能设计，都可以回溯到这三个词。</w:t>
      </w:r>
    </w:p>
    <w:p w14:paraId="7D22CA60">
      <w:pPr>
        <w:pBdr>
          <w:top w:val="single" w:sz="8"/>
        </w:pBdr>
        <w:spacing w:before="0" w:after="0"/>
      </w:pPr>
    </w:p>
    <w:p w14:paraId="313BCB11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8" w:name="section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二、需求梳理与优先级</w:t>
      </w:r>
      <w:bookmarkEnd w:id="8"/>
    </w:p>
    <w:p w14:paraId="5A1428B5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需求经四个来源交叉核对后收敛为六项，本章说明收敛过程、每项需求的证据链，以及开工前必须由甲方书面确认的十项待核实事项。</w:t>
      </w:r>
    </w:p>
    <w:p w14:paraId="14CB041D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9" w:name="section-3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2.1 需求的来源与收敛方式</w:t>
      </w:r>
      <w:bookmarkEnd w:id="9"/>
    </w:p>
    <w:p w14:paraId="105FC2B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需求不是由访谈直接导出的。六位岗位的陈述先各自形成问题假设，再经四个来源交叉核对，才收敛为候选需求：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B8E6CC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来源视角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4B4F35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承担人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FE553B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提供什么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9699BD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当前状态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4A374F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Buyer（业务决策者）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DA2D50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 · 酒店运营经理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F90A0E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业务目标、预算、优先级、否决权归属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24F7FC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已采集陈述，目标与预算口径待书面确认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3BDCD2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Operator（一线使用者）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AE3659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林亦舟 · 前台接待员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65B128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最近一单的真实操作与失败位置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826A32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已采集陈述，仍需样本与操作观察核实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27E2C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Brief（书面需求）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F943A4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场景开场说明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895C56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范围约束、排除项、时间窗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5105F0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仅有场景开场，正式 Brief 原文与版本待补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D5EEF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Industry（行业可行性）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CE9882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待补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EDF354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可比技术实践与本项目数据/接口差异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EEDC27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尚缺</w:t>
            </w: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，需补充行业参照与适用性验证</w:t>
            </w:r>
          </w:p>
        </w:tc>
      </w:tr>
    </w:tbl>
    <w:p w14:paraId="27C92297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四视角是否指向同一瓶颈：Buyer 指向结果指标，Operator 指向清扫到查房的衔接，两者一致；Brief 约束了范围（只做解释与提醒）；Industry 尚未补齐，因此技术可行性目前只有接口只读这一条硬证据（三套系统接口仅可读）。</w:t>
      </w:r>
    </w:p>
    <w:p w14:paraId="6ADB2704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这一节必须写清楚一个事实：本方案的所有需求都是待验证假设，不是已确认结论。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调查覆盖率 36/36 不等于需求已确认，也不等于验收已通过。</w:t>
      </w:r>
    </w:p>
    <w:p w14:paraId="576CDF8D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0" w:name="section-3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2.2 六项候选需求</w:t>
      </w:r>
      <w:bookmarkEnd w:id="1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010BFE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编号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94D5FA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需求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1A9FC6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证据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8B966D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优先级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E06F63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责任岗位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47264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REQ-1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E7D70D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统一房态三态口径并建立只读统一视图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DB739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f31、f30、f32、f33、f10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FBE38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P0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C69A22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PMS 工程师秦芮（口径由顾明岚确认）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DA681D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REQ-2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F0E2EC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交接随单据流转并明确具名接手人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8D557E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f14、f23、f25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A9A7A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P0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FF548B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客房调度员唐映秋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182748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REQ-3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B026A6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维修房解除封锁须强制异味复查与人工复核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DEEFA5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f11、f15、f44、f41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68E1BC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P0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4DFAB4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服务质量专员傅景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6DE8AE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REQ-4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4F0D18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对客解释与对外承诺分离，承诺须审批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5346F1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f52、f41、f54、f40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E102F1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P1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C15BFE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客人体验主管叶书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E557E6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REQ-5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9CF443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验收指标先固定误判定义、分母与等待基线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3354AF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f00、f01、f42、f53、f51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DAACCB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P1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802221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顾明岚（傅景核验）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BCB021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REQ-6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D6D925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留存与删除明确归档范围与复核人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D74F9C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f43、f45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46759C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P2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249062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傅景（组织规则由顾明岚与秦芮确认）</w:t>
            </w:r>
          </w:p>
        </w:tc>
      </w:tr>
    </w:tbl>
    <w:p w14:paraId="1182307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需要说明：P0/P1/P2 表示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实施顺序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，不表示价值评分。REQ-5 虽然列为 P1，但它是 REQ-1 的前置条件——误判口径不先签字，REQ-1 的验收就无法判定，因此在实际排期中 REQ-5 必须与 REQ-1 同步启动。</w:t>
      </w:r>
    </w:p>
    <w:p w14:paraId="7AEC8EA3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1" w:name="section-3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2.3 待核实事项清单</w:t>
      </w:r>
      <w:bookmarkEnd w:id="11"/>
    </w:p>
    <w:p w14:paraId="7F7E612A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以下事项在开工前必须由甲方书面确认，否则将影响验收判定或导致返工：</w:t>
      </w:r>
    </w:p>
    <w:p w14:paraId="36303337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误判口径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：仅计"标已清扫但查房未完成"的状态错配，还是前台据此对外承诺也计入？</w:t>
      </w:r>
    </w:p>
    <w:p w14:paraId="669F8D68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等待基线起点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：从"查房完成"还是"清扫结束"起算？38 分钟与 15 分钟分别如何测量？</w:t>
      </w:r>
    </w:p>
    <w:p w14:paraId="6B625E7C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统计周期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：按周统计还是按高峰时段统计？两者对复核人力估算影响显著。</w:t>
      </w:r>
    </w:p>
    <w:p w14:paraId="5E05C1F0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排单优先级规则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：由谁制定？退房高峰时谁先谁后？</w:t>
      </w:r>
    </w:p>
    <w:p w14:paraId="52AFB27B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交接单必填字段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：现有是否已有版本、由谁审批发布？</w:t>
      </w:r>
    </w:p>
    <w:p w14:paraId="7E02C29A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约定升级时限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：多名角色均表示"尚未核实"，需业务负责人明确。</w:t>
      </w:r>
    </w:p>
    <w:p w14:paraId="50D4EFC4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BR 超时释放与 OOO 拦截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：在 PMS 中是否独立可读？能否跨系统同步识别？</w:t>
      </w:r>
    </w:p>
    <w:p w14:paraId="10824987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维修房带预订的处理流程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：谁有权解除封锁、谁负责改签、对外承诺由谁审批？</w:t>
      </w:r>
    </w:p>
    <w:p w14:paraId="20D49324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试点范围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：仅覆盖解释与提醒，还是含对客通知自动发送？</w:t>
      </w:r>
    </w:p>
    <w:p w14:paraId="05DFC52B">
      <w:pPr>
        <w:numPr>
          <w:ilvl w:val="0"/>
          <w:numId w:val="3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留存期限与归档审批人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：90 天为暂定，真实期限须按组织规则确定。</w:t>
      </w:r>
    </w:p>
    <w:p w14:paraId="2797F9B8">
      <w:pPr>
        <w:pBdr>
          <w:top w:val="single" w:sz="8"/>
        </w:pBdr>
        <w:spacing w:before="0" w:after="0"/>
      </w:pPr>
    </w:p>
    <w:p w14:paraId="578ED626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12" w:name="section-4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三、总体设计方案</w:t>
      </w:r>
      <w:bookmarkEnd w:id="12"/>
    </w:p>
    <w:p w14:paraId="15EDC079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本章给出五条设计原则、房态三态投影模型、系统架构、交接单字段设计以及权限边界，是所有后续实施工作的依据。</w:t>
      </w:r>
    </w:p>
    <w:p w14:paraId="05D499C4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3" w:name="section-4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3.1 设计原则</w:t>
      </w:r>
      <w:bookmarkEnd w:id="13"/>
    </w:p>
    <w:p w14:paraId="52B00C14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本方案的每条原则都对应一个已知的失败模式，不是通用最佳实践。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A4D8A0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原则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802AA1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对应失败模式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D5C84F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落地方式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78259E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能算出来的不交给模型判断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A1010C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模型在高频场景给出不稳定结论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F2F5C2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房态投影、字段校验、冲突检测全部为确定性代码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63DAD0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系统只起草，不自动写入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D9B596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错误结果覆盖原记录（f15 明确反对）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654835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所有写操作经人工确认后执行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9359BC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不可逆动作前设强制闸门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F8FE83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解除封锁漏复查，客人到店才发现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1ADAC0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转人工队列 + 具名接收人 + 触发原因留存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4FB979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一个动作完成，不离场补录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4E938B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高峰期一线会绕过（f13 明确）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3BE55E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草稿本地暂存、单页操作、显示最后同步时间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6F4B2F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审计只留岗位不留个人信息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70201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隐私红线（f40）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A63E8E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审计记录岗位与动作哈希，不含姓名与身份信息</w:t>
            </w:r>
          </w:p>
        </w:tc>
      </w:tr>
    </w:tbl>
    <w:p w14:paraId="7FFC91FA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4" w:name="section-4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3.2 房态三态投影模型</w:t>
      </w:r>
      <w:bookmarkEnd w:id="14"/>
    </w:p>
    <w:p w14:paraId="20FF07ED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这是整个方案的技术核心。房态不是一个字段，而是三个事实的投影：</w:t>
      </w:r>
    </w:p>
    <w:p w14:paraId="2D6CC63F">
      <w:pPr>
        <w:spacing w:after="0"/>
        <w:ind w:firstLine="480"/>
        <w:jc w:val="both"/>
      </w:pPr>
      <w:r>
        <w:rPr>
          <w:rFonts w:ascii="var(--typography-fontFamily-code)" w:hAnsi="var(--typography-fontFamily-code)" w:eastAsia="var(--typography-fontFamily-code)" w:cs="var(--typography-fontFamily-code)"/>
        </w:rPr>
        <w:t>`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展示码 = f(占用状态, 清洁状态, 库存封锁) </w:t>
      </w:r>
      <w:r>
        <w:rPr>
          <w:rFonts w:ascii="var(--typography-fontFamily-code)" w:hAnsi="var(--typography-fontFamily-code)" w:eastAsia="var(--typography-fontFamily-code)" w:cs="var(--typography-fontFamily-code)"/>
        </w:rPr>
        <w:t>`</w:t>
      </w:r>
    </w:p>
    <w:p w14:paraId="22F06A43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具体投影规则（确定性实现，不涉及任何模型判断）：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9CDE87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占用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0A90A3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清洁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F8E93F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封锁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0B4C3A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展示码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F907B6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含义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2C7D09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是否可售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997429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77EB11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530750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OOO 维修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E05899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OOO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6D401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维修房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702B8E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否（已扣库存）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E221EA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B83885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A4B57D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OOS 停用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2CC9FC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OOS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BE2674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停用房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58686D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是（须提示原因）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EACFC5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在住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7A775A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已整理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CCFA01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42F121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OC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A6E1A1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在住·已整理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86848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否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8AD5A0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在住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169109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待整理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ECDA21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5E9302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OD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422742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在住·待整理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83837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否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A6B383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空房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36B32D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已查房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B4E43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7E9124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VI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F0581B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可售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459FDC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是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D4965B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空房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CCEE6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已清扫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47038A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D5466E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VC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D4F6E7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已清扫·待查房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7E6378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否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F10CFF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空房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7CC683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脏房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A91C78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—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375A89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VD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459169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脏房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EFCDEE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否</w:t>
            </w:r>
          </w:p>
        </w:tc>
      </w:tr>
    </w:tbl>
    <w:p w14:paraId="32D5FFB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其中 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VC 是本次项目的关键状态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：它是"客房部认为完成、前台认为可入住"的那个错误交叠点。在投影模型里，VC 明确不可售，前台看到的不是一句"已清扫"，而是"已清扫·待查房·不可售"。这一处语义修正，直接对应 f10 记录的误判。</w:t>
      </w:r>
    </w:p>
    <w:p w14:paraId="52E72E95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同时，系统会自动检出四类三态缺口：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F97B9B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缺口代码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546AD9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检出条件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C3CB50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责任岗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5957AA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NO_INSPECT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654BBA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已清扫未查房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CAB2BE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客房主管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9F4C8C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IN_INVENTORY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3660DA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维修房仍在渠道库存中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34CC63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PMS 工程师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E7288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SHOW_OOS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990560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停用房可售但未提示原因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14DC7F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前台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6D92F6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NO_OWNER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44BBEB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异常无具名接收人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11B2D4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客房调度</w:t>
            </w:r>
          </w:p>
        </w:tc>
      </w:tr>
    </w:tbl>
    <w:p w14:paraId="23499A5D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5" w:name="section-4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3.3 系统架构与数据边界</w:t>
      </w:r>
      <w:bookmarkEnd w:id="15"/>
    </w:p>
    <w:p w14:paraId="3730541F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系统定位为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只读汇聚层 + 人工确认通道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，不做生产库写入。</w:t>
      </w:r>
    </w:p>
    <w:p w14:paraId="776BF64E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系统分为四层，数据单向向下流动，只有经过人工确认的数据才进入回写通道。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883A0C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层级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1A236C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组成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ACA844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职责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685A75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关键约束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20DAFE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数据源层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FFF10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PMS、客房任务平台、渠道订单库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659D91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分别提供房态占用、清扫查房、预订可售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39B135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三套权限独立维护，接口仅可读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923EC4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汇聚层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6223B4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只读适配器 + 快照缓存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E97359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按业务编号对齐三方数据，保留时间戳与版本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79D6F3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每天两次更新；中断时使用上一份带时间戳快照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D4DF02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计算层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583EEF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三态投影、缺口检出、交接单起草、脱敏审计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A6D09D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全部为确定性规则，不调用模型做判断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E2E221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输出必须可复现：同一输入必得同一结果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5DF430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确认层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7D5DAB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人工确认闸门 + 受控回写通道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202BD5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具名接收人签收后才允许写回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674DED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回写仅限已确认字段，不做批量自动更新</w:t>
            </w:r>
          </w:p>
        </w:tc>
      </w:tr>
    </w:tbl>
    <w:p w14:paraId="793C2527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数据流为：数据源层 → 汇聚层 → 计算层 → 确认层。确认层不回写数据源以外的任何系统。</w:t>
      </w:r>
    </w:p>
    <w:p w14:paraId="5A3AAACF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关键约束（均来自已确认事实）：</w:t>
      </w:r>
    </w:p>
    <w:p w14:paraId="48308EAD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f32：现有接口仅可读，不能写回生产库。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因此所有"自动改房态"的方案在本项目上不可行，人工确认环节是架构必需件，不是可选项。</w:t>
      </w:r>
    </w:p>
    <w:p w14:paraId="2E07C4B9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f34：每天两次更新已授权业务状态。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前台与客房看到的不是实时流，而是有明确更新周期的快照。界面必须显示最后更新时间，超过一个周期即标记"待刷新"。</w:t>
      </w:r>
    </w:p>
    <w:p w14:paraId="06918021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f35：接口中断时使用带时间戳的上一份只读快照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，显示"暂未更新"，重连后按业务编号去重补齐，现有人工流程继续运行。</w:t>
      </w:r>
    </w:p>
    <w:p w14:paraId="289D6F11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6" w:name="section-4-4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3.4 交接单设计</w:t>
      </w:r>
      <w:bookmarkEnd w:id="16"/>
    </w:p>
    <w:p w14:paraId="68FC116A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交接单是 REQ-2 的落地载体。按 f23 的要求，五个字段为必填：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1D9A13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字段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63D4DF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必填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F22CD3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AA2444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业务编号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03F2D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ADA5B2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关联原单据，投诉归因可追溯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659EBB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当前版本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CAE421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CB40A8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引用哪一版资料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8CC0A1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处理状态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E77998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8C6559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三态之一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970966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未解决事项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C2D2C6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90B6B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阻塞原因，不可留空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ACAB04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接手人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0624FC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A9AE72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具名</w:t>
            </w: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，仅写"已转交"不合格</w:t>
            </w:r>
          </w:p>
        </w:tc>
      </w:tr>
    </w:tbl>
    <w:p w14:paraId="17F09357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在此基础上，本方案增加两个字段：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预计可售时间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（房态解释需要）与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下一步动作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（升级路径需要）。同时设一条可用性约束：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sz="8"/>
              <w:bottom w:val="none" w:sz="8"/>
              <w:right w:val="none" w:sz="8"/>
            </w:tcBorders>
            <w:vAlign w:val="center"/>
          </w:tcPr>
          <w:p w14:paraId="3411947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交接单字段填写总时长不得超过现有单据填写时长，否则高峰期必被绕过。</w:t>
            </w:r>
          </w:p>
        </w:tc>
      </w:tr>
    </w:tbl>
    <w:p w14:paraId="1C5C197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这条约束来自 f13——一线在高峰期只能使用现有终端，离开现场补录会延误处理。因此交接单必须支持草稿暂存，并显示最后同步时间。</w:t>
      </w:r>
    </w:p>
    <w:p w14:paraId="4785636F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7" w:name="section-4-5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3.5 人工复核与不可逆动作</w:t>
      </w:r>
      <w:bookmarkEnd w:id="17"/>
    </w:p>
    <w:p w14:paraId="650F2A6F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以下情形一律转人工，且必须标注触发原因、接手人与确认时间（f44）：</w:t>
      </w:r>
    </w:p>
    <w:p w14:paraId="4291A677">
      <w:pPr>
        <w:numPr>
          <w:ilvl w:val="0"/>
          <w:numId w:val="4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维修房解除封锁但缺异味复查记录</w:t>
      </w:r>
    </w:p>
    <w:p w14:paraId="0483EF2E">
      <w:pPr>
        <w:numPr>
          <w:ilvl w:val="0"/>
          <w:numId w:val="4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维修房已存在预订（改签涉及对外承诺）</w:t>
      </w:r>
    </w:p>
    <w:p w14:paraId="60716F16">
      <w:pPr>
        <w:numPr>
          <w:ilvl w:val="0"/>
          <w:numId w:val="4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查房未完成但前台已收到渠道订单</w:t>
      </w:r>
    </w:p>
    <w:p w14:paraId="2B38858F">
      <w:pPr>
        <w:numPr>
          <w:ilvl w:val="0"/>
          <w:numId w:val="4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资料缺少依据，或两个版本冲突</w:t>
      </w:r>
    </w:p>
    <w:p w14:paraId="3967A9F3">
      <w:pPr>
        <w:numPr>
          <w:ilvl w:val="0"/>
          <w:numId w:val="4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关键系统不可用</w:t>
      </w:r>
    </w:p>
    <w:p w14:paraId="0F90A4A0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18" w:name="section-4-6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3.6 权限与隐私边界</w:t>
      </w:r>
      <w:bookmarkEnd w:id="1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6F432F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边界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DE980B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规则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405F27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来源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8D13C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查看权限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AA2619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仅授权业务岗位可查看订单、清扫查房、维修、客人需求与换房记录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391E80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f41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FF0B88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对外承诺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34657A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须由对应审批人确认，不得借用他人账号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C4CEFD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f41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A0D0C5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身份与房号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C1B413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限制访问，隐私信息不进入公共任务群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56B89E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f40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F8896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模型输入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7688BB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房号、工号、手机号送模型前替换为占位符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3D88B0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本方案设计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027F49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审计内容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203076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保留业务编号、资料版本、事实引用、建议结果、人工改动、签核人；不记录口令与不必要个人信息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B2ABFA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f45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79D471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留存期限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EC62DF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评价记录暂保留 90 天，期满由服务质量专员复核删除或归档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BC252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f43</w:t>
            </w:r>
          </w:p>
        </w:tc>
      </w:tr>
    </w:tbl>
    <w:p w14:paraId="5ED89574">
      <w:pPr>
        <w:pBdr>
          <w:top w:val="single" w:sz="8"/>
        </w:pBdr>
        <w:spacing w:before="0" w:after="0"/>
      </w:pPr>
    </w:p>
    <w:p w14:paraId="04A9ACF7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19" w:name="section-5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四、实施计划</w:t>
      </w:r>
      <w:bookmarkEnd w:id="19"/>
    </w:p>
    <w:p w14:paraId="57C67E94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项目按九阶段推进，每阶段含三个动作与一道人工闸门。本章给出阶段划分、里程碑与付款节点、人力配置，以及甲方必须配合的事项。</w:t>
      </w:r>
    </w:p>
    <w:p w14:paraId="409F0768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20" w:name="section-5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4.1 阶段划分与交付物</w:t>
      </w:r>
      <w:bookmarkEnd w:id="20"/>
    </w:p>
    <w:p w14:paraId="37DC71EE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项目按九阶段推进。每个阶段包含三个动作与一道人工闸门，闸门未签字不进入下一阶段。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038ED2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阶段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91D0D1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周期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ECDD00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核心动作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5E18A8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交付物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96EFA7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闸门签字人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977D3E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一、业务挖掘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05F8B5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1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185114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识别机会、建立基线、确认决策链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1A38E7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业务机会清单、指标基线、项目章程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93C8A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8A29F1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二、现场调研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F71579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2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12EEC1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角色访谈、流程还原、四来源收敛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3C671A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访谈记录、现状流程图、证据台账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AFCF9F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AC6114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三、需求定义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D7A72F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1.5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D6BA3E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排序问题、编写需求边界、约定验收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185288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需求规格、追溯矩阵、验收清单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FD8559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 + 傅景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F9F6D2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四、方案设计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217E45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1.5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685644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选定试点、设计边界、制定计划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4AA9EB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试点方案、架构与权限矩阵、风险评估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27A0E9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 + 秦芮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278D11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五、构建集成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94A1D8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4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73C5B2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落实契约、实现闭环、实现异常与审计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FCC4A3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数据契约、原型、审计样例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6A8CC4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秦芮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69594F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六、测试评估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FB85AB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2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73F92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建立评估集、执行测试、修复回归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4855E8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评估集、测试报告、质量结论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4B1273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秦芮 + 傅景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4A6EFA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七、客户试点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D8F666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5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DBCB54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准备受控试点、用户验收、价值复核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EBA0AA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试点计划、验收记录、决策纪要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F6398A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 + 叶书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F4C701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八、上线交接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462EB9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2 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9F4729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准备审查、发布演练、运维交接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B3FE5D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上线检查单、回滚演练、交接签收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25C555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傅景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2463EC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九、运营迭代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D7598C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持续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E04DF2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建立节奏、事件演练、复盘迭代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53A768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90 天运营计划、复盘报告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A5CF90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顾明岚</w:t>
            </w:r>
          </w:p>
        </w:tc>
      </w:tr>
    </w:tbl>
    <w:p w14:paraId="5204C223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各阶段周期累加为 21.5 周。实际排期可压缩至 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18 周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，压缩来自两处明确的并行：一是第三、第四阶段的文档工作与第五阶段的数据契约设计并行两周；二是第六阶段评估集构建在第五阶段末两周即启动。第七阶段不可压缩——它必须占用连续 4 个周末完成对照观察（f02 要求周末连续 4 周试点）。</w:t>
      </w:r>
    </w:p>
    <w:p w14:paraId="16CC75E4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报价中 A、B、C 三档的周期分别按 10.5 周、17.5 周、21.5 周计，均未采用 18 周这个压缩值。这样处理是因为：压缩依赖于甲方配合事项全部按期到位，而报价应当基于稳健假设。若甲方配合顺利，18 周完成 B 档是可能的，但不作为承诺。</w:t>
      </w:r>
    </w:p>
    <w:p w14:paraId="0FF7B2B0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21" w:name="section-5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4.2 里程碑与付款节点</w:t>
      </w:r>
      <w:bookmarkEnd w:id="2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6D824F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里程碑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80F004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完成标志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14C925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时点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37103B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M1 口径确认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34A580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误判定义、等待基线、统计周期经顾明岚与傅景书面签字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091041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3 周末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29DA8E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M2 需求定稿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D67EFD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六项需求的范围边界与验收条件经确认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F34FF4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4.5 周末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911082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M3 原型就绪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9D3991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三态投影、交接单、复核队列可演示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BF30A0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8.5 周末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3A631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M4 评估通过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50F142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评估集覆盖全部异常路径，缺陷闭环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578D5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10.5 周末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B11DF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M5 试点达标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E1310B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连续 4 周周末误判为零，等待时间下降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BB39E0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15.5 周末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5F2EF7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M6 交接完成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A36A56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运维手册签收，审计重建演练通过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79F2D3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17.5 周末</w:t>
            </w:r>
          </w:p>
        </w:tc>
      </w:tr>
    </w:tbl>
    <w:p w14:paraId="2D3CA2C8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22" w:name="section-5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4.3 人力配置</w:t>
      </w:r>
      <w:bookmarkEnd w:id="2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A5ECCB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角色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37E4B6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投入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89DEBA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7F8F39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FDE 交付负责人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D5BC48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全程 0.4 FTE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D8159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客户对接、口径推动、闸门组织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25486A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解决方案工程师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22837C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3–11 周 1.0 FTE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FD9EA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三态投影、交接单、校验规则实现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7BC9EA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集成工程师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578090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5–9 周 0.8 FTE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45FC7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三系统只读接入、字段映射、快照机制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1A6EBD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质量与合规顾问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C65AC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6–16 周 0.3 FTE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76129A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评估集设计、隐私合规、审计演练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0C9C9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客户方项目经理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FABBF8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全程 0.3 FTE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305BF6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内部协调、培训组织、数据提供</w:t>
            </w:r>
          </w:p>
        </w:tc>
      </w:tr>
    </w:tbl>
    <w:p w14:paraId="04B83B98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客户方需指定：业务口径确认人（顾明岚）、技术对接人（秦芮）、风险把关人（傅景）、一线验收人（林亦舟、唐映秋）。</w:t>
      </w:r>
    </w:p>
    <w:p w14:paraId="7003B437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23" w:name="section-5-4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4.4 甲方配合事项</w:t>
      </w:r>
      <w:bookmarkEnd w:id="23"/>
    </w:p>
    <w:p w14:paraId="5491343F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以下事项不到位将直接顺延工期：</w:t>
      </w:r>
    </w:p>
    <w:p w14:paraId="1DA7ECC4">
      <w:pPr>
        <w:numPr>
          <w:ilvl w:val="0"/>
          <w:numId w:val="5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三套系统的只读账号与接口文档（第 1 周内）</w:t>
      </w:r>
    </w:p>
    <w:p w14:paraId="4FA16F17">
      <w:pPr>
        <w:numPr>
          <w:ilvl w:val="0"/>
          <w:numId w:val="5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近 6 个月的历史交接记录与异常单样本（第 2 周内）</w:t>
      </w:r>
    </w:p>
    <w:p w14:paraId="10D4A1B2">
      <w:pPr>
        <w:numPr>
          <w:ilvl w:val="0"/>
          <w:numId w:val="5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误判口径与等待基线的书面确认（第 3 周内）</w:t>
      </w:r>
    </w:p>
    <w:p w14:paraId="1E7CA372">
      <w:pPr>
        <w:numPr>
          <w:ilvl w:val="0"/>
          <w:numId w:val="5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试点楼层与班次的排期承诺（第 5 周内）</w:t>
      </w:r>
    </w:p>
    <w:p w14:paraId="5107824B">
      <w:pPr>
        <w:numPr>
          <w:ilvl w:val="0"/>
          <w:numId w:val="5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每周一次的评审会出席（全程）</w:t>
      </w:r>
    </w:p>
    <w:p w14:paraId="72FFAB7A">
      <w:pPr>
        <w:pBdr>
          <w:top w:val="single" w:sz="8"/>
        </w:pBdr>
        <w:spacing w:before="0" w:after="0"/>
      </w:pPr>
    </w:p>
    <w:p w14:paraId="485CA4A5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24" w:name="section-6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五、验收标准与停止条件</w:t>
      </w:r>
      <w:bookmarkEnd w:id="24"/>
    </w:p>
    <w:p w14:paraId="005DDF29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验收不是"系统跑起来"，而是三个具体指标达标且口径已签字。本章同时给出五条停止条件，触及即暂停。</w:t>
      </w:r>
    </w:p>
    <w:p w14:paraId="74B816D8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25" w:name="section-6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5.1 验收指标体系</w:t>
      </w:r>
      <w:bookmarkEnd w:id="2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D8484C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指标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667164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现状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F47E04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目标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03655D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单位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F5819D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责任岗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03CBDA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备注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031C51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高峰入住等待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8D56B1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38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1F82B1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15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A848B0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分钟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3A30B1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前台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F233BB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起点待界定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AA31A3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房态错误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34ABCE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24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6210AA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D11C07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次/周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64D523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质检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78C9DC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口径须先签字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5BFEEB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退房到可售周转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E9F8CF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96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7FF0EA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70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8DEAF6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分钟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58DBF9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客房调度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82ADE9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现状为估计值，需实测</w:t>
            </w:r>
          </w:p>
        </w:tc>
      </w:tr>
      <w:tr>
        <w:trPr/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EFBAEB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异常具名接收率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123041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0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334DA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100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6A281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%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BB2C9D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质检</w:t>
            </w:r>
          </w:p>
        </w:tc>
        <w:tc>
          <w:tcPr>
            <w:tcW w:w="13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711D96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试点后新增</w:t>
            </w:r>
          </w:p>
        </w:tc>
      </w:tr>
    </w:tbl>
    <w:p w14:paraId="59210FCE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注意：上表"现状"列中，38 与 24 为管理者陈述的观察值，96 为估计值，均未经过系统化测量。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方案设计中已将"逐节点补测时间"列入第二阶段动作，试点结论必须以实测基线为准。</w:t>
      </w:r>
    </w:p>
    <w:p w14:paraId="0D5F94DA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26" w:name="section-6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5.2 验收判定方式</w:t>
      </w:r>
      <w:bookmarkEnd w:id="26"/>
    </w:p>
    <w:p w14:paraId="7338F305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试点期间：周末连续 4 周，房态误判为零，入住等待下降（f02、f42）</w:t>
      </w:r>
    </w:p>
    <w:p w14:paraId="0475C2F2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判定权：误判认定由质检按签字口径判定，系统只提供证据（R5）</w:t>
      </w:r>
    </w:p>
    <w:p w14:paraId="36A71D6E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抽查项：转人工记录是否含触发原因、接手人与确认时间</w:t>
      </w:r>
    </w:p>
    <w:p w14:paraId="1273688C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隐私项：同步检查客人身份与房号限制访问、隐私信息不进入公共任务群</w:t>
      </w:r>
    </w:p>
    <w:p w14:paraId="5504A4FB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防拆单：固定分母、排除规则与统计周期，不得将同一业务拆成多次"成功"（f53）</w:t>
      </w:r>
    </w:p>
    <w:p w14:paraId="450FEC77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27" w:name="section-6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5.3 停止条件</w:t>
      </w:r>
      <w:bookmarkEnd w:id="27"/>
    </w:p>
    <w:p w14:paraId="3B12A28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触及以下任一条件，立即暂停试点，由项目负责人组织复盘：</w:t>
      </w:r>
    </w:p>
    <w:p w14:paraId="33CB9DFB">
      <w:pPr>
        <w:numPr>
          <w:ilvl w:val="0"/>
          <w:numId w:val="6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连续两个周末出现房态误判</w:t>
      </w:r>
    </w:p>
    <w:p w14:paraId="04CCFE38">
      <w:pPr>
        <w:numPr>
          <w:ilvl w:val="0"/>
          <w:numId w:val="6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发生未经审批的对外承诺</w:t>
      </w:r>
    </w:p>
    <w:p w14:paraId="067167C6">
      <w:pPr>
        <w:numPr>
          <w:ilvl w:val="0"/>
          <w:numId w:val="6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客人身份或房号信息进入公共任务群</w:t>
      </w:r>
    </w:p>
    <w:p w14:paraId="01BE0EAD">
      <w:pPr>
        <w:numPr>
          <w:ilvl w:val="0"/>
          <w:numId w:val="6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关键系统连续中断超过两个更新周期</w:t>
      </w:r>
    </w:p>
    <w:p w14:paraId="21B19D99">
      <w:pPr>
        <w:numPr>
          <w:ilvl w:val="0"/>
          <w:numId w:val="6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试点期间发生客人因房态问题再次换房</w:t>
      </w:r>
    </w:p>
    <w:p w14:paraId="4669C008">
      <w:pPr>
        <w:pBdr>
          <w:top w:val="single" w:sz="8"/>
        </w:pBdr>
        <w:spacing w:before="0" w:after="0"/>
      </w:pPr>
    </w:p>
    <w:p w14:paraId="1454D508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28" w:name="section-7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六、项目风险与应对</w:t>
      </w:r>
      <w:bookmarkEnd w:id="2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F78410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风险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A33AA2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触发信号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D53346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影响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468422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应对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A3D7B3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口径迟迟不签字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CD2AD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3 周末未完成 M1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6FE1A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后续全部验收无法判定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38DCC8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升级至甲方决策层，或将项目范围收窄为只读核查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7E327F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字段无法独立可读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EE848B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只读核查发现三态仍压缩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456D7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三态投影失去数据基础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2BEAB9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降级为"页面层拆分展示 + 人工修复队列"，同步评估 PMS 改造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2B8531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高峰期被绕过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CF3209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试点中交接单填写率低于 80%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CCB982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项目价值不成立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645EEC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缩减必填字段、改为单点触达，或暂缓推广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420FF5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复核成本超预期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2FE177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复核时长超过每单 1 分钟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F760E0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净收益转负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1AF5B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调整触发阈值，把低风险场景移出人工队列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303DD2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数据样本不足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53A13C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历史异常单可回溯量少于 100 单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53C7B4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评估集覆盖不全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95F15A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延长观察期，或补充人工构造的场景样本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946AD3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行业参照缺失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0457C0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 2 周末仍无可比实践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331E2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技术可行性论证不充分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E45A6C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补充公开案例研究，并在方案中明确差异化条件</w:t>
            </w:r>
          </w:p>
        </w:tc>
      </w:tr>
    </w:tbl>
    <w:p w14:paraId="16B6154A">
      <w:pPr>
        <w:pBdr>
          <w:top w:val="single" w:sz="8"/>
        </w:pBdr>
        <w:spacing w:before="0" w:after="0"/>
      </w:pPr>
    </w:p>
    <w:p w14:paraId="64F511D5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29" w:name="section-8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七、交付物清单</w:t>
      </w:r>
      <w:bookmarkEnd w:id="2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FEF5DA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交付物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4CFB86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形式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1BC32A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交付时点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D318B8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业务需求发现报告（修订版）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25D138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B7863B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M1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423C22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现状流程图与三态投影说明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26A2A5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图 + 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A9289C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M1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0C2E5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需求规格与追溯矩阵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6E140D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FCEEED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M2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54F0F9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系统架构与权限矩阵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A286F9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0C2F9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M2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311940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房态协同原型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FB18C8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可运行程序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4D0D6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M3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FBA92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评估集与测试报告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8EA60B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 + 数据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9292F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M4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891B3D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试点执行计划与验收记录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1B503D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958F42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M5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C47DAE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运行手册与回滚预案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596640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AF6920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M6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CB6250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九阶段复盘报告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591951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E4AB83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项目结束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CA34FB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报价单（本文件第八至十一章）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5FB4FC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文档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E843F4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随本文件</w:t>
            </w:r>
          </w:p>
        </w:tc>
      </w:tr>
    </w:tbl>
    <w:p w14:paraId="37A15F45">
      <w:pPr>
        <w:pBdr>
          <w:top w:val="single" w:sz="8"/>
        </w:pBdr>
        <w:spacing w:before="0" w:after="0"/>
      </w:pPr>
    </w:p>
    <w:p w14:paraId="27CD04AD">
      <w:pPr>
        <w:pStyle w:val="000017"/>
        <w:keepNext w:val="1"/>
        <w:keepLines w:val="1"/>
        <w:spacing w:before="0" w:beforeAutospacing="1" w:after="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第二部分　报价单</w:t>
      </w:r>
    </w:p>
    <w:p w14:paraId="4984603C">
      <w:pPr>
        <w:pBdr>
          <w:top w:val="single" w:sz="8"/>
        </w:pBdr>
        <w:spacing w:before="0" w:after="0"/>
      </w:pPr>
    </w:p>
    <w:p w14:paraId="340C21A1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30" w:name="section-9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八、报价说明</w:t>
      </w:r>
      <w:bookmarkEnd w:id="30"/>
    </w:p>
    <w:p w14:paraId="3F1C23A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本报价采用固定总价加阶段付款。以下说明报价基础、三档的划分逻辑，以及报价的有效期。</w:t>
      </w:r>
    </w:p>
    <w:p w14:paraId="2F13FB35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1" w:name="section-9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8.1 报价基础</w:t>
      </w:r>
      <w:bookmarkEnd w:id="31"/>
    </w:p>
    <w:p w14:paraId="72F26249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本报价基于第一部分的方案范围，采用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固定总价 + 阶段付款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方式。固定总价意味着：在甲方按第 4.4 节履行配合义务、且方案范围未发生变更的前提下，乙方不因自身工作量估算偏差追加费用。</w:t>
      </w:r>
    </w:p>
    <w:p w14:paraId="62E0AAC5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2" w:name="section-9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8.2 报价三档</w:t>
      </w:r>
      <w:bookmarkEnd w:id="32"/>
    </w:p>
    <w:p w14:paraId="5FA3E0D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为便于甲方按预算与推进节奏选择，本报价提供三个档位。三档共用同一套技术架构，差异在于覆盖的需求范围与推广深度，不是"同一套东西卖三个价"。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63B3F4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档位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08C0E4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覆盖需求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BDD1FC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适用场景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2B9BFB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总价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1617EA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A 精简版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857896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REQ-1、REQ-5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4B2D25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先验证"三态口径能否拆开、误判能否归零"，为后续投入决策提供依据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4A3BBD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¥78,000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37A424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B 标准版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BDEDA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A + REQ-2、REQ-3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184040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在一次试点内跑通完整协同闭环，覆盖交接与高风险拦截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59770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¥126,000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1E1B76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C 完整版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00C014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B + REQ-4、REQ-6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E764AE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覆盖对外解释口径与留存审计，可直接进入常态化运营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047231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¥168,000</w:t>
            </w:r>
          </w:p>
        </w:tc>
      </w:tr>
    </w:tbl>
    <w:p w14:paraId="1D638BDD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推荐档位：B 标准版。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理由：A 档只能证明问题可以被度量，但无法验证一线是否真的会使用；C 档的 REQ-4 涉及对外承诺口径，需要叶书与顾明岚在试点后再定，提前采购会形成沉没成本。B 档落在甲方 13 万元的首期预算之内，且能产出一个可对外复盘的完整试点结论。</w:t>
      </w:r>
    </w:p>
    <w:p w14:paraId="4B04137A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3" w:name="section-9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8.3 报价有效期</w:t>
      </w:r>
      <w:bookmarkEnd w:id="33"/>
    </w:p>
    <w:p w14:paraId="04765909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自出具之日起 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30 个自然日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内有效。超过有效期需重新确认人力排期后出具修订版。</w:t>
      </w:r>
    </w:p>
    <w:p w14:paraId="624F34F9">
      <w:pPr>
        <w:pBdr>
          <w:top w:val="single" w:sz="8"/>
        </w:pBdr>
        <w:spacing w:before="0" w:after="0"/>
      </w:pPr>
    </w:p>
    <w:p w14:paraId="72456C7A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34" w:name="section-10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九、分档报价明细</w:t>
      </w:r>
      <w:bookmarkEnd w:id="34"/>
    </w:p>
    <w:p w14:paraId="199E3D62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三档共用同一技术架构，差异在覆盖的需求范围与推广深度。每一档都列出到人天的明细，便于甲方逐项核对。</w:t>
      </w:r>
    </w:p>
    <w:p w14:paraId="784FCB82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5" w:name="section-10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9.1 A 精简版　¥78,000</w:t>
      </w:r>
      <w:bookmarkEnd w:id="3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16FAB9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序号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847320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工作项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116A06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内容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A36722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人天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E91D2E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金额（元）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3DD347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3DB6DF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口径与基线确认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605E76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误判定义、等待基线、统计周期的书面化与签字组织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1B9AFA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8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3E08FB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12,000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8AF7E8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A-2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D1FEC8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只读核查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219A85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三套系统字段存在性、时间戳、版本的可读性核验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D450A6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CB3AF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7,800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69C204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A-3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8DB0BD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三态投影引擎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BD029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展示码投影、四类缺口检出（确定性实现）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A9E9C9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C5F598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13,000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3AFAD8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4EC8A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只读统一视图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FF2D7F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楼层房态看板、最后更新时间、待刷新标识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8B22FD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9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A6BCF5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11,700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1B27EF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78BE6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人工修复队列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4F6B20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歧义记录分离，不进入推荐样本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14F049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2C70B0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6,500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8043A1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A44FA1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评估集与回放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604D4D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按房态场景构造评估样本，历史资料回放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A8C14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7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4DBC14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9,100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B9225D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A-7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DE8C06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周末试点支持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16E987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4 个周末现场观察与数据采集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BC51F3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8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D161F0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10,400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0C70C0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A-8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44F14F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培训与交接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F85CE3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两轮班次培训、运行说明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92945F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DB8FD5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752B84E">
            <w:pPr>
              <w:jc w:val="left"/>
            </w:pP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E3B5AC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合计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DAB84C9">
            <w:pPr>
              <w:jc w:val="left"/>
            </w:pP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4922AD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57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728CB2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78,000</w:t>
            </w:r>
          </w:p>
        </w:tc>
      </w:tr>
    </w:tbl>
    <w:p w14:paraId="2504386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A 档不含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：交接单流转、维修房解除封锁复核、对外解释口径、审计重建演练、渠道侧联动。</w:t>
      </w:r>
    </w:p>
    <w:p w14:paraId="636A8745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6" w:name="section-10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9.2 B 标准版　¥126,000</w:t>
      </w:r>
      <w:bookmarkEnd w:id="36"/>
    </w:p>
    <w:p w14:paraId="39C536E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B 档包含 A 档全部工作项，并增加以下内容：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129852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序号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629D19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工作项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10C7D9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内容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860DD8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人天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CE0757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金额（元）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357D01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39E886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A 档全部内容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7E9882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见 9.1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F360BD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57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169324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78,000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41238C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B-2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EB8A7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交接单设计与实现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605F9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五必填字段 + 预计可售时间 + 下一步动作；草稿暂存与同步时间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25F3F9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1E7FA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14,300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54CE0A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B-3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7A1FCB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具名接手确认机制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3FBDA7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接收人签收、退回原因留痕、跨岗责任链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E5394A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7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232ACD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9,100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77A927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3593F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高风险转人工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E76026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五类触发条件的识别与分流，含维修房带预订场景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4AE9D6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8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ACE91D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10,400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FB9EE7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E4CD8C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解除封锁强制复核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8457F3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异味复查证据字段缺失即拒绝恢复；错误结果不覆盖原记录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6A1C6F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A204E1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7,800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FE8FD3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D20413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脱敏与审计链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04DD3B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房号/工号/手机号替换，岗位 + 动作哈希留痕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FE043C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260C24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5,500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4AB6B3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B-7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B5B38D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快照与降级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20458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接口中断时使用带时间戳快照，重连去重补齐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F84690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21CB88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5,200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74F876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B-8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7475FE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扩展评估与复测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6CD86C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覆盖交接与高风险路径，两轮修复复测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C72114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0F2163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8,200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E2B5DD2">
            <w:pPr>
              <w:jc w:val="left"/>
            </w:pP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773FDA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合计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E3C9A4">
            <w:pPr>
              <w:jc w:val="left"/>
            </w:pP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B92156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104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BE07A9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138,500</w:t>
            </w:r>
          </w:p>
        </w:tc>
      </w:tr>
    </w:tbl>
    <w:p w14:paraId="479619FB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说明：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B 档按明细累加为 ¥138,500，超出甲方 13 万元首期预算 6.5%。</w:t>
      </w:r>
    </w:p>
    <w:p w14:paraId="65D77825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为使 B 档落入预算，报价按 </w:t>
      </w:r>
      <w:r>
        <w:rPr>
          <w:rFonts w:ascii="var(--typography-fontFamily-body)" w:hAnsi="var(--typography-fontFamily-body)" w:eastAsia="var(--typography-fontFamily-body)" w:cs="var(--typography-fontFamily-body)"/>
          <w:b w:val="1"/>
        </w:rPr>
        <w:t>¥126,000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执行，差额 ¥12,500 由乙方承担。折让不削减功能范围，只压缩实现裕度，具体处理为两点：</w:t>
      </w:r>
    </w:p>
    <w:p w14:paraId="5945BA02">
      <w:pPr>
        <w:numPr>
          <w:ilvl w:val="0"/>
          <w:numId w:val="7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B-7 快照机制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统一采用进程内缓存，不引入独立存储组件。代价是接口中断期间缓存随服务重启丢失，需回退到上一份持久化快照。</w:t>
      </w:r>
    </w:p>
    <w:p w14:paraId="71FB017E">
      <w:pPr>
        <w:numPr>
          <w:ilvl w:val="0"/>
          <w:numId w:val="7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B-8 复测轮次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由两轮压缩为一轮完整回归加一次针对性复测。代价是回归覆盖面略窄，需在评估集设计阶段把边界用例前置。</w:t>
      </w:r>
    </w:p>
    <w:p w14:paraId="37849337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乙方接受由此带来的工期与质量风险。该折让由乙方交付负责人审批，写入合同附件，不构成对其他档位的价格承诺。</w:t>
      </w:r>
    </w:p>
    <w:p w14:paraId="71B95DD8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7" w:name="section-10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9.3 C 完整版　¥168,000</w:t>
      </w:r>
      <w:bookmarkEnd w:id="37"/>
    </w:p>
    <w:p w14:paraId="0D203CEA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C 档包含 B 档全部工作项，并增加：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04FB5E1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序号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DD2E79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工作项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4F9779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内容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39D978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人天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004787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金额（元）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AB6EF1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C-1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B4FD56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B 档全部内容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45DA4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见 9.2（按 ¥126,000 计）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95DA0F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104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944AB6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126,000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C0B83E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C-2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DDB137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对客解释口径引擎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B69111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解释话术与资料版本绑定，引用原业务编号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0DEE5F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9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71F806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13,500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9CFA4D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C-3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80C874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承诺审批分离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FE0105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对外承诺进入审批流，禁止借用账号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2848E5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E0B86E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9,000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B53D81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C-4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6D2A98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留存与归档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257182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90 天保留策略、期满复核删除、归档审批人设置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4CE6B6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57EBE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9,000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D97504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C-5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F565CC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审计重建演练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DA009E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单次处理可完整重建，含一次实战演练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004899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3FB966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6,000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952511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C-6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4D2508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渠道侧联动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F76B76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可售状态向渠道的只读同步与超售拦截校验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19E4CA4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D17C43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7,500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7AF7955">
            <w:pPr>
              <w:jc w:val="left"/>
            </w:pP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88EDD5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合计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D200DBC">
            <w:pPr>
              <w:jc w:val="left"/>
            </w:pP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43645C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134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4201D5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  <w:b w:val="1"/>
              </w:rPr>
              <w:t>171,000</w:t>
            </w:r>
          </w:p>
        </w:tc>
      </w:tr>
    </w:tbl>
    <w:p w14:paraId="23A92C9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C 档报价按 </w:t>
      </w:r>
      <w:r>
        <w:rPr>
          <w:rFonts w:ascii="var(--typography-fontFamily-body)" w:hAnsi="var(--typography-fontFamily-body)" w:eastAsia="var(--typography-fontFamily-body)" w:cs="var(--typography-fontFamily-body)"/>
          <w:b w:val="1"/>
        </w:rPr>
        <w:t>¥168,000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执行（同样压缩 ¥3,000 实现裕度）。</w:t>
      </w:r>
    </w:p>
    <w:p w14:paraId="3396E422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38" w:name="section-10-4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9.4 三档对比</w:t>
      </w:r>
      <w:bookmarkEnd w:id="3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8E001F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对比维度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3B603E5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A 精简版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7E006C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B 标准版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2600F4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C 完整版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A95F45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总价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AA01FD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¥78,000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8BAF3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¥126,000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EFB3E0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¥168,000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459C0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三态投影与只读视图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B2019B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E85696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59349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7CE42B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口径与基线确认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977D35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C9F245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7C77A3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639524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人工修复队列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956407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C8DD35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6392AD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C4986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4 周周末试点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F601D1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2BBA5A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5DBF1F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D32D68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交接单流转与具名接手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9968F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BCD869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D21FF1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D4EC7E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高风险转人工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096DFE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BFF17B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D478C6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2EF36C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解除封锁强制复核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444FD4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E60304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3056E5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0F25A2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脱敏与审计链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5A92C5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E4C816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0E032B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0F3CB3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对客解释口径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5925C87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E3B1206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CC838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0D9381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承诺审批分离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54DCB6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E35A339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09910E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57F3A5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留存归档与审计重建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FD7FDD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08FA1F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57711C2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7364D4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渠道侧联动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99E60D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2691EF3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4CD873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●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C325E6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周期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F8B5FF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10.5 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9CB9E7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17.5 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B729EF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21.5 周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245883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预计可判定验收的指标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25EC1A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房态错误、周转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90E7CAF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全部四项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63EAA4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全部四项 + 解释一致性</w:t>
            </w:r>
          </w:p>
        </w:tc>
      </w:tr>
    </w:tbl>
    <w:p w14:paraId="7F0D9B59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（● 含　○ 不含）</w:t>
      </w:r>
    </w:p>
    <w:p w14:paraId="5DE9C26D">
      <w:pPr>
        <w:pBdr>
          <w:top w:val="single" w:sz="8"/>
        </w:pBdr>
        <w:spacing w:before="0" w:after="0"/>
      </w:pPr>
    </w:p>
    <w:p w14:paraId="46448C93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39" w:name="section-1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十、付款方式与其他费用</w:t>
      </w:r>
      <w:bookmarkEnd w:id="39"/>
    </w:p>
    <w:p w14:paraId="312F4FD0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除合同总价外，还有若干由甲方承担或另行计价的费用。本章一并列明，避免签合同后再谈增项。</w:t>
      </w:r>
    </w:p>
    <w:p w14:paraId="6E1900B3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0" w:name="section-11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10.1 阶段付款节点（以 B 标准版为例）</w:t>
      </w:r>
      <w:bookmarkEnd w:id="4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6135F57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期次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8D225A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节点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13F949E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比例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C7B5A1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金额（元）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71BB81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条件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C7B028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首期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AA03A8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合同签订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392B01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30%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259F3E5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37,800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E058F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合同生效后 5 个工作日内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1F7924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二期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1E029C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M2 需求定稿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E9695D1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25%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8D9D15D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31,500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0329F1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需求规格与验收清单签字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90B47B6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三期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9338E0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M4 评估通过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61CC08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25%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05DA4E8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31,500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B84C1D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评估报告通过，缺陷闭环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006F15D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四期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387C24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M5 试点达标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A9F14F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15%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85E187B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18,900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3722B2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连续 4 周周末误判为零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A60D29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尾款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A73FA0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M6 交接完成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35B580A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5%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EEAE990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6,300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8204D3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运维手册签收，审计演练通过</w:t>
            </w:r>
          </w:p>
        </w:tc>
      </w:tr>
    </w:tbl>
    <w:p w14:paraId="733E17D6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A 档与 C 档按同比例套用各自总价。</w:t>
      </w:r>
    </w:p>
    <w:p w14:paraId="19E048DD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1" w:name="section-11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10.2 未包含的费用</w:t>
      </w:r>
      <w:bookmarkEnd w:id="41"/>
    </w:p>
    <w:p w14:paraId="329BF40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以下费用不包含在报价内，由甲方承担或另行计价：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BE04A0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项目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20C4A80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说明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5938EAE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预估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D8D9BA4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PMS 字段改造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020C272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若只读核查发现三态确实无法独立读取，需 PMS 厂商改造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DE92E69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待评估，可能 3–8 万元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B320E8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硬件与终端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F28EF9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现有终端满足需求，如需增配由甲方采购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6396665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按实际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095F72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云资源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2B6957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快照存储与日志保留（B 档采用进程内缓存可大幅降低）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FF9FA6E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约 300–800 元/月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A6A9B9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证据存储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FE0581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查房照片等，按 90 天保留周期计费（仅 C 档涉及）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34C59B7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约 900 元/月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5604EC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第三方接口许可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89F6C51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若厂商对只读接口收费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71697E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按厂商报价</w:t>
            </w:r>
          </w:p>
        </w:tc>
      </w:tr>
    </w:tbl>
    <w:p w14:paraId="1AB2EE0E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2" w:name="section-11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10.3 运营期费用（试点验收后）</w:t>
      </w:r>
      <w:bookmarkEnd w:id="42"/>
    </w:p>
    <w:p w14:paraId="73EA9D25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项目验收后，若甲方选择持续运营，按月计费：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ACC44E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服务项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43E9EAA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内容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center"/>
          </w:tcPr>
          <w:p w14:paraId="7B0DAB6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0"/>
              </w:rPr>
              <w:t>月费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1676FBD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规则维护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65608EB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口径变更、规则版本更新、冲突处理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405646F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¥4,500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41DBDF3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人工复核支持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3F6B889A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复核队列异常处理、阈值调优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D20549E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¥3,200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7AA0EF2D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系统巡检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5A443CD8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</w:rPr>
              <w:t>接口健康度、快照时效、审计完整性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4817605C">
            <w:pPr>
              <w:jc w:val="left"/>
            </w:pPr>
            <w:r>
              <w:rPr>
                <w:rFonts w:ascii="var(--typography-fontFamily-body)" w:hAnsi="var(--typography-fontFamily-body)" w:eastAsia="var(--typography-fontFamily-body)" w:cs="var(--typography-fontFamily-body)"/>
              </w:rPr>
              <w:t>¥2,300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17FF64C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合计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658FA131">
            <w:pPr>
              <w:jc w:val="left"/>
            </w:pP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vAlign w:val="top"/>
          </w:tcPr>
          <w:p w14:paraId="28561160">
            <w:pPr>
              <w:jc w:val="left"/>
            </w:pPr>
            <w:r>
              <w:rPr>
                <w:rFonts w:hint="eastAsia" w:ascii="var(--typography-fontFamily-body)" w:hAnsi="var(--typography-fontFamily-body)" w:eastAsia="var(--typography-fontFamily-body)" w:cs="var(--typography-fontFamily-body)"/>
                <w:b w:val="1"/>
              </w:rPr>
              <w:t>¥10,000/月</w:t>
            </w:r>
          </w:p>
        </w:tc>
      </w:tr>
    </w:tbl>
    <w:p w14:paraId="2C12A4A6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此项为可选项。若甲方自行运营，乙方提供一次性知识转移（含在尾款内）。</w:t>
      </w:r>
    </w:p>
    <w:p w14:paraId="69F2B605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必须提示：这笔月度费用必须计入 ROI 计算。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 甲方在发现报告中已明确要求"收益须扣除维护及人工复核成本"，运营期费用正是该约束的对应项。</w:t>
      </w:r>
    </w:p>
    <w:p w14:paraId="4B3A9E8A">
      <w:pPr>
        <w:pBdr>
          <w:top w:val="single" w:sz="8"/>
        </w:pBdr>
        <w:spacing w:before="0" w:after="0"/>
      </w:pPr>
    </w:p>
    <w:p w14:paraId="79E39E6E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43" w:name="section-1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十一、商务条款</w:t>
      </w:r>
      <w:bookmarkEnd w:id="43"/>
    </w:p>
    <w:p w14:paraId="5F4433CE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以下条款界定范围变更、知识产权、保密、质保与争议处理，是本报价单的组成部分。</w:t>
      </w:r>
    </w:p>
    <w:p w14:paraId="00A0AB65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4" w:name="section-12-1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11.1 范围变更</w:t>
      </w:r>
      <w:bookmarkEnd w:id="44"/>
    </w:p>
    <w:p w14:paraId="46A9C7FC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任一方提出范围变更，须以书面形式提交变更说明，评估对工期与费用的影响后签署变更单。未经签署的口头变更不产生效力。</w:t>
      </w:r>
    </w:p>
    <w:p w14:paraId="089759A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因甲方原因导致的以下情形，工期顺延且可能产生额外费用：</w:t>
      </w:r>
    </w:p>
    <w:p w14:paraId="419D0006">
      <w:pPr>
        <w:numPr>
          <w:ilvl w:val="0"/>
          <w:numId w:val="8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第 4.4 节配合事项延迟超过 5 个工作日</w:t>
      </w:r>
    </w:p>
    <w:p w14:paraId="152393BE">
      <w:pPr>
        <w:numPr>
          <w:ilvl w:val="0"/>
          <w:numId w:val="8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口径确认延迟导致返工</w:t>
      </w:r>
    </w:p>
    <w:p w14:paraId="3A92CB7B">
      <w:pPr>
        <w:numPr>
          <w:ilvl w:val="0"/>
          <w:numId w:val="8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试点楼层或班次临时调整</w:t>
      </w:r>
    </w:p>
    <w:p w14:paraId="6399DCD4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5" w:name="section-12-2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11.2 知识产权</w:t>
      </w:r>
      <w:bookmarkEnd w:id="45"/>
    </w:p>
    <w:p w14:paraId="752FA924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为本项目定制的代码、文档与模型，著作权归甲方所有。</w:t>
      </w:r>
    </w:p>
    <w:p w14:paraId="7FE9A78C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乙方保留通用组件、方法论与框架的复用权。</w:t>
      </w:r>
    </w:p>
    <w:p w14:paraId="2F92C16B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项目产生的业务数据归甲方所有，乙方不得用于其他客户。</w:t>
      </w:r>
    </w:p>
    <w:p w14:paraId="7C31D5BD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6" w:name="section-12-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11.3 数据与保密</w:t>
      </w:r>
      <w:bookmarkEnd w:id="46"/>
    </w:p>
    <w:p w14:paraId="780D4373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双方签署保密协议，项目期间接触的客人信息、房态数据、经营指标均为保密信息。</w:t>
      </w:r>
    </w:p>
    <w:p w14:paraId="0D2B59FC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乙方人员访问生产数据须经甲方授权，且仅限只读。</w:t>
      </w:r>
    </w:p>
    <w:p w14:paraId="00A08FC8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项目结束后 30 日内，乙方删除本地留存的项目数据并出具删除确认。</w:t>
      </w:r>
    </w:p>
    <w:p w14:paraId="32F76E6C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7" w:name="section-12-4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11.4 质保</w:t>
      </w:r>
      <w:bookmarkEnd w:id="47"/>
    </w:p>
    <w:p w14:paraId="4029ADBF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 xml:space="preserve">交付后 </w:t>
      </w:r>
      <w:r>
        <w:rPr>
          <w:rFonts w:hint="eastAsia" w:ascii="var(--typography-fontFamily-body)" w:hAnsi="var(--typography-fontFamily-body)" w:eastAsia="var(--typography-fontFamily-body)" w:cs="var(--typography-fontFamily-body)"/>
          <w:b w:val="1"/>
        </w:rPr>
        <w:t>90 天</w:t>
      </w:r>
      <w:r>
        <w:rPr>
          <w:rFonts w:hint="eastAsia" w:ascii="var(--typography-fontFamily-body)" w:hAnsi="var(--typography-fontFamily-body)" w:eastAsia="var(--typography-fontFamily-body)" w:cs="var(--typography-fontFamily-body)"/>
        </w:rPr>
        <w:t>内，因乙方实现缺陷导致的问题免费修复。</w:t>
      </w:r>
    </w:p>
    <w:p w14:paraId="09E9EB4C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因甲方环境变更、第三方接口调整导致的问题，按 10.3 节运营期费用另行计价。</w:t>
      </w:r>
    </w:p>
    <w:p w14:paraId="234CF556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8" w:name="section-12-5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11.5 验收争议处理</w:t>
      </w:r>
      <w:bookmarkEnd w:id="48"/>
    </w:p>
    <w:p w14:paraId="50953086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误判认定以第 5.2 节签字口径为准，不由乙方单方判定。</w:t>
      </w:r>
    </w:p>
    <w:p w14:paraId="3112F530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若甲方在试点期内提出口径变更，变更前后的数据不作为同一验收周期累计。</w:t>
      </w:r>
    </w:p>
    <w:p w14:paraId="584C1B32">
      <w:pPr>
        <w:numPr>
          <w:ilvl w:val="0"/>
          <w:numId w:val="2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双方对验收结论有争议时，由甲方服务质量专员与乙方质量顾问联合复核，复核结论为准。</w:t>
      </w:r>
    </w:p>
    <w:p w14:paraId="3621B21F">
      <w:pPr>
        <w:pStyle w:val="000005"/>
        <w:keepNext w:val="1"/>
        <w:keepLines w:val="1"/>
        <w:spacing w:before="0" w:beforeAutospacing="1" w:after="0" w:afterAutospacing="1"/>
        <w:jc w:val="left"/>
        <w:outlineLvl w:val="2"/>
        <w:rPr>
          <w:sz w:val="32"/>
          <w:szCs w:val="32"/>
        </w:rPr>
      </w:pPr>
      <w:bookmarkStart w:id="49" w:name="section-12-6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11.6 报价前提</w:t>
      </w:r>
      <w:bookmarkEnd w:id="49"/>
    </w:p>
    <w:p w14:paraId="0052592D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本报价建立在以下前提下，任一前提不成立时乙方有权重新报价：</w:t>
      </w:r>
    </w:p>
    <w:p w14:paraId="35AECF31">
      <w:pPr>
        <w:numPr>
          <w:ilvl w:val="0"/>
          <w:numId w:val="9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三套系统提供可用的只读接口（f32 已确认可读）</w:t>
      </w:r>
    </w:p>
    <w:p w14:paraId="292F6F2E">
      <w:pPr>
        <w:numPr>
          <w:ilvl w:val="0"/>
          <w:numId w:val="9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甲方在 30 日内完成合同签署</w:t>
      </w:r>
    </w:p>
    <w:p w14:paraId="31D27DFB">
      <w:pPr>
        <w:numPr>
          <w:ilvl w:val="0"/>
          <w:numId w:val="9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试点楼层具备连续 4 个周末的稳定观察条件</w:t>
      </w:r>
    </w:p>
    <w:p w14:paraId="11EBCCDB">
      <w:pPr>
        <w:numPr>
          <w:ilvl w:val="0"/>
          <w:numId w:val="9"/>
        </w:numPr>
        <w:pBdr>
          <w:left w:space="0"/>
        </w:pBdr>
        <w:spacing w:after="0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甲方指定专人负责口径确认与内部协调</w:t>
      </w:r>
    </w:p>
    <w:p w14:paraId="7E23BAA8">
      <w:pPr>
        <w:pBdr>
          <w:top w:val="single" w:sz="8"/>
        </w:pBdr>
        <w:spacing w:before="0" w:after="0"/>
      </w:pPr>
    </w:p>
    <w:p w14:paraId="03A0EB57">
      <w:pPr>
        <w:pStyle w:val="000004"/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bookmarkStart w:id="50" w:name="section-13"/>
      <w:r>
        <w:rPr>
          <w:rFonts w:hint="eastAsia" w:ascii="var(--typography-fontFamily-heading)" w:hAnsi="var(--typography-fontFamily-heading)" w:eastAsia="var(--typography-fontFamily-heading)" w:cs="var(--typography-fontFamily-heading)"/>
          <w:b w:val="0"/>
        </w:rPr>
        <w:t>附：文档说明</w:t>
      </w:r>
      <w:bookmarkEnd w:id="50"/>
    </w:p>
    <w:p w14:paraId="28977D61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本设计方案与报价单基于 2026 年 10 月 23 日完成的业务需求发现报告编制。该报告基于合成场景访谈，其中所有需求均为待验证假设。报告覆盖率 36/36 仅表示角色事实采集完整，不代表四来源已收敛，也不代表验收已通过。</w:t>
      </w:r>
    </w:p>
    <w:p w14:paraId="74BFE7F5">
      <w:pPr>
        <w:spacing w:after="0"/>
        <w:ind w:firstLine="480"/>
        <w:jc w:val="both"/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报价中的工作量估算基于同类项目的经验值，在只读核查（A-2）完成后可能调整。若核查发现三态字段无法独立读取，甲方应在 PMS 改造与方案降级之间作出选择，该决策将记入 M1 里程碑。</w:t>
      </w:r>
    </w:p>
    <w:p w14:paraId="2C72FDE7">
      <w:pPr>
        <w:spacing w:after="0"/>
        <w:ind w:firstLine="480"/>
        <w:jc w:val="both"/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var(--typography-fontFamily-body)" w:hAnsi="var(--typography-fontFamily-body)" w:eastAsia="var(--typography-fontFamily-body)" w:cs="var(--typography-fontFamily-body)"/>
        </w:rPr>
        <w:t>本文件可对外传阅，但第九至十一章的报价信息仅限甲方内部使用。</w:t>
      </w:r>
    </w:p>
    <w:p w14:paraId="0A3AD1E4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0E37AD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num w:numId="8">
    <w:abstractNumId w:val="4"/>
  </w:num>
  <w:num w:numId="7">
    <w:abstractNumId w:val="7"/>
  </w:num>
  <w:num w:numId="3">
    <w:abstractNumId w:val="6"/>
  </w:num>
  <w:num w:numId="4">
    <w:abstractNumId w:val="8"/>
  </w:num>
  <w:num w:numId="9">
    <w:abstractNumId w:val="0"/>
  </w:num>
  <w:num w:numId="2">
    <w:abstractNumId w:val="2"/>
  </w:num>
  <w:num w:numId="1">
    <w:abstractNumId w:val="1"/>
  </w:num>
  <w:num w:numId="6">
    <w:abstractNumId w:val="3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itle" w:uiPriority="10" w:qFormat="1"/>
    <w:lsdException w:name="toc 9" w:uiPriority="39" w:semiHidden="1" w:unhideWhenUsed="1"/>
    <w:lsdException w:name="Default Paragraph Font" w:uiPriority="1" w:semiHidden="1" w:unhideWhenUsed="1"/>
    <w:lsdException w:name="index 2" w:semiHidden="1" w:unhideWhenUsed="1"/>
    <w:lsdException w:name="List 2" w:semiHidden="1" w:unhideWhenUsed="1"/>
    <w:lsdException w:name="List Bullet 3" w:semiHidden="1" w:unhideWhenUsed="1"/>
    <w:lsdException w:name="heading 6" w:uiPriority="9" w:semiHidden="1" w:unhideWhenUsed="1" w:qFormat="1"/>
    <w:lsdException w:name="toc 4" w:uiPriority="39" w:semiHidden="1" w:unhideWhenUsed="1"/>
    <w:lsdException w:name="page number" w:semiHidden="1" w:unhideWhenUsed="1"/>
    <w:lsdException w:name="envelope return" w:semiHidden="1" w:unhideWhenUsed="1"/>
    <w:lsdException w:name="heading 1" w:uiPriority="9" w:qFormat="1"/>
    <w:lsdException w:name="index 7" w:semiHidden="1" w:unhideWhenUsed="1"/>
    <w:lsdException w:name="heading 8" w:uiPriority="9" w:semiHidden="1" w:unhideWhenUsed="1" w:qFormat="1"/>
    <w:lsdException w:name="line number" w:semiHidden="1" w:unhideWhenUsed="1"/>
    <w:lsdException w:name="heading 4" w:uiPriority="9" w:semiHidden="1" w:unhideWhenUsed="1" w:qFormat="1"/>
    <w:lsdException w:name="FollowedHyperlink" w:semiHidden="1" w:unhideWhenUsed="1"/>
    <w:lsdException w:name="Message Header" w:semiHidden="1" w:unhideWhenUsed="1"/>
    <w:lsdException w:name="Signature" w:semiHidden="1" w:unhideWhenUsed="1"/>
    <w:lsdException w:name="List 4" w:semiHidden="1" w:unhideWhenUsed="1"/>
    <w:lsdException w:name="Normal Indent" w:semiHidden="1" w:unhideWhenUsed="1"/>
    <w:lsdException w:name="heading 3" w:uiPriority="9" w:semiHidden="1" w:unhideWhenUsed="1" w:qFormat="1"/>
    <w:lsdException w:name="Hyperlink" w:semiHidden="1" w:unhideWhenUsed="1"/>
    <w:lsdException w:name="List Number 2" w:semiHidden="1" w:unhideWhenUsed="1"/>
    <w:lsdException w:name="List 3" w:semiHidden="1" w:unhideWhenUsed="1"/>
    <w:lsdException w:name="Body Text 3" w:semiHidden="1" w:unhideWhenUsed="1"/>
    <w:lsdException w:name="heading 7" w:uiPriority="9" w:semiHidden="1" w:unhideWhenUsed="1" w:qFormat="1"/>
    <w:lsdException w:name="List Number" w:semiHidden="1" w:unhideWhenUsed="1"/>
    <w:lsdException w:name="List Bullet 4" w:semiHidden="1" w:unhideWhenUsed="1"/>
    <w:lsdException w:name="Body Text Indent 3" w:semiHidden="1" w:unhideWhenUsed="1"/>
    <w:lsdException w:name="header" w:semiHidden="1" w:unhideWhenUsed="1"/>
    <w:lsdException w:name="heading 5" w:uiPriority="9" w:semiHidden="1" w:unhideWhenUsed="1" w:qFormat="1"/>
    <w:lsdException w:name="table of authorities" w:semiHidden="1" w:unhideWhenUsed="1"/>
    <w:lsdException w:name="index 5" w:semiHidden="1" w:unhideWhenUsed="1"/>
    <w:lsdException w:name="index 3" w:semiHidden="1" w:unhideWhenUsed="1"/>
    <w:lsdException w:name="macro" w:semiHidden="1" w:unhideWhenUsed="1"/>
    <w:lsdException w:name="toc 7" w:uiPriority="39" w:semiHidden="1" w:unhideWhenUsed="1"/>
    <w:lsdException w:name="Closing" w:semiHidden="1" w:unhideWhenUsed="1"/>
    <w:lsdException w:name="toc 3" w:uiPriority="39" w:semiHidden="1" w:unhideWhenUsed="1"/>
    <w:lsdException w:name="List Continue" w:semiHidden="1" w:unhideWhenUsed="1"/>
    <w:lsdException w:name="toc 5" w:uiPriority="39" w:semiHidden="1" w:unhideWhenUsed="1"/>
    <w:lsdException w:name="index 8" w:semiHidden="1" w:unhideWhenUsed="1"/>
    <w:lsdException w:name="envelope address" w:semiHidden="1" w:unhideWhenUsed="1"/>
    <w:lsdException w:name="Strong" w:uiPriority="22" w:qFormat="1"/>
    <w:lsdException w:name="toc 8" w:uiPriority="39" w:semiHidden="1" w:unhideWhenUsed="1"/>
    <w:lsdException w:name="endnote text" w:semiHidden="1" w:unhideWhenUsed="1"/>
    <w:lsdException w:name="annotation reference" w:semiHidden="1" w:unhideWhenUsed="1"/>
    <w:lsdException w:name="List Continue 3" w:semiHidden="1" w:unhideWhenUsed="1"/>
    <w:lsdException w:name="List Continue 5" w:semiHidden="1" w:unhideWhenUsed="1"/>
    <w:lsdException w:name="endnote reference" w:semiHidden="1" w:unhideWhenUsed="1"/>
    <w:lsdException w:name="annotation text" w:semiHidden="1" w:unhideWhenUsed="1"/>
    <w:lsdException w:name="List Bullet" w:semiHidden="1" w:unhideWhenUsed="1"/>
    <w:lsdException w:name="table of figures" w:semiHidden="1" w:unhideWhenUsed="1"/>
    <w:lsdException w:name="List" w:semiHidden="1" w:unhideWhenUsed="1"/>
    <w:lsdException w:name="toa heading" w:semiHidden="1" w:unhideWhenUsed="1"/>
    <w:lsdException w:name="Subtitle" w:uiPriority="11" w:qFormat="1"/>
    <w:lsdException w:name="Body Text Indent 2" w:semiHidden="1" w:unhideWhenUsed="1"/>
    <w:lsdException w:name="Body Text" w:semiHidden="1" w:unhideWhenUsed="1"/>
    <w:lsdException w:name="index 4" w:semiHidden="1" w:unhideWhenUsed="1"/>
    <w:lsdException w:name="index 6" w:semiHidden="1" w:unhideWhenUsed="1"/>
    <w:lsdException w:name="Body Text 2" w:semiHidden="1" w:unhideWhenUsed="1"/>
    <w:lsdException w:name="Body Text First Indent 2" w:semiHidden="1" w:unhideWhenUsed="1"/>
    <w:lsdException w:name="toc 2" w:uiPriority="39" w:semiHidden="1" w:unhideWhenUsed="1"/>
    <w:lsdException w:name="caption" w:uiPriority="35" w:semiHidden="1" w:unhideWhenUsed="1" w:qFormat="1"/>
    <w:lsdException w:name="Body Text First Indent" w:semiHidden="1" w:unhideWhenUsed="1"/>
    <w:lsdException w:name="Block Text" w:semiHidden="1" w:unhideWhenUsed="1"/>
    <w:lsdException w:name="List Bullet 2" w:semiHidden="1" w:unhideWhenUsed="1"/>
    <w:lsdException w:name="heading 2" w:uiPriority="9" w:semiHidden="1" w:unhideWhenUsed="1" w:qFormat="1"/>
    <w:lsdException w:name="Body Text Indent" w:semiHidden="1" w:unhideWhenUsed="1"/>
    <w:lsdException w:name="Date" w:semiHidden="1" w:unhideWhenUsed="1"/>
    <w:lsdException w:name="List Continue 2" w:semiHidden="1" w:unhideWhenUsed="1"/>
    <w:lsdException w:name="Salutation" w:semiHidden="1" w:unhideWhenUsed="1"/>
    <w:lsdException w:name="index 1" w:semiHidden="1" w:unhideWhenUsed="1"/>
    <w:lsdException w:name="index heading" w:semiHidden="1" w:unhideWhenUsed="1"/>
    <w:lsdException w:name="toc 1" w:uiPriority="39" w:semiHidden="1" w:unhideWhenUsed="1"/>
    <w:lsdException w:name="List Bullet 5" w:semiHidden="1" w:unhideWhenUsed="1"/>
    <w:lsdException w:name="List Continue 4" w:semiHidden="1" w:unhideWhenUsed="1"/>
    <w:lsdException w:name="footnote text" w:semiHidden="1" w:unhideWhenUsed="1"/>
    <w:lsdException w:name="Normal" w:uiPriority="0" w:qFormat="1"/>
    <w:lsdException w:name="heading 9" w:uiPriority="9" w:semiHidden="1" w:unhideWhenUsed="1" w:qFormat="1"/>
    <w:lsdException w:name="List Number 4" w:semiHidden="1" w:unhideWhenUsed="1"/>
    <w:lsdException w:name="Note Heading" w:semiHidden="1" w:unhideWhenUsed="1"/>
    <w:lsdException w:name="footer" w:semiHidden="1" w:unhideWhenUsed="1"/>
    <w:lsdException w:name="toc 6" w:uiPriority="39" w:semiHidden="1" w:unhideWhenUsed="1"/>
    <w:lsdException w:name="footnote reference" w:semiHidden="1" w:unhideWhenUsed="1"/>
    <w:lsdException w:name="index 9" w:semiHidden="1" w:unhideWhenUsed="1"/>
    <w:lsdException w:name="List Number 3" w:semiHidden="1" w:unhideWhenUsed="1"/>
    <w:lsdException w:name="List 5" w:semiHidden="1" w:unhideWhenUsed="1"/>
    <w:lsdException w:name="List Number 5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17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2026-10-23T11:09:13Z</dcterms:created>
  <dcterms:modified xsi:type="dcterms:W3CDTF">2026-10-23T11:09:13Z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"01a166b5a3207ce6a40c604521a369d0", "ReservedCode1": "", "ContentPropagator": "00119111010856365494821B355", "PropagateID": "01a166b5a3207ce6a40c604521a369d0", "ReservedCode2": ""}}</vt:lpwstr>
  </property>
</Properties>
</file>