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2000"/>
        <w:jc w:val="center"/>
      </w:pPr>
      <w:r>
        <w:rPr>
          <w:rFonts w:ascii="Arial" w:hAnsi="Arial" w:eastAsia="黑体"/>
          <w:b/>
          <w:color w:val="000000"/>
          <w:sz w:val="48"/>
        </w:rPr>
        <w:t>LLM中文文本生成系统</w:t>
      </w:r>
    </w:p>
    <w:p>
      <w:pPr>
        <w:spacing w:before="360"/>
        <w:jc w:val="center"/>
      </w:pPr>
      <w:r>
        <w:rPr>
          <w:rFonts w:ascii="Arial" w:hAnsi="Arial" w:eastAsia="黑体"/>
          <w:b/>
          <w:color w:val="000000"/>
          <w:sz w:val="36"/>
        </w:rPr>
        <w:t>用户操作手册</w:t>
      </w:r>
    </w:p>
    <w:p>
      <w:pPr>
        <w:spacing w:before="520"/>
        <w:jc w:val="center"/>
      </w:pPr>
      <w:r>
        <w:rPr>
          <w:rFonts w:ascii="Arial" w:hAnsi="Arial" w:eastAsia="宋体"/>
          <w:color w:val="000000"/>
          <w:sz w:val="28"/>
        </w:rPr>
        <w:t>V1.0</w:t>
      </w:r>
    </w:p>
    <w:p>
      <w:pPr>
        <w:spacing w:before="3800"/>
        <w:jc w:val="center"/>
      </w:pPr>
      <w:r>
        <w:rPr>
          <w:rFonts w:ascii="Arial" w:hAnsi="Arial" w:eastAsia="宋体"/>
          <w:color w:val="000000"/>
          <w:sz w:val="22"/>
        </w:rPr>
        <w:t>编制日期：2026 年 9 月</w:t>
      </w:r>
    </w:p>
    <w:p>
      <w:r>
        <w:br w:type="page"/>
      </w:r>
    </w:p>
    <w:p>
      <w:pPr>
        <w:pStyle w:val="Heading1"/>
        <w:keepNext/>
      </w:pPr>
      <w:r>
        <w:t>文档说明</w:t>
      </w:r>
    </w:p>
    <w:p>
      <w:pPr>
        <w:ind w:firstLine="420"/>
      </w:pPr>
      <w:r>
        <w:rPr>
          <w:rFonts w:ascii="Arial" w:hAnsi="Arial" w:eastAsia="宋体"/>
          <w:color w:val="000000"/>
          <w:sz w:val="21"/>
        </w:rPr>
        <w:t>本手册面向教师、编辑、研究人员和系统维护人员，说明软件的安装、配置、内容生成、质量评估、批量处理、模型微调和结果查看方法。基础模式无需网络、显卡或外部模型即可完成全部工作流演示。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rPr>
          <w:tblHeader/>
        </w:trPr>
        <w:tc>
          <w:tcPr>
            <w:tcW w:type="dxa" w:w="1814"/>
            <w:shd w:fill="1F4E7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rFonts w:ascii="Arial" w:hAnsi="Arial" w:eastAsia="黑体"/>
                <w:b/>
                <w:color w:val="FFFFFF"/>
                <w:sz w:val="19"/>
              </w:rPr>
              <w:t>项目</w:t>
            </w:r>
          </w:p>
        </w:tc>
        <w:tc>
          <w:tcPr>
            <w:tcW w:type="dxa" w:w="7087"/>
            <w:shd w:fill="1F4E7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rFonts w:ascii="Arial" w:hAnsi="Arial" w:eastAsia="黑体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181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rFonts w:ascii="Arial" w:hAnsi="Arial" w:eastAsia="宋体"/>
                <w:color w:val="000000"/>
                <w:sz w:val="18"/>
              </w:rPr>
              <w:t>软件名称</w:t>
            </w:r>
          </w:p>
        </w:tc>
        <w:tc>
          <w:tcPr>
            <w:tcW w:type="dxa" w:w="708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>
              <w:rPr>
                <w:rFonts w:ascii="Arial" w:hAnsi="Arial" w:eastAsia="宋体"/>
                <w:color w:val="000000"/>
                <w:sz w:val="18"/>
              </w:rPr>
              <w:t>LLM中文文本生成系统</w:t>
            </w:r>
          </w:p>
        </w:tc>
      </w:tr>
      <w:tr>
        <w:tc>
          <w:tcPr>
            <w:tcW w:type="dxa" w:w="1814"/>
            <w:shd w:fill="F2F6F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rFonts w:ascii="Arial" w:hAnsi="Arial" w:eastAsia="宋体"/>
                <w:color w:val="000000"/>
                <w:sz w:val="18"/>
              </w:rPr>
              <w:t>版本</w:t>
            </w:r>
          </w:p>
        </w:tc>
        <w:tc>
          <w:tcPr>
            <w:tcW w:type="dxa" w:w="7087"/>
            <w:shd w:fill="F2F6F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>
              <w:rPr>
                <w:rFonts w:ascii="Arial" w:hAnsi="Arial" w:eastAsia="宋体"/>
                <w:color w:val="000000"/>
                <w:sz w:val="18"/>
              </w:rPr>
              <w:t>V1.0</w:t>
            </w:r>
          </w:p>
        </w:tc>
      </w:tr>
      <w:tr>
        <w:tc>
          <w:tcPr>
            <w:tcW w:type="dxa" w:w="181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rFonts w:ascii="Arial" w:hAnsi="Arial" w:eastAsia="宋体"/>
                <w:color w:val="000000"/>
                <w:sz w:val="18"/>
              </w:rPr>
              <w:t>运行方式</w:t>
            </w:r>
          </w:p>
        </w:tc>
        <w:tc>
          <w:tcPr>
            <w:tcW w:type="dxa" w:w="708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>
              <w:rPr>
                <w:rFonts w:ascii="Arial" w:hAnsi="Arial" w:eastAsia="宋体"/>
                <w:color w:val="000000"/>
                <w:sz w:val="18"/>
              </w:rPr>
              <w:t>命令行应用</w:t>
            </w:r>
          </w:p>
        </w:tc>
      </w:tr>
      <w:tr>
        <w:tc>
          <w:tcPr>
            <w:tcW w:type="dxa" w:w="1814"/>
            <w:shd w:fill="F2F6F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rFonts w:ascii="Arial" w:hAnsi="Arial" w:eastAsia="宋体"/>
                <w:color w:val="000000"/>
                <w:sz w:val="18"/>
              </w:rPr>
              <w:t>基础环境</w:t>
            </w:r>
          </w:p>
        </w:tc>
        <w:tc>
          <w:tcPr>
            <w:tcW w:type="dxa" w:w="7087"/>
            <w:shd w:fill="F2F6F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>
              <w:rPr>
                <w:rFonts w:ascii="Arial" w:hAnsi="Arial" w:eastAsia="宋体"/>
                <w:color w:val="000000"/>
                <w:sz w:val="18"/>
              </w:rPr>
              <w:t>Python 3.10 及以上</w:t>
            </w:r>
          </w:p>
        </w:tc>
      </w:tr>
      <w:tr>
        <w:tc>
          <w:tcPr>
            <w:tcW w:type="dxa" w:w="181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rFonts w:ascii="Arial" w:hAnsi="Arial" w:eastAsia="宋体"/>
                <w:color w:val="000000"/>
                <w:sz w:val="18"/>
              </w:rPr>
              <w:t>默认模式</w:t>
            </w:r>
          </w:p>
        </w:tc>
        <w:tc>
          <w:tcPr>
            <w:tcW w:type="dxa" w:w="708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>
              <w:rPr>
                <w:rFonts w:ascii="Arial" w:hAnsi="Arial" w:eastAsia="宋体"/>
                <w:color w:val="000000"/>
                <w:sz w:val="18"/>
              </w:rPr>
              <w:t>离线模板生成与规则质量评估</w:t>
            </w:r>
          </w:p>
        </w:tc>
      </w:tr>
      <w:tr>
        <w:tc>
          <w:tcPr>
            <w:tcW w:type="dxa" w:w="1814"/>
            <w:shd w:fill="F2F6F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rFonts w:ascii="Arial" w:hAnsi="Arial" w:eastAsia="宋体"/>
                <w:color w:val="000000"/>
                <w:sz w:val="18"/>
              </w:rPr>
              <w:t>可选能力</w:t>
            </w:r>
          </w:p>
        </w:tc>
        <w:tc>
          <w:tcPr>
            <w:tcW w:type="dxa" w:w="7087"/>
            <w:shd w:fill="F2F6F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>
              <w:rPr>
                <w:rFonts w:ascii="Arial" w:hAnsi="Arial" w:eastAsia="宋体"/>
                <w:color w:val="000000"/>
                <w:sz w:val="18"/>
              </w:rPr>
              <w:t>本地 Transformers 模型生成与 LoRA 微调</w:t>
            </w:r>
          </w:p>
        </w:tc>
      </w:tr>
    </w:tbl>
    <w:p/>
    <w:p>
      <w:pPr>
        <w:pStyle w:val="Heading1"/>
        <w:keepNext/>
      </w:pPr>
      <w:r>
        <w:t>目录</w:t>
      </w:r>
    </w:p>
    <w:p>
      <w:pPr>
        <w:pStyle w:val="ListBullet"/>
        <w:ind w:left="454"/>
      </w:pPr>
      <w:r>
        <w:rPr>
          <w:rFonts w:ascii="Arial" w:hAnsi="Arial" w:eastAsia="宋体"/>
          <w:color w:val="000000"/>
          <w:sz w:val="21"/>
        </w:rPr>
        <w:t>1 软件概述</w:t>
      </w:r>
    </w:p>
    <w:p>
      <w:pPr>
        <w:pStyle w:val="ListBullet"/>
        <w:ind w:left="454"/>
      </w:pPr>
      <w:r>
        <w:rPr>
          <w:rFonts w:ascii="Arial" w:hAnsi="Arial" w:eastAsia="宋体"/>
          <w:color w:val="000000"/>
          <w:sz w:val="21"/>
        </w:rPr>
        <w:t>2 安装与启动</w:t>
      </w:r>
    </w:p>
    <w:p>
      <w:pPr>
        <w:pStyle w:val="ListBullet"/>
        <w:ind w:left="454"/>
      </w:pPr>
      <w:r>
        <w:rPr>
          <w:rFonts w:ascii="Arial" w:hAnsi="Arial" w:eastAsia="宋体"/>
          <w:color w:val="000000"/>
          <w:sz w:val="21"/>
        </w:rPr>
        <w:t>3 快速演示</w:t>
      </w:r>
    </w:p>
    <w:p>
      <w:pPr>
        <w:pStyle w:val="ListBullet"/>
        <w:ind w:left="454"/>
      </w:pPr>
      <w:r>
        <w:rPr>
          <w:rFonts w:ascii="Arial" w:hAnsi="Arial" w:eastAsia="宋体"/>
          <w:color w:val="000000"/>
          <w:sz w:val="21"/>
        </w:rPr>
        <w:t>4 单篇内容生成</w:t>
      </w:r>
    </w:p>
    <w:p>
      <w:pPr>
        <w:pStyle w:val="ListBullet"/>
        <w:ind w:left="454"/>
      </w:pPr>
      <w:r>
        <w:rPr>
          <w:rFonts w:ascii="Arial" w:hAnsi="Arial" w:eastAsia="宋体"/>
          <w:color w:val="000000"/>
          <w:sz w:val="21"/>
        </w:rPr>
        <w:t>5 文本质量评估</w:t>
      </w:r>
    </w:p>
    <w:p>
      <w:pPr>
        <w:pStyle w:val="ListBullet"/>
        <w:ind w:left="454"/>
      </w:pPr>
      <w:r>
        <w:rPr>
          <w:rFonts w:ascii="Arial" w:hAnsi="Arial" w:eastAsia="宋体"/>
          <w:color w:val="000000"/>
          <w:sz w:val="21"/>
        </w:rPr>
        <w:t>6 批量任务处理</w:t>
      </w:r>
    </w:p>
    <w:p>
      <w:pPr>
        <w:pStyle w:val="ListBullet"/>
        <w:ind w:left="454"/>
      </w:pPr>
      <w:r>
        <w:rPr>
          <w:rFonts w:ascii="Arial" w:hAnsi="Arial" w:eastAsia="宋体"/>
          <w:color w:val="000000"/>
          <w:sz w:val="21"/>
        </w:rPr>
        <w:t>7 训练数据准备</w:t>
      </w:r>
    </w:p>
    <w:p>
      <w:pPr>
        <w:pStyle w:val="ListBullet"/>
        <w:ind w:left="454"/>
      </w:pPr>
      <w:r>
        <w:rPr>
          <w:rFonts w:ascii="Arial" w:hAnsi="Arial" w:eastAsia="宋体"/>
          <w:color w:val="000000"/>
          <w:sz w:val="21"/>
        </w:rPr>
        <w:t>8 LoRA 模型微调</w:t>
      </w:r>
    </w:p>
    <w:p>
      <w:pPr>
        <w:pStyle w:val="ListBullet"/>
        <w:ind w:left="454"/>
      </w:pPr>
      <w:r>
        <w:rPr>
          <w:rFonts w:ascii="Arial" w:hAnsi="Arial" w:eastAsia="宋体"/>
          <w:color w:val="000000"/>
          <w:sz w:val="21"/>
        </w:rPr>
        <w:t>9 配置说明</w:t>
      </w:r>
    </w:p>
    <w:p>
      <w:pPr>
        <w:pStyle w:val="ListBullet"/>
        <w:ind w:left="454"/>
      </w:pPr>
      <w:r>
        <w:rPr>
          <w:rFonts w:ascii="Arial" w:hAnsi="Arial" w:eastAsia="宋体"/>
          <w:color w:val="000000"/>
          <w:sz w:val="21"/>
        </w:rPr>
        <w:t>10 输出文件说明</w:t>
      </w:r>
    </w:p>
    <w:p>
      <w:pPr>
        <w:pStyle w:val="ListBullet"/>
        <w:ind w:left="454"/>
      </w:pPr>
      <w:r>
        <w:rPr>
          <w:rFonts w:ascii="Arial" w:hAnsi="Arial" w:eastAsia="宋体"/>
          <w:color w:val="000000"/>
          <w:sz w:val="21"/>
        </w:rPr>
        <w:t>11 常见问题与故障处理</w:t>
      </w:r>
    </w:p>
    <w:p>
      <w:pPr>
        <w:pStyle w:val="ListBullet"/>
        <w:ind w:left="454"/>
      </w:pPr>
      <w:r>
        <w:rPr>
          <w:rFonts w:ascii="Arial" w:hAnsi="Arial" w:eastAsia="宋体"/>
          <w:color w:val="000000"/>
          <w:sz w:val="21"/>
        </w:rPr>
        <w:t>12 数据安全与使用边界</w:t>
      </w:r>
    </w:p>
    <w:p>
      <w:pPr>
        <w:pStyle w:val="ListBullet"/>
        <w:ind w:left="454"/>
      </w:pPr>
      <w:r>
        <w:rPr>
          <w:rFonts w:ascii="Arial" w:hAnsi="Arial" w:eastAsia="宋体"/>
          <w:color w:val="000000"/>
          <w:sz w:val="21"/>
        </w:rPr>
        <w:t>13 软件卸载</w:t>
      </w:r>
    </w:p>
    <w:p>
      <w:pPr>
        <w:pStyle w:val="Heading1"/>
        <w:keepNext/>
      </w:pPr>
      <w:r>
        <w:t>1 软件概述</w:t>
      </w:r>
    </w:p>
    <w:p>
      <w:pPr>
        <w:pStyle w:val="Heading2"/>
        <w:keepNext/>
      </w:pPr>
      <w:r>
        <w:t>1.1 软件用途</w:t>
      </w:r>
    </w:p>
    <w:p>
      <w:pPr>
        <w:ind w:firstLine="420"/>
      </w:pPr>
      <w:r>
        <w:rPr>
          <w:rFonts w:ascii="Arial" w:hAnsi="Arial" w:eastAsia="宋体"/>
          <w:color w:val="000000"/>
          <w:sz w:val="21"/>
        </w:rPr>
        <w:t>系统围绕小学、初中和高中三个阅读等级，完成中文阅读材料生成、自动质量检查和批量报告导出。它解决原始研究脚本入口分散、路径依赖、环境配置不一致和结果难以汇总的问题，把模型生成、文本统计和分级评估组织为可重复执行的软件流程。</w:t>
      </w:r>
    </w:p>
    <w:p>
      <w:pPr>
        <w:pStyle w:val="Heading2"/>
        <w:keepNext/>
      </w:pPr>
      <w:r>
        <w:t>1.2 核心功能</w:t>
      </w:r>
    </w:p>
    <w:p>
      <w:pPr>
        <w:pStyle w:val="ListBullet"/>
        <w:ind w:left="454"/>
      </w:pPr>
      <w:r>
        <w:rPr>
          <w:rFonts w:ascii="Arial" w:hAnsi="Arial" w:eastAsia="宋体"/>
          <w:color w:val="000000"/>
          <w:sz w:val="21"/>
        </w:rPr>
        <w:t>按主题、学段、关键词和附加要求生成中文阅读材料。</w:t>
      </w:r>
    </w:p>
    <w:p>
      <w:pPr>
        <w:pStyle w:val="ListBullet"/>
        <w:ind w:left="454"/>
      </w:pPr>
      <w:r>
        <w:rPr>
          <w:rFonts w:ascii="Arial" w:hAnsi="Arial" w:eastAsia="宋体"/>
          <w:color w:val="000000"/>
          <w:sz w:val="21"/>
        </w:rPr>
        <w:t>使用离线模板后端完成安装验收，或接入用户拥有的本地语言模型。</w:t>
      </w:r>
    </w:p>
    <w:p>
      <w:pPr>
        <w:pStyle w:val="ListBullet"/>
        <w:ind w:left="454"/>
      </w:pPr>
      <w:r>
        <w:rPr>
          <w:rFonts w:ascii="Arial" w:hAnsi="Arial" w:eastAsia="宋体"/>
          <w:color w:val="000000"/>
          <w:sz w:val="21"/>
        </w:rPr>
        <w:t>计算汉字数、句数、段落数、平均句长、重复率、英文比例和难度匹配度。</w:t>
      </w:r>
    </w:p>
    <w:p>
      <w:pPr>
        <w:pStyle w:val="ListBullet"/>
        <w:ind w:left="454"/>
      </w:pPr>
      <w:r>
        <w:rPr>
          <w:rFonts w:ascii="Arial" w:hAnsi="Arial" w:eastAsia="宋体"/>
          <w:color w:val="000000"/>
          <w:sz w:val="21"/>
        </w:rPr>
        <w:t>按优秀、良好、合格、待改进给出综合结论，并列出警告和修改建议。</w:t>
      </w:r>
    </w:p>
    <w:p>
      <w:pPr>
        <w:pStyle w:val="ListBullet"/>
        <w:ind w:left="454"/>
      </w:pPr>
      <w:r>
        <w:rPr>
          <w:rFonts w:ascii="Arial" w:hAnsi="Arial" w:eastAsia="宋体"/>
          <w:color w:val="000000"/>
          <w:sz w:val="21"/>
        </w:rPr>
        <w:t>从 JSONL 读取批量任务，隔离单条异常并输出 HTML、CSV、JSON 和 JSONL 报告。</w:t>
      </w:r>
    </w:p>
    <w:p>
      <w:pPr>
        <w:pStyle w:val="ListBullet"/>
        <w:ind w:left="454"/>
      </w:pPr>
      <w:r>
        <w:rPr>
          <w:rFonts w:ascii="Arial" w:hAnsi="Arial" w:eastAsia="宋体"/>
          <w:color w:val="000000"/>
          <w:sz w:val="21"/>
        </w:rPr>
        <w:t>把带学段标签的文本转换为训练数据，并对兼容模型执行 LoRA 微调。</w:t>
      </w:r>
    </w:p>
    <w:p>
      <w:pPr>
        <w:pStyle w:val="Heading2"/>
        <w:keepNext/>
      </w:pPr>
      <w:r>
        <w:t>1.3 工作流程</w:t>
      </w:r>
    </w:p>
    <w:p>
      <w:pPr>
        <w:ind w:firstLine="420"/>
      </w:pPr>
      <w:r>
        <w:rPr>
          <w:rFonts w:ascii="Arial" w:hAnsi="Arial" w:eastAsia="宋体"/>
          <w:color w:val="000000"/>
          <w:sz w:val="21"/>
        </w:rPr>
        <w:t>用户先选择生成后端并给出主题。系统校验请求后生成正文，将正文交给评估器计算统计指标和综合分，再把文章、分数、提示与元数据写入结构化结果。批量模式会重复这一流程，并在结束后生成汇总报告。</w:t>
      </w:r>
    </w:p>
    <w:p>
      <w:pPr>
        <w:pStyle w:val="Heading1"/>
        <w:keepNext/>
      </w:pPr>
      <w:r>
        <w:t>2 安装与启动</w:t>
      </w:r>
    </w:p>
    <w:p>
      <w:pPr>
        <w:pStyle w:val="Heading2"/>
        <w:keepNext/>
      </w:pPr>
      <w:r>
        <w:t>2.1 环境要求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rPr>
          <w:tblHeader/>
        </w:trPr>
        <w:tc>
          <w:tcPr>
            <w:tcW w:type="dxa" w:w="1417"/>
            <w:shd w:fill="1F4E7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rFonts w:ascii="Arial" w:hAnsi="Arial" w:eastAsia="黑体"/>
                <w:b/>
                <w:color w:val="FFFFFF"/>
                <w:sz w:val="19"/>
              </w:rPr>
              <w:t>类别</w:t>
            </w:r>
          </w:p>
        </w:tc>
        <w:tc>
          <w:tcPr>
            <w:tcW w:type="dxa" w:w="3402"/>
            <w:shd w:fill="1F4E7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rFonts w:ascii="Arial" w:hAnsi="Arial" w:eastAsia="黑体"/>
                <w:b/>
                <w:color w:val="FFFFFF"/>
                <w:sz w:val="19"/>
              </w:rPr>
              <w:t>最低要求</w:t>
            </w:r>
          </w:p>
        </w:tc>
        <w:tc>
          <w:tcPr>
            <w:tcW w:type="dxa" w:w="4082"/>
            <w:shd w:fill="1F4E7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rFonts w:ascii="Arial" w:hAnsi="Arial" w:eastAsia="黑体"/>
                <w:b/>
                <w:color w:val="FFFFFF"/>
                <w:sz w:val="19"/>
              </w:rPr>
              <w:t>建议配置</w:t>
            </w:r>
          </w:p>
        </w:tc>
      </w:tr>
      <w:tr>
        <w:tc>
          <w:tcPr>
            <w:tcW w:type="dxa" w:w="141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rFonts w:ascii="Arial" w:hAnsi="Arial" w:eastAsia="宋体"/>
                <w:color w:val="000000"/>
                <w:sz w:val="18"/>
              </w:rPr>
              <w:t>操作系统</w:t>
            </w:r>
          </w:p>
        </w:tc>
        <w:tc>
          <w:tcPr>
            <w:tcW w:type="dxa" w:w="340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>
              <w:rPr>
                <w:rFonts w:ascii="Arial" w:hAnsi="Arial" w:eastAsia="宋体"/>
                <w:color w:val="000000"/>
                <w:sz w:val="18"/>
              </w:rPr>
              <w:t>Windows 10、常见 Linux 或 macOS</w:t>
            </w:r>
          </w:p>
        </w:tc>
        <w:tc>
          <w:tcPr>
            <w:tcW w:type="dxa" w:w="408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>
              <w:rPr>
                <w:rFonts w:ascii="Arial" w:hAnsi="Arial" w:eastAsia="宋体"/>
                <w:color w:val="000000"/>
                <w:sz w:val="18"/>
              </w:rPr>
              <w:t>64 位桌面或服务器系统</w:t>
            </w:r>
          </w:p>
        </w:tc>
      </w:tr>
      <w:tr>
        <w:tc>
          <w:tcPr>
            <w:tcW w:type="dxa" w:w="1417"/>
            <w:shd w:fill="F2F6F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rFonts w:ascii="Arial" w:hAnsi="Arial" w:eastAsia="宋体"/>
                <w:color w:val="000000"/>
                <w:sz w:val="18"/>
              </w:rPr>
              <w:t>Python</w:t>
            </w:r>
          </w:p>
        </w:tc>
        <w:tc>
          <w:tcPr>
            <w:tcW w:type="dxa" w:w="3402"/>
            <w:shd w:fill="F2F6F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>
              <w:rPr>
                <w:rFonts w:ascii="Arial" w:hAnsi="Arial" w:eastAsia="宋体"/>
                <w:color w:val="000000"/>
                <w:sz w:val="18"/>
              </w:rPr>
              <w:t>3.10</w:t>
            </w:r>
          </w:p>
        </w:tc>
        <w:tc>
          <w:tcPr>
            <w:tcW w:type="dxa" w:w="4082"/>
            <w:shd w:fill="F2F6F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>
              <w:rPr>
                <w:rFonts w:ascii="Arial" w:hAnsi="Arial" w:eastAsia="宋体"/>
                <w:color w:val="000000"/>
                <w:sz w:val="18"/>
              </w:rPr>
              <w:t>3.11 或 3.12</w:t>
            </w:r>
          </w:p>
        </w:tc>
      </w:tr>
      <w:tr>
        <w:tc>
          <w:tcPr>
            <w:tcW w:type="dxa" w:w="141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rFonts w:ascii="Arial" w:hAnsi="Arial" w:eastAsia="宋体"/>
                <w:color w:val="000000"/>
                <w:sz w:val="18"/>
              </w:rPr>
              <w:t>内存</w:t>
            </w:r>
          </w:p>
        </w:tc>
        <w:tc>
          <w:tcPr>
            <w:tcW w:type="dxa" w:w="340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>
              <w:rPr>
                <w:rFonts w:ascii="Arial" w:hAnsi="Arial" w:eastAsia="宋体"/>
                <w:color w:val="000000"/>
                <w:sz w:val="18"/>
              </w:rPr>
              <w:t>4 GB</w:t>
            </w:r>
          </w:p>
        </w:tc>
        <w:tc>
          <w:tcPr>
            <w:tcW w:type="dxa" w:w="408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>
              <w:rPr>
                <w:rFonts w:ascii="Arial" w:hAnsi="Arial" w:eastAsia="宋体"/>
                <w:color w:val="000000"/>
                <w:sz w:val="18"/>
              </w:rPr>
              <w:t>8 GB 以上</w:t>
            </w:r>
          </w:p>
        </w:tc>
      </w:tr>
      <w:tr>
        <w:tc>
          <w:tcPr>
            <w:tcW w:type="dxa" w:w="1417"/>
            <w:shd w:fill="F2F6F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rFonts w:ascii="Arial" w:hAnsi="Arial" w:eastAsia="宋体"/>
                <w:color w:val="000000"/>
                <w:sz w:val="18"/>
              </w:rPr>
              <w:t>磁盘</w:t>
            </w:r>
          </w:p>
        </w:tc>
        <w:tc>
          <w:tcPr>
            <w:tcW w:type="dxa" w:w="3402"/>
            <w:shd w:fill="F2F6F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>
              <w:rPr>
                <w:rFonts w:ascii="Arial" w:hAnsi="Arial" w:eastAsia="宋体"/>
                <w:color w:val="000000"/>
                <w:sz w:val="18"/>
              </w:rPr>
              <w:t>基础软件 50 MB 内</w:t>
            </w:r>
          </w:p>
        </w:tc>
        <w:tc>
          <w:tcPr>
            <w:tcW w:type="dxa" w:w="4082"/>
            <w:shd w:fill="F2F6F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>
              <w:rPr>
                <w:rFonts w:ascii="Arial" w:hAnsi="Arial" w:eastAsia="宋体"/>
                <w:color w:val="000000"/>
                <w:sz w:val="18"/>
              </w:rPr>
              <w:t>按本地模型体积预留空间</w:t>
            </w:r>
          </w:p>
        </w:tc>
      </w:tr>
      <w:tr>
        <w:tc>
          <w:tcPr>
            <w:tcW w:type="dxa" w:w="141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rFonts w:ascii="Arial" w:hAnsi="Arial" w:eastAsia="宋体"/>
                <w:color w:val="000000"/>
                <w:sz w:val="18"/>
              </w:rPr>
              <w:t>显卡</w:t>
            </w:r>
          </w:p>
        </w:tc>
        <w:tc>
          <w:tcPr>
            <w:tcW w:type="dxa" w:w="340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>
              <w:rPr>
                <w:rFonts w:ascii="Arial" w:hAnsi="Arial" w:eastAsia="宋体"/>
                <w:color w:val="000000"/>
                <w:sz w:val="18"/>
              </w:rPr>
              <w:t>基础模式不需要</w:t>
            </w:r>
          </w:p>
        </w:tc>
        <w:tc>
          <w:tcPr>
            <w:tcW w:type="dxa" w:w="408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>
              <w:rPr>
                <w:rFonts w:ascii="Arial" w:hAnsi="Arial" w:eastAsia="宋体"/>
                <w:color w:val="000000"/>
                <w:sz w:val="18"/>
              </w:rPr>
              <w:t>模型模式按模型规模配置 CUDA 显卡</w:t>
            </w:r>
          </w:p>
        </w:tc>
      </w:tr>
    </w:tbl>
    <w:p/>
    <w:p>
      <w:pPr>
        <w:pStyle w:val="Heading2"/>
        <w:keepNext/>
      </w:pPr>
      <w:r>
        <w:t>2.2 安装基础软件</w:t>
      </w:r>
    </w:p>
    <w:p>
      <w:pPr>
        <w:ind w:firstLine="420"/>
      </w:pPr>
      <w:r>
        <w:rPr>
          <w:rFonts w:ascii="Arial" w:hAnsi="Arial" w:eastAsia="宋体"/>
          <w:color w:val="000000"/>
          <w:sz w:val="21"/>
        </w:rPr>
        <w:t>在命令行进入软件根目录，即包含 pyproject.toml 的目录，执行以下命令。安装过程只安装本软件基础包，默认不下载大模型。</w:t>
      </w:r>
    </w:p>
    <w:p>
      <w:pPr>
        <w:spacing w:after="0" w:line="240" w:lineRule="auto"/>
        <w:ind w:left="454"/>
      </w:pPr>
      <w:r>
        <w:rPr>
          <w:rFonts w:ascii="Consolas" w:hAnsi="Consolas" w:eastAsia="等线"/>
          <w:color w:val="000000"/>
          <w:sz w:val="18"/>
        </w:rPr>
        <w:t>python -m pip install -e .</w:t>
      </w:r>
    </w:p>
    <w:p>
      <w:pPr>
        <w:spacing w:after="0" w:line="240" w:lineRule="auto"/>
        <w:ind w:left="454"/>
      </w:pPr>
      <w:r>
        <w:rPr>
          <w:rFonts w:ascii="Consolas" w:hAnsi="Consolas" w:eastAsia="等线"/>
          <w:color w:val="000000"/>
          <w:sz w:val="18"/>
        </w:rPr>
        <w:t>llmctg --version</w:t>
      </w:r>
    </w:p>
    <w:p>
      <w:pPr>
        <w:ind w:firstLine="420"/>
      </w:pPr>
      <w:r>
        <w:rPr>
          <w:rFonts w:ascii="Arial" w:hAnsi="Arial" w:eastAsia="宋体"/>
          <w:color w:val="000000"/>
          <w:sz w:val="21"/>
        </w:rPr>
        <w:t>看到 llmctg 1.0.0 表示入口安装成功。若不执行安装，也可以将 src 目录加入 PYTHONPATH 后使用 python -m llmctg。</w:t>
      </w:r>
    </w:p>
    <w:p>
      <w:pPr>
        <w:pStyle w:val="Heading2"/>
        <w:keepNext/>
      </w:pPr>
      <w:r>
        <w:t>2.3 安装模型扩展</w:t>
      </w:r>
    </w:p>
    <w:p>
      <w:pPr>
        <w:ind w:firstLine="420"/>
      </w:pPr>
      <w:r>
        <w:rPr>
          <w:rFonts w:ascii="Arial" w:hAnsi="Arial" w:eastAsia="宋体"/>
          <w:color w:val="000000"/>
          <w:sz w:val="21"/>
        </w:rPr>
        <w:t>只有需要加载本地 Hugging Face 模型或执行 LoRA 微调时才安装扩展依赖。模型权重不包含在本软件中，应由用户从合法来源准备。</w:t>
      </w:r>
    </w:p>
    <w:p>
      <w:pPr>
        <w:spacing w:after="0" w:line="240" w:lineRule="auto"/>
        <w:ind w:left="454"/>
      </w:pPr>
      <w:r>
        <w:rPr>
          <w:rFonts w:ascii="Consolas" w:hAnsi="Consolas" w:eastAsia="等线"/>
          <w:color w:val="000000"/>
          <w:sz w:val="18"/>
        </w:rPr>
        <w:t>python -m pip install -e ".[llm]"</w:t>
      </w:r>
    </w:p>
    <w:p>
      <w:pPr>
        <w:pStyle w:val="Heading1"/>
        <w:keepNext/>
      </w:pPr>
      <w:r>
        <w:t>3 快速演示</w:t>
      </w:r>
    </w:p>
    <w:p>
      <w:pPr>
        <w:ind w:firstLine="420"/>
      </w:pPr>
      <w:r>
        <w:rPr>
          <w:rFonts w:ascii="Arial" w:hAnsi="Arial" w:eastAsia="宋体"/>
          <w:color w:val="000000"/>
          <w:sz w:val="21"/>
        </w:rPr>
        <w:t>快速演示不调用外部模型，会分别生成小学、初中和高中示例，完成自动评分并输出报告。</w:t>
      </w:r>
    </w:p>
    <w:p>
      <w:pPr>
        <w:spacing w:after="0" w:line="240" w:lineRule="auto"/>
        <w:ind w:left="454"/>
      </w:pPr>
      <w:r>
        <w:rPr>
          <w:rFonts w:ascii="Consolas" w:hAnsi="Consolas" w:eastAsia="等线"/>
          <w:color w:val="000000"/>
          <w:sz w:val="18"/>
        </w:rPr>
        <w:t>llmctg demo --output output/demo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rPr>
          <w:tblHeader/>
        </w:trPr>
        <w:tc>
          <w:tcPr>
            <w:tcW w:type="dxa" w:w="2268"/>
            <w:shd w:fill="1F4E7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rFonts w:ascii="Arial" w:hAnsi="Arial" w:eastAsia="黑体"/>
                <w:b/>
                <w:color w:val="FFFFFF"/>
                <w:sz w:val="19"/>
              </w:rPr>
              <w:t>文件</w:t>
            </w:r>
          </w:p>
        </w:tc>
        <w:tc>
          <w:tcPr>
            <w:tcW w:type="dxa" w:w="6633"/>
            <w:shd w:fill="1F4E7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rFonts w:ascii="Arial" w:hAnsi="Arial" w:eastAsia="黑体"/>
                <w:b/>
                <w:color w:val="FFFFFF"/>
                <w:sz w:val="19"/>
              </w:rPr>
              <w:t>用途</w:t>
            </w:r>
          </w:p>
        </w:tc>
      </w:tr>
      <w:tr>
        <w:tc>
          <w:tcPr>
            <w:tcW w:type="dxa" w:w="22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rFonts w:ascii="Arial" w:hAnsi="Arial" w:eastAsia="宋体"/>
                <w:color w:val="000000"/>
                <w:sz w:val="18"/>
              </w:rPr>
              <w:t>articles.jsonl</w:t>
            </w:r>
          </w:p>
        </w:tc>
        <w:tc>
          <w:tcPr>
            <w:tcW w:type="dxa" w:w="663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>
              <w:rPr>
                <w:rFonts w:ascii="Arial" w:hAnsi="Arial" w:eastAsia="宋体"/>
                <w:color w:val="000000"/>
                <w:sz w:val="18"/>
              </w:rPr>
              <w:t>逐条保存文章、请求信息和完整评估结果</w:t>
            </w:r>
          </w:p>
        </w:tc>
      </w:tr>
      <w:tr>
        <w:tc>
          <w:tcPr>
            <w:tcW w:type="dxa" w:w="2268"/>
            <w:shd w:fill="F2F6F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rFonts w:ascii="Arial" w:hAnsi="Arial" w:eastAsia="宋体"/>
                <w:color w:val="000000"/>
                <w:sz w:val="18"/>
              </w:rPr>
              <w:t>summary.json</w:t>
            </w:r>
          </w:p>
        </w:tc>
        <w:tc>
          <w:tcPr>
            <w:tcW w:type="dxa" w:w="6633"/>
            <w:shd w:fill="F2F6F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>
              <w:rPr>
                <w:rFonts w:ascii="Arial" w:hAnsi="Arial" w:eastAsia="宋体"/>
                <w:color w:val="000000"/>
                <w:sz w:val="18"/>
              </w:rPr>
              <w:t>保存数量、通过数、平均分和异常数</w:t>
            </w:r>
          </w:p>
        </w:tc>
      </w:tr>
      <w:tr>
        <w:tc>
          <w:tcPr>
            <w:tcW w:type="dxa" w:w="22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rFonts w:ascii="Arial" w:hAnsi="Arial" w:eastAsia="宋体"/>
                <w:color w:val="000000"/>
                <w:sz w:val="18"/>
              </w:rPr>
              <w:t>summary.csv</w:t>
            </w:r>
          </w:p>
        </w:tc>
        <w:tc>
          <w:tcPr>
            <w:tcW w:type="dxa" w:w="663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>
              <w:rPr>
                <w:rFonts w:ascii="Arial" w:hAnsi="Arial" w:eastAsia="宋体"/>
                <w:color w:val="000000"/>
                <w:sz w:val="18"/>
              </w:rPr>
              <w:t>用于办公软件筛选和统计</w:t>
            </w:r>
          </w:p>
        </w:tc>
      </w:tr>
      <w:tr>
        <w:tc>
          <w:tcPr>
            <w:tcW w:type="dxa" w:w="2268"/>
            <w:shd w:fill="F2F6F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rFonts w:ascii="Arial" w:hAnsi="Arial" w:eastAsia="宋体"/>
                <w:color w:val="000000"/>
                <w:sz w:val="18"/>
              </w:rPr>
              <w:t>report.html</w:t>
            </w:r>
          </w:p>
        </w:tc>
        <w:tc>
          <w:tcPr>
            <w:tcW w:type="dxa" w:w="6633"/>
            <w:shd w:fill="F2F6F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>
              <w:rPr>
                <w:rFonts w:ascii="Arial" w:hAnsi="Arial" w:eastAsia="宋体"/>
                <w:color w:val="000000"/>
                <w:sz w:val="18"/>
              </w:rPr>
              <w:t>用于浏览器阅读文章和质量提示</w:t>
            </w:r>
          </w:p>
        </w:tc>
      </w:tr>
    </w:tbl>
    <w:p/>
    <w:p>
      <w:pPr>
        <w:pStyle w:val="Heading1"/>
        <w:keepNext/>
      </w:pPr>
      <w:r>
        <w:t>4 单篇内容生成</w:t>
      </w:r>
    </w:p>
    <w:p>
      <w:pPr>
        <w:pStyle w:val="Heading2"/>
        <w:keepNext/>
      </w:pPr>
      <w:r>
        <w:t>4.1 基本命令</w:t>
      </w:r>
    </w:p>
    <w:p>
      <w:pPr>
        <w:spacing w:after="0" w:line="240" w:lineRule="auto"/>
        <w:ind w:left="454"/>
      </w:pPr>
      <w:r>
        <w:rPr>
          <w:rFonts w:ascii="Consolas" w:hAnsi="Consolas" w:eastAsia="等线"/>
          <w:color w:val="000000"/>
          <w:sz w:val="18"/>
        </w:rPr>
        <w:t>llmctg generate --topic "海洋" --level junior --count 2 --seed 2026 --output output/ocean.jsonl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rPr>
          <w:tblHeader/>
        </w:trPr>
        <w:tc>
          <w:tcPr>
            <w:tcW w:type="dxa" w:w="1814"/>
            <w:shd w:fill="1F4E7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rFonts w:ascii="Arial" w:hAnsi="Arial" w:eastAsia="黑体"/>
                <w:b/>
                <w:color w:val="FFFFFF"/>
                <w:sz w:val="19"/>
              </w:rPr>
              <w:t>参数</w:t>
            </w:r>
          </w:p>
        </w:tc>
        <w:tc>
          <w:tcPr>
            <w:tcW w:type="dxa" w:w="1701"/>
            <w:shd w:fill="1F4E7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rFonts w:ascii="Arial" w:hAnsi="Arial" w:eastAsia="黑体"/>
                <w:b/>
                <w:color w:val="FFFFFF"/>
                <w:sz w:val="19"/>
              </w:rPr>
              <w:t>是否必填</w:t>
            </w:r>
          </w:p>
        </w:tc>
        <w:tc>
          <w:tcPr>
            <w:tcW w:type="dxa" w:w="5386"/>
            <w:shd w:fill="1F4E7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rFonts w:ascii="Arial" w:hAnsi="Arial" w:eastAsia="黑体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181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rFonts w:ascii="Arial" w:hAnsi="Arial" w:eastAsia="宋体"/>
                <w:color w:val="000000"/>
                <w:sz w:val="18"/>
              </w:rPr>
              <w:t>--topic</w:t>
            </w:r>
          </w:p>
        </w:tc>
        <w:tc>
          <w:tcPr>
            <w:tcW w:type="dxa" w:w="170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>
              <w:rPr>
                <w:rFonts w:ascii="Arial" w:hAnsi="Arial" w:eastAsia="宋体"/>
                <w:color w:val="000000"/>
                <w:sz w:val="18"/>
              </w:rPr>
              <w:t>是</w:t>
            </w:r>
          </w:p>
        </w:tc>
        <w:tc>
          <w:tcPr>
            <w:tcW w:type="dxa" w:w="538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>
              <w:rPr>
                <w:rFonts w:ascii="Arial" w:hAnsi="Arial" w:eastAsia="宋体"/>
                <w:color w:val="000000"/>
                <w:sz w:val="18"/>
              </w:rPr>
              <w:t>文章主题，不允许为空</w:t>
            </w:r>
          </w:p>
        </w:tc>
      </w:tr>
      <w:tr>
        <w:tc>
          <w:tcPr>
            <w:tcW w:type="dxa" w:w="1814"/>
            <w:shd w:fill="F2F6F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rFonts w:ascii="Arial" w:hAnsi="Arial" w:eastAsia="宋体"/>
                <w:color w:val="000000"/>
                <w:sz w:val="18"/>
              </w:rPr>
              <w:t>--level</w:t>
            </w:r>
          </w:p>
        </w:tc>
        <w:tc>
          <w:tcPr>
            <w:tcW w:type="dxa" w:w="1701"/>
            <w:shd w:fill="F2F6F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>
              <w:rPr>
                <w:rFonts w:ascii="Arial" w:hAnsi="Arial" w:eastAsia="宋体"/>
                <w:color w:val="000000"/>
                <w:sz w:val="18"/>
              </w:rPr>
              <w:t>否</w:t>
            </w:r>
          </w:p>
        </w:tc>
        <w:tc>
          <w:tcPr>
            <w:tcW w:type="dxa" w:w="5386"/>
            <w:shd w:fill="F2F6F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>
              <w:rPr>
                <w:rFonts w:ascii="Arial" w:hAnsi="Arial" w:eastAsia="宋体"/>
                <w:color w:val="000000"/>
                <w:sz w:val="18"/>
              </w:rPr>
              <w:t>primary、junior、senior 或中文学段，默认 junior</w:t>
            </w:r>
          </w:p>
        </w:tc>
      </w:tr>
      <w:tr>
        <w:tc>
          <w:tcPr>
            <w:tcW w:type="dxa" w:w="181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rFonts w:ascii="Arial" w:hAnsi="Arial" w:eastAsia="宋体"/>
                <w:color w:val="000000"/>
                <w:sz w:val="18"/>
              </w:rPr>
              <w:t>--instruction</w:t>
            </w:r>
          </w:p>
        </w:tc>
        <w:tc>
          <w:tcPr>
            <w:tcW w:type="dxa" w:w="170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>
              <w:rPr>
                <w:rFonts w:ascii="Arial" w:hAnsi="Arial" w:eastAsia="宋体"/>
                <w:color w:val="000000"/>
                <w:sz w:val="18"/>
              </w:rPr>
              <w:t>否</w:t>
            </w:r>
          </w:p>
        </w:tc>
        <w:tc>
          <w:tcPr>
            <w:tcW w:type="dxa" w:w="538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>
              <w:rPr>
                <w:rFonts w:ascii="Arial" w:hAnsi="Arial" w:eastAsia="宋体"/>
                <w:color w:val="000000"/>
                <w:sz w:val="18"/>
              </w:rPr>
              <w:t>补充内容范围、体裁或表达要求</w:t>
            </w:r>
          </w:p>
        </w:tc>
      </w:tr>
      <w:tr>
        <w:tc>
          <w:tcPr>
            <w:tcW w:type="dxa" w:w="1814"/>
            <w:shd w:fill="F2F6F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rFonts w:ascii="Arial" w:hAnsi="Arial" w:eastAsia="宋体"/>
                <w:color w:val="000000"/>
                <w:sz w:val="18"/>
              </w:rPr>
              <w:t>--keywords</w:t>
            </w:r>
          </w:p>
        </w:tc>
        <w:tc>
          <w:tcPr>
            <w:tcW w:type="dxa" w:w="1701"/>
            <w:shd w:fill="F2F6F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>
              <w:rPr>
                <w:rFonts w:ascii="Arial" w:hAnsi="Arial" w:eastAsia="宋体"/>
                <w:color w:val="000000"/>
                <w:sz w:val="18"/>
              </w:rPr>
              <w:t>否</w:t>
            </w:r>
          </w:p>
        </w:tc>
        <w:tc>
          <w:tcPr>
            <w:tcW w:type="dxa" w:w="5386"/>
            <w:shd w:fill="F2F6F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>
              <w:rPr>
                <w:rFonts w:ascii="Arial" w:hAnsi="Arial" w:eastAsia="宋体"/>
                <w:color w:val="000000"/>
                <w:sz w:val="18"/>
              </w:rPr>
              <w:t>用中文或英文逗号分隔</w:t>
            </w:r>
          </w:p>
        </w:tc>
      </w:tr>
      <w:tr>
        <w:tc>
          <w:tcPr>
            <w:tcW w:type="dxa" w:w="181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rFonts w:ascii="Arial" w:hAnsi="Arial" w:eastAsia="宋体"/>
                <w:color w:val="000000"/>
                <w:sz w:val="18"/>
              </w:rPr>
              <w:t>--count</w:t>
            </w:r>
          </w:p>
        </w:tc>
        <w:tc>
          <w:tcPr>
            <w:tcW w:type="dxa" w:w="170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>
              <w:rPr>
                <w:rFonts w:ascii="Arial" w:hAnsi="Arial" w:eastAsia="宋体"/>
                <w:color w:val="000000"/>
                <w:sz w:val="18"/>
              </w:rPr>
              <w:t>否</w:t>
            </w:r>
          </w:p>
        </w:tc>
        <w:tc>
          <w:tcPr>
            <w:tcW w:type="dxa" w:w="538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>
              <w:rPr>
                <w:rFonts w:ascii="Arial" w:hAnsi="Arial" w:eastAsia="宋体"/>
                <w:color w:val="000000"/>
                <w:sz w:val="18"/>
              </w:rPr>
              <w:t>一次生成 1 至 20 篇</w:t>
            </w:r>
          </w:p>
        </w:tc>
      </w:tr>
      <w:tr>
        <w:tc>
          <w:tcPr>
            <w:tcW w:type="dxa" w:w="1814"/>
            <w:shd w:fill="F2F6F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rFonts w:ascii="Arial" w:hAnsi="Arial" w:eastAsia="宋体"/>
                <w:color w:val="000000"/>
                <w:sz w:val="18"/>
              </w:rPr>
              <w:t>--seed</w:t>
            </w:r>
          </w:p>
        </w:tc>
        <w:tc>
          <w:tcPr>
            <w:tcW w:type="dxa" w:w="1701"/>
            <w:shd w:fill="F2F6F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>
              <w:rPr>
                <w:rFonts w:ascii="Arial" w:hAnsi="Arial" w:eastAsia="宋体"/>
                <w:color w:val="000000"/>
                <w:sz w:val="18"/>
              </w:rPr>
              <w:t>否</w:t>
            </w:r>
          </w:p>
        </w:tc>
        <w:tc>
          <w:tcPr>
            <w:tcW w:type="dxa" w:w="5386"/>
            <w:shd w:fill="F2F6F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>
              <w:rPr>
                <w:rFonts w:ascii="Arial" w:hAnsi="Arial" w:eastAsia="宋体"/>
                <w:color w:val="000000"/>
                <w:sz w:val="18"/>
              </w:rPr>
              <w:t>固定随机种子以便复现</w:t>
            </w:r>
          </w:p>
        </w:tc>
      </w:tr>
      <w:tr>
        <w:tc>
          <w:tcPr>
            <w:tcW w:type="dxa" w:w="181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rFonts w:ascii="Arial" w:hAnsi="Arial" w:eastAsia="宋体"/>
                <w:color w:val="000000"/>
                <w:sz w:val="18"/>
              </w:rPr>
              <w:t>--backend</w:t>
            </w:r>
          </w:p>
        </w:tc>
        <w:tc>
          <w:tcPr>
            <w:tcW w:type="dxa" w:w="170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>
              <w:rPr>
                <w:rFonts w:ascii="Arial" w:hAnsi="Arial" w:eastAsia="宋体"/>
                <w:color w:val="000000"/>
                <w:sz w:val="18"/>
              </w:rPr>
              <w:t>否</w:t>
            </w:r>
          </w:p>
        </w:tc>
        <w:tc>
          <w:tcPr>
            <w:tcW w:type="dxa" w:w="538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>
              <w:rPr>
                <w:rFonts w:ascii="Arial" w:hAnsi="Arial" w:eastAsia="宋体"/>
                <w:color w:val="000000"/>
                <w:sz w:val="18"/>
              </w:rPr>
              <w:t>template 或 transformers</w:t>
            </w:r>
          </w:p>
        </w:tc>
      </w:tr>
      <w:tr>
        <w:tc>
          <w:tcPr>
            <w:tcW w:type="dxa" w:w="1814"/>
            <w:shd w:fill="F2F6F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rFonts w:ascii="Arial" w:hAnsi="Arial" w:eastAsia="宋体"/>
                <w:color w:val="000000"/>
                <w:sz w:val="18"/>
              </w:rPr>
              <w:t>--output</w:t>
            </w:r>
          </w:p>
        </w:tc>
        <w:tc>
          <w:tcPr>
            <w:tcW w:type="dxa" w:w="1701"/>
            <w:shd w:fill="F2F6F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>
              <w:rPr>
                <w:rFonts w:ascii="Arial" w:hAnsi="Arial" w:eastAsia="宋体"/>
                <w:color w:val="000000"/>
                <w:sz w:val="18"/>
              </w:rPr>
              <w:t>否</w:t>
            </w:r>
          </w:p>
        </w:tc>
        <w:tc>
          <w:tcPr>
            <w:tcW w:type="dxa" w:w="5386"/>
            <w:shd w:fill="F2F6F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>
              <w:rPr>
                <w:rFonts w:ascii="Arial" w:hAnsi="Arial" w:eastAsia="宋体"/>
                <w:color w:val="000000"/>
                <w:sz w:val="18"/>
              </w:rPr>
              <w:t>JSONL 文件；省略时打印到终端</w:t>
            </w:r>
          </w:p>
        </w:tc>
      </w:tr>
    </w:tbl>
    <w:p/>
    <w:p>
      <w:pPr>
        <w:pStyle w:val="Heading2"/>
        <w:keepNext/>
      </w:pPr>
      <w:r>
        <w:t>4.2 指定本地模型</w:t>
      </w:r>
    </w:p>
    <w:p>
      <w:pPr>
        <w:spacing w:after="0" w:line="240" w:lineRule="auto"/>
        <w:ind w:left="454"/>
      </w:pPr>
      <w:r>
        <w:rPr>
          <w:rFonts w:ascii="Consolas" w:hAnsi="Consolas" w:eastAsia="等线"/>
          <w:color w:val="000000"/>
          <w:sz w:val="18"/>
        </w:rPr>
        <w:t>llmctg generate --backend transformers --model-path D:/models/Qwen --device auto --topic "城市生态" --level senior</w:t>
      </w:r>
    </w:p>
    <w:p>
      <w:pPr>
        <w:ind w:firstLine="420"/>
      </w:pPr>
      <w:r>
        <w:rPr>
          <w:rFonts w:ascii="Arial" w:hAnsi="Arial" w:eastAsia="宋体"/>
          <w:color w:val="000000"/>
          <w:sz w:val="21"/>
        </w:rPr>
        <w:t>系统会在首次生成时加载模型。device 为 auto 时优先使用可用 CUDA，否则使用 CPU。为降低供应链风险，软件不会执行模型目录中的远程自定义代码。</w:t>
      </w:r>
    </w:p>
    <w:p>
      <w:pPr>
        <w:pStyle w:val="Heading1"/>
        <w:keepNext/>
      </w:pPr>
      <w:r>
        <w:t>5 文本质量评估</w:t>
      </w:r>
    </w:p>
    <w:p>
      <w:pPr>
        <w:pStyle w:val="Heading2"/>
        <w:keepNext/>
      </w:pPr>
      <w:r>
        <w:t>5.1 评估直接输入文本</w:t>
      </w:r>
    </w:p>
    <w:p>
      <w:pPr>
        <w:spacing w:after="0" w:line="240" w:lineRule="auto"/>
        <w:ind w:left="454"/>
      </w:pPr>
      <w:r>
        <w:rPr>
          <w:rFonts w:ascii="Consolas" w:hAnsi="Consolas" w:eastAsia="等线"/>
          <w:color w:val="000000"/>
          <w:sz w:val="18"/>
        </w:rPr>
        <w:t>llmctg evaluate --text "春天来了。小草从泥土里探出头。" --level primary</w:t>
      </w:r>
    </w:p>
    <w:p>
      <w:pPr>
        <w:pStyle w:val="Heading2"/>
        <w:keepNext/>
      </w:pPr>
      <w:r>
        <w:t>5.2 评估文本文件</w:t>
      </w:r>
    </w:p>
    <w:p>
      <w:pPr>
        <w:spacing w:after="0" w:line="240" w:lineRule="auto"/>
        <w:ind w:left="454"/>
      </w:pPr>
      <w:r>
        <w:rPr>
          <w:rFonts w:ascii="Consolas" w:hAnsi="Consolas" w:eastAsia="等线"/>
          <w:color w:val="000000"/>
          <w:sz w:val="18"/>
        </w:rPr>
        <w:t>llmctg evaluate --input article.txt --level junior --output output/evaluation.json</w:t>
      </w:r>
    </w:p>
    <w:p>
      <w:pPr>
        <w:pStyle w:val="Heading2"/>
        <w:keepNext/>
      </w:pPr>
      <w:r>
        <w:t>5.3 理解评估结果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rPr>
          <w:tblHeader/>
        </w:trPr>
        <w:tc>
          <w:tcPr>
            <w:tcW w:type="dxa" w:w="2835"/>
            <w:shd w:fill="1F4E7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rFonts w:ascii="Arial" w:hAnsi="Arial" w:eastAsia="黑体"/>
                <w:b/>
                <w:color w:val="FFFFFF"/>
                <w:sz w:val="19"/>
              </w:rPr>
              <w:t>指标</w:t>
            </w:r>
          </w:p>
        </w:tc>
        <w:tc>
          <w:tcPr>
            <w:tcW w:type="dxa" w:w="6066"/>
            <w:shd w:fill="1F4E7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rFonts w:ascii="Arial" w:hAnsi="Arial" w:eastAsia="黑体"/>
                <w:b/>
                <w:color w:val="FFFFFF"/>
                <w:sz w:val="19"/>
              </w:rPr>
              <w:t>含义</w:t>
            </w:r>
          </w:p>
        </w:tc>
      </w:tr>
      <w:tr>
        <w:tc>
          <w:tcPr>
            <w:tcW w:type="dxa" w:w="283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rFonts w:ascii="Arial" w:hAnsi="Arial" w:eastAsia="宋体"/>
                <w:color w:val="000000"/>
                <w:sz w:val="18"/>
              </w:rPr>
              <w:t>overall_score</w:t>
            </w:r>
          </w:p>
        </w:tc>
        <w:tc>
          <w:tcPr>
            <w:tcW w:type="dxa" w:w="606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>
              <w:rPr>
                <w:rFonts w:ascii="Arial" w:hAnsi="Arial" w:eastAsia="宋体"/>
                <w:color w:val="000000"/>
                <w:sz w:val="18"/>
              </w:rPr>
              <w:t>结构、长度、等级匹配和流畅性的加权总分</w:t>
            </w:r>
          </w:p>
        </w:tc>
      </w:tr>
      <w:tr>
        <w:tc>
          <w:tcPr>
            <w:tcW w:type="dxa" w:w="2835"/>
            <w:shd w:fill="F2F6F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rFonts w:ascii="Arial" w:hAnsi="Arial" w:eastAsia="宋体"/>
                <w:color w:val="000000"/>
                <w:sz w:val="18"/>
              </w:rPr>
              <w:t>predicted_level</w:t>
            </w:r>
          </w:p>
        </w:tc>
        <w:tc>
          <w:tcPr>
            <w:tcW w:type="dxa" w:w="6066"/>
            <w:shd w:fill="F2F6F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>
              <w:rPr>
                <w:rFonts w:ascii="Arial" w:hAnsi="Arial" w:eastAsia="宋体"/>
                <w:color w:val="000000"/>
                <w:sz w:val="18"/>
              </w:rPr>
              <w:t>根据句长和字词难度估算的阅读等级</w:t>
            </w:r>
          </w:p>
        </w:tc>
      </w:tr>
      <w:tr>
        <w:tc>
          <w:tcPr>
            <w:tcW w:type="dxa" w:w="283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rFonts w:ascii="Arial" w:hAnsi="Arial" w:eastAsia="宋体"/>
                <w:color w:val="000000"/>
                <w:sz w:val="18"/>
              </w:rPr>
              <w:t>repetition_rate</w:t>
            </w:r>
          </w:p>
        </w:tc>
        <w:tc>
          <w:tcPr>
            <w:tcW w:type="dxa" w:w="606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>
              <w:rPr>
                <w:rFonts w:ascii="Arial" w:hAnsi="Arial" w:eastAsia="宋体"/>
                <w:color w:val="000000"/>
                <w:sz w:val="18"/>
              </w:rPr>
              <w:t>连续四字片段的重复程度</w:t>
            </w:r>
          </w:p>
        </w:tc>
      </w:tr>
      <w:tr>
        <w:tc>
          <w:tcPr>
            <w:tcW w:type="dxa" w:w="2835"/>
            <w:shd w:fill="F2F6F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rFonts w:ascii="Arial" w:hAnsi="Arial" w:eastAsia="宋体"/>
                <w:color w:val="000000"/>
                <w:sz w:val="18"/>
              </w:rPr>
              <w:t>english_ratio</w:t>
            </w:r>
          </w:p>
        </w:tc>
        <w:tc>
          <w:tcPr>
            <w:tcW w:type="dxa" w:w="6066"/>
            <w:shd w:fill="F2F6F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>
              <w:rPr>
                <w:rFonts w:ascii="Arial" w:hAnsi="Arial" w:eastAsia="宋体"/>
                <w:color w:val="000000"/>
                <w:sz w:val="18"/>
              </w:rPr>
              <w:t>英文字符占全文字符的比例</w:t>
            </w:r>
          </w:p>
        </w:tc>
      </w:tr>
      <w:tr>
        <w:tc>
          <w:tcPr>
            <w:tcW w:type="dxa" w:w="283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rFonts w:ascii="Arial" w:hAnsi="Arial" w:eastAsia="宋体"/>
                <w:color w:val="000000"/>
                <w:sz w:val="18"/>
              </w:rPr>
              <w:t>uncommon_character_ratio</w:t>
            </w:r>
          </w:p>
        </w:tc>
        <w:tc>
          <w:tcPr>
            <w:tcW w:type="dxa" w:w="606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>
              <w:rPr>
                <w:rFonts w:ascii="Arial" w:hAnsi="Arial" w:eastAsia="宋体"/>
                <w:color w:val="000000"/>
                <w:sz w:val="18"/>
              </w:rPr>
              <w:t>不在内置常用字集合中的汉字比例</w:t>
            </w:r>
          </w:p>
        </w:tc>
      </w:tr>
      <w:tr>
        <w:tc>
          <w:tcPr>
            <w:tcW w:type="dxa" w:w="2835"/>
            <w:shd w:fill="F2F6F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rFonts w:ascii="Arial" w:hAnsi="Arial" w:eastAsia="宋体"/>
                <w:color w:val="000000"/>
                <w:sz w:val="18"/>
              </w:rPr>
              <w:t>warnings</w:t>
            </w:r>
          </w:p>
        </w:tc>
        <w:tc>
          <w:tcPr>
            <w:tcW w:type="dxa" w:w="6066"/>
            <w:shd w:fill="F2F6F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>
              <w:rPr>
                <w:rFonts w:ascii="Arial" w:hAnsi="Arial" w:eastAsia="宋体"/>
                <w:color w:val="000000"/>
                <w:sz w:val="18"/>
              </w:rPr>
              <w:t>触发阈值的质量问题</w:t>
            </w:r>
          </w:p>
        </w:tc>
      </w:tr>
      <w:tr>
        <w:tc>
          <w:tcPr>
            <w:tcW w:type="dxa" w:w="283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rFonts w:ascii="Arial" w:hAnsi="Arial" w:eastAsia="宋体"/>
                <w:color w:val="000000"/>
                <w:sz w:val="18"/>
              </w:rPr>
              <w:t>suggestions</w:t>
            </w:r>
          </w:p>
        </w:tc>
        <w:tc>
          <w:tcPr>
            <w:tcW w:type="dxa" w:w="606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>
              <w:rPr>
                <w:rFonts w:ascii="Arial" w:hAnsi="Arial" w:eastAsia="宋体"/>
                <w:color w:val="000000"/>
                <w:sz w:val="18"/>
              </w:rPr>
              <w:t>针对问题生成的修改建议</w:t>
            </w:r>
          </w:p>
        </w:tc>
      </w:tr>
    </w:tbl>
    <w:p/>
    <w:p>
      <w:pPr>
        <w:ind w:firstLine="420"/>
      </w:pPr>
      <w:r>
        <w:rPr>
          <w:rFonts w:ascii="Arial" w:hAnsi="Arial" w:eastAsia="宋体"/>
          <w:color w:val="000000"/>
          <w:sz w:val="21"/>
        </w:rPr>
        <w:t>自动评估是编辑辅助工具，不能判断所有事实是否真实，也不能代替教师、编辑或学科专家的最终审核。</w:t>
      </w:r>
    </w:p>
    <w:p>
      <w:pPr>
        <w:pStyle w:val="Heading1"/>
        <w:keepNext/>
      </w:pPr>
      <w:r>
        <w:t>6 批量任务处理</w:t>
      </w:r>
    </w:p>
    <w:p>
      <w:pPr>
        <w:pStyle w:val="Heading2"/>
        <w:keepNext/>
      </w:pPr>
      <w:r>
        <w:t>6.1 准备任务文件</w:t>
      </w:r>
    </w:p>
    <w:p>
      <w:pPr>
        <w:ind w:firstLine="420"/>
      </w:pPr>
      <w:r>
        <w:rPr>
          <w:rFonts w:ascii="Arial" w:hAnsi="Arial" w:eastAsia="宋体"/>
          <w:color w:val="000000"/>
          <w:sz w:val="21"/>
        </w:rPr>
        <w:t>任务文件采用 JSONL，即每一行是一个独立 JSON 对象。主题 topic 必填，其他字段可省略。</w:t>
      </w:r>
    </w:p>
    <w:p>
      <w:pPr>
        <w:spacing w:after="0" w:line="240" w:lineRule="auto"/>
        <w:ind w:left="454"/>
      </w:pPr>
      <w:r>
        <w:rPr>
          <w:rFonts w:ascii="Consolas" w:hAnsi="Consolas" w:eastAsia="等线"/>
          <w:color w:val="000000"/>
          <w:sz w:val="18"/>
        </w:rPr>
        <w:t>{"topic":"森林里的水循环","level":"primary","keywords":["树叶","雨水"]}</w:t>
      </w:r>
    </w:p>
    <w:p>
      <w:pPr>
        <w:spacing w:after="0" w:line="240" w:lineRule="auto"/>
        <w:ind w:left="454"/>
      </w:pPr>
      <w:r>
        <w:rPr>
          <w:rFonts w:ascii="Consolas" w:hAnsi="Consolas" w:eastAsia="等线"/>
          <w:color w:val="000000"/>
          <w:sz w:val="18"/>
        </w:rPr>
        <w:t>{"topic":"数据如何影响公共决策","level":"senior","instruction":"说明证据边界"}</w:t>
      </w:r>
    </w:p>
    <w:p>
      <w:pPr>
        <w:pStyle w:val="Heading2"/>
        <w:keepNext/>
      </w:pPr>
      <w:r>
        <w:t>6.2 执行任务</w:t>
      </w:r>
    </w:p>
    <w:p>
      <w:pPr>
        <w:spacing w:after="0" w:line="240" w:lineRule="auto"/>
        <w:ind w:left="454"/>
      </w:pPr>
      <w:r>
        <w:rPr>
          <w:rFonts w:ascii="Consolas" w:hAnsi="Consolas" w:eastAsia="等线"/>
          <w:color w:val="000000"/>
          <w:sz w:val="18"/>
        </w:rPr>
        <w:t>llmctg batch --input examples/tasks.jsonl --output output/batch</w:t>
      </w:r>
    </w:p>
    <w:p>
      <w:pPr>
        <w:ind w:firstLine="420"/>
      </w:pPr>
      <w:r>
        <w:rPr>
          <w:rFonts w:ascii="Arial" w:hAnsi="Arial" w:eastAsia="宋体"/>
          <w:color w:val="000000"/>
          <w:sz w:val="21"/>
        </w:rPr>
        <w:t>默认启用断点续作。系统为每条源任务计算稳定编号，已完成任务会跳过。若需要重新计算，可使用 --no-resume 并选择新的输出目录。单条任务失败后，原因写入 errors.jsonl，其余任务继续执行。</w:t>
      </w:r>
    </w:p>
    <w:p>
      <w:pPr>
        <w:pStyle w:val="Heading1"/>
        <w:keepNext/>
      </w:pPr>
      <w:r>
        <w:t>7 训练数据准备</w:t>
      </w:r>
    </w:p>
    <w:p>
      <w:pPr>
        <w:ind w:firstLine="420"/>
      </w:pPr>
      <w:r>
        <w:rPr>
          <w:rFonts w:ascii="Arial" w:hAnsi="Arial" w:eastAsia="宋体"/>
          <w:color w:val="000000"/>
          <w:sz w:val="21"/>
        </w:rPr>
        <w:t>原始文本每行由正文、制表符和等级标签构成。等级可使用 0、1、2 或小学、初中、高中。转换器会生成带 instruction、input、output 和 level 字段的 JSONL。</w:t>
      </w:r>
    </w:p>
    <w:p>
      <w:pPr>
        <w:spacing w:after="0" w:line="240" w:lineRule="auto"/>
        <w:ind w:left="454"/>
      </w:pPr>
      <w:r>
        <w:rPr>
          <w:rFonts w:ascii="Consolas" w:hAnsi="Consolas" w:eastAsia="等线"/>
          <w:color w:val="000000"/>
          <w:sz w:val="18"/>
        </w:rPr>
        <w:t>llmctg prepare-data --input train.txt --output data/train.jsonl</w:t>
      </w:r>
    </w:p>
    <w:p>
      <w:pPr>
        <w:pStyle w:val="Heading1"/>
        <w:keepNext/>
      </w:pPr>
      <w:r>
        <w:t>8 LoRA 模型微调</w:t>
      </w:r>
    </w:p>
    <w:p>
      <w:pPr>
        <w:ind w:firstLine="420"/>
      </w:pPr>
      <w:r>
        <w:rPr>
          <w:rFonts w:ascii="Arial" w:hAnsi="Arial" w:eastAsia="宋体"/>
          <w:color w:val="000000"/>
          <w:sz w:val="21"/>
        </w:rPr>
        <w:t>微调前应确认基础模型和训练语料的授权，准备足够磁盘与显存，并先使用少量样本验证流程。软件使用显式参数替代原始脚本中的个人绝对路径。</w:t>
      </w:r>
    </w:p>
    <w:p>
      <w:pPr>
        <w:spacing w:after="0" w:line="240" w:lineRule="auto"/>
        <w:ind w:left="454"/>
      </w:pPr>
      <w:r>
        <w:rPr>
          <w:rFonts w:ascii="Consolas" w:hAnsi="Consolas" w:eastAsia="等线"/>
          <w:color w:val="000000"/>
          <w:sz w:val="18"/>
        </w:rPr>
        <w:t>llmctg train --model-path D:/models/Qwen --dataset data/train.jsonl --output models/reading-lora --epochs 3 --batch-size 1 --max-length 1024 --device auto</w:t>
      </w:r>
    </w:p>
    <w:p>
      <w:pPr>
        <w:pStyle w:val="ListBullet"/>
        <w:ind w:left="454"/>
      </w:pPr>
      <w:r>
        <w:rPr>
          <w:rFonts w:ascii="Arial" w:hAnsi="Arial" w:eastAsia="宋体"/>
          <w:color w:val="000000"/>
          <w:sz w:val="21"/>
        </w:rPr>
        <w:t>训练输出目录保存 LoRA 适配器和分词器配置。</w:t>
      </w:r>
    </w:p>
    <w:p>
      <w:pPr>
        <w:pStyle w:val="ListBullet"/>
        <w:ind w:left="454"/>
      </w:pPr>
      <w:r>
        <w:rPr>
          <w:rFonts w:ascii="Arial" w:hAnsi="Arial" w:eastAsia="宋体"/>
          <w:color w:val="000000"/>
          <w:sz w:val="21"/>
        </w:rPr>
        <w:t>CUDA 环境启用半精度与梯度检查点；CPU 环境使用单精度。</w:t>
      </w:r>
    </w:p>
    <w:p>
      <w:pPr>
        <w:pStyle w:val="ListBullet"/>
        <w:ind w:left="454"/>
      </w:pPr>
      <w:r>
        <w:rPr>
          <w:rFonts w:ascii="Arial" w:hAnsi="Arial" w:eastAsia="宋体"/>
          <w:color w:val="000000"/>
          <w:sz w:val="21"/>
        </w:rPr>
        <w:t>若模型层名称与 q_proj、k_proj、v_proj、o_proj 不匹配，应由维护人员调整目标模块。</w:t>
      </w:r>
    </w:p>
    <w:p>
      <w:pPr>
        <w:pStyle w:val="ListBullet"/>
        <w:ind w:left="454"/>
      </w:pPr>
      <w:r>
        <w:rPr>
          <w:rFonts w:ascii="Arial" w:hAnsi="Arial" w:eastAsia="宋体"/>
          <w:color w:val="000000"/>
          <w:sz w:val="21"/>
        </w:rPr>
        <w:t>训练损失只反映拟合过程，不能代替独立测试集和人工内容评价。</w:t>
      </w:r>
    </w:p>
    <w:p>
      <w:pPr>
        <w:pStyle w:val="Heading1"/>
        <w:keepNext/>
      </w:pPr>
      <w:r>
        <w:t>9 配置说明</w:t>
      </w:r>
    </w:p>
    <w:p>
      <w:pPr>
        <w:ind w:firstLine="420"/>
      </w:pPr>
      <w:r>
        <w:rPr>
          <w:rFonts w:ascii="Arial" w:hAnsi="Arial" w:eastAsia="宋体"/>
          <w:color w:val="000000"/>
          <w:sz w:val="21"/>
        </w:rPr>
        <w:t>执行 init-config 可生成默认 JSON 配置。命令行中的后端、模型路径和设备会覆盖配置文件对应值。</w:t>
      </w:r>
    </w:p>
    <w:p>
      <w:pPr>
        <w:spacing w:after="0" w:line="240" w:lineRule="auto"/>
        <w:ind w:left="454"/>
      </w:pPr>
      <w:r>
        <w:rPr>
          <w:rFonts w:ascii="Consolas" w:hAnsi="Consolas" w:eastAsia="等线"/>
          <w:color w:val="000000"/>
          <w:sz w:val="18"/>
        </w:rPr>
        <w:t>llmctg init-config --output llmctg.json</w:t>
      </w:r>
    </w:p>
    <w:p>
      <w:pPr>
        <w:spacing w:after="0" w:line="240" w:lineRule="auto"/>
        <w:ind w:left="454"/>
      </w:pPr>
      <w:r>
        <w:rPr>
          <w:rFonts w:ascii="Consolas" w:hAnsi="Consolas" w:eastAsia="等线"/>
          <w:color w:val="000000"/>
          <w:sz w:val="18"/>
        </w:rPr>
        <w:t>llmctg --config llmctg.json generate --topic "气候"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rPr>
          <w:tblHeader/>
        </w:trPr>
        <w:tc>
          <w:tcPr>
            <w:tcW w:type="dxa" w:w="3402"/>
            <w:shd w:fill="1F4E7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rFonts w:ascii="Arial" w:hAnsi="Arial" w:eastAsia="黑体"/>
                <w:b/>
                <w:color w:val="FFFFFF"/>
                <w:sz w:val="19"/>
              </w:rPr>
              <w:t>配置项</w:t>
            </w:r>
          </w:p>
        </w:tc>
        <w:tc>
          <w:tcPr>
            <w:tcW w:type="dxa" w:w="1701"/>
            <w:shd w:fill="1F4E7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rFonts w:ascii="Arial" w:hAnsi="Arial" w:eastAsia="黑体"/>
                <w:b/>
                <w:color w:val="FFFFFF"/>
                <w:sz w:val="19"/>
              </w:rPr>
              <w:t>默认值</w:t>
            </w:r>
          </w:p>
        </w:tc>
        <w:tc>
          <w:tcPr>
            <w:tcW w:type="dxa" w:w="3798"/>
            <w:shd w:fill="1F4E7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rFonts w:ascii="Arial" w:hAnsi="Arial" w:eastAsia="黑体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340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rFonts w:ascii="Arial" w:hAnsi="Arial" w:eastAsia="宋体"/>
                <w:color w:val="000000"/>
                <w:sz w:val="18"/>
              </w:rPr>
              <w:t>generation.backend</w:t>
            </w:r>
          </w:p>
        </w:tc>
        <w:tc>
          <w:tcPr>
            <w:tcW w:type="dxa" w:w="170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>
              <w:rPr>
                <w:rFonts w:ascii="Arial" w:hAnsi="Arial" w:eastAsia="宋体"/>
                <w:color w:val="000000"/>
                <w:sz w:val="18"/>
              </w:rPr>
              <w:t>template</w:t>
            </w:r>
          </w:p>
        </w:tc>
        <w:tc>
          <w:tcPr>
            <w:tcW w:type="dxa" w:w="379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>
              <w:rPr>
                <w:rFonts w:ascii="Arial" w:hAnsi="Arial" w:eastAsia="宋体"/>
                <w:color w:val="000000"/>
                <w:sz w:val="18"/>
              </w:rPr>
              <w:t>生成后端</w:t>
            </w:r>
          </w:p>
        </w:tc>
      </w:tr>
      <w:tr>
        <w:tc>
          <w:tcPr>
            <w:tcW w:type="dxa" w:w="3402"/>
            <w:shd w:fill="F2F6F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rFonts w:ascii="Arial" w:hAnsi="Arial" w:eastAsia="宋体"/>
                <w:color w:val="000000"/>
                <w:sz w:val="18"/>
              </w:rPr>
              <w:t>generation.device</w:t>
            </w:r>
          </w:p>
        </w:tc>
        <w:tc>
          <w:tcPr>
            <w:tcW w:type="dxa" w:w="1701"/>
            <w:shd w:fill="F2F6F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>
              <w:rPr>
                <w:rFonts w:ascii="Arial" w:hAnsi="Arial" w:eastAsia="宋体"/>
                <w:color w:val="000000"/>
                <w:sz w:val="18"/>
              </w:rPr>
              <w:t>auto</w:t>
            </w:r>
          </w:p>
        </w:tc>
        <w:tc>
          <w:tcPr>
            <w:tcW w:type="dxa" w:w="3798"/>
            <w:shd w:fill="F2F6F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>
              <w:rPr>
                <w:rFonts w:ascii="Arial" w:hAnsi="Arial" w:eastAsia="宋体"/>
                <w:color w:val="000000"/>
                <w:sz w:val="18"/>
              </w:rPr>
              <w:t>推理设备</w:t>
            </w:r>
          </w:p>
        </w:tc>
      </w:tr>
      <w:tr>
        <w:tc>
          <w:tcPr>
            <w:tcW w:type="dxa" w:w="340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rFonts w:ascii="Arial" w:hAnsi="Arial" w:eastAsia="宋体"/>
                <w:color w:val="000000"/>
                <w:sz w:val="18"/>
              </w:rPr>
              <w:t>generation.temperature</w:t>
            </w:r>
          </w:p>
        </w:tc>
        <w:tc>
          <w:tcPr>
            <w:tcW w:type="dxa" w:w="170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>
              <w:rPr>
                <w:rFonts w:ascii="Arial" w:hAnsi="Arial" w:eastAsia="宋体"/>
                <w:color w:val="000000"/>
                <w:sz w:val="18"/>
              </w:rPr>
              <w:t>0.9</w:t>
            </w:r>
          </w:p>
        </w:tc>
        <w:tc>
          <w:tcPr>
            <w:tcW w:type="dxa" w:w="379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>
              <w:rPr>
                <w:rFonts w:ascii="Arial" w:hAnsi="Arial" w:eastAsia="宋体"/>
                <w:color w:val="000000"/>
                <w:sz w:val="18"/>
              </w:rPr>
              <w:t>采样随机性</w:t>
            </w:r>
          </w:p>
        </w:tc>
      </w:tr>
      <w:tr>
        <w:tc>
          <w:tcPr>
            <w:tcW w:type="dxa" w:w="3402"/>
            <w:shd w:fill="F2F6F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rFonts w:ascii="Arial" w:hAnsi="Arial" w:eastAsia="宋体"/>
                <w:color w:val="000000"/>
                <w:sz w:val="18"/>
              </w:rPr>
              <w:t>generation.top_p</w:t>
            </w:r>
          </w:p>
        </w:tc>
        <w:tc>
          <w:tcPr>
            <w:tcW w:type="dxa" w:w="1701"/>
            <w:shd w:fill="F2F6F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>
              <w:rPr>
                <w:rFonts w:ascii="Arial" w:hAnsi="Arial" w:eastAsia="宋体"/>
                <w:color w:val="000000"/>
                <w:sz w:val="18"/>
              </w:rPr>
              <w:t>0.9</w:t>
            </w:r>
          </w:p>
        </w:tc>
        <w:tc>
          <w:tcPr>
            <w:tcW w:type="dxa" w:w="3798"/>
            <w:shd w:fill="F2F6F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>
              <w:rPr>
                <w:rFonts w:ascii="Arial" w:hAnsi="Arial" w:eastAsia="宋体"/>
                <w:color w:val="000000"/>
                <w:sz w:val="18"/>
              </w:rPr>
              <w:t>核采样阈值</w:t>
            </w:r>
          </w:p>
        </w:tc>
      </w:tr>
      <w:tr>
        <w:tc>
          <w:tcPr>
            <w:tcW w:type="dxa" w:w="340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rFonts w:ascii="Arial" w:hAnsi="Arial" w:eastAsia="宋体"/>
                <w:color w:val="000000"/>
                <w:sz w:val="18"/>
              </w:rPr>
              <w:t>generation.repetition_penalty</w:t>
            </w:r>
          </w:p>
        </w:tc>
        <w:tc>
          <w:tcPr>
            <w:tcW w:type="dxa" w:w="170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>
              <w:rPr>
                <w:rFonts w:ascii="Arial" w:hAnsi="Arial" w:eastAsia="宋体"/>
                <w:color w:val="000000"/>
                <w:sz w:val="18"/>
              </w:rPr>
              <w:t>1.1</w:t>
            </w:r>
          </w:p>
        </w:tc>
        <w:tc>
          <w:tcPr>
            <w:tcW w:type="dxa" w:w="379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>
              <w:rPr>
                <w:rFonts w:ascii="Arial" w:hAnsi="Arial" w:eastAsia="宋体"/>
                <w:color w:val="000000"/>
                <w:sz w:val="18"/>
              </w:rPr>
              <w:t>模型重复惩罚</w:t>
            </w:r>
          </w:p>
        </w:tc>
      </w:tr>
      <w:tr>
        <w:tc>
          <w:tcPr>
            <w:tcW w:type="dxa" w:w="3402"/>
            <w:shd w:fill="F2F6F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rFonts w:ascii="Arial" w:hAnsi="Arial" w:eastAsia="宋体"/>
                <w:color w:val="000000"/>
                <w:sz w:val="18"/>
              </w:rPr>
              <w:t>evaluation.pass_score</w:t>
            </w:r>
          </w:p>
        </w:tc>
        <w:tc>
          <w:tcPr>
            <w:tcW w:type="dxa" w:w="1701"/>
            <w:shd w:fill="F2F6F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>
              <w:rPr>
                <w:rFonts w:ascii="Arial" w:hAnsi="Arial" w:eastAsia="宋体"/>
                <w:color w:val="000000"/>
                <w:sz w:val="18"/>
              </w:rPr>
              <w:t>60</w:t>
            </w:r>
          </w:p>
        </w:tc>
        <w:tc>
          <w:tcPr>
            <w:tcW w:type="dxa" w:w="3798"/>
            <w:shd w:fill="F2F6F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>
              <w:rPr>
                <w:rFonts w:ascii="Arial" w:hAnsi="Arial" w:eastAsia="宋体"/>
                <w:color w:val="000000"/>
                <w:sz w:val="18"/>
              </w:rPr>
              <w:t>质量通过分数</w:t>
            </w:r>
          </w:p>
        </w:tc>
      </w:tr>
      <w:tr>
        <w:tc>
          <w:tcPr>
            <w:tcW w:type="dxa" w:w="340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rFonts w:ascii="Arial" w:hAnsi="Arial" w:eastAsia="宋体"/>
                <w:color w:val="000000"/>
                <w:sz w:val="18"/>
              </w:rPr>
              <w:t>evaluation.repetition_warning</w:t>
            </w:r>
          </w:p>
        </w:tc>
        <w:tc>
          <w:tcPr>
            <w:tcW w:type="dxa" w:w="170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>
              <w:rPr>
                <w:rFonts w:ascii="Arial" w:hAnsi="Arial" w:eastAsia="宋体"/>
                <w:color w:val="000000"/>
                <w:sz w:val="18"/>
              </w:rPr>
              <w:t>0.18</w:t>
            </w:r>
          </w:p>
        </w:tc>
        <w:tc>
          <w:tcPr>
            <w:tcW w:type="dxa" w:w="379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>
              <w:rPr>
                <w:rFonts w:ascii="Arial" w:hAnsi="Arial" w:eastAsia="宋体"/>
                <w:color w:val="000000"/>
                <w:sz w:val="18"/>
              </w:rPr>
              <w:t>重复率警告阈值</w:t>
            </w:r>
          </w:p>
        </w:tc>
      </w:tr>
      <w:tr>
        <w:tc>
          <w:tcPr>
            <w:tcW w:type="dxa" w:w="3402"/>
            <w:shd w:fill="F2F6F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rFonts w:ascii="Arial" w:hAnsi="Arial" w:eastAsia="宋体"/>
                <w:color w:val="000000"/>
                <w:sz w:val="18"/>
              </w:rPr>
              <w:t>log_level</w:t>
            </w:r>
          </w:p>
        </w:tc>
        <w:tc>
          <w:tcPr>
            <w:tcW w:type="dxa" w:w="1701"/>
            <w:shd w:fill="F2F6F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>
              <w:rPr>
                <w:rFonts w:ascii="Arial" w:hAnsi="Arial" w:eastAsia="宋体"/>
                <w:color w:val="000000"/>
                <w:sz w:val="18"/>
              </w:rPr>
              <w:t>INFO</w:t>
            </w:r>
          </w:p>
        </w:tc>
        <w:tc>
          <w:tcPr>
            <w:tcW w:type="dxa" w:w="3798"/>
            <w:shd w:fill="F2F6F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>
              <w:rPr>
                <w:rFonts w:ascii="Arial" w:hAnsi="Arial" w:eastAsia="宋体"/>
                <w:color w:val="000000"/>
                <w:sz w:val="18"/>
              </w:rPr>
              <w:t>日志级别</w:t>
            </w:r>
          </w:p>
        </w:tc>
      </w:tr>
    </w:tbl>
    <w:p/>
    <w:p>
      <w:pPr>
        <w:pStyle w:val="Heading1"/>
        <w:keepNext/>
      </w:pPr>
      <w:r>
        <w:t>10 输出文件说明</w:t>
      </w:r>
    </w:p>
    <w:p>
      <w:pPr>
        <w:ind w:firstLine="420"/>
      </w:pPr>
      <w:r>
        <w:rPr>
          <w:rFonts w:ascii="Arial" w:hAnsi="Arial" w:eastAsia="宋体"/>
          <w:color w:val="000000"/>
          <w:sz w:val="21"/>
        </w:rPr>
        <w:t>JSON 和 JSONL 保存全部结构化信息，适合程序继续处理；CSV 以 UTF-8 BOM 编码，适合 Excel 等软件；HTML 报告完全本地化，可直接双击打开。生成时间采用带时区的 ISO 8601 格式。</w:t>
      </w:r>
    </w:p>
    <w:p>
      <w:pPr>
        <w:pStyle w:val="Heading1"/>
        <w:keepNext/>
      </w:pPr>
      <w:r>
        <w:t>11 常见问题与故障处理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rPr>
          <w:tblHeader/>
        </w:trPr>
        <w:tc>
          <w:tcPr>
            <w:tcW w:type="dxa" w:w="2948"/>
            <w:shd w:fill="1F4E7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rFonts w:ascii="Arial" w:hAnsi="Arial" w:eastAsia="黑体"/>
                <w:b/>
                <w:color w:val="FFFFFF"/>
                <w:sz w:val="19"/>
              </w:rPr>
              <w:t>现象</w:t>
            </w:r>
          </w:p>
        </w:tc>
        <w:tc>
          <w:tcPr>
            <w:tcW w:type="dxa" w:w="5953"/>
            <w:shd w:fill="1F4E7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rFonts w:ascii="Arial" w:hAnsi="Arial" w:eastAsia="黑体"/>
                <w:b/>
                <w:color w:val="FFFFFF"/>
                <w:sz w:val="19"/>
              </w:rPr>
              <w:t>原因与处理方法</w:t>
            </w:r>
          </w:p>
        </w:tc>
      </w:tr>
      <w:tr>
        <w:tc>
          <w:tcPr>
            <w:tcW w:type="dxa" w:w="294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rFonts w:ascii="Arial" w:hAnsi="Arial" w:eastAsia="宋体"/>
                <w:color w:val="000000"/>
                <w:sz w:val="18"/>
              </w:rPr>
              <w:t>提示主题不能为空</w:t>
            </w:r>
          </w:p>
        </w:tc>
        <w:tc>
          <w:tcPr>
            <w:tcW w:type="dxa" w:w="595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>
              <w:rPr>
                <w:rFonts w:ascii="Arial" w:hAnsi="Arial" w:eastAsia="宋体"/>
                <w:color w:val="000000"/>
                <w:sz w:val="18"/>
              </w:rPr>
              <w:t>检查 --topic 或批量任务 topic 字段，删除只有空格的值</w:t>
            </w:r>
          </w:p>
        </w:tc>
      </w:tr>
      <w:tr>
        <w:tc>
          <w:tcPr>
            <w:tcW w:type="dxa" w:w="2948"/>
            <w:shd w:fill="F2F6F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rFonts w:ascii="Arial" w:hAnsi="Arial" w:eastAsia="宋体"/>
                <w:color w:val="000000"/>
                <w:sz w:val="18"/>
              </w:rPr>
              <w:t>提示不支持的阅读等级</w:t>
            </w:r>
          </w:p>
        </w:tc>
        <w:tc>
          <w:tcPr>
            <w:tcW w:type="dxa" w:w="5953"/>
            <w:shd w:fill="F2F6F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>
              <w:rPr>
                <w:rFonts w:ascii="Arial" w:hAnsi="Arial" w:eastAsia="宋体"/>
                <w:color w:val="000000"/>
                <w:sz w:val="18"/>
              </w:rPr>
              <w:t>使用 primary、junior、senior、0、1、2 或相应中文学段</w:t>
            </w:r>
          </w:p>
        </w:tc>
      </w:tr>
      <w:tr>
        <w:tc>
          <w:tcPr>
            <w:tcW w:type="dxa" w:w="294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rFonts w:ascii="Arial" w:hAnsi="Arial" w:eastAsia="宋体"/>
                <w:color w:val="000000"/>
                <w:sz w:val="18"/>
              </w:rPr>
              <w:t>提示缺少模型依赖</w:t>
            </w:r>
          </w:p>
        </w:tc>
        <w:tc>
          <w:tcPr>
            <w:tcW w:type="dxa" w:w="595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>
              <w:rPr>
                <w:rFonts w:ascii="Arial" w:hAnsi="Arial" w:eastAsia="宋体"/>
                <w:color w:val="000000"/>
                <w:sz w:val="18"/>
              </w:rPr>
              <w:t>安装 [llm] 扩展，并确认当前命令使用同一 Python 环境</w:t>
            </w:r>
          </w:p>
        </w:tc>
      </w:tr>
      <w:tr>
        <w:tc>
          <w:tcPr>
            <w:tcW w:type="dxa" w:w="2948"/>
            <w:shd w:fill="F2F6F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rFonts w:ascii="Arial" w:hAnsi="Arial" w:eastAsia="宋体"/>
                <w:color w:val="000000"/>
                <w:sz w:val="18"/>
              </w:rPr>
              <w:t>模型目录不存在</w:t>
            </w:r>
          </w:p>
        </w:tc>
        <w:tc>
          <w:tcPr>
            <w:tcW w:type="dxa" w:w="5953"/>
            <w:shd w:fill="F2F6F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>
              <w:rPr>
                <w:rFonts w:ascii="Arial" w:hAnsi="Arial" w:eastAsia="宋体"/>
                <w:color w:val="000000"/>
                <w:sz w:val="18"/>
              </w:rPr>
              <w:t>检查路径拼写与访问权限，不要填写网络模型名称代替本地目录</w:t>
            </w:r>
          </w:p>
        </w:tc>
      </w:tr>
      <w:tr>
        <w:tc>
          <w:tcPr>
            <w:tcW w:type="dxa" w:w="294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rFonts w:ascii="Arial" w:hAnsi="Arial" w:eastAsia="宋体"/>
                <w:color w:val="000000"/>
                <w:sz w:val="18"/>
              </w:rPr>
              <w:t>CUDA 显存不足</w:t>
            </w:r>
          </w:p>
        </w:tc>
        <w:tc>
          <w:tcPr>
            <w:tcW w:type="dxa" w:w="595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>
              <w:rPr>
                <w:rFonts w:ascii="Arial" w:hAnsi="Arial" w:eastAsia="宋体"/>
                <w:color w:val="000000"/>
                <w:sz w:val="18"/>
              </w:rPr>
              <w:t>降低最大令牌数、使用更小模型或改用 CPU</w:t>
            </w:r>
          </w:p>
        </w:tc>
      </w:tr>
      <w:tr>
        <w:tc>
          <w:tcPr>
            <w:tcW w:type="dxa" w:w="2948"/>
            <w:shd w:fill="F2F6F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rFonts w:ascii="Arial" w:hAnsi="Arial" w:eastAsia="宋体"/>
                <w:color w:val="000000"/>
                <w:sz w:val="18"/>
              </w:rPr>
              <w:t>批量任务部分失败</w:t>
            </w:r>
          </w:p>
        </w:tc>
        <w:tc>
          <w:tcPr>
            <w:tcW w:type="dxa" w:w="5953"/>
            <w:shd w:fill="F2F6F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>
              <w:rPr>
                <w:rFonts w:ascii="Arial" w:hAnsi="Arial" w:eastAsia="宋体"/>
                <w:color w:val="000000"/>
                <w:sz w:val="18"/>
              </w:rPr>
              <w:t>查看 errors.jsonl 的行号、异常类型和消息，修正后使用新目录重跑</w:t>
            </w:r>
          </w:p>
        </w:tc>
      </w:tr>
      <w:tr>
        <w:tc>
          <w:tcPr>
            <w:tcW w:type="dxa" w:w="294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rFonts w:ascii="Arial" w:hAnsi="Arial" w:eastAsia="宋体"/>
                <w:color w:val="000000"/>
                <w:sz w:val="18"/>
              </w:rPr>
              <w:t>中文在终端显示异常</w:t>
            </w:r>
          </w:p>
        </w:tc>
        <w:tc>
          <w:tcPr>
            <w:tcW w:type="dxa" w:w="595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>
              <w:rPr>
                <w:rFonts w:ascii="Arial" w:hAnsi="Arial" w:eastAsia="宋体"/>
                <w:color w:val="000000"/>
                <w:sz w:val="18"/>
              </w:rPr>
              <w:t>将终端切换到 UTF-8，文件本身仍按 UTF-8 保存</w:t>
            </w:r>
          </w:p>
        </w:tc>
      </w:tr>
      <w:tr>
        <w:tc>
          <w:tcPr>
            <w:tcW w:type="dxa" w:w="2948"/>
            <w:shd w:fill="F2F6F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rFonts w:ascii="Arial" w:hAnsi="Arial" w:eastAsia="宋体"/>
                <w:color w:val="000000"/>
                <w:sz w:val="18"/>
              </w:rPr>
              <w:t>质量分低</w:t>
            </w:r>
          </w:p>
        </w:tc>
        <w:tc>
          <w:tcPr>
            <w:tcW w:type="dxa" w:w="5953"/>
            <w:shd w:fill="F2F6FA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>
              <w:rPr>
                <w:rFonts w:ascii="Arial" w:hAnsi="Arial" w:eastAsia="宋体"/>
                <w:color w:val="000000"/>
                <w:sz w:val="18"/>
              </w:rPr>
              <w:t>查看 warnings 与 suggestions，重点检查长度、长句、重复和等级匹配</w:t>
            </w:r>
          </w:p>
        </w:tc>
      </w:tr>
    </w:tbl>
    <w:p/>
    <w:p>
      <w:pPr>
        <w:pStyle w:val="Heading1"/>
        <w:keepNext/>
      </w:pPr>
      <w:r>
        <w:t>12 数据安全与使用边界</w:t>
      </w:r>
    </w:p>
    <w:p>
      <w:pPr>
        <w:pStyle w:val="ListBullet"/>
        <w:ind w:left="454"/>
      </w:pPr>
      <w:r>
        <w:rPr>
          <w:rFonts w:ascii="Arial" w:hAnsi="Arial" w:eastAsia="宋体"/>
          <w:color w:val="000000"/>
          <w:sz w:val="21"/>
        </w:rPr>
        <w:t>默认后端完全离线，不向网络发送主题或文章。</w:t>
      </w:r>
    </w:p>
    <w:p>
      <w:pPr>
        <w:pStyle w:val="ListBullet"/>
        <w:ind w:left="454"/>
      </w:pPr>
      <w:r>
        <w:rPr>
          <w:rFonts w:ascii="Arial" w:hAnsi="Arial" w:eastAsia="宋体"/>
          <w:color w:val="000000"/>
          <w:sz w:val="21"/>
        </w:rPr>
        <w:t>本地模型后端只读取用户指定目录，但模型、语料和数据库授权由使用者负责确认。</w:t>
      </w:r>
    </w:p>
    <w:p>
      <w:pPr>
        <w:pStyle w:val="ListBullet"/>
        <w:ind w:left="454"/>
      </w:pPr>
      <w:r>
        <w:rPr>
          <w:rFonts w:ascii="Arial" w:hAnsi="Arial" w:eastAsia="宋体"/>
          <w:color w:val="000000"/>
          <w:sz w:val="21"/>
        </w:rPr>
        <w:t>请勿把含个人敏感信息、未授权作品或保密材料直接用于训练。</w:t>
      </w:r>
    </w:p>
    <w:p>
      <w:pPr>
        <w:pStyle w:val="ListBullet"/>
        <w:ind w:left="454"/>
      </w:pPr>
      <w:r>
        <w:rPr>
          <w:rFonts w:ascii="Arial" w:hAnsi="Arial" w:eastAsia="宋体"/>
          <w:color w:val="000000"/>
          <w:sz w:val="21"/>
        </w:rPr>
        <w:t>生成内容投入教学、出版或公开传播前，必须进行事实、版权、年龄适宜性和价值导向审核。</w:t>
      </w:r>
    </w:p>
    <w:p>
      <w:pPr>
        <w:pStyle w:val="ListBullet"/>
        <w:ind w:left="454"/>
      </w:pPr>
      <w:r>
        <w:rPr>
          <w:rFonts w:ascii="Arial" w:hAnsi="Arial" w:eastAsia="宋体"/>
          <w:color w:val="000000"/>
          <w:sz w:val="21"/>
        </w:rPr>
        <w:t>备份输出目录时应遵守所在单位的数据分类与保存制度。</w:t>
      </w:r>
    </w:p>
    <w:p>
      <w:pPr>
        <w:pStyle w:val="Heading1"/>
        <w:keepNext/>
      </w:pPr>
      <w:r>
        <w:t>13 软件卸载</w:t>
      </w:r>
    </w:p>
    <w:p>
      <w:pPr>
        <w:ind w:firstLine="420"/>
      </w:pPr>
      <w:r>
        <w:rPr>
          <w:rFonts w:ascii="Arial" w:hAnsi="Arial" w:eastAsia="宋体"/>
          <w:color w:val="000000"/>
          <w:sz w:val="21"/>
        </w:rPr>
        <w:t>使用 pip 安装时执行下列命令卸载程序。输出目录、模型和训练数据不会自动删除，应由用户确认后单独归档或清理。</w:t>
      </w:r>
    </w:p>
    <w:p>
      <w:pPr>
        <w:spacing w:after="0" w:line="240" w:lineRule="auto"/>
        <w:ind w:left="454"/>
      </w:pPr>
      <w:r>
        <w:rPr>
          <w:rFonts w:ascii="Consolas" w:hAnsi="Consolas" w:eastAsia="等线"/>
          <w:color w:val="000000"/>
          <w:sz w:val="18"/>
        </w:rPr>
        <w:t>python -m pip uninstall llmctg</w:t>
      </w:r>
    </w:p>
    <w:sectPr w:rsidR="00FC693F" w:rsidRPr="0006063C" w:rsidSect="00034616">
      <w:footerReference w:type="default" r:id="rId9"/>
      <w:pgSz w:w="12240" w:h="15840"/>
      <w:pgMar w:top="1361" w:right="1361" w:bottom="1247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宋体"/>
        <w:color w:val="000000"/>
        <w:sz w:val="16"/>
      </w:rPr>
      <w:t xml:space="preserve">LLM中文文本生成系统  ·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</w:pPr>
    <w:rPr>
      <w:rFonts w:ascii="Arial" w:hAnsi="Arial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黑体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黑体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黑体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黑体"/>
      <w:b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