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自动化交易程序工作原理说明（ETH 5m Fakeout）</w:t>
      </w:r>
    </w:p>
    <w:p/>
    <w:p>
      <w:r>
        <w:t>一、程序整体运行模式</w:t>
      </w:r>
    </w:p>
    <w:p>
      <w:r>
        <w:t>程序采用事件驱动 + 永久在线循环方式运行。启动后初始化各模块，进入主循环，每一轮循环完成一次完整的“是否允许交易 → 是否有信号 → 是否执行”的判断。任何普通异常都不会导致程序退出。</w:t>
      </w:r>
    </w:p>
    <w:p/>
    <w:p>
      <w:r>
        <w:t>二、模块划分与职责</w:t>
      </w:r>
    </w:p>
    <w:p>
      <w:r>
        <w:t>1. 数据层（DataFetcher）：负责获取1m/5m K线、Funding、价格与点差，所有请求必须可重试。</w:t>
      </w:r>
    </w:p>
    <w:p>
      <w:r>
        <w:t>2. 市场状态引擎（Market State）：根据ATR、成交量、Funding 将市场划分为 SLEEP / ACTIVE / AGGRESSIVE。</w:t>
      </w:r>
    </w:p>
    <w:p>
      <w:r>
        <w:t>3. 交易价值过滤器（Worth-Trading）：在策略前判断波动是否足以覆盖成本。</w:t>
      </w:r>
    </w:p>
    <w:p>
      <w:r>
        <w:t>4. 策略引擎（Strategy）：识别结构极值与失败突破，仅生成交易意图。</w:t>
      </w:r>
    </w:p>
    <w:p>
      <w:r>
        <w:t>5. 执行闸门（Execution Gate）：校验频率、仓位、K线实体、最小止损距离。</w:t>
      </w:r>
    </w:p>
    <w:p>
      <w:r>
        <w:t>6. 风险管理器（Risk Manager）：维护PnL、连续亏损、熔断状态，优先级最高。</w:t>
      </w:r>
    </w:p>
    <w:p>
      <w:r>
        <w:t>7. 执行引擎（Execution Engine）：负责下单、平仓、订单状态管理。</w:t>
      </w:r>
    </w:p>
    <w:p/>
    <w:p>
      <w:r>
        <w:t>三、主循环决策流程</w:t>
      </w:r>
    </w:p>
    <w:p>
      <w:r>
        <w:t>1. 系统健康检查（心跳、数据新鲜度）</w:t>
      </w:r>
    </w:p>
    <w:p>
      <w:r>
        <w:t>2. 全局熔断检查</w:t>
      </w:r>
    </w:p>
    <w:p>
      <w:r>
        <w:t>3. 交易价值判断（Worth-Trading）</w:t>
      </w:r>
    </w:p>
    <w:p>
      <w:r>
        <w:t>4. 市场状态判断（非SLEEP）</w:t>
      </w:r>
    </w:p>
    <w:p>
      <w:r>
        <w:t>5. 结构位置过滤</w:t>
      </w:r>
    </w:p>
    <w:p>
      <w:r>
        <w:t>6. 假突破识别</w:t>
      </w:r>
    </w:p>
    <w:p>
      <w:r>
        <w:t>7. 执行条件校验</w:t>
      </w:r>
    </w:p>
    <w:p>
      <w:r>
        <w:t>8. 下单执行</w:t>
      </w:r>
    </w:p>
    <w:p>
      <w:r>
        <w:t>9. 持仓管理</w:t>
      </w:r>
    </w:p>
    <w:p>
      <w:r>
        <w:t>10. 短暂休眠后进入下一轮</w:t>
      </w:r>
    </w:p>
    <w:p/>
    <w:p>
      <w:r>
        <w:t>四、为何程序不乱交易</w:t>
      </w:r>
    </w:p>
    <w:p>
      <w:r>
        <w:t>通过多层SKIP机制，只要任一条件不满足即跳过本轮循环，程序的默认行为是“不交易”。</w:t>
      </w:r>
    </w:p>
    <w:p/>
    <w:p>
      <w:r>
        <w:t>五、异常处理机制</w:t>
      </w:r>
    </w:p>
    <w:p>
      <w:r>
        <w:t>包括网络/API异常、数据缺失、极端行情，均通过捕获异常、跳过交易或临时熔断处理。</w:t>
      </w:r>
    </w:p>
    <w:p/>
    <w:p>
      <w:r>
        <w:t>六、全天候运行逻辑</w:t>
      </w:r>
    </w:p>
    <w:p>
      <w:r>
        <w:t>程序24小时运行，但根据市场状态动态调整行为强度，避免在低质量行情中交易。</w:t>
      </w:r>
    </w:p>
    <w:p/>
    <w:p>
      <w:r>
        <w:t>七、核心原则</w:t>
      </w:r>
    </w:p>
    <w:p>
      <w:r>
        <w:t>程序的核心不是寻找交易，而是持续排除不值得交易的状态。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