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Rubric – Financial Data Synthesizer</w:t>
      </w:r>
    </w:p>
    <w:p>
      <w:pPr>
        <w:pStyle w:val="Heading2"/>
      </w:pPr>
      <w:r>
        <w:t>Architecture Design (25%)</w:t>
      </w:r>
    </w:p>
    <w:p>
      <w:r>
        <w:t>Clear modular design</w:t>
      </w:r>
    </w:p>
    <w:p>
      <w:r>
        <w:t>Ability to support multiple schema formats</w:t>
      </w:r>
    </w:p>
    <w:p>
      <w:pPr>
        <w:pStyle w:val="Heading2"/>
      </w:pPr>
      <w:r>
        <w:t>Synthetic Data Quality (25%)</w:t>
      </w:r>
    </w:p>
    <w:p>
      <w:r>
        <w:t>Distribution realism</w:t>
      </w:r>
    </w:p>
    <w:p>
      <w:r>
        <w:t>Preservation of relationships</w:t>
      </w:r>
    </w:p>
    <w:p>
      <w:pPr>
        <w:pStyle w:val="Heading2"/>
      </w:pPr>
      <w:r>
        <w:t>Engineering Implementation (20%)</w:t>
      </w:r>
    </w:p>
    <w:p>
      <w:r>
        <w:t>Code clarity</w:t>
      </w:r>
    </w:p>
    <w:p>
      <w:r>
        <w:t>Use of libraries effectively</w:t>
      </w:r>
    </w:p>
    <w:p>
      <w:pPr>
        <w:pStyle w:val="Heading2"/>
      </w:pPr>
      <w:r>
        <w:t>Handling Semi‑Structured Data (15%)</w:t>
      </w:r>
    </w:p>
    <w:p>
      <w:r>
        <w:t>JSON/XML generation logic</w:t>
      </w:r>
    </w:p>
    <w:p>
      <w:pPr>
        <w:pStyle w:val="Heading2"/>
      </w:pPr>
      <w:r>
        <w:t>Scalability &amp; Performance (15%)</w:t>
      </w:r>
    </w:p>
    <w:p>
      <w:r>
        <w:t>Ability to generate large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