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56AF" w14:textId="77777777" w:rsidR="007B5458" w:rsidRDefault="00000000">
      <w:pPr>
        <w:spacing w:before="1200"/>
        <w:jc w:val="center"/>
      </w:pPr>
      <w:r>
        <w:rPr>
          <w:b/>
          <w:bCs/>
          <w:color w:val="1B3A5C"/>
          <w:sz w:val="24"/>
          <w:szCs w:val="24"/>
        </w:rPr>
        <w:t>TECHGLOBAL — SECURITY GOVERNANCE TRANSFORMATION</w:t>
      </w:r>
    </w:p>
    <w:p w14:paraId="7963426D" w14:textId="77777777" w:rsidR="007B5458" w:rsidRDefault="00000000">
      <w:pPr>
        <w:spacing w:before="300"/>
        <w:jc w:val="center"/>
      </w:pPr>
      <w:r>
        <w:rPr>
          <w:b/>
          <w:bCs/>
          <w:color w:val="1B3A5C"/>
          <w:sz w:val="44"/>
          <w:szCs w:val="44"/>
        </w:rPr>
        <w:t>Consultant Report</w:t>
      </w:r>
    </w:p>
    <w:p w14:paraId="6FF83B0B" w14:textId="77777777" w:rsidR="007B5458" w:rsidRDefault="00000000">
      <w:pPr>
        <w:spacing w:before="150" w:after="500"/>
        <w:jc w:val="center"/>
      </w:pPr>
      <w:r>
        <w:rPr>
          <w:i/>
          <w:iCs/>
          <w:color w:val="2E7D82"/>
          <w:sz w:val="26"/>
          <w:szCs w:val="26"/>
        </w:rPr>
        <w:t>Redesigning Security Governance: From Informal, IT-Centric Decision-Making to a Structured, Business-Aligned Operating Model</w:t>
      </w:r>
    </w:p>
    <w:p w14:paraId="20FE011F" w14:textId="77777777" w:rsidR="007B5458" w:rsidRDefault="00000000">
      <w:pPr>
        <w:spacing w:after="80"/>
        <w:jc w:val="center"/>
      </w:pPr>
      <w:r>
        <w:t xml:space="preserve">Prepared for: </w:t>
      </w:r>
      <w:proofErr w:type="spellStart"/>
      <w:r>
        <w:t>TechGlobal</w:t>
      </w:r>
      <w:proofErr w:type="spellEnd"/>
      <w:r>
        <w:t xml:space="preserve"> Executive Leadership and Board of Directors</w:t>
      </w:r>
    </w:p>
    <w:p w14:paraId="4B7DB9EF" w14:textId="51015B4D" w:rsidR="007B5458" w:rsidRDefault="00000000">
      <w:pPr>
        <w:spacing w:before="700"/>
        <w:jc w:val="center"/>
      </w:pPr>
      <w:r>
        <w:rPr>
          <w:b/>
          <w:bCs/>
          <w:sz w:val="22"/>
          <w:szCs w:val="22"/>
        </w:rPr>
        <w:t xml:space="preserve">Prepared by: </w:t>
      </w:r>
      <w:r w:rsidR="00BC7F07">
        <w:rPr>
          <w:b/>
          <w:bCs/>
          <w:sz w:val="22"/>
          <w:szCs w:val="22"/>
        </w:rPr>
        <w:t>Diana Wanjiru</w:t>
      </w:r>
      <w:r>
        <w:rPr>
          <w:b/>
          <w:bCs/>
          <w:sz w:val="22"/>
          <w:szCs w:val="22"/>
        </w:rPr>
        <w:t>, Lead Security Governance Consultant</w:t>
      </w:r>
    </w:p>
    <w:p w14:paraId="531EF125" w14:textId="77777777" w:rsidR="007B5458" w:rsidRDefault="00000000">
      <w:pPr>
        <w:spacing w:after="40"/>
        <w:jc w:val="center"/>
      </w:pPr>
      <w:r>
        <w:t>Module: Security Governance — Week 3 Practical Laboratory</w:t>
      </w:r>
    </w:p>
    <w:p w14:paraId="26A26E7A" w14:textId="7D3B22F8" w:rsidR="007B5458" w:rsidRDefault="00000000" w:rsidP="00BC7F07">
      <w:pPr>
        <w:spacing w:after="600"/>
        <w:jc w:val="center"/>
      </w:pPr>
      <w:r>
        <w:t>Date: 25 September 2026</w:t>
      </w:r>
      <w:r>
        <w:br w:type="page"/>
      </w:r>
    </w:p>
    <w:p w14:paraId="407504E7" w14:textId="77777777" w:rsidR="007B5458" w:rsidRDefault="00000000">
      <w:pPr>
        <w:pStyle w:val="Heading1"/>
        <w:spacing w:before="360" w:after="160"/>
      </w:pPr>
      <w:r>
        <w:rPr>
          <w:b/>
          <w:bCs/>
          <w:color w:val="1B3A5C"/>
          <w:sz w:val="30"/>
          <w:szCs w:val="30"/>
        </w:rPr>
        <w:lastRenderedPageBreak/>
        <w:t>Scenario</w:t>
      </w:r>
    </w:p>
    <w:p w14:paraId="6449EFCD" w14:textId="77777777" w:rsidR="007B5458" w:rsidRDefault="00000000">
      <w:pPr>
        <w:pStyle w:val="Heading2"/>
        <w:spacing w:before="260" w:after="120"/>
      </w:pPr>
      <w:r>
        <w:rPr>
          <w:b/>
          <w:bCs/>
          <w:color w:val="1B3A5C"/>
          <w:sz w:val="25"/>
          <w:szCs w:val="25"/>
        </w:rPr>
        <w:t>Practical Context</w:t>
      </w:r>
    </w:p>
    <w:p w14:paraId="03817C2B" w14:textId="77777777" w:rsidR="007B5458" w:rsidRDefault="00000000">
      <w:pPr>
        <w:spacing w:after="160" w:line="276" w:lineRule="auto"/>
      </w:pPr>
      <w:proofErr w:type="spellStart"/>
      <w:r>
        <w:t>TechGlobal</w:t>
      </w:r>
      <w:proofErr w:type="spellEnd"/>
      <w:r>
        <w:t xml:space="preserve"> is a rapidly growing technology organisation with approximately 2,500 employees across five global offices. Although revenue and product adoption are increasing, its information security governance structure has not matured at the same pace.</w:t>
      </w:r>
    </w:p>
    <w:p w14:paraId="1985384B" w14:textId="77777777" w:rsidR="007B5458" w:rsidRDefault="00000000">
      <w:pPr>
        <w:spacing w:after="160" w:line="276" w:lineRule="auto"/>
      </w:pPr>
      <w:r>
        <w:t>Security decisions are currently concentrated with the IT Director, there are no formal security governance committees, business units make inconsistent security decisions, and executive leadership and the Board have limited visibility into cyber risk.</w:t>
      </w:r>
    </w:p>
    <w:p w14:paraId="26CD5157" w14:textId="77777777" w:rsidR="007B5458" w:rsidRDefault="00000000">
      <w:pPr>
        <w:spacing w:after="160" w:line="276" w:lineRule="auto"/>
      </w:pPr>
      <w:r>
        <w:t xml:space="preserve">You have been appointed Lead Security Governance Consultant and tasked with transforming </w:t>
      </w:r>
      <w:proofErr w:type="spellStart"/>
      <w:r>
        <w:t>TechGlobal's</w:t>
      </w:r>
      <w:proofErr w:type="spellEnd"/>
      <w:r>
        <w:t xml:space="preserve"> informal, IT-centric security model into a structured, business-aligned governance framework. Your responsibility is to establish clear roles, accountability, decision authority, cross-functional governance, risk escalation and Board-level oversight.</w:t>
      </w:r>
    </w:p>
    <w:p w14:paraId="2DB64402" w14:textId="77777777" w:rsidR="007B5458" w:rsidRDefault="00000000">
      <w:pPr>
        <w:pStyle w:val="Heading2"/>
        <w:spacing w:before="260" w:after="120"/>
      </w:pPr>
      <w:r>
        <w:rPr>
          <w:b/>
          <w:bCs/>
          <w:color w:val="1B3A5C"/>
          <w:sz w:val="25"/>
          <w:szCs w:val="25"/>
        </w:rPr>
        <w:t>Objectives</w:t>
      </w:r>
    </w:p>
    <w:p w14:paraId="445BCC8E" w14:textId="77777777" w:rsidR="007B5458" w:rsidRDefault="00000000">
      <w:pPr>
        <w:spacing w:after="160" w:line="276" w:lineRule="auto"/>
      </w:pPr>
      <w:r>
        <w:t>What this report must demonstrate: analyse weaknesses created by informal and IT-centric security governance; design a scalable governance structure connecting Board oversight, executive leadership, security management and business units; define responsibilities and decision authority for the Board, CEO, CISO, CRO/Risk, Legal, Finance, HR and IT; establish effective cross-functional governance committees; apply a RACI model to critical security-governance activities; design a major cyber-risk escalation workflow; and identify segregation-of-duties conflicts with appropriate corrective controls.</w:t>
      </w:r>
    </w:p>
    <w:p w14:paraId="10C33689" w14:textId="77777777" w:rsidR="007B5458" w:rsidRDefault="00000000">
      <w:pPr>
        <w:pStyle w:val="Heading2"/>
        <w:spacing w:before="260" w:after="120"/>
      </w:pPr>
      <w:r>
        <w:rPr>
          <w:b/>
          <w:bCs/>
          <w:color w:val="1B3A5C"/>
          <w:sz w:val="25"/>
          <w:szCs w:val="25"/>
        </w:rPr>
        <w:t>Instructor Briefing — Laboratory Guidance</w:t>
      </w:r>
    </w:p>
    <w:p w14:paraId="2C0FDC2B" w14:textId="77777777" w:rsidR="007B5458" w:rsidRDefault="00000000">
      <w:pPr>
        <w:spacing w:after="160" w:line="276" w:lineRule="auto"/>
      </w:pPr>
      <w:r>
        <w:t xml:space="preserve">Assume the role of Lead Security Governance Consultant for </w:t>
      </w:r>
      <w:proofErr w:type="spellStart"/>
      <w:r>
        <w:t>TechGlobal</w:t>
      </w:r>
      <w:proofErr w:type="spellEnd"/>
      <w:r>
        <w:t>. The organisation has grown rapidly, but cybersecurity decision-making remains heavily concentrated within IT, resulting in unclear accountability, inconsistent business-unit practices and inadequate executive and Board oversight.</w:t>
      </w:r>
    </w:p>
    <w:p w14:paraId="777E3283" w14:textId="77777777" w:rsidR="007B5458" w:rsidRDefault="00000000">
      <w:pPr>
        <w:spacing w:after="160" w:line="276" w:lineRule="auto"/>
      </w:pPr>
      <w:r>
        <w:t xml:space="preserve">During this laboratory, you will redesign </w:t>
      </w:r>
      <w:proofErr w:type="spellStart"/>
      <w:r>
        <w:t>TechGlobal's</w:t>
      </w:r>
      <w:proofErr w:type="spellEnd"/>
      <w:r>
        <w:t xml:space="preserve"> security governance operating model. You will analyse governance weaknesses, create a stakeholder map and organisation structure, define cross-functional responsibilities for the Board, CEO, CISO, CRO/Risk, Legal, Finance, HR and IT, design the organisation's security governance committee ecosystem, and develop a detailed RACI matrix covering at least 15 governance activities.</w:t>
      </w:r>
    </w:p>
    <w:p w14:paraId="3F64C413" w14:textId="77777777" w:rsidR="007B5458" w:rsidRDefault="00000000">
      <w:pPr>
        <w:spacing w:after="160" w:line="276" w:lineRule="auto"/>
      </w:pPr>
      <w:r>
        <w:t>You will also design a major cyber-risk escalation workflow, establish escalation thresholds and analyse at least five segregation-of-duties or accountability weaknesses in the existing governance model. Submit one professionally structured consultant report together with the required supporting governance artefacts.</w:t>
      </w:r>
    </w:p>
    <w:p w14:paraId="17C2E9BE" w14:textId="77777777" w:rsidR="007B5458" w:rsidRDefault="00000000">
      <w:r>
        <w:br w:type="page"/>
      </w:r>
    </w:p>
    <w:p w14:paraId="2B8DD386" w14:textId="77777777" w:rsidR="007B5458" w:rsidRDefault="00000000">
      <w:pPr>
        <w:pStyle w:val="Heading1"/>
        <w:spacing w:before="360" w:after="160"/>
      </w:pPr>
      <w:r>
        <w:rPr>
          <w:b/>
          <w:bCs/>
          <w:color w:val="1B3A5C"/>
          <w:sz w:val="30"/>
          <w:szCs w:val="30"/>
        </w:rPr>
        <w:lastRenderedPageBreak/>
        <w:t>Table of Contents</w:t>
      </w:r>
    </w:p>
    <w:p w14:paraId="7AF889AD" w14:textId="77777777" w:rsidR="007B5458" w:rsidRDefault="00000000">
      <w:pPr>
        <w:spacing w:after="160" w:line="276" w:lineRule="auto"/>
      </w:pPr>
      <w:r>
        <w:t>Scenario (Practical Context, Objectives, Instructor Briefing)</w:t>
      </w:r>
    </w:p>
    <w:p w14:paraId="2BC6B56C" w14:textId="77777777" w:rsidR="007B5458" w:rsidRDefault="00000000">
      <w:pPr>
        <w:spacing w:after="160" w:line="276" w:lineRule="auto"/>
      </w:pPr>
      <w:r>
        <w:t>Executive Summary</w:t>
      </w:r>
    </w:p>
    <w:p w14:paraId="012AC894" w14:textId="77777777" w:rsidR="007B5458" w:rsidRDefault="00000000">
      <w:pPr>
        <w:spacing w:after="160" w:line="276" w:lineRule="auto"/>
      </w:pPr>
      <w:r>
        <w:t>1. Current-State Analysis: Weaknesses of Informal, IT-Centric Governance</w:t>
      </w:r>
    </w:p>
    <w:p w14:paraId="615D8F29" w14:textId="77777777" w:rsidR="007B5458" w:rsidRDefault="00000000">
      <w:pPr>
        <w:spacing w:after="160" w:line="276" w:lineRule="auto"/>
      </w:pPr>
      <w:r>
        <w:t>2. Target Governance Operating Model</w:t>
      </w:r>
    </w:p>
    <w:p w14:paraId="5D49F6FA" w14:textId="77777777" w:rsidR="007B5458" w:rsidRDefault="00000000">
      <w:pPr>
        <w:spacing w:after="160" w:line="276" w:lineRule="auto"/>
      </w:pPr>
      <w:r>
        <w:t>3. Roles, Responsibilities and Decision Authority</w:t>
      </w:r>
    </w:p>
    <w:p w14:paraId="7994CD60" w14:textId="77777777" w:rsidR="007B5458" w:rsidRDefault="00000000">
      <w:pPr>
        <w:spacing w:after="160" w:line="276" w:lineRule="auto"/>
      </w:pPr>
      <w:r>
        <w:t>4. Security Governance Committee Ecosystem</w:t>
      </w:r>
    </w:p>
    <w:p w14:paraId="5C97E60B" w14:textId="77777777" w:rsidR="007B5458" w:rsidRDefault="00000000">
      <w:pPr>
        <w:spacing w:after="160" w:line="276" w:lineRule="auto"/>
      </w:pPr>
      <w:r>
        <w:t>5. RACI Matrix — Critical Security-Governance Activities</w:t>
      </w:r>
    </w:p>
    <w:p w14:paraId="4A610BBD" w14:textId="77777777" w:rsidR="007B5458" w:rsidRDefault="00000000">
      <w:pPr>
        <w:spacing w:after="160" w:line="276" w:lineRule="auto"/>
      </w:pPr>
      <w:r>
        <w:t>6. Major Cyber-Risk Escalation Workflow and Thresholds</w:t>
      </w:r>
    </w:p>
    <w:p w14:paraId="080C200A" w14:textId="77777777" w:rsidR="007B5458" w:rsidRDefault="00000000">
      <w:pPr>
        <w:spacing w:after="160" w:line="276" w:lineRule="auto"/>
      </w:pPr>
      <w:r>
        <w:t>7. Segregation-of-Duties and Accountability Weaknesses</w:t>
      </w:r>
    </w:p>
    <w:p w14:paraId="5435D2F5" w14:textId="77777777" w:rsidR="007B5458" w:rsidRDefault="00000000">
      <w:pPr>
        <w:spacing w:after="160" w:line="276" w:lineRule="auto"/>
      </w:pPr>
      <w:r>
        <w:t>8. Implementation Roadmap</w:t>
      </w:r>
    </w:p>
    <w:p w14:paraId="2FEAEB1B" w14:textId="77777777" w:rsidR="007B5458" w:rsidRDefault="00000000">
      <w:pPr>
        <w:spacing w:after="160" w:line="276" w:lineRule="auto"/>
      </w:pPr>
      <w:r>
        <w:t>9. Conclusion</w:t>
      </w:r>
    </w:p>
    <w:p w14:paraId="624A2613" w14:textId="77777777" w:rsidR="007B5458" w:rsidRDefault="00000000">
      <w:pPr>
        <w:spacing w:after="160" w:line="276" w:lineRule="auto"/>
      </w:pPr>
      <w:r>
        <w:t>Appendix A — RACI Legend and Notes</w:t>
      </w:r>
    </w:p>
    <w:p w14:paraId="51A39ABE" w14:textId="77777777" w:rsidR="007B5458" w:rsidRDefault="00000000">
      <w:r>
        <w:br w:type="page"/>
      </w:r>
    </w:p>
    <w:p w14:paraId="0C743DD3" w14:textId="77777777" w:rsidR="007B5458" w:rsidRDefault="00000000">
      <w:pPr>
        <w:pStyle w:val="Heading1"/>
        <w:spacing w:before="360" w:after="160"/>
      </w:pPr>
      <w:r>
        <w:rPr>
          <w:b/>
          <w:bCs/>
          <w:color w:val="1B3A5C"/>
          <w:sz w:val="30"/>
          <w:szCs w:val="30"/>
        </w:rPr>
        <w:lastRenderedPageBreak/>
        <w:t>Executive Summary</w:t>
      </w:r>
    </w:p>
    <w:p w14:paraId="6274701D" w14:textId="77777777" w:rsidR="007B5458" w:rsidRDefault="00000000">
      <w:pPr>
        <w:spacing w:after="160" w:line="276" w:lineRule="auto"/>
      </w:pPr>
      <w:proofErr w:type="spellStart"/>
      <w:r>
        <w:t>TechGlobal</w:t>
      </w:r>
      <w:proofErr w:type="spellEnd"/>
      <w:r>
        <w:t xml:space="preserve"> has grown to approximately 2,500 employees across five global offices, but its security governance has not kept pace with that growth. Today, security decision-making is concentrated in a single role — the IT Director — with no formal governance committees, no consistent policy baseline across business units, and no structured mechanism for executive or Board visibility into cyber risk. This concentration of authority is not a personal failing of the IT Director; it is the predictable result of a security function that scaled technically without a matching governance structure.</w:t>
      </w:r>
    </w:p>
    <w:p w14:paraId="27FDE5AC" w14:textId="77777777" w:rsidR="007B5458" w:rsidRDefault="00000000">
      <w:pPr>
        <w:spacing w:after="160" w:line="276" w:lineRule="auto"/>
      </w:pPr>
      <w:r>
        <w:t>This report sets out a practical transformation plan. Section 1 analyses the specific weaknesses the current model creates. Section 2 proposes a five-tier governance operating model connecting the Board, an Executive Security Steering Committee, three specialist committees, the CISO function, and business-unit security liaisons in each of the five offices. Section 3 defines decision authority and accountability for the Board, CEO, CISO, CRO/Risk, Legal, Finance, HR and IT. Section 4 designs the committee ecosystem itself — purpose, membership, chair and decision rights for each body. Section 5 provides a RACI matrix across sixteen governance activities. Section 6 designs a five-stage major cyber-risk escalation workflow with numeric thresholds. Section 7 identifies six segregation-of-duties and accountability weaknesses in the current model, each with a proportionate corrective control. Section 8 sequences the transformation into a 12-month roadmap so the Board can fund and govern the change itself as a managed programme rather than a one-off reorganisation.</w:t>
      </w:r>
    </w:p>
    <w:p w14:paraId="5260C8DB" w14:textId="77777777" w:rsidR="007B5458" w:rsidRDefault="00000000">
      <w:pPr>
        <w:pStyle w:val="Heading1"/>
        <w:spacing w:before="360" w:after="160"/>
      </w:pPr>
      <w:r>
        <w:rPr>
          <w:b/>
          <w:bCs/>
          <w:color w:val="1B3A5C"/>
          <w:sz w:val="30"/>
          <w:szCs w:val="30"/>
        </w:rPr>
        <w:t>1. Current-State Analysis: Weaknesses of Informal, IT-Centric Governance</w:t>
      </w:r>
    </w:p>
    <w:p w14:paraId="66065D70" w14:textId="77777777" w:rsidR="007B5458" w:rsidRDefault="00000000">
      <w:pPr>
        <w:spacing w:after="160" w:line="276" w:lineRule="auto"/>
      </w:pPr>
      <w:r>
        <w:t xml:space="preserve">An IT-centric, informal governance model tends to work while an organisation is small enough for one capable person to hold the full picture in their head. At </w:t>
      </w:r>
      <w:proofErr w:type="spellStart"/>
      <w:r>
        <w:t>TechGlobal's</w:t>
      </w:r>
      <w:proofErr w:type="spellEnd"/>
      <w:r>
        <w:t xml:space="preserve"> current scale — 2,500 employees, five offices, and continued growth — that model has already been outgrown. The weaknesses below are not hypothetical; each </w:t>
      </w:r>
      <w:proofErr w:type="gramStart"/>
      <w:r>
        <w:t>maps</w:t>
      </w:r>
      <w:proofErr w:type="gramEnd"/>
      <w:r>
        <w:t xml:space="preserve"> to a specific governance failure mode that has caused material incidents at </w:t>
      </w:r>
      <w:proofErr w:type="gramStart"/>
      <w:r>
        <w:t>comparably-sized</w:t>
      </w:r>
      <w:proofErr w:type="gramEnd"/>
      <w:r>
        <w:t xml:space="preserve"> organisations.</w:t>
      </w:r>
    </w:p>
    <w:tbl>
      <w:tblPr>
        <w:tblW w:w="10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4200"/>
        <w:gridCol w:w="3600"/>
      </w:tblGrid>
      <w:tr w:rsidR="007B5458" w14:paraId="1EFD2A6B" w14:textId="77777777">
        <w:tblPrEx>
          <w:tblCellMar>
            <w:top w:w="0" w:type="dxa"/>
            <w:bottom w:w="0" w:type="dxa"/>
          </w:tblCellMar>
        </w:tblPrEx>
        <w:trPr>
          <w:tblHeader/>
        </w:trPr>
        <w:tc>
          <w:tcPr>
            <w:tcW w:w="2200" w:type="dxa"/>
            <w:shd w:val="clear" w:color="auto" w:fill="1B3A5C"/>
            <w:tcMar>
              <w:top w:w="60" w:type="dxa"/>
              <w:left w:w="90" w:type="dxa"/>
              <w:bottom w:w="60" w:type="dxa"/>
              <w:right w:w="90" w:type="dxa"/>
            </w:tcMar>
            <w:vAlign w:val="center"/>
          </w:tcPr>
          <w:p w14:paraId="1D3B7066" w14:textId="77777777" w:rsidR="007B5458" w:rsidRDefault="00000000">
            <w:r>
              <w:rPr>
                <w:b/>
                <w:bCs/>
                <w:color w:val="FFFFFF"/>
                <w:sz w:val="17"/>
                <w:szCs w:val="17"/>
              </w:rPr>
              <w:t>Weakness</w:t>
            </w:r>
          </w:p>
        </w:tc>
        <w:tc>
          <w:tcPr>
            <w:tcW w:w="4200" w:type="dxa"/>
            <w:shd w:val="clear" w:color="auto" w:fill="1B3A5C"/>
            <w:tcMar>
              <w:top w:w="60" w:type="dxa"/>
              <w:left w:w="90" w:type="dxa"/>
              <w:bottom w:w="60" w:type="dxa"/>
              <w:right w:w="90" w:type="dxa"/>
            </w:tcMar>
            <w:vAlign w:val="center"/>
          </w:tcPr>
          <w:p w14:paraId="0C53C350" w14:textId="77777777" w:rsidR="007B5458" w:rsidRDefault="00000000">
            <w:r>
              <w:rPr>
                <w:b/>
                <w:bCs/>
                <w:color w:val="FFFFFF"/>
                <w:sz w:val="17"/>
                <w:szCs w:val="17"/>
              </w:rPr>
              <w:t>Description</w:t>
            </w:r>
          </w:p>
        </w:tc>
        <w:tc>
          <w:tcPr>
            <w:tcW w:w="3600" w:type="dxa"/>
            <w:shd w:val="clear" w:color="auto" w:fill="1B3A5C"/>
            <w:tcMar>
              <w:top w:w="60" w:type="dxa"/>
              <w:left w:w="90" w:type="dxa"/>
              <w:bottom w:w="60" w:type="dxa"/>
              <w:right w:w="90" w:type="dxa"/>
            </w:tcMar>
            <w:vAlign w:val="center"/>
          </w:tcPr>
          <w:p w14:paraId="047887C4" w14:textId="77777777" w:rsidR="007B5458" w:rsidRDefault="00000000">
            <w:r>
              <w:rPr>
                <w:b/>
                <w:bCs/>
                <w:color w:val="FFFFFF"/>
                <w:sz w:val="17"/>
                <w:szCs w:val="17"/>
              </w:rPr>
              <w:t>Business / Governance Impact</w:t>
            </w:r>
          </w:p>
        </w:tc>
      </w:tr>
      <w:tr w:rsidR="007B5458" w14:paraId="077C705B" w14:textId="77777777">
        <w:tblPrEx>
          <w:tblCellMar>
            <w:top w:w="0" w:type="dxa"/>
            <w:bottom w:w="0" w:type="dxa"/>
          </w:tblCellMar>
        </w:tblPrEx>
        <w:tc>
          <w:tcPr>
            <w:tcW w:w="2200" w:type="dxa"/>
            <w:tcMar>
              <w:top w:w="60" w:type="dxa"/>
              <w:left w:w="90" w:type="dxa"/>
              <w:bottom w:w="60" w:type="dxa"/>
              <w:right w:w="90" w:type="dxa"/>
            </w:tcMar>
            <w:vAlign w:val="center"/>
          </w:tcPr>
          <w:p w14:paraId="715117E5" w14:textId="77777777" w:rsidR="007B5458" w:rsidRDefault="00000000">
            <w:r>
              <w:rPr>
                <w:color w:val="000000"/>
                <w:sz w:val="17"/>
                <w:szCs w:val="17"/>
              </w:rPr>
              <w:t>Single point of accountability</w:t>
            </w:r>
          </w:p>
        </w:tc>
        <w:tc>
          <w:tcPr>
            <w:tcW w:w="4200" w:type="dxa"/>
            <w:tcMar>
              <w:top w:w="60" w:type="dxa"/>
              <w:left w:w="90" w:type="dxa"/>
              <w:bottom w:w="60" w:type="dxa"/>
              <w:right w:w="90" w:type="dxa"/>
            </w:tcMar>
            <w:vAlign w:val="center"/>
          </w:tcPr>
          <w:p w14:paraId="4F0EA1E7" w14:textId="77777777" w:rsidR="007B5458" w:rsidRDefault="00000000">
            <w:r>
              <w:rPr>
                <w:color w:val="000000"/>
                <w:sz w:val="17"/>
                <w:szCs w:val="17"/>
              </w:rPr>
              <w:t>The IT Director sets strategy, approves budget, designs controls, operates them, and accepts risk — with no independent party checking any of these decisions.</w:t>
            </w:r>
          </w:p>
        </w:tc>
        <w:tc>
          <w:tcPr>
            <w:tcW w:w="3600" w:type="dxa"/>
            <w:tcMar>
              <w:top w:w="60" w:type="dxa"/>
              <w:left w:w="90" w:type="dxa"/>
              <w:bottom w:w="60" w:type="dxa"/>
              <w:right w:w="90" w:type="dxa"/>
            </w:tcMar>
            <w:vAlign w:val="center"/>
          </w:tcPr>
          <w:p w14:paraId="7F66028A" w14:textId="77777777" w:rsidR="007B5458" w:rsidRDefault="00000000">
            <w:r>
              <w:rPr>
                <w:color w:val="000000"/>
                <w:sz w:val="17"/>
                <w:szCs w:val="17"/>
              </w:rPr>
              <w:t>No segregation of duties; a blind spot, error or conflict of interest anywhere in this chain has no independent check before it becomes an incident.</w:t>
            </w:r>
          </w:p>
        </w:tc>
      </w:tr>
      <w:tr w:rsidR="007B5458" w14:paraId="5C72BBCC" w14:textId="77777777">
        <w:tblPrEx>
          <w:tblCellMar>
            <w:top w:w="0" w:type="dxa"/>
            <w:bottom w:w="0" w:type="dxa"/>
          </w:tblCellMar>
        </w:tblPrEx>
        <w:tc>
          <w:tcPr>
            <w:tcW w:w="2200" w:type="dxa"/>
            <w:shd w:val="clear" w:color="auto" w:fill="EAF0F4"/>
            <w:tcMar>
              <w:top w:w="60" w:type="dxa"/>
              <w:left w:w="90" w:type="dxa"/>
              <w:bottom w:w="60" w:type="dxa"/>
              <w:right w:w="90" w:type="dxa"/>
            </w:tcMar>
            <w:vAlign w:val="center"/>
          </w:tcPr>
          <w:p w14:paraId="4BEF0F3A" w14:textId="77777777" w:rsidR="007B5458" w:rsidRDefault="00000000">
            <w:r>
              <w:rPr>
                <w:color w:val="000000"/>
                <w:sz w:val="17"/>
                <w:szCs w:val="17"/>
              </w:rPr>
              <w:t>No formal governance committees</w:t>
            </w:r>
          </w:p>
        </w:tc>
        <w:tc>
          <w:tcPr>
            <w:tcW w:w="4200" w:type="dxa"/>
            <w:shd w:val="clear" w:color="auto" w:fill="EAF0F4"/>
            <w:tcMar>
              <w:top w:w="60" w:type="dxa"/>
              <w:left w:w="90" w:type="dxa"/>
              <w:bottom w:w="60" w:type="dxa"/>
              <w:right w:w="90" w:type="dxa"/>
            </w:tcMar>
            <w:vAlign w:val="center"/>
          </w:tcPr>
          <w:p w14:paraId="2D27F871" w14:textId="77777777" w:rsidR="007B5458" w:rsidRDefault="00000000">
            <w:r>
              <w:rPr>
                <w:color w:val="000000"/>
                <w:sz w:val="17"/>
                <w:szCs w:val="17"/>
              </w:rPr>
              <w:t xml:space="preserve">Security decisions are made ad hoc, in one-to-one conversations or informal emails, with no </w:t>
            </w:r>
            <w:proofErr w:type="spellStart"/>
            <w:r>
              <w:rPr>
                <w:color w:val="000000"/>
                <w:sz w:val="17"/>
                <w:szCs w:val="17"/>
              </w:rPr>
              <w:t>minuted</w:t>
            </w:r>
            <w:proofErr w:type="spellEnd"/>
            <w:r>
              <w:rPr>
                <w:color w:val="000000"/>
                <w:sz w:val="17"/>
                <w:szCs w:val="17"/>
              </w:rPr>
              <w:t xml:space="preserve"> record.</w:t>
            </w:r>
          </w:p>
        </w:tc>
        <w:tc>
          <w:tcPr>
            <w:tcW w:w="3600" w:type="dxa"/>
            <w:shd w:val="clear" w:color="auto" w:fill="EAF0F4"/>
            <w:tcMar>
              <w:top w:w="60" w:type="dxa"/>
              <w:left w:w="90" w:type="dxa"/>
              <w:bottom w:w="60" w:type="dxa"/>
              <w:right w:w="90" w:type="dxa"/>
            </w:tcMar>
            <w:vAlign w:val="center"/>
          </w:tcPr>
          <w:p w14:paraId="7172CEC1" w14:textId="77777777" w:rsidR="007B5458" w:rsidRDefault="00000000">
            <w:r>
              <w:rPr>
                <w:color w:val="000000"/>
                <w:sz w:val="17"/>
                <w:szCs w:val="17"/>
              </w:rPr>
              <w:t>No audit trail for the Board, regulators or auditors; decisions cannot be shown to have followed a consistent, defensible process.</w:t>
            </w:r>
          </w:p>
        </w:tc>
      </w:tr>
      <w:tr w:rsidR="007B5458" w14:paraId="102A58BA" w14:textId="77777777">
        <w:tblPrEx>
          <w:tblCellMar>
            <w:top w:w="0" w:type="dxa"/>
            <w:bottom w:w="0" w:type="dxa"/>
          </w:tblCellMar>
        </w:tblPrEx>
        <w:tc>
          <w:tcPr>
            <w:tcW w:w="2200" w:type="dxa"/>
            <w:tcMar>
              <w:top w:w="60" w:type="dxa"/>
              <w:left w:w="90" w:type="dxa"/>
              <w:bottom w:w="60" w:type="dxa"/>
              <w:right w:w="90" w:type="dxa"/>
            </w:tcMar>
            <w:vAlign w:val="center"/>
          </w:tcPr>
          <w:p w14:paraId="389B5A5A" w14:textId="77777777" w:rsidR="007B5458" w:rsidRDefault="00000000">
            <w:r>
              <w:rPr>
                <w:color w:val="000000"/>
                <w:sz w:val="17"/>
                <w:szCs w:val="17"/>
              </w:rPr>
              <w:t>Inconsistent business-unit practice across five offices</w:t>
            </w:r>
          </w:p>
        </w:tc>
        <w:tc>
          <w:tcPr>
            <w:tcW w:w="4200" w:type="dxa"/>
            <w:tcMar>
              <w:top w:w="60" w:type="dxa"/>
              <w:left w:w="90" w:type="dxa"/>
              <w:bottom w:w="60" w:type="dxa"/>
              <w:right w:w="90" w:type="dxa"/>
            </w:tcMar>
            <w:vAlign w:val="center"/>
          </w:tcPr>
          <w:p w14:paraId="3AE5EEFC" w14:textId="77777777" w:rsidR="007B5458" w:rsidRDefault="00000000">
            <w:r>
              <w:rPr>
                <w:color w:val="000000"/>
                <w:sz w:val="17"/>
                <w:szCs w:val="17"/>
              </w:rPr>
              <w:t>Each office applies its own interpretation of security requirements, with no shared baseline.</w:t>
            </w:r>
          </w:p>
        </w:tc>
        <w:tc>
          <w:tcPr>
            <w:tcW w:w="3600" w:type="dxa"/>
            <w:tcMar>
              <w:top w:w="60" w:type="dxa"/>
              <w:left w:w="90" w:type="dxa"/>
              <w:bottom w:w="60" w:type="dxa"/>
              <w:right w:w="90" w:type="dxa"/>
            </w:tcMar>
            <w:vAlign w:val="center"/>
          </w:tcPr>
          <w:p w14:paraId="220E0D8B" w14:textId="77777777" w:rsidR="007B5458" w:rsidRDefault="00000000">
            <w:r>
              <w:rPr>
                <w:color w:val="000000"/>
                <w:sz w:val="17"/>
                <w:szCs w:val="17"/>
              </w:rPr>
              <w:t>Uneven risk exposure across the group; multiplies the number of ways a control gap can be introduced, and complicates compliance across the jurisdictions the five offices sit in.</w:t>
            </w:r>
          </w:p>
        </w:tc>
      </w:tr>
      <w:tr w:rsidR="007B5458" w14:paraId="7BC238F4" w14:textId="77777777">
        <w:tblPrEx>
          <w:tblCellMar>
            <w:top w:w="0" w:type="dxa"/>
            <w:bottom w:w="0" w:type="dxa"/>
          </w:tblCellMar>
        </w:tblPrEx>
        <w:tc>
          <w:tcPr>
            <w:tcW w:w="2200" w:type="dxa"/>
            <w:shd w:val="clear" w:color="auto" w:fill="EAF0F4"/>
            <w:tcMar>
              <w:top w:w="60" w:type="dxa"/>
              <w:left w:w="90" w:type="dxa"/>
              <w:bottom w:w="60" w:type="dxa"/>
              <w:right w:w="90" w:type="dxa"/>
            </w:tcMar>
            <w:vAlign w:val="center"/>
          </w:tcPr>
          <w:p w14:paraId="439A9922" w14:textId="77777777" w:rsidR="007B5458" w:rsidRDefault="00000000">
            <w:r>
              <w:rPr>
                <w:color w:val="000000"/>
                <w:sz w:val="17"/>
                <w:szCs w:val="17"/>
              </w:rPr>
              <w:t>Limited executive and Board visibility</w:t>
            </w:r>
          </w:p>
        </w:tc>
        <w:tc>
          <w:tcPr>
            <w:tcW w:w="4200" w:type="dxa"/>
            <w:shd w:val="clear" w:color="auto" w:fill="EAF0F4"/>
            <w:tcMar>
              <w:top w:w="60" w:type="dxa"/>
              <w:left w:w="90" w:type="dxa"/>
              <w:bottom w:w="60" w:type="dxa"/>
              <w:right w:w="90" w:type="dxa"/>
            </w:tcMar>
            <w:vAlign w:val="center"/>
          </w:tcPr>
          <w:p w14:paraId="1CF184B8" w14:textId="77777777" w:rsidR="007B5458" w:rsidRDefault="00000000">
            <w:r>
              <w:rPr>
                <w:color w:val="000000"/>
                <w:sz w:val="17"/>
                <w:szCs w:val="17"/>
              </w:rPr>
              <w:t>There is no standing reporting cadence bringing cyber risk to executive leadership or the Board.</w:t>
            </w:r>
          </w:p>
        </w:tc>
        <w:tc>
          <w:tcPr>
            <w:tcW w:w="3600" w:type="dxa"/>
            <w:shd w:val="clear" w:color="auto" w:fill="EAF0F4"/>
            <w:tcMar>
              <w:top w:w="60" w:type="dxa"/>
              <w:left w:w="90" w:type="dxa"/>
              <w:bottom w:w="60" w:type="dxa"/>
              <w:right w:w="90" w:type="dxa"/>
            </w:tcMar>
            <w:vAlign w:val="center"/>
          </w:tcPr>
          <w:p w14:paraId="787D58BD" w14:textId="77777777" w:rsidR="007B5458" w:rsidRDefault="00000000">
            <w:r>
              <w:rPr>
                <w:color w:val="000000"/>
                <w:sz w:val="17"/>
                <w:szCs w:val="17"/>
              </w:rPr>
              <w:t>The Board cannot discharge its oversight duty, cannot demonstrate governance to regulators or insurers, and has no early warning of building risk before it becomes a material incident.</w:t>
            </w:r>
          </w:p>
        </w:tc>
      </w:tr>
      <w:tr w:rsidR="007B5458" w14:paraId="164FB0D4" w14:textId="77777777">
        <w:tblPrEx>
          <w:tblCellMar>
            <w:top w:w="0" w:type="dxa"/>
            <w:bottom w:w="0" w:type="dxa"/>
          </w:tblCellMar>
        </w:tblPrEx>
        <w:tc>
          <w:tcPr>
            <w:tcW w:w="2200" w:type="dxa"/>
            <w:tcMar>
              <w:top w:w="60" w:type="dxa"/>
              <w:left w:w="90" w:type="dxa"/>
              <w:bottom w:w="60" w:type="dxa"/>
              <w:right w:w="90" w:type="dxa"/>
            </w:tcMar>
            <w:vAlign w:val="center"/>
          </w:tcPr>
          <w:p w14:paraId="650FD0DD" w14:textId="77777777" w:rsidR="007B5458" w:rsidRDefault="00000000">
            <w:r>
              <w:rPr>
                <w:color w:val="000000"/>
                <w:sz w:val="17"/>
                <w:szCs w:val="17"/>
              </w:rPr>
              <w:t>No independent risk (CRO) function</w:t>
            </w:r>
          </w:p>
        </w:tc>
        <w:tc>
          <w:tcPr>
            <w:tcW w:w="4200" w:type="dxa"/>
            <w:tcMar>
              <w:top w:w="60" w:type="dxa"/>
              <w:left w:w="90" w:type="dxa"/>
              <w:bottom w:w="60" w:type="dxa"/>
              <w:right w:w="90" w:type="dxa"/>
            </w:tcMar>
            <w:vAlign w:val="center"/>
          </w:tcPr>
          <w:p w14:paraId="2ACCA19A" w14:textId="77777777" w:rsidR="007B5458" w:rsidRDefault="00000000">
            <w:r>
              <w:rPr>
                <w:color w:val="000000"/>
                <w:sz w:val="17"/>
                <w:szCs w:val="17"/>
              </w:rPr>
              <w:t>Risk-acceptance decisions are made as technical judgement calls by IT, not weighed against a Board-approved enterprise risk appetite.</w:t>
            </w:r>
          </w:p>
        </w:tc>
        <w:tc>
          <w:tcPr>
            <w:tcW w:w="3600" w:type="dxa"/>
            <w:tcMar>
              <w:top w:w="60" w:type="dxa"/>
              <w:left w:w="90" w:type="dxa"/>
              <w:bottom w:w="60" w:type="dxa"/>
              <w:right w:w="90" w:type="dxa"/>
            </w:tcMar>
            <w:vAlign w:val="center"/>
          </w:tcPr>
          <w:p w14:paraId="07605954" w14:textId="77777777" w:rsidR="007B5458" w:rsidRDefault="00000000">
            <w:r>
              <w:rPr>
                <w:color w:val="000000"/>
                <w:sz w:val="17"/>
                <w:szCs w:val="17"/>
              </w:rPr>
              <w:t>Risk acceptance is inconsistent and undocumented; the organisation cannot state its aggregate cyber-risk exposure at any point in time.</w:t>
            </w:r>
          </w:p>
        </w:tc>
      </w:tr>
      <w:tr w:rsidR="007B5458" w14:paraId="389587E3" w14:textId="77777777">
        <w:tblPrEx>
          <w:tblCellMar>
            <w:top w:w="0" w:type="dxa"/>
            <w:bottom w:w="0" w:type="dxa"/>
          </w:tblCellMar>
        </w:tblPrEx>
        <w:tc>
          <w:tcPr>
            <w:tcW w:w="2200" w:type="dxa"/>
            <w:shd w:val="clear" w:color="auto" w:fill="EAF0F4"/>
            <w:tcMar>
              <w:top w:w="60" w:type="dxa"/>
              <w:left w:w="90" w:type="dxa"/>
              <w:bottom w:w="60" w:type="dxa"/>
              <w:right w:w="90" w:type="dxa"/>
            </w:tcMar>
            <w:vAlign w:val="center"/>
          </w:tcPr>
          <w:p w14:paraId="0A3F692B" w14:textId="77777777" w:rsidR="007B5458" w:rsidRDefault="00000000">
            <w:r>
              <w:rPr>
                <w:color w:val="000000"/>
                <w:sz w:val="17"/>
                <w:szCs w:val="17"/>
              </w:rPr>
              <w:t>Legal/Privacy not embedded in security decisions</w:t>
            </w:r>
          </w:p>
        </w:tc>
        <w:tc>
          <w:tcPr>
            <w:tcW w:w="4200" w:type="dxa"/>
            <w:shd w:val="clear" w:color="auto" w:fill="EAF0F4"/>
            <w:tcMar>
              <w:top w:w="60" w:type="dxa"/>
              <w:left w:w="90" w:type="dxa"/>
              <w:bottom w:w="60" w:type="dxa"/>
              <w:right w:w="90" w:type="dxa"/>
            </w:tcMar>
            <w:vAlign w:val="center"/>
          </w:tcPr>
          <w:p w14:paraId="3DB25A48" w14:textId="77777777" w:rsidR="007B5458" w:rsidRDefault="00000000">
            <w:r>
              <w:rPr>
                <w:color w:val="000000"/>
                <w:sz w:val="17"/>
                <w:szCs w:val="17"/>
              </w:rPr>
              <w:t>Legal is not a standing part of the security decision process.</w:t>
            </w:r>
          </w:p>
        </w:tc>
        <w:tc>
          <w:tcPr>
            <w:tcW w:w="3600" w:type="dxa"/>
            <w:shd w:val="clear" w:color="auto" w:fill="EAF0F4"/>
            <w:tcMar>
              <w:top w:w="60" w:type="dxa"/>
              <w:left w:w="90" w:type="dxa"/>
              <w:bottom w:w="60" w:type="dxa"/>
              <w:right w:w="90" w:type="dxa"/>
            </w:tcMar>
            <w:vAlign w:val="center"/>
          </w:tcPr>
          <w:p w14:paraId="7E3E56D1" w14:textId="77777777" w:rsidR="007B5458" w:rsidRDefault="00000000">
            <w:r>
              <w:rPr>
                <w:color w:val="000000"/>
                <w:sz w:val="17"/>
                <w:szCs w:val="17"/>
              </w:rPr>
              <w:t>Regulatory and breach-notification risk is unmanaged, which is a material exposure given the five offices likely sit under multiple data-protection regimes.</w:t>
            </w:r>
          </w:p>
        </w:tc>
      </w:tr>
      <w:tr w:rsidR="007B5458" w14:paraId="563C0654" w14:textId="77777777">
        <w:tblPrEx>
          <w:tblCellMar>
            <w:top w:w="0" w:type="dxa"/>
            <w:bottom w:w="0" w:type="dxa"/>
          </w:tblCellMar>
        </w:tblPrEx>
        <w:tc>
          <w:tcPr>
            <w:tcW w:w="2200" w:type="dxa"/>
            <w:tcMar>
              <w:top w:w="60" w:type="dxa"/>
              <w:left w:w="90" w:type="dxa"/>
              <w:bottom w:w="60" w:type="dxa"/>
              <w:right w:w="90" w:type="dxa"/>
            </w:tcMar>
            <w:vAlign w:val="center"/>
          </w:tcPr>
          <w:p w14:paraId="5B8AE1F6" w14:textId="77777777" w:rsidR="007B5458" w:rsidRDefault="00000000">
            <w:r>
              <w:rPr>
                <w:color w:val="000000"/>
                <w:sz w:val="17"/>
                <w:szCs w:val="17"/>
              </w:rPr>
              <w:lastRenderedPageBreak/>
              <w:t>No vendor/third-party risk governance</w:t>
            </w:r>
          </w:p>
        </w:tc>
        <w:tc>
          <w:tcPr>
            <w:tcW w:w="4200" w:type="dxa"/>
            <w:tcMar>
              <w:top w:w="60" w:type="dxa"/>
              <w:left w:w="90" w:type="dxa"/>
              <w:bottom w:w="60" w:type="dxa"/>
              <w:right w:w="90" w:type="dxa"/>
            </w:tcMar>
            <w:vAlign w:val="center"/>
          </w:tcPr>
          <w:p w14:paraId="7A0B73AE" w14:textId="77777777" w:rsidR="007B5458" w:rsidRDefault="00000000">
            <w:r>
              <w:rPr>
                <w:color w:val="000000"/>
                <w:sz w:val="17"/>
                <w:szCs w:val="17"/>
              </w:rPr>
              <w:t xml:space="preserve">As a fast-growing technology company, </w:t>
            </w:r>
            <w:proofErr w:type="spellStart"/>
            <w:r>
              <w:rPr>
                <w:color w:val="000000"/>
                <w:sz w:val="17"/>
                <w:szCs w:val="17"/>
              </w:rPr>
              <w:t>TechGlobal</w:t>
            </w:r>
            <w:proofErr w:type="spellEnd"/>
            <w:r>
              <w:rPr>
                <w:color w:val="000000"/>
                <w:sz w:val="17"/>
                <w:szCs w:val="17"/>
              </w:rPr>
              <w:t xml:space="preserve"> likely has significant, uncontrolled cloud and SaaS vendor sprawl.</w:t>
            </w:r>
          </w:p>
        </w:tc>
        <w:tc>
          <w:tcPr>
            <w:tcW w:w="3600" w:type="dxa"/>
            <w:tcMar>
              <w:top w:w="60" w:type="dxa"/>
              <w:left w:w="90" w:type="dxa"/>
              <w:bottom w:w="60" w:type="dxa"/>
              <w:right w:w="90" w:type="dxa"/>
            </w:tcMar>
            <w:vAlign w:val="center"/>
          </w:tcPr>
          <w:p w14:paraId="2461C7D5" w14:textId="77777777" w:rsidR="007B5458" w:rsidRDefault="00000000">
            <w:r>
              <w:rPr>
                <w:color w:val="000000"/>
                <w:sz w:val="17"/>
                <w:szCs w:val="17"/>
              </w:rPr>
              <w:t>Third-party risk (consistently one of the costliest incident categories in practice) is effectively ungoverned.</w:t>
            </w:r>
          </w:p>
        </w:tc>
      </w:tr>
      <w:tr w:rsidR="007B5458" w14:paraId="29F507B6" w14:textId="77777777">
        <w:tblPrEx>
          <w:tblCellMar>
            <w:top w:w="0" w:type="dxa"/>
            <w:bottom w:w="0" w:type="dxa"/>
          </w:tblCellMar>
        </w:tblPrEx>
        <w:tc>
          <w:tcPr>
            <w:tcW w:w="2200" w:type="dxa"/>
            <w:shd w:val="clear" w:color="auto" w:fill="EAF0F4"/>
            <w:tcMar>
              <w:top w:w="60" w:type="dxa"/>
              <w:left w:w="90" w:type="dxa"/>
              <w:bottom w:w="60" w:type="dxa"/>
              <w:right w:w="90" w:type="dxa"/>
            </w:tcMar>
            <w:vAlign w:val="center"/>
          </w:tcPr>
          <w:p w14:paraId="57CB9716" w14:textId="77777777" w:rsidR="007B5458" w:rsidRDefault="00000000">
            <w:r>
              <w:rPr>
                <w:color w:val="000000"/>
                <w:sz w:val="17"/>
                <w:szCs w:val="17"/>
              </w:rPr>
              <w:t>No risk-based budget governance</w:t>
            </w:r>
          </w:p>
        </w:tc>
        <w:tc>
          <w:tcPr>
            <w:tcW w:w="4200" w:type="dxa"/>
            <w:shd w:val="clear" w:color="auto" w:fill="EAF0F4"/>
            <w:tcMar>
              <w:top w:w="60" w:type="dxa"/>
              <w:left w:w="90" w:type="dxa"/>
              <w:bottom w:w="60" w:type="dxa"/>
              <w:right w:w="90" w:type="dxa"/>
            </w:tcMar>
            <w:vAlign w:val="center"/>
          </w:tcPr>
          <w:p w14:paraId="38700747" w14:textId="77777777" w:rsidR="007B5458" w:rsidRDefault="00000000">
            <w:r>
              <w:rPr>
                <w:color w:val="000000"/>
                <w:sz w:val="17"/>
                <w:szCs w:val="17"/>
              </w:rPr>
              <w:t xml:space="preserve">Security spend is prioritised by </w:t>
            </w:r>
            <w:proofErr w:type="gramStart"/>
            <w:r>
              <w:rPr>
                <w:color w:val="000000"/>
                <w:sz w:val="17"/>
                <w:szCs w:val="17"/>
              </w:rPr>
              <w:t>IT's</w:t>
            </w:r>
            <w:proofErr w:type="gramEnd"/>
            <w:r>
              <w:rPr>
                <w:color w:val="000000"/>
                <w:sz w:val="17"/>
                <w:szCs w:val="17"/>
              </w:rPr>
              <w:t xml:space="preserve"> own judgement rather than against a </w:t>
            </w:r>
            <w:proofErr w:type="gramStart"/>
            <w:r>
              <w:rPr>
                <w:color w:val="000000"/>
                <w:sz w:val="17"/>
                <w:szCs w:val="17"/>
              </w:rPr>
              <w:t>jointly-owned</w:t>
            </w:r>
            <w:proofErr w:type="gramEnd"/>
            <w:r>
              <w:rPr>
                <w:color w:val="000000"/>
                <w:sz w:val="17"/>
                <w:szCs w:val="17"/>
              </w:rPr>
              <w:t xml:space="preserve"> risk register.</w:t>
            </w:r>
          </w:p>
        </w:tc>
        <w:tc>
          <w:tcPr>
            <w:tcW w:w="3600" w:type="dxa"/>
            <w:shd w:val="clear" w:color="auto" w:fill="EAF0F4"/>
            <w:tcMar>
              <w:top w:w="60" w:type="dxa"/>
              <w:left w:w="90" w:type="dxa"/>
              <w:bottom w:w="60" w:type="dxa"/>
              <w:right w:w="90" w:type="dxa"/>
            </w:tcMar>
            <w:vAlign w:val="center"/>
          </w:tcPr>
          <w:p w14:paraId="3CD3F1EE" w14:textId="77777777" w:rsidR="007B5458" w:rsidRDefault="00000000">
            <w:r>
              <w:rPr>
                <w:color w:val="000000"/>
                <w:sz w:val="17"/>
                <w:szCs w:val="17"/>
              </w:rPr>
              <w:t>Finance and the business have no visibility into whether security investment matches actual risk, weakening the case for future budget asks.</w:t>
            </w:r>
          </w:p>
        </w:tc>
      </w:tr>
      <w:tr w:rsidR="007B5458" w14:paraId="3311BA55" w14:textId="77777777">
        <w:tblPrEx>
          <w:tblCellMar>
            <w:top w:w="0" w:type="dxa"/>
            <w:bottom w:w="0" w:type="dxa"/>
          </w:tblCellMar>
        </w:tblPrEx>
        <w:tc>
          <w:tcPr>
            <w:tcW w:w="2200" w:type="dxa"/>
            <w:tcMar>
              <w:top w:w="60" w:type="dxa"/>
              <w:left w:w="90" w:type="dxa"/>
              <w:bottom w:w="60" w:type="dxa"/>
              <w:right w:w="90" w:type="dxa"/>
            </w:tcMar>
            <w:vAlign w:val="center"/>
          </w:tcPr>
          <w:p w14:paraId="38359933" w14:textId="77777777" w:rsidR="007B5458" w:rsidRDefault="00000000">
            <w:r>
              <w:rPr>
                <w:color w:val="000000"/>
                <w:sz w:val="17"/>
                <w:szCs w:val="17"/>
              </w:rPr>
              <w:t>Model does not scale with growth</w:t>
            </w:r>
          </w:p>
        </w:tc>
        <w:tc>
          <w:tcPr>
            <w:tcW w:w="4200" w:type="dxa"/>
            <w:tcMar>
              <w:top w:w="60" w:type="dxa"/>
              <w:left w:w="90" w:type="dxa"/>
              <w:bottom w:w="60" w:type="dxa"/>
              <w:right w:w="90" w:type="dxa"/>
            </w:tcMar>
            <w:vAlign w:val="center"/>
          </w:tcPr>
          <w:p w14:paraId="7B430953" w14:textId="77777777" w:rsidR="007B5458" w:rsidRDefault="00000000">
            <w:proofErr w:type="spellStart"/>
            <w:r>
              <w:rPr>
                <w:color w:val="000000"/>
                <w:sz w:val="17"/>
                <w:szCs w:val="17"/>
              </w:rPr>
              <w:t>TechGlobal's</w:t>
            </w:r>
            <w:proofErr w:type="spellEnd"/>
            <w:r>
              <w:rPr>
                <w:color w:val="000000"/>
                <w:sz w:val="17"/>
                <w:szCs w:val="17"/>
              </w:rPr>
              <w:t xml:space="preserve"> headcount and office count are still growing; an informal, one-person model has a hard ceiling.</w:t>
            </w:r>
          </w:p>
        </w:tc>
        <w:tc>
          <w:tcPr>
            <w:tcW w:w="3600" w:type="dxa"/>
            <w:tcMar>
              <w:top w:w="60" w:type="dxa"/>
              <w:left w:w="90" w:type="dxa"/>
              <w:bottom w:w="60" w:type="dxa"/>
              <w:right w:w="90" w:type="dxa"/>
            </w:tcMar>
            <w:vAlign w:val="center"/>
          </w:tcPr>
          <w:p w14:paraId="55C9A026" w14:textId="77777777" w:rsidR="007B5458" w:rsidRDefault="00000000">
            <w:r>
              <w:rPr>
                <w:color w:val="000000"/>
                <w:sz w:val="17"/>
                <w:szCs w:val="17"/>
              </w:rPr>
              <w:t>Without structural change, the probability of a governance failure increases faster than the organisation's ability to detect and correct it.</w:t>
            </w:r>
          </w:p>
        </w:tc>
      </w:tr>
    </w:tbl>
    <w:p w14:paraId="4A261144" w14:textId="77777777" w:rsidR="007B5458" w:rsidRDefault="00000000">
      <w:r>
        <w:br w:type="page"/>
      </w:r>
    </w:p>
    <w:p w14:paraId="317134FF" w14:textId="77777777" w:rsidR="007B5458" w:rsidRDefault="00000000">
      <w:pPr>
        <w:pStyle w:val="Heading1"/>
        <w:spacing w:before="360" w:after="160"/>
      </w:pPr>
      <w:r>
        <w:rPr>
          <w:b/>
          <w:bCs/>
          <w:color w:val="1B3A5C"/>
          <w:sz w:val="30"/>
          <w:szCs w:val="30"/>
        </w:rPr>
        <w:lastRenderedPageBreak/>
        <w:t>2. Target Governance Operating Model</w:t>
      </w:r>
    </w:p>
    <w:p w14:paraId="5F0AE590" w14:textId="77777777" w:rsidR="007B5458" w:rsidRDefault="00000000">
      <w:pPr>
        <w:spacing w:after="160" w:line="276" w:lineRule="auto"/>
      </w:pPr>
      <w:r>
        <w:t>The target model replaces a single point of authority with five connected tiers, each with a distinct role: the Board sets appetite and provides oversight; an Executive Security Steering Committee translates that appetite into strategy, budget and policy; three specialist committees handle architecture, incident response and regional alignment; the CISO function owns day-to-day policy and operations; and each of the five offices has a named business-unit security liaison feeding local context upward and receiving standards downward. This is deliberately a flat, five-tier structure rather than a deep hierarchy — appropriate for a 2,500-person organisation, where an over-engineered model would simply be ignored in practice.</w:t>
      </w:r>
    </w:p>
    <w:p w14:paraId="4015B7BA" w14:textId="77777777" w:rsidR="007B5458" w:rsidRDefault="00000000">
      <w:pPr>
        <w:spacing w:before="120" w:after="60"/>
        <w:jc w:val="center"/>
      </w:pPr>
      <w:r>
        <w:rPr>
          <w:noProof/>
        </w:rPr>
        <w:drawing>
          <wp:inline distT="0" distB="0" distL="0" distR="0" wp14:anchorId="041B27D5" wp14:editId="20D3BD6B">
            <wp:extent cx="4953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952875"/>
                    </a:xfrm>
                    <a:prstGeom prst="rect">
                      <a:avLst/>
                    </a:prstGeom>
                  </pic:spPr>
                </pic:pic>
              </a:graphicData>
            </a:graphic>
          </wp:inline>
        </w:drawing>
      </w:r>
    </w:p>
    <w:p w14:paraId="1C36426C" w14:textId="77777777" w:rsidR="007B5458" w:rsidRDefault="00000000">
      <w:pPr>
        <w:spacing w:after="200"/>
        <w:jc w:val="center"/>
      </w:pPr>
      <w:r>
        <w:rPr>
          <w:i/>
          <w:iCs/>
          <w:color w:val="555555"/>
          <w:sz w:val="18"/>
          <w:szCs w:val="18"/>
        </w:rPr>
        <w:t xml:space="preserve">Figure 1. </w:t>
      </w:r>
      <w:proofErr w:type="spellStart"/>
      <w:r>
        <w:rPr>
          <w:i/>
          <w:iCs/>
          <w:color w:val="555555"/>
          <w:sz w:val="18"/>
          <w:szCs w:val="18"/>
        </w:rPr>
        <w:t>TechGlobal</w:t>
      </w:r>
      <w:proofErr w:type="spellEnd"/>
      <w:r>
        <w:rPr>
          <w:i/>
          <w:iCs/>
          <w:color w:val="555555"/>
          <w:sz w:val="18"/>
          <w:szCs w:val="18"/>
        </w:rPr>
        <w:t xml:space="preserve"> target security governance operating model — Board to business-unit liaisons.</w:t>
      </w:r>
    </w:p>
    <w:p w14:paraId="689EF9A1" w14:textId="77777777" w:rsidR="007B5458" w:rsidRDefault="00000000">
      <w:pPr>
        <w:spacing w:after="160" w:line="276" w:lineRule="auto"/>
      </w:pPr>
      <w:r>
        <w:t>Three design principles run through this structure. First, no single role both sets policy and approves its own compliance with that policy — the recurring weakness identified in Section 1. Second, every business unit (each of the five offices) has a named channel into governance, rather than being left to interpret policy independently. Third, the model is scalable: a sixth office, or a doubling of headcount, adds another liaison seat into the same structure rather than requiring redesign.</w:t>
      </w:r>
    </w:p>
    <w:p w14:paraId="35DB91DF" w14:textId="77777777" w:rsidR="007B5458" w:rsidRDefault="00000000">
      <w:r>
        <w:br w:type="page"/>
      </w:r>
    </w:p>
    <w:p w14:paraId="4377DF91" w14:textId="77777777" w:rsidR="007B5458" w:rsidRDefault="00000000">
      <w:pPr>
        <w:pStyle w:val="Heading1"/>
        <w:spacing w:before="360" w:after="160"/>
      </w:pPr>
      <w:r>
        <w:rPr>
          <w:b/>
          <w:bCs/>
          <w:color w:val="1B3A5C"/>
          <w:sz w:val="30"/>
          <w:szCs w:val="30"/>
        </w:rPr>
        <w:lastRenderedPageBreak/>
        <w:t>3. Roles, Responsibilities and Decision Authority</w:t>
      </w:r>
    </w:p>
    <w:p w14:paraId="68C8A96C" w14:textId="77777777" w:rsidR="007B5458" w:rsidRDefault="00000000">
      <w:pPr>
        <w:spacing w:after="160" w:line="276" w:lineRule="auto"/>
      </w:pPr>
      <w:r>
        <w:t>Each role below is defined by what it can decide unilaterally, what it is ultimately accountable for, who it must consult before acting, and its reporting line — the same structure that prevents the single-point-of-failure weakness identified in Section 1 from re-emerging in the new model.</w:t>
      </w:r>
    </w:p>
    <w:tbl>
      <w:tblPr>
        <w:tblW w:w="10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00"/>
        <w:gridCol w:w="2200"/>
        <w:gridCol w:w="2000"/>
        <w:gridCol w:w="2000"/>
        <w:gridCol w:w="2100"/>
      </w:tblGrid>
      <w:tr w:rsidR="007B5458" w14:paraId="3278790D" w14:textId="77777777">
        <w:tblPrEx>
          <w:tblCellMar>
            <w:top w:w="0" w:type="dxa"/>
            <w:bottom w:w="0" w:type="dxa"/>
          </w:tblCellMar>
        </w:tblPrEx>
        <w:trPr>
          <w:tblHeader/>
        </w:trPr>
        <w:tc>
          <w:tcPr>
            <w:tcW w:w="1700" w:type="dxa"/>
            <w:shd w:val="clear" w:color="auto" w:fill="1B3A5C"/>
            <w:tcMar>
              <w:top w:w="60" w:type="dxa"/>
              <w:left w:w="90" w:type="dxa"/>
              <w:bottom w:w="60" w:type="dxa"/>
              <w:right w:w="90" w:type="dxa"/>
            </w:tcMar>
            <w:vAlign w:val="center"/>
          </w:tcPr>
          <w:p w14:paraId="751875B7" w14:textId="77777777" w:rsidR="007B5458" w:rsidRDefault="00000000">
            <w:r>
              <w:rPr>
                <w:b/>
                <w:bCs/>
                <w:color w:val="FFFFFF"/>
                <w:sz w:val="17"/>
                <w:szCs w:val="17"/>
              </w:rPr>
              <w:t>Role</w:t>
            </w:r>
          </w:p>
        </w:tc>
        <w:tc>
          <w:tcPr>
            <w:tcW w:w="2200" w:type="dxa"/>
            <w:shd w:val="clear" w:color="auto" w:fill="1B3A5C"/>
            <w:tcMar>
              <w:top w:w="60" w:type="dxa"/>
              <w:left w:w="90" w:type="dxa"/>
              <w:bottom w:w="60" w:type="dxa"/>
              <w:right w:w="90" w:type="dxa"/>
            </w:tcMar>
            <w:vAlign w:val="center"/>
          </w:tcPr>
          <w:p w14:paraId="4668D362" w14:textId="77777777" w:rsidR="007B5458" w:rsidRDefault="00000000">
            <w:r>
              <w:rPr>
                <w:b/>
                <w:bCs/>
                <w:color w:val="FFFFFF"/>
                <w:sz w:val="17"/>
                <w:szCs w:val="17"/>
              </w:rPr>
              <w:t>Decision Authority</w:t>
            </w:r>
          </w:p>
        </w:tc>
        <w:tc>
          <w:tcPr>
            <w:tcW w:w="2000" w:type="dxa"/>
            <w:shd w:val="clear" w:color="auto" w:fill="1B3A5C"/>
            <w:tcMar>
              <w:top w:w="60" w:type="dxa"/>
              <w:left w:w="90" w:type="dxa"/>
              <w:bottom w:w="60" w:type="dxa"/>
              <w:right w:w="90" w:type="dxa"/>
            </w:tcMar>
            <w:vAlign w:val="center"/>
          </w:tcPr>
          <w:p w14:paraId="3E8231A4" w14:textId="77777777" w:rsidR="007B5458" w:rsidRDefault="00000000">
            <w:r>
              <w:rPr>
                <w:b/>
                <w:bCs/>
                <w:color w:val="FFFFFF"/>
                <w:sz w:val="17"/>
                <w:szCs w:val="17"/>
              </w:rPr>
              <w:t>Accountability</w:t>
            </w:r>
          </w:p>
        </w:tc>
        <w:tc>
          <w:tcPr>
            <w:tcW w:w="2000" w:type="dxa"/>
            <w:shd w:val="clear" w:color="auto" w:fill="1B3A5C"/>
            <w:tcMar>
              <w:top w:w="60" w:type="dxa"/>
              <w:left w:w="90" w:type="dxa"/>
              <w:bottom w:w="60" w:type="dxa"/>
              <w:right w:w="90" w:type="dxa"/>
            </w:tcMar>
            <w:vAlign w:val="center"/>
          </w:tcPr>
          <w:p w14:paraId="23B72EA8" w14:textId="77777777" w:rsidR="007B5458" w:rsidRDefault="00000000">
            <w:r>
              <w:rPr>
                <w:b/>
                <w:bCs/>
                <w:color w:val="FFFFFF"/>
                <w:sz w:val="17"/>
                <w:szCs w:val="17"/>
              </w:rPr>
              <w:t>Consultation Duty</w:t>
            </w:r>
          </w:p>
        </w:tc>
        <w:tc>
          <w:tcPr>
            <w:tcW w:w="2100" w:type="dxa"/>
            <w:shd w:val="clear" w:color="auto" w:fill="1B3A5C"/>
            <w:tcMar>
              <w:top w:w="60" w:type="dxa"/>
              <w:left w:w="90" w:type="dxa"/>
              <w:bottom w:w="60" w:type="dxa"/>
              <w:right w:w="90" w:type="dxa"/>
            </w:tcMar>
            <w:vAlign w:val="center"/>
          </w:tcPr>
          <w:p w14:paraId="4585A0D9" w14:textId="77777777" w:rsidR="007B5458" w:rsidRDefault="00000000">
            <w:r>
              <w:rPr>
                <w:b/>
                <w:bCs/>
                <w:color w:val="FFFFFF"/>
                <w:sz w:val="17"/>
                <w:szCs w:val="17"/>
              </w:rPr>
              <w:t>Reporting / Relationship</w:t>
            </w:r>
          </w:p>
        </w:tc>
      </w:tr>
      <w:tr w:rsidR="007B5458" w14:paraId="3F142538" w14:textId="77777777">
        <w:tblPrEx>
          <w:tblCellMar>
            <w:top w:w="0" w:type="dxa"/>
            <w:bottom w:w="0" w:type="dxa"/>
          </w:tblCellMar>
        </w:tblPrEx>
        <w:tc>
          <w:tcPr>
            <w:tcW w:w="1700" w:type="dxa"/>
            <w:tcMar>
              <w:top w:w="60" w:type="dxa"/>
              <w:left w:w="90" w:type="dxa"/>
              <w:bottom w:w="60" w:type="dxa"/>
              <w:right w:w="90" w:type="dxa"/>
            </w:tcMar>
            <w:vAlign w:val="center"/>
          </w:tcPr>
          <w:p w14:paraId="52C8C7DB" w14:textId="77777777" w:rsidR="007B5458" w:rsidRDefault="00000000">
            <w:r>
              <w:rPr>
                <w:color w:val="000000"/>
                <w:sz w:val="17"/>
                <w:szCs w:val="17"/>
              </w:rPr>
              <w:t>Board (Risk &amp; Audit Committee)</w:t>
            </w:r>
          </w:p>
        </w:tc>
        <w:tc>
          <w:tcPr>
            <w:tcW w:w="2200" w:type="dxa"/>
            <w:tcMar>
              <w:top w:w="60" w:type="dxa"/>
              <w:left w:w="90" w:type="dxa"/>
              <w:bottom w:w="60" w:type="dxa"/>
              <w:right w:w="90" w:type="dxa"/>
            </w:tcMar>
            <w:vAlign w:val="center"/>
          </w:tcPr>
          <w:p w14:paraId="7BA7F81E" w14:textId="77777777" w:rsidR="007B5458" w:rsidRDefault="00000000">
            <w:r>
              <w:rPr>
                <w:color w:val="000000"/>
                <w:sz w:val="17"/>
                <w:szCs w:val="17"/>
              </w:rPr>
              <w:t>Approves enterprise risk appetite and security strategy; accepts residual risk above the CEO's delegated authority.</w:t>
            </w:r>
          </w:p>
        </w:tc>
        <w:tc>
          <w:tcPr>
            <w:tcW w:w="2000" w:type="dxa"/>
            <w:tcMar>
              <w:top w:w="60" w:type="dxa"/>
              <w:left w:w="90" w:type="dxa"/>
              <w:bottom w:w="60" w:type="dxa"/>
              <w:right w:w="90" w:type="dxa"/>
            </w:tcMar>
            <w:vAlign w:val="center"/>
          </w:tcPr>
          <w:p w14:paraId="75E695C0" w14:textId="77777777" w:rsidR="007B5458" w:rsidRDefault="00000000">
            <w:r>
              <w:rPr>
                <w:color w:val="000000"/>
                <w:sz w:val="17"/>
                <w:szCs w:val="17"/>
              </w:rPr>
              <w:t xml:space="preserve">Ultimate fiduciary accountability for </w:t>
            </w:r>
            <w:proofErr w:type="spellStart"/>
            <w:r>
              <w:rPr>
                <w:color w:val="000000"/>
                <w:sz w:val="17"/>
                <w:szCs w:val="17"/>
              </w:rPr>
              <w:t>TechGlobal's</w:t>
            </w:r>
            <w:proofErr w:type="spellEnd"/>
            <w:r>
              <w:rPr>
                <w:color w:val="000000"/>
                <w:sz w:val="17"/>
                <w:szCs w:val="17"/>
              </w:rPr>
              <w:t xml:space="preserve"> cyber-risk posture to shareholders and stakeholders.</w:t>
            </w:r>
          </w:p>
        </w:tc>
        <w:tc>
          <w:tcPr>
            <w:tcW w:w="2000" w:type="dxa"/>
            <w:tcMar>
              <w:top w:w="60" w:type="dxa"/>
              <w:left w:w="90" w:type="dxa"/>
              <w:bottom w:w="60" w:type="dxa"/>
              <w:right w:w="90" w:type="dxa"/>
            </w:tcMar>
            <w:vAlign w:val="center"/>
          </w:tcPr>
          <w:p w14:paraId="2A0BD486" w14:textId="77777777" w:rsidR="007B5458" w:rsidRDefault="00000000">
            <w:r>
              <w:rPr>
                <w:color w:val="000000"/>
                <w:sz w:val="17"/>
                <w:szCs w:val="17"/>
              </w:rPr>
              <w:t>Consults CEO, CISO and (once appointed) CRO before ratifying material decisions; commissions independent assurance as needed.</w:t>
            </w:r>
          </w:p>
        </w:tc>
        <w:tc>
          <w:tcPr>
            <w:tcW w:w="2100" w:type="dxa"/>
            <w:tcMar>
              <w:top w:w="60" w:type="dxa"/>
              <w:left w:w="90" w:type="dxa"/>
              <w:bottom w:w="60" w:type="dxa"/>
              <w:right w:w="90" w:type="dxa"/>
            </w:tcMar>
            <w:vAlign w:val="center"/>
          </w:tcPr>
          <w:p w14:paraId="22E4D034" w14:textId="77777777" w:rsidR="007B5458" w:rsidRDefault="00000000">
            <w:r>
              <w:rPr>
                <w:color w:val="000000"/>
                <w:sz w:val="17"/>
                <w:szCs w:val="17"/>
              </w:rPr>
              <w:t>Receives quarterly reporting from the Executive Security Steering Committee, plus ad hoc briefing for material incidents.</w:t>
            </w:r>
          </w:p>
        </w:tc>
      </w:tr>
      <w:tr w:rsidR="007B5458" w14:paraId="6174BAF7" w14:textId="77777777">
        <w:tblPrEx>
          <w:tblCellMar>
            <w:top w:w="0" w:type="dxa"/>
            <w:bottom w:w="0" w:type="dxa"/>
          </w:tblCellMar>
        </w:tblPrEx>
        <w:tc>
          <w:tcPr>
            <w:tcW w:w="1700" w:type="dxa"/>
            <w:shd w:val="clear" w:color="auto" w:fill="EAF0F4"/>
            <w:tcMar>
              <w:top w:w="60" w:type="dxa"/>
              <w:left w:w="90" w:type="dxa"/>
              <w:bottom w:w="60" w:type="dxa"/>
              <w:right w:w="90" w:type="dxa"/>
            </w:tcMar>
            <w:vAlign w:val="center"/>
          </w:tcPr>
          <w:p w14:paraId="02E4B661" w14:textId="77777777" w:rsidR="007B5458" w:rsidRDefault="00000000">
            <w:r>
              <w:rPr>
                <w:color w:val="000000"/>
                <w:sz w:val="17"/>
                <w:szCs w:val="17"/>
              </w:rPr>
              <w:t>Chief Executive Officer (CEO)</w:t>
            </w:r>
          </w:p>
        </w:tc>
        <w:tc>
          <w:tcPr>
            <w:tcW w:w="2200" w:type="dxa"/>
            <w:shd w:val="clear" w:color="auto" w:fill="EAF0F4"/>
            <w:tcMar>
              <w:top w:w="60" w:type="dxa"/>
              <w:left w:w="90" w:type="dxa"/>
              <w:bottom w:w="60" w:type="dxa"/>
              <w:right w:w="90" w:type="dxa"/>
            </w:tcMar>
            <w:vAlign w:val="center"/>
          </w:tcPr>
          <w:p w14:paraId="1B356355" w14:textId="77777777" w:rsidR="007B5458" w:rsidRDefault="00000000">
            <w:r>
              <w:rPr>
                <w:color w:val="000000"/>
                <w:sz w:val="17"/>
                <w:szCs w:val="17"/>
              </w:rPr>
              <w:t>Approves security strategy and budget within Board-set appetite; chairs the Executive Security Steering Committee.</w:t>
            </w:r>
          </w:p>
        </w:tc>
        <w:tc>
          <w:tcPr>
            <w:tcW w:w="2000" w:type="dxa"/>
            <w:shd w:val="clear" w:color="auto" w:fill="EAF0F4"/>
            <w:tcMar>
              <w:top w:w="60" w:type="dxa"/>
              <w:left w:w="90" w:type="dxa"/>
              <w:bottom w:w="60" w:type="dxa"/>
              <w:right w:w="90" w:type="dxa"/>
            </w:tcMar>
            <w:vAlign w:val="center"/>
          </w:tcPr>
          <w:p w14:paraId="6A308148" w14:textId="77777777" w:rsidR="007B5458" w:rsidRDefault="00000000">
            <w:r>
              <w:rPr>
                <w:color w:val="000000"/>
                <w:sz w:val="17"/>
                <w:szCs w:val="17"/>
              </w:rPr>
              <w:t xml:space="preserve">Accountable to the Board for </w:t>
            </w:r>
            <w:proofErr w:type="spellStart"/>
            <w:r>
              <w:rPr>
                <w:color w:val="000000"/>
                <w:sz w:val="17"/>
                <w:szCs w:val="17"/>
              </w:rPr>
              <w:t>TechGlobal's</w:t>
            </w:r>
            <w:proofErr w:type="spellEnd"/>
            <w:r>
              <w:rPr>
                <w:color w:val="000000"/>
                <w:sz w:val="17"/>
                <w:szCs w:val="17"/>
              </w:rPr>
              <w:t xml:space="preserve"> overall risk posture and for the effectiveness of the governance transformation itself.</w:t>
            </w:r>
          </w:p>
        </w:tc>
        <w:tc>
          <w:tcPr>
            <w:tcW w:w="2000" w:type="dxa"/>
            <w:shd w:val="clear" w:color="auto" w:fill="EAF0F4"/>
            <w:tcMar>
              <w:top w:w="60" w:type="dxa"/>
              <w:left w:w="90" w:type="dxa"/>
              <w:bottom w:w="60" w:type="dxa"/>
              <w:right w:w="90" w:type="dxa"/>
            </w:tcMar>
            <w:vAlign w:val="center"/>
          </w:tcPr>
          <w:p w14:paraId="61DC89FC" w14:textId="77777777" w:rsidR="007B5458" w:rsidRDefault="00000000">
            <w:r>
              <w:rPr>
                <w:color w:val="000000"/>
                <w:sz w:val="17"/>
                <w:szCs w:val="17"/>
              </w:rPr>
              <w:t>Consults CISO, Legal, Finance and business-unit leads on material risk, spend and disclosure decisions.</w:t>
            </w:r>
          </w:p>
        </w:tc>
        <w:tc>
          <w:tcPr>
            <w:tcW w:w="2100" w:type="dxa"/>
            <w:shd w:val="clear" w:color="auto" w:fill="EAF0F4"/>
            <w:tcMar>
              <w:top w:w="60" w:type="dxa"/>
              <w:left w:w="90" w:type="dxa"/>
              <w:bottom w:w="60" w:type="dxa"/>
              <w:right w:w="90" w:type="dxa"/>
            </w:tcMar>
            <w:vAlign w:val="center"/>
          </w:tcPr>
          <w:p w14:paraId="64A678CA" w14:textId="77777777" w:rsidR="007B5458" w:rsidRDefault="00000000">
            <w:r>
              <w:rPr>
                <w:color w:val="000000"/>
                <w:sz w:val="17"/>
                <w:szCs w:val="17"/>
              </w:rPr>
              <w:t>Reports to the Board; CISO, CRO, Legal, Finance and HR report up through or to the CEO.</w:t>
            </w:r>
          </w:p>
        </w:tc>
      </w:tr>
      <w:tr w:rsidR="007B5458" w14:paraId="2BC1C489" w14:textId="77777777">
        <w:tblPrEx>
          <w:tblCellMar>
            <w:top w:w="0" w:type="dxa"/>
            <w:bottom w:w="0" w:type="dxa"/>
          </w:tblCellMar>
        </w:tblPrEx>
        <w:tc>
          <w:tcPr>
            <w:tcW w:w="1700" w:type="dxa"/>
            <w:tcMar>
              <w:top w:w="60" w:type="dxa"/>
              <w:left w:w="90" w:type="dxa"/>
              <w:bottom w:w="60" w:type="dxa"/>
              <w:right w:w="90" w:type="dxa"/>
            </w:tcMar>
            <w:vAlign w:val="center"/>
          </w:tcPr>
          <w:p w14:paraId="563590E9" w14:textId="77777777" w:rsidR="007B5458" w:rsidRDefault="00000000">
            <w:r>
              <w:rPr>
                <w:color w:val="000000"/>
                <w:sz w:val="17"/>
                <w:szCs w:val="17"/>
              </w:rPr>
              <w:t>Chief Information Security Officer (CISO)</w:t>
            </w:r>
          </w:p>
        </w:tc>
        <w:tc>
          <w:tcPr>
            <w:tcW w:w="2200" w:type="dxa"/>
            <w:tcMar>
              <w:top w:w="60" w:type="dxa"/>
              <w:left w:w="90" w:type="dxa"/>
              <w:bottom w:w="60" w:type="dxa"/>
              <w:right w:w="90" w:type="dxa"/>
            </w:tcMar>
            <w:vAlign w:val="center"/>
          </w:tcPr>
          <w:p w14:paraId="60052C29" w14:textId="77777777" w:rsidR="007B5458" w:rsidRDefault="00000000">
            <w:r>
              <w:rPr>
                <w:color w:val="000000"/>
                <w:sz w:val="17"/>
                <w:szCs w:val="17"/>
              </w:rPr>
              <w:t>Approves security policy, control standards, architecture decisions and incident-response execution.</w:t>
            </w:r>
          </w:p>
        </w:tc>
        <w:tc>
          <w:tcPr>
            <w:tcW w:w="2000" w:type="dxa"/>
            <w:tcMar>
              <w:top w:w="60" w:type="dxa"/>
              <w:left w:w="90" w:type="dxa"/>
              <w:bottom w:w="60" w:type="dxa"/>
              <w:right w:w="90" w:type="dxa"/>
            </w:tcMar>
            <w:vAlign w:val="center"/>
          </w:tcPr>
          <w:p w14:paraId="417C01DA" w14:textId="77777777" w:rsidR="007B5458" w:rsidRDefault="00000000">
            <w:r>
              <w:rPr>
                <w:color w:val="000000"/>
                <w:sz w:val="17"/>
                <w:szCs w:val="17"/>
              </w:rPr>
              <w:t>Accountable for the security programme's design and operating effectiveness, and for timely escalation per Section 6.</w:t>
            </w:r>
          </w:p>
        </w:tc>
        <w:tc>
          <w:tcPr>
            <w:tcW w:w="2000" w:type="dxa"/>
            <w:tcMar>
              <w:top w:w="60" w:type="dxa"/>
              <w:left w:w="90" w:type="dxa"/>
              <w:bottom w:w="60" w:type="dxa"/>
              <w:right w:w="90" w:type="dxa"/>
            </w:tcMar>
            <w:vAlign w:val="center"/>
          </w:tcPr>
          <w:p w14:paraId="4D5FE3AF" w14:textId="77777777" w:rsidR="007B5458" w:rsidRDefault="00000000">
            <w:r>
              <w:rPr>
                <w:color w:val="000000"/>
                <w:sz w:val="17"/>
                <w:szCs w:val="17"/>
              </w:rPr>
              <w:t>Consults IT on feasibility, Legal on regulatory exposure, business-unit liaisons on local operating constraints.</w:t>
            </w:r>
          </w:p>
        </w:tc>
        <w:tc>
          <w:tcPr>
            <w:tcW w:w="2100" w:type="dxa"/>
            <w:tcMar>
              <w:top w:w="60" w:type="dxa"/>
              <w:left w:w="90" w:type="dxa"/>
              <w:bottom w:w="60" w:type="dxa"/>
              <w:right w:w="90" w:type="dxa"/>
            </w:tcMar>
            <w:vAlign w:val="center"/>
          </w:tcPr>
          <w:p w14:paraId="72AE8218" w14:textId="77777777" w:rsidR="007B5458" w:rsidRDefault="00000000">
            <w:r>
              <w:rPr>
                <w:color w:val="000000"/>
                <w:sz w:val="17"/>
                <w:szCs w:val="17"/>
              </w:rPr>
              <w:t>Reports administratively to the CEO (not to IT), with a standing functional line to the Board Risk &amp; Audit Committee, preserving independence from IT operations.</w:t>
            </w:r>
          </w:p>
        </w:tc>
      </w:tr>
      <w:tr w:rsidR="007B5458" w14:paraId="0A92868C" w14:textId="77777777">
        <w:tblPrEx>
          <w:tblCellMar>
            <w:top w:w="0" w:type="dxa"/>
            <w:bottom w:w="0" w:type="dxa"/>
          </w:tblCellMar>
        </w:tblPrEx>
        <w:tc>
          <w:tcPr>
            <w:tcW w:w="1700" w:type="dxa"/>
            <w:shd w:val="clear" w:color="auto" w:fill="EAF0F4"/>
            <w:tcMar>
              <w:top w:w="60" w:type="dxa"/>
              <w:left w:w="90" w:type="dxa"/>
              <w:bottom w:w="60" w:type="dxa"/>
              <w:right w:w="90" w:type="dxa"/>
            </w:tcMar>
            <w:vAlign w:val="center"/>
          </w:tcPr>
          <w:p w14:paraId="439D9250" w14:textId="77777777" w:rsidR="007B5458" w:rsidRDefault="00000000">
            <w:r>
              <w:rPr>
                <w:color w:val="000000"/>
                <w:sz w:val="17"/>
                <w:szCs w:val="17"/>
              </w:rPr>
              <w:t>Chief Risk Officer (CRO) / Risk function</w:t>
            </w:r>
          </w:p>
        </w:tc>
        <w:tc>
          <w:tcPr>
            <w:tcW w:w="2200" w:type="dxa"/>
            <w:shd w:val="clear" w:color="auto" w:fill="EAF0F4"/>
            <w:tcMar>
              <w:top w:w="60" w:type="dxa"/>
              <w:left w:w="90" w:type="dxa"/>
              <w:bottom w:w="60" w:type="dxa"/>
              <w:right w:w="90" w:type="dxa"/>
            </w:tcMar>
            <w:vAlign w:val="center"/>
          </w:tcPr>
          <w:p w14:paraId="0F02D90A" w14:textId="77777777" w:rsidR="007B5458" w:rsidRDefault="00000000">
            <w:r>
              <w:rPr>
                <w:color w:val="000000"/>
                <w:sz w:val="17"/>
                <w:szCs w:val="17"/>
              </w:rPr>
              <w:t>Approves enterprise risk-acceptance decisions within a defined threshold (Section 6); owns the risk register.</w:t>
            </w:r>
          </w:p>
        </w:tc>
        <w:tc>
          <w:tcPr>
            <w:tcW w:w="2000" w:type="dxa"/>
            <w:shd w:val="clear" w:color="auto" w:fill="EAF0F4"/>
            <w:tcMar>
              <w:top w:w="60" w:type="dxa"/>
              <w:left w:w="90" w:type="dxa"/>
              <w:bottom w:w="60" w:type="dxa"/>
              <w:right w:w="90" w:type="dxa"/>
            </w:tcMar>
            <w:vAlign w:val="center"/>
          </w:tcPr>
          <w:p w14:paraId="7B4CFD2A" w14:textId="77777777" w:rsidR="007B5458" w:rsidRDefault="00000000">
            <w:r>
              <w:rPr>
                <w:color w:val="000000"/>
                <w:sz w:val="17"/>
                <w:szCs w:val="17"/>
              </w:rPr>
              <w:t>Accountable for aggregating cyber risk with other enterprise risks and maintaining consistent risk-acceptance discipline.</w:t>
            </w:r>
          </w:p>
        </w:tc>
        <w:tc>
          <w:tcPr>
            <w:tcW w:w="2000" w:type="dxa"/>
            <w:shd w:val="clear" w:color="auto" w:fill="EAF0F4"/>
            <w:tcMar>
              <w:top w:w="60" w:type="dxa"/>
              <w:left w:w="90" w:type="dxa"/>
              <w:bottom w:w="60" w:type="dxa"/>
              <w:right w:w="90" w:type="dxa"/>
            </w:tcMar>
            <w:vAlign w:val="center"/>
          </w:tcPr>
          <w:p w14:paraId="53993EB9" w14:textId="77777777" w:rsidR="007B5458" w:rsidRDefault="00000000">
            <w:r>
              <w:rPr>
                <w:color w:val="000000"/>
                <w:sz w:val="17"/>
                <w:szCs w:val="17"/>
              </w:rPr>
              <w:t>Consults CISO for technical risk detail, Legal for regulatory interpretation, Finance for financial-impact modelling.</w:t>
            </w:r>
          </w:p>
        </w:tc>
        <w:tc>
          <w:tcPr>
            <w:tcW w:w="2100" w:type="dxa"/>
            <w:shd w:val="clear" w:color="auto" w:fill="EAF0F4"/>
            <w:tcMar>
              <w:top w:w="60" w:type="dxa"/>
              <w:left w:w="90" w:type="dxa"/>
              <w:bottom w:w="60" w:type="dxa"/>
              <w:right w:w="90" w:type="dxa"/>
            </w:tcMar>
            <w:vAlign w:val="center"/>
          </w:tcPr>
          <w:p w14:paraId="390832D2" w14:textId="77777777" w:rsidR="007B5458" w:rsidRDefault="00000000">
            <w:r>
              <w:rPr>
                <w:color w:val="000000"/>
                <w:sz w:val="17"/>
                <w:szCs w:val="17"/>
              </w:rPr>
              <w:t xml:space="preserve">Reports to the Board/CEO; independent of IT and the CISO's operational chain — </w:t>
            </w:r>
            <w:proofErr w:type="spellStart"/>
            <w:r>
              <w:rPr>
                <w:color w:val="000000"/>
                <w:sz w:val="17"/>
                <w:szCs w:val="17"/>
              </w:rPr>
              <w:t>TechGlobal</w:t>
            </w:r>
            <w:proofErr w:type="spellEnd"/>
            <w:r>
              <w:rPr>
                <w:color w:val="000000"/>
                <w:sz w:val="17"/>
                <w:szCs w:val="17"/>
              </w:rPr>
              <w:t xml:space="preserve"> should appoint or designate this function as a first step of the transformation.</w:t>
            </w:r>
          </w:p>
        </w:tc>
      </w:tr>
      <w:tr w:rsidR="007B5458" w14:paraId="56654D03" w14:textId="77777777">
        <w:tblPrEx>
          <w:tblCellMar>
            <w:top w:w="0" w:type="dxa"/>
            <w:bottom w:w="0" w:type="dxa"/>
          </w:tblCellMar>
        </w:tblPrEx>
        <w:tc>
          <w:tcPr>
            <w:tcW w:w="1700" w:type="dxa"/>
            <w:tcMar>
              <w:top w:w="60" w:type="dxa"/>
              <w:left w:w="90" w:type="dxa"/>
              <w:bottom w:w="60" w:type="dxa"/>
              <w:right w:w="90" w:type="dxa"/>
            </w:tcMar>
            <w:vAlign w:val="center"/>
          </w:tcPr>
          <w:p w14:paraId="32405DAF" w14:textId="77777777" w:rsidR="007B5458" w:rsidRDefault="00000000">
            <w:r>
              <w:rPr>
                <w:color w:val="000000"/>
                <w:sz w:val="17"/>
                <w:szCs w:val="17"/>
              </w:rPr>
              <w:t>Legal / Privacy / Compliance</w:t>
            </w:r>
          </w:p>
        </w:tc>
        <w:tc>
          <w:tcPr>
            <w:tcW w:w="2200" w:type="dxa"/>
            <w:tcMar>
              <w:top w:w="60" w:type="dxa"/>
              <w:left w:w="90" w:type="dxa"/>
              <w:bottom w:w="60" w:type="dxa"/>
              <w:right w:w="90" w:type="dxa"/>
            </w:tcMar>
            <w:vAlign w:val="center"/>
          </w:tcPr>
          <w:p w14:paraId="6A56DE95" w14:textId="77777777" w:rsidR="007B5458" w:rsidRDefault="00000000">
            <w:r>
              <w:rPr>
                <w:color w:val="000000"/>
                <w:sz w:val="17"/>
                <w:szCs w:val="17"/>
              </w:rPr>
              <w:t>Approves regulatory breach-notification content and timing across all five jurisdictions; approves external counsel engagement.</w:t>
            </w:r>
          </w:p>
        </w:tc>
        <w:tc>
          <w:tcPr>
            <w:tcW w:w="2000" w:type="dxa"/>
            <w:tcMar>
              <w:top w:w="60" w:type="dxa"/>
              <w:left w:w="90" w:type="dxa"/>
              <w:bottom w:w="60" w:type="dxa"/>
              <w:right w:w="90" w:type="dxa"/>
            </w:tcMar>
            <w:vAlign w:val="center"/>
          </w:tcPr>
          <w:p w14:paraId="21A5FC6E" w14:textId="77777777" w:rsidR="007B5458" w:rsidRDefault="00000000">
            <w:r>
              <w:rPr>
                <w:color w:val="000000"/>
                <w:sz w:val="17"/>
                <w:szCs w:val="17"/>
              </w:rPr>
              <w:t>Accountable for regulatory compliance, contractual exposure and accuracy of external disclosures.</w:t>
            </w:r>
          </w:p>
        </w:tc>
        <w:tc>
          <w:tcPr>
            <w:tcW w:w="2000" w:type="dxa"/>
            <w:tcMar>
              <w:top w:w="60" w:type="dxa"/>
              <w:left w:w="90" w:type="dxa"/>
              <w:bottom w:w="60" w:type="dxa"/>
              <w:right w:w="90" w:type="dxa"/>
            </w:tcMar>
            <w:vAlign w:val="center"/>
          </w:tcPr>
          <w:p w14:paraId="77D1DCED" w14:textId="77777777" w:rsidR="007B5458" w:rsidRDefault="00000000">
            <w:r>
              <w:rPr>
                <w:color w:val="000000"/>
                <w:sz w:val="17"/>
                <w:szCs w:val="17"/>
              </w:rPr>
              <w:t>Consults CISO on facts and timeline, CRO on risk classification, Communications on public messaging.</w:t>
            </w:r>
          </w:p>
        </w:tc>
        <w:tc>
          <w:tcPr>
            <w:tcW w:w="2100" w:type="dxa"/>
            <w:tcMar>
              <w:top w:w="60" w:type="dxa"/>
              <w:left w:w="90" w:type="dxa"/>
              <w:bottom w:w="60" w:type="dxa"/>
              <w:right w:w="90" w:type="dxa"/>
            </w:tcMar>
            <w:vAlign w:val="center"/>
          </w:tcPr>
          <w:p w14:paraId="49156F8D" w14:textId="77777777" w:rsidR="007B5458" w:rsidRDefault="00000000">
            <w:r>
              <w:rPr>
                <w:color w:val="000000"/>
                <w:sz w:val="17"/>
                <w:szCs w:val="17"/>
              </w:rPr>
              <w:t>Reports to CEO/General Counsel; advises the Board directly on material legal exposure.</w:t>
            </w:r>
          </w:p>
        </w:tc>
      </w:tr>
      <w:tr w:rsidR="007B5458" w14:paraId="5ADEF96D" w14:textId="77777777">
        <w:tblPrEx>
          <w:tblCellMar>
            <w:top w:w="0" w:type="dxa"/>
            <w:bottom w:w="0" w:type="dxa"/>
          </w:tblCellMar>
        </w:tblPrEx>
        <w:tc>
          <w:tcPr>
            <w:tcW w:w="1700" w:type="dxa"/>
            <w:shd w:val="clear" w:color="auto" w:fill="EAF0F4"/>
            <w:tcMar>
              <w:top w:w="60" w:type="dxa"/>
              <w:left w:w="90" w:type="dxa"/>
              <w:bottom w:w="60" w:type="dxa"/>
              <w:right w:w="90" w:type="dxa"/>
            </w:tcMar>
            <w:vAlign w:val="center"/>
          </w:tcPr>
          <w:p w14:paraId="07484F4C" w14:textId="77777777" w:rsidR="007B5458" w:rsidRDefault="00000000">
            <w:r>
              <w:rPr>
                <w:color w:val="000000"/>
                <w:sz w:val="17"/>
                <w:szCs w:val="17"/>
              </w:rPr>
              <w:t>Finance</w:t>
            </w:r>
          </w:p>
        </w:tc>
        <w:tc>
          <w:tcPr>
            <w:tcW w:w="2200" w:type="dxa"/>
            <w:shd w:val="clear" w:color="auto" w:fill="EAF0F4"/>
            <w:tcMar>
              <w:top w:w="60" w:type="dxa"/>
              <w:left w:w="90" w:type="dxa"/>
              <w:bottom w:w="60" w:type="dxa"/>
              <w:right w:w="90" w:type="dxa"/>
            </w:tcMar>
            <w:vAlign w:val="center"/>
          </w:tcPr>
          <w:p w14:paraId="7C16DCF7" w14:textId="77777777" w:rsidR="007B5458" w:rsidRDefault="00000000">
            <w:r>
              <w:rPr>
                <w:color w:val="000000"/>
                <w:sz w:val="17"/>
                <w:szCs w:val="17"/>
              </w:rPr>
              <w:t>Approves incident-related and control-investment spend within delegated authority; owns cyber-insurance placement.</w:t>
            </w:r>
          </w:p>
        </w:tc>
        <w:tc>
          <w:tcPr>
            <w:tcW w:w="2000" w:type="dxa"/>
            <w:shd w:val="clear" w:color="auto" w:fill="EAF0F4"/>
            <w:tcMar>
              <w:top w:w="60" w:type="dxa"/>
              <w:left w:w="90" w:type="dxa"/>
              <w:bottom w:w="60" w:type="dxa"/>
              <w:right w:w="90" w:type="dxa"/>
            </w:tcMar>
            <w:vAlign w:val="center"/>
          </w:tcPr>
          <w:p w14:paraId="1427DF14" w14:textId="77777777" w:rsidR="007B5458" w:rsidRDefault="00000000">
            <w:r>
              <w:rPr>
                <w:color w:val="000000"/>
                <w:sz w:val="17"/>
                <w:szCs w:val="17"/>
              </w:rPr>
              <w:t>Accountable for financial-impact quantification, budget integrity and insurance recovery.</w:t>
            </w:r>
          </w:p>
        </w:tc>
        <w:tc>
          <w:tcPr>
            <w:tcW w:w="2000" w:type="dxa"/>
            <w:shd w:val="clear" w:color="auto" w:fill="EAF0F4"/>
            <w:tcMar>
              <w:top w:w="60" w:type="dxa"/>
              <w:left w:w="90" w:type="dxa"/>
              <w:bottom w:w="60" w:type="dxa"/>
              <w:right w:w="90" w:type="dxa"/>
            </w:tcMar>
            <w:vAlign w:val="center"/>
          </w:tcPr>
          <w:p w14:paraId="58A5B2BE" w14:textId="77777777" w:rsidR="007B5458" w:rsidRDefault="00000000">
            <w:r>
              <w:rPr>
                <w:color w:val="000000"/>
                <w:sz w:val="17"/>
                <w:szCs w:val="17"/>
              </w:rPr>
              <w:t>Consults CISO on cost estimates, Legal on insurance/contract terms, CRO on risk-financing strategy.</w:t>
            </w:r>
          </w:p>
        </w:tc>
        <w:tc>
          <w:tcPr>
            <w:tcW w:w="2100" w:type="dxa"/>
            <w:shd w:val="clear" w:color="auto" w:fill="EAF0F4"/>
            <w:tcMar>
              <w:top w:w="60" w:type="dxa"/>
              <w:left w:w="90" w:type="dxa"/>
              <w:bottom w:w="60" w:type="dxa"/>
              <w:right w:w="90" w:type="dxa"/>
            </w:tcMar>
            <w:vAlign w:val="center"/>
          </w:tcPr>
          <w:p w14:paraId="67C710DE" w14:textId="77777777" w:rsidR="007B5458" w:rsidRDefault="00000000">
            <w:r>
              <w:rPr>
                <w:color w:val="000000"/>
                <w:sz w:val="17"/>
                <w:szCs w:val="17"/>
              </w:rPr>
              <w:t>Reports to CEO/CFO; briefs the Board on the financial dimension of cyber risk and incidents.</w:t>
            </w:r>
          </w:p>
        </w:tc>
      </w:tr>
      <w:tr w:rsidR="007B5458" w14:paraId="62247900" w14:textId="77777777">
        <w:tblPrEx>
          <w:tblCellMar>
            <w:top w:w="0" w:type="dxa"/>
            <w:bottom w:w="0" w:type="dxa"/>
          </w:tblCellMar>
        </w:tblPrEx>
        <w:tc>
          <w:tcPr>
            <w:tcW w:w="1700" w:type="dxa"/>
            <w:tcMar>
              <w:top w:w="60" w:type="dxa"/>
              <w:left w:w="90" w:type="dxa"/>
              <w:bottom w:w="60" w:type="dxa"/>
              <w:right w:w="90" w:type="dxa"/>
            </w:tcMar>
            <w:vAlign w:val="center"/>
          </w:tcPr>
          <w:p w14:paraId="3713B034" w14:textId="77777777" w:rsidR="007B5458" w:rsidRDefault="00000000">
            <w:r>
              <w:rPr>
                <w:color w:val="000000"/>
                <w:sz w:val="17"/>
                <w:szCs w:val="17"/>
              </w:rPr>
              <w:t>Human Resources</w:t>
            </w:r>
          </w:p>
        </w:tc>
        <w:tc>
          <w:tcPr>
            <w:tcW w:w="2200" w:type="dxa"/>
            <w:tcMar>
              <w:top w:w="60" w:type="dxa"/>
              <w:left w:w="90" w:type="dxa"/>
              <w:bottom w:w="60" w:type="dxa"/>
              <w:right w:w="90" w:type="dxa"/>
            </w:tcMar>
            <w:vAlign w:val="center"/>
          </w:tcPr>
          <w:p w14:paraId="095B7A0F" w14:textId="77777777" w:rsidR="007B5458" w:rsidRDefault="00000000">
            <w:r>
              <w:rPr>
                <w:color w:val="000000"/>
                <w:sz w:val="17"/>
                <w:szCs w:val="17"/>
              </w:rPr>
              <w:t>Approves disciplinary action for security-policy violations; owns the group-wide security-awareness programme across all five offices.</w:t>
            </w:r>
          </w:p>
        </w:tc>
        <w:tc>
          <w:tcPr>
            <w:tcW w:w="2000" w:type="dxa"/>
            <w:tcMar>
              <w:top w:w="60" w:type="dxa"/>
              <w:left w:w="90" w:type="dxa"/>
              <w:bottom w:w="60" w:type="dxa"/>
              <w:right w:w="90" w:type="dxa"/>
            </w:tcMar>
            <w:vAlign w:val="center"/>
          </w:tcPr>
          <w:p w14:paraId="156649A6" w14:textId="77777777" w:rsidR="007B5458" w:rsidRDefault="00000000">
            <w:r>
              <w:rPr>
                <w:color w:val="000000"/>
                <w:sz w:val="17"/>
                <w:szCs w:val="17"/>
              </w:rPr>
              <w:t>Accountable for personnel-related risk (insider-threat indicators, joiner-mover-leaver access hygiene) and fair process.</w:t>
            </w:r>
          </w:p>
        </w:tc>
        <w:tc>
          <w:tcPr>
            <w:tcW w:w="2000" w:type="dxa"/>
            <w:tcMar>
              <w:top w:w="60" w:type="dxa"/>
              <w:left w:w="90" w:type="dxa"/>
              <w:bottom w:w="60" w:type="dxa"/>
              <w:right w:w="90" w:type="dxa"/>
            </w:tcMar>
            <w:vAlign w:val="center"/>
          </w:tcPr>
          <w:p w14:paraId="102421A0" w14:textId="77777777" w:rsidR="007B5458" w:rsidRDefault="00000000">
            <w:r>
              <w:rPr>
                <w:color w:val="000000"/>
                <w:sz w:val="17"/>
                <w:szCs w:val="17"/>
              </w:rPr>
              <w:t>Consults CISO/Legal before disciplinary action tied to a security incident; consults IT on access-timing at each office.</w:t>
            </w:r>
          </w:p>
        </w:tc>
        <w:tc>
          <w:tcPr>
            <w:tcW w:w="2100" w:type="dxa"/>
            <w:tcMar>
              <w:top w:w="60" w:type="dxa"/>
              <w:left w:w="90" w:type="dxa"/>
              <w:bottom w:w="60" w:type="dxa"/>
              <w:right w:w="90" w:type="dxa"/>
            </w:tcMar>
            <w:vAlign w:val="center"/>
          </w:tcPr>
          <w:p w14:paraId="552AB311" w14:textId="77777777" w:rsidR="007B5458" w:rsidRDefault="00000000">
            <w:r>
              <w:rPr>
                <w:color w:val="000000"/>
                <w:sz w:val="17"/>
                <w:szCs w:val="17"/>
              </w:rPr>
              <w:t>Reports to CEO/Head of HR; coordinates with CISO on awareness metrics and with IT on the access lifecycle.</w:t>
            </w:r>
          </w:p>
        </w:tc>
      </w:tr>
      <w:tr w:rsidR="007B5458" w14:paraId="1A01065A" w14:textId="77777777">
        <w:tblPrEx>
          <w:tblCellMar>
            <w:top w:w="0" w:type="dxa"/>
            <w:bottom w:w="0" w:type="dxa"/>
          </w:tblCellMar>
        </w:tblPrEx>
        <w:tc>
          <w:tcPr>
            <w:tcW w:w="1700" w:type="dxa"/>
            <w:shd w:val="clear" w:color="auto" w:fill="EAF0F4"/>
            <w:tcMar>
              <w:top w:w="60" w:type="dxa"/>
              <w:left w:w="90" w:type="dxa"/>
              <w:bottom w:w="60" w:type="dxa"/>
              <w:right w:w="90" w:type="dxa"/>
            </w:tcMar>
            <w:vAlign w:val="center"/>
          </w:tcPr>
          <w:p w14:paraId="2C42EF6F" w14:textId="77777777" w:rsidR="007B5458" w:rsidRDefault="00000000">
            <w:r>
              <w:rPr>
                <w:color w:val="000000"/>
                <w:sz w:val="17"/>
                <w:szCs w:val="17"/>
              </w:rPr>
              <w:t>Information Technology (IT Director / IT function)</w:t>
            </w:r>
          </w:p>
        </w:tc>
        <w:tc>
          <w:tcPr>
            <w:tcW w:w="2200" w:type="dxa"/>
            <w:shd w:val="clear" w:color="auto" w:fill="EAF0F4"/>
            <w:tcMar>
              <w:top w:w="60" w:type="dxa"/>
              <w:left w:w="90" w:type="dxa"/>
              <w:bottom w:w="60" w:type="dxa"/>
              <w:right w:w="90" w:type="dxa"/>
            </w:tcMar>
            <w:vAlign w:val="center"/>
          </w:tcPr>
          <w:p w14:paraId="1EE84786" w14:textId="77777777" w:rsidR="007B5458" w:rsidRDefault="00000000">
            <w:r>
              <w:rPr>
                <w:color w:val="000000"/>
                <w:sz w:val="17"/>
                <w:szCs w:val="17"/>
              </w:rPr>
              <w:t>Approves technical implementation of approved controls; executes access provisioning and system changes across all offices.</w:t>
            </w:r>
          </w:p>
        </w:tc>
        <w:tc>
          <w:tcPr>
            <w:tcW w:w="2000" w:type="dxa"/>
            <w:shd w:val="clear" w:color="auto" w:fill="EAF0F4"/>
            <w:tcMar>
              <w:top w:w="60" w:type="dxa"/>
              <w:left w:w="90" w:type="dxa"/>
              <w:bottom w:w="60" w:type="dxa"/>
              <w:right w:w="90" w:type="dxa"/>
            </w:tcMar>
            <w:vAlign w:val="center"/>
          </w:tcPr>
          <w:p w14:paraId="500C9D1F" w14:textId="77777777" w:rsidR="007B5458" w:rsidRDefault="00000000">
            <w:r>
              <w:rPr>
                <w:color w:val="000000"/>
                <w:sz w:val="17"/>
                <w:szCs w:val="17"/>
              </w:rPr>
              <w:t>Accountable for control implementation, system availability and technical remediation timelines — no longer for policy approval or risk acceptance.</w:t>
            </w:r>
          </w:p>
        </w:tc>
        <w:tc>
          <w:tcPr>
            <w:tcW w:w="2000" w:type="dxa"/>
            <w:shd w:val="clear" w:color="auto" w:fill="EAF0F4"/>
            <w:tcMar>
              <w:top w:w="60" w:type="dxa"/>
              <w:left w:w="90" w:type="dxa"/>
              <w:bottom w:w="60" w:type="dxa"/>
              <w:right w:w="90" w:type="dxa"/>
            </w:tcMar>
            <w:vAlign w:val="center"/>
          </w:tcPr>
          <w:p w14:paraId="0EF48602" w14:textId="77777777" w:rsidR="007B5458" w:rsidRDefault="00000000">
            <w:r>
              <w:rPr>
                <w:color w:val="000000"/>
                <w:sz w:val="17"/>
                <w:szCs w:val="17"/>
              </w:rPr>
              <w:t>Consults CISO before deploying changes with security impact; consults CRO/Finance on infrastructure investment trade-offs.</w:t>
            </w:r>
          </w:p>
        </w:tc>
        <w:tc>
          <w:tcPr>
            <w:tcW w:w="2100" w:type="dxa"/>
            <w:shd w:val="clear" w:color="auto" w:fill="EAF0F4"/>
            <w:tcMar>
              <w:top w:w="60" w:type="dxa"/>
              <w:left w:w="90" w:type="dxa"/>
              <w:bottom w:w="60" w:type="dxa"/>
              <w:right w:w="90" w:type="dxa"/>
            </w:tcMar>
            <w:vAlign w:val="center"/>
          </w:tcPr>
          <w:p w14:paraId="55C5A2BD" w14:textId="77777777" w:rsidR="007B5458" w:rsidRDefault="00000000">
            <w:r>
              <w:rPr>
                <w:color w:val="000000"/>
                <w:sz w:val="17"/>
                <w:szCs w:val="17"/>
              </w:rPr>
              <w:t>Reports to CIO/COO; is now a control operator within the new model, not the final approver of security policy or risk acceptance (see Section 7).</w:t>
            </w:r>
          </w:p>
        </w:tc>
      </w:tr>
    </w:tbl>
    <w:p w14:paraId="345D6E6E" w14:textId="77777777" w:rsidR="007B5458" w:rsidRDefault="00000000">
      <w:r>
        <w:br w:type="page"/>
      </w:r>
    </w:p>
    <w:p w14:paraId="7F625397" w14:textId="77777777" w:rsidR="007B5458" w:rsidRDefault="00000000">
      <w:pPr>
        <w:pStyle w:val="Heading1"/>
        <w:spacing w:before="360" w:after="160"/>
      </w:pPr>
      <w:r>
        <w:rPr>
          <w:b/>
          <w:bCs/>
          <w:color w:val="1B3A5C"/>
          <w:sz w:val="30"/>
          <w:szCs w:val="30"/>
        </w:rPr>
        <w:lastRenderedPageBreak/>
        <w:t>4. Security Governance Committee Ecosystem</w:t>
      </w:r>
    </w:p>
    <w:p w14:paraId="7A2DBBB1" w14:textId="77777777" w:rsidR="007B5458" w:rsidRDefault="00000000">
      <w:pPr>
        <w:spacing w:after="160" w:line="276" w:lineRule="auto"/>
      </w:pPr>
      <w:r>
        <w:t>Five bodies replace today's single informal decision point. Each has a distinct purpose, a named chair, defined membership, a meeting cadence, and explicit decision rights — so that, unlike the current model, every security decision of consequence is made by a defined group against a defined mandate, not by one person's judgement on a given day.</w:t>
      </w:r>
    </w:p>
    <w:tbl>
      <w:tblPr>
        <w:tblW w:w="10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900"/>
        <w:gridCol w:w="2500"/>
        <w:gridCol w:w="2400"/>
        <w:gridCol w:w="1400"/>
        <w:gridCol w:w="1800"/>
      </w:tblGrid>
      <w:tr w:rsidR="007B5458" w14:paraId="73B04567" w14:textId="77777777">
        <w:tblPrEx>
          <w:tblCellMar>
            <w:top w:w="0" w:type="dxa"/>
            <w:bottom w:w="0" w:type="dxa"/>
          </w:tblCellMar>
        </w:tblPrEx>
        <w:trPr>
          <w:tblHeader/>
        </w:trPr>
        <w:tc>
          <w:tcPr>
            <w:tcW w:w="1900" w:type="dxa"/>
            <w:shd w:val="clear" w:color="auto" w:fill="1B3A5C"/>
            <w:tcMar>
              <w:top w:w="60" w:type="dxa"/>
              <w:left w:w="90" w:type="dxa"/>
              <w:bottom w:w="60" w:type="dxa"/>
              <w:right w:w="90" w:type="dxa"/>
            </w:tcMar>
            <w:vAlign w:val="center"/>
          </w:tcPr>
          <w:p w14:paraId="47866E9C" w14:textId="77777777" w:rsidR="007B5458" w:rsidRDefault="00000000">
            <w:r>
              <w:rPr>
                <w:b/>
                <w:bCs/>
                <w:color w:val="FFFFFF"/>
                <w:sz w:val="17"/>
                <w:szCs w:val="17"/>
              </w:rPr>
              <w:t>Committee</w:t>
            </w:r>
          </w:p>
        </w:tc>
        <w:tc>
          <w:tcPr>
            <w:tcW w:w="2500" w:type="dxa"/>
            <w:shd w:val="clear" w:color="auto" w:fill="1B3A5C"/>
            <w:tcMar>
              <w:top w:w="60" w:type="dxa"/>
              <w:left w:w="90" w:type="dxa"/>
              <w:bottom w:w="60" w:type="dxa"/>
              <w:right w:w="90" w:type="dxa"/>
            </w:tcMar>
            <w:vAlign w:val="center"/>
          </w:tcPr>
          <w:p w14:paraId="0B4E3383" w14:textId="77777777" w:rsidR="007B5458" w:rsidRDefault="00000000">
            <w:r>
              <w:rPr>
                <w:b/>
                <w:bCs/>
                <w:color w:val="FFFFFF"/>
                <w:sz w:val="17"/>
                <w:szCs w:val="17"/>
              </w:rPr>
              <w:t>Purpose</w:t>
            </w:r>
          </w:p>
        </w:tc>
        <w:tc>
          <w:tcPr>
            <w:tcW w:w="2400" w:type="dxa"/>
            <w:shd w:val="clear" w:color="auto" w:fill="1B3A5C"/>
            <w:tcMar>
              <w:top w:w="60" w:type="dxa"/>
              <w:left w:w="90" w:type="dxa"/>
              <w:bottom w:w="60" w:type="dxa"/>
              <w:right w:w="90" w:type="dxa"/>
            </w:tcMar>
            <w:vAlign w:val="center"/>
          </w:tcPr>
          <w:p w14:paraId="521ADE16" w14:textId="77777777" w:rsidR="007B5458" w:rsidRDefault="00000000">
            <w:r>
              <w:rPr>
                <w:b/>
                <w:bCs/>
                <w:color w:val="FFFFFF"/>
                <w:sz w:val="17"/>
                <w:szCs w:val="17"/>
              </w:rPr>
              <w:t>Chair / Core Membership</w:t>
            </w:r>
          </w:p>
        </w:tc>
        <w:tc>
          <w:tcPr>
            <w:tcW w:w="1400" w:type="dxa"/>
            <w:shd w:val="clear" w:color="auto" w:fill="1B3A5C"/>
            <w:tcMar>
              <w:top w:w="60" w:type="dxa"/>
              <w:left w:w="90" w:type="dxa"/>
              <w:bottom w:w="60" w:type="dxa"/>
              <w:right w:w="90" w:type="dxa"/>
            </w:tcMar>
            <w:vAlign w:val="center"/>
          </w:tcPr>
          <w:p w14:paraId="6BC6E65A" w14:textId="77777777" w:rsidR="007B5458" w:rsidRDefault="00000000">
            <w:r>
              <w:rPr>
                <w:b/>
                <w:bCs/>
                <w:color w:val="FFFFFF"/>
                <w:sz w:val="17"/>
                <w:szCs w:val="17"/>
              </w:rPr>
              <w:t>Frequency</w:t>
            </w:r>
          </w:p>
        </w:tc>
        <w:tc>
          <w:tcPr>
            <w:tcW w:w="1800" w:type="dxa"/>
            <w:shd w:val="clear" w:color="auto" w:fill="1B3A5C"/>
            <w:tcMar>
              <w:top w:w="60" w:type="dxa"/>
              <w:left w:w="90" w:type="dxa"/>
              <w:bottom w:w="60" w:type="dxa"/>
              <w:right w:w="90" w:type="dxa"/>
            </w:tcMar>
            <w:vAlign w:val="center"/>
          </w:tcPr>
          <w:p w14:paraId="48800E45" w14:textId="77777777" w:rsidR="007B5458" w:rsidRDefault="00000000">
            <w:r>
              <w:rPr>
                <w:b/>
                <w:bCs/>
                <w:color w:val="FFFFFF"/>
                <w:sz w:val="17"/>
                <w:szCs w:val="17"/>
              </w:rPr>
              <w:t>Decision Authority</w:t>
            </w:r>
          </w:p>
        </w:tc>
      </w:tr>
      <w:tr w:rsidR="007B5458" w14:paraId="57D1208D" w14:textId="77777777">
        <w:tblPrEx>
          <w:tblCellMar>
            <w:top w:w="0" w:type="dxa"/>
            <w:bottom w:w="0" w:type="dxa"/>
          </w:tblCellMar>
        </w:tblPrEx>
        <w:tc>
          <w:tcPr>
            <w:tcW w:w="1900" w:type="dxa"/>
            <w:tcMar>
              <w:top w:w="60" w:type="dxa"/>
              <w:left w:w="90" w:type="dxa"/>
              <w:bottom w:w="60" w:type="dxa"/>
              <w:right w:w="90" w:type="dxa"/>
            </w:tcMar>
            <w:vAlign w:val="center"/>
          </w:tcPr>
          <w:p w14:paraId="4C63868A" w14:textId="77777777" w:rsidR="007B5458" w:rsidRDefault="00000000">
            <w:r>
              <w:rPr>
                <w:color w:val="000000"/>
                <w:sz w:val="17"/>
                <w:szCs w:val="17"/>
              </w:rPr>
              <w:t>Board Risk &amp; Audit Committee</w:t>
            </w:r>
          </w:p>
        </w:tc>
        <w:tc>
          <w:tcPr>
            <w:tcW w:w="2500" w:type="dxa"/>
            <w:tcMar>
              <w:top w:w="60" w:type="dxa"/>
              <w:left w:w="90" w:type="dxa"/>
              <w:bottom w:w="60" w:type="dxa"/>
              <w:right w:w="90" w:type="dxa"/>
            </w:tcMar>
            <w:vAlign w:val="center"/>
          </w:tcPr>
          <w:p w14:paraId="212D3B5E" w14:textId="77777777" w:rsidR="007B5458" w:rsidRDefault="00000000">
            <w:r>
              <w:rPr>
                <w:color w:val="000000"/>
                <w:sz w:val="17"/>
                <w:szCs w:val="17"/>
              </w:rPr>
              <w:t>Ultimate oversight of enterprise and cyber risk appetite; independent assurance.</w:t>
            </w:r>
          </w:p>
        </w:tc>
        <w:tc>
          <w:tcPr>
            <w:tcW w:w="2400" w:type="dxa"/>
            <w:tcMar>
              <w:top w:w="60" w:type="dxa"/>
              <w:left w:w="90" w:type="dxa"/>
              <w:bottom w:w="60" w:type="dxa"/>
              <w:right w:w="90" w:type="dxa"/>
            </w:tcMar>
            <w:vAlign w:val="center"/>
          </w:tcPr>
          <w:p w14:paraId="5F4B59D1" w14:textId="77777777" w:rsidR="007B5458" w:rsidRDefault="00000000">
            <w:r>
              <w:rPr>
                <w:color w:val="000000"/>
                <w:sz w:val="17"/>
                <w:szCs w:val="17"/>
              </w:rPr>
              <w:t>Independent Director (Chair); CEO and CISO attend by invitation.</w:t>
            </w:r>
          </w:p>
        </w:tc>
        <w:tc>
          <w:tcPr>
            <w:tcW w:w="1400" w:type="dxa"/>
            <w:tcMar>
              <w:top w:w="60" w:type="dxa"/>
              <w:left w:w="90" w:type="dxa"/>
              <w:bottom w:w="60" w:type="dxa"/>
              <w:right w:w="90" w:type="dxa"/>
            </w:tcMar>
            <w:vAlign w:val="center"/>
          </w:tcPr>
          <w:p w14:paraId="68C18A81" w14:textId="77777777" w:rsidR="007B5458" w:rsidRDefault="00000000">
            <w:r>
              <w:rPr>
                <w:color w:val="000000"/>
                <w:sz w:val="17"/>
                <w:szCs w:val="17"/>
              </w:rPr>
              <w:t>Quarterly, plus ad hoc for material incidents.</w:t>
            </w:r>
          </w:p>
        </w:tc>
        <w:tc>
          <w:tcPr>
            <w:tcW w:w="1800" w:type="dxa"/>
            <w:tcMar>
              <w:top w:w="60" w:type="dxa"/>
              <w:left w:w="90" w:type="dxa"/>
              <w:bottom w:w="60" w:type="dxa"/>
              <w:right w:w="90" w:type="dxa"/>
            </w:tcMar>
            <w:vAlign w:val="center"/>
          </w:tcPr>
          <w:p w14:paraId="63EB6010" w14:textId="77777777" w:rsidR="007B5458" w:rsidRDefault="00000000">
            <w:r>
              <w:rPr>
                <w:color w:val="000000"/>
                <w:sz w:val="17"/>
                <w:szCs w:val="17"/>
              </w:rPr>
              <w:t>Approves risk appetite; final risk-acceptance authority above the CEO's delegated limit; commissions independent audit.</w:t>
            </w:r>
          </w:p>
        </w:tc>
      </w:tr>
      <w:tr w:rsidR="007B5458" w14:paraId="73B2DFCB" w14:textId="77777777">
        <w:tblPrEx>
          <w:tblCellMar>
            <w:top w:w="0" w:type="dxa"/>
            <w:bottom w:w="0" w:type="dxa"/>
          </w:tblCellMar>
        </w:tblPrEx>
        <w:tc>
          <w:tcPr>
            <w:tcW w:w="1900" w:type="dxa"/>
            <w:shd w:val="clear" w:color="auto" w:fill="EAF0F4"/>
            <w:tcMar>
              <w:top w:w="60" w:type="dxa"/>
              <w:left w:w="90" w:type="dxa"/>
              <w:bottom w:w="60" w:type="dxa"/>
              <w:right w:w="90" w:type="dxa"/>
            </w:tcMar>
            <w:vAlign w:val="center"/>
          </w:tcPr>
          <w:p w14:paraId="0CDA99CB" w14:textId="77777777" w:rsidR="007B5458" w:rsidRDefault="00000000">
            <w:r>
              <w:rPr>
                <w:color w:val="000000"/>
                <w:sz w:val="17"/>
                <w:szCs w:val="17"/>
              </w:rPr>
              <w:t>Executive Security Steering Committee</w:t>
            </w:r>
          </w:p>
        </w:tc>
        <w:tc>
          <w:tcPr>
            <w:tcW w:w="2500" w:type="dxa"/>
            <w:shd w:val="clear" w:color="auto" w:fill="EAF0F4"/>
            <w:tcMar>
              <w:top w:w="60" w:type="dxa"/>
              <w:left w:w="90" w:type="dxa"/>
              <w:bottom w:w="60" w:type="dxa"/>
              <w:right w:w="90" w:type="dxa"/>
            </w:tcMar>
            <w:vAlign w:val="center"/>
          </w:tcPr>
          <w:p w14:paraId="394AA8AF" w14:textId="77777777" w:rsidR="007B5458" w:rsidRDefault="00000000">
            <w:r>
              <w:rPr>
                <w:color w:val="000000"/>
                <w:sz w:val="17"/>
                <w:szCs w:val="17"/>
              </w:rPr>
              <w:t>Cross-functional forum translating Board risk appetite into strategy, policy and budget.</w:t>
            </w:r>
          </w:p>
        </w:tc>
        <w:tc>
          <w:tcPr>
            <w:tcW w:w="2400" w:type="dxa"/>
            <w:shd w:val="clear" w:color="auto" w:fill="EAF0F4"/>
            <w:tcMar>
              <w:top w:w="60" w:type="dxa"/>
              <w:left w:w="90" w:type="dxa"/>
              <w:bottom w:w="60" w:type="dxa"/>
              <w:right w:w="90" w:type="dxa"/>
            </w:tcMar>
            <w:vAlign w:val="center"/>
          </w:tcPr>
          <w:p w14:paraId="0036144D" w14:textId="77777777" w:rsidR="007B5458" w:rsidRDefault="00000000">
            <w:r>
              <w:rPr>
                <w:color w:val="000000"/>
                <w:sz w:val="17"/>
                <w:szCs w:val="17"/>
              </w:rPr>
              <w:t>CEO (Chair); CRO, CISO, Legal, Finance, HR, and a rotating business-unit lead.</w:t>
            </w:r>
          </w:p>
        </w:tc>
        <w:tc>
          <w:tcPr>
            <w:tcW w:w="1400" w:type="dxa"/>
            <w:shd w:val="clear" w:color="auto" w:fill="EAF0F4"/>
            <w:tcMar>
              <w:top w:w="60" w:type="dxa"/>
              <w:left w:w="90" w:type="dxa"/>
              <w:bottom w:w="60" w:type="dxa"/>
              <w:right w:w="90" w:type="dxa"/>
            </w:tcMar>
            <w:vAlign w:val="center"/>
          </w:tcPr>
          <w:p w14:paraId="35B56F77" w14:textId="77777777" w:rsidR="007B5458" w:rsidRDefault="00000000">
            <w:r>
              <w:rPr>
                <w:color w:val="000000"/>
                <w:sz w:val="17"/>
                <w:szCs w:val="17"/>
              </w:rPr>
              <w:t>Monthly.</w:t>
            </w:r>
          </w:p>
        </w:tc>
        <w:tc>
          <w:tcPr>
            <w:tcW w:w="1800" w:type="dxa"/>
            <w:shd w:val="clear" w:color="auto" w:fill="EAF0F4"/>
            <w:tcMar>
              <w:top w:w="60" w:type="dxa"/>
              <w:left w:w="90" w:type="dxa"/>
              <w:bottom w:w="60" w:type="dxa"/>
              <w:right w:w="90" w:type="dxa"/>
            </w:tcMar>
            <w:vAlign w:val="center"/>
          </w:tcPr>
          <w:p w14:paraId="0C82097E" w14:textId="77777777" w:rsidR="007B5458" w:rsidRDefault="00000000">
            <w:r>
              <w:rPr>
                <w:color w:val="000000"/>
                <w:sz w:val="17"/>
                <w:szCs w:val="17"/>
              </w:rPr>
              <w:t>Approves security strategy, policy (on CISO's recommendation), and budget prioritisation; owns Executive-level incident escalation.</w:t>
            </w:r>
          </w:p>
        </w:tc>
      </w:tr>
      <w:tr w:rsidR="007B5458" w14:paraId="40DDE3ED" w14:textId="77777777">
        <w:tblPrEx>
          <w:tblCellMar>
            <w:top w:w="0" w:type="dxa"/>
            <w:bottom w:w="0" w:type="dxa"/>
          </w:tblCellMar>
        </w:tblPrEx>
        <w:tc>
          <w:tcPr>
            <w:tcW w:w="1900" w:type="dxa"/>
            <w:tcMar>
              <w:top w:w="60" w:type="dxa"/>
              <w:left w:w="90" w:type="dxa"/>
              <w:bottom w:w="60" w:type="dxa"/>
              <w:right w:w="90" w:type="dxa"/>
            </w:tcMar>
            <w:vAlign w:val="center"/>
          </w:tcPr>
          <w:p w14:paraId="3040515A" w14:textId="77777777" w:rsidR="007B5458" w:rsidRDefault="00000000">
            <w:r>
              <w:rPr>
                <w:color w:val="000000"/>
                <w:sz w:val="17"/>
                <w:szCs w:val="17"/>
              </w:rPr>
              <w:t>Security Governance &amp; Architecture Review Board</w:t>
            </w:r>
          </w:p>
        </w:tc>
        <w:tc>
          <w:tcPr>
            <w:tcW w:w="2500" w:type="dxa"/>
            <w:tcMar>
              <w:top w:w="60" w:type="dxa"/>
              <w:left w:w="90" w:type="dxa"/>
              <w:bottom w:w="60" w:type="dxa"/>
              <w:right w:w="90" w:type="dxa"/>
            </w:tcMar>
            <w:vAlign w:val="center"/>
          </w:tcPr>
          <w:p w14:paraId="2E7DC509" w14:textId="77777777" w:rsidR="007B5458" w:rsidRDefault="00000000">
            <w:r>
              <w:rPr>
                <w:color w:val="000000"/>
                <w:sz w:val="17"/>
                <w:szCs w:val="17"/>
              </w:rPr>
              <w:t>Technical governance: architecture, technology adoption, and control-standard decisions.</w:t>
            </w:r>
          </w:p>
        </w:tc>
        <w:tc>
          <w:tcPr>
            <w:tcW w:w="2400" w:type="dxa"/>
            <w:tcMar>
              <w:top w:w="60" w:type="dxa"/>
              <w:left w:w="90" w:type="dxa"/>
              <w:bottom w:w="60" w:type="dxa"/>
              <w:right w:w="90" w:type="dxa"/>
            </w:tcMar>
            <w:vAlign w:val="center"/>
          </w:tcPr>
          <w:p w14:paraId="29FCADDB" w14:textId="77777777" w:rsidR="007B5458" w:rsidRDefault="00000000">
            <w:r>
              <w:rPr>
                <w:color w:val="000000"/>
                <w:sz w:val="17"/>
                <w:szCs w:val="17"/>
              </w:rPr>
              <w:t>CISO (Chair); IT leadership, Enterprise Architecture, DevOps, Privacy.</w:t>
            </w:r>
          </w:p>
        </w:tc>
        <w:tc>
          <w:tcPr>
            <w:tcW w:w="1400" w:type="dxa"/>
            <w:tcMar>
              <w:top w:w="60" w:type="dxa"/>
              <w:left w:w="90" w:type="dxa"/>
              <w:bottom w:w="60" w:type="dxa"/>
              <w:right w:w="90" w:type="dxa"/>
            </w:tcMar>
            <w:vAlign w:val="center"/>
          </w:tcPr>
          <w:p w14:paraId="5DA67E41" w14:textId="77777777" w:rsidR="007B5458" w:rsidRDefault="00000000">
            <w:r>
              <w:rPr>
                <w:color w:val="000000"/>
                <w:sz w:val="17"/>
                <w:szCs w:val="17"/>
              </w:rPr>
              <w:t>Bi-weekly.</w:t>
            </w:r>
          </w:p>
        </w:tc>
        <w:tc>
          <w:tcPr>
            <w:tcW w:w="1800" w:type="dxa"/>
            <w:tcMar>
              <w:top w:w="60" w:type="dxa"/>
              <w:left w:w="90" w:type="dxa"/>
              <w:bottom w:w="60" w:type="dxa"/>
              <w:right w:w="90" w:type="dxa"/>
            </w:tcMar>
            <w:vAlign w:val="center"/>
          </w:tcPr>
          <w:p w14:paraId="57465955" w14:textId="77777777" w:rsidR="007B5458" w:rsidRDefault="00000000">
            <w:r>
              <w:rPr>
                <w:color w:val="000000"/>
                <w:sz w:val="17"/>
                <w:szCs w:val="17"/>
              </w:rPr>
              <w:t>Approves security architecture, control standards, and any new technology adoption with security impact.</w:t>
            </w:r>
          </w:p>
        </w:tc>
      </w:tr>
      <w:tr w:rsidR="007B5458" w14:paraId="672E7D26" w14:textId="77777777">
        <w:tblPrEx>
          <w:tblCellMar>
            <w:top w:w="0" w:type="dxa"/>
            <w:bottom w:w="0" w:type="dxa"/>
          </w:tblCellMar>
        </w:tblPrEx>
        <w:tc>
          <w:tcPr>
            <w:tcW w:w="1900" w:type="dxa"/>
            <w:shd w:val="clear" w:color="auto" w:fill="EAF0F4"/>
            <w:tcMar>
              <w:top w:w="60" w:type="dxa"/>
              <w:left w:w="90" w:type="dxa"/>
              <w:bottom w:w="60" w:type="dxa"/>
              <w:right w:w="90" w:type="dxa"/>
            </w:tcMar>
            <w:vAlign w:val="center"/>
          </w:tcPr>
          <w:p w14:paraId="1B7DD0F8" w14:textId="77777777" w:rsidR="007B5458" w:rsidRDefault="00000000">
            <w:r>
              <w:rPr>
                <w:color w:val="000000"/>
                <w:sz w:val="17"/>
                <w:szCs w:val="17"/>
              </w:rPr>
              <w:t>Cyber Incident Response Steering Committee</w:t>
            </w:r>
          </w:p>
        </w:tc>
        <w:tc>
          <w:tcPr>
            <w:tcW w:w="2500" w:type="dxa"/>
            <w:shd w:val="clear" w:color="auto" w:fill="EAF0F4"/>
            <w:tcMar>
              <w:top w:w="60" w:type="dxa"/>
              <w:left w:w="90" w:type="dxa"/>
              <w:bottom w:w="60" w:type="dxa"/>
              <w:right w:w="90" w:type="dxa"/>
            </w:tcMar>
            <w:vAlign w:val="center"/>
          </w:tcPr>
          <w:p w14:paraId="44C673B7" w14:textId="77777777" w:rsidR="007B5458" w:rsidRDefault="00000000">
            <w:r>
              <w:rPr>
                <w:color w:val="000000"/>
                <w:sz w:val="17"/>
                <w:szCs w:val="17"/>
              </w:rPr>
              <w:t>Coordinates major incident response across functions, avoiding the Part-A5-style coordination failure of an IT-only response.</w:t>
            </w:r>
          </w:p>
        </w:tc>
        <w:tc>
          <w:tcPr>
            <w:tcW w:w="2400" w:type="dxa"/>
            <w:shd w:val="clear" w:color="auto" w:fill="EAF0F4"/>
            <w:tcMar>
              <w:top w:w="60" w:type="dxa"/>
              <w:left w:w="90" w:type="dxa"/>
              <w:bottom w:w="60" w:type="dxa"/>
              <w:right w:w="90" w:type="dxa"/>
            </w:tcMar>
            <w:vAlign w:val="center"/>
          </w:tcPr>
          <w:p w14:paraId="0C52011C" w14:textId="77777777" w:rsidR="007B5458" w:rsidRDefault="00000000">
            <w:r>
              <w:rPr>
                <w:color w:val="000000"/>
                <w:sz w:val="17"/>
                <w:szCs w:val="17"/>
              </w:rPr>
              <w:t>CISO / named Incident Commander; Legal, Communications, HR, Finance, IT, and the affected office's liaison.</w:t>
            </w:r>
          </w:p>
        </w:tc>
        <w:tc>
          <w:tcPr>
            <w:tcW w:w="1400" w:type="dxa"/>
            <w:shd w:val="clear" w:color="auto" w:fill="EAF0F4"/>
            <w:tcMar>
              <w:top w:w="60" w:type="dxa"/>
              <w:left w:w="90" w:type="dxa"/>
              <w:bottom w:w="60" w:type="dxa"/>
              <w:right w:w="90" w:type="dxa"/>
            </w:tcMar>
            <w:vAlign w:val="center"/>
          </w:tcPr>
          <w:p w14:paraId="4101498B" w14:textId="77777777" w:rsidR="007B5458" w:rsidRDefault="00000000">
            <w:r>
              <w:rPr>
                <w:color w:val="000000"/>
                <w:sz w:val="17"/>
                <w:szCs w:val="17"/>
              </w:rPr>
              <w:t>Activated on demand for Severity ≥ Medium incidents (Section 6).</w:t>
            </w:r>
          </w:p>
        </w:tc>
        <w:tc>
          <w:tcPr>
            <w:tcW w:w="1800" w:type="dxa"/>
            <w:shd w:val="clear" w:color="auto" w:fill="EAF0F4"/>
            <w:tcMar>
              <w:top w:w="60" w:type="dxa"/>
              <w:left w:w="90" w:type="dxa"/>
              <w:bottom w:w="60" w:type="dxa"/>
              <w:right w:w="90" w:type="dxa"/>
            </w:tcMar>
            <w:vAlign w:val="center"/>
          </w:tcPr>
          <w:p w14:paraId="696F2014" w14:textId="77777777" w:rsidR="007B5458" w:rsidRDefault="00000000">
            <w:r>
              <w:rPr>
                <w:color w:val="000000"/>
                <w:sz w:val="17"/>
                <w:szCs w:val="17"/>
              </w:rPr>
              <w:t xml:space="preserve">Approves incident response strategy, interim emergency </w:t>
            </w:r>
            <w:proofErr w:type="gramStart"/>
            <w:r>
              <w:rPr>
                <w:color w:val="000000"/>
                <w:sz w:val="17"/>
                <w:szCs w:val="17"/>
              </w:rPr>
              <w:t>spend</w:t>
            </w:r>
            <w:proofErr w:type="gramEnd"/>
            <w:r>
              <w:rPr>
                <w:color w:val="000000"/>
                <w:sz w:val="17"/>
                <w:szCs w:val="17"/>
              </w:rPr>
              <w:t>, and the public communication position.</w:t>
            </w:r>
          </w:p>
        </w:tc>
      </w:tr>
      <w:tr w:rsidR="007B5458" w14:paraId="6A7C642A" w14:textId="77777777">
        <w:tblPrEx>
          <w:tblCellMar>
            <w:top w:w="0" w:type="dxa"/>
            <w:bottom w:w="0" w:type="dxa"/>
          </w:tblCellMar>
        </w:tblPrEx>
        <w:tc>
          <w:tcPr>
            <w:tcW w:w="1900" w:type="dxa"/>
            <w:tcMar>
              <w:top w:w="60" w:type="dxa"/>
              <w:left w:w="90" w:type="dxa"/>
              <w:bottom w:w="60" w:type="dxa"/>
              <w:right w:w="90" w:type="dxa"/>
            </w:tcMar>
            <w:vAlign w:val="center"/>
          </w:tcPr>
          <w:p w14:paraId="7D840B7E" w14:textId="77777777" w:rsidR="007B5458" w:rsidRDefault="00000000">
            <w:r>
              <w:rPr>
                <w:color w:val="000000"/>
                <w:sz w:val="17"/>
                <w:szCs w:val="17"/>
              </w:rPr>
              <w:t>Regional Security Liaison Forum</w:t>
            </w:r>
          </w:p>
        </w:tc>
        <w:tc>
          <w:tcPr>
            <w:tcW w:w="2500" w:type="dxa"/>
            <w:tcMar>
              <w:top w:w="60" w:type="dxa"/>
              <w:left w:w="90" w:type="dxa"/>
              <w:bottom w:w="60" w:type="dxa"/>
              <w:right w:w="90" w:type="dxa"/>
            </w:tcMar>
            <w:vAlign w:val="center"/>
          </w:tcPr>
          <w:p w14:paraId="4DB9E82B" w14:textId="77777777" w:rsidR="007B5458" w:rsidRDefault="00000000">
            <w:r>
              <w:rPr>
                <w:color w:val="000000"/>
                <w:sz w:val="17"/>
                <w:szCs w:val="17"/>
              </w:rPr>
              <w:t>Aligns practice across the five offices; surfaces local regulatory context and business-unit exceptions.</w:t>
            </w:r>
          </w:p>
        </w:tc>
        <w:tc>
          <w:tcPr>
            <w:tcW w:w="2400" w:type="dxa"/>
            <w:tcMar>
              <w:top w:w="60" w:type="dxa"/>
              <w:left w:w="90" w:type="dxa"/>
              <w:bottom w:w="60" w:type="dxa"/>
              <w:right w:w="90" w:type="dxa"/>
            </w:tcMar>
            <w:vAlign w:val="center"/>
          </w:tcPr>
          <w:p w14:paraId="700C9C26" w14:textId="77777777" w:rsidR="007B5458" w:rsidRDefault="00000000">
            <w:r>
              <w:rPr>
                <w:color w:val="000000"/>
                <w:sz w:val="17"/>
                <w:szCs w:val="17"/>
              </w:rPr>
              <w:t>Head of GRC (Chair); one named security liaison per office, plus regional HR/Legal representation.</w:t>
            </w:r>
          </w:p>
        </w:tc>
        <w:tc>
          <w:tcPr>
            <w:tcW w:w="1400" w:type="dxa"/>
            <w:tcMar>
              <w:top w:w="60" w:type="dxa"/>
              <w:left w:w="90" w:type="dxa"/>
              <w:bottom w:w="60" w:type="dxa"/>
              <w:right w:w="90" w:type="dxa"/>
            </w:tcMar>
            <w:vAlign w:val="center"/>
          </w:tcPr>
          <w:p w14:paraId="2ECF588A" w14:textId="77777777" w:rsidR="007B5458" w:rsidRDefault="00000000">
            <w:r>
              <w:rPr>
                <w:color w:val="000000"/>
                <w:sz w:val="17"/>
                <w:szCs w:val="17"/>
              </w:rPr>
              <w:t>Monthly.</w:t>
            </w:r>
          </w:p>
        </w:tc>
        <w:tc>
          <w:tcPr>
            <w:tcW w:w="1800" w:type="dxa"/>
            <w:tcMar>
              <w:top w:w="60" w:type="dxa"/>
              <w:left w:w="90" w:type="dxa"/>
              <w:bottom w:w="60" w:type="dxa"/>
              <w:right w:w="90" w:type="dxa"/>
            </w:tcMar>
            <w:vAlign w:val="center"/>
          </w:tcPr>
          <w:p w14:paraId="63846DFD" w14:textId="77777777" w:rsidR="007B5458" w:rsidRDefault="00000000">
            <w:r>
              <w:rPr>
                <w:color w:val="000000"/>
                <w:sz w:val="17"/>
                <w:szCs w:val="17"/>
              </w:rPr>
              <w:t>Raises business-unit exceptions and local risks for approval upward; has no independent approval authority of its own, preventing a repeat of today's inconsistent business-unit decisions.</w:t>
            </w:r>
          </w:p>
        </w:tc>
      </w:tr>
    </w:tbl>
    <w:p w14:paraId="411B969E" w14:textId="77777777" w:rsidR="007B5458" w:rsidRDefault="00000000">
      <w:r>
        <w:br w:type="page"/>
      </w:r>
    </w:p>
    <w:p w14:paraId="5A6E12CC" w14:textId="77777777" w:rsidR="007B5458" w:rsidRDefault="00000000">
      <w:pPr>
        <w:pStyle w:val="Heading1"/>
        <w:spacing w:before="360" w:after="160"/>
      </w:pPr>
      <w:r>
        <w:rPr>
          <w:b/>
          <w:bCs/>
          <w:color w:val="1B3A5C"/>
          <w:sz w:val="30"/>
          <w:szCs w:val="30"/>
        </w:rPr>
        <w:lastRenderedPageBreak/>
        <w:t>5. RACI Matrix — Critical Security-Governance Activities</w:t>
      </w:r>
    </w:p>
    <w:p w14:paraId="4BD40F6C" w14:textId="77777777" w:rsidR="007B5458" w:rsidRDefault="00000000">
      <w:pPr>
        <w:spacing w:after="160" w:line="276" w:lineRule="auto"/>
      </w:pPr>
      <w:r>
        <w:t>The matrix below covers sixteen governance activities, exceeding the minimum of fifteen required. Each activity has exactly one Accountable party, consistent with the principle that ownership of an outcome should not be shared even where the underlying work is. R = Responsible, A = Accountable, C = Consulted, I = Informed.</w:t>
      </w:r>
    </w:p>
    <w:tbl>
      <w:tblPr>
        <w:tblW w:w="99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800"/>
        <w:gridCol w:w="800"/>
        <w:gridCol w:w="800"/>
        <w:gridCol w:w="900"/>
        <w:gridCol w:w="800"/>
        <w:gridCol w:w="900"/>
        <w:gridCol w:w="750"/>
        <w:gridCol w:w="750"/>
      </w:tblGrid>
      <w:tr w:rsidR="007B5458" w14:paraId="76830A97" w14:textId="77777777">
        <w:tblPrEx>
          <w:tblCellMar>
            <w:top w:w="0" w:type="dxa"/>
            <w:bottom w:w="0" w:type="dxa"/>
          </w:tblCellMar>
        </w:tblPrEx>
        <w:trPr>
          <w:tblHeader/>
        </w:trPr>
        <w:tc>
          <w:tcPr>
            <w:tcW w:w="3400" w:type="dxa"/>
            <w:shd w:val="clear" w:color="auto" w:fill="1B3A5C"/>
            <w:tcMar>
              <w:top w:w="60" w:type="dxa"/>
              <w:left w:w="90" w:type="dxa"/>
              <w:bottom w:w="60" w:type="dxa"/>
              <w:right w:w="90" w:type="dxa"/>
            </w:tcMar>
            <w:vAlign w:val="center"/>
          </w:tcPr>
          <w:p w14:paraId="216090FB" w14:textId="77777777" w:rsidR="007B5458" w:rsidRDefault="00000000">
            <w:r>
              <w:rPr>
                <w:b/>
                <w:bCs/>
                <w:color w:val="FFFFFF"/>
                <w:sz w:val="17"/>
                <w:szCs w:val="17"/>
              </w:rPr>
              <w:t>Governance Activity</w:t>
            </w:r>
          </w:p>
        </w:tc>
        <w:tc>
          <w:tcPr>
            <w:tcW w:w="800" w:type="dxa"/>
            <w:shd w:val="clear" w:color="auto" w:fill="1B3A5C"/>
            <w:tcMar>
              <w:top w:w="60" w:type="dxa"/>
              <w:left w:w="90" w:type="dxa"/>
              <w:bottom w:w="60" w:type="dxa"/>
              <w:right w:w="90" w:type="dxa"/>
            </w:tcMar>
            <w:vAlign w:val="center"/>
          </w:tcPr>
          <w:p w14:paraId="10A6B27F" w14:textId="77777777" w:rsidR="007B5458" w:rsidRDefault="00000000">
            <w:r>
              <w:rPr>
                <w:b/>
                <w:bCs/>
                <w:color w:val="FFFFFF"/>
                <w:sz w:val="17"/>
                <w:szCs w:val="17"/>
              </w:rPr>
              <w:t>Board</w:t>
            </w:r>
          </w:p>
        </w:tc>
        <w:tc>
          <w:tcPr>
            <w:tcW w:w="800" w:type="dxa"/>
            <w:shd w:val="clear" w:color="auto" w:fill="1B3A5C"/>
            <w:tcMar>
              <w:top w:w="60" w:type="dxa"/>
              <w:left w:w="90" w:type="dxa"/>
              <w:bottom w:w="60" w:type="dxa"/>
              <w:right w:w="90" w:type="dxa"/>
            </w:tcMar>
            <w:vAlign w:val="center"/>
          </w:tcPr>
          <w:p w14:paraId="661A6649" w14:textId="77777777" w:rsidR="007B5458" w:rsidRDefault="00000000">
            <w:r>
              <w:rPr>
                <w:b/>
                <w:bCs/>
                <w:color w:val="FFFFFF"/>
                <w:sz w:val="17"/>
                <w:szCs w:val="17"/>
              </w:rPr>
              <w:t>CEO</w:t>
            </w:r>
          </w:p>
        </w:tc>
        <w:tc>
          <w:tcPr>
            <w:tcW w:w="800" w:type="dxa"/>
            <w:shd w:val="clear" w:color="auto" w:fill="1B3A5C"/>
            <w:tcMar>
              <w:top w:w="60" w:type="dxa"/>
              <w:left w:w="90" w:type="dxa"/>
              <w:bottom w:w="60" w:type="dxa"/>
              <w:right w:w="90" w:type="dxa"/>
            </w:tcMar>
            <w:vAlign w:val="center"/>
          </w:tcPr>
          <w:p w14:paraId="1DD2E88C" w14:textId="77777777" w:rsidR="007B5458" w:rsidRDefault="00000000">
            <w:r>
              <w:rPr>
                <w:b/>
                <w:bCs/>
                <w:color w:val="FFFFFF"/>
                <w:sz w:val="17"/>
                <w:szCs w:val="17"/>
              </w:rPr>
              <w:t>CISO</w:t>
            </w:r>
          </w:p>
        </w:tc>
        <w:tc>
          <w:tcPr>
            <w:tcW w:w="900" w:type="dxa"/>
            <w:shd w:val="clear" w:color="auto" w:fill="1B3A5C"/>
            <w:tcMar>
              <w:top w:w="60" w:type="dxa"/>
              <w:left w:w="90" w:type="dxa"/>
              <w:bottom w:w="60" w:type="dxa"/>
              <w:right w:w="90" w:type="dxa"/>
            </w:tcMar>
            <w:vAlign w:val="center"/>
          </w:tcPr>
          <w:p w14:paraId="3F2FF729" w14:textId="77777777" w:rsidR="007B5458" w:rsidRDefault="00000000">
            <w:r>
              <w:rPr>
                <w:b/>
                <w:bCs/>
                <w:color w:val="FFFFFF"/>
                <w:sz w:val="17"/>
                <w:szCs w:val="17"/>
              </w:rPr>
              <w:t>CRO/Risk</w:t>
            </w:r>
          </w:p>
        </w:tc>
        <w:tc>
          <w:tcPr>
            <w:tcW w:w="800" w:type="dxa"/>
            <w:shd w:val="clear" w:color="auto" w:fill="1B3A5C"/>
            <w:tcMar>
              <w:top w:w="60" w:type="dxa"/>
              <w:left w:w="90" w:type="dxa"/>
              <w:bottom w:w="60" w:type="dxa"/>
              <w:right w:w="90" w:type="dxa"/>
            </w:tcMar>
            <w:vAlign w:val="center"/>
          </w:tcPr>
          <w:p w14:paraId="2E29B17E" w14:textId="77777777" w:rsidR="007B5458" w:rsidRDefault="00000000">
            <w:r>
              <w:rPr>
                <w:b/>
                <w:bCs/>
                <w:color w:val="FFFFFF"/>
                <w:sz w:val="17"/>
                <w:szCs w:val="17"/>
              </w:rPr>
              <w:t>Legal</w:t>
            </w:r>
          </w:p>
        </w:tc>
        <w:tc>
          <w:tcPr>
            <w:tcW w:w="900" w:type="dxa"/>
            <w:shd w:val="clear" w:color="auto" w:fill="1B3A5C"/>
            <w:tcMar>
              <w:top w:w="60" w:type="dxa"/>
              <w:left w:w="90" w:type="dxa"/>
              <w:bottom w:w="60" w:type="dxa"/>
              <w:right w:w="90" w:type="dxa"/>
            </w:tcMar>
            <w:vAlign w:val="center"/>
          </w:tcPr>
          <w:p w14:paraId="108B0133" w14:textId="77777777" w:rsidR="007B5458" w:rsidRDefault="00000000">
            <w:r>
              <w:rPr>
                <w:b/>
                <w:bCs/>
                <w:color w:val="FFFFFF"/>
                <w:sz w:val="17"/>
                <w:szCs w:val="17"/>
              </w:rPr>
              <w:t>Finance</w:t>
            </w:r>
          </w:p>
        </w:tc>
        <w:tc>
          <w:tcPr>
            <w:tcW w:w="750" w:type="dxa"/>
            <w:shd w:val="clear" w:color="auto" w:fill="1B3A5C"/>
            <w:tcMar>
              <w:top w:w="60" w:type="dxa"/>
              <w:left w:w="90" w:type="dxa"/>
              <w:bottom w:w="60" w:type="dxa"/>
              <w:right w:w="90" w:type="dxa"/>
            </w:tcMar>
            <w:vAlign w:val="center"/>
          </w:tcPr>
          <w:p w14:paraId="3FB9AD83" w14:textId="77777777" w:rsidR="007B5458" w:rsidRDefault="00000000">
            <w:r>
              <w:rPr>
                <w:b/>
                <w:bCs/>
                <w:color w:val="FFFFFF"/>
                <w:sz w:val="17"/>
                <w:szCs w:val="17"/>
              </w:rPr>
              <w:t>HR</w:t>
            </w:r>
          </w:p>
        </w:tc>
        <w:tc>
          <w:tcPr>
            <w:tcW w:w="750" w:type="dxa"/>
            <w:shd w:val="clear" w:color="auto" w:fill="1B3A5C"/>
            <w:tcMar>
              <w:top w:w="60" w:type="dxa"/>
              <w:left w:w="90" w:type="dxa"/>
              <w:bottom w:w="60" w:type="dxa"/>
              <w:right w:w="90" w:type="dxa"/>
            </w:tcMar>
            <w:vAlign w:val="center"/>
          </w:tcPr>
          <w:p w14:paraId="514245F8" w14:textId="77777777" w:rsidR="007B5458" w:rsidRDefault="00000000">
            <w:r>
              <w:rPr>
                <w:b/>
                <w:bCs/>
                <w:color w:val="FFFFFF"/>
                <w:sz w:val="17"/>
                <w:szCs w:val="17"/>
              </w:rPr>
              <w:t>IT</w:t>
            </w:r>
          </w:p>
        </w:tc>
      </w:tr>
      <w:tr w:rsidR="007B5458" w14:paraId="4F9DBFB3" w14:textId="77777777">
        <w:tblPrEx>
          <w:tblCellMar>
            <w:top w:w="0" w:type="dxa"/>
            <w:bottom w:w="0" w:type="dxa"/>
          </w:tblCellMar>
        </w:tblPrEx>
        <w:tc>
          <w:tcPr>
            <w:tcW w:w="3400" w:type="dxa"/>
            <w:tcMar>
              <w:top w:w="60" w:type="dxa"/>
              <w:left w:w="90" w:type="dxa"/>
              <w:bottom w:w="60" w:type="dxa"/>
              <w:right w:w="90" w:type="dxa"/>
            </w:tcMar>
            <w:vAlign w:val="center"/>
          </w:tcPr>
          <w:p w14:paraId="1C3A3858" w14:textId="77777777" w:rsidR="007B5458" w:rsidRDefault="00000000">
            <w:r>
              <w:rPr>
                <w:color w:val="000000"/>
                <w:sz w:val="17"/>
                <w:szCs w:val="17"/>
              </w:rPr>
              <w:t>1. Security strategy &amp; governance framework approval</w:t>
            </w:r>
          </w:p>
        </w:tc>
        <w:tc>
          <w:tcPr>
            <w:tcW w:w="800" w:type="dxa"/>
            <w:tcMar>
              <w:top w:w="60" w:type="dxa"/>
              <w:left w:w="90" w:type="dxa"/>
              <w:bottom w:w="60" w:type="dxa"/>
              <w:right w:w="90" w:type="dxa"/>
            </w:tcMar>
            <w:vAlign w:val="center"/>
          </w:tcPr>
          <w:p w14:paraId="00905A9E" w14:textId="77777777" w:rsidR="007B5458" w:rsidRDefault="00000000">
            <w:r>
              <w:rPr>
                <w:color w:val="000000"/>
                <w:sz w:val="17"/>
                <w:szCs w:val="17"/>
              </w:rPr>
              <w:t>A</w:t>
            </w:r>
          </w:p>
        </w:tc>
        <w:tc>
          <w:tcPr>
            <w:tcW w:w="800" w:type="dxa"/>
            <w:tcMar>
              <w:top w:w="60" w:type="dxa"/>
              <w:left w:w="90" w:type="dxa"/>
              <w:bottom w:w="60" w:type="dxa"/>
              <w:right w:w="90" w:type="dxa"/>
            </w:tcMar>
            <w:vAlign w:val="center"/>
          </w:tcPr>
          <w:p w14:paraId="3CF12049" w14:textId="77777777" w:rsidR="007B5458" w:rsidRDefault="00000000">
            <w:r>
              <w:rPr>
                <w:color w:val="000000"/>
                <w:sz w:val="17"/>
                <w:szCs w:val="17"/>
              </w:rPr>
              <w:t>R</w:t>
            </w:r>
          </w:p>
        </w:tc>
        <w:tc>
          <w:tcPr>
            <w:tcW w:w="800" w:type="dxa"/>
            <w:tcMar>
              <w:top w:w="60" w:type="dxa"/>
              <w:left w:w="90" w:type="dxa"/>
              <w:bottom w:w="60" w:type="dxa"/>
              <w:right w:w="90" w:type="dxa"/>
            </w:tcMar>
            <w:vAlign w:val="center"/>
          </w:tcPr>
          <w:p w14:paraId="097075E7" w14:textId="77777777" w:rsidR="007B5458" w:rsidRDefault="00000000">
            <w:r>
              <w:rPr>
                <w:color w:val="000000"/>
                <w:sz w:val="17"/>
                <w:szCs w:val="17"/>
              </w:rPr>
              <w:t>R</w:t>
            </w:r>
          </w:p>
        </w:tc>
        <w:tc>
          <w:tcPr>
            <w:tcW w:w="900" w:type="dxa"/>
            <w:tcMar>
              <w:top w:w="60" w:type="dxa"/>
              <w:left w:w="90" w:type="dxa"/>
              <w:bottom w:w="60" w:type="dxa"/>
              <w:right w:w="90" w:type="dxa"/>
            </w:tcMar>
            <w:vAlign w:val="center"/>
          </w:tcPr>
          <w:p w14:paraId="3A67D4A4"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3C557A7C"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3648B7E5" w14:textId="77777777" w:rsidR="007B5458" w:rsidRDefault="00000000">
            <w:r>
              <w:rPr>
                <w:color w:val="000000"/>
                <w:sz w:val="17"/>
                <w:szCs w:val="17"/>
              </w:rPr>
              <w:t>C</w:t>
            </w:r>
          </w:p>
        </w:tc>
        <w:tc>
          <w:tcPr>
            <w:tcW w:w="750" w:type="dxa"/>
            <w:tcMar>
              <w:top w:w="60" w:type="dxa"/>
              <w:left w:w="90" w:type="dxa"/>
              <w:bottom w:w="60" w:type="dxa"/>
              <w:right w:w="90" w:type="dxa"/>
            </w:tcMar>
            <w:vAlign w:val="center"/>
          </w:tcPr>
          <w:p w14:paraId="1EC3A5A8"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52B6F339" w14:textId="77777777" w:rsidR="007B5458" w:rsidRDefault="00000000">
            <w:r>
              <w:rPr>
                <w:color w:val="000000"/>
                <w:sz w:val="17"/>
                <w:szCs w:val="17"/>
              </w:rPr>
              <w:t>C</w:t>
            </w:r>
          </w:p>
        </w:tc>
      </w:tr>
      <w:tr w:rsidR="007B5458" w14:paraId="7BBD91F9"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71D028BD" w14:textId="77777777" w:rsidR="007B5458" w:rsidRDefault="00000000">
            <w:r>
              <w:rPr>
                <w:color w:val="000000"/>
                <w:sz w:val="17"/>
                <w:szCs w:val="17"/>
              </w:rPr>
              <w:t>2. Enterprise cyber-risk appetite &amp; acceptance</w:t>
            </w:r>
          </w:p>
        </w:tc>
        <w:tc>
          <w:tcPr>
            <w:tcW w:w="800" w:type="dxa"/>
            <w:shd w:val="clear" w:color="auto" w:fill="EAF0F4"/>
            <w:tcMar>
              <w:top w:w="60" w:type="dxa"/>
              <w:left w:w="90" w:type="dxa"/>
              <w:bottom w:w="60" w:type="dxa"/>
              <w:right w:w="90" w:type="dxa"/>
            </w:tcMar>
            <w:vAlign w:val="center"/>
          </w:tcPr>
          <w:p w14:paraId="59B7DE62" w14:textId="77777777" w:rsidR="007B5458" w:rsidRDefault="00000000">
            <w:r>
              <w:rPr>
                <w:color w:val="000000"/>
                <w:sz w:val="17"/>
                <w:szCs w:val="17"/>
              </w:rPr>
              <w:t>A</w:t>
            </w:r>
          </w:p>
        </w:tc>
        <w:tc>
          <w:tcPr>
            <w:tcW w:w="800" w:type="dxa"/>
            <w:shd w:val="clear" w:color="auto" w:fill="EAF0F4"/>
            <w:tcMar>
              <w:top w:w="60" w:type="dxa"/>
              <w:left w:w="90" w:type="dxa"/>
              <w:bottom w:w="60" w:type="dxa"/>
              <w:right w:w="90" w:type="dxa"/>
            </w:tcMar>
            <w:vAlign w:val="center"/>
          </w:tcPr>
          <w:p w14:paraId="7DDB3C06" w14:textId="77777777" w:rsidR="007B5458" w:rsidRDefault="00000000">
            <w:r>
              <w:rPr>
                <w:color w:val="000000"/>
                <w:sz w:val="17"/>
                <w:szCs w:val="17"/>
              </w:rPr>
              <w:t>R</w:t>
            </w:r>
          </w:p>
        </w:tc>
        <w:tc>
          <w:tcPr>
            <w:tcW w:w="800" w:type="dxa"/>
            <w:shd w:val="clear" w:color="auto" w:fill="EAF0F4"/>
            <w:tcMar>
              <w:top w:w="60" w:type="dxa"/>
              <w:left w:w="90" w:type="dxa"/>
              <w:bottom w:w="60" w:type="dxa"/>
              <w:right w:w="90" w:type="dxa"/>
            </w:tcMar>
            <w:vAlign w:val="center"/>
          </w:tcPr>
          <w:p w14:paraId="5E9ABDFF"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7177B760" w14:textId="77777777" w:rsidR="007B5458" w:rsidRDefault="00000000">
            <w:r>
              <w:rPr>
                <w:color w:val="000000"/>
                <w:sz w:val="17"/>
                <w:szCs w:val="17"/>
              </w:rPr>
              <w:t>R</w:t>
            </w:r>
          </w:p>
        </w:tc>
        <w:tc>
          <w:tcPr>
            <w:tcW w:w="800" w:type="dxa"/>
            <w:shd w:val="clear" w:color="auto" w:fill="EAF0F4"/>
            <w:tcMar>
              <w:top w:w="60" w:type="dxa"/>
              <w:left w:w="90" w:type="dxa"/>
              <w:bottom w:w="60" w:type="dxa"/>
              <w:right w:w="90" w:type="dxa"/>
            </w:tcMar>
            <w:vAlign w:val="center"/>
          </w:tcPr>
          <w:p w14:paraId="18C2D29E"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0516AAE1" w14:textId="77777777" w:rsidR="007B5458" w:rsidRDefault="00000000">
            <w:r>
              <w:rPr>
                <w:color w:val="000000"/>
                <w:sz w:val="17"/>
                <w:szCs w:val="17"/>
              </w:rPr>
              <w:t>C</w:t>
            </w:r>
          </w:p>
        </w:tc>
        <w:tc>
          <w:tcPr>
            <w:tcW w:w="750" w:type="dxa"/>
            <w:shd w:val="clear" w:color="auto" w:fill="EAF0F4"/>
            <w:tcMar>
              <w:top w:w="60" w:type="dxa"/>
              <w:left w:w="90" w:type="dxa"/>
              <w:bottom w:w="60" w:type="dxa"/>
              <w:right w:w="90" w:type="dxa"/>
            </w:tcMar>
            <w:vAlign w:val="center"/>
          </w:tcPr>
          <w:p w14:paraId="51A6250C"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6DE816BF" w14:textId="77777777" w:rsidR="007B5458" w:rsidRDefault="00000000">
            <w:r>
              <w:rPr>
                <w:color w:val="000000"/>
                <w:sz w:val="17"/>
                <w:szCs w:val="17"/>
              </w:rPr>
              <w:t>I</w:t>
            </w:r>
          </w:p>
        </w:tc>
      </w:tr>
      <w:tr w:rsidR="007B5458" w14:paraId="6D7172DD" w14:textId="77777777">
        <w:tblPrEx>
          <w:tblCellMar>
            <w:top w:w="0" w:type="dxa"/>
            <w:bottom w:w="0" w:type="dxa"/>
          </w:tblCellMar>
        </w:tblPrEx>
        <w:tc>
          <w:tcPr>
            <w:tcW w:w="3400" w:type="dxa"/>
            <w:tcMar>
              <w:top w:w="60" w:type="dxa"/>
              <w:left w:w="90" w:type="dxa"/>
              <w:bottom w:w="60" w:type="dxa"/>
              <w:right w:w="90" w:type="dxa"/>
            </w:tcMar>
            <w:vAlign w:val="center"/>
          </w:tcPr>
          <w:p w14:paraId="3295EF93" w14:textId="77777777" w:rsidR="007B5458" w:rsidRDefault="00000000">
            <w:r>
              <w:rPr>
                <w:color w:val="000000"/>
                <w:sz w:val="17"/>
                <w:szCs w:val="17"/>
              </w:rPr>
              <w:t>3. Information security policy approval</w:t>
            </w:r>
          </w:p>
        </w:tc>
        <w:tc>
          <w:tcPr>
            <w:tcW w:w="800" w:type="dxa"/>
            <w:tcMar>
              <w:top w:w="60" w:type="dxa"/>
              <w:left w:w="90" w:type="dxa"/>
              <w:bottom w:w="60" w:type="dxa"/>
              <w:right w:w="90" w:type="dxa"/>
            </w:tcMar>
            <w:vAlign w:val="center"/>
          </w:tcPr>
          <w:p w14:paraId="3D14A674"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5C4297FD" w14:textId="77777777" w:rsidR="007B5458" w:rsidRDefault="00000000">
            <w:r>
              <w:rPr>
                <w:color w:val="000000"/>
                <w:sz w:val="17"/>
                <w:szCs w:val="17"/>
              </w:rPr>
              <w:t>A</w:t>
            </w:r>
          </w:p>
        </w:tc>
        <w:tc>
          <w:tcPr>
            <w:tcW w:w="800" w:type="dxa"/>
            <w:tcMar>
              <w:top w:w="60" w:type="dxa"/>
              <w:left w:w="90" w:type="dxa"/>
              <w:bottom w:w="60" w:type="dxa"/>
              <w:right w:w="90" w:type="dxa"/>
            </w:tcMar>
            <w:vAlign w:val="center"/>
          </w:tcPr>
          <w:p w14:paraId="01CDBBAD" w14:textId="77777777" w:rsidR="007B5458" w:rsidRDefault="00000000">
            <w:r>
              <w:rPr>
                <w:color w:val="000000"/>
                <w:sz w:val="17"/>
                <w:szCs w:val="17"/>
              </w:rPr>
              <w:t>R</w:t>
            </w:r>
          </w:p>
        </w:tc>
        <w:tc>
          <w:tcPr>
            <w:tcW w:w="900" w:type="dxa"/>
            <w:tcMar>
              <w:top w:w="60" w:type="dxa"/>
              <w:left w:w="90" w:type="dxa"/>
              <w:bottom w:w="60" w:type="dxa"/>
              <w:right w:w="90" w:type="dxa"/>
            </w:tcMar>
            <w:vAlign w:val="center"/>
          </w:tcPr>
          <w:p w14:paraId="4CA58B80"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05E59B6D"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54885A9F"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0E095E2E" w14:textId="77777777" w:rsidR="007B5458" w:rsidRDefault="00000000">
            <w:r>
              <w:rPr>
                <w:color w:val="000000"/>
                <w:sz w:val="17"/>
                <w:szCs w:val="17"/>
              </w:rPr>
              <w:t>C</w:t>
            </w:r>
          </w:p>
        </w:tc>
        <w:tc>
          <w:tcPr>
            <w:tcW w:w="750" w:type="dxa"/>
            <w:tcMar>
              <w:top w:w="60" w:type="dxa"/>
              <w:left w:w="90" w:type="dxa"/>
              <w:bottom w:w="60" w:type="dxa"/>
              <w:right w:w="90" w:type="dxa"/>
            </w:tcMar>
            <w:vAlign w:val="center"/>
          </w:tcPr>
          <w:p w14:paraId="186ECB14" w14:textId="77777777" w:rsidR="007B5458" w:rsidRDefault="00000000">
            <w:r>
              <w:rPr>
                <w:color w:val="000000"/>
                <w:sz w:val="17"/>
                <w:szCs w:val="17"/>
              </w:rPr>
              <w:t>C</w:t>
            </w:r>
          </w:p>
        </w:tc>
      </w:tr>
      <w:tr w:rsidR="007B5458" w14:paraId="76B7ABA2"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345075C2" w14:textId="77777777" w:rsidR="007B5458" w:rsidRDefault="00000000">
            <w:r>
              <w:rPr>
                <w:color w:val="000000"/>
                <w:sz w:val="17"/>
                <w:szCs w:val="17"/>
              </w:rPr>
              <w:t>4. Security architecture / major technology adoption</w:t>
            </w:r>
          </w:p>
        </w:tc>
        <w:tc>
          <w:tcPr>
            <w:tcW w:w="800" w:type="dxa"/>
            <w:shd w:val="clear" w:color="auto" w:fill="EAF0F4"/>
            <w:tcMar>
              <w:top w:w="60" w:type="dxa"/>
              <w:left w:w="90" w:type="dxa"/>
              <w:bottom w:w="60" w:type="dxa"/>
              <w:right w:w="90" w:type="dxa"/>
            </w:tcMar>
            <w:vAlign w:val="center"/>
          </w:tcPr>
          <w:p w14:paraId="0DC2557E"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73567738"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5728A53D" w14:textId="77777777" w:rsidR="007B5458" w:rsidRDefault="00000000">
            <w:r>
              <w:rPr>
                <w:color w:val="000000"/>
                <w:sz w:val="17"/>
                <w:szCs w:val="17"/>
              </w:rPr>
              <w:t>A</w:t>
            </w:r>
          </w:p>
        </w:tc>
        <w:tc>
          <w:tcPr>
            <w:tcW w:w="900" w:type="dxa"/>
            <w:shd w:val="clear" w:color="auto" w:fill="EAF0F4"/>
            <w:tcMar>
              <w:top w:w="60" w:type="dxa"/>
              <w:left w:w="90" w:type="dxa"/>
              <w:bottom w:w="60" w:type="dxa"/>
              <w:right w:w="90" w:type="dxa"/>
            </w:tcMar>
            <w:vAlign w:val="center"/>
          </w:tcPr>
          <w:p w14:paraId="4D5805C7" w14:textId="77777777" w:rsidR="007B5458" w:rsidRDefault="00000000">
            <w:r>
              <w:rPr>
                <w:color w:val="000000"/>
                <w:sz w:val="17"/>
                <w:szCs w:val="17"/>
              </w:rPr>
              <w:t>C</w:t>
            </w:r>
          </w:p>
        </w:tc>
        <w:tc>
          <w:tcPr>
            <w:tcW w:w="800" w:type="dxa"/>
            <w:shd w:val="clear" w:color="auto" w:fill="EAF0F4"/>
            <w:tcMar>
              <w:top w:w="60" w:type="dxa"/>
              <w:left w:w="90" w:type="dxa"/>
              <w:bottom w:w="60" w:type="dxa"/>
              <w:right w:w="90" w:type="dxa"/>
            </w:tcMar>
            <w:vAlign w:val="center"/>
          </w:tcPr>
          <w:p w14:paraId="44E27D5B"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3FEFF2A3" w14:textId="77777777" w:rsidR="007B5458" w:rsidRDefault="00000000">
            <w:r>
              <w:rPr>
                <w:color w:val="000000"/>
                <w:sz w:val="17"/>
                <w:szCs w:val="17"/>
              </w:rPr>
              <w:t>C</w:t>
            </w:r>
          </w:p>
        </w:tc>
        <w:tc>
          <w:tcPr>
            <w:tcW w:w="750" w:type="dxa"/>
            <w:shd w:val="clear" w:color="auto" w:fill="EAF0F4"/>
            <w:tcMar>
              <w:top w:w="60" w:type="dxa"/>
              <w:left w:w="90" w:type="dxa"/>
              <w:bottom w:w="60" w:type="dxa"/>
              <w:right w:w="90" w:type="dxa"/>
            </w:tcMar>
            <w:vAlign w:val="center"/>
          </w:tcPr>
          <w:p w14:paraId="733C243D"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65472DDF" w14:textId="77777777" w:rsidR="007B5458" w:rsidRDefault="00000000">
            <w:r>
              <w:rPr>
                <w:color w:val="000000"/>
                <w:sz w:val="17"/>
                <w:szCs w:val="17"/>
              </w:rPr>
              <w:t>R</w:t>
            </w:r>
          </w:p>
        </w:tc>
      </w:tr>
      <w:tr w:rsidR="007B5458" w14:paraId="10EA68E7" w14:textId="77777777">
        <w:tblPrEx>
          <w:tblCellMar>
            <w:top w:w="0" w:type="dxa"/>
            <w:bottom w:w="0" w:type="dxa"/>
          </w:tblCellMar>
        </w:tblPrEx>
        <w:tc>
          <w:tcPr>
            <w:tcW w:w="3400" w:type="dxa"/>
            <w:tcMar>
              <w:top w:w="60" w:type="dxa"/>
              <w:left w:w="90" w:type="dxa"/>
              <w:bottom w:w="60" w:type="dxa"/>
              <w:right w:w="90" w:type="dxa"/>
            </w:tcMar>
            <w:vAlign w:val="center"/>
          </w:tcPr>
          <w:p w14:paraId="7F406E11" w14:textId="77777777" w:rsidR="007B5458" w:rsidRDefault="00000000">
            <w:r>
              <w:rPr>
                <w:color w:val="000000"/>
                <w:sz w:val="17"/>
                <w:szCs w:val="17"/>
              </w:rPr>
              <w:t>5. Cloud &amp; vendor onboarding security review</w:t>
            </w:r>
          </w:p>
        </w:tc>
        <w:tc>
          <w:tcPr>
            <w:tcW w:w="800" w:type="dxa"/>
            <w:tcMar>
              <w:top w:w="60" w:type="dxa"/>
              <w:left w:w="90" w:type="dxa"/>
              <w:bottom w:w="60" w:type="dxa"/>
              <w:right w:w="90" w:type="dxa"/>
            </w:tcMar>
            <w:vAlign w:val="center"/>
          </w:tcPr>
          <w:p w14:paraId="65CB8B11"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4CA305FC"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25296339" w14:textId="77777777" w:rsidR="007B5458" w:rsidRDefault="00000000">
            <w:r>
              <w:rPr>
                <w:color w:val="000000"/>
                <w:sz w:val="17"/>
                <w:szCs w:val="17"/>
              </w:rPr>
              <w:t>A</w:t>
            </w:r>
          </w:p>
        </w:tc>
        <w:tc>
          <w:tcPr>
            <w:tcW w:w="900" w:type="dxa"/>
            <w:tcMar>
              <w:top w:w="60" w:type="dxa"/>
              <w:left w:w="90" w:type="dxa"/>
              <w:bottom w:w="60" w:type="dxa"/>
              <w:right w:w="90" w:type="dxa"/>
            </w:tcMar>
            <w:vAlign w:val="center"/>
          </w:tcPr>
          <w:p w14:paraId="3FD050E8"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35BCADE5"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22680D53" w14:textId="77777777" w:rsidR="007B5458" w:rsidRDefault="00000000">
            <w:r>
              <w:rPr>
                <w:color w:val="000000"/>
                <w:sz w:val="17"/>
                <w:szCs w:val="17"/>
              </w:rPr>
              <w:t>C</w:t>
            </w:r>
          </w:p>
        </w:tc>
        <w:tc>
          <w:tcPr>
            <w:tcW w:w="750" w:type="dxa"/>
            <w:tcMar>
              <w:top w:w="60" w:type="dxa"/>
              <w:left w:w="90" w:type="dxa"/>
              <w:bottom w:w="60" w:type="dxa"/>
              <w:right w:w="90" w:type="dxa"/>
            </w:tcMar>
            <w:vAlign w:val="center"/>
          </w:tcPr>
          <w:p w14:paraId="0CD3E88C"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388CE999" w14:textId="77777777" w:rsidR="007B5458" w:rsidRDefault="00000000">
            <w:r>
              <w:rPr>
                <w:color w:val="000000"/>
                <w:sz w:val="17"/>
                <w:szCs w:val="17"/>
              </w:rPr>
              <w:t>R</w:t>
            </w:r>
          </w:p>
        </w:tc>
      </w:tr>
      <w:tr w:rsidR="007B5458" w14:paraId="46D0AD8F"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0BC722FD" w14:textId="77777777" w:rsidR="007B5458" w:rsidRDefault="00000000">
            <w:r>
              <w:rPr>
                <w:color w:val="000000"/>
                <w:sz w:val="17"/>
                <w:szCs w:val="17"/>
              </w:rPr>
              <w:t>6. Privileged access approval</w:t>
            </w:r>
          </w:p>
        </w:tc>
        <w:tc>
          <w:tcPr>
            <w:tcW w:w="800" w:type="dxa"/>
            <w:shd w:val="clear" w:color="auto" w:fill="EAF0F4"/>
            <w:tcMar>
              <w:top w:w="60" w:type="dxa"/>
              <w:left w:w="90" w:type="dxa"/>
              <w:bottom w:w="60" w:type="dxa"/>
              <w:right w:w="90" w:type="dxa"/>
            </w:tcMar>
            <w:vAlign w:val="center"/>
          </w:tcPr>
          <w:p w14:paraId="7195F8CF"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2177002F"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6D4EBC99" w14:textId="77777777" w:rsidR="007B5458" w:rsidRDefault="00000000">
            <w:r>
              <w:rPr>
                <w:color w:val="000000"/>
                <w:sz w:val="17"/>
                <w:szCs w:val="17"/>
              </w:rPr>
              <w:t>A</w:t>
            </w:r>
          </w:p>
        </w:tc>
        <w:tc>
          <w:tcPr>
            <w:tcW w:w="900" w:type="dxa"/>
            <w:shd w:val="clear" w:color="auto" w:fill="EAF0F4"/>
            <w:tcMar>
              <w:top w:w="60" w:type="dxa"/>
              <w:left w:w="90" w:type="dxa"/>
              <w:bottom w:w="60" w:type="dxa"/>
              <w:right w:w="90" w:type="dxa"/>
            </w:tcMar>
            <w:vAlign w:val="center"/>
          </w:tcPr>
          <w:p w14:paraId="00A63C43"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0462816D" w14:textId="77777777" w:rsidR="007B5458" w:rsidRDefault="00000000">
            <w:r>
              <w:rPr>
                <w:color w:val="000000"/>
                <w:sz w:val="17"/>
                <w:szCs w:val="17"/>
              </w:rPr>
              <w:t>I</w:t>
            </w:r>
          </w:p>
        </w:tc>
        <w:tc>
          <w:tcPr>
            <w:tcW w:w="900" w:type="dxa"/>
            <w:shd w:val="clear" w:color="auto" w:fill="EAF0F4"/>
            <w:tcMar>
              <w:top w:w="60" w:type="dxa"/>
              <w:left w:w="90" w:type="dxa"/>
              <w:bottom w:w="60" w:type="dxa"/>
              <w:right w:w="90" w:type="dxa"/>
            </w:tcMar>
            <w:vAlign w:val="center"/>
          </w:tcPr>
          <w:p w14:paraId="520BF715"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3012C6B7"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5B5E2C27" w14:textId="77777777" w:rsidR="007B5458" w:rsidRDefault="00000000">
            <w:r>
              <w:rPr>
                <w:color w:val="000000"/>
                <w:sz w:val="17"/>
                <w:szCs w:val="17"/>
              </w:rPr>
              <w:t>R</w:t>
            </w:r>
          </w:p>
        </w:tc>
      </w:tr>
      <w:tr w:rsidR="007B5458" w14:paraId="5162799F" w14:textId="77777777">
        <w:tblPrEx>
          <w:tblCellMar>
            <w:top w:w="0" w:type="dxa"/>
            <w:bottom w:w="0" w:type="dxa"/>
          </w:tblCellMar>
        </w:tblPrEx>
        <w:tc>
          <w:tcPr>
            <w:tcW w:w="3400" w:type="dxa"/>
            <w:tcMar>
              <w:top w:w="60" w:type="dxa"/>
              <w:left w:w="90" w:type="dxa"/>
              <w:bottom w:w="60" w:type="dxa"/>
              <w:right w:w="90" w:type="dxa"/>
            </w:tcMar>
            <w:vAlign w:val="center"/>
          </w:tcPr>
          <w:p w14:paraId="4E9F152C" w14:textId="77777777" w:rsidR="007B5458" w:rsidRDefault="00000000">
            <w:r>
              <w:rPr>
                <w:color w:val="000000"/>
                <w:sz w:val="17"/>
                <w:szCs w:val="17"/>
              </w:rPr>
              <w:t>7. Regional business-unit security exception approval</w:t>
            </w:r>
          </w:p>
        </w:tc>
        <w:tc>
          <w:tcPr>
            <w:tcW w:w="800" w:type="dxa"/>
            <w:tcMar>
              <w:top w:w="60" w:type="dxa"/>
              <w:left w:w="90" w:type="dxa"/>
              <w:bottom w:w="60" w:type="dxa"/>
              <w:right w:w="90" w:type="dxa"/>
            </w:tcMar>
            <w:vAlign w:val="center"/>
          </w:tcPr>
          <w:p w14:paraId="47FC2B1A"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300E506D"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3030201E" w14:textId="77777777" w:rsidR="007B5458" w:rsidRDefault="00000000">
            <w:r>
              <w:rPr>
                <w:color w:val="000000"/>
                <w:sz w:val="17"/>
                <w:szCs w:val="17"/>
              </w:rPr>
              <w:t>A</w:t>
            </w:r>
          </w:p>
        </w:tc>
        <w:tc>
          <w:tcPr>
            <w:tcW w:w="900" w:type="dxa"/>
            <w:tcMar>
              <w:top w:w="60" w:type="dxa"/>
              <w:left w:w="90" w:type="dxa"/>
              <w:bottom w:w="60" w:type="dxa"/>
              <w:right w:w="90" w:type="dxa"/>
            </w:tcMar>
            <w:vAlign w:val="center"/>
          </w:tcPr>
          <w:p w14:paraId="414CF36B"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40232584"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1F630409"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349E80E5"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3FC3B0CD" w14:textId="77777777" w:rsidR="007B5458" w:rsidRDefault="00000000">
            <w:r>
              <w:rPr>
                <w:color w:val="000000"/>
                <w:sz w:val="17"/>
                <w:szCs w:val="17"/>
              </w:rPr>
              <w:t>C</w:t>
            </w:r>
          </w:p>
        </w:tc>
      </w:tr>
      <w:tr w:rsidR="007B5458" w14:paraId="0BF858F1"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49E097BC" w14:textId="77777777" w:rsidR="007B5458" w:rsidRDefault="00000000">
            <w:r>
              <w:rPr>
                <w:color w:val="000000"/>
                <w:sz w:val="17"/>
                <w:szCs w:val="17"/>
              </w:rPr>
              <w:t>8. Major incident response governance</w:t>
            </w:r>
          </w:p>
        </w:tc>
        <w:tc>
          <w:tcPr>
            <w:tcW w:w="800" w:type="dxa"/>
            <w:shd w:val="clear" w:color="auto" w:fill="EAF0F4"/>
            <w:tcMar>
              <w:top w:w="60" w:type="dxa"/>
              <w:left w:w="90" w:type="dxa"/>
              <w:bottom w:w="60" w:type="dxa"/>
              <w:right w:w="90" w:type="dxa"/>
            </w:tcMar>
            <w:vAlign w:val="center"/>
          </w:tcPr>
          <w:p w14:paraId="4829F25F"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0C43EFA5" w14:textId="77777777" w:rsidR="007B5458" w:rsidRDefault="00000000">
            <w:r>
              <w:rPr>
                <w:color w:val="000000"/>
                <w:sz w:val="17"/>
                <w:szCs w:val="17"/>
              </w:rPr>
              <w:t>A</w:t>
            </w:r>
          </w:p>
        </w:tc>
        <w:tc>
          <w:tcPr>
            <w:tcW w:w="800" w:type="dxa"/>
            <w:shd w:val="clear" w:color="auto" w:fill="EAF0F4"/>
            <w:tcMar>
              <w:top w:w="60" w:type="dxa"/>
              <w:left w:w="90" w:type="dxa"/>
              <w:bottom w:w="60" w:type="dxa"/>
              <w:right w:w="90" w:type="dxa"/>
            </w:tcMar>
            <w:vAlign w:val="center"/>
          </w:tcPr>
          <w:p w14:paraId="254D4B35" w14:textId="77777777" w:rsidR="007B5458" w:rsidRDefault="00000000">
            <w:r>
              <w:rPr>
                <w:color w:val="000000"/>
                <w:sz w:val="17"/>
                <w:szCs w:val="17"/>
              </w:rPr>
              <w:t>R</w:t>
            </w:r>
          </w:p>
        </w:tc>
        <w:tc>
          <w:tcPr>
            <w:tcW w:w="900" w:type="dxa"/>
            <w:shd w:val="clear" w:color="auto" w:fill="EAF0F4"/>
            <w:tcMar>
              <w:top w:w="60" w:type="dxa"/>
              <w:left w:w="90" w:type="dxa"/>
              <w:bottom w:w="60" w:type="dxa"/>
              <w:right w:w="90" w:type="dxa"/>
            </w:tcMar>
            <w:vAlign w:val="center"/>
          </w:tcPr>
          <w:p w14:paraId="214B07EC" w14:textId="77777777" w:rsidR="007B5458" w:rsidRDefault="00000000">
            <w:r>
              <w:rPr>
                <w:color w:val="000000"/>
                <w:sz w:val="17"/>
                <w:szCs w:val="17"/>
              </w:rPr>
              <w:t>C</w:t>
            </w:r>
          </w:p>
        </w:tc>
        <w:tc>
          <w:tcPr>
            <w:tcW w:w="800" w:type="dxa"/>
            <w:shd w:val="clear" w:color="auto" w:fill="EAF0F4"/>
            <w:tcMar>
              <w:top w:w="60" w:type="dxa"/>
              <w:left w:w="90" w:type="dxa"/>
              <w:bottom w:w="60" w:type="dxa"/>
              <w:right w:w="90" w:type="dxa"/>
            </w:tcMar>
            <w:vAlign w:val="center"/>
          </w:tcPr>
          <w:p w14:paraId="567BB024"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622132E3"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2EAA1831"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4E6ECE97" w14:textId="77777777" w:rsidR="007B5458" w:rsidRDefault="00000000">
            <w:r>
              <w:rPr>
                <w:color w:val="000000"/>
                <w:sz w:val="17"/>
                <w:szCs w:val="17"/>
              </w:rPr>
              <w:t>R</w:t>
            </w:r>
          </w:p>
        </w:tc>
      </w:tr>
      <w:tr w:rsidR="007B5458" w14:paraId="7D21E8B8" w14:textId="77777777">
        <w:tblPrEx>
          <w:tblCellMar>
            <w:top w:w="0" w:type="dxa"/>
            <w:bottom w:w="0" w:type="dxa"/>
          </w:tblCellMar>
        </w:tblPrEx>
        <w:tc>
          <w:tcPr>
            <w:tcW w:w="3400" w:type="dxa"/>
            <w:tcMar>
              <w:top w:w="60" w:type="dxa"/>
              <w:left w:w="90" w:type="dxa"/>
              <w:bottom w:w="60" w:type="dxa"/>
              <w:right w:w="90" w:type="dxa"/>
            </w:tcMar>
            <w:vAlign w:val="center"/>
          </w:tcPr>
          <w:p w14:paraId="5178C01C" w14:textId="77777777" w:rsidR="007B5458" w:rsidRDefault="00000000">
            <w:r>
              <w:rPr>
                <w:color w:val="000000"/>
                <w:sz w:val="17"/>
                <w:szCs w:val="17"/>
              </w:rPr>
              <w:t>9. Regulatory / breach notification decision</w:t>
            </w:r>
          </w:p>
        </w:tc>
        <w:tc>
          <w:tcPr>
            <w:tcW w:w="800" w:type="dxa"/>
            <w:tcMar>
              <w:top w:w="60" w:type="dxa"/>
              <w:left w:w="90" w:type="dxa"/>
              <w:bottom w:w="60" w:type="dxa"/>
              <w:right w:w="90" w:type="dxa"/>
            </w:tcMar>
            <w:vAlign w:val="center"/>
          </w:tcPr>
          <w:p w14:paraId="206ED29B"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56925561"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46E2589C"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746E2180"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40081A9E" w14:textId="77777777" w:rsidR="007B5458" w:rsidRDefault="00000000">
            <w:r>
              <w:rPr>
                <w:color w:val="000000"/>
                <w:sz w:val="17"/>
                <w:szCs w:val="17"/>
              </w:rPr>
              <w:t>A</w:t>
            </w:r>
          </w:p>
        </w:tc>
        <w:tc>
          <w:tcPr>
            <w:tcW w:w="900" w:type="dxa"/>
            <w:tcMar>
              <w:top w:w="60" w:type="dxa"/>
              <w:left w:w="90" w:type="dxa"/>
              <w:bottom w:w="60" w:type="dxa"/>
              <w:right w:w="90" w:type="dxa"/>
            </w:tcMar>
            <w:vAlign w:val="center"/>
          </w:tcPr>
          <w:p w14:paraId="11F207A0"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0D1B5201"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6C25B1C6" w14:textId="77777777" w:rsidR="007B5458" w:rsidRDefault="00000000">
            <w:r>
              <w:rPr>
                <w:color w:val="000000"/>
                <w:sz w:val="17"/>
                <w:szCs w:val="17"/>
              </w:rPr>
              <w:t>C</w:t>
            </w:r>
          </w:p>
        </w:tc>
      </w:tr>
      <w:tr w:rsidR="007B5458" w14:paraId="0113C425"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18E9DB59" w14:textId="77777777" w:rsidR="007B5458" w:rsidRDefault="00000000">
            <w:r>
              <w:rPr>
                <w:color w:val="000000"/>
                <w:sz w:val="17"/>
                <w:szCs w:val="17"/>
              </w:rPr>
              <w:t>10. Third-party / vendor cyber-risk acceptance</w:t>
            </w:r>
          </w:p>
        </w:tc>
        <w:tc>
          <w:tcPr>
            <w:tcW w:w="800" w:type="dxa"/>
            <w:shd w:val="clear" w:color="auto" w:fill="EAF0F4"/>
            <w:tcMar>
              <w:top w:w="60" w:type="dxa"/>
              <w:left w:w="90" w:type="dxa"/>
              <w:bottom w:w="60" w:type="dxa"/>
              <w:right w:w="90" w:type="dxa"/>
            </w:tcMar>
            <w:vAlign w:val="center"/>
          </w:tcPr>
          <w:p w14:paraId="5E90AC96"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6F39ECBA"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1C3B8D8A"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33B1A540" w14:textId="77777777" w:rsidR="007B5458" w:rsidRDefault="00000000">
            <w:r>
              <w:rPr>
                <w:color w:val="000000"/>
                <w:sz w:val="17"/>
                <w:szCs w:val="17"/>
              </w:rPr>
              <w:t>A</w:t>
            </w:r>
          </w:p>
        </w:tc>
        <w:tc>
          <w:tcPr>
            <w:tcW w:w="800" w:type="dxa"/>
            <w:shd w:val="clear" w:color="auto" w:fill="EAF0F4"/>
            <w:tcMar>
              <w:top w:w="60" w:type="dxa"/>
              <w:left w:w="90" w:type="dxa"/>
              <w:bottom w:w="60" w:type="dxa"/>
              <w:right w:w="90" w:type="dxa"/>
            </w:tcMar>
            <w:vAlign w:val="center"/>
          </w:tcPr>
          <w:p w14:paraId="411D51FB"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1CDED9D6" w14:textId="77777777" w:rsidR="007B5458" w:rsidRDefault="00000000">
            <w:r>
              <w:rPr>
                <w:color w:val="000000"/>
                <w:sz w:val="17"/>
                <w:szCs w:val="17"/>
              </w:rPr>
              <w:t>C</w:t>
            </w:r>
          </w:p>
        </w:tc>
        <w:tc>
          <w:tcPr>
            <w:tcW w:w="750" w:type="dxa"/>
            <w:shd w:val="clear" w:color="auto" w:fill="EAF0F4"/>
            <w:tcMar>
              <w:top w:w="60" w:type="dxa"/>
              <w:left w:w="90" w:type="dxa"/>
              <w:bottom w:w="60" w:type="dxa"/>
              <w:right w:w="90" w:type="dxa"/>
            </w:tcMar>
            <w:vAlign w:val="center"/>
          </w:tcPr>
          <w:p w14:paraId="2C579D71"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383FC275" w14:textId="77777777" w:rsidR="007B5458" w:rsidRDefault="00000000">
            <w:r>
              <w:rPr>
                <w:color w:val="000000"/>
                <w:sz w:val="17"/>
                <w:szCs w:val="17"/>
              </w:rPr>
              <w:t>C</w:t>
            </w:r>
          </w:p>
        </w:tc>
      </w:tr>
      <w:tr w:rsidR="007B5458" w14:paraId="26A171FE" w14:textId="77777777">
        <w:tblPrEx>
          <w:tblCellMar>
            <w:top w:w="0" w:type="dxa"/>
            <w:bottom w:w="0" w:type="dxa"/>
          </w:tblCellMar>
        </w:tblPrEx>
        <w:tc>
          <w:tcPr>
            <w:tcW w:w="3400" w:type="dxa"/>
            <w:tcMar>
              <w:top w:w="60" w:type="dxa"/>
              <w:left w:w="90" w:type="dxa"/>
              <w:bottom w:w="60" w:type="dxa"/>
              <w:right w:w="90" w:type="dxa"/>
            </w:tcMar>
            <w:vAlign w:val="center"/>
          </w:tcPr>
          <w:p w14:paraId="6E587769" w14:textId="77777777" w:rsidR="007B5458" w:rsidRDefault="00000000">
            <w:r>
              <w:rPr>
                <w:color w:val="000000"/>
                <w:sz w:val="17"/>
                <w:szCs w:val="17"/>
              </w:rPr>
              <w:t>11. Cybersecurity budget prioritisation</w:t>
            </w:r>
          </w:p>
        </w:tc>
        <w:tc>
          <w:tcPr>
            <w:tcW w:w="800" w:type="dxa"/>
            <w:tcMar>
              <w:top w:w="60" w:type="dxa"/>
              <w:left w:w="90" w:type="dxa"/>
              <w:bottom w:w="60" w:type="dxa"/>
              <w:right w:w="90" w:type="dxa"/>
            </w:tcMar>
            <w:vAlign w:val="center"/>
          </w:tcPr>
          <w:p w14:paraId="52E9EB49"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72F4235D" w14:textId="77777777" w:rsidR="007B5458" w:rsidRDefault="00000000">
            <w:r>
              <w:rPr>
                <w:color w:val="000000"/>
                <w:sz w:val="17"/>
                <w:szCs w:val="17"/>
              </w:rPr>
              <w:t>A</w:t>
            </w:r>
          </w:p>
        </w:tc>
        <w:tc>
          <w:tcPr>
            <w:tcW w:w="800" w:type="dxa"/>
            <w:tcMar>
              <w:top w:w="60" w:type="dxa"/>
              <w:left w:w="90" w:type="dxa"/>
              <w:bottom w:w="60" w:type="dxa"/>
              <w:right w:w="90" w:type="dxa"/>
            </w:tcMar>
            <w:vAlign w:val="center"/>
          </w:tcPr>
          <w:p w14:paraId="1AFD8A71" w14:textId="77777777" w:rsidR="007B5458" w:rsidRDefault="00000000">
            <w:r>
              <w:rPr>
                <w:color w:val="000000"/>
                <w:sz w:val="17"/>
                <w:szCs w:val="17"/>
              </w:rPr>
              <w:t>R</w:t>
            </w:r>
          </w:p>
        </w:tc>
        <w:tc>
          <w:tcPr>
            <w:tcW w:w="900" w:type="dxa"/>
            <w:tcMar>
              <w:top w:w="60" w:type="dxa"/>
              <w:left w:w="90" w:type="dxa"/>
              <w:bottom w:w="60" w:type="dxa"/>
              <w:right w:w="90" w:type="dxa"/>
            </w:tcMar>
            <w:vAlign w:val="center"/>
          </w:tcPr>
          <w:p w14:paraId="0BB4DB02"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344299EB" w14:textId="77777777" w:rsidR="007B5458" w:rsidRDefault="00000000">
            <w:r>
              <w:rPr>
                <w:color w:val="000000"/>
                <w:sz w:val="17"/>
                <w:szCs w:val="17"/>
              </w:rPr>
              <w:t>I</w:t>
            </w:r>
          </w:p>
        </w:tc>
        <w:tc>
          <w:tcPr>
            <w:tcW w:w="900" w:type="dxa"/>
            <w:tcMar>
              <w:top w:w="60" w:type="dxa"/>
              <w:left w:w="90" w:type="dxa"/>
              <w:bottom w:w="60" w:type="dxa"/>
              <w:right w:w="90" w:type="dxa"/>
            </w:tcMar>
            <w:vAlign w:val="center"/>
          </w:tcPr>
          <w:p w14:paraId="7A179D11" w14:textId="77777777" w:rsidR="007B5458" w:rsidRDefault="00000000">
            <w:r>
              <w:rPr>
                <w:color w:val="000000"/>
                <w:sz w:val="17"/>
                <w:szCs w:val="17"/>
              </w:rPr>
              <w:t>R</w:t>
            </w:r>
          </w:p>
        </w:tc>
        <w:tc>
          <w:tcPr>
            <w:tcW w:w="750" w:type="dxa"/>
            <w:tcMar>
              <w:top w:w="60" w:type="dxa"/>
              <w:left w:w="90" w:type="dxa"/>
              <w:bottom w:w="60" w:type="dxa"/>
              <w:right w:w="90" w:type="dxa"/>
            </w:tcMar>
            <w:vAlign w:val="center"/>
          </w:tcPr>
          <w:p w14:paraId="76F18710"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2AD7749D" w14:textId="77777777" w:rsidR="007B5458" w:rsidRDefault="00000000">
            <w:r>
              <w:rPr>
                <w:color w:val="000000"/>
                <w:sz w:val="17"/>
                <w:szCs w:val="17"/>
              </w:rPr>
              <w:t>C</w:t>
            </w:r>
          </w:p>
        </w:tc>
      </w:tr>
      <w:tr w:rsidR="007B5458" w14:paraId="7477CD29"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1A9EF7A4" w14:textId="77777777" w:rsidR="007B5458" w:rsidRDefault="00000000">
            <w:r>
              <w:rPr>
                <w:color w:val="000000"/>
                <w:sz w:val="17"/>
                <w:szCs w:val="17"/>
              </w:rPr>
              <w:t>12. Security awareness &amp; disciplinary action</w:t>
            </w:r>
          </w:p>
        </w:tc>
        <w:tc>
          <w:tcPr>
            <w:tcW w:w="800" w:type="dxa"/>
            <w:shd w:val="clear" w:color="auto" w:fill="EAF0F4"/>
            <w:tcMar>
              <w:top w:w="60" w:type="dxa"/>
              <w:left w:w="90" w:type="dxa"/>
              <w:bottom w:w="60" w:type="dxa"/>
              <w:right w:w="90" w:type="dxa"/>
            </w:tcMar>
            <w:vAlign w:val="center"/>
          </w:tcPr>
          <w:p w14:paraId="5F8F044D"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0CA4E0E2"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2C53E896"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2A0E9BF5" w14:textId="77777777" w:rsidR="007B5458" w:rsidRDefault="00000000">
            <w:r>
              <w:rPr>
                <w:color w:val="000000"/>
                <w:sz w:val="17"/>
                <w:szCs w:val="17"/>
              </w:rPr>
              <w:t>I</w:t>
            </w:r>
          </w:p>
        </w:tc>
        <w:tc>
          <w:tcPr>
            <w:tcW w:w="800" w:type="dxa"/>
            <w:shd w:val="clear" w:color="auto" w:fill="EAF0F4"/>
            <w:tcMar>
              <w:top w:w="60" w:type="dxa"/>
              <w:left w:w="90" w:type="dxa"/>
              <w:bottom w:w="60" w:type="dxa"/>
              <w:right w:w="90" w:type="dxa"/>
            </w:tcMar>
            <w:vAlign w:val="center"/>
          </w:tcPr>
          <w:p w14:paraId="0D81DB33"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49C2FB29"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582A203F" w14:textId="77777777" w:rsidR="007B5458" w:rsidRDefault="00000000">
            <w:r>
              <w:rPr>
                <w:color w:val="000000"/>
                <w:sz w:val="17"/>
                <w:szCs w:val="17"/>
              </w:rPr>
              <w:t>A</w:t>
            </w:r>
          </w:p>
        </w:tc>
        <w:tc>
          <w:tcPr>
            <w:tcW w:w="750" w:type="dxa"/>
            <w:shd w:val="clear" w:color="auto" w:fill="EAF0F4"/>
            <w:tcMar>
              <w:top w:w="60" w:type="dxa"/>
              <w:left w:w="90" w:type="dxa"/>
              <w:bottom w:w="60" w:type="dxa"/>
              <w:right w:w="90" w:type="dxa"/>
            </w:tcMar>
            <w:vAlign w:val="center"/>
          </w:tcPr>
          <w:p w14:paraId="6323EE3F" w14:textId="77777777" w:rsidR="007B5458" w:rsidRDefault="00000000">
            <w:r>
              <w:rPr>
                <w:color w:val="000000"/>
                <w:sz w:val="17"/>
                <w:szCs w:val="17"/>
              </w:rPr>
              <w:t>I</w:t>
            </w:r>
          </w:p>
        </w:tc>
      </w:tr>
      <w:tr w:rsidR="007B5458" w14:paraId="1F958351" w14:textId="77777777">
        <w:tblPrEx>
          <w:tblCellMar>
            <w:top w:w="0" w:type="dxa"/>
            <w:bottom w:w="0" w:type="dxa"/>
          </w:tblCellMar>
        </w:tblPrEx>
        <w:tc>
          <w:tcPr>
            <w:tcW w:w="3400" w:type="dxa"/>
            <w:tcMar>
              <w:top w:w="60" w:type="dxa"/>
              <w:left w:w="90" w:type="dxa"/>
              <w:bottom w:w="60" w:type="dxa"/>
              <w:right w:w="90" w:type="dxa"/>
            </w:tcMar>
            <w:vAlign w:val="center"/>
          </w:tcPr>
          <w:p w14:paraId="33069BC6" w14:textId="77777777" w:rsidR="007B5458" w:rsidRDefault="00000000">
            <w:r>
              <w:rPr>
                <w:color w:val="000000"/>
                <w:sz w:val="17"/>
                <w:szCs w:val="17"/>
              </w:rPr>
              <w:t>13. Data classification standard approval</w:t>
            </w:r>
          </w:p>
        </w:tc>
        <w:tc>
          <w:tcPr>
            <w:tcW w:w="800" w:type="dxa"/>
            <w:tcMar>
              <w:top w:w="60" w:type="dxa"/>
              <w:left w:w="90" w:type="dxa"/>
              <w:bottom w:w="60" w:type="dxa"/>
              <w:right w:w="90" w:type="dxa"/>
            </w:tcMar>
            <w:vAlign w:val="center"/>
          </w:tcPr>
          <w:p w14:paraId="1F92DAC4"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5FDF50E4"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152F23CE" w14:textId="77777777" w:rsidR="007B5458" w:rsidRDefault="00000000">
            <w:r>
              <w:rPr>
                <w:color w:val="000000"/>
                <w:sz w:val="17"/>
                <w:szCs w:val="17"/>
              </w:rPr>
              <w:t>A</w:t>
            </w:r>
          </w:p>
        </w:tc>
        <w:tc>
          <w:tcPr>
            <w:tcW w:w="900" w:type="dxa"/>
            <w:tcMar>
              <w:top w:w="60" w:type="dxa"/>
              <w:left w:w="90" w:type="dxa"/>
              <w:bottom w:w="60" w:type="dxa"/>
              <w:right w:w="90" w:type="dxa"/>
            </w:tcMar>
            <w:vAlign w:val="center"/>
          </w:tcPr>
          <w:p w14:paraId="4C7D5BAB" w14:textId="77777777" w:rsidR="007B5458" w:rsidRDefault="00000000">
            <w:r>
              <w:rPr>
                <w:color w:val="000000"/>
                <w:sz w:val="17"/>
                <w:szCs w:val="17"/>
              </w:rPr>
              <w:t>C</w:t>
            </w:r>
          </w:p>
        </w:tc>
        <w:tc>
          <w:tcPr>
            <w:tcW w:w="800" w:type="dxa"/>
            <w:tcMar>
              <w:top w:w="60" w:type="dxa"/>
              <w:left w:w="90" w:type="dxa"/>
              <w:bottom w:w="60" w:type="dxa"/>
              <w:right w:w="90" w:type="dxa"/>
            </w:tcMar>
            <w:vAlign w:val="center"/>
          </w:tcPr>
          <w:p w14:paraId="0032940E"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2F6683E6"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0ADEEBD8"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250A84CD" w14:textId="77777777" w:rsidR="007B5458" w:rsidRDefault="00000000">
            <w:r>
              <w:rPr>
                <w:color w:val="000000"/>
                <w:sz w:val="17"/>
                <w:szCs w:val="17"/>
              </w:rPr>
              <w:t>R</w:t>
            </w:r>
          </w:p>
        </w:tc>
      </w:tr>
      <w:tr w:rsidR="007B5458" w14:paraId="1C311825"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45DB81E8" w14:textId="77777777" w:rsidR="007B5458" w:rsidRDefault="00000000">
            <w:r>
              <w:rPr>
                <w:color w:val="000000"/>
                <w:sz w:val="17"/>
                <w:szCs w:val="17"/>
              </w:rPr>
              <w:t>14. Cyber-insurance placement &amp; renewal</w:t>
            </w:r>
          </w:p>
        </w:tc>
        <w:tc>
          <w:tcPr>
            <w:tcW w:w="800" w:type="dxa"/>
            <w:shd w:val="clear" w:color="auto" w:fill="EAF0F4"/>
            <w:tcMar>
              <w:top w:w="60" w:type="dxa"/>
              <w:left w:w="90" w:type="dxa"/>
              <w:bottom w:w="60" w:type="dxa"/>
              <w:right w:w="90" w:type="dxa"/>
            </w:tcMar>
            <w:vAlign w:val="center"/>
          </w:tcPr>
          <w:p w14:paraId="11138610" w14:textId="77777777" w:rsidR="007B5458" w:rsidRDefault="00000000">
            <w:r>
              <w:rPr>
                <w:color w:val="000000"/>
                <w:sz w:val="17"/>
                <w:szCs w:val="17"/>
              </w:rPr>
              <w:t>C</w:t>
            </w:r>
          </w:p>
        </w:tc>
        <w:tc>
          <w:tcPr>
            <w:tcW w:w="800" w:type="dxa"/>
            <w:shd w:val="clear" w:color="auto" w:fill="EAF0F4"/>
            <w:tcMar>
              <w:top w:w="60" w:type="dxa"/>
              <w:left w:w="90" w:type="dxa"/>
              <w:bottom w:w="60" w:type="dxa"/>
              <w:right w:w="90" w:type="dxa"/>
            </w:tcMar>
            <w:vAlign w:val="center"/>
          </w:tcPr>
          <w:p w14:paraId="350AD30E" w14:textId="77777777" w:rsidR="007B5458" w:rsidRDefault="00000000">
            <w:r>
              <w:rPr>
                <w:color w:val="000000"/>
                <w:sz w:val="17"/>
                <w:szCs w:val="17"/>
              </w:rPr>
              <w:t>A</w:t>
            </w:r>
          </w:p>
        </w:tc>
        <w:tc>
          <w:tcPr>
            <w:tcW w:w="800" w:type="dxa"/>
            <w:shd w:val="clear" w:color="auto" w:fill="EAF0F4"/>
            <w:tcMar>
              <w:top w:w="60" w:type="dxa"/>
              <w:left w:w="90" w:type="dxa"/>
              <w:bottom w:w="60" w:type="dxa"/>
              <w:right w:w="90" w:type="dxa"/>
            </w:tcMar>
            <w:vAlign w:val="center"/>
          </w:tcPr>
          <w:p w14:paraId="7B4F7F3F"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33D198D0" w14:textId="77777777" w:rsidR="007B5458" w:rsidRDefault="00000000">
            <w:r>
              <w:rPr>
                <w:color w:val="000000"/>
                <w:sz w:val="17"/>
                <w:szCs w:val="17"/>
              </w:rPr>
              <w:t>C</w:t>
            </w:r>
          </w:p>
        </w:tc>
        <w:tc>
          <w:tcPr>
            <w:tcW w:w="800" w:type="dxa"/>
            <w:shd w:val="clear" w:color="auto" w:fill="EAF0F4"/>
            <w:tcMar>
              <w:top w:w="60" w:type="dxa"/>
              <w:left w:w="90" w:type="dxa"/>
              <w:bottom w:w="60" w:type="dxa"/>
              <w:right w:w="90" w:type="dxa"/>
            </w:tcMar>
            <w:vAlign w:val="center"/>
          </w:tcPr>
          <w:p w14:paraId="0AE02008" w14:textId="77777777" w:rsidR="007B5458" w:rsidRDefault="00000000">
            <w:r>
              <w:rPr>
                <w:color w:val="000000"/>
                <w:sz w:val="17"/>
                <w:szCs w:val="17"/>
              </w:rPr>
              <w:t>C</w:t>
            </w:r>
          </w:p>
        </w:tc>
        <w:tc>
          <w:tcPr>
            <w:tcW w:w="900" w:type="dxa"/>
            <w:shd w:val="clear" w:color="auto" w:fill="EAF0F4"/>
            <w:tcMar>
              <w:top w:w="60" w:type="dxa"/>
              <w:left w:w="90" w:type="dxa"/>
              <w:bottom w:w="60" w:type="dxa"/>
              <w:right w:w="90" w:type="dxa"/>
            </w:tcMar>
            <w:vAlign w:val="center"/>
          </w:tcPr>
          <w:p w14:paraId="53399CC9" w14:textId="77777777" w:rsidR="007B5458" w:rsidRDefault="00000000">
            <w:r>
              <w:rPr>
                <w:color w:val="000000"/>
                <w:sz w:val="17"/>
                <w:szCs w:val="17"/>
              </w:rPr>
              <w:t>R</w:t>
            </w:r>
          </w:p>
        </w:tc>
        <w:tc>
          <w:tcPr>
            <w:tcW w:w="750" w:type="dxa"/>
            <w:shd w:val="clear" w:color="auto" w:fill="EAF0F4"/>
            <w:tcMar>
              <w:top w:w="60" w:type="dxa"/>
              <w:left w:w="90" w:type="dxa"/>
              <w:bottom w:w="60" w:type="dxa"/>
              <w:right w:w="90" w:type="dxa"/>
            </w:tcMar>
            <w:vAlign w:val="center"/>
          </w:tcPr>
          <w:p w14:paraId="6440A89A"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1F911721" w14:textId="77777777" w:rsidR="007B5458" w:rsidRDefault="00000000">
            <w:r>
              <w:rPr>
                <w:color w:val="000000"/>
                <w:sz w:val="17"/>
                <w:szCs w:val="17"/>
              </w:rPr>
              <w:t>I</w:t>
            </w:r>
          </w:p>
        </w:tc>
      </w:tr>
      <w:tr w:rsidR="007B5458" w14:paraId="3878FD54" w14:textId="77777777">
        <w:tblPrEx>
          <w:tblCellMar>
            <w:top w:w="0" w:type="dxa"/>
            <w:bottom w:w="0" w:type="dxa"/>
          </w:tblCellMar>
        </w:tblPrEx>
        <w:tc>
          <w:tcPr>
            <w:tcW w:w="3400" w:type="dxa"/>
            <w:tcMar>
              <w:top w:w="60" w:type="dxa"/>
              <w:left w:w="90" w:type="dxa"/>
              <w:bottom w:w="60" w:type="dxa"/>
              <w:right w:w="90" w:type="dxa"/>
            </w:tcMar>
            <w:vAlign w:val="center"/>
          </w:tcPr>
          <w:p w14:paraId="2277FE0A" w14:textId="77777777" w:rsidR="007B5458" w:rsidRDefault="00000000">
            <w:r>
              <w:rPr>
                <w:color w:val="000000"/>
                <w:sz w:val="17"/>
                <w:szCs w:val="17"/>
              </w:rPr>
              <w:t>15. New-office / market-entry security due diligence</w:t>
            </w:r>
          </w:p>
        </w:tc>
        <w:tc>
          <w:tcPr>
            <w:tcW w:w="800" w:type="dxa"/>
            <w:tcMar>
              <w:top w:w="60" w:type="dxa"/>
              <w:left w:w="90" w:type="dxa"/>
              <w:bottom w:w="60" w:type="dxa"/>
              <w:right w:w="90" w:type="dxa"/>
            </w:tcMar>
            <w:vAlign w:val="center"/>
          </w:tcPr>
          <w:p w14:paraId="70597AC1" w14:textId="77777777" w:rsidR="007B5458" w:rsidRDefault="00000000">
            <w:r>
              <w:rPr>
                <w:color w:val="000000"/>
                <w:sz w:val="17"/>
                <w:szCs w:val="17"/>
              </w:rPr>
              <w:t>I</w:t>
            </w:r>
          </w:p>
        </w:tc>
        <w:tc>
          <w:tcPr>
            <w:tcW w:w="800" w:type="dxa"/>
            <w:tcMar>
              <w:top w:w="60" w:type="dxa"/>
              <w:left w:w="90" w:type="dxa"/>
              <w:bottom w:w="60" w:type="dxa"/>
              <w:right w:w="90" w:type="dxa"/>
            </w:tcMar>
            <w:vAlign w:val="center"/>
          </w:tcPr>
          <w:p w14:paraId="33C73600" w14:textId="77777777" w:rsidR="007B5458" w:rsidRDefault="00000000">
            <w:r>
              <w:rPr>
                <w:color w:val="000000"/>
                <w:sz w:val="17"/>
                <w:szCs w:val="17"/>
              </w:rPr>
              <w:t>A</w:t>
            </w:r>
          </w:p>
        </w:tc>
        <w:tc>
          <w:tcPr>
            <w:tcW w:w="800" w:type="dxa"/>
            <w:tcMar>
              <w:top w:w="60" w:type="dxa"/>
              <w:left w:w="90" w:type="dxa"/>
              <w:bottom w:w="60" w:type="dxa"/>
              <w:right w:w="90" w:type="dxa"/>
            </w:tcMar>
            <w:vAlign w:val="center"/>
          </w:tcPr>
          <w:p w14:paraId="7C6F6973" w14:textId="77777777" w:rsidR="007B5458" w:rsidRDefault="00000000">
            <w:r>
              <w:rPr>
                <w:color w:val="000000"/>
                <w:sz w:val="17"/>
                <w:szCs w:val="17"/>
              </w:rPr>
              <w:t>R</w:t>
            </w:r>
          </w:p>
        </w:tc>
        <w:tc>
          <w:tcPr>
            <w:tcW w:w="900" w:type="dxa"/>
            <w:tcMar>
              <w:top w:w="60" w:type="dxa"/>
              <w:left w:w="90" w:type="dxa"/>
              <w:bottom w:w="60" w:type="dxa"/>
              <w:right w:w="90" w:type="dxa"/>
            </w:tcMar>
            <w:vAlign w:val="center"/>
          </w:tcPr>
          <w:p w14:paraId="592D5D9B" w14:textId="77777777" w:rsidR="007B5458" w:rsidRDefault="00000000">
            <w:r>
              <w:rPr>
                <w:color w:val="000000"/>
                <w:sz w:val="17"/>
                <w:szCs w:val="17"/>
              </w:rPr>
              <w:t>R</w:t>
            </w:r>
          </w:p>
        </w:tc>
        <w:tc>
          <w:tcPr>
            <w:tcW w:w="800" w:type="dxa"/>
            <w:tcMar>
              <w:top w:w="60" w:type="dxa"/>
              <w:left w:w="90" w:type="dxa"/>
              <w:bottom w:w="60" w:type="dxa"/>
              <w:right w:w="90" w:type="dxa"/>
            </w:tcMar>
            <w:vAlign w:val="center"/>
          </w:tcPr>
          <w:p w14:paraId="3C6CF4D3" w14:textId="77777777" w:rsidR="007B5458" w:rsidRDefault="00000000">
            <w:r>
              <w:rPr>
                <w:color w:val="000000"/>
                <w:sz w:val="17"/>
                <w:szCs w:val="17"/>
              </w:rPr>
              <w:t>C</w:t>
            </w:r>
          </w:p>
        </w:tc>
        <w:tc>
          <w:tcPr>
            <w:tcW w:w="900" w:type="dxa"/>
            <w:tcMar>
              <w:top w:w="60" w:type="dxa"/>
              <w:left w:w="90" w:type="dxa"/>
              <w:bottom w:w="60" w:type="dxa"/>
              <w:right w:w="90" w:type="dxa"/>
            </w:tcMar>
            <w:vAlign w:val="center"/>
          </w:tcPr>
          <w:p w14:paraId="3AF9239C" w14:textId="77777777" w:rsidR="007B5458" w:rsidRDefault="00000000">
            <w:r>
              <w:rPr>
                <w:color w:val="000000"/>
                <w:sz w:val="17"/>
                <w:szCs w:val="17"/>
              </w:rPr>
              <w:t>C</w:t>
            </w:r>
          </w:p>
        </w:tc>
        <w:tc>
          <w:tcPr>
            <w:tcW w:w="750" w:type="dxa"/>
            <w:tcMar>
              <w:top w:w="60" w:type="dxa"/>
              <w:left w:w="90" w:type="dxa"/>
              <w:bottom w:w="60" w:type="dxa"/>
              <w:right w:w="90" w:type="dxa"/>
            </w:tcMar>
            <w:vAlign w:val="center"/>
          </w:tcPr>
          <w:p w14:paraId="02D7F32A" w14:textId="77777777" w:rsidR="007B5458" w:rsidRDefault="00000000">
            <w:r>
              <w:rPr>
                <w:color w:val="000000"/>
                <w:sz w:val="17"/>
                <w:szCs w:val="17"/>
              </w:rPr>
              <w:t>I</w:t>
            </w:r>
          </w:p>
        </w:tc>
        <w:tc>
          <w:tcPr>
            <w:tcW w:w="750" w:type="dxa"/>
            <w:tcMar>
              <w:top w:w="60" w:type="dxa"/>
              <w:left w:w="90" w:type="dxa"/>
              <w:bottom w:w="60" w:type="dxa"/>
              <w:right w:w="90" w:type="dxa"/>
            </w:tcMar>
            <w:vAlign w:val="center"/>
          </w:tcPr>
          <w:p w14:paraId="31983D6B" w14:textId="77777777" w:rsidR="007B5458" w:rsidRDefault="00000000">
            <w:r>
              <w:rPr>
                <w:color w:val="000000"/>
                <w:sz w:val="17"/>
                <w:szCs w:val="17"/>
              </w:rPr>
              <w:t>C</w:t>
            </w:r>
          </w:p>
        </w:tc>
      </w:tr>
      <w:tr w:rsidR="007B5458" w14:paraId="2556EC13" w14:textId="77777777">
        <w:tblPrEx>
          <w:tblCellMar>
            <w:top w:w="0" w:type="dxa"/>
            <w:bottom w:w="0" w:type="dxa"/>
          </w:tblCellMar>
        </w:tblPrEx>
        <w:tc>
          <w:tcPr>
            <w:tcW w:w="3400" w:type="dxa"/>
            <w:shd w:val="clear" w:color="auto" w:fill="EAF0F4"/>
            <w:tcMar>
              <w:top w:w="60" w:type="dxa"/>
              <w:left w:w="90" w:type="dxa"/>
              <w:bottom w:w="60" w:type="dxa"/>
              <w:right w:w="90" w:type="dxa"/>
            </w:tcMar>
            <w:vAlign w:val="center"/>
          </w:tcPr>
          <w:p w14:paraId="149B46A0" w14:textId="77777777" w:rsidR="007B5458" w:rsidRDefault="00000000">
            <w:r>
              <w:rPr>
                <w:color w:val="000000"/>
                <w:sz w:val="17"/>
                <w:szCs w:val="17"/>
              </w:rPr>
              <w:t>16. Board cyber-risk reporting</w:t>
            </w:r>
          </w:p>
        </w:tc>
        <w:tc>
          <w:tcPr>
            <w:tcW w:w="800" w:type="dxa"/>
            <w:shd w:val="clear" w:color="auto" w:fill="EAF0F4"/>
            <w:tcMar>
              <w:top w:w="60" w:type="dxa"/>
              <w:left w:w="90" w:type="dxa"/>
              <w:bottom w:w="60" w:type="dxa"/>
              <w:right w:w="90" w:type="dxa"/>
            </w:tcMar>
            <w:vAlign w:val="center"/>
          </w:tcPr>
          <w:p w14:paraId="23F12A10" w14:textId="77777777" w:rsidR="007B5458" w:rsidRDefault="00000000">
            <w:r>
              <w:rPr>
                <w:color w:val="000000"/>
                <w:sz w:val="17"/>
                <w:szCs w:val="17"/>
              </w:rPr>
              <w:t>C</w:t>
            </w:r>
          </w:p>
        </w:tc>
        <w:tc>
          <w:tcPr>
            <w:tcW w:w="800" w:type="dxa"/>
            <w:shd w:val="clear" w:color="auto" w:fill="EAF0F4"/>
            <w:tcMar>
              <w:top w:w="60" w:type="dxa"/>
              <w:left w:w="90" w:type="dxa"/>
              <w:bottom w:w="60" w:type="dxa"/>
              <w:right w:w="90" w:type="dxa"/>
            </w:tcMar>
            <w:vAlign w:val="center"/>
          </w:tcPr>
          <w:p w14:paraId="75E77BA7" w14:textId="77777777" w:rsidR="007B5458" w:rsidRDefault="00000000">
            <w:r>
              <w:rPr>
                <w:color w:val="000000"/>
                <w:sz w:val="17"/>
                <w:szCs w:val="17"/>
              </w:rPr>
              <w:t>A</w:t>
            </w:r>
          </w:p>
        </w:tc>
        <w:tc>
          <w:tcPr>
            <w:tcW w:w="800" w:type="dxa"/>
            <w:shd w:val="clear" w:color="auto" w:fill="EAF0F4"/>
            <w:tcMar>
              <w:top w:w="60" w:type="dxa"/>
              <w:left w:w="90" w:type="dxa"/>
              <w:bottom w:w="60" w:type="dxa"/>
              <w:right w:w="90" w:type="dxa"/>
            </w:tcMar>
            <w:vAlign w:val="center"/>
          </w:tcPr>
          <w:p w14:paraId="4C7FBFAF" w14:textId="77777777" w:rsidR="007B5458" w:rsidRDefault="00000000">
            <w:r>
              <w:rPr>
                <w:color w:val="000000"/>
                <w:sz w:val="17"/>
                <w:szCs w:val="17"/>
              </w:rPr>
              <w:t>R</w:t>
            </w:r>
          </w:p>
        </w:tc>
        <w:tc>
          <w:tcPr>
            <w:tcW w:w="900" w:type="dxa"/>
            <w:shd w:val="clear" w:color="auto" w:fill="EAF0F4"/>
            <w:tcMar>
              <w:top w:w="60" w:type="dxa"/>
              <w:left w:w="90" w:type="dxa"/>
              <w:bottom w:w="60" w:type="dxa"/>
              <w:right w:w="90" w:type="dxa"/>
            </w:tcMar>
            <w:vAlign w:val="center"/>
          </w:tcPr>
          <w:p w14:paraId="5BE98CE4" w14:textId="77777777" w:rsidR="007B5458" w:rsidRDefault="00000000">
            <w:r>
              <w:rPr>
                <w:color w:val="000000"/>
                <w:sz w:val="17"/>
                <w:szCs w:val="17"/>
              </w:rPr>
              <w:t>R</w:t>
            </w:r>
          </w:p>
        </w:tc>
        <w:tc>
          <w:tcPr>
            <w:tcW w:w="800" w:type="dxa"/>
            <w:shd w:val="clear" w:color="auto" w:fill="EAF0F4"/>
            <w:tcMar>
              <w:top w:w="60" w:type="dxa"/>
              <w:left w:w="90" w:type="dxa"/>
              <w:bottom w:w="60" w:type="dxa"/>
              <w:right w:w="90" w:type="dxa"/>
            </w:tcMar>
            <w:vAlign w:val="center"/>
          </w:tcPr>
          <w:p w14:paraId="29CEEB62" w14:textId="77777777" w:rsidR="007B5458" w:rsidRDefault="00000000">
            <w:r>
              <w:rPr>
                <w:color w:val="000000"/>
                <w:sz w:val="17"/>
                <w:szCs w:val="17"/>
              </w:rPr>
              <w:t>I</w:t>
            </w:r>
          </w:p>
        </w:tc>
        <w:tc>
          <w:tcPr>
            <w:tcW w:w="900" w:type="dxa"/>
            <w:shd w:val="clear" w:color="auto" w:fill="EAF0F4"/>
            <w:tcMar>
              <w:top w:w="60" w:type="dxa"/>
              <w:left w:w="90" w:type="dxa"/>
              <w:bottom w:w="60" w:type="dxa"/>
              <w:right w:w="90" w:type="dxa"/>
            </w:tcMar>
            <w:vAlign w:val="center"/>
          </w:tcPr>
          <w:p w14:paraId="0228DF4E"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750B587F" w14:textId="77777777" w:rsidR="007B5458" w:rsidRDefault="00000000">
            <w:r>
              <w:rPr>
                <w:color w:val="000000"/>
                <w:sz w:val="17"/>
                <w:szCs w:val="17"/>
              </w:rPr>
              <w:t>I</w:t>
            </w:r>
          </w:p>
        </w:tc>
        <w:tc>
          <w:tcPr>
            <w:tcW w:w="750" w:type="dxa"/>
            <w:shd w:val="clear" w:color="auto" w:fill="EAF0F4"/>
            <w:tcMar>
              <w:top w:w="60" w:type="dxa"/>
              <w:left w:w="90" w:type="dxa"/>
              <w:bottom w:w="60" w:type="dxa"/>
              <w:right w:w="90" w:type="dxa"/>
            </w:tcMar>
            <w:vAlign w:val="center"/>
          </w:tcPr>
          <w:p w14:paraId="4F4F03F0" w14:textId="77777777" w:rsidR="007B5458" w:rsidRDefault="00000000">
            <w:r>
              <w:rPr>
                <w:color w:val="000000"/>
                <w:sz w:val="17"/>
                <w:szCs w:val="17"/>
              </w:rPr>
              <w:t>I</w:t>
            </w:r>
          </w:p>
        </w:tc>
      </w:tr>
    </w:tbl>
    <w:p w14:paraId="12AB5F3C" w14:textId="77777777" w:rsidR="007B5458" w:rsidRDefault="00000000">
      <w:r>
        <w:br w:type="page"/>
      </w:r>
    </w:p>
    <w:p w14:paraId="53713B77" w14:textId="77777777" w:rsidR="007B5458" w:rsidRDefault="00000000">
      <w:pPr>
        <w:pStyle w:val="Heading1"/>
        <w:spacing w:before="360" w:after="160"/>
      </w:pPr>
      <w:r>
        <w:rPr>
          <w:b/>
          <w:bCs/>
          <w:color w:val="1B3A5C"/>
          <w:sz w:val="30"/>
          <w:szCs w:val="30"/>
        </w:rPr>
        <w:lastRenderedPageBreak/>
        <w:t>6. Major Cyber-Risk Escalation Workflow and Thresholds</w:t>
      </w:r>
    </w:p>
    <w:p w14:paraId="3A0326B0" w14:textId="77777777" w:rsidR="007B5458" w:rsidRDefault="00000000">
      <w:pPr>
        <w:spacing w:after="160" w:line="276" w:lineRule="auto"/>
      </w:pPr>
      <w:r>
        <w:t>Today, an incident's escalation depends entirely on the IT Director's individual judgement about who else needs to know, and when. The workflow below removes that dependency by defining, in advance, the numeric and categorical triggers that move an incident from operational detection through to Board escalation — so the same category of incident is handled consistently regardless of which office it originates in or who first detects it.</w:t>
      </w:r>
    </w:p>
    <w:p w14:paraId="25EFFB57" w14:textId="77777777" w:rsidR="007B5458" w:rsidRDefault="00000000">
      <w:pPr>
        <w:spacing w:before="120" w:after="60"/>
        <w:jc w:val="center"/>
      </w:pPr>
      <w:r>
        <w:rPr>
          <w:noProof/>
        </w:rPr>
        <w:drawing>
          <wp:inline distT="0" distB="0" distL="0" distR="0" wp14:anchorId="76167DB2" wp14:editId="57E10EF9">
            <wp:extent cx="4953000" cy="2905125"/>
            <wp:effectExtent l="0" t="0" r="0" b="0"/>
            <wp:docPr id="905226255" name="Picture 90522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05125"/>
                    </a:xfrm>
                    <a:prstGeom prst="rect">
                      <a:avLst/>
                    </a:prstGeom>
                  </pic:spPr>
                </pic:pic>
              </a:graphicData>
            </a:graphic>
          </wp:inline>
        </w:drawing>
      </w:r>
    </w:p>
    <w:p w14:paraId="028A0470" w14:textId="77777777" w:rsidR="007B5458" w:rsidRDefault="00000000">
      <w:pPr>
        <w:spacing w:after="200"/>
        <w:jc w:val="center"/>
      </w:pPr>
      <w:r>
        <w:rPr>
          <w:i/>
          <w:iCs/>
          <w:color w:val="555555"/>
          <w:sz w:val="18"/>
          <w:szCs w:val="18"/>
        </w:rPr>
        <w:t xml:space="preserve">Figure 2. </w:t>
      </w:r>
      <w:proofErr w:type="spellStart"/>
      <w:r>
        <w:rPr>
          <w:i/>
          <w:iCs/>
          <w:color w:val="555555"/>
          <w:sz w:val="18"/>
          <w:szCs w:val="18"/>
        </w:rPr>
        <w:t>TechGlobal</w:t>
      </w:r>
      <w:proofErr w:type="spellEnd"/>
      <w:r>
        <w:rPr>
          <w:i/>
          <w:iCs/>
          <w:color w:val="555555"/>
          <w:sz w:val="18"/>
          <w:szCs w:val="18"/>
        </w:rPr>
        <w:t xml:space="preserve"> major cyber-risk escalation workflow, Detection through Board escalation.</w:t>
      </w:r>
    </w:p>
    <w:tbl>
      <w:tblPr>
        <w:tblW w:w="101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3200"/>
        <w:gridCol w:w="1700"/>
        <w:gridCol w:w="2100"/>
        <w:gridCol w:w="1900"/>
      </w:tblGrid>
      <w:tr w:rsidR="007B5458" w14:paraId="513F1A05" w14:textId="77777777">
        <w:tblPrEx>
          <w:tblCellMar>
            <w:top w:w="0" w:type="dxa"/>
            <w:bottom w:w="0" w:type="dxa"/>
          </w:tblCellMar>
        </w:tblPrEx>
        <w:trPr>
          <w:tblHeader/>
        </w:trPr>
        <w:tc>
          <w:tcPr>
            <w:tcW w:w="1200" w:type="dxa"/>
            <w:shd w:val="clear" w:color="auto" w:fill="1B3A5C"/>
            <w:tcMar>
              <w:top w:w="60" w:type="dxa"/>
              <w:left w:w="90" w:type="dxa"/>
              <w:bottom w:w="60" w:type="dxa"/>
              <w:right w:w="90" w:type="dxa"/>
            </w:tcMar>
            <w:vAlign w:val="center"/>
          </w:tcPr>
          <w:p w14:paraId="03D8E946" w14:textId="77777777" w:rsidR="007B5458" w:rsidRDefault="00000000">
            <w:r>
              <w:rPr>
                <w:b/>
                <w:bCs/>
                <w:color w:val="FFFFFF"/>
                <w:sz w:val="17"/>
                <w:szCs w:val="17"/>
              </w:rPr>
              <w:t>Stage</w:t>
            </w:r>
          </w:p>
        </w:tc>
        <w:tc>
          <w:tcPr>
            <w:tcW w:w="3200" w:type="dxa"/>
            <w:shd w:val="clear" w:color="auto" w:fill="1B3A5C"/>
            <w:tcMar>
              <w:top w:w="60" w:type="dxa"/>
              <w:left w:w="90" w:type="dxa"/>
              <w:bottom w:w="60" w:type="dxa"/>
              <w:right w:w="90" w:type="dxa"/>
            </w:tcMar>
            <w:vAlign w:val="center"/>
          </w:tcPr>
          <w:p w14:paraId="3379D8D5" w14:textId="77777777" w:rsidR="007B5458" w:rsidRDefault="00000000">
            <w:r>
              <w:rPr>
                <w:b/>
                <w:bCs/>
                <w:color w:val="FFFFFF"/>
                <w:sz w:val="17"/>
                <w:szCs w:val="17"/>
              </w:rPr>
              <w:t>Trigger Criteria / Threshold</w:t>
            </w:r>
          </w:p>
        </w:tc>
        <w:tc>
          <w:tcPr>
            <w:tcW w:w="1700" w:type="dxa"/>
            <w:shd w:val="clear" w:color="auto" w:fill="1B3A5C"/>
            <w:tcMar>
              <w:top w:w="60" w:type="dxa"/>
              <w:left w:w="90" w:type="dxa"/>
              <w:bottom w:w="60" w:type="dxa"/>
              <w:right w:w="90" w:type="dxa"/>
            </w:tcMar>
            <w:vAlign w:val="center"/>
          </w:tcPr>
          <w:p w14:paraId="648028E7" w14:textId="77777777" w:rsidR="007B5458" w:rsidRDefault="00000000">
            <w:r>
              <w:rPr>
                <w:b/>
                <w:bCs/>
                <w:color w:val="FFFFFF"/>
                <w:sz w:val="17"/>
                <w:szCs w:val="17"/>
              </w:rPr>
              <w:t>Responsible Role</w:t>
            </w:r>
          </w:p>
        </w:tc>
        <w:tc>
          <w:tcPr>
            <w:tcW w:w="2100" w:type="dxa"/>
            <w:shd w:val="clear" w:color="auto" w:fill="1B3A5C"/>
            <w:tcMar>
              <w:top w:w="60" w:type="dxa"/>
              <w:left w:w="90" w:type="dxa"/>
              <w:bottom w:w="60" w:type="dxa"/>
              <w:right w:w="90" w:type="dxa"/>
            </w:tcMar>
            <w:vAlign w:val="center"/>
          </w:tcPr>
          <w:p w14:paraId="23AE0617" w14:textId="77777777" w:rsidR="007B5458" w:rsidRDefault="00000000">
            <w:r>
              <w:rPr>
                <w:b/>
                <w:bCs/>
                <w:color w:val="FFFFFF"/>
                <w:sz w:val="17"/>
                <w:szCs w:val="17"/>
              </w:rPr>
              <w:t>Required Evidence</w:t>
            </w:r>
          </w:p>
        </w:tc>
        <w:tc>
          <w:tcPr>
            <w:tcW w:w="1900" w:type="dxa"/>
            <w:shd w:val="clear" w:color="auto" w:fill="1B3A5C"/>
            <w:tcMar>
              <w:top w:w="60" w:type="dxa"/>
              <w:left w:w="90" w:type="dxa"/>
              <w:bottom w:w="60" w:type="dxa"/>
              <w:right w:w="90" w:type="dxa"/>
            </w:tcMar>
            <w:vAlign w:val="center"/>
          </w:tcPr>
          <w:p w14:paraId="662C6C2E" w14:textId="77777777" w:rsidR="007B5458" w:rsidRDefault="00000000">
            <w:r>
              <w:rPr>
                <w:b/>
                <w:bCs/>
                <w:color w:val="FFFFFF"/>
                <w:sz w:val="17"/>
                <w:szCs w:val="17"/>
              </w:rPr>
              <w:t>Timing Target</w:t>
            </w:r>
          </w:p>
        </w:tc>
      </w:tr>
      <w:tr w:rsidR="007B5458" w14:paraId="3F24A12A" w14:textId="77777777">
        <w:tblPrEx>
          <w:tblCellMar>
            <w:top w:w="0" w:type="dxa"/>
            <w:bottom w:w="0" w:type="dxa"/>
          </w:tblCellMar>
        </w:tblPrEx>
        <w:tc>
          <w:tcPr>
            <w:tcW w:w="1200" w:type="dxa"/>
            <w:tcMar>
              <w:top w:w="60" w:type="dxa"/>
              <w:left w:w="90" w:type="dxa"/>
              <w:bottom w:w="60" w:type="dxa"/>
              <w:right w:w="90" w:type="dxa"/>
            </w:tcMar>
            <w:vAlign w:val="center"/>
          </w:tcPr>
          <w:p w14:paraId="7CD60E93" w14:textId="77777777" w:rsidR="007B5458" w:rsidRDefault="00000000">
            <w:r>
              <w:rPr>
                <w:color w:val="000000"/>
                <w:sz w:val="17"/>
                <w:szCs w:val="17"/>
              </w:rPr>
              <w:t>1. Detection</w:t>
            </w:r>
          </w:p>
        </w:tc>
        <w:tc>
          <w:tcPr>
            <w:tcW w:w="3200" w:type="dxa"/>
            <w:tcMar>
              <w:top w:w="60" w:type="dxa"/>
              <w:left w:w="90" w:type="dxa"/>
              <w:bottom w:w="60" w:type="dxa"/>
              <w:right w:w="90" w:type="dxa"/>
            </w:tcMar>
            <w:vAlign w:val="center"/>
          </w:tcPr>
          <w:p w14:paraId="3AFA18A9" w14:textId="77777777" w:rsidR="007B5458" w:rsidRDefault="00000000">
            <w:r>
              <w:rPr>
                <w:color w:val="000000"/>
                <w:sz w:val="17"/>
                <w:szCs w:val="17"/>
              </w:rPr>
              <w:t>Any alert matching a defined detection rule, from any of the five offices or the SOC.</w:t>
            </w:r>
          </w:p>
        </w:tc>
        <w:tc>
          <w:tcPr>
            <w:tcW w:w="1700" w:type="dxa"/>
            <w:tcMar>
              <w:top w:w="60" w:type="dxa"/>
              <w:left w:w="90" w:type="dxa"/>
              <w:bottom w:w="60" w:type="dxa"/>
              <w:right w:w="90" w:type="dxa"/>
            </w:tcMar>
            <w:vAlign w:val="center"/>
          </w:tcPr>
          <w:p w14:paraId="2790DD98" w14:textId="77777777" w:rsidR="007B5458" w:rsidRDefault="00000000">
            <w:r>
              <w:rPr>
                <w:color w:val="000000"/>
                <w:sz w:val="17"/>
                <w:szCs w:val="17"/>
              </w:rPr>
              <w:t>SOC / Business-Unit Security Liaison</w:t>
            </w:r>
          </w:p>
        </w:tc>
        <w:tc>
          <w:tcPr>
            <w:tcW w:w="2100" w:type="dxa"/>
            <w:tcMar>
              <w:top w:w="60" w:type="dxa"/>
              <w:left w:w="90" w:type="dxa"/>
              <w:bottom w:w="60" w:type="dxa"/>
              <w:right w:w="90" w:type="dxa"/>
            </w:tcMar>
            <w:vAlign w:val="center"/>
          </w:tcPr>
          <w:p w14:paraId="7B91CDA8" w14:textId="77777777" w:rsidR="007B5458" w:rsidRDefault="00000000">
            <w:r>
              <w:rPr>
                <w:color w:val="000000"/>
                <w:sz w:val="17"/>
                <w:szCs w:val="17"/>
              </w:rPr>
              <w:t>Alert log, initial indicators, affected asset/office.</w:t>
            </w:r>
          </w:p>
        </w:tc>
        <w:tc>
          <w:tcPr>
            <w:tcW w:w="1900" w:type="dxa"/>
            <w:tcMar>
              <w:top w:w="60" w:type="dxa"/>
              <w:left w:w="90" w:type="dxa"/>
              <w:bottom w:w="60" w:type="dxa"/>
              <w:right w:w="90" w:type="dxa"/>
            </w:tcMar>
            <w:vAlign w:val="center"/>
          </w:tcPr>
          <w:p w14:paraId="238BA423" w14:textId="77777777" w:rsidR="007B5458" w:rsidRDefault="00000000">
            <w:r>
              <w:rPr>
                <w:color w:val="000000"/>
                <w:sz w:val="17"/>
                <w:szCs w:val="17"/>
              </w:rPr>
              <w:t>Triage within 1 hour of detection.</w:t>
            </w:r>
          </w:p>
        </w:tc>
      </w:tr>
      <w:tr w:rsidR="007B5458" w14:paraId="5F5B7AD6" w14:textId="77777777">
        <w:tblPrEx>
          <w:tblCellMar>
            <w:top w:w="0" w:type="dxa"/>
            <w:bottom w:w="0" w:type="dxa"/>
          </w:tblCellMar>
        </w:tblPrEx>
        <w:tc>
          <w:tcPr>
            <w:tcW w:w="1200" w:type="dxa"/>
            <w:shd w:val="clear" w:color="auto" w:fill="EAF0F4"/>
            <w:tcMar>
              <w:top w:w="60" w:type="dxa"/>
              <w:left w:w="90" w:type="dxa"/>
              <w:bottom w:w="60" w:type="dxa"/>
              <w:right w:w="90" w:type="dxa"/>
            </w:tcMar>
            <w:vAlign w:val="center"/>
          </w:tcPr>
          <w:p w14:paraId="7B47A8E9" w14:textId="77777777" w:rsidR="007B5458" w:rsidRDefault="00000000">
            <w:r>
              <w:rPr>
                <w:color w:val="000000"/>
                <w:sz w:val="17"/>
                <w:szCs w:val="17"/>
              </w:rPr>
              <w:t>2. Triage</w:t>
            </w:r>
          </w:p>
        </w:tc>
        <w:tc>
          <w:tcPr>
            <w:tcW w:w="3200" w:type="dxa"/>
            <w:shd w:val="clear" w:color="auto" w:fill="EAF0F4"/>
            <w:tcMar>
              <w:top w:w="60" w:type="dxa"/>
              <w:left w:w="90" w:type="dxa"/>
              <w:bottom w:w="60" w:type="dxa"/>
              <w:right w:w="90" w:type="dxa"/>
            </w:tcMar>
            <w:vAlign w:val="center"/>
          </w:tcPr>
          <w:p w14:paraId="0727FEFD" w14:textId="77777777" w:rsidR="007B5458" w:rsidRDefault="00000000">
            <w:r>
              <w:rPr>
                <w:color w:val="000000"/>
                <w:sz w:val="17"/>
                <w:szCs w:val="17"/>
              </w:rPr>
              <w:t>Confirmed incident (not a false positive); severity classified Low–Critical using a pre-agreed matrix.</w:t>
            </w:r>
          </w:p>
        </w:tc>
        <w:tc>
          <w:tcPr>
            <w:tcW w:w="1700" w:type="dxa"/>
            <w:shd w:val="clear" w:color="auto" w:fill="EAF0F4"/>
            <w:tcMar>
              <w:top w:w="60" w:type="dxa"/>
              <w:left w:w="90" w:type="dxa"/>
              <w:bottom w:w="60" w:type="dxa"/>
              <w:right w:w="90" w:type="dxa"/>
            </w:tcMar>
            <w:vAlign w:val="center"/>
          </w:tcPr>
          <w:p w14:paraId="246DEBA1" w14:textId="77777777" w:rsidR="007B5458" w:rsidRDefault="00000000">
            <w:r>
              <w:rPr>
                <w:color w:val="000000"/>
                <w:sz w:val="17"/>
                <w:szCs w:val="17"/>
              </w:rPr>
              <w:t>Security Management (CISO's team)</w:t>
            </w:r>
          </w:p>
        </w:tc>
        <w:tc>
          <w:tcPr>
            <w:tcW w:w="2100" w:type="dxa"/>
            <w:shd w:val="clear" w:color="auto" w:fill="EAF0F4"/>
            <w:tcMar>
              <w:top w:w="60" w:type="dxa"/>
              <w:left w:w="90" w:type="dxa"/>
              <w:bottom w:w="60" w:type="dxa"/>
              <w:right w:w="90" w:type="dxa"/>
            </w:tcMar>
            <w:vAlign w:val="center"/>
          </w:tcPr>
          <w:p w14:paraId="27F5506A" w14:textId="77777777" w:rsidR="007B5458" w:rsidRDefault="00000000">
            <w:r>
              <w:rPr>
                <w:color w:val="000000"/>
                <w:sz w:val="17"/>
                <w:szCs w:val="17"/>
              </w:rPr>
              <w:t>Triage summary, scope estimate, affected systems/data.</w:t>
            </w:r>
          </w:p>
        </w:tc>
        <w:tc>
          <w:tcPr>
            <w:tcW w:w="1900" w:type="dxa"/>
            <w:shd w:val="clear" w:color="auto" w:fill="EAF0F4"/>
            <w:tcMar>
              <w:top w:w="60" w:type="dxa"/>
              <w:left w:w="90" w:type="dxa"/>
              <w:bottom w:w="60" w:type="dxa"/>
              <w:right w:w="90" w:type="dxa"/>
            </w:tcMar>
            <w:vAlign w:val="center"/>
          </w:tcPr>
          <w:p w14:paraId="091AAC95" w14:textId="77777777" w:rsidR="007B5458" w:rsidRDefault="00000000">
            <w:r>
              <w:rPr>
                <w:color w:val="000000"/>
                <w:sz w:val="17"/>
                <w:szCs w:val="17"/>
              </w:rPr>
              <w:t>Classification complete within 1 hour of detection.</w:t>
            </w:r>
          </w:p>
        </w:tc>
      </w:tr>
      <w:tr w:rsidR="007B5458" w14:paraId="79C1C00D" w14:textId="77777777">
        <w:tblPrEx>
          <w:tblCellMar>
            <w:top w:w="0" w:type="dxa"/>
            <w:bottom w:w="0" w:type="dxa"/>
          </w:tblCellMar>
        </w:tblPrEx>
        <w:tc>
          <w:tcPr>
            <w:tcW w:w="1200" w:type="dxa"/>
            <w:tcMar>
              <w:top w:w="60" w:type="dxa"/>
              <w:left w:w="90" w:type="dxa"/>
              <w:bottom w:w="60" w:type="dxa"/>
              <w:right w:w="90" w:type="dxa"/>
            </w:tcMar>
            <w:vAlign w:val="center"/>
          </w:tcPr>
          <w:p w14:paraId="5384521C" w14:textId="77777777" w:rsidR="007B5458" w:rsidRDefault="00000000">
            <w:r>
              <w:rPr>
                <w:color w:val="000000"/>
                <w:sz w:val="17"/>
                <w:szCs w:val="17"/>
              </w:rPr>
              <w:t>3. Management review</w:t>
            </w:r>
          </w:p>
        </w:tc>
        <w:tc>
          <w:tcPr>
            <w:tcW w:w="3200" w:type="dxa"/>
            <w:tcMar>
              <w:top w:w="60" w:type="dxa"/>
              <w:left w:w="90" w:type="dxa"/>
              <w:bottom w:w="60" w:type="dxa"/>
              <w:right w:w="90" w:type="dxa"/>
            </w:tcMar>
            <w:vAlign w:val="center"/>
          </w:tcPr>
          <w:p w14:paraId="164EEB5E" w14:textId="77777777" w:rsidR="007B5458" w:rsidRDefault="00000000">
            <w:r>
              <w:rPr>
                <w:color w:val="000000"/>
                <w:sz w:val="17"/>
                <w:szCs w:val="17"/>
              </w:rPr>
              <w:t>Severity = Medium, OR incident spans more than one office, OR any regulated-data exposure suspected.</w:t>
            </w:r>
          </w:p>
        </w:tc>
        <w:tc>
          <w:tcPr>
            <w:tcW w:w="1700" w:type="dxa"/>
            <w:tcMar>
              <w:top w:w="60" w:type="dxa"/>
              <w:left w:w="90" w:type="dxa"/>
              <w:bottom w:w="60" w:type="dxa"/>
              <w:right w:w="90" w:type="dxa"/>
            </w:tcMar>
            <w:vAlign w:val="center"/>
          </w:tcPr>
          <w:p w14:paraId="6CA83DE7" w14:textId="77777777" w:rsidR="007B5458" w:rsidRDefault="00000000">
            <w:r>
              <w:rPr>
                <w:color w:val="000000"/>
                <w:sz w:val="17"/>
                <w:szCs w:val="17"/>
              </w:rPr>
              <w:t>CISO / relevant Department Head</w:t>
            </w:r>
          </w:p>
        </w:tc>
        <w:tc>
          <w:tcPr>
            <w:tcW w:w="2100" w:type="dxa"/>
            <w:tcMar>
              <w:top w:w="60" w:type="dxa"/>
              <w:left w:w="90" w:type="dxa"/>
              <w:bottom w:w="60" w:type="dxa"/>
              <w:right w:w="90" w:type="dxa"/>
            </w:tcMar>
            <w:vAlign w:val="center"/>
          </w:tcPr>
          <w:p w14:paraId="0D5BAF12" w14:textId="77777777" w:rsidR="007B5458" w:rsidRDefault="00000000">
            <w:r>
              <w:rPr>
                <w:color w:val="000000"/>
                <w:sz w:val="17"/>
                <w:szCs w:val="17"/>
              </w:rPr>
              <w:t>Containment status, impact estimate, office(s) affected.</w:t>
            </w:r>
          </w:p>
        </w:tc>
        <w:tc>
          <w:tcPr>
            <w:tcW w:w="1900" w:type="dxa"/>
            <w:tcMar>
              <w:top w:w="60" w:type="dxa"/>
              <w:left w:w="90" w:type="dxa"/>
              <w:bottom w:w="60" w:type="dxa"/>
              <w:right w:w="90" w:type="dxa"/>
            </w:tcMar>
            <w:vAlign w:val="center"/>
          </w:tcPr>
          <w:p w14:paraId="11580B9A" w14:textId="77777777" w:rsidR="007B5458" w:rsidRDefault="00000000">
            <w:r>
              <w:rPr>
                <w:color w:val="000000"/>
                <w:sz w:val="17"/>
                <w:szCs w:val="17"/>
              </w:rPr>
              <w:t>CISO/Department Head notified within 4 hours of triage.</w:t>
            </w:r>
          </w:p>
        </w:tc>
      </w:tr>
      <w:tr w:rsidR="007B5458" w14:paraId="4FD03308" w14:textId="77777777">
        <w:tblPrEx>
          <w:tblCellMar>
            <w:top w:w="0" w:type="dxa"/>
            <w:bottom w:w="0" w:type="dxa"/>
          </w:tblCellMar>
        </w:tblPrEx>
        <w:tc>
          <w:tcPr>
            <w:tcW w:w="1200" w:type="dxa"/>
            <w:shd w:val="clear" w:color="auto" w:fill="EAF0F4"/>
            <w:tcMar>
              <w:top w:w="60" w:type="dxa"/>
              <w:left w:w="90" w:type="dxa"/>
              <w:bottom w:w="60" w:type="dxa"/>
              <w:right w:w="90" w:type="dxa"/>
            </w:tcMar>
            <w:vAlign w:val="center"/>
          </w:tcPr>
          <w:p w14:paraId="18F199E7" w14:textId="77777777" w:rsidR="007B5458" w:rsidRDefault="00000000">
            <w:r>
              <w:rPr>
                <w:color w:val="000000"/>
                <w:sz w:val="17"/>
                <w:szCs w:val="17"/>
              </w:rPr>
              <w:t>4. Executive escalation</w:t>
            </w:r>
          </w:p>
        </w:tc>
        <w:tc>
          <w:tcPr>
            <w:tcW w:w="3200" w:type="dxa"/>
            <w:shd w:val="clear" w:color="auto" w:fill="EAF0F4"/>
            <w:tcMar>
              <w:top w:w="60" w:type="dxa"/>
              <w:left w:w="90" w:type="dxa"/>
              <w:bottom w:w="60" w:type="dxa"/>
              <w:right w:w="90" w:type="dxa"/>
            </w:tcMar>
            <w:vAlign w:val="center"/>
          </w:tcPr>
          <w:p w14:paraId="07A9EB0B" w14:textId="77777777" w:rsidR="007B5458" w:rsidRDefault="00000000">
            <w:r>
              <w:rPr>
                <w:color w:val="000000"/>
                <w:sz w:val="17"/>
                <w:szCs w:val="17"/>
              </w:rPr>
              <w:t>Severity = High, OR estimated financial impact exceeds $250,000, OR more than 1,000 records/individuals affected, OR incident spans more than one office.</w:t>
            </w:r>
          </w:p>
        </w:tc>
        <w:tc>
          <w:tcPr>
            <w:tcW w:w="1700" w:type="dxa"/>
            <w:shd w:val="clear" w:color="auto" w:fill="EAF0F4"/>
            <w:tcMar>
              <w:top w:w="60" w:type="dxa"/>
              <w:left w:w="90" w:type="dxa"/>
              <w:bottom w:w="60" w:type="dxa"/>
              <w:right w:w="90" w:type="dxa"/>
            </w:tcMar>
            <w:vAlign w:val="center"/>
          </w:tcPr>
          <w:p w14:paraId="1CAABA59" w14:textId="77777777" w:rsidR="007B5458" w:rsidRDefault="00000000">
            <w:r>
              <w:rPr>
                <w:color w:val="000000"/>
                <w:sz w:val="17"/>
                <w:szCs w:val="17"/>
              </w:rPr>
              <w:t>Executive Security Steering Committee (CEO, CRO, Legal, CISO)</w:t>
            </w:r>
          </w:p>
        </w:tc>
        <w:tc>
          <w:tcPr>
            <w:tcW w:w="2100" w:type="dxa"/>
            <w:shd w:val="clear" w:color="auto" w:fill="EAF0F4"/>
            <w:tcMar>
              <w:top w:w="60" w:type="dxa"/>
              <w:left w:w="90" w:type="dxa"/>
              <w:bottom w:w="60" w:type="dxa"/>
              <w:right w:w="90" w:type="dxa"/>
            </w:tcMar>
            <w:vAlign w:val="center"/>
          </w:tcPr>
          <w:p w14:paraId="5CBBA865" w14:textId="77777777" w:rsidR="007B5458" w:rsidRDefault="00000000">
            <w:r>
              <w:rPr>
                <w:color w:val="000000"/>
                <w:sz w:val="17"/>
                <w:szCs w:val="17"/>
              </w:rPr>
              <w:t>Impact assessment, cost estimate, regulatory-exposure category, remediation plan.</w:t>
            </w:r>
          </w:p>
        </w:tc>
        <w:tc>
          <w:tcPr>
            <w:tcW w:w="1900" w:type="dxa"/>
            <w:shd w:val="clear" w:color="auto" w:fill="EAF0F4"/>
            <w:tcMar>
              <w:top w:w="60" w:type="dxa"/>
              <w:left w:w="90" w:type="dxa"/>
              <w:bottom w:w="60" w:type="dxa"/>
              <w:right w:w="90" w:type="dxa"/>
            </w:tcMar>
            <w:vAlign w:val="center"/>
          </w:tcPr>
          <w:p w14:paraId="26381025" w14:textId="77777777" w:rsidR="007B5458" w:rsidRDefault="00000000">
            <w:r>
              <w:rPr>
                <w:color w:val="000000"/>
                <w:sz w:val="17"/>
                <w:szCs w:val="17"/>
              </w:rPr>
              <w:t>Executive brief within 24 hours of confirmation.</w:t>
            </w:r>
          </w:p>
        </w:tc>
      </w:tr>
      <w:tr w:rsidR="007B5458" w14:paraId="1ACACAAE" w14:textId="77777777">
        <w:tblPrEx>
          <w:tblCellMar>
            <w:top w:w="0" w:type="dxa"/>
            <w:bottom w:w="0" w:type="dxa"/>
          </w:tblCellMar>
        </w:tblPrEx>
        <w:tc>
          <w:tcPr>
            <w:tcW w:w="1200" w:type="dxa"/>
            <w:tcMar>
              <w:top w:w="60" w:type="dxa"/>
              <w:left w:w="90" w:type="dxa"/>
              <w:bottom w:w="60" w:type="dxa"/>
              <w:right w:w="90" w:type="dxa"/>
            </w:tcMar>
            <w:vAlign w:val="center"/>
          </w:tcPr>
          <w:p w14:paraId="0142A0B6" w14:textId="77777777" w:rsidR="007B5458" w:rsidRDefault="00000000">
            <w:r>
              <w:rPr>
                <w:color w:val="000000"/>
                <w:sz w:val="17"/>
                <w:szCs w:val="17"/>
              </w:rPr>
              <w:t>5. Board escalation</w:t>
            </w:r>
          </w:p>
        </w:tc>
        <w:tc>
          <w:tcPr>
            <w:tcW w:w="3200" w:type="dxa"/>
            <w:tcMar>
              <w:top w:w="60" w:type="dxa"/>
              <w:left w:w="90" w:type="dxa"/>
              <w:bottom w:w="60" w:type="dxa"/>
              <w:right w:w="90" w:type="dxa"/>
            </w:tcMar>
            <w:vAlign w:val="center"/>
          </w:tcPr>
          <w:p w14:paraId="741C21AF" w14:textId="77777777" w:rsidR="007B5458" w:rsidRDefault="00000000">
            <w:r>
              <w:rPr>
                <w:color w:val="000000"/>
                <w:sz w:val="17"/>
                <w:szCs w:val="17"/>
              </w:rPr>
              <w:t>Severity = Critical, OR material regulatory notification required in any jurisdiction, OR cost/reputational impact exceeds the Board-set risk appetite, OR resolution has not progressed within 72 hours.</w:t>
            </w:r>
          </w:p>
        </w:tc>
        <w:tc>
          <w:tcPr>
            <w:tcW w:w="1700" w:type="dxa"/>
            <w:tcMar>
              <w:top w:w="60" w:type="dxa"/>
              <w:left w:w="90" w:type="dxa"/>
              <w:bottom w:w="60" w:type="dxa"/>
              <w:right w:w="90" w:type="dxa"/>
            </w:tcMar>
            <w:vAlign w:val="center"/>
          </w:tcPr>
          <w:p w14:paraId="76451FEC" w14:textId="77777777" w:rsidR="007B5458" w:rsidRDefault="00000000">
            <w:r>
              <w:rPr>
                <w:color w:val="000000"/>
                <w:sz w:val="17"/>
                <w:szCs w:val="17"/>
              </w:rPr>
              <w:t>CEO and CISO, with CRO and Legal</w:t>
            </w:r>
          </w:p>
        </w:tc>
        <w:tc>
          <w:tcPr>
            <w:tcW w:w="2100" w:type="dxa"/>
            <w:tcMar>
              <w:top w:w="60" w:type="dxa"/>
              <w:left w:w="90" w:type="dxa"/>
              <w:bottom w:w="60" w:type="dxa"/>
              <w:right w:w="90" w:type="dxa"/>
            </w:tcMar>
            <w:vAlign w:val="center"/>
          </w:tcPr>
          <w:p w14:paraId="54E694F2" w14:textId="77777777" w:rsidR="007B5458" w:rsidRDefault="00000000">
            <w:r>
              <w:rPr>
                <w:color w:val="000000"/>
                <w:sz w:val="17"/>
                <w:szCs w:val="17"/>
              </w:rPr>
              <w:t>Full incident report, root cause (where known), regulatory notification status per jurisdiction, financial exposure.</w:t>
            </w:r>
          </w:p>
        </w:tc>
        <w:tc>
          <w:tcPr>
            <w:tcW w:w="1900" w:type="dxa"/>
            <w:tcMar>
              <w:top w:w="60" w:type="dxa"/>
              <w:left w:w="90" w:type="dxa"/>
              <w:bottom w:w="60" w:type="dxa"/>
              <w:right w:w="90" w:type="dxa"/>
            </w:tcMar>
            <w:vAlign w:val="center"/>
          </w:tcPr>
          <w:p w14:paraId="2CECFDA1" w14:textId="77777777" w:rsidR="007B5458" w:rsidRDefault="00000000">
            <w:r>
              <w:rPr>
                <w:color w:val="000000"/>
                <w:sz w:val="17"/>
                <w:szCs w:val="17"/>
              </w:rPr>
              <w:t>Board notified within 72 hours of confirmation, aligned to common regulatory notification clocks.</w:t>
            </w:r>
          </w:p>
        </w:tc>
      </w:tr>
    </w:tbl>
    <w:p w14:paraId="70CE29BC" w14:textId="77777777" w:rsidR="007B5458" w:rsidRDefault="00000000">
      <w:r>
        <w:br w:type="page"/>
      </w:r>
    </w:p>
    <w:p w14:paraId="3023F7CD" w14:textId="77777777" w:rsidR="007B5458" w:rsidRDefault="00000000">
      <w:pPr>
        <w:pStyle w:val="Heading1"/>
        <w:spacing w:before="360" w:after="160"/>
      </w:pPr>
      <w:r>
        <w:rPr>
          <w:b/>
          <w:bCs/>
          <w:color w:val="1B3A5C"/>
          <w:sz w:val="30"/>
          <w:szCs w:val="30"/>
        </w:rPr>
        <w:lastRenderedPageBreak/>
        <w:t>7. Segregation-of-Duties and Accountability Weaknesses</w:t>
      </w:r>
    </w:p>
    <w:p w14:paraId="6EE63987" w14:textId="77777777" w:rsidR="007B5458" w:rsidRDefault="00000000">
      <w:pPr>
        <w:spacing w:after="160" w:line="276" w:lineRule="auto"/>
      </w:pPr>
      <w:r>
        <w:t>The current model concentrates conflicting duties in a small number of hands — most often the IT Director. The six weaknesses below (exceeding the minimum of five) are drawn directly from the current-state description, each with a control that is proportionate to a 2,500-person organisation rather than an enterprise-scale bureaucracy.</w:t>
      </w:r>
    </w:p>
    <w:p w14:paraId="1139E9E1" w14:textId="77777777" w:rsidR="007B5458" w:rsidRDefault="00000000">
      <w:pPr>
        <w:pStyle w:val="Heading3"/>
        <w:spacing w:before="200" w:after="100"/>
      </w:pPr>
      <w:r>
        <w:rPr>
          <w:b/>
          <w:bCs/>
          <w:color w:val="2E7D82"/>
          <w:sz w:val="22"/>
          <w:szCs w:val="22"/>
        </w:rPr>
        <w:t>Weakness 1 — The IT Director both administers and approves privileged access</w:t>
      </w:r>
    </w:p>
    <w:p w14:paraId="75CE1DB3" w14:textId="77777777" w:rsidR="007B5458" w:rsidRDefault="00000000">
      <w:pPr>
        <w:spacing w:after="160" w:line="276" w:lineRule="auto"/>
      </w:pPr>
      <w:r>
        <w:rPr>
          <w:b/>
          <w:bCs/>
        </w:rPr>
        <w:t xml:space="preserve">Risk: </w:t>
      </w:r>
      <w:r>
        <w:t>The same individual who can create administrator accounts can also approve their own access requests, so undetected privilege escalation, fraud or a cover-up of an earlier error is possible with no independent check.</w:t>
      </w:r>
    </w:p>
    <w:p w14:paraId="7F56485F" w14:textId="77777777" w:rsidR="007B5458" w:rsidRDefault="00000000">
      <w:pPr>
        <w:spacing w:after="160" w:line="276" w:lineRule="auto"/>
      </w:pPr>
      <w:r>
        <w:rPr>
          <w:b/>
          <w:bCs/>
        </w:rPr>
        <w:t xml:space="preserve">Corrective control: </w:t>
      </w:r>
      <w:r>
        <w:t xml:space="preserve">Route all privileged-access requests through the CISO function (Section 4, Architecture Review Board) for independent approval; keep IT as implementer </w:t>
      </w:r>
      <w:proofErr w:type="gramStart"/>
      <w:r>
        <w:t>only, and</w:t>
      </w:r>
      <w:proofErr w:type="gramEnd"/>
      <w:r>
        <w:t xml:space="preserve"> run a quarterly access recertification performed by someone outside the IT chain (e.g., the Regional Security Liaison Forum's GRC chair).</w:t>
      </w:r>
    </w:p>
    <w:p w14:paraId="2C235787" w14:textId="77777777" w:rsidR="007B5458" w:rsidRDefault="00000000">
      <w:pPr>
        <w:pStyle w:val="Heading3"/>
        <w:spacing w:before="200" w:after="100"/>
      </w:pPr>
      <w:r>
        <w:rPr>
          <w:b/>
          <w:bCs/>
          <w:color w:val="2E7D82"/>
          <w:sz w:val="22"/>
          <w:szCs w:val="22"/>
        </w:rPr>
        <w:t>Weakness 2 — The IT Director is the sole approver of risk-acceptance decisions</w:t>
      </w:r>
    </w:p>
    <w:p w14:paraId="62E1A8FD" w14:textId="77777777" w:rsidR="007B5458" w:rsidRDefault="00000000">
      <w:pPr>
        <w:spacing w:after="160" w:line="276" w:lineRule="auto"/>
      </w:pPr>
      <w:r>
        <w:rPr>
          <w:b/>
          <w:bCs/>
        </w:rPr>
        <w:t xml:space="preserve">Risk: </w:t>
      </w:r>
      <w:r>
        <w:t>Without a CRO or a defined risk-acceptance threshold, every risk decision is a unilateral technical judgement call rather than a decision weighed against a Board-approved risk appetite.</w:t>
      </w:r>
    </w:p>
    <w:p w14:paraId="061CCEAD" w14:textId="77777777" w:rsidR="007B5458" w:rsidRDefault="00000000">
      <w:pPr>
        <w:spacing w:after="160" w:line="276" w:lineRule="auto"/>
      </w:pPr>
      <w:r>
        <w:rPr>
          <w:b/>
          <w:bCs/>
        </w:rPr>
        <w:t xml:space="preserve">Corrective control: </w:t>
      </w:r>
      <w:r>
        <w:t>Appoint or designate a CRO/Risk function (Section 3) and adopt the risk-acceptance thresholds in Section 6: acceptance above a defined financial or severity threshold requires Executive Security Steering Committee or Board sign-off, never the IT Director alone.</w:t>
      </w:r>
    </w:p>
    <w:p w14:paraId="1A317161" w14:textId="77777777" w:rsidR="007B5458" w:rsidRDefault="00000000">
      <w:pPr>
        <w:pStyle w:val="Heading3"/>
        <w:spacing w:before="200" w:after="100"/>
      </w:pPr>
      <w:r>
        <w:rPr>
          <w:b/>
          <w:bCs/>
          <w:color w:val="2E7D82"/>
          <w:sz w:val="22"/>
          <w:szCs w:val="22"/>
        </w:rPr>
        <w:t>Weakness 3 — The same person authors and approves security policy</w:t>
      </w:r>
    </w:p>
    <w:p w14:paraId="75D7685B" w14:textId="77777777" w:rsidR="007B5458" w:rsidRDefault="00000000">
      <w:pPr>
        <w:spacing w:after="160" w:line="276" w:lineRule="auto"/>
      </w:pPr>
      <w:r>
        <w:rPr>
          <w:b/>
          <w:bCs/>
        </w:rPr>
        <w:t xml:space="preserve">Risk: </w:t>
      </w:r>
      <w:r>
        <w:t>Policy that is both written and approved by one person has no independent quality check and can be shaped to justify existing practice rather than to set an appropriate standard.</w:t>
      </w:r>
    </w:p>
    <w:p w14:paraId="63CB6E42" w14:textId="77777777" w:rsidR="007B5458" w:rsidRDefault="00000000">
      <w:pPr>
        <w:spacing w:after="160" w:line="276" w:lineRule="auto"/>
      </w:pPr>
      <w:r>
        <w:rPr>
          <w:b/>
          <w:bCs/>
        </w:rPr>
        <w:t xml:space="preserve">Corrective control: </w:t>
      </w:r>
      <w:r>
        <w:t>Require all security policy to be drafted by the CISO but formally ratified by the Executive Security Steering Committee (Section 4/5, RACI Activity 3), with Legal and HR consulted before ratification.</w:t>
      </w:r>
    </w:p>
    <w:p w14:paraId="0E51B5EB" w14:textId="77777777" w:rsidR="007B5458" w:rsidRDefault="00000000">
      <w:pPr>
        <w:pStyle w:val="Heading3"/>
        <w:spacing w:before="200" w:after="100"/>
      </w:pPr>
      <w:r>
        <w:rPr>
          <w:b/>
          <w:bCs/>
          <w:color w:val="2E7D82"/>
          <w:sz w:val="22"/>
          <w:szCs w:val="22"/>
        </w:rPr>
        <w:t>Weakness 4 — Business units in each office independently procure cloud/SaaS tools ("shadow IT")</w:t>
      </w:r>
    </w:p>
    <w:p w14:paraId="6FBCA6F9" w14:textId="77777777" w:rsidR="007B5458" w:rsidRDefault="00000000">
      <w:pPr>
        <w:spacing w:after="160" w:line="276" w:lineRule="auto"/>
      </w:pPr>
      <w:r>
        <w:rPr>
          <w:b/>
          <w:bCs/>
        </w:rPr>
        <w:t xml:space="preserve">Risk: </w:t>
      </w:r>
      <w:r>
        <w:t>Without a central security gate, each of the five offices can introduce new vendors and data flows that the CISO function never reviews, creating unmanaged data-protection and vendor-risk exposure.</w:t>
      </w:r>
    </w:p>
    <w:p w14:paraId="335E9DE9" w14:textId="77777777" w:rsidR="007B5458" w:rsidRDefault="00000000">
      <w:pPr>
        <w:spacing w:after="160" w:line="276" w:lineRule="auto"/>
      </w:pPr>
      <w:r>
        <w:rPr>
          <w:b/>
          <w:bCs/>
        </w:rPr>
        <w:t xml:space="preserve">Corrective control: </w:t>
      </w:r>
      <w:r>
        <w:t>Add a mandatory security review step to the procurement workflow, gated by Finance's purchase-order approval, with output routed to the Security Governance &amp; Architecture Review Board (RACI Activity 5) before any new cloud/SaaS tool goes live.</w:t>
      </w:r>
    </w:p>
    <w:p w14:paraId="4FDCCC6F" w14:textId="77777777" w:rsidR="007B5458" w:rsidRDefault="00000000">
      <w:pPr>
        <w:pStyle w:val="Heading3"/>
        <w:spacing w:before="200" w:after="100"/>
      </w:pPr>
      <w:r>
        <w:rPr>
          <w:b/>
          <w:bCs/>
          <w:color w:val="2E7D82"/>
          <w:sz w:val="22"/>
          <w:szCs w:val="22"/>
        </w:rPr>
        <w:t>Weakness 5 — Regional IT staff develop, test and deploy their own changes without independent review</w:t>
      </w:r>
    </w:p>
    <w:p w14:paraId="649BA187" w14:textId="77777777" w:rsidR="007B5458" w:rsidRDefault="00000000">
      <w:pPr>
        <w:spacing w:after="160" w:line="276" w:lineRule="auto"/>
      </w:pPr>
      <w:r>
        <w:rPr>
          <w:b/>
          <w:bCs/>
        </w:rPr>
        <w:t xml:space="preserve">Risk: </w:t>
      </w:r>
      <w:r>
        <w:t>In each office, the same staff who write a change can also test and deploy it to production, so a misconfiguration — accidental or deliberate — can reach production with no second set of eyes.</w:t>
      </w:r>
    </w:p>
    <w:p w14:paraId="4190A4C4" w14:textId="77777777" w:rsidR="007B5458" w:rsidRDefault="00000000">
      <w:pPr>
        <w:spacing w:after="160" w:line="276" w:lineRule="auto"/>
      </w:pPr>
      <w:r>
        <w:rPr>
          <w:b/>
          <w:bCs/>
        </w:rPr>
        <w:t xml:space="preserve">Corrective control: </w:t>
      </w:r>
      <w:r>
        <w:t>Enforce mandatory independent peer review and Change Advisory Board sign-off (via the Architecture Review Board) for any change with security impact, in every office, with requester, reviewer and deployer recorded as distinct identities.</w:t>
      </w:r>
    </w:p>
    <w:p w14:paraId="650DBC2E" w14:textId="77777777" w:rsidR="007B5458" w:rsidRDefault="00000000">
      <w:pPr>
        <w:pStyle w:val="Heading3"/>
        <w:spacing w:before="200" w:after="100"/>
      </w:pPr>
      <w:r>
        <w:rPr>
          <w:b/>
          <w:bCs/>
          <w:color w:val="2E7D82"/>
          <w:sz w:val="22"/>
          <w:szCs w:val="22"/>
        </w:rPr>
        <w:t>Weakness 6 — No independent internal audit or assurance function tests the IT Director's own controls</w:t>
      </w:r>
    </w:p>
    <w:p w14:paraId="5AF92DC4" w14:textId="77777777" w:rsidR="007B5458" w:rsidRDefault="00000000">
      <w:pPr>
        <w:spacing w:after="160" w:line="276" w:lineRule="auto"/>
      </w:pPr>
      <w:r>
        <w:rPr>
          <w:b/>
          <w:bCs/>
        </w:rPr>
        <w:t xml:space="preserve">Risk: </w:t>
      </w:r>
      <w:r>
        <w:t>Without independent assurance, the organisation is relying on the control operator to self-report on the effectiveness of their own controls — precisely the conflict of interest the new governance model is designed to remove.</w:t>
      </w:r>
    </w:p>
    <w:p w14:paraId="245D981D" w14:textId="77777777" w:rsidR="007B5458" w:rsidRDefault="00000000">
      <w:pPr>
        <w:spacing w:after="160" w:line="276" w:lineRule="auto"/>
      </w:pPr>
      <w:r>
        <w:rPr>
          <w:b/>
          <w:bCs/>
        </w:rPr>
        <w:lastRenderedPageBreak/>
        <w:t xml:space="preserve">Corrective control: </w:t>
      </w:r>
      <w:r>
        <w:t>Commission an annual independent control assessment (internal audit function or outsourced assurance provider) reporting directly to the Board Risk &amp; Audit Committee, entirely outside the IT/CISO reporting chain.</w:t>
      </w:r>
    </w:p>
    <w:p w14:paraId="35A15732" w14:textId="77777777" w:rsidR="007B5458" w:rsidRDefault="00000000">
      <w:r>
        <w:br w:type="page"/>
      </w:r>
    </w:p>
    <w:p w14:paraId="099AD7A8" w14:textId="77777777" w:rsidR="007B5458" w:rsidRDefault="00000000">
      <w:pPr>
        <w:pStyle w:val="Heading1"/>
        <w:spacing w:before="360" w:after="160"/>
      </w:pPr>
      <w:r>
        <w:rPr>
          <w:b/>
          <w:bCs/>
          <w:color w:val="1B3A5C"/>
          <w:sz w:val="30"/>
          <w:szCs w:val="30"/>
        </w:rPr>
        <w:lastRenderedPageBreak/>
        <w:t>8. Implementation Roadmap</w:t>
      </w:r>
    </w:p>
    <w:p w14:paraId="14500E3E" w14:textId="77777777" w:rsidR="007B5458" w:rsidRDefault="00000000">
      <w:pPr>
        <w:spacing w:after="160" w:line="276" w:lineRule="auto"/>
      </w:pPr>
      <w:r>
        <w:t>Governance transformation is itself a risk if it is attempted all at once — committees created without members who understand their mandate simply become another informal process. The roadmap below sequences the model in Sections 2–7 over twelve months, so the Board can govern the transformation as a funded, tracked programme.</w:t>
      </w:r>
    </w:p>
    <w:tbl>
      <w:tblPr>
        <w:tblW w:w="10000" w:type="dxa"/>
        <w:tblBorders>
          <w:top w:val="single" w:sz="2" w:space="0" w:color="AAAAAA"/>
          <w:left w:val="single" w:sz="2" w:space="0" w:color="AAAAAA"/>
          <w:bottom w:val="single" w:sz="2" w:space="0" w:color="AAAAAA"/>
          <w:right w:val="single" w:sz="2"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00"/>
        <w:gridCol w:w="1600"/>
        <w:gridCol w:w="4000"/>
        <w:gridCol w:w="2200"/>
      </w:tblGrid>
      <w:tr w:rsidR="007B5458" w14:paraId="10549AF8" w14:textId="77777777">
        <w:tblPrEx>
          <w:tblCellMar>
            <w:top w:w="0" w:type="dxa"/>
            <w:bottom w:w="0" w:type="dxa"/>
          </w:tblCellMar>
        </w:tblPrEx>
        <w:trPr>
          <w:tblHeader/>
        </w:trPr>
        <w:tc>
          <w:tcPr>
            <w:tcW w:w="2200" w:type="dxa"/>
            <w:shd w:val="clear" w:color="auto" w:fill="1B3A5C"/>
            <w:tcMar>
              <w:top w:w="60" w:type="dxa"/>
              <w:left w:w="90" w:type="dxa"/>
              <w:bottom w:w="60" w:type="dxa"/>
              <w:right w:w="90" w:type="dxa"/>
            </w:tcMar>
            <w:vAlign w:val="center"/>
          </w:tcPr>
          <w:p w14:paraId="5E3F1B91" w14:textId="77777777" w:rsidR="007B5458" w:rsidRDefault="00000000">
            <w:r>
              <w:rPr>
                <w:b/>
                <w:bCs/>
                <w:color w:val="FFFFFF"/>
                <w:sz w:val="17"/>
                <w:szCs w:val="17"/>
              </w:rPr>
              <w:t>Phase</w:t>
            </w:r>
          </w:p>
        </w:tc>
        <w:tc>
          <w:tcPr>
            <w:tcW w:w="1600" w:type="dxa"/>
            <w:shd w:val="clear" w:color="auto" w:fill="1B3A5C"/>
            <w:tcMar>
              <w:top w:w="60" w:type="dxa"/>
              <w:left w:w="90" w:type="dxa"/>
              <w:bottom w:w="60" w:type="dxa"/>
              <w:right w:w="90" w:type="dxa"/>
            </w:tcMar>
            <w:vAlign w:val="center"/>
          </w:tcPr>
          <w:p w14:paraId="3611689C" w14:textId="77777777" w:rsidR="007B5458" w:rsidRDefault="00000000">
            <w:r>
              <w:rPr>
                <w:b/>
                <w:bCs/>
                <w:color w:val="FFFFFF"/>
                <w:sz w:val="17"/>
                <w:szCs w:val="17"/>
              </w:rPr>
              <w:t>Timeframe</w:t>
            </w:r>
          </w:p>
        </w:tc>
        <w:tc>
          <w:tcPr>
            <w:tcW w:w="4000" w:type="dxa"/>
            <w:shd w:val="clear" w:color="auto" w:fill="1B3A5C"/>
            <w:tcMar>
              <w:top w:w="60" w:type="dxa"/>
              <w:left w:w="90" w:type="dxa"/>
              <w:bottom w:w="60" w:type="dxa"/>
              <w:right w:w="90" w:type="dxa"/>
            </w:tcMar>
            <w:vAlign w:val="center"/>
          </w:tcPr>
          <w:p w14:paraId="54E707D4" w14:textId="77777777" w:rsidR="007B5458" w:rsidRDefault="00000000">
            <w:r>
              <w:rPr>
                <w:b/>
                <w:bCs/>
                <w:color w:val="FFFFFF"/>
                <w:sz w:val="17"/>
                <w:szCs w:val="17"/>
              </w:rPr>
              <w:t>Key Actions</w:t>
            </w:r>
          </w:p>
        </w:tc>
        <w:tc>
          <w:tcPr>
            <w:tcW w:w="2200" w:type="dxa"/>
            <w:shd w:val="clear" w:color="auto" w:fill="1B3A5C"/>
            <w:tcMar>
              <w:top w:w="60" w:type="dxa"/>
              <w:left w:w="90" w:type="dxa"/>
              <w:bottom w:w="60" w:type="dxa"/>
              <w:right w:w="90" w:type="dxa"/>
            </w:tcMar>
            <w:vAlign w:val="center"/>
          </w:tcPr>
          <w:p w14:paraId="3E244414" w14:textId="77777777" w:rsidR="007B5458" w:rsidRDefault="00000000">
            <w:r>
              <w:rPr>
                <w:b/>
                <w:bCs/>
                <w:color w:val="FFFFFF"/>
                <w:sz w:val="17"/>
                <w:szCs w:val="17"/>
              </w:rPr>
              <w:t>Success Milestone</w:t>
            </w:r>
          </w:p>
        </w:tc>
      </w:tr>
      <w:tr w:rsidR="007B5458" w14:paraId="2882C4B2" w14:textId="77777777">
        <w:tblPrEx>
          <w:tblCellMar>
            <w:top w:w="0" w:type="dxa"/>
            <w:bottom w:w="0" w:type="dxa"/>
          </w:tblCellMar>
        </w:tblPrEx>
        <w:tc>
          <w:tcPr>
            <w:tcW w:w="2200" w:type="dxa"/>
            <w:tcMar>
              <w:top w:w="60" w:type="dxa"/>
              <w:left w:w="90" w:type="dxa"/>
              <w:bottom w:w="60" w:type="dxa"/>
              <w:right w:w="90" w:type="dxa"/>
            </w:tcMar>
            <w:vAlign w:val="center"/>
          </w:tcPr>
          <w:p w14:paraId="18C9DE8F" w14:textId="77777777" w:rsidR="007B5458" w:rsidRDefault="00000000">
            <w:r>
              <w:rPr>
                <w:color w:val="000000"/>
                <w:sz w:val="17"/>
                <w:szCs w:val="17"/>
              </w:rPr>
              <w:t>Phase 1 — Foundation</w:t>
            </w:r>
          </w:p>
        </w:tc>
        <w:tc>
          <w:tcPr>
            <w:tcW w:w="1600" w:type="dxa"/>
            <w:tcMar>
              <w:top w:w="60" w:type="dxa"/>
              <w:left w:w="90" w:type="dxa"/>
              <w:bottom w:w="60" w:type="dxa"/>
              <w:right w:w="90" w:type="dxa"/>
            </w:tcMar>
            <w:vAlign w:val="center"/>
          </w:tcPr>
          <w:p w14:paraId="136BCBD9" w14:textId="77777777" w:rsidR="007B5458" w:rsidRDefault="00000000">
            <w:r>
              <w:rPr>
                <w:color w:val="000000"/>
                <w:sz w:val="17"/>
                <w:szCs w:val="17"/>
              </w:rPr>
              <w:t>Months 0–3</w:t>
            </w:r>
          </w:p>
        </w:tc>
        <w:tc>
          <w:tcPr>
            <w:tcW w:w="4000" w:type="dxa"/>
            <w:tcMar>
              <w:top w:w="60" w:type="dxa"/>
              <w:left w:w="90" w:type="dxa"/>
              <w:bottom w:w="60" w:type="dxa"/>
              <w:right w:w="90" w:type="dxa"/>
            </w:tcMar>
            <w:vAlign w:val="center"/>
          </w:tcPr>
          <w:p w14:paraId="29780AA4" w14:textId="77777777" w:rsidR="007B5458" w:rsidRDefault="00000000">
            <w:r>
              <w:rPr>
                <w:color w:val="000000"/>
                <w:sz w:val="17"/>
                <w:szCs w:val="17"/>
              </w:rPr>
              <w:t>Appoint/designate CRO function; charter and hold first Executive Security Steering Committee; ratify escalation thresholds (Section 6); begin privileged-access remediation (Weakness 1).</w:t>
            </w:r>
          </w:p>
        </w:tc>
        <w:tc>
          <w:tcPr>
            <w:tcW w:w="2200" w:type="dxa"/>
            <w:tcMar>
              <w:top w:w="60" w:type="dxa"/>
              <w:left w:w="90" w:type="dxa"/>
              <w:bottom w:w="60" w:type="dxa"/>
              <w:right w:w="90" w:type="dxa"/>
            </w:tcMar>
            <w:vAlign w:val="center"/>
          </w:tcPr>
          <w:p w14:paraId="7D3D0200" w14:textId="77777777" w:rsidR="007B5458" w:rsidRDefault="00000000">
            <w:r>
              <w:rPr>
                <w:color w:val="000000"/>
                <w:sz w:val="17"/>
                <w:szCs w:val="17"/>
              </w:rPr>
              <w:t xml:space="preserve">Executive Security Steering Committee meeting </w:t>
            </w:r>
            <w:proofErr w:type="spellStart"/>
            <w:r>
              <w:rPr>
                <w:color w:val="000000"/>
                <w:sz w:val="17"/>
                <w:szCs w:val="17"/>
              </w:rPr>
              <w:t>minuted</w:t>
            </w:r>
            <w:proofErr w:type="spellEnd"/>
            <w:r>
              <w:rPr>
                <w:color w:val="000000"/>
                <w:sz w:val="17"/>
                <w:szCs w:val="17"/>
              </w:rPr>
              <w:t xml:space="preserve"> monthly; privileged-access approval moved out of IT.</w:t>
            </w:r>
          </w:p>
        </w:tc>
      </w:tr>
      <w:tr w:rsidR="007B5458" w14:paraId="4105F56B" w14:textId="77777777">
        <w:tblPrEx>
          <w:tblCellMar>
            <w:top w:w="0" w:type="dxa"/>
            <w:bottom w:w="0" w:type="dxa"/>
          </w:tblCellMar>
        </w:tblPrEx>
        <w:tc>
          <w:tcPr>
            <w:tcW w:w="2200" w:type="dxa"/>
            <w:shd w:val="clear" w:color="auto" w:fill="EAF0F4"/>
            <w:tcMar>
              <w:top w:w="60" w:type="dxa"/>
              <w:left w:w="90" w:type="dxa"/>
              <w:bottom w:w="60" w:type="dxa"/>
              <w:right w:w="90" w:type="dxa"/>
            </w:tcMar>
            <w:vAlign w:val="center"/>
          </w:tcPr>
          <w:p w14:paraId="3BC09C88" w14:textId="77777777" w:rsidR="007B5458" w:rsidRDefault="00000000">
            <w:r>
              <w:rPr>
                <w:color w:val="000000"/>
                <w:sz w:val="17"/>
                <w:szCs w:val="17"/>
              </w:rPr>
              <w:t>Phase 2 — Structural build-out</w:t>
            </w:r>
          </w:p>
        </w:tc>
        <w:tc>
          <w:tcPr>
            <w:tcW w:w="1600" w:type="dxa"/>
            <w:shd w:val="clear" w:color="auto" w:fill="EAF0F4"/>
            <w:tcMar>
              <w:top w:w="60" w:type="dxa"/>
              <w:left w:w="90" w:type="dxa"/>
              <w:bottom w:w="60" w:type="dxa"/>
              <w:right w:w="90" w:type="dxa"/>
            </w:tcMar>
            <w:vAlign w:val="center"/>
          </w:tcPr>
          <w:p w14:paraId="6741EC43" w14:textId="77777777" w:rsidR="007B5458" w:rsidRDefault="00000000">
            <w:r>
              <w:rPr>
                <w:color w:val="000000"/>
                <w:sz w:val="17"/>
                <w:szCs w:val="17"/>
              </w:rPr>
              <w:t>Months 3–6</w:t>
            </w:r>
          </w:p>
        </w:tc>
        <w:tc>
          <w:tcPr>
            <w:tcW w:w="4000" w:type="dxa"/>
            <w:shd w:val="clear" w:color="auto" w:fill="EAF0F4"/>
            <w:tcMar>
              <w:top w:w="60" w:type="dxa"/>
              <w:left w:w="90" w:type="dxa"/>
              <w:bottom w:w="60" w:type="dxa"/>
              <w:right w:w="90" w:type="dxa"/>
            </w:tcMar>
            <w:vAlign w:val="center"/>
          </w:tcPr>
          <w:p w14:paraId="6711C4E4" w14:textId="77777777" w:rsidR="007B5458" w:rsidRDefault="00000000">
            <w:r>
              <w:rPr>
                <w:color w:val="000000"/>
                <w:sz w:val="17"/>
                <w:szCs w:val="17"/>
              </w:rPr>
              <w:t>Stand up Architecture Review Board and Regional Security Liaison Forum with named liaisons in all five offices; ratify security policy through the Committee (Weakness 3); gate cloud/SaaS procurement (Weakness 4).</w:t>
            </w:r>
          </w:p>
        </w:tc>
        <w:tc>
          <w:tcPr>
            <w:tcW w:w="2200" w:type="dxa"/>
            <w:shd w:val="clear" w:color="auto" w:fill="EAF0F4"/>
            <w:tcMar>
              <w:top w:w="60" w:type="dxa"/>
              <w:left w:w="90" w:type="dxa"/>
              <w:bottom w:w="60" w:type="dxa"/>
              <w:right w:w="90" w:type="dxa"/>
            </w:tcMar>
            <w:vAlign w:val="center"/>
          </w:tcPr>
          <w:p w14:paraId="2FBB5704" w14:textId="77777777" w:rsidR="007B5458" w:rsidRDefault="00000000">
            <w:r>
              <w:rPr>
                <w:color w:val="000000"/>
                <w:sz w:val="17"/>
                <w:szCs w:val="17"/>
              </w:rPr>
              <w:t>All five offices have a named, active security liaison; policy ratification record exists for all current policies.</w:t>
            </w:r>
          </w:p>
        </w:tc>
      </w:tr>
      <w:tr w:rsidR="007B5458" w14:paraId="5FD17F80" w14:textId="77777777">
        <w:tblPrEx>
          <w:tblCellMar>
            <w:top w:w="0" w:type="dxa"/>
            <w:bottom w:w="0" w:type="dxa"/>
          </w:tblCellMar>
        </w:tblPrEx>
        <w:tc>
          <w:tcPr>
            <w:tcW w:w="2200" w:type="dxa"/>
            <w:tcMar>
              <w:top w:w="60" w:type="dxa"/>
              <w:left w:w="90" w:type="dxa"/>
              <w:bottom w:w="60" w:type="dxa"/>
              <w:right w:w="90" w:type="dxa"/>
            </w:tcMar>
            <w:vAlign w:val="center"/>
          </w:tcPr>
          <w:p w14:paraId="1CA4CFDB" w14:textId="77777777" w:rsidR="007B5458" w:rsidRDefault="00000000">
            <w:r>
              <w:rPr>
                <w:color w:val="000000"/>
                <w:sz w:val="17"/>
                <w:szCs w:val="17"/>
              </w:rPr>
              <w:t>Phase 3 — Assurance &amp; Board integration</w:t>
            </w:r>
          </w:p>
        </w:tc>
        <w:tc>
          <w:tcPr>
            <w:tcW w:w="1600" w:type="dxa"/>
            <w:tcMar>
              <w:top w:w="60" w:type="dxa"/>
              <w:left w:w="90" w:type="dxa"/>
              <w:bottom w:w="60" w:type="dxa"/>
              <w:right w:w="90" w:type="dxa"/>
            </w:tcMar>
            <w:vAlign w:val="center"/>
          </w:tcPr>
          <w:p w14:paraId="79C6D10F" w14:textId="77777777" w:rsidR="007B5458" w:rsidRDefault="00000000">
            <w:r>
              <w:rPr>
                <w:color w:val="000000"/>
                <w:sz w:val="17"/>
                <w:szCs w:val="17"/>
              </w:rPr>
              <w:t>Months 6–12</w:t>
            </w:r>
          </w:p>
        </w:tc>
        <w:tc>
          <w:tcPr>
            <w:tcW w:w="4000" w:type="dxa"/>
            <w:tcMar>
              <w:top w:w="60" w:type="dxa"/>
              <w:left w:w="90" w:type="dxa"/>
              <w:bottom w:w="60" w:type="dxa"/>
              <w:right w:w="90" w:type="dxa"/>
            </w:tcMar>
            <w:vAlign w:val="center"/>
          </w:tcPr>
          <w:p w14:paraId="5B4F17BF" w14:textId="77777777" w:rsidR="007B5458" w:rsidRDefault="00000000">
            <w:r>
              <w:rPr>
                <w:color w:val="000000"/>
                <w:sz w:val="17"/>
                <w:szCs w:val="17"/>
              </w:rPr>
              <w:t>Stand up Cyber Incident Response Steering Committee and run a first cross-functional tabletop exercise; commission first independent control assessment (Weakness 6); deliver first quarterly Board cyber-risk report.</w:t>
            </w:r>
          </w:p>
        </w:tc>
        <w:tc>
          <w:tcPr>
            <w:tcW w:w="2200" w:type="dxa"/>
            <w:tcMar>
              <w:top w:w="60" w:type="dxa"/>
              <w:left w:w="90" w:type="dxa"/>
              <w:bottom w:w="60" w:type="dxa"/>
              <w:right w:w="90" w:type="dxa"/>
            </w:tcMar>
            <w:vAlign w:val="center"/>
          </w:tcPr>
          <w:p w14:paraId="044ED86D" w14:textId="77777777" w:rsidR="007B5458" w:rsidRDefault="00000000">
            <w:r>
              <w:rPr>
                <w:color w:val="000000"/>
                <w:sz w:val="17"/>
                <w:szCs w:val="17"/>
              </w:rPr>
              <w:t>Board receives its first structured quarterly cyber-risk report; independent assurance report delivered to the Audit Committee.</w:t>
            </w:r>
          </w:p>
        </w:tc>
      </w:tr>
    </w:tbl>
    <w:p w14:paraId="03152A4B" w14:textId="77777777" w:rsidR="007B5458" w:rsidRDefault="007B5458">
      <w:pPr>
        <w:spacing w:after="200"/>
      </w:pPr>
    </w:p>
    <w:p w14:paraId="5E043C16" w14:textId="77777777" w:rsidR="007B5458" w:rsidRDefault="00000000">
      <w:pPr>
        <w:pStyle w:val="Heading1"/>
        <w:spacing w:before="360" w:after="160"/>
      </w:pPr>
      <w:r>
        <w:rPr>
          <w:b/>
          <w:bCs/>
          <w:color w:val="1B3A5C"/>
          <w:sz w:val="30"/>
          <w:szCs w:val="30"/>
        </w:rPr>
        <w:t>9. Conclusion</w:t>
      </w:r>
    </w:p>
    <w:p w14:paraId="638204B7" w14:textId="77777777" w:rsidR="007B5458" w:rsidRDefault="00000000">
      <w:pPr>
        <w:spacing w:after="160" w:line="276" w:lineRule="auto"/>
      </w:pPr>
      <w:proofErr w:type="spellStart"/>
      <w:r>
        <w:t>TechGlobal's</w:t>
      </w:r>
      <w:proofErr w:type="spellEnd"/>
      <w:r>
        <w:t xml:space="preserve"> security risk has not been created by any individual's failure — it is the structural result of governance that did not grow alongside the business. The model in this report does not remove the IT function's central operational role; it surrounds that role with the accountability, cross-functional input and Board visibility a 2,500-person, five-office organisation now requires. Implemented in the sequence set out in Section 8, it gives the Board a defensible, auditable governance structure within twelve months, without requiring </w:t>
      </w:r>
      <w:proofErr w:type="spellStart"/>
      <w:r>
        <w:t>TechGlobal</w:t>
      </w:r>
      <w:proofErr w:type="spellEnd"/>
      <w:r>
        <w:t xml:space="preserve"> to over-build governance beyond what its current scale warrants.</w:t>
      </w:r>
    </w:p>
    <w:p w14:paraId="0DFBC078" w14:textId="77777777" w:rsidR="007B5458" w:rsidRDefault="00000000">
      <w:r>
        <w:br w:type="page"/>
      </w:r>
    </w:p>
    <w:p w14:paraId="0E1362DC" w14:textId="77777777" w:rsidR="007B5458" w:rsidRDefault="00000000">
      <w:pPr>
        <w:pStyle w:val="Heading1"/>
        <w:spacing w:before="360" w:after="160"/>
      </w:pPr>
      <w:r>
        <w:rPr>
          <w:b/>
          <w:bCs/>
          <w:color w:val="1B3A5C"/>
          <w:sz w:val="30"/>
          <w:szCs w:val="30"/>
        </w:rPr>
        <w:lastRenderedPageBreak/>
        <w:t>Appendix A — RACI Legend and Notes</w:t>
      </w:r>
    </w:p>
    <w:p w14:paraId="18C44C4B" w14:textId="77777777" w:rsidR="007B5458" w:rsidRDefault="00000000">
      <w:pPr>
        <w:pStyle w:val="ListParagraph"/>
        <w:numPr>
          <w:ilvl w:val="0"/>
          <w:numId w:val="2"/>
        </w:numPr>
        <w:spacing w:after="80" w:line="270" w:lineRule="auto"/>
      </w:pPr>
      <w:r>
        <w:t>R (Responsible): performs the work required to complete the activity.</w:t>
      </w:r>
    </w:p>
    <w:p w14:paraId="3DAF9FD4" w14:textId="77777777" w:rsidR="007B5458" w:rsidRDefault="00000000">
      <w:pPr>
        <w:pStyle w:val="ListParagraph"/>
        <w:numPr>
          <w:ilvl w:val="0"/>
          <w:numId w:val="2"/>
        </w:numPr>
        <w:spacing w:after="80" w:line="270" w:lineRule="auto"/>
      </w:pPr>
      <w:r>
        <w:t>A (Accountable): owns the outcome and is answerable for it; exactly one A per activity in this report.</w:t>
      </w:r>
    </w:p>
    <w:p w14:paraId="159365E7" w14:textId="77777777" w:rsidR="007B5458" w:rsidRDefault="00000000">
      <w:pPr>
        <w:pStyle w:val="ListParagraph"/>
        <w:numPr>
          <w:ilvl w:val="0"/>
          <w:numId w:val="2"/>
        </w:numPr>
        <w:spacing w:after="80" w:line="270" w:lineRule="auto"/>
      </w:pPr>
      <w:r>
        <w:t>C (Consulted): provides input before the decision or action is finalised (two-way communication).</w:t>
      </w:r>
    </w:p>
    <w:p w14:paraId="52B9193F" w14:textId="77777777" w:rsidR="007B5458" w:rsidRDefault="00000000">
      <w:pPr>
        <w:pStyle w:val="ListParagraph"/>
        <w:numPr>
          <w:ilvl w:val="0"/>
          <w:numId w:val="2"/>
        </w:numPr>
        <w:spacing w:after="80" w:line="270" w:lineRule="auto"/>
      </w:pPr>
      <w:r>
        <w:t>I (Informed): notified after the decision or action, for awareness (one-way communication).</w:t>
      </w:r>
    </w:p>
    <w:p w14:paraId="220A66EC" w14:textId="60B97ED3" w:rsidR="007B5458" w:rsidRDefault="007B5458">
      <w:pPr>
        <w:spacing w:after="160" w:line="276" w:lineRule="auto"/>
      </w:pPr>
    </w:p>
    <w:sectPr w:rsidR="007B5458">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B632" w14:textId="77777777" w:rsidR="0053518A" w:rsidRDefault="0053518A">
      <w:r>
        <w:separator/>
      </w:r>
    </w:p>
  </w:endnote>
  <w:endnote w:type="continuationSeparator" w:id="0">
    <w:p w14:paraId="7497F11A" w14:textId="77777777" w:rsidR="0053518A" w:rsidRDefault="00535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2759" w14:textId="77777777" w:rsidR="007B545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7F0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C7F0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A52A" w14:textId="77777777" w:rsidR="0053518A" w:rsidRDefault="0053518A">
      <w:r>
        <w:separator/>
      </w:r>
    </w:p>
  </w:footnote>
  <w:footnote w:type="continuationSeparator" w:id="0">
    <w:p w14:paraId="2EA54D85" w14:textId="77777777" w:rsidR="0053518A" w:rsidRDefault="00535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908A" w14:textId="77777777" w:rsidR="007B5458" w:rsidRDefault="00000000">
    <w:pPr>
      <w:jc w:val="right"/>
    </w:pPr>
    <w:proofErr w:type="spellStart"/>
    <w:r>
      <w:rPr>
        <w:color w:val="888888"/>
        <w:sz w:val="16"/>
        <w:szCs w:val="16"/>
      </w:rPr>
      <w:t>TechGlobal</w:t>
    </w:r>
    <w:proofErr w:type="spellEnd"/>
    <w:r>
      <w:rPr>
        <w:color w:val="888888"/>
        <w:sz w:val="16"/>
        <w:szCs w:val="16"/>
      </w:rPr>
      <w:t xml:space="preserve"> Security Governance Transformation — Consultant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3E7C"/>
    <w:multiLevelType w:val="hybridMultilevel"/>
    <w:tmpl w:val="91EC8B88"/>
    <w:lvl w:ilvl="0" w:tplc="749261EE">
      <w:start w:val="1"/>
      <w:numFmt w:val="bullet"/>
      <w:lvlText w:val="•"/>
      <w:lvlJc w:val="left"/>
      <w:pPr>
        <w:ind w:left="460" w:hanging="260"/>
      </w:pPr>
    </w:lvl>
    <w:lvl w:ilvl="1" w:tplc="4E046EE6">
      <w:numFmt w:val="decimal"/>
      <w:lvlText w:val=""/>
      <w:lvlJc w:val="left"/>
    </w:lvl>
    <w:lvl w:ilvl="2" w:tplc="EDAEB322">
      <w:numFmt w:val="decimal"/>
      <w:lvlText w:val=""/>
      <w:lvlJc w:val="left"/>
    </w:lvl>
    <w:lvl w:ilvl="3" w:tplc="BE183B70">
      <w:numFmt w:val="decimal"/>
      <w:lvlText w:val=""/>
      <w:lvlJc w:val="left"/>
    </w:lvl>
    <w:lvl w:ilvl="4" w:tplc="86944A00">
      <w:numFmt w:val="decimal"/>
      <w:lvlText w:val=""/>
      <w:lvlJc w:val="left"/>
    </w:lvl>
    <w:lvl w:ilvl="5" w:tplc="3FC26A70">
      <w:numFmt w:val="decimal"/>
      <w:lvlText w:val=""/>
      <w:lvlJc w:val="left"/>
    </w:lvl>
    <w:lvl w:ilvl="6" w:tplc="AAB6AC6A">
      <w:numFmt w:val="decimal"/>
      <w:lvlText w:val=""/>
      <w:lvlJc w:val="left"/>
    </w:lvl>
    <w:lvl w:ilvl="7" w:tplc="C9C63D90">
      <w:numFmt w:val="decimal"/>
      <w:lvlText w:val=""/>
      <w:lvlJc w:val="left"/>
    </w:lvl>
    <w:lvl w:ilvl="8" w:tplc="07FCB694">
      <w:numFmt w:val="decimal"/>
      <w:lvlText w:val=""/>
      <w:lvlJc w:val="left"/>
    </w:lvl>
  </w:abstractNum>
  <w:abstractNum w:abstractNumId="1" w15:restartNumberingAfterBreak="0">
    <w:nsid w:val="16376821"/>
    <w:multiLevelType w:val="hybridMultilevel"/>
    <w:tmpl w:val="09E607D0"/>
    <w:lvl w:ilvl="0" w:tplc="33F6AEB0">
      <w:start w:val="1"/>
      <w:numFmt w:val="decimal"/>
      <w:lvlText w:val="%1."/>
      <w:lvlJc w:val="left"/>
      <w:pPr>
        <w:ind w:left="460" w:hanging="260"/>
      </w:pPr>
    </w:lvl>
    <w:lvl w:ilvl="1" w:tplc="46C2017A">
      <w:numFmt w:val="decimal"/>
      <w:lvlText w:val=""/>
      <w:lvlJc w:val="left"/>
    </w:lvl>
    <w:lvl w:ilvl="2" w:tplc="0AE07726">
      <w:numFmt w:val="decimal"/>
      <w:lvlText w:val=""/>
      <w:lvlJc w:val="left"/>
    </w:lvl>
    <w:lvl w:ilvl="3" w:tplc="6E728BAC">
      <w:numFmt w:val="decimal"/>
      <w:lvlText w:val=""/>
      <w:lvlJc w:val="left"/>
    </w:lvl>
    <w:lvl w:ilvl="4" w:tplc="A6128416">
      <w:numFmt w:val="decimal"/>
      <w:lvlText w:val=""/>
      <w:lvlJc w:val="left"/>
    </w:lvl>
    <w:lvl w:ilvl="5" w:tplc="C55859EA">
      <w:numFmt w:val="decimal"/>
      <w:lvlText w:val=""/>
      <w:lvlJc w:val="left"/>
    </w:lvl>
    <w:lvl w:ilvl="6" w:tplc="D702EA2A">
      <w:numFmt w:val="decimal"/>
      <w:lvlText w:val=""/>
      <w:lvlJc w:val="left"/>
    </w:lvl>
    <w:lvl w:ilvl="7" w:tplc="E2A0BED0">
      <w:numFmt w:val="decimal"/>
      <w:lvlText w:val=""/>
      <w:lvlJc w:val="left"/>
    </w:lvl>
    <w:lvl w:ilvl="8" w:tplc="D72A2880">
      <w:numFmt w:val="decimal"/>
      <w:lvlText w:val=""/>
      <w:lvlJc w:val="left"/>
    </w:lvl>
  </w:abstractNum>
  <w:abstractNum w:abstractNumId="2" w15:restartNumberingAfterBreak="0">
    <w:nsid w:val="676B3ECB"/>
    <w:multiLevelType w:val="hybridMultilevel"/>
    <w:tmpl w:val="EA4AD16A"/>
    <w:lvl w:ilvl="0" w:tplc="8A126BD2">
      <w:start w:val="1"/>
      <w:numFmt w:val="bullet"/>
      <w:lvlText w:val="●"/>
      <w:lvlJc w:val="left"/>
      <w:pPr>
        <w:ind w:left="720" w:hanging="360"/>
      </w:pPr>
    </w:lvl>
    <w:lvl w:ilvl="1" w:tplc="E79CF8DE">
      <w:start w:val="1"/>
      <w:numFmt w:val="bullet"/>
      <w:lvlText w:val="○"/>
      <w:lvlJc w:val="left"/>
      <w:pPr>
        <w:ind w:left="1440" w:hanging="360"/>
      </w:pPr>
    </w:lvl>
    <w:lvl w:ilvl="2" w:tplc="23BAFED4">
      <w:start w:val="1"/>
      <w:numFmt w:val="bullet"/>
      <w:lvlText w:val="■"/>
      <w:lvlJc w:val="left"/>
      <w:pPr>
        <w:ind w:left="2160" w:hanging="360"/>
      </w:pPr>
    </w:lvl>
    <w:lvl w:ilvl="3" w:tplc="C2BE6706">
      <w:start w:val="1"/>
      <w:numFmt w:val="bullet"/>
      <w:lvlText w:val="●"/>
      <w:lvlJc w:val="left"/>
      <w:pPr>
        <w:ind w:left="2880" w:hanging="360"/>
      </w:pPr>
    </w:lvl>
    <w:lvl w:ilvl="4" w:tplc="DE18C920">
      <w:start w:val="1"/>
      <w:numFmt w:val="bullet"/>
      <w:lvlText w:val="○"/>
      <w:lvlJc w:val="left"/>
      <w:pPr>
        <w:ind w:left="3600" w:hanging="360"/>
      </w:pPr>
    </w:lvl>
    <w:lvl w:ilvl="5" w:tplc="800A7C36">
      <w:start w:val="1"/>
      <w:numFmt w:val="bullet"/>
      <w:lvlText w:val="■"/>
      <w:lvlJc w:val="left"/>
      <w:pPr>
        <w:ind w:left="4320" w:hanging="360"/>
      </w:pPr>
    </w:lvl>
    <w:lvl w:ilvl="6" w:tplc="81C602C6">
      <w:start w:val="1"/>
      <w:numFmt w:val="bullet"/>
      <w:lvlText w:val="●"/>
      <w:lvlJc w:val="left"/>
      <w:pPr>
        <w:ind w:left="5040" w:hanging="360"/>
      </w:pPr>
    </w:lvl>
    <w:lvl w:ilvl="7" w:tplc="BB8EB384">
      <w:start w:val="1"/>
      <w:numFmt w:val="bullet"/>
      <w:lvlText w:val="●"/>
      <w:lvlJc w:val="left"/>
      <w:pPr>
        <w:ind w:left="5760" w:hanging="360"/>
      </w:pPr>
    </w:lvl>
    <w:lvl w:ilvl="8" w:tplc="48707E7E">
      <w:start w:val="1"/>
      <w:numFmt w:val="bullet"/>
      <w:lvlText w:val="●"/>
      <w:lvlJc w:val="left"/>
      <w:pPr>
        <w:ind w:left="6480" w:hanging="360"/>
      </w:pPr>
    </w:lvl>
  </w:abstractNum>
  <w:num w:numId="1" w16cid:durableId="389812241">
    <w:abstractNumId w:val="2"/>
    <w:lvlOverride w:ilvl="0">
      <w:startOverride w:val="1"/>
    </w:lvlOverride>
  </w:num>
  <w:num w:numId="2" w16cid:durableId="2087415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458"/>
    <w:rsid w:val="0053518A"/>
    <w:rsid w:val="007B5458"/>
    <w:rsid w:val="00B17C17"/>
    <w:rsid w:val="00BC7F0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4238"/>
  <w15:docId w15:val="{60FEC523-DE66-4052-8AA9-8D0DC8D2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3970</Words>
  <Characters>22631</Characters>
  <Application>Microsoft Office Word</Application>
  <DocSecurity>0</DocSecurity>
  <Lines>188</Lines>
  <Paragraphs>53</Paragraphs>
  <ScaleCrop>false</ScaleCrop>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Wanjiru</cp:lastModifiedBy>
  <cp:revision>2</cp:revision>
  <dcterms:created xsi:type="dcterms:W3CDTF">2026-09-25T18:59:00Z</dcterms:created>
  <dcterms:modified xsi:type="dcterms:W3CDTF">2026-09-25T19:38:00Z</dcterms:modified>
</cp:coreProperties>
</file>