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P2 Integrated Evidence and Limitations</w:t>
      </w:r>
    </w:p>
    <w:p>
      <w:r>
        <w:t>P2 bulk endpoint results were retained as negative/non-significant; OS/PFS is not used as the primary endpoint.</w:t>
      </w:r>
    </w:p>
    <w:p>
      <w:r>
        <w:t>Bulk SPP1_TAM_score vs KRAS_Hypoxia_score meta result: pooled Spearman r = 0.1042, BH q = 0.0306.</w:t>
      </w:r>
    </w:p>
    <w:p>
      <w:r>
        <w:t>776 RNA-derived CNV-expression coupling candidates were relabelled and not called DNA dosage drivers.</w:t>
      </w:r>
    </w:p>
    <w:p>
      <w:r>
        <w:t>Exploratory bulk mediation found 5 cohorts with bootstrap CI excluding 0; this is statistical mediation only, not causal proof.</w:t>
      </w:r>
    </w:p>
    <w:p>
      <w:r>
        <w:t>Integrated conclusion: evidence is mixed/partial; Gate A remains unresolved because patient_id is missing in integrated_oc metadata.</w:t>
      </w:r>
    </w:p>
    <w:sectPr/>
  </w:body>
</w:document>
</file>