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/>
      <w:bookmarkStart w:name="3060-1621846615933" w:id="1"/>
      <w:bookmarkEnd w:id="1"/>
    </w:p>
    <w:p>
      <w:pPr/>
      <w:bookmarkStart w:name="Zpwc-1773043063169" w:id="2"/>
      <w:bookmarkEnd w:id="2"/>
      <w:r>
        <w:rPr/>
        <w:t>一、业务流程</w:t>
      </w:r>
    </w:p>
    <w:p>
      <w:pPr/>
      <w:bookmarkStart w:name="5o8W-1773043297626" w:id="3"/>
      <w:bookmarkEnd w:id="3"/>
      <w:r>
        <w:rPr/>
        <w:t>1、项目上人员人员较多，实名制平台导出的数据手机号和身份信息是加密数据，使用工号登录或单个工人专属二维码登录可难实施，最好项目上有有个二维码，工人扫二维码能够完成信息补全，人脸信息录入。</w:t>
      </w:r>
    </w:p>
    <w:p>
      <w:pPr/>
      <w:bookmarkStart w:name="Uoe2-1773050176305" w:id="4"/>
      <w:bookmarkEnd w:id="4"/>
      <w:r>
        <w:rPr/>
        <w:t>流程：实名制人员信息导入平台-扫描项目二维码，完成身份数据补全及人脸认证、手写签名录入</w:t>
      </w:r>
    </w:p>
    <w:p>
      <w:pPr/>
      <w:bookmarkStart w:name="QqDY-1773050227912" w:id="5"/>
      <w:bookmarkEnd w:id="5"/>
      <w:r>
        <w:rPr/>
        <w:t>2、H5页面需要实现结算离场确认单确认，过程考勤信息通过别的平台导入，导入的数据没有加班时长</w:t>
      </w:r>
    </w:p>
    <w:p>
      <w:pPr/>
      <w:bookmarkStart w:name="O5i2-1773050152397" w:id="6"/>
      <w:bookmarkEnd w:id="6"/>
      <w:r>
        <w:rPr/>
        <w:t>流程：人员进场-合同签署-过程实名制考勤信息导入-结算单确认-离场</w:t>
      </w:r>
    </w:p>
    <w:p>
      <w:pPr/>
      <w:bookmarkStart w:name="R6bc-1773043298219" w:id="7"/>
      <w:bookmarkEnd w:id="7"/>
      <w:r>
        <w:rPr/>
        <w:t>二、功能验证</w:t>
      </w:r>
    </w:p>
    <w:p>
      <w:pPr/>
      <w:bookmarkStart w:name="4cKM-1773043303239" w:id="8"/>
      <w:bookmarkEnd w:id="8"/>
      <w:r>
        <w:rPr/>
        <w:t>1、部分功能中批量未全部实现，例如人员信息导入，人员信息中缺少工种信息选择</w:t>
      </w:r>
    </w:p>
    <w:p>
      <w:pPr/>
      <w:bookmarkStart w:name="twwf-1773050441090" w:id="9"/>
      <w:bookmarkEnd w:id="9"/>
      <w:r>
        <w:drawing>
          <wp:inline distT="0" distR="0" distB="0" distL="0">
            <wp:extent cx="5267325" cy="2595215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wJFN-1773043303425" w:id="10"/>
      <w:bookmarkEnd w:id="10"/>
      <w:r>
        <w:rPr/>
        <w:t>2、部分功能点击后无后续页面，例如合同发起、二级数据穿透等</w:t>
      </w:r>
    </w:p>
    <w:p>
      <w:pPr/>
      <w:bookmarkStart w:name="beK3-1773050555727" w:id="11"/>
      <w:bookmarkEnd w:id="11"/>
      <w:r>
        <w:drawing>
          <wp:inline distT="0" distR="0" distB="0" distL="0">
            <wp:extent cx="5267325" cy="2595215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hIur-1773043303583" w:id="12"/>
      <w:bookmarkEnd w:id="12"/>
      <w:r>
        <w:rPr/>
        <w:t>3、人员离场，增加业务规则自动判断离场，人员结算单确认后，人员状态变为离场</w:t>
      </w:r>
    </w:p>
    <w:p>
      <w:pPr/>
      <w:bookmarkStart w:name="DUss-1773050730104" w:id="13"/>
      <w:bookmarkEnd w:id="13"/>
      <w:r>
        <w:drawing>
          <wp:inline distT="0" distR="0" distB="0" distL="0">
            <wp:extent cx="5267325" cy="2595215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zpdP-1773043303738" w:id="14"/>
      <w:bookmarkEnd w:id="14"/>
      <w:r>
        <w:rPr/>
        <w:t>3、业务系统回到首页缺少交互入口</w:t>
      </w:r>
    </w:p>
    <w:p>
      <w:pPr/>
      <w:bookmarkStart w:name="Iw1h-1773050784117" w:id="15"/>
      <w:bookmarkEnd w:id="15"/>
      <w:r>
        <w:drawing>
          <wp:inline distT="0" distR="0" distB="0" distL="0">
            <wp:extent cx="5267325" cy="2595215"/>
            <wp:docPr id="3" name="Drawing 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zgrN-1773043303876" w:id="16"/>
      <w:bookmarkEnd w:id="16"/>
      <w:r>
        <w:rPr/>
        <w:t>4、H5缺少结算单确认</w:t>
      </w:r>
    </w:p>
    <w:p>
      <w:pPr/>
      <w:bookmarkStart w:name="8B0q-1773051032603" w:id="17"/>
      <w:bookmarkEnd w:id="17"/>
      <w:r>
        <w:drawing>
          <wp:inline distT="0" distR="0" distB="0" distL="0">
            <wp:extent cx="5267325" cy="2595215"/>
            <wp:docPr id="4" name="Drawing 4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npXM-1773050887877" w:id="18"/>
      <w:bookmarkEnd w:id="18"/>
      <w:r>
        <w:rPr/>
        <w:t>5、考勤信息通过实名制平台导入，小程序不需要操作查看数据即可</w:t>
      </w:r>
    </w:p>
    <w:p>
      <w:pPr/>
      <w:bookmarkStart w:name="FRlr-1773051113142" w:id="19"/>
      <w:bookmarkEnd w:id="19"/>
      <w:r>
        <w:drawing>
          <wp:inline distT="0" distR="0" distB="0" distL="0">
            <wp:extent cx="5267325" cy="2595215"/>
            <wp:docPr id="5" name="Drawing 5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GZrw-1773051096042" w:id="20"/>
      <w:bookmarkEnd w:id="20"/>
    </w:p>
    <w:p>
      <w:pPr/>
      <w:bookmarkStart w:name="3w7C-1773050886412" w:id="21"/>
      <w:bookmarkEnd w:id="21"/>
      <w:r>
        <w:rPr/>
        <w:t>三、扩展需求</w:t>
      </w:r>
    </w:p>
    <w:p>
      <w:pPr/>
      <w:bookmarkStart w:name="wXAM-1773049908870" w:id="22"/>
      <w:bookmarkEnd w:id="22"/>
      <w:r>
        <w:rPr/>
        <w:t>1、后期要嵌入到运管平台，最好支持模块化应用集成</w:t>
      </w:r>
    </w:p>
    <w:p>
      <w:pPr/>
      <w:bookmarkStart w:name="EFSa-1773049952277" w:id="23"/>
      <w:bookmarkEnd w:id="23"/>
      <w:r>
        <w:rPr/>
        <w:t>2、系统主体色调整#00A5A7</w:t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2026-03-09T12:40:56Z</dcterms:created>
  <dc:creator>Apache POI</dc:creator>
</cp:coreProperties>
</file>