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 w:val="30"/>
          <w:szCs w:val="30"/>
        </w:rPr>
        <w:t>2019年安徽省中考数学试卷</w:t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一、选择题（本大题共10小题，每小题4分，满分40分）每小题都给出A，B，C，D四个选项，其中只有一个是正确的．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1．（4分）在﹣2，﹣1，0，1这四个数中，最小的数是（　　）</w:t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A．﹣2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B．﹣1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D．1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2．（4分）计算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•（﹣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）的结果是（　　）</w:t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 xml:space="preserve">2 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4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4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3．（4分）一个由圆柱和长方体组成的几何体如图水平放置，它的俯视图是（　　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800100" cy="847725"/>
            <wp:effectExtent l="0" t="0" r="12700" b="15875"/>
            <wp:docPr id="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619125" cy="619125"/>
            <wp:effectExtent l="0" t="0" r="15875" b="15875"/>
            <wp:docPr id="8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619125" cy="619125"/>
            <wp:effectExtent l="0" t="0" r="15875" b="15875"/>
            <wp:docPr id="9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619125" cy="619125"/>
            <wp:effectExtent l="0" t="0" r="15875" b="15875"/>
            <wp:docPr id="10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619125" cy="619125"/>
            <wp:effectExtent l="0" t="0" r="15875" b="15875"/>
            <wp:docPr id="11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4．（4分）2019年“五一”假日期间，我省银联网络交易总金额接近161亿元，其中161亿用科学记数法表示为（　　）</w:t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A．1.61×10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 xml:space="preserve">9       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B．1.61×10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 xml:space="preserve">10     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C．1.61×10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 xml:space="preserve">11  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 xml:space="preserve"> 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 xml:space="preserve">       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D．1.61×10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12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5．（4分）已知点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（1，﹣3）关于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轴的对称点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'在反比例函数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的图象上，则实数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k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的值为（　　）</w:t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A．3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5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C．﹣3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D．﹣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6．（4分）在某时段由50辆车通过一个雷达测速点，工作人员将测得的车速绘制成如图所示的条形统计图，则这50辆车的车速的众数（单位：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km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/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）为（　　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3420110" cy="1857375"/>
            <wp:effectExtent l="0" t="0" r="8890" b="22225"/>
            <wp:docPr id="6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A．60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B．50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C．40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D．15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7．（4分）如图，在Rt△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＝6，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＝12，点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上，点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上，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EG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交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G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EG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的长为（　　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704850" cy="1247775"/>
            <wp:effectExtent l="0" t="0" r="6350" b="22225"/>
            <wp:docPr id="18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A．3.6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B．4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C．4.8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D．5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8．（4分）据国家统计局数据，2018年全年国内生产总值为90.3万亿，比2017年增长6.6%．假设国内生产总值的年增长率保持不变，则国内生产总值首次突破100万亿的年份是（　　）</w:t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A．2019年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B．2020年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C．2021年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D．2022年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9．（4分）已知三个实数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满足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＝0，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＜0，则（　　）</w:t>
      </w:r>
    </w:p>
    <w:p>
      <w:pPr>
        <w:tabs>
          <w:tab w:val="left" w:pos="4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＞0，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≤0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＜0，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≤0</w:t>
      </w:r>
      <w:r>
        <w:rPr>
          <w:snapToGrid w:val="0"/>
          <w:color w:val="auto"/>
        </w:rPr>
        <w:tab/>
      </w:r>
    </w:p>
    <w:p>
      <w:pPr>
        <w:tabs>
          <w:tab w:val="left" w:pos="4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＞0，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≥0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＜0，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≥0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10．（4分）如图，在正方形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将对角线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三等分，且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＝12，点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在正方形的边上，则满足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＝9的点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的个数是（　　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438275" cy="1438275"/>
            <wp:effectExtent l="0" t="0" r="9525" b="9525"/>
            <wp:docPr id="3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B．4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C．6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D．8</w:t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二、填空题（共4小题，每小题5分，满分20分）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11．（5分）计算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266700" cy="171450"/>
            <wp:effectExtent l="0" t="0" r="12700" b="6350"/>
            <wp:docPr id="33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÷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92405" cy="171450"/>
            <wp:effectExtent l="0" t="0" r="10795" b="6350"/>
            <wp:docPr id="34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的结果是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12．（5分）命题“如果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＝0，那么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互为相反数”的逆命题为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13．（5分）如图，△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内接于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＝30°，∠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CBA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＝45°，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，若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的半径为2，则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的长为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343025" cy="1219200"/>
            <wp:effectExtent l="0" t="0" r="3175" b="0"/>
            <wp:docPr id="31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14．（5分）在平面直角坐标系中，垂直于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分别与函数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+1和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的图象相交于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两点．若平移直线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，可以使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都在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轴的下方，则实数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的取值范围是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三、（本大题共2小题，每小题8分，满分16分）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15．（8分）解方程：（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﹣1）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＝4．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16．（8分）如图，在边长为1个单位长度的小正方形组成的12×12的网格中，给出了以格点（网格线的交点）为端点的线段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（1）将线段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向右平移5个单位，再向上平移3个单位得到线段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，请画出线段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（2）以线段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为一边，作一个菱形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CDEF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，且点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也为格点．（作出一个菱形即可）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2505710" cy="2505710"/>
            <wp:effectExtent l="0" t="0" r="8890" b="8890"/>
            <wp:docPr id="7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四、（本大题共2小题，每小题8分，满分16分）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17．（8分）为实施乡村振兴战略，解决某山区老百姓出行难的问题，当地政府决定修建一条高速公路．其中一段长为146米的山体隧道贯穿工程由甲乙两个工程队负责施工．甲工程队独立工作2天后，乙工程队加入，两工程队又联合工作了1天，这3天共掘进26米．已知甲工程队每天比乙工程队多掘进2米，按此速度完成这项隧道贯穿工程，甲乙两个工程队还需联合工作多少天？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18．（8分）观察以下等式：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第1个等式：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6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-jyeo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7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2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第2个等式：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4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菁优网-jyeo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9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菁优网-jyeo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0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第3个等式：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1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2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203835" cy="335280"/>
            <wp:effectExtent l="0" t="0" r="24765" b="20320"/>
            <wp:docPr id="23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第4个等式：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4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菁优网-jyeo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5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203835" cy="335280"/>
            <wp:effectExtent l="0" t="0" r="24765" b="20320"/>
            <wp:docPr id="26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第5个等式：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7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28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203835" cy="335280"/>
            <wp:effectExtent l="0" t="0" r="24765" b="20320"/>
            <wp:docPr id="29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……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按照以上规律，解决下列问题：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（1）写出第6个等式：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（2）写出你猜想的第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n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个等式：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（用含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n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的等式表示），并证明．</w:t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五、（本大题共2小题，每小题10分，满分20分）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19．（10分）筒车是我国古代发明的一种水利灌溉工具．如图1，明朝科学家徐光启在《农政全书》中用图画描绘了筒车的工作原理．如图2，筒车盛水桶的运行轨迹是以轴心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为圆心的圆．已知圆心在水面上方，且圆被水面截得的弦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长为6米，∠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＝41.3°，若点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为运行轨道的最高点（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的连线垂直于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），求点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到弦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所在直线的距离．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（参考数据：sin41.3°≈0.66，cos41.3°≈0.75，tan41.3°≈0.88）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3096260" cy="2228850"/>
            <wp:effectExtent l="0" t="0" r="2540" b="6350"/>
            <wp:docPr id="3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20．（10分）如图，点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</w:t>
      </w:r>
      <w:r>
        <w:rPr>
          <w:rFonts w:ascii="Cambria Math" w:hAnsi="Cambria Math" w:eastAsia="Cambria Math"/>
          <w:snapToGrid w:val="0"/>
          <w:color w:val="auto"/>
          <w:szCs w:val="21"/>
        </w:rPr>
        <w:t>▱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内部，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DF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（1）求证：△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≌△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ADF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（2）设</w:t>
      </w:r>
      <w:r>
        <w:rPr>
          <w:rFonts w:ascii="Cambria Math" w:hAnsi="Cambria Math" w:eastAsia="Cambria Math"/>
          <w:snapToGrid w:val="0"/>
          <w:color w:val="auto"/>
          <w:szCs w:val="21"/>
        </w:rPr>
        <w:t>▱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的面积为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S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，四边形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AEDF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的面积为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T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，求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3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2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的值．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914525" cy="1133475"/>
            <wp:effectExtent l="0" t="0" r="15875" b="9525"/>
            <wp:docPr id="15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六、（本题满分12分）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21．（12分）为监控某条生产线上产品的质量，检测员每隔相同时间抽取一件产品，并测量其尺寸，在一天的抽检结束后，检测员将测得的各数据按从小到大的顺序整理成如下表格：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95"/>
        <w:gridCol w:w="494"/>
        <w:gridCol w:w="494"/>
        <w:gridCol w:w="494"/>
        <w:gridCol w:w="494"/>
        <w:gridCol w:w="494"/>
        <w:gridCol w:w="500"/>
        <w:gridCol w:w="500"/>
        <w:gridCol w:w="500"/>
        <w:gridCol w:w="430"/>
        <w:gridCol w:w="500"/>
        <w:gridCol w:w="500"/>
        <w:gridCol w:w="500"/>
        <w:gridCol w:w="500"/>
        <w:gridCol w:w="500"/>
        <w:gridCol w:w="43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tcW w:w="695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编号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①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②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③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④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⑤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⑥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⑦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⑧</w:t>
            </w:r>
          </w:p>
        </w:tc>
        <w:tc>
          <w:tcPr>
            <w:tcW w:w="43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⑨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⑩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⑪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⑫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⑬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⑭</w:t>
            </w:r>
          </w:p>
        </w:tc>
        <w:tc>
          <w:tcPr>
            <w:tcW w:w="43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ascii="Cambria Math" w:hAnsi="Cambria Math" w:eastAsia="Cambria Math"/>
                <w:snapToGrid w:val="0"/>
                <w:color w:val="auto"/>
                <w:szCs w:val="21"/>
              </w:rPr>
              <w:t>⑮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tcW w:w="695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尺寸（</w:t>
            </w: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cm</w:t>
            </w: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）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8.72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8.88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8.92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8.93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8.94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8.96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8.97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8.98</w:t>
            </w:r>
          </w:p>
        </w:tc>
        <w:tc>
          <w:tcPr>
            <w:tcW w:w="43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a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9.03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9.04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9.06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9.07</w:t>
            </w:r>
          </w:p>
        </w:tc>
        <w:tc>
          <w:tcPr>
            <w:tcW w:w="50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9.08</w:t>
            </w:r>
          </w:p>
        </w:tc>
        <w:tc>
          <w:tcPr>
            <w:tcW w:w="43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b</w:t>
            </w:r>
          </w:p>
        </w:tc>
      </w:tr>
    </w:tbl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按照生产标准，产品等次规定如下：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31"/>
        <w:gridCol w:w="399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tcW w:w="4031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尺寸（单位：</w:t>
            </w: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cm</w:t>
            </w: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）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产品等次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tcW w:w="4031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8.97≤</w:t>
            </w: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x</w:t>
            </w: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≤9.03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特等品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tcW w:w="4031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8.95≤</w:t>
            </w: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x</w:t>
            </w: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≤9.05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优等品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tcW w:w="4031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8.90≤</w:t>
            </w: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x</w:t>
            </w: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≤9.10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合格品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tcW w:w="4031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x</w:t>
            </w: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＜8.90或</w:t>
            </w:r>
            <w:r>
              <w:rPr>
                <w:rFonts w:hint="eastAsia" w:ascii="Times New Roman" w:hAnsi="Times New Roman" w:eastAsia="新宋体"/>
                <w:i/>
                <w:snapToGrid w:val="0"/>
                <w:color w:val="auto"/>
                <w:szCs w:val="21"/>
              </w:rPr>
              <w:t>x</w:t>
            </w: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＞9.10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napToGrid w:val="0"/>
                <w:color w:val="auto"/>
              </w:rPr>
            </w:pPr>
            <w:r>
              <w:rPr>
                <w:rFonts w:hint="eastAsia" w:ascii="Times New Roman" w:hAnsi="Times New Roman" w:eastAsia="新宋体"/>
                <w:snapToGrid w:val="0"/>
                <w:color w:val="auto"/>
                <w:szCs w:val="21"/>
              </w:rPr>
              <w:t>非合格品</w:t>
            </w:r>
          </w:p>
        </w:tc>
      </w:tr>
    </w:tbl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注：在统计优等品个数时，将特等品计算在内；在统计合格品个数时，将优等品（含特等品）计算在内．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（1）已知此次抽检的合格率为80%，请判断编号为</w:t>
      </w:r>
      <w:r>
        <w:rPr>
          <w:rFonts w:ascii="Cambria Math" w:hAnsi="Cambria Math" w:eastAsia="Cambria Math"/>
          <w:snapToGrid w:val="0"/>
          <w:color w:val="auto"/>
          <w:szCs w:val="21"/>
        </w:rPr>
        <w:t>⑮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的产品是否为合格品，并说明理由．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（2）已知此次抽检出的优等品尺寸的中位数为9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i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）求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的值；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ii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）将这些优等品分成两组，一组尺寸大于9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，另一组尺寸不大于9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，从这两组中各随机抽取1件进行复检，求抽到的2件产品都是特等品的概率．</w:t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七、（本题满分12分）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22．（12分）一次函数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kx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+4与二次函数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ax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的图象的一个交点坐标为（1，2），另一个交点是该二次函数图象的顶点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（1）求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k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的值；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（2）过点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（0，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）（0＜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＜4）且垂直于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轴的直线与二次函数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ax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的图象相交于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两点，点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为坐标原点，记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W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OA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，求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W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关于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的函数解析式，并求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W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的最小值．</w:t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b/>
          <w:snapToGrid w:val="0"/>
          <w:color w:val="auto"/>
          <w:szCs w:val="21"/>
        </w:rPr>
        <w:t>八、（本题满分14分）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23．（14分）如图，Rt△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为△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内部一点，且∠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APB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＝135°．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（1）求证：△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（2）求证：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（3）若点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到三角形的边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的距离分别为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，求证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2648585" cy="1495425"/>
            <wp:effectExtent l="0" t="0" r="18415" b="3175"/>
            <wp:docPr id="30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E4F26"/>
    <w:rsid w:val="7CD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2020-06-23T23:25:00Z</dcterms:created>
  <dc:creator>dragon</dc:creator>
  <cp:lastModifiedBy>dragon</cp:lastModifiedBy>
  <dcterms:modified xsi:type="dcterms:W3CDTF">2020-06-23T23:25:58Z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