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 w:val="0"/>
          <w:sz w:val="20"/>
        </w:rPr>
        <w:t>用户会话实体：id，用户id，登录token，过期时间，登录IP，登录设备，创建时间</w:t>
      </w:r>
    </w:p>
    <w:p>
      <w:r>
        <w:rPr>
          <w:rFonts w:ascii="微软雅黑" w:hAnsi="微软雅黑" w:eastAsia="微软雅黑"/>
          <w:b w:val="0"/>
          <w:sz w:val="20"/>
        </w:rPr>
        <w:t>查询任务实体：id，用户id，资源包id，原始问题，生成SQL，执行状态，结果数据JSON，耗时ms，错误信息，创建时间</w:t>
      </w:r>
    </w:p>
    <w:p>
      <w:r>
        <w:rPr>
          <w:rFonts w:ascii="微软雅黑" w:hAnsi="微软雅黑" w:eastAsia="微软雅黑"/>
          <w:b w:val="0"/>
          <w:sz w:val="20"/>
        </w:rPr>
        <w:t>对话历史实体：id，用户id，资源包id，用户问题，AI回答内容，关联查询任务id，创建时间</w:t>
      </w:r>
    </w:p>
    <w:p/>
    <w:p>
      <w:pPr>
        <w:jc w:val="center"/>
      </w:pPr>
      <w:r>
        <w:rPr>
          <w:rFonts w:ascii="微软雅黑" w:hAnsi="微软雅黑" w:eastAsia="微软雅黑"/>
          <w:b/>
          <w:color w:val="17365D"/>
          <w:sz w:val="32"/>
        </w:rPr>
        <w:t># DataAgent智能分析子系统设计说明</w:t>
      </w:r>
    </w:p>
    <w:p>
      <w:r>
        <w:rPr>
          <w:rFonts w:ascii="微软雅黑" w:hAnsi="微软雅黑" w:eastAsia="微软雅黑"/>
          <w:b/>
          <w:color w:val="0F4C81"/>
          <w:sz w:val="26"/>
        </w:rPr>
        <w:t>一、系统整体架构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DataAgent是一个可插拔业务包的智能数据分析平台。整体分为五层：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第一层：用户接入层。提供登录认证、角色权限管理，不同角色看到的资源包和数据范围不同。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第二层：资源包管理层。每个业务领域（如电商、金融、教育）打包成一个独立资源包，包含自己的数仓表结构、业务指标、口径说明和推荐问法。资源包之间互相隔离，可独立安装和卸载。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第三层：AI问数引擎。接收用户自然语言问题，结合RAG检索业务指标口径，自动生成SQL，执行查询，选择合适的图表类型，输出业务洞察。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第四层：数据工具层。管理数据源连接（MySQL/Hive/PostgreSQL）、SQL执行任务、查询结果缓存。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第五层：展示层。包含聊天问数界面、数据看板、数仓架构视图，以及开箱即用的图表模板。</w:t>
      </w:r>
    </w:p>
    <w:p>
      <w:r>
        <w:rPr>
          <w:rFonts w:ascii="微软雅黑" w:hAnsi="微软雅黑" w:eastAsia="微软雅黑"/>
          <w:b/>
          <w:color w:val="0F4C81"/>
          <w:sz w:val="26"/>
        </w:rPr>
        <w:t>二、资源包编码规则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资源包命名格式：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业务域码 - 版本号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业务域码用两位大写字母缩写，标明这个资源包属于哪个业务领域：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EC：E-Commerce，电商业务包，覆盖订单、支付、退款、用户行为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FN：Finance，金融业务包（预留），覆盖交易、风控、客户资产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ED：Education，教育业务包（预留），覆盖课程、学员、学习行为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GM：General，通用示例包，用于产品演示和新用户引导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版本号格式：V主版本.次版本，如 V1.0、V1.2。资源包内表结构发生不兼容变更时主版本号+1，新增表或字段时次版本号+1。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示例：EC_V1.0 表示电商业务包第一个正式版本，包含11张数仓表、8个核心指标、20条推荐问法。</w:t>
      </w:r>
    </w:p>
    <w:p>
      <w:r>
        <w:rPr>
          <w:rFonts w:ascii="微软雅黑" w:hAnsi="微软雅黑" w:eastAsia="微软雅黑"/>
          <w:b/>
          <w:color w:val="0F4C81"/>
          <w:sz w:val="26"/>
        </w:rPr>
        <w:t>三、实体设计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注明：当实体属性中写「业务操作」的时候，是指「创建人，创建时间，创建机构名，修改人，修改时间，修改机构名」；当实体属性中写「删除标记」的时候，是指删除标记（用时间戳类型，null表示未删除）、删除人。</w:t>
      </w:r>
    </w:p>
    <w:p>
      <w:r>
        <w:rPr>
          <w:rFonts w:ascii="微软雅黑" w:hAnsi="微软雅黑" w:eastAsia="微软雅黑"/>
          <w:b/>
          <w:color w:val="17365D"/>
          <w:sz w:val="23"/>
        </w:rPr>
        <w:t>3.1 用户认证模块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用户实体：id，用户名（登录账号，唯一），密码哈希（bcrypt加密后存储，不存明文），邮箱，手机号，昵称，头像URL，角色（管理员/数据分析师/普通用户），账号状态（启用/禁用/待激活），最近登录时间，业务操作，删除标记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角色实体：id，角色名（管理员/分析师/普通用户），角色编码，描述，权限范围（可访问哪些资源包），业务操作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用户会话实体：id，用户id，登录token（JWT），过期时间，登录IP，登录设备（PC/移动端），创建时间</w:t>
      </w:r>
    </w:p>
    <w:p>
      <w:r>
        <w:rPr>
          <w:rFonts w:ascii="微软雅黑" w:hAnsi="微软雅黑" w:eastAsia="微软雅黑"/>
          <w:b/>
          <w:color w:val="17365D"/>
          <w:sz w:val="23"/>
        </w:rPr>
        <w:t>3.2 资源包管理模块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资源包实体：id，资源包名（如「电商业务包」），资源包编码（如EC_V1.0），业务域码，描述，版本号，状态（开发中/已上线/已下线），默认数据源id，推荐问法列表JSON（预置20条常见问题），业务操作，删除标记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资源包表实体：id，资源包id，表名（如dwd_order_detail），表中文名称，数仓层级（ODS/DWD/DWS/ADS），表描述，字段结构JSON（字段名、类型、说明），是否维度表（是/否），业务操作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资源包指标实体：id，资源包id，指标名（如GMV），指标编码，业务口径说明（如「GMV=支付成功订单的实付金额总和，不含退款」），计算公式SQL片段，关联表名，默认展示图表类型（数值卡/折线图/柱状图/饼图），业务操作</w:t>
      </w:r>
    </w:p>
    <w:p>
      <w:r>
        <w:rPr>
          <w:rFonts w:ascii="微软雅黑" w:hAnsi="微软雅黑" w:eastAsia="微软雅黑"/>
          <w:b/>
          <w:color w:val="17365D"/>
          <w:sz w:val="23"/>
        </w:rPr>
        <w:t>3.3 数据工具模块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数据源实体：id，数据源名，数据源类型（MySQL/Hive/PostgreSQL/CSV上传），连接地址，端口，数据库名，登录账号，加密密码（AES加密存储），连接状态（测试中/已连通/连接失败），最近测试时间，业务操作，删除标记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查询任务实体：id，用户id，资源包id，原始用户问题，AI理解后的问题意图，生成的SQL语句，执行状态（排队中/执行中/成功/失败），结果数据JSON（查询返回的行列数据），耗时毫秒数，返回行数，错误信息，创建时间</w:t>
      </w:r>
    </w:p>
    <w:p>
      <w:r>
        <w:rPr>
          <w:rFonts w:ascii="微软雅黑" w:hAnsi="微软雅黑" w:eastAsia="微软雅黑"/>
          <w:b/>
          <w:color w:val="17365D"/>
          <w:sz w:val="23"/>
        </w:rPr>
        <w:t>3.4 图表与看板模块（开箱即用）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图表模板实体：id，模板名，图表类型（指标卡/折线图/柱状图/饼图/条形图/数据表格），所属资源包id，关联指标id，图表配置JSON（颜色、坐标轴、筛选条件），封面图URL，使用次数，是否推荐，业务操作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看板实体：id，看板名，所属资源包id，布局配置JSON（图表位置、大小、行列布局），筛选器配置（时间范围、类目、地区），创建人，是否公开，业务操作，删除标记</w:t>
      </w:r>
    </w:p>
    <w:p>
      <w:r>
        <w:rPr>
          <w:rFonts w:ascii="微软雅黑" w:hAnsi="微软雅黑" w:eastAsia="微软雅黑"/>
          <w:b/>
          <w:color w:val="17365D"/>
          <w:sz w:val="23"/>
        </w:rPr>
        <w:t>3.5 对话与历史记录模块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对话历史实体：id，用户id，资源包id，用户问题原文，AI回答文字内容，关联查询任务id，使用的图表类型，AI给出的业务洞察，创建时间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收藏实体：id，用户id，收藏类型（对话记录/图表模板/看板），关联对象id，收藏备注，创建时间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反馈实体：id，对话历史id，用户id，反馈类型（赞/踩），反馈内容（当回答不准时填写），创建时间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