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4F81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center"/>
        <w:textAlignment w:val="auto"/>
        <w:rPr>
          <w:rStyle w:val="9"/>
          <w:rFonts w:hint="default" w:ascii="Times New Roman" w:hAnsi="Times New Roman" w:cs="Times New Roman"/>
          <w:b/>
          <w:bCs/>
          <w:sz w:val="24"/>
          <w:szCs w:val="24"/>
        </w:rPr>
      </w:pPr>
      <w:r>
        <w:rPr>
          <w:rStyle w:val="9"/>
          <w:rFonts w:hint="default" w:ascii="Times New Roman" w:hAnsi="Times New Roman" w:cs="Times New Roman"/>
          <w:b/>
          <w:bCs/>
          <w:sz w:val="24"/>
          <w:szCs w:val="24"/>
        </w:rPr>
        <w:t>Causal and explainable machine learning for predicting incident depression–cognitive comorbidity in older adults: evidence from the CHARLS cohort</w:t>
      </w:r>
    </w:p>
    <w:p w14:paraId="6C589C5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一</w:t>
      </w:r>
      <w:r>
        <w:rPr>
          <w:rFonts w:hint="default" w:ascii="Times New Roman" w:hAnsi="Times New Roman" w:cs="Times New Roman"/>
          <w:sz w:val="24"/>
          <w:szCs w:val="24"/>
        </w:rPr>
        <w:t>、研究背景与研究意义</w:t>
      </w:r>
    </w:p>
    <w:p w14:paraId="0243C0A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全球人口老龄化加速使老年期精神健康与认知功能问题成为重要公共卫生议题。抑郁症状与认知功能受损是老年人群中最常见的两类问题，且在老年期存在显著共存与相互影响关系。既往证据显示，老年抑郁与认知障碍不仅常同时出现，而且抑郁与未来发生认知下降或痴呆风险增加相关，提示抑郁可能是认知衰退的重要前驱或伴随状态</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&lt;EndNote&gt;&lt;Cite&gt;&lt;Author&gt;Byers&lt;/Author&gt;&lt;Year&gt;2011&lt;/Year&gt;&lt;RecNum&gt;241649&lt;/RecNum&gt;&lt;DisplayText&gt;&lt;style face="superscript"&gt;1&lt;/style&gt;&lt;/DisplayText&gt;&lt;record&gt;&lt;rec-number&gt;241649&lt;/rec-number&gt;&lt;foreign-keys&gt;&lt;key app="EN" db-id="saz2rftejdezr4eespx5r9edazxzt99was2d" timestamp="1770647789"&gt;241649&lt;/key&gt;&lt;/foreign-keys&gt;&lt;ref-type name="Journal Article"&gt;17&lt;/ref-type&gt;&lt;contributors&gt;&lt;authors&gt;&lt;author&gt;Byers, A. L.&lt;/author&gt;&lt;author&gt;Yaffe, K.&lt;/author&gt;&lt;/authors&gt;&lt;/contributors&gt;&lt;titles&gt;&lt;title&gt;Depression and risk of developing dementia&lt;/title&gt;&lt;secondary-title&gt;The Lancet Neurology&lt;/secondary-title&gt;&lt;/titles&gt;&lt;periodical&gt;&lt;full-title&gt;The Lancet Neurology&lt;/full-title&gt;&lt;/periodical&gt;&lt;pages&gt;573-581&lt;/pages&gt;&lt;volume&gt;10&lt;/volume&gt;&lt;number&gt;6&lt;/number&gt;&lt;dates&gt;&lt;year&gt;2011&lt;/year&gt;&lt;/dates&gt;&lt;urls&gt;&lt;/urls&gt;&lt;electronic-resource-num&gt;10.1016/S1474-4422(11)70001-4 PMID- 21537355&lt;/electronic-resource-num&gt;&lt;/record&gt;&lt;/Cite&gt;&lt;/EndNote&gt;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。与此同时，老年抑郁中的认知缺陷具有独立临床意义，与更差的治疗反应与功能结局相关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&lt;EndNote&gt;&lt;Cite&gt;&lt;Author&gt;Morimoto&lt;/Author&gt;&lt;Year&gt;2013&lt;/Year&gt;&lt;RecNum&gt;241650&lt;/RecNum&gt;&lt;DisplayText&gt;&lt;style face="superscript"&gt;2&lt;/style&gt;&lt;/DisplayText&gt;&lt;record&gt;&lt;rec-number&gt;241650&lt;/rec-number&gt;&lt;foreign-keys&gt;&lt;key app="EN" db-id="saz2rftejdezr4eespx5r9edazxzt99was2d" timestamp="1770647789"&gt;241650&lt;/key&gt;&lt;/foreign-keys&gt;&lt;ref-type name="Journal Article"&gt;17&lt;/ref-type&gt;&lt;contributors&gt;&lt;authors&gt;&lt;author&gt;Morimoto, S. S.&lt;/author&gt;&lt;author&gt;Alexopoulos, G. S.&lt;/author&gt;&lt;/authors&gt;&lt;/contributors&gt;&lt;titles&gt;&lt;title&gt;Cognitive deficits in late-life depression: clinical correlates and implications for current and future treatments&lt;/title&gt;&lt;secondary-title&gt;Biological Psychiatry&lt;/secondary-title&gt;&lt;/titles&gt;&lt;periodical&gt;&lt;full-title&gt;Biological Psychiatry&lt;/full-title&gt;&lt;/periodical&gt;&lt;pages&gt;793-801&lt;/pages&gt;&lt;volume&gt;73&lt;/volume&gt;&lt;number&gt;9&lt;/number&gt;&lt;dates&gt;&lt;year&gt;2013&lt;/year&gt;&lt;/dates&gt;&lt;urls&gt;&lt;/urls&gt;&lt;electronic-resource-num&gt;10.1016/j.biopsych.2012.06.031 PMID- 24229654&lt;/electronic-resource-num&gt;&lt;/record&gt;&lt;/Cite&gt;&lt;/EndNote&gt;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。在机制层面，老年抑郁与认知障碍共享多条通路，包括血管病理、慢性炎症、应激轴异常及神经网络功能改变等，同时又受到生活方式与社会环境因素影响</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&lt;EndNote&gt;&lt;Cite&gt;&lt;Author&gt;Alexopoulos&lt;/Author&gt;&lt;Year&gt;2019&lt;/Year&gt;&lt;RecNum&gt;241651&lt;/RecNum&gt;&lt;DisplayText&gt;&lt;style face="superscript"&gt;3&lt;/style&gt;&lt;/DisplayText&gt;&lt;record&gt;&lt;rec-number&gt;241651&lt;/rec-number&gt;&lt;foreign-keys&gt;&lt;key app="EN" db-id="saz2rftejdezr4eespx5r9edazxzt99was2d" timestamp="1770647789"&gt;241651&lt;/key&gt;&lt;/foreign-keys&gt;&lt;ref-type name="Journal Article"&gt;17&lt;/ref-type&gt;&lt;contributors&gt;&lt;authors&gt;&lt;author&gt;Alexopoulos, G. S.&lt;/author&gt;&lt;/authors&gt;&lt;/contributors&gt;&lt;titles&gt;&lt;title&gt;Mechanisms and treatment of late-life depression&lt;/title&gt;&lt;secondary-title&gt;Translational Psychiatry&lt;/secondary-title&gt;&lt;/titles&gt;&lt;periodical&gt;&lt;full-title&gt;Translational psychiatry&lt;/full-title&gt;&lt;/periodical&gt;&lt;pages&gt;188&lt;/pages&gt;&lt;volume&gt;9&lt;/volume&gt;&lt;number&gt;1&lt;/number&gt;&lt;dates&gt;&lt;year&gt;2019&lt;/year&gt;&lt;/dates&gt;&lt;urls&gt;&lt;/urls&gt;&lt;electronic-resource-num&gt;10.1038/s41398-019-0514-6 PMID- 31383842&lt;/electronic-resource-num&gt;&lt;/record&gt;&lt;/Cite&gt;&lt;/EndNote&gt;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191E73C">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老年人群中，多病共存、睡眠障碍、身体活动不足与社会孤立等情况普遍存在，它们既与抑郁风险密切相关，也与认知下降或痴呆风险相关，因此可被视为抑郁–认知共病形成的重要上游因素与潜在干预靶点。多病共存与抑郁之间的关系已有系统综述与荟萃分析支持</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&lt;EndNote&gt;&lt;Cite&gt;&lt;Author&gt;Read&lt;/Author&gt;&lt;Year&gt;2017&lt;/Year&gt;&lt;RecNum&gt;241652&lt;/RecNum&gt;&lt;DisplayText&gt;&lt;style face="superscript"&gt;4&lt;/style&gt;&lt;/DisplayText&gt;&lt;record&gt;&lt;rec-number&gt;241652&lt;/rec-number&gt;&lt;foreign-keys&gt;&lt;key app="EN" db-id="saz2rftejdezr4eespx5r9edazxzt99was2d" timestamp="1770647789"&gt;241652&lt;/key&gt;&lt;/foreign-keys&gt;&lt;ref-type name="Journal Article"&gt;17&lt;/ref-type&gt;&lt;contributors&gt;&lt;authors&gt;&lt;author&gt;Read, J. R.&lt;/author&gt;&lt;author&gt;Sharpe, L.&lt;/author&gt;&lt;author&gt;Modini, M.&lt;/author&gt;&lt;author&gt;Dear, B. F.&lt;/author&gt;&lt;/authors&gt;&lt;/contributors&gt;&lt;titles&gt;&lt;title&gt;Multimorbidity and depression: A systematic review and meta-analysis&lt;/title&gt;&lt;secondary-title&gt;Journal of Affective Disorders&lt;/secondary-title&gt;&lt;/titles&gt;&lt;periodical&gt;&lt;full-title&gt;Journal of affective disorders&lt;/full-title&gt;&lt;/periodical&gt;&lt;pages&gt;36-46&lt;/pages&gt;&lt;volume&gt;221&lt;/volume&gt;&lt;dates&gt;&lt;year&gt;2017&lt;/year&gt;&lt;/dates&gt;&lt;urls&gt;&lt;/urls&gt;&lt;electronic-resource-num&gt;10.1016/j.jad.2017.06.009 PMID- 28628766&lt;/electronic-resource-num&gt;&lt;/record&gt;&lt;/Cite&gt;&lt;/EndNote&gt;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t>，而多病共存亦与轻度认知障碍风险增加相关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&lt;EndNote&gt;&lt;Cite&gt;&lt;Author&gt;Vassilaki&lt;/Author&gt;&lt;Year&gt;2015&lt;/Year&gt;&lt;RecNum&gt;241653&lt;/RecNum&gt;&lt;DisplayText&gt;&lt;style face="superscript"&gt;5&lt;/style&gt;&lt;/DisplayText&gt;&lt;record&gt;&lt;rec-number&gt;241653&lt;/rec-number&gt;&lt;foreign-keys&gt;&lt;key app="EN" db-id="saz2rftejdezr4eespx5r9edazxzt99was2d" timestamp="1770647789"&gt;241653&lt;/key&gt;&lt;/foreign-keys&gt;&lt;ref-type name="Journal Article"&gt;17&lt;/ref-type&gt;&lt;contributors&gt;&lt;authors&gt;&lt;author&gt;Vassilaki, M.&lt;/author&gt;&lt;author&gt;Aakre, J. A.&lt;/author&gt;&lt;author&gt;Mielke, M. M.&lt;/author&gt;&lt;/authors&gt;&lt;/contributors&gt;&lt;titles&gt;&lt;title&gt;Multimorbidity and risk of mild cognitive impairment&lt;/title&gt;&lt;secondary-title&gt;Journal of the American Geriatrics Society&lt;/secondary-title&gt;&lt;/titles&gt;&lt;periodical&gt;&lt;full-title&gt;Journal of the American Geriatrics Society&lt;/full-title&gt;&lt;abbr-1&gt;J. Am. Geriatr. Soc.&lt;/abbr-1&gt;&lt;/periodical&gt;&lt;pages&gt;1783-1790&lt;/pages&gt;&lt;volume&gt;63&lt;/volume&gt;&lt;number&gt;9&lt;/number&gt;&lt;dates&gt;&lt;year&gt;2015&lt;/year&gt;&lt;/dates&gt;&lt;urls&gt;&lt;/urls&gt;&lt;electronic-resource-num&gt;10.1111/jgs.13612 PMID- 26311270&lt;/electronic-resource-num&gt;&lt;/record&gt;&lt;/Cite&gt;&lt;/EndNote&gt;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t>。睡眠方面，睡眠对情绪与免疫炎症过程具有重要影响，是精神健康的重要基础</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&lt;EndNote&gt;&lt;Cite&gt;&lt;Author&gt;Irwin&lt;/Author&gt;&lt;Year&gt;2015&lt;/Year&gt;&lt;RecNum&gt;241654&lt;/RecNum&gt;&lt;DisplayText&gt;&lt;style face="superscript"&gt;6&lt;/style&gt;&lt;/DisplayText&gt;&lt;record&gt;&lt;rec-number&gt;241654&lt;/rec-number&gt;&lt;foreign-keys&gt;&lt;key app="EN" db-id="saz2rftejdezr4eespx5r9edazxzt99was2d" timestamp="1770647789"&gt;241654&lt;/key&gt;&lt;/foreign-keys&gt;&lt;ref-type name="Journal Article"&gt;17&lt;/ref-type&gt;&lt;contributors&gt;&lt;authors&gt;&lt;author&gt;Irwin, M. R.&lt;/author&gt;&lt;/authors&gt;&lt;/contributors&gt;&lt;titles&gt;&lt;title&gt;Why sleep is important for health: a psychoneuroimmunology perspective&lt;/title&gt;&lt;secondary-title&gt;Annual Review of Psychology&lt;/secondary-title&gt;&lt;/titles&gt;&lt;periodical&gt;&lt;full-title&gt;Annual Review of Psychology&lt;/full-title&gt;&lt;abbr-1&gt;Annu. Rev. Psychol.&lt;/abbr-1&gt;&lt;/periodical&gt;&lt;pages&gt;143-172&lt;/pages&gt;&lt;volume&gt;66&lt;/volume&gt;&lt;dates&gt;&lt;year&gt;2015&lt;/year&gt;&lt;/dates&gt;&lt;urls&gt;&lt;/urls&gt;&lt;electronic-resource-num&gt;10.1146/annurev-psych-010213-115205 PMID- 25061767&lt;/electronic-resource-num&gt;&lt;/record&gt;&lt;/Cite&gt;&lt;/EndNote&gt;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t>，并与认知衰退和阿尔茨海默病风险密切相关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w:instrText>
      </w:r>
      <w:r>
        <w:rPr>
          <w:rFonts w:hint="eastAsia" w:ascii="Times New Roman" w:hAnsi="Times New Roman" w:cs="Times New Roman"/>
          <w:sz w:val="24"/>
          <w:szCs w:val="24"/>
          <w:lang w:eastAsia="zh-CN"/>
        </w:rPr>
        <w:fldChar w:fldCharType="begin">
          <w:fldData xml:space="preserve">PEVuZE5vdGU+PENpdGU+PEF1dGhvcj5CdWJ1PC9BdXRob3I+PFllYXI+MjAxNzwvWWVhcj48UmVj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=
</w:fldData>
        </w:fldChar>
      </w:r>
      <w:r>
        <w:rPr>
          <w:rFonts w:hint="eastAsia" w:ascii="Times New Roman" w:hAnsi="Times New Roman" w:cs="Times New Roman"/>
          <w:sz w:val="24"/>
          <w:szCs w:val="24"/>
          <w:lang w:eastAsia="zh-CN"/>
        </w:rPr>
        <w:instrText xml:space="preserve"> ADDIN EN.CITE.DATA </w:instrText>
      </w:r>
      <w:r>
        <w:rPr>
          <w:rFonts w:hint="eastAsia" w:ascii="Times New Roman" w:hAnsi="Times New Roman" w:cs="Times New Roman"/>
          <w:sz w:val="24"/>
          <w:szCs w:val="24"/>
          <w:lang w:eastAsia="zh-CN"/>
        </w:rPr>
        <w:fldChar w:fldCharType="separate"/>
      </w:r>
      <w:r>
        <w:rPr>
          <w:rFonts w:hint="eastAsia" w:ascii="Times New Roman" w:hAnsi="Times New Roman" w:cs="Times New Roman"/>
          <w:sz w:val="24"/>
          <w:szCs w:val="24"/>
          <w:lang w:eastAsia="zh-CN"/>
        </w:rPr>
        <w:fldChar w:fldCharType="end"/>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t>。身体活动则被认为对抑郁具有保护效应，并在前瞻性荟萃分析中得到验证</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&lt;EndNote&gt;&lt;Cite&gt;&lt;Author&gt;Schuch&lt;/Author&gt;&lt;Year&gt;2018&lt;/Year&gt;&lt;RecNum&gt;241655&lt;/RecNum&gt;&lt;DisplayText&gt;&lt;style face="superscript"&gt;8&lt;/style&gt;&lt;/DisplayText&gt;&lt;record&gt;&lt;rec-number&gt;241655&lt;/rec-number&gt;&lt;foreign-keys&gt;&lt;key app="EN" db-id="saz2rftejdezr4eespx5r9edazxzt99was2d" timestamp="1770647789"&gt;241655&lt;/key&gt;&lt;/foreign-keys&gt;&lt;ref-type name="Journal Article"&gt;17&lt;/ref-type&gt;&lt;contributors&gt;&lt;authors&gt;&lt;author&gt;Schuch, F. B.&lt;/author&gt;&lt;author&gt;Vancampfort, D.&lt;/author&gt;&lt;author&gt;Firth, J.&lt;/author&gt;&lt;/authors&gt;&lt;/contributors&gt;&lt;titles&gt;&lt;title&gt;Physical activity and incident depression: a meta-analysis of prospective cohort studies&lt;/title&gt;&lt;secondary-title&gt;American Journal of Psychiatry&lt;/secondary-title&gt;&lt;/titles&gt;&lt;periodical&gt;&lt;full-title&gt;American Journal of Psychiatry&lt;/full-title&gt;&lt;/periodical&gt;&lt;pages&gt;631-648&lt;/pages&gt;&lt;volume&gt;175&lt;/volume&gt;&lt;number&gt;7&lt;/number&gt;&lt;dates&gt;&lt;year&gt;2018&lt;/year&gt;&lt;/dates&gt;&lt;urls&gt;&lt;/urls&gt;&lt;electronic-resource-num&gt;10.1176/appi.ajp.2018.17111194 PMID- 29690792&lt;/electronic-resource-num&gt;&lt;/record&gt;&lt;/Cite&gt;&lt;/EndNote&gt;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t>；在认知领域，</w:t>
      </w:r>
      <w:r>
        <w:rPr>
          <w:rFonts w:hint="eastAsia" w:ascii="Times New Roman" w:hAnsi="Times New Roman" w:cs="Times New Roman"/>
          <w:sz w:val="24"/>
          <w:szCs w:val="24"/>
          <w:lang w:val="en-US" w:eastAsia="zh-CN"/>
        </w:rPr>
        <w:t>柳叶刀</w:t>
      </w:r>
      <w:r>
        <w:rPr>
          <w:rFonts w:hint="default" w:ascii="Times New Roman" w:hAnsi="Times New Roman" w:cs="Times New Roman"/>
          <w:sz w:val="24"/>
          <w:szCs w:val="24"/>
        </w:rPr>
        <w:t>痴呆防控委员会报告也将身体活动不足列为可干预风险因素之一</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&lt;EndNote&gt;&lt;Cite&gt;&lt;Author&gt;Livingston&lt;/Author&gt;&lt;Year&gt;2020&lt;/Year&gt;&lt;RecNum&gt;241656&lt;/RecNum&gt;&lt;DisplayText&gt;&lt;style face="superscript"&gt;9&lt;/style&gt;&lt;/DisplayText&gt;&lt;record&gt;&lt;rec-number&gt;241656&lt;/rec-number&gt;&lt;foreign-keys&gt;&lt;key app="EN" db-id="saz2rftejdezr4eespx5r9edazxzt99was2d" timestamp="1770647789"&gt;241656&lt;/key&gt;&lt;/foreign-keys&gt;&lt;ref-type name="Journal Article"&gt;17&lt;/ref-type&gt;&lt;contributors&gt;&lt;authors&gt;&lt;author&gt;Livingston, G.&lt;/author&gt;&lt;author&gt;Huntley, J.&lt;/author&gt;&lt;author&gt;Sommerlad, A.&lt;/author&gt;&lt;/authors&gt;&lt;/contributors&gt;&lt;titles&gt;&lt;title&gt;Dementia prevention, intervention, and care: 2020 report of the Lancet Commission&lt;/title&gt;&lt;secondary-title&gt;The Lancet&lt;/secondary-title&gt;&lt;/titles&gt;&lt;periodical&gt;&lt;full-title&gt;The Lancet&lt;/full-title&gt;&lt;/periodical&gt;&lt;pages&gt;413-446&lt;/pages&gt;&lt;volume&gt;396&lt;/volume&gt;&lt;number&gt;10248&lt;/number&gt;&lt;dates&gt;&lt;year&gt;2020&lt;/year&gt;&lt;/dates&gt;&lt;urls&gt;&lt;/urls&gt;&lt;electronic-resource-num&gt;10.1016/S0140-6736(20)30367-6 PMID- 32738937&lt;/electronic-resource-num&gt;&lt;/record&gt;&lt;/Cite&gt;&lt;/EndNote&gt;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t>。社会关系与社会参与同样是老年健康的重要社会决定因素，系统综述提示社会关系不良与认知衰退风险相关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&lt;EndNote&gt;&lt;Cite&gt;&lt;Author&gt;Kuiper&lt;/Author&gt;&lt;Year&gt;2015&lt;/Year&gt;&lt;RecNum&gt;241657&lt;/RecNum&gt;&lt;DisplayText&gt;&lt;style face="superscript"&gt;10&lt;/style&gt;&lt;/DisplayText&gt;&lt;record&gt;&lt;rec-number&gt;241657&lt;/rec-number&gt;&lt;foreign-keys&gt;&lt;key app="EN" db-id="saz2rftejdezr4eespx5r9edazxzt99was2d" timestamp="1770647789"&gt;241657&lt;/key&gt;&lt;/foreign-keys&gt;&lt;ref-type name="Journal Article"&gt;17&lt;/ref-type&gt;&lt;contributors&gt;&lt;authors&gt;&lt;author&gt;Kuiper, J. S.&lt;/author&gt;&lt;author&gt;Zuidersma, M.&lt;/author&gt;&lt;author&gt;Oude Voshaar, R. C.&lt;/author&gt;&lt;/authors&gt;&lt;/contributors&gt;&lt;titles&gt;&lt;title&gt;Social relationships and risk of dementia: a systematic review and meta-analysis&lt;/title&gt;&lt;secondary-title&gt;Ageing Research Reviews&lt;/secondary-title&gt;&lt;/titles&gt;&lt;periodical&gt;&lt;full-title&gt;Ageing Research Reviews&lt;/full-title&gt;&lt;/periodical&gt;&lt;pages&gt;39-57&lt;/pages&gt;&lt;volume&gt;22&lt;/volume&gt;&lt;dates&gt;&lt;year&gt;2015&lt;/year&gt;&lt;/dates&gt;&lt;urls&gt;&lt;/urls&gt;&lt;electronic-resource-num&gt;10.1016/j.arr.2015.04.006 PMID- 25956016&lt;/electronic-resource-num&gt;&lt;/record&gt;&lt;/Cite&gt;&lt;/EndNote&gt;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t>，而社会孤立与孤独感也被证实与死亡等多种不良结局相关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&lt;EndNote&gt;&lt;Cite&gt;&lt;Author&gt;Holt-Lunstad&lt;/Author&gt;&lt;Year&gt;2015&lt;/Year&gt;&lt;RecNum&gt;241658&lt;/RecNum&gt;&lt;DisplayText&gt;&lt;style face="superscript"&gt;11&lt;/style&gt;&lt;/DisplayText&gt;&lt;record&gt;&lt;rec-number&gt;241658&lt;/rec-number&gt;&lt;foreign-keys&gt;&lt;key app="EN" db-id="saz2rftejdezr4eespx5r9edazxzt99was2d" timestamp="1770647789"&gt;241658&lt;/key&gt;&lt;/foreign-keys&gt;&lt;ref-type name="Journal Article"&gt;17&lt;/ref-type&gt;&lt;contributors&gt;&lt;authors&gt;&lt;author&gt;Holt-Lunstad, J.&lt;/author&gt;&lt;author&gt;Smith, T. B.&lt;/author&gt;&lt;author&gt;Baker, M.&lt;/author&gt;&lt;/authors&gt;&lt;/contributors&gt;&lt;titles&gt;&lt;title&gt;Loneliness and social isolation as risk factors for mortality: a meta-analytic review&lt;/title&gt;&lt;secondary-title&gt;Perspectives on Psychological Science&lt;/secondary-title&gt;&lt;/titles&gt;&lt;periodical&gt;&lt;full-title&gt;Perspectives on Psychological Science&lt;/full-title&gt;&lt;/periodical&gt;&lt;pages&gt;227-237&lt;/pages&gt;&lt;volume&gt;10&lt;/volume&gt;&lt;number&gt;2&lt;/number&gt;&lt;dates&gt;&lt;year&gt;2015&lt;/year&gt;&lt;/dates&gt;&lt;urls&gt;&lt;/urls&gt;&lt;electronic-resource-num&gt;10.1177/1745691614568352 PMID- 25910392&lt;/electronic-resource-num&gt;&lt;/record&gt;&lt;/Cite&gt;&lt;/EndNote&gt;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71371FB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Times New Roman" w:hAnsi="Times New Roman" w:cs="Times New Roman"/>
          <w:sz w:val="24"/>
          <w:szCs w:val="24"/>
          <w:lang w:val="en-US" w:eastAsia="zh-CN"/>
        </w:rPr>
      </w:pPr>
      <w:bookmarkStart w:id="0" w:name="_GoBack"/>
    </w:p>
    <w:p w14:paraId="239B4EE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二</w:t>
      </w:r>
      <w:r>
        <w:rPr>
          <w:rFonts w:hint="default" w:ascii="Times New Roman" w:hAnsi="Times New Roman" w:cs="Times New Roman"/>
          <w:sz w:val="24"/>
          <w:szCs w:val="24"/>
        </w:rPr>
        <w:t>、研究目标与研究假设</w:t>
      </w:r>
    </w:p>
    <w:p w14:paraId="1188581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本研究拟基于 CHARLS 纵向多波次数据，建立并验证老年人抑郁–认知共病的新发风险预测模型，并通过可解释机器学习方法识别关键风险因素及其非线性阈值与交互模式，同时针对</w:t>
      </w:r>
      <w:r>
        <w:rPr>
          <w:rFonts w:hint="eastAsia" w:ascii="Times New Roman" w:hAnsi="Times New Roman" w:cs="Times New Roman"/>
          <w:sz w:val="24"/>
          <w:szCs w:val="24"/>
          <w:lang w:val="en-US" w:eastAsia="zh-CN"/>
        </w:rPr>
        <w:t>慢性病负担、</w:t>
      </w:r>
      <w:r>
        <w:rPr>
          <w:rFonts w:hint="default" w:ascii="Times New Roman" w:hAnsi="Times New Roman" w:cs="Times New Roman"/>
          <w:sz w:val="24"/>
          <w:szCs w:val="24"/>
        </w:rPr>
        <w:t>睡眠、身体活动与社会参与等可干预因素，使用因果机器学习方法估计平均因果效应（ATE）以及人群异质性效应（CATE），为不同亚组人群的干预优先级提供证据。</w:t>
      </w:r>
    </w:p>
    <w:p w14:paraId="4D06377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研究假设包括：</w:t>
      </w:r>
    </w:p>
    <w:p w14:paraId="78133FEC">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慢性病负担、睡眠问题、身体活动不足与社会孤立与共病新发风险显著相关</w:t>
      </w:r>
    </w:p>
    <w:p w14:paraId="6A5E5352">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360" w:lineRule="auto"/>
        <w:ind w:left="425" w:leftChars="0" w:hanging="425" w:firstLineChars="0"/>
        <w:jc w:val="both"/>
        <w:textAlignment w:val="auto"/>
        <w:rPr>
          <w:rFonts w:hint="default" w:ascii="Times New Roman" w:hAnsi="Times New Roman" w:cs="Times New Roman"/>
          <w:b/>
          <w:bCs/>
          <w:i/>
          <w:iCs/>
          <w:sz w:val="24"/>
          <w:szCs w:val="24"/>
        </w:rPr>
      </w:pPr>
      <w:r>
        <w:rPr>
          <w:rFonts w:hint="default" w:ascii="Times New Roman" w:hAnsi="Times New Roman" w:cs="Times New Roman"/>
          <w:b/>
          <w:bCs/>
          <w:i/>
          <w:iCs/>
          <w:sz w:val="24"/>
          <w:szCs w:val="24"/>
        </w:rPr>
        <w:t>改善睡眠、增加身体活动与社会参与可能因果性地降低共病新发风险，并在年龄、性别、教育或慢病负担等亚组中表现出不同效应。</w:t>
      </w:r>
    </w:p>
    <w:p w14:paraId="71250E7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三</w:t>
      </w:r>
      <w:r>
        <w:rPr>
          <w:rFonts w:hint="default" w:ascii="Times New Roman" w:hAnsi="Times New Roman" w:cs="Times New Roman"/>
          <w:sz w:val="24"/>
          <w:szCs w:val="24"/>
        </w:rPr>
        <w:t>、数据来源与研究设计</w:t>
      </w:r>
    </w:p>
    <w:p w14:paraId="501604B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本研究使用中国健康与养老追踪调查（China Health and Retirement Longitudinal Study, CHARLS）2011、2013、2015、2018 与 2020 年多波次数据。CHARLS 是覆盖全国的代表性纵向调查，已被广泛用于老年抑郁、认知功能与慢性病研究，并具有良好的样本代表性与随访质量</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&lt;EndNote&gt;&lt;Cite&gt;&lt;Author&gt;Zhao&lt;/Author&gt;&lt;Year&gt;2014&lt;/Year&gt;&lt;RecNum&gt;241648&lt;/RecNum&gt;&lt;DisplayText&gt;&lt;style face="superscript"&gt;17&lt;/style&gt;&lt;/DisplayText&gt;&lt;record&gt;&lt;rec-number&gt;241648&lt;/rec-number&gt;&lt;foreign-keys&gt;&lt;key app="EN" db-id="saz2rftejdezr4eespx5r9edazxzt99was2d" timestamp="1770647789"&gt;241648&lt;/key&gt;&lt;/foreign-keys&gt;&lt;ref-type name="Journal Article"&gt;17&lt;/ref-type&gt;&lt;contributors&gt;&lt;authors&gt;&lt;author&gt;Zhao, Y.&lt;/author&gt;&lt;author&gt;Hu, Y.&lt;/author&gt;&lt;author&gt;Smith, J. P.&lt;/author&gt;&lt;author&gt;Strauss, J.&lt;/author&gt;&lt;author&gt;Yang, G.&lt;/author&gt;&lt;/authors&gt;&lt;/contributors&gt;&lt;titles&gt;&lt;title&gt;Cohort Profile: the China Health and Retirement Longitudinal Study (CHARLS)&lt;/title&gt;&lt;secondary-title&gt;International Journal of Epidemiology&lt;/secondary-title&gt;&lt;/titles&gt;&lt;periodical&gt;&lt;full-title&gt;International journal of epidemiology&lt;/full-title&gt;&lt;abbr-1&gt;Int J Epidemiol&lt;/abbr-1&gt;&lt;/periodical&gt;&lt;pages&gt;61-68&lt;/pages&gt;&lt;volume&gt;43&lt;/volume&gt;&lt;number&gt;1&lt;/number&gt;&lt;dates&gt;&lt;year&gt;2014&lt;/year&gt;&lt;/dates&gt;&lt;urls&gt;&lt;/urls&gt;&lt;electronic-resource-num&gt;10.1093/ije/dys203 PMID- 23243115&lt;/electronic-resource-num&gt;&lt;/record&gt;&lt;/Cite&gt;&lt;/EndNote&gt;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t>。研究采用纵向队列设计，以基线时无抑郁–认知共病的老年人为研究对象，随访期间观察抑郁–认知共病首次出现，构建“共病新发（incident comorbidity）”结局。</w:t>
      </w:r>
    </w:p>
    <w:p w14:paraId="15BB34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四</w:t>
      </w:r>
      <w:r>
        <w:rPr>
          <w:rFonts w:hint="default" w:ascii="Times New Roman" w:hAnsi="Times New Roman" w:cs="Times New Roman"/>
          <w:sz w:val="24"/>
          <w:szCs w:val="24"/>
        </w:rPr>
        <w:t>、研究对象与样本构建</w:t>
      </w:r>
    </w:p>
    <w:p w14:paraId="16E9BE1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纳入对象为基线波次（优先选择 2011 年）年龄≥60岁且完成 CES-D10 抑郁测量与认知测量者，同时至少在后续任一波次（2013/2015/2018/2020）具备抑郁与认知结局信息。排除基线已存在抑郁–认知共病者；若存在严重认知障碍导致无法完成认知测验者亦予以排除；对关键变量缺失严重且无法合理插补者不纳入主分析样本。为增强结局的时间顺序解释，本研究将进一步开展敏感性分析：仅纳入基线“双阴性”（既不抑郁也无认知受损）人群，以评估从健康状态进入共病状态的风险预测与因果效应是否一致。</w:t>
      </w:r>
    </w:p>
    <w:p w14:paraId="7D45498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五</w:t>
      </w:r>
      <w:r>
        <w:rPr>
          <w:rFonts w:hint="default" w:ascii="Times New Roman" w:hAnsi="Times New Roman" w:cs="Times New Roman"/>
          <w:sz w:val="24"/>
          <w:szCs w:val="24"/>
        </w:rPr>
        <w:t>、结局变量定义</w:t>
      </w:r>
    </w:p>
    <w:p w14:paraId="5507B80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抑郁状态采用 CES-D10 量表衡量。CES-D 的短量表版本被广泛用于社区人群抑郁筛查，其适用性与计分方式在经典研究中已得到阐述，并在 CHARLS 及中国人群研究中被普遍采用</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&lt;EndNote&gt;&lt;Cite&gt;&lt;Author&gt;Lei&lt;/Author&gt;&lt;Year&gt;2014&lt;/Year&gt;&lt;RecNum&gt;241660&lt;/RecNum&gt;&lt;DisplayText&gt;&lt;style face="superscript"&gt;18&lt;/style&gt;&lt;/DisplayText&gt;&lt;record&gt;&lt;rec-number&gt;241660&lt;/rec-number&gt;&lt;foreign-keys&gt;&lt;key app="EN" db-id="saz2rftejdezr4eespx5r9edazxzt99was2d" timestamp="1770649033"&gt;241660&lt;/key&gt;&lt;/foreign-keys&gt;&lt;ref-type name="Journal Article"&gt;17&lt;/ref-type&gt;&lt;contributors&gt;&lt;authors&gt;&lt;author&gt;Lei, Xiaoyan&lt;/author&gt;&lt;author&gt;Sun, Xiaoting&lt;/author&gt;&lt;author&gt;Strauss, John&lt;/author&gt;&lt;author&gt;Zhang, Peng&lt;/author&gt;&lt;author&gt;Zhao, Yaohui&lt;/author&gt;&lt;/authors&gt;&lt;/contributors&gt;&lt;titles&gt;&lt;title&gt;Depressive symptoms and SES among the mid-aged and elderly in China: Evidence from the China Health and Retirement Longitudinal Study national baseline&lt;/title&gt;&lt;secondary-title&gt;Social Science &amp;amp; Medicine&lt;/secondary-title&gt;&lt;/titles&gt;&lt;periodical&gt;&lt;full-title&gt;Social Science &amp;amp; Medicine&lt;/full-title&gt;&lt;/periodical&gt;&lt;pages&gt;224-232&lt;/pages&gt;&lt;volume&gt;120&lt;/volume&gt;&lt;keywords&gt;&lt;keyword&gt;China depressive symptoms-SES correlations&lt;/keyword&gt;&lt;keyword&gt;Chinese mid-aged and elderly&lt;/keyword&gt;&lt;/keywords&gt;&lt;dates&gt;&lt;year&gt;2014&lt;/year&gt;&lt;pub-dates&gt;&lt;date&gt;2014/11/01/&lt;/date&gt;&lt;/pub-dates&gt;&lt;/dates&gt;&lt;isbn&gt;0277-9536&lt;/isbn&gt;&lt;urls&gt;&lt;related-urls&gt;&lt;url&gt;https://www.sciencedirect.com/science/article/pii/S0277953614005954&lt;/url&gt;&lt;/related-urls&gt;&lt;/urls&gt;&lt;electronic-resource-num&gt;https://doi.org/10.1016/j.socscimed.2014.09.028&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t>。本研究将依据既往文献常用 cut-off 定义抑郁症状阳性，并在敏感性分析中改变阈值（例如更严格阈值或使用连续得分）以检验稳健性。</w:t>
      </w:r>
    </w:p>
    <w:p w14:paraId="5CB069F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认知功能基于 CHARLS 的认知测验构建综合指标。CHARLS 认知测量常通过情景记忆与精神完整性等维度综合表征，并被用于大量关于认知衰退的纵向研究</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&lt;EndNote&gt;&lt;Cite&gt;&lt;Author&gt;Lei&lt;/Author&gt;&lt;Year&gt;2014&lt;/Year&gt;&lt;RecNum&gt;241660&lt;/RecNum&gt;&lt;DisplayText&gt;&lt;style face="superscript"&gt;18&lt;/style&gt;&lt;/DisplayText&gt;&lt;record&gt;&lt;rec-number&gt;241660&lt;/rec-number&gt;&lt;foreign-keys&gt;&lt;key app="EN" db-id="saz2rftejdezr4eespx5r9edazxzt99was2d" timestamp="1770649033"&gt;241660&lt;/key&gt;&lt;/foreign-keys&gt;&lt;ref-type name="Journal Article"&gt;17&lt;/ref-type&gt;&lt;contributors&gt;&lt;authors&gt;&lt;author&gt;Lei, Xiaoyan&lt;/author&gt;&lt;author&gt;Sun, Xiaoting&lt;/author&gt;&lt;author&gt;Strauss, John&lt;/author&gt;&lt;author&gt;Zhang, Peng&lt;/author&gt;&lt;author&gt;Zhao, Yaohui&lt;/author&gt;&lt;/authors&gt;&lt;/contributors&gt;&lt;titles&gt;&lt;title&gt;Depressive symptoms and SES among the mid-aged and elderly in China: Evidence from the China Health and Retirement Longitudinal Study national baseline&lt;/title&gt;&lt;secondary-title&gt;Social Science &amp;amp; Medicine&lt;/secondary-title&gt;&lt;/titles&gt;&lt;periodical&gt;&lt;full-title&gt;Social Science &amp;amp; Medicine&lt;/full-title&gt;&lt;/periodical&gt;&lt;pages&gt;224-232&lt;/pages&gt;&lt;volume&gt;120&lt;/volume&gt;&lt;keywords&gt;&lt;keyword&gt;China depressive symptoms-SES correlations&lt;/keyword&gt;&lt;keyword&gt;Chinese mid-aged and elderly&lt;/keyword&gt;&lt;/keywords&gt;&lt;dates&gt;&lt;year&gt;2014&lt;/year&gt;&lt;pub-dates&gt;&lt;date&gt;2014/11/01/&lt;/date&gt;&lt;/pub-dates&gt;&lt;/dates&gt;&lt;isbn&gt;0277-9536&lt;/isbn&gt;&lt;urls&gt;&lt;related-urls&gt;&lt;url&gt;https://www.sciencedirect.com/science/article/pii/S0277953614005954&lt;/url&gt;&lt;/related-urls&gt;&lt;/urls&gt;&lt;electronic-resource-num&gt;https://doi.org/10.1016/j.socscimed.2014.09.028&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18</w:t>
      </w:r>
      <w:r>
        <w:rPr>
          <w:rFonts w:hint="default" w:ascii="Times New Roman" w:hAnsi="Times New Roman" w:cs="Times New Roman"/>
          <w:sz w:val="24"/>
          <w:szCs w:val="24"/>
        </w:rPr>
        <w:fldChar w:fldCharType="end"/>
      </w:r>
      <w:bookmarkEnd w:id="0"/>
      <w:r>
        <w:rPr>
          <w:rFonts w:hint="default" w:ascii="Times New Roman" w:hAnsi="Times New Roman" w:cs="Times New Roman"/>
          <w:sz w:val="24"/>
          <w:szCs w:val="24"/>
        </w:rPr>
        <w:t>。鉴于不同研究对绝对 cut-off 的选择存在差异，本研究将优先采用更具可比性的相对阈值策略，即在年龄与教育分层基础上定义认知功能受损（例如低于分布的特定分位点或低于均值一定标准差），并以文献报道的绝对 cut-off 作为敏感性分析方案。</w:t>
      </w:r>
    </w:p>
    <w:p w14:paraId="194A2C6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抑郁–认知共病定义为同一波次同时满足抑郁症状阳性与认知功能受损。共病新发则定义为：基线无共病，随访期间首次出现共病即视为事件发生。该定义使研究聚焦于“共病发生风险”，更符合队列研究对疾病发生过程的刻画。</w:t>
      </w:r>
    </w:p>
    <w:p w14:paraId="0D3B00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六</w:t>
      </w:r>
      <w:r>
        <w:rPr>
          <w:rFonts w:hint="default" w:ascii="Times New Roman" w:hAnsi="Times New Roman" w:cs="Times New Roman"/>
          <w:sz w:val="24"/>
          <w:szCs w:val="24"/>
        </w:rPr>
        <w:t>、预测变量选择与理论依据</w:t>
      </w:r>
    </w:p>
    <w:p w14:paraId="580F200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本研究的变量选择遵循“生物负担—行为暴露—社会决定因素”的综合框架。</w:t>
      </w:r>
      <w:r>
        <w:rPr>
          <w:rFonts w:hint="default" w:ascii="Times New Roman" w:hAnsi="Times New Roman" w:cs="Times New Roman"/>
          <w:b/>
          <w:bCs/>
          <w:sz w:val="24"/>
          <w:szCs w:val="24"/>
        </w:rPr>
        <w:t>基础协变量包括人口学特征（年龄、性别、教育、婚姻、城乡/地区）、健康行为（吸烟、饮酒、BMI）、基线抑郁与认知连续得分、功能状态（ADL/IADL）以及慢性病负担。</w:t>
      </w:r>
      <w:r>
        <w:rPr>
          <w:rFonts w:hint="default" w:ascii="Times New Roman" w:hAnsi="Times New Roman" w:cs="Times New Roman"/>
          <w:sz w:val="24"/>
          <w:szCs w:val="24"/>
        </w:rPr>
        <w:t>慢性病负担通过慢病数与关键慢病类型进行表征（高血压、糖尿病、心脏病、卒中等）。选择慢性病负担作为关键协变量的依据在于：多病共存与抑郁风险增加存在一致的系统综述证据</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&lt;EndNote&gt;&lt;Cite&gt;&lt;Author&gt;Zhao&lt;/Author&gt;&lt;Year&gt;2014&lt;/Year&gt;&lt;RecNum&gt;241648&lt;/RecNum&gt;&lt;DisplayText&gt;&lt;style face="superscript"&gt;17&lt;/style&gt;&lt;/DisplayText&gt;&lt;record&gt;&lt;rec-number&gt;241648&lt;/rec-number&gt;&lt;foreign-keys&gt;&lt;key app="EN" db-id="saz2rftejdezr4eespx5r9edazxzt99was2d" timestamp="1770647789"&gt;241648&lt;/key&gt;&lt;/foreign-keys&gt;&lt;ref-type name="Journal Article"&gt;17&lt;/ref-type&gt;&lt;contributors&gt;&lt;authors&gt;&lt;author&gt;Zhao, Y.&lt;/author&gt;&lt;author&gt;Hu, Y.&lt;/author&gt;&lt;author&gt;Smith, J. P.&lt;/author&gt;&lt;author&gt;Strauss, J.&lt;/author&gt;&lt;author&gt;Yang, G.&lt;/author&gt;&lt;/authors&gt;&lt;/contributors&gt;&lt;titles&gt;&lt;title&gt;Cohort Profile: the China Health and Retirement Longitudinal Study (CHARLS)&lt;/title&gt;&lt;secondary-title&gt;International Journal of Epidemiology&lt;/secondary-title&gt;&lt;/titles&gt;&lt;periodical&gt;&lt;full-title&gt;International journal of epidemiology&lt;/full-title&gt;&lt;abbr-1&gt;Int J Epidemiol&lt;/abbr-1&gt;&lt;/periodical&gt;&lt;pages&gt;61-68&lt;/pages&gt;&lt;volume&gt;43&lt;/volume&gt;&lt;number&gt;1&lt;/number&gt;&lt;dates&gt;&lt;year&gt;2014&lt;/year&gt;&lt;/dates&gt;&lt;urls&gt;&lt;/urls&gt;&lt;electronic-resource-num&gt;10.1093/ije/dys203 PMID- 23243115&lt;/electronic-resource-num&gt;&lt;/record&gt;&lt;/Cite&gt;&lt;/EndNote&gt;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t>，且多病共存亦与轻度认知障碍风险增加相关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&lt;EndNote&gt;&lt;Cite&gt;&lt;Author&gt;Vassilaki&lt;/Author&gt;&lt;Year&gt;2015&lt;/Year&gt;&lt;RecNum&gt;241653&lt;/RecNum&gt;&lt;DisplayText&gt;&lt;style face="superscript"&gt;5&lt;/style&gt;&lt;/DisplayText&gt;&lt;record&gt;&lt;rec-number&gt;241653&lt;/rec-number&gt;&lt;foreign-keys&gt;&lt;key app="EN" db-id="saz2rftejdezr4eespx5r9edazxzt99was2d" timestamp="1770647789"&gt;241653&lt;/key&gt;&lt;/foreign-keys&gt;&lt;ref-type name="Journal Article"&gt;17&lt;/ref-type&gt;&lt;contributors&gt;&lt;authors&gt;&lt;author&gt;Vassilaki, M.&lt;/author&gt;&lt;author&gt;Aakre, J. A.&lt;/author&gt;&lt;author&gt;Mielke, M. M.&lt;/author&gt;&lt;/authors&gt;&lt;/contributors&gt;&lt;titles&gt;&lt;title&gt;Multimorbidity and risk of mild cognitive impairment&lt;/title&gt;&lt;secondary-title&gt;Journal of the American Geriatrics Society&lt;/secondary-title&gt;&lt;/titles&gt;&lt;periodical&gt;&lt;full-title&gt;Journal of the American Geriatrics Society&lt;/full-title&gt;&lt;abbr-1&gt;J. Am. Geriatr. Soc.&lt;/abbr-1&gt;&lt;/periodical&gt;&lt;pages&gt;1783-1790&lt;/pages&gt;&lt;volume&gt;63&lt;/volume&gt;&lt;number&gt;9&lt;/number&gt;&lt;dates&gt;&lt;year&gt;2015&lt;/year&gt;&lt;/dates&gt;&lt;urls&gt;&lt;/urls&gt;&lt;electronic-resource-num&gt;10.1111/jgs.13612 PMID- 26311270&lt;/electronic-resource-num&gt;&lt;/record&gt;&lt;/Cite&gt;&lt;/EndNote&gt;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t>。同时，心脑血管与代谢性疾病被认为是连接抑郁与认知衰退的重要背景因素，因此在模型中纳入关键慢病类型有助于控制潜在混杂并提高预测稳定性。</w:t>
      </w:r>
    </w:p>
    <w:p w14:paraId="2F436A8A">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在可干预因素方面，本研究重点纳入睡眠、身体活动与社会参与/社会孤立</w:t>
      </w:r>
      <w:r>
        <w:rPr>
          <w:rFonts w:hint="eastAsia" w:ascii="Times New Roman" w:hAnsi="Times New Roman" w:cs="Times New Roman"/>
          <w:sz w:val="24"/>
          <w:szCs w:val="24"/>
          <w:lang w:val="en-US" w:eastAsia="zh-CN"/>
        </w:rPr>
        <w:t>以及慢性病</w:t>
      </w:r>
      <w:r>
        <w:rPr>
          <w:rFonts w:hint="default" w:ascii="Times New Roman" w:hAnsi="Times New Roman" w:cs="Times New Roman"/>
          <w:sz w:val="24"/>
          <w:szCs w:val="24"/>
        </w:rPr>
        <w:t>指标。睡眠作为精神–免疫–炎症通路的重要调节因素，与抑郁及认知衰退风险均相关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&lt;EndNote&gt;&lt;Cite&gt;&lt;Author&gt;Irwin&lt;/Author&gt;&lt;Year&gt;2015&lt;/Year&gt;&lt;RecNum&gt;241654&lt;/RecNum&gt;&lt;DisplayText&gt;&lt;style face="superscript"&gt;6&lt;/style&gt;&lt;/DisplayText&gt;&lt;record&gt;&lt;rec-number&gt;241654&lt;/rec-number&gt;&lt;foreign-keys&gt;&lt;key app="EN" db-id="saz2rftejdezr4eespx5r9edazxzt99was2d" timestamp="1770647789"&gt;241654&lt;/key&gt;&lt;/foreign-keys&gt;&lt;ref-type name="Journal Article"&gt;17&lt;/ref-type&gt;&lt;contributors&gt;&lt;authors&gt;&lt;author&gt;Irwin, M. R.&lt;/author&gt;&lt;/authors&gt;&lt;/contributors&gt;&lt;titles&gt;&lt;title&gt;Why sleep is important for health: a psychoneuroimmunology perspective&lt;/title&gt;&lt;secondary-title&gt;Annual Review of Psychology&lt;/secondary-title&gt;&lt;/titles&gt;&lt;periodical&gt;&lt;full-title&gt;Annual Review of Psychology&lt;/full-title&gt;&lt;abbr-1&gt;Annu. Rev. Psychol.&lt;/abbr-1&gt;&lt;/periodical&gt;&lt;pages&gt;143-172&lt;/pages&gt;&lt;volume&gt;66&lt;/volume&gt;&lt;dates&gt;&lt;year&gt;2015&lt;/year&gt;&lt;/dates&gt;&lt;urls&gt;&lt;/urls&gt;&lt;electronic-resource-num&gt;10.1146/annurev-psych-010213-115205 PMID- 25061767&lt;/electronic-resource-num&gt;&lt;/record&gt;&lt;/Cite&gt;&lt;/EndNote&gt;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t>。身体活动与抑郁新发风险降低在前瞻性荟萃分析中得到支持</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&lt;EndNote&gt;&lt;Cite&gt;&lt;Author&gt;Schuch&lt;/Author&gt;&lt;Year&gt;2018&lt;/Year&gt;&lt;RecNum&gt;241655&lt;/RecNum&gt;&lt;DisplayText&gt;&lt;style face="superscript"&gt;8&lt;/style&gt;&lt;/DisplayText&gt;&lt;record&gt;&lt;rec-number&gt;241655&lt;/rec-number&gt;&lt;foreign-keys&gt;&lt;key app="EN" db-id="saz2rftejdezr4eespx5r9edazxzt99was2d" timestamp="1770647789"&gt;241655&lt;/key&gt;&lt;/foreign-keys&gt;&lt;ref-type name="Journal Article"&gt;17&lt;/ref-type&gt;&lt;contributors&gt;&lt;authors&gt;&lt;author&gt;Schuch, F. B.&lt;/author&gt;&lt;author&gt;Vancampfort, D.&lt;/author&gt;&lt;author&gt;Firth, J.&lt;/author&gt;&lt;/authors&gt;&lt;/contributors&gt;&lt;titles&gt;&lt;title&gt;Physical activity and incident depression: a meta-analysis of prospective cohort studies&lt;/title&gt;&lt;secondary-title&gt;American Journal of Psychiatry&lt;/secondary-title&gt;&lt;/titles&gt;&lt;periodical&gt;&lt;full-title&gt;American Journal of Psychiatry&lt;/full-title&gt;&lt;/periodical&gt;&lt;pages&gt;631-648&lt;/pages&gt;&lt;volume&gt;175&lt;/volume&gt;&lt;number&gt;7&lt;/number&gt;&lt;dates&gt;&lt;year&gt;2018&lt;/year&gt;&lt;/dates&gt;&lt;urls&gt;&lt;/urls&gt;&lt;electronic-resource-num&gt;10.1176/appi.ajp.2018.17111194 PMID- 29690792&lt;/electronic-resource-num&gt;&lt;/record&gt;&lt;/Cite&gt;&lt;/EndNote&gt;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t>，并被痴呆预防委员会列为可干预风险因素</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&lt;EndNote&gt;&lt;Cite&gt;&lt;Author&gt;Livingston&lt;/Author&gt;&lt;Year&gt;2020&lt;/Year&gt;&lt;RecNum&gt;241656&lt;/RecNum&gt;&lt;DisplayText&gt;&lt;style face="superscript"&gt;9&lt;/style&gt;&lt;/DisplayText&gt;&lt;record&gt;&lt;rec-number&gt;241656&lt;/rec-number&gt;&lt;foreign-keys&gt;&lt;key app="EN" db-id="saz2rftejdezr4eespx5r9edazxzt99was2d" timestamp="1770647789"&gt;241656&lt;/key&gt;&lt;/foreign-keys&gt;&lt;ref-type name="Journal Article"&gt;17&lt;/ref-type&gt;&lt;contributors&gt;&lt;authors&gt;&lt;author&gt;Livingston, G.&lt;/author&gt;&lt;author&gt;Huntley, J.&lt;/author&gt;&lt;author&gt;Sommerlad, A.&lt;/author&gt;&lt;/authors&gt;&lt;/contributors&gt;&lt;titles&gt;&lt;title&gt;Dementia prevention, intervention, and care: 2020 report of the Lancet Commission&lt;/title&gt;&lt;secondary-title&gt;The Lancet&lt;/secondary-title&gt;&lt;/titles&gt;&lt;periodical&gt;&lt;full-title&gt;The Lancet&lt;/full-title&gt;&lt;/periodical&gt;&lt;pages&gt;413-446&lt;/pages&gt;&lt;volume&gt;396&lt;/volume&gt;&lt;number&gt;10248&lt;/number&gt;&lt;dates&gt;&lt;year&gt;2020&lt;/year&gt;&lt;/dates&gt;&lt;urls&gt;&lt;/urls&gt;&lt;electronic-resource-num&gt;10.1016/S0140-6736(20)30367-6 PMID- 32738937&lt;/electronic-resource-num&gt;&lt;/record&gt;&lt;/Cite&gt;&lt;/EndNote&gt;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t>。社会关系方面，系统综述表明社会关系不良与认知衰退风险相关</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&lt;EndNote&gt;&lt;Cite&gt;&lt;Author&gt;Kuiper&lt;/Author&gt;&lt;Year&gt;2015&lt;/Year&gt;&lt;RecNum&gt;241657&lt;/RecNum&gt;&lt;DisplayText&gt;&lt;style face="superscript"&gt;10&lt;/style&gt;&lt;/DisplayText&gt;&lt;record&gt;&lt;rec-number&gt;241657&lt;/rec-number&gt;&lt;foreign-keys&gt;&lt;key app="EN" db-id="saz2rftejdezr4eespx5r9edazxzt99was2d" timestamp="1770647789"&gt;241657&lt;/key&gt;&lt;/foreign-keys&gt;&lt;ref-type name="Journal Article"&gt;17&lt;/ref-type&gt;&lt;contributors&gt;&lt;authors&gt;&lt;author&gt;Kuiper, J. S.&lt;/author&gt;&lt;author&gt;Zuidersma, M.&lt;/author&gt;&lt;author&gt;Oude Voshaar, R. C.&lt;/author&gt;&lt;/authors&gt;&lt;/contributors&gt;&lt;titles&gt;&lt;title&gt;Social relationships and risk of dementia: a systematic review and meta-analysis&lt;/title&gt;&lt;secondary-title&gt;Ageing Research Reviews&lt;/secondary-title&gt;&lt;/titles&gt;&lt;periodical&gt;&lt;full-title&gt;Ageing Research Reviews&lt;/full-title&gt;&lt;/periodical&gt;&lt;pages&gt;39-57&lt;/pages&gt;&lt;volume&gt;22&lt;/volume&gt;&lt;dates&gt;&lt;year&gt;2015&lt;/year&gt;&lt;/dates&gt;&lt;urls&gt;&lt;/urls&gt;&lt;electronic-resource-num&gt;10.1016/j.arr.2015.04.006 PMID- 25956016&lt;/electronic-resource-num&gt;&lt;/record&gt;&lt;/Cite&gt;&lt;/EndNote&gt;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t>，而社会孤立与孤独感与多种健康不良结局相关，提示其作为老年健康社会决定因素的重要性</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&lt;EndNote&gt;&lt;Cite&gt;&lt;Author&gt;Holt-Lunstad&lt;/Author&gt;&lt;Year&gt;2015&lt;/Year&gt;&lt;RecNum&gt;241658&lt;/RecNum&gt;&lt;DisplayText&gt;&lt;style face="superscript"&gt;11&lt;/style&gt;&lt;/DisplayText&gt;&lt;record&gt;&lt;rec-number&gt;241658&lt;/rec-number&gt;&lt;foreign-keys&gt;&lt;key app="EN" db-id="saz2rftejdezr4eespx5r9edazxzt99was2d" timestamp="1770647789"&gt;241658&lt;/key&gt;&lt;/foreign-keys&gt;&lt;ref-type name="Journal Article"&gt;17&lt;/ref-type&gt;&lt;contributors&gt;&lt;authors&gt;&lt;author&gt;Holt-Lunstad, J.&lt;/author&gt;&lt;author&gt;Smith, T. B.&lt;/author&gt;&lt;author&gt;Baker, M.&lt;/author&gt;&lt;/authors&gt;&lt;/contributors&gt;&lt;titles&gt;&lt;title&gt;Loneliness and social isolation as risk factors for mortality: a meta-analytic review&lt;/title&gt;&lt;secondary-title&gt;Perspectives on Psychological Science&lt;/secondary-title&gt;&lt;/titles&gt;&lt;periodical&gt;&lt;full-title&gt;Perspectives on Psychological Science&lt;/full-title&gt;&lt;/periodical&gt;&lt;pages&gt;227-237&lt;/pages&gt;&lt;volume&gt;10&lt;/volume&gt;&lt;number&gt;2&lt;/number&gt;&lt;dates&gt;&lt;year&gt;2015&lt;/year&gt;&lt;/dates&gt;&lt;urls&gt;&lt;/urls&gt;&lt;electronic-resource-num&gt;10.1177/1745691614568352 PMID- 25910392&lt;/electronic-resource-num&gt;&lt;/record&gt;&lt;/Cite&gt;&lt;/EndNote&gt;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t>。此外，慢性病负担往往通过功能受限与活动减少促发社会参与下降，从而可能放大社会孤立对心理与认知健康的不利影响，因此将慢性病负担与社会参与变量同时纳入能够更完整地反映老年共病风险的社会–健康路径。</w:t>
      </w:r>
    </w:p>
    <w:p w14:paraId="56DEAE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七</w:t>
      </w:r>
      <w:r>
        <w:rPr>
          <w:rFonts w:hint="default" w:ascii="Times New Roman" w:hAnsi="Times New Roman" w:cs="Times New Roman"/>
          <w:sz w:val="24"/>
          <w:szCs w:val="24"/>
        </w:rPr>
        <w:t>、</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rPr>
        <w:t>方案</w:t>
      </w:r>
    </w:p>
    <w:p w14:paraId="5AE10F81">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在数据处理阶段，本研究将首先构建 person-wave 数据集，并对变量分布、缺失模式与随访流失进行描述。缺失数据将采用多重插补方法处理，并确保插补模型包含结局、主要暴露与关键协变量。为避免数据泄露，任何插补、标准化与特征工程均仅在训练集拟合后再应用至验证集。</w:t>
      </w:r>
    </w:p>
    <w:p w14:paraId="413B364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在风险预测阶段，本研究将以“共病新发”为结局建立预测模型，并采用时间外部验证策略：使用较早波次构建模型，在较晚波次检验其泛化性能。模型设置上将以传统 Logistic 回归作为基线模型，并与随机森林和 XGBoost 等非线性模型比较，以评估在非线性与交互存在时机器学习方法的增益。模型性能评价不仅关注区分度（AUROC），也关注校准度（Brier score、校准曲线），并通过决策曲线分析（Decision Curve Analysis, DCA）评价模型在不同阈值下的潜在临床实用性。预测模型的报告将参考 TRIPOD 指南</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&lt;EndNote&gt;&lt;Cite&gt;&lt;Author&gt;Collins&lt;/Author&gt;&lt;Year&gt;2015&lt;/Year&gt;&lt;RecNum&gt;1635&lt;/RecNum&gt;&lt;DisplayText&gt;&lt;style face="superscript"&gt;19&lt;/style&gt;&lt;/DisplayText&gt;&lt;record&gt;&lt;rec-number&gt;1635&lt;/rec-number&gt;&lt;foreign-keys&gt;&lt;key app="EN" db-id="saz2rftejdezr4eespx5r9edazxzt99was2d" timestamp="1747230772"&gt;1635&lt;/key&gt;&lt;/foreign-keys&gt;&lt;ref-type name="Journal Article"&gt;17&lt;/ref-type&gt;&lt;contributors&gt;&lt;authors&gt;&lt;author&gt;Collins, G. S.&lt;/author&gt;&lt;author&gt;Reitsma, J. B.&lt;/author&gt;&lt;author&gt;Altman, D. G.&lt;/author&gt;&lt;author&gt;Moons, K. G. M.&lt;/author&gt;&lt;/authors&gt;&lt;/contributors&gt;&lt;titles&gt;&lt;title&gt;Transparent reporting of a multivariable prediction model for individual prognosis or diagnosis (TRIPOD): the TRIPOD statement&lt;/title&gt;&lt;secondary-title&gt;BMJ&lt;/secondary-title&gt;&lt;/titles&gt;&lt;periodical&gt;&lt;full-title&gt;bmj&lt;/full-title&gt;&lt;/periodical&gt;&lt;pages&gt;g7594-g7594&lt;/pages&gt;&lt;volume&gt;350&lt;/volume&gt;&lt;number&gt;jan07 4&lt;/number&gt;&lt;dates&gt;&lt;year&gt;2015&lt;/year&gt;&lt;pub-dates&gt;&lt;date&gt;2015/01/07&lt;/date&gt;&lt;/pub-dates&gt;&lt;/dates&gt;&lt;publisher&gt;BMJ&lt;/publisher&gt;&lt;isbn&gt;1756-1833&lt;/isbn&gt;&lt;urls&gt;&lt;related-urls&gt;&lt;url&gt;http://dx.doi.org/10.1136/bmj.g7594&lt;/url&gt;&lt;url&gt;https://www.bmj.com/content/bmj/350/bmj.g7594.full.pdf&lt;/url&gt;&lt;/related-urls&gt;&lt;/urls&gt;&lt;electronic-resource-num&gt;10.1136/bmj.g7594&lt;/electronic-resource-num&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t>，并使用 PROBAST 框架评估模型偏倚风险</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w:instrText>
      </w:r>
      <w:r>
        <w:rPr>
          <w:rFonts w:hint="eastAsia" w:ascii="Times New Roman" w:hAnsi="Times New Roman" w:cs="Times New Roman"/>
          <w:sz w:val="24"/>
          <w:szCs w:val="24"/>
          <w:lang w:eastAsia="zh-CN"/>
        </w:rPr>
        <w:fldChar w:fldCharType="begin">
          <w:fldData xml:space="preserve">PEVuZE5vdGU+PENpdGU+PEF1dGhvcj5Xb2xmZjwvQXV0aG9yPjxZZWFyPjIwMTk8L1llYXI+PFJl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</w:fldData>
        </w:fldChar>
      </w:r>
      <w:r>
        <w:rPr>
          <w:rFonts w:hint="eastAsia" w:ascii="Times New Roman" w:hAnsi="Times New Roman" w:cs="Times New Roman"/>
          <w:sz w:val="24"/>
          <w:szCs w:val="24"/>
          <w:lang w:eastAsia="zh-CN"/>
        </w:rPr>
        <w:instrText xml:space="preserve"> ADDIN EN.CITE.DATA </w:instrText>
      </w:r>
      <w:r>
        <w:rPr>
          <w:rFonts w:hint="eastAsia" w:ascii="Times New Roman" w:hAnsi="Times New Roman" w:cs="Times New Roman"/>
          <w:sz w:val="24"/>
          <w:szCs w:val="24"/>
          <w:lang w:eastAsia="zh-CN"/>
        </w:rPr>
        <w:fldChar w:fldCharType="separate"/>
      </w:r>
      <w:r>
        <w:rPr>
          <w:rFonts w:hint="eastAsia" w:ascii="Times New Roman" w:hAnsi="Times New Roman" w:cs="Times New Roman"/>
          <w:sz w:val="24"/>
          <w:szCs w:val="24"/>
          <w:lang w:eastAsia="zh-CN"/>
        </w:rPr>
        <w:fldChar w:fldCharType="end"/>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2532CA0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在可解释性分析阶段，本研究采用 SHAP 方法对最终模型进行解释。SHAP 提供对单个样本预测贡献的可加性分解，可用于识别关键驱动因素、变量方向性及潜在阈值效应，其方法学基础已在机器学习解释领域得到广泛认可</w:t>
      </w:r>
      <w:r>
        <w:rPr>
          <w:rFonts w:hint="default" w:ascii="Times New Roman" w:hAnsi="Times New Roman" w:cs="Times New Roman"/>
          <w:sz w:val="24"/>
          <w:szCs w:val="24"/>
        </w:rPr>
        <w:fldChar w:fldCharType="begin"/>
      </w:r>
      <w:r>
        <w:rPr>
          <w:rFonts w:hint="eastAsia" w:ascii="Times New Roman" w:hAnsi="Times New Roman" w:cs="Times New Roman"/>
          <w:sz w:val="24"/>
          <w:szCs w:val="24"/>
          <w:lang w:eastAsia="zh-CN"/>
        </w:rPr>
        <w:instrText xml:space="preserve"> ADDIN EN.CITE &lt;EndNote&gt;&lt;Cite&gt;&lt;Author&gt;Lundberg&lt;/Author&gt;&lt;Year&gt;2017&lt;/Year&gt;&lt;RecNum&gt;241663&lt;/RecNum&gt;&lt;DisplayText&gt;&lt;style face="superscript"&gt;21&lt;/style&gt;&lt;/DisplayText&gt;&lt;record&gt;&lt;rec-number&gt;241663&lt;/rec-number&gt;&lt;foreign-keys&gt;&lt;key app="EN" db-id="saz2rftejdezr4eespx5r9edazxzt99was2d" timestamp="1770649693"&gt;241663&lt;/key&gt;&lt;/foreign-keys&gt;&lt;ref-type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Pr>
          <w:rFonts w:hint="default" w:ascii="Times New Roman" w:hAnsi="Times New Roman" w:cs="Times New Roman"/>
          <w:sz w:val="24"/>
          <w:szCs w:val="24"/>
        </w:rPr>
        <w:fldChar w:fldCharType="separate"/>
      </w:r>
      <w:r>
        <w:rPr>
          <w:rFonts w:hint="eastAsia" w:ascii="Times New Roman" w:hAnsi="Times New Roman" w:cs="Times New Roman" w:eastAsiaTheme="minorEastAsia"/>
          <w:kern w:val="0"/>
          <w:sz w:val="24"/>
          <w:szCs w:val="24"/>
          <w:vertAlign w:val="superscript"/>
          <w:lang w:val="en-US" w:eastAsia="zh-CN" w:bidi="ar"/>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t>。本研究将同时展示全局重要性（summary plot）与个体解释（waterfall/force plot），并使用部分依赖图（PDP）或个体条件期望曲线（ICE）刻画睡眠、活动、社会参与等关键变量与共病风险之间的非线性关系。</w:t>
      </w:r>
    </w:p>
    <w:p w14:paraId="114D1AA5">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在因果推断阶段，本研究将重点对可干预因素（睡眠、身体活动、社会参与</w:t>
      </w:r>
      <w:r>
        <w:rPr>
          <w:rFonts w:hint="eastAsia" w:ascii="Times New Roman" w:hAnsi="Times New Roman" w:cs="Times New Roman"/>
          <w:sz w:val="24"/>
          <w:szCs w:val="24"/>
          <w:lang w:eastAsia="zh-CN"/>
        </w:rPr>
        <w:t>、</w:t>
      </w:r>
      <w:r>
        <w:rPr>
          <w:rFonts w:hint="eastAsia" w:ascii="Times New Roman" w:hAnsi="Times New Roman" w:cs="Times New Roman"/>
          <w:sz w:val="24"/>
          <w:szCs w:val="24"/>
          <w:lang w:val="en-US" w:eastAsia="zh-CN"/>
        </w:rPr>
        <w:t>慢性病负担</w:t>
      </w:r>
      <w:r>
        <w:rPr>
          <w:rFonts w:hint="default" w:ascii="Times New Roman" w:hAnsi="Times New Roman" w:cs="Times New Roman"/>
          <w:sz w:val="24"/>
          <w:szCs w:val="24"/>
        </w:rPr>
        <w:t>）开展因果机器学习分析，慢性病负担作为混杂调整与异质性分层变量。因果分析将采用 Double/Debiased Machine Learning（DML）估计平均处理效应（ATE），并使用交叉拟合以降低模型选择与过拟合带来的偏倚（Chernozhukov et al., 2018）。同时，为评估不同亚组（例如不同年龄、教育、城乡与慢病负担水平）中的干预效应差异，本研究将基于异质性因果效应框架估计条件平均处理效应（CATE）；在方法选择上，可采用因果树/递归分割思想以识别效应异质性（Athey &amp; Imbens, 2016），或采用 meta-learner（如 T-learner）实现分层估计。因果结论将以“如果将某一可干预因素从不利状态调整为有利状态，未来共病新发风险的平均变化”进行呈现，并在讨论中强调观察性数据所需的关键假设（如无未测混杂）与可解释边界。</w:t>
      </w:r>
    </w:p>
    <w:p w14:paraId="2300C56F">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为检验稳健性，本研究将开展多项敏感性分析，包括：改变 CES-D10 与认知受损 cut-off；采用更严格的基线样本（仅双阴性）；将结局定义为“持续共病”（连续两波次均满足）以降低测量误差影响；以及使用替代因果估计策略（如倾向评分加权）与 DML 结果进行对照。模型训练过程将设置固定随机种子并报告超参数选择策略，以增强可复现性。</w:t>
      </w:r>
    </w:p>
    <w:p w14:paraId="5ECDBB0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八</w:t>
      </w:r>
      <w:r>
        <w:rPr>
          <w:rFonts w:hint="default" w:ascii="Times New Roman" w:hAnsi="Times New Roman" w:cs="Times New Roman"/>
          <w:sz w:val="24"/>
          <w:szCs w:val="24"/>
        </w:rPr>
        <w:t>、伦理学考虑</w:t>
      </w:r>
    </w:p>
    <w:p w14:paraId="50E7861D">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CHARLS 原始调查已获得伦理批准，本研究为二次数据分析，仅使用去标识化数据，不涉及个人身份识别信息与额外干预，符合伦理与数据安全要求。</w:t>
      </w:r>
    </w:p>
    <w:p w14:paraId="7F2E214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default" w:ascii="Times New Roman" w:hAnsi="Times New Roman" w:cs="Times New Roman"/>
          <w:sz w:val="24"/>
          <w:szCs w:val="24"/>
        </w:rPr>
      </w:pPr>
      <w:r>
        <w:rPr>
          <w:rFonts w:hint="eastAsia" w:ascii="Times New Roman" w:hAnsi="Times New Roman" w:cs="Times New Roman"/>
          <w:sz w:val="24"/>
          <w:szCs w:val="24"/>
          <w:lang w:val="en-US" w:eastAsia="zh-CN"/>
        </w:rPr>
        <w:t>九</w:t>
      </w:r>
      <w:r>
        <w:rPr>
          <w:rFonts w:hint="default" w:ascii="Times New Roman" w:hAnsi="Times New Roman" w:cs="Times New Roman"/>
          <w:sz w:val="24"/>
          <w:szCs w:val="24"/>
        </w:rPr>
        <w:t>、预期结果与创新点</w:t>
      </w:r>
    </w:p>
    <w:p w14:paraId="44DF941E">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本研究预计能够构建一个在时间外部验证中仍具有良好区分度与校准度的抑郁–认知共病新发预测模型，并通过可解释性分析明确慢性病负担、睡眠、身体活动与社会参与等因素在风险形成中的相对贡献及其非线性阈值。同时，因果机器学习分析有望量化睡眠、身体活动与社会参与等可干预因素对共病新发风险的平均效应及其人群异质性，为后续精准干预与政策设计提供可操作的优先级依据。创新点体现在：以“共病新发”而非单病为结局；将预测、解释与因果推断形成闭环；并基于全国代表性纵向队列提供具有推广价值的证据。</w:t>
      </w:r>
    </w:p>
    <w:p w14:paraId="28E7EEC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2" w:firstLineChars="200"/>
        <w:jc w:val="both"/>
        <w:textAlignment w:val="auto"/>
        <w:rPr>
          <w:rFonts w:hint="eastAsia" w:ascii="Times New Roman" w:hAnsi="Times New Roman" w:eastAsia="仿宋" w:cs="Times New Roman"/>
          <w:i w:val="0"/>
          <w:iCs w:val="0"/>
          <w:sz w:val="24"/>
          <w:szCs w:val="24"/>
          <w:lang w:eastAsia="zh-CN"/>
        </w:rPr>
      </w:pPr>
      <w:r>
        <w:rPr>
          <w:rFonts w:hint="default" w:ascii="Times New Roman" w:hAnsi="Times New Roman" w:cs="Times New Roman"/>
          <w:sz w:val="24"/>
          <w:szCs w:val="24"/>
        </w:rPr>
        <w:t>参考文献</w:t>
      </w:r>
    </w:p>
    <w:p w14:paraId="48EBCE97">
      <w:pPr>
        <w:pStyle w:val="11"/>
        <w:bidi w:val="0"/>
        <w:ind w:left="0" w:firstLine="0"/>
        <w:rPr>
          <w:rFonts w:ascii="Calibri" w:hAnsi="Calibri" w:cs="Calibri" w:eastAsiaTheme="minorEastAsia"/>
          <w:kern w:val="2"/>
          <w:sz w:val="20"/>
          <w:szCs w:val="24"/>
          <w:lang w:val="en-US" w:eastAsia="zh-CN" w:bidi="ar-SA"/>
        </w:rPr>
      </w:pPr>
      <w:r>
        <w:rPr>
          <w:rFonts w:hint="eastAsia" w:ascii="Times New Roman" w:hAnsi="Times New Roman" w:eastAsia="仿宋" w:cs="Times New Roman"/>
          <w:i w:val="0"/>
          <w:iCs w:val="0"/>
          <w:sz w:val="24"/>
          <w:szCs w:val="24"/>
          <w:lang w:eastAsia="zh-CN"/>
        </w:rPr>
        <w:fldChar w:fldCharType="begin"/>
      </w:r>
      <w:r>
        <w:rPr>
          <w:rFonts w:hint="eastAsia" w:ascii="Times New Roman" w:hAnsi="Times New Roman" w:eastAsia="仿宋" w:cs="Times New Roman"/>
          <w:i w:val="0"/>
          <w:iCs w:val="0"/>
          <w:sz w:val="24"/>
          <w:szCs w:val="24"/>
          <w:lang w:eastAsia="zh-CN"/>
        </w:rPr>
        <w:instrText xml:space="preserve"> ADDIN EN.REFLIST </w:instrText>
      </w:r>
      <w:r>
        <w:rPr>
          <w:rFonts w:hint="eastAsia" w:ascii="Times New Roman" w:hAnsi="Times New Roman" w:eastAsia="仿宋" w:cs="Times New Roman"/>
          <w:i w:val="0"/>
          <w:iCs w:val="0"/>
          <w:sz w:val="24"/>
          <w:szCs w:val="24"/>
          <w:lang w:eastAsia="zh-CN"/>
        </w:rPr>
        <w:fldChar w:fldCharType="separate"/>
      </w:r>
      <w:r>
        <w:rPr>
          <w:rFonts w:ascii="Calibri" w:hAnsi="Calibri" w:cs="Calibri" w:eastAsiaTheme="minorEastAsia"/>
          <w:kern w:val="2"/>
          <w:sz w:val="20"/>
          <w:szCs w:val="24"/>
          <w:lang w:val="en-US" w:eastAsia="zh-CN" w:bidi="ar-SA"/>
        </w:rPr>
        <w:t>1.</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Byers AL, Yaffe K. Depression and risk of developing dementia. </w:t>
      </w:r>
      <w:r>
        <w:rPr>
          <w:rFonts w:ascii="Calibri" w:hAnsi="Calibri" w:cs="Calibri" w:eastAsiaTheme="minorEastAsia"/>
          <w:i/>
          <w:kern w:val="2"/>
          <w:sz w:val="20"/>
          <w:szCs w:val="24"/>
          <w:lang w:val="en-US" w:eastAsia="zh-CN" w:bidi="ar-SA"/>
        </w:rPr>
        <w:t>The Lancet Neurology</w:t>
      </w:r>
      <w:r>
        <w:rPr>
          <w:rFonts w:ascii="Calibri" w:hAnsi="Calibri" w:cs="Calibri" w:eastAsiaTheme="minorEastAsia"/>
          <w:kern w:val="2"/>
          <w:sz w:val="20"/>
          <w:szCs w:val="24"/>
          <w:lang w:val="en-US" w:eastAsia="zh-CN" w:bidi="ar-SA"/>
        </w:rPr>
        <w:t xml:space="preserve"> 2011; </w:t>
      </w:r>
      <w:r>
        <w:rPr>
          <w:rFonts w:ascii="Calibri" w:hAnsi="Calibri" w:cs="Calibri" w:eastAsiaTheme="minorEastAsia"/>
          <w:b/>
          <w:kern w:val="2"/>
          <w:sz w:val="20"/>
          <w:szCs w:val="24"/>
          <w:lang w:val="en-US" w:eastAsia="zh-CN" w:bidi="ar-SA"/>
        </w:rPr>
        <w:t>10</w:t>
      </w:r>
      <w:r>
        <w:rPr>
          <w:rFonts w:ascii="Calibri" w:hAnsi="Calibri" w:cs="Calibri" w:eastAsiaTheme="minorEastAsia"/>
          <w:kern w:val="2"/>
          <w:sz w:val="20"/>
          <w:szCs w:val="24"/>
          <w:lang w:val="en-US" w:eastAsia="zh-CN" w:bidi="ar-SA"/>
        </w:rPr>
        <w:t>(6): 573-81.</w:t>
      </w:r>
    </w:p>
    <w:p w14:paraId="1055EB5B">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Morimoto SS, Alexopoulos GS. Cognitive deficits in late-life depression: clinical correlates and implications for current and future treatments. </w:t>
      </w:r>
      <w:r>
        <w:rPr>
          <w:rFonts w:ascii="Calibri" w:hAnsi="Calibri" w:cs="Calibri" w:eastAsiaTheme="minorEastAsia"/>
          <w:i/>
          <w:kern w:val="2"/>
          <w:sz w:val="20"/>
          <w:szCs w:val="24"/>
          <w:lang w:val="en-US" w:eastAsia="zh-CN" w:bidi="ar-SA"/>
        </w:rPr>
        <w:t>Biological Psychiatry</w:t>
      </w:r>
      <w:r>
        <w:rPr>
          <w:rFonts w:ascii="Calibri" w:hAnsi="Calibri" w:cs="Calibri" w:eastAsiaTheme="minorEastAsia"/>
          <w:kern w:val="2"/>
          <w:sz w:val="20"/>
          <w:szCs w:val="24"/>
          <w:lang w:val="en-US" w:eastAsia="zh-CN" w:bidi="ar-SA"/>
        </w:rPr>
        <w:t xml:space="preserve"> 2013; </w:t>
      </w:r>
      <w:r>
        <w:rPr>
          <w:rFonts w:ascii="Calibri" w:hAnsi="Calibri" w:cs="Calibri" w:eastAsiaTheme="minorEastAsia"/>
          <w:b/>
          <w:kern w:val="2"/>
          <w:sz w:val="20"/>
          <w:szCs w:val="24"/>
          <w:lang w:val="en-US" w:eastAsia="zh-CN" w:bidi="ar-SA"/>
        </w:rPr>
        <w:t>73</w:t>
      </w:r>
      <w:r>
        <w:rPr>
          <w:rFonts w:ascii="Calibri" w:hAnsi="Calibri" w:cs="Calibri" w:eastAsiaTheme="minorEastAsia"/>
          <w:kern w:val="2"/>
          <w:sz w:val="20"/>
          <w:szCs w:val="24"/>
          <w:lang w:val="en-US" w:eastAsia="zh-CN" w:bidi="ar-SA"/>
        </w:rPr>
        <w:t>(9): 793-801.</w:t>
      </w:r>
    </w:p>
    <w:p w14:paraId="295C5BED">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3.</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Alexopoulos GS. Mechanisms and treatment of late-life depression. </w:t>
      </w:r>
      <w:r>
        <w:rPr>
          <w:rFonts w:ascii="Calibri" w:hAnsi="Calibri" w:cs="Calibri" w:eastAsiaTheme="minorEastAsia"/>
          <w:i/>
          <w:kern w:val="2"/>
          <w:sz w:val="20"/>
          <w:szCs w:val="24"/>
          <w:lang w:val="en-US" w:eastAsia="zh-CN" w:bidi="ar-SA"/>
        </w:rPr>
        <w:t>Translational Psychiatry</w:t>
      </w:r>
      <w:r>
        <w:rPr>
          <w:rFonts w:ascii="Calibri" w:hAnsi="Calibri" w:cs="Calibri" w:eastAsiaTheme="minorEastAsia"/>
          <w:kern w:val="2"/>
          <w:sz w:val="20"/>
          <w:szCs w:val="24"/>
          <w:lang w:val="en-US" w:eastAsia="zh-CN" w:bidi="ar-SA"/>
        </w:rPr>
        <w:t xml:space="preserve"> 2019; </w:t>
      </w:r>
      <w:r>
        <w:rPr>
          <w:rFonts w:ascii="Calibri" w:hAnsi="Calibri" w:cs="Calibri" w:eastAsiaTheme="minorEastAsia"/>
          <w:b/>
          <w:kern w:val="2"/>
          <w:sz w:val="20"/>
          <w:szCs w:val="24"/>
          <w:lang w:val="en-US" w:eastAsia="zh-CN" w:bidi="ar-SA"/>
        </w:rPr>
        <w:t>9</w:t>
      </w:r>
      <w:r>
        <w:rPr>
          <w:rFonts w:ascii="Calibri" w:hAnsi="Calibri" w:cs="Calibri" w:eastAsiaTheme="minorEastAsia"/>
          <w:kern w:val="2"/>
          <w:sz w:val="20"/>
          <w:szCs w:val="24"/>
          <w:lang w:val="en-US" w:eastAsia="zh-CN" w:bidi="ar-SA"/>
        </w:rPr>
        <w:t>(1): 188.</w:t>
      </w:r>
    </w:p>
    <w:p w14:paraId="6B0A3221">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4.</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Read JR, Sharpe L, Modini M, Dear BF. Multimorbidity and depression: A systematic review and meta-analysis. </w:t>
      </w:r>
      <w:r>
        <w:rPr>
          <w:rFonts w:ascii="Calibri" w:hAnsi="Calibri" w:cs="Calibri" w:eastAsiaTheme="minorEastAsia"/>
          <w:i/>
          <w:kern w:val="2"/>
          <w:sz w:val="20"/>
          <w:szCs w:val="24"/>
          <w:lang w:val="en-US" w:eastAsia="zh-CN" w:bidi="ar-SA"/>
        </w:rPr>
        <w:t>Journal of Affective Disorders</w:t>
      </w:r>
      <w:r>
        <w:rPr>
          <w:rFonts w:ascii="Calibri" w:hAnsi="Calibri" w:cs="Calibri" w:eastAsiaTheme="minorEastAsia"/>
          <w:kern w:val="2"/>
          <w:sz w:val="20"/>
          <w:szCs w:val="24"/>
          <w:lang w:val="en-US" w:eastAsia="zh-CN" w:bidi="ar-SA"/>
        </w:rPr>
        <w:t xml:space="preserve"> 2017; </w:t>
      </w:r>
      <w:r>
        <w:rPr>
          <w:rFonts w:ascii="Calibri" w:hAnsi="Calibri" w:cs="Calibri" w:eastAsiaTheme="minorEastAsia"/>
          <w:b/>
          <w:kern w:val="2"/>
          <w:sz w:val="20"/>
          <w:szCs w:val="24"/>
          <w:lang w:val="en-US" w:eastAsia="zh-CN" w:bidi="ar-SA"/>
        </w:rPr>
        <w:t>221</w:t>
      </w:r>
      <w:r>
        <w:rPr>
          <w:rFonts w:ascii="Calibri" w:hAnsi="Calibri" w:cs="Calibri" w:eastAsiaTheme="minorEastAsia"/>
          <w:kern w:val="2"/>
          <w:sz w:val="20"/>
          <w:szCs w:val="24"/>
          <w:lang w:val="en-US" w:eastAsia="zh-CN" w:bidi="ar-SA"/>
        </w:rPr>
        <w:t>: 36-46.</w:t>
      </w:r>
    </w:p>
    <w:p w14:paraId="01390460">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5.</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Vassilaki M, Aakre JA, Mielke MM. Multimorbidity and risk of mild cognitive impairment. </w:t>
      </w:r>
      <w:r>
        <w:rPr>
          <w:rFonts w:ascii="Calibri" w:hAnsi="Calibri" w:cs="Calibri" w:eastAsiaTheme="minorEastAsia"/>
          <w:i/>
          <w:kern w:val="2"/>
          <w:sz w:val="20"/>
          <w:szCs w:val="24"/>
          <w:lang w:val="en-US" w:eastAsia="zh-CN" w:bidi="ar-SA"/>
        </w:rPr>
        <w:t>J Am Geriatr Soc</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63</w:t>
      </w:r>
      <w:r>
        <w:rPr>
          <w:rFonts w:ascii="Calibri" w:hAnsi="Calibri" w:cs="Calibri" w:eastAsiaTheme="minorEastAsia"/>
          <w:kern w:val="2"/>
          <w:sz w:val="20"/>
          <w:szCs w:val="24"/>
          <w:lang w:val="en-US" w:eastAsia="zh-CN" w:bidi="ar-SA"/>
        </w:rPr>
        <w:t>(9): 1783-90.</w:t>
      </w:r>
    </w:p>
    <w:p w14:paraId="46CAC2B8">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6.</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Irwin MR. Why sleep is important for health: a psychoneuroimmunology perspective. </w:t>
      </w:r>
      <w:r>
        <w:rPr>
          <w:rFonts w:ascii="Calibri" w:hAnsi="Calibri" w:cs="Calibri" w:eastAsiaTheme="minorEastAsia"/>
          <w:i/>
          <w:kern w:val="2"/>
          <w:sz w:val="20"/>
          <w:szCs w:val="24"/>
          <w:lang w:val="en-US" w:eastAsia="zh-CN" w:bidi="ar-SA"/>
        </w:rPr>
        <w:t>Annu Rev Psychol</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66</w:t>
      </w:r>
      <w:r>
        <w:rPr>
          <w:rFonts w:ascii="Calibri" w:hAnsi="Calibri" w:cs="Calibri" w:eastAsiaTheme="minorEastAsia"/>
          <w:kern w:val="2"/>
          <w:sz w:val="20"/>
          <w:szCs w:val="24"/>
          <w:lang w:val="en-US" w:eastAsia="zh-CN" w:bidi="ar-SA"/>
        </w:rPr>
        <w:t>: 143-72.</w:t>
      </w:r>
    </w:p>
    <w:p w14:paraId="0CD72A62">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7.</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Bubu OM, Brannick M, Mortimer J, et al. Sleep, Cognitive impairment, and Alzheimer's disease: A Systematic Review and Meta-Analysis. </w:t>
      </w:r>
      <w:r>
        <w:rPr>
          <w:rFonts w:ascii="Calibri" w:hAnsi="Calibri" w:cs="Calibri" w:eastAsiaTheme="minorEastAsia"/>
          <w:i/>
          <w:kern w:val="2"/>
          <w:sz w:val="20"/>
          <w:szCs w:val="24"/>
          <w:lang w:val="en-US" w:eastAsia="zh-CN" w:bidi="ar-SA"/>
        </w:rPr>
        <w:t>Sleep</w:t>
      </w:r>
      <w:r>
        <w:rPr>
          <w:rFonts w:ascii="Calibri" w:hAnsi="Calibri" w:cs="Calibri" w:eastAsiaTheme="minorEastAsia"/>
          <w:kern w:val="2"/>
          <w:sz w:val="20"/>
          <w:szCs w:val="24"/>
          <w:lang w:val="en-US" w:eastAsia="zh-CN" w:bidi="ar-SA"/>
        </w:rPr>
        <w:t xml:space="preserve"> 2017; </w:t>
      </w:r>
      <w:r>
        <w:rPr>
          <w:rFonts w:ascii="Calibri" w:hAnsi="Calibri" w:cs="Calibri" w:eastAsiaTheme="minorEastAsia"/>
          <w:b/>
          <w:kern w:val="2"/>
          <w:sz w:val="20"/>
          <w:szCs w:val="24"/>
          <w:lang w:val="en-US" w:eastAsia="zh-CN" w:bidi="ar-SA"/>
        </w:rPr>
        <w:t>40</w:t>
      </w:r>
      <w:r>
        <w:rPr>
          <w:rFonts w:ascii="Calibri" w:hAnsi="Calibri" w:cs="Calibri" w:eastAsiaTheme="minorEastAsia"/>
          <w:kern w:val="2"/>
          <w:sz w:val="20"/>
          <w:szCs w:val="24"/>
          <w:lang w:val="en-US" w:eastAsia="zh-CN" w:bidi="ar-SA"/>
        </w:rPr>
        <w:t>(1).</w:t>
      </w:r>
    </w:p>
    <w:p w14:paraId="74F63C8C">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8.</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Schuch FB, Vancampfort D, Firth J. Physical activity and incident depression: a meta-analysis of prospective cohort studies. </w:t>
      </w:r>
      <w:r>
        <w:rPr>
          <w:rFonts w:ascii="Calibri" w:hAnsi="Calibri" w:cs="Calibri" w:eastAsiaTheme="minorEastAsia"/>
          <w:i/>
          <w:kern w:val="2"/>
          <w:sz w:val="20"/>
          <w:szCs w:val="24"/>
          <w:lang w:val="en-US" w:eastAsia="zh-CN" w:bidi="ar-SA"/>
        </w:rPr>
        <w:t>American Journal of Psychiatry</w:t>
      </w:r>
      <w:r>
        <w:rPr>
          <w:rFonts w:ascii="Calibri" w:hAnsi="Calibri" w:cs="Calibri" w:eastAsiaTheme="minorEastAsia"/>
          <w:kern w:val="2"/>
          <w:sz w:val="20"/>
          <w:szCs w:val="24"/>
          <w:lang w:val="en-US" w:eastAsia="zh-CN" w:bidi="ar-SA"/>
        </w:rPr>
        <w:t xml:space="preserve"> 2018; </w:t>
      </w:r>
      <w:r>
        <w:rPr>
          <w:rFonts w:ascii="Calibri" w:hAnsi="Calibri" w:cs="Calibri" w:eastAsiaTheme="minorEastAsia"/>
          <w:b/>
          <w:kern w:val="2"/>
          <w:sz w:val="20"/>
          <w:szCs w:val="24"/>
          <w:lang w:val="en-US" w:eastAsia="zh-CN" w:bidi="ar-SA"/>
        </w:rPr>
        <w:t>175</w:t>
      </w:r>
      <w:r>
        <w:rPr>
          <w:rFonts w:ascii="Calibri" w:hAnsi="Calibri" w:cs="Calibri" w:eastAsiaTheme="minorEastAsia"/>
          <w:kern w:val="2"/>
          <w:sz w:val="20"/>
          <w:szCs w:val="24"/>
          <w:lang w:val="en-US" w:eastAsia="zh-CN" w:bidi="ar-SA"/>
        </w:rPr>
        <w:t>(7): 631-48.</w:t>
      </w:r>
    </w:p>
    <w:p w14:paraId="0B106C93">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9.</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Livingston G, Huntley J, Sommerlad A. Dementia prevention, intervention, and care: 2020 report of the Lancet Commission. </w:t>
      </w:r>
      <w:r>
        <w:rPr>
          <w:rFonts w:ascii="Calibri" w:hAnsi="Calibri" w:cs="Calibri" w:eastAsiaTheme="minorEastAsia"/>
          <w:i/>
          <w:kern w:val="2"/>
          <w:sz w:val="20"/>
          <w:szCs w:val="24"/>
          <w:lang w:val="en-US" w:eastAsia="zh-CN" w:bidi="ar-SA"/>
        </w:rPr>
        <w:t>The Lancet</w:t>
      </w:r>
      <w:r>
        <w:rPr>
          <w:rFonts w:ascii="Calibri" w:hAnsi="Calibri" w:cs="Calibri" w:eastAsiaTheme="minorEastAsia"/>
          <w:kern w:val="2"/>
          <w:sz w:val="20"/>
          <w:szCs w:val="24"/>
          <w:lang w:val="en-US" w:eastAsia="zh-CN" w:bidi="ar-SA"/>
        </w:rPr>
        <w:t xml:space="preserve"> 2020; </w:t>
      </w:r>
      <w:r>
        <w:rPr>
          <w:rFonts w:ascii="Calibri" w:hAnsi="Calibri" w:cs="Calibri" w:eastAsiaTheme="minorEastAsia"/>
          <w:b/>
          <w:kern w:val="2"/>
          <w:sz w:val="20"/>
          <w:szCs w:val="24"/>
          <w:lang w:val="en-US" w:eastAsia="zh-CN" w:bidi="ar-SA"/>
        </w:rPr>
        <w:t>396</w:t>
      </w:r>
      <w:r>
        <w:rPr>
          <w:rFonts w:ascii="Calibri" w:hAnsi="Calibri" w:cs="Calibri" w:eastAsiaTheme="minorEastAsia"/>
          <w:kern w:val="2"/>
          <w:sz w:val="20"/>
          <w:szCs w:val="24"/>
          <w:lang w:val="en-US" w:eastAsia="zh-CN" w:bidi="ar-SA"/>
        </w:rPr>
        <w:t>(10248): 413-46.</w:t>
      </w:r>
    </w:p>
    <w:p w14:paraId="797CA122">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10.</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Kuiper JS, Zuidersma M, Oude Voshaar RC. Social relationships and risk of dementia: a systematic review and meta-analysis. </w:t>
      </w:r>
      <w:r>
        <w:rPr>
          <w:rFonts w:ascii="Calibri" w:hAnsi="Calibri" w:cs="Calibri" w:eastAsiaTheme="minorEastAsia"/>
          <w:i/>
          <w:kern w:val="2"/>
          <w:sz w:val="20"/>
          <w:szCs w:val="24"/>
          <w:lang w:val="en-US" w:eastAsia="zh-CN" w:bidi="ar-SA"/>
        </w:rPr>
        <w:t>Ageing Research Reviews</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22</w:t>
      </w:r>
      <w:r>
        <w:rPr>
          <w:rFonts w:ascii="Calibri" w:hAnsi="Calibri" w:cs="Calibri" w:eastAsiaTheme="minorEastAsia"/>
          <w:kern w:val="2"/>
          <w:sz w:val="20"/>
          <w:szCs w:val="24"/>
          <w:lang w:val="en-US" w:eastAsia="zh-CN" w:bidi="ar-SA"/>
        </w:rPr>
        <w:t>: 39-57.</w:t>
      </w:r>
    </w:p>
    <w:p w14:paraId="33B0321F">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11.</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Holt-Lunstad J, Smith TB, Baker M. Loneliness and social isolation as risk factors for mortality: a meta-analytic review. </w:t>
      </w:r>
      <w:r>
        <w:rPr>
          <w:rFonts w:ascii="Calibri" w:hAnsi="Calibri" w:cs="Calibri" w:eastAsiaTheme="minorEastAsia"/>
          <w:i/>
          <w:kern w:val="2"/>
          <w:sz w:val="20"/>
          <w:szCs w:val="24"/>
          <w:lang w:val="en-US" w:eastAsia="zh-CN" w:bidi="ar-SA"/>
        </w:rPr>
        <w:t>Perspectives on Psychological Science</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10</w:t>
      </w:r>
      <w:r>
        <w:rPr>
          <w:rFonts w:ascii="Calibri" w:hAnsi="Calibri" w:cs="Calibri" w:eastAsiaTheme="minorEastAsia"/>
          <w:kern w:val="2"/>
          <w:sz w:val="20"/>
          <w:szCs w:val="24"/>
          <w:lang w:val="en-US" w:eastAsia="zh-CN" w:bidi="ar-SA"/>
        </w:rPr>
        <w:t>(2): 227-37.</w:t>
      </w:r>
    </w:p>
    <w:p w14:paraId="3CDA41BC">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12.</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Zheng Y, Zhang T, Yang S, Wang F, Zhang L, Liu Y. Using machine learning to predict the probability of incident 2-year depression in older adults with chronic diseases: a retrospective cohort study. </w:t>
      </w:r>
      <w:r>
        <w:rPr>
          <w:rFonts w:ascii="Calibri" w:hAnsi="Calibri" w:cs="Calibri" w:eastAsiaTheme="minorEastAsia"/>
          <w:i/>
          <w:kern w:val="2"/>
          <w:sz w:val="20"/>
          <w:szCs w:val="24"/>
          <w:lang w:val="en-US" w:eastAsia="zh-CN" w:bidi="ar-SA"/>
        </w:rPr>
        <w:t>BMC Psychiatry</w:t>
      </w:r>
      <w:r>
        <w:rPr>
          <w:rFonts w:ascii="Calibri" w:hAnsi="Calibri" w:cs="Calibri" w:eastAsiaTheme="minorEastAsia"/>
          <w:kern w:val="2"/>
          <w:sz w:val="20"/>
          <w:szCs w:val="24"/>
          <w:lang w:val="en-US" w:eastAsia="zh-CN" w:bidi="ar-SA"/>
        </w:rPr>
        <w:t xml:space="preserve"> 2024; </w:t>
      </w:r>
      <w:r>
        <w:rPr>
          <w:rFonts w:ascii="Calibri" w:hAnsi="Calibri" w:cs="Calibri" w:eastAsiaTheme="minorEastAsia"/>
          <w:b/>
          <w:kern w:val="2"/>
          <w:sz w:val="20"/>
          <w:szCs w:val="24"/>
          <w:lang w:val="en-US" w:eastAsia="zh-CN" w:bidi="ar-SA"/>
        </w:rPr>
        <w:t>24</w:t>
      </w:r>
      <w:r>
        <w:rPr>
          <w:rFonts w:ascii="Calibri" w:hAnsi="Calibri" w:cs="Calibri" w:eastAsiaTheme="minorEastAsia"/>
          <w:kern w:val="2"/>
          <w:sz w:val="20"/>
          <w:szCs w:val="24"/>
          <w:lang w:val="en-US" w:eastAsia="zh-CN" w:bidi="ar-SA"/>
        </w:rPr>
        <w:t>(1): 870.</w:t>
      </w:r>
    </w:p>
    <w:p w14:paraId="691EA49C">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13.</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Danso SO, Zeng Z, Muniz-Terrera G, Ritchie CW. Developing an explainable machine learning-based personalised dementia risk prediction model: a transfer learning approach with ensemble learning algorithms. </w:t>
      </w:r>
      <w:r>
        <w:rPr>
          <w:rFonts w:ascii="Calibri" w:hAnsi="Calibri" w:cs="Calibri" w:eastAsiaTheme="minorEastAsia"/>
          <w:i/>
          <w:kern w:val="2"/>
          <w:sz w:val="20"/>
          <w:szCs w:val="24"/>
          <w:lang w:val="en-US" w:eastAsia="zh-CN" w:bidi="ar-SA"/>
        </w:rPr>
        <w:t>Frontiers Big Data</w:t>
      </w:r>
      <w:r>
        <w:rPr>
          <w:rFonts w:ascii="Calibri" w:hAnsi="Calibri" w:cs="Calibri" w:eastAsiaTheme="minorEastAsia"/>
          <w:kern w:val="2"/>
          <w:sz w:val="20"/>
          <w:szCs w:val="24"/>
          <w:lang w:val="en-US" w:eastAsia="zh-CN" w:bidi="ar-SA"/>
        </w:rPr>
        <w:t xml:space="preserve"> 2021; </w:t>
      </w:r>
      <w:r>
        <w:rPr>
          <w:rFonts w:ascii="Calibri" w:hAnsi="Calibri" w:cs="Calibri" w:eastAsiaTheme="minorEastAsia"/>
          <w:b/>
          <w:kern w:val="2"/>
          <w:sz w:val="20"/>
          <w:szCs w:val="24"/>
          <w:lang w:val="en-US" w:eastAsia="zh-CN" w:bidi="ar-SA"/>
        </w:rPr>
        <w:t>4</w:t>
      </w:r>
      <w:r>
        <w:rPr>
          <w:rFonts w:ascii="Calibri" w:hAnsi="Calibri" w:cs="Calibri" w:eastAsiaTheme="minorEastAsia"/>
          <w:kern w:val="2"/>
          <w:sz w:val="20"/>
          <w:szCs w:val="24"/>
          <w:lang w:val="en-US" w:eastAsia="zh-CN" w:bidi="ar-SA"/>
        </w:rPr>
        <w:t>: 613047.</w:t>
      </w:r>
    </w:p>
    <w:p w14:paraId="6BCD00C7">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14.</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Yin J, John A, Cadar D. Bidirectional Associations of Depressive Symptoms and Cognitive Function Over Time. </w:t>
      </w:r>
      <w:r>
        <w:rPr>
          <w:rFonts w:ascii="Calibri" w:hAnsi="Calibri" w:cs="Calibri" w:eastAsiaTheme="minorEastAsia"/>
          <w:i/>
          <w:kern w:val="2"/>
          <w:sz w:val="20"/>
          <w:szCs w:val="24"/>
          <w:lang w:val="en-US" w:eastAsia="zh-CN" w:bidi="ar-SA"/>
        </w:rPr>
        <w:t>JAMA Netw Open</w:t>
      </w:r>
      <w:r>
        <w:rPr>
          <w:rFonts w:ascii="Calibri" w:hAnsi="Calibri" w:cs="Calibri" w:eastAsiaTheme="minorEastAsia"/>
          <w:kern w:val="2"/>
          <w:sz w:val="20"/>
          <w:szCs w:val="24"/>
          <w:lang w:val="en-US" w:eastAsia="zh-CN" w:bidi="ar-SA"/>
        </w:rPr>
        <w:t xml:space="preserve"> 2024; </w:t>
      </w:r>
      <w:r>
        <w:rPr>
          <w:rFonts w:ascii="Calibri" w:hAnsi="Calibri" w:cs="Calibri" w:eastAsiaTheme="minorEastAsia"/>
          <w:b/>
          <w:kern w:val="2"/>
          <w:sz w:val="20"/>
          <w:szCs w:val="24"/>
          <w:lang w:val="en-US" w:eastAsia="zh-CN" w:bidi="ar-SA"/>
        </w:rPr>
        <w:t>7</w:t>
      </w:r>
      <w:r>
        <w:rPr>
          <w:rFonts w:ascii="Calibri" w:hAnsi="Calibri" w:cs="Calibri" w:eastAsiaTheme="minorEastAsia"/>
          <w:kern w:val="2"/>
          <w:sz w:val="20"/>
          <w:szCs w:val="24"/>
          <w:lang w:val="en-US" w:eastAsia="zh-CN" w:bidi="ar-SA"/>
        </w:rPr>
        <w:t>(6): e2416305.</w:t>
      </w:r>
    </w:p>
    <w:p w14:paraId="6C25AA82">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15.</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Athey S, Imbens GW. Machine learning methods for estimating heterogeneous causal effects. </w:t>
      </w:r>
      <w:r>
        <w:rPr>
          <w:rFonts w:ascii="Calibri" w:hAnsi="Calibri" w:cs="Calibri" w:eastAsiaTheme="minorEastAsia"/>
          <w:i/>
          <w:kern w:val="2"/>
          <w:sz w:val="20"/>
          <w:szCs w:val="24"/>
          <w:lang w:val="en-US" w:eastAsia="zh-CN" w:bidi="ar-SA"/>
        </w:rPr>
        <w:t>stat</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1050</w:t>
      </w:r>
      <w:r>
        <w:rPr>
          <w:rFonts w:ascii="Calibri" w:hAnsi="Calibri" w:cs="Calibri" w:eastAsiaTheme="minorEastAsia"/>
          <w:kern w:val="2"/>
          <w:sz w:val="20"/>
          <w:szCs w:val="24"/>
          <w:lang w:val="en-US" w:eastAsia="zh-CN" w:bidi="ar-SA"/>
        </w:rPr>
        <w:t>(5): 1-26.</w:t>
      </w:r>
    </w:p>
    <w:p w14:paraId="4772C286">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16.</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Chernozhukov V, Chetverikov D, Demirer M, et al. Double/debiased machine learning for treatment and structural parameters. Oxford University Press Oxford, UK; 2018.</w:t>
      </w:r>
    </w:p>
    <w:p w14:paraId="03D9269E">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17.</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Zhao Y, Hu Y, Smith JP, Strauss J, Yang G. Cohort Profile: the China Health and Retirement Longitudinal Study (CHARLS). </w:t>
      </w:r>
      <w:r>
        <w:rPr>
          <w:rFonts w:ascii="Calibri" w:hAnsi="Calibri" w:cs="Calibri" w:eastAsiaTheme="minorEastAsia"/>
          <w:i/>
          <w:kern w:val="2"/>
          <w:sz w:val="20"/>
          <w:szCs w:val="24"/>
          <w:lang w:val="en-US" w:eastAsia="zh-CN" w:bidi="ar-SA"/>
        </w:rPr>
        <w:t>Int J Epidemiol</w:t>
      </w:r>
      <w:r>
        <w:rPr>
          <w:rFonts w:ascii="Calibri" w:hAnsi="Calibri" w:cs="Calibri" w:eastAsiaTheme="minorEastAsia"/>
          <w:kern w:val="2"/>
          <w:sz w:val="20"/>
          <w:szCs w:val="24"/>
          <w:lang w:val="en-US" w:eastAsia="zh-CN" w:bidi="ar-SA"/>
        </w:rPr>
        <w:t xml:space="preserve"> 2014; </w:t>
      </w:r>
      <w:r>
        <w:rPr>
          <w:rFonts w:ascii="Calibri" w:hAnsi="Calibri" w:cs="Calibri" w:eastAsiaTheme="minorEastAsia"/>
          <w:b/>
          <w:kern w:val="2"/>
          <w:sz w:val="20"/>
          <w:szCs w:val="24"/>
          <w:lang w:val="en-US" w:eastAsia="zh-CN" w:bidi="ar-SA"/>
        </w:rPr>
        <w:t>43</w:t>
      </w:r>
      <w:r>
        <w:rPr>
          <w:rFonts w:ascii="Calibri" w:hAnsi="Calibri" w:cs="Calibri" w:eastAsiaTheme="minorEastAsia"/>
          <w:kern w:val="2"/>
          <w:sz w:val="20"/>
          <w:szCs w:val="24"/>
          <w:lang w:val="en-US" w:eastAsia="zh-CN" w:bidi="ar-SA"/>
        </w:rPr>
        <w:t>(1): 61-8.</w:t>
      </w:r>
    </w:p>
    <w:p w14:paraId="22F8A618">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18.</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Lei X, Sun X, Strauss J, Zhang P, Zhao Y. Depressive symptoms and SES among the mid-aged and elderly in China: Evidence from the China Health and Retirement Longitudinal Study national baseline. </w:t>
      </w:r>
      <w:r>
        <w:rPr>
          <w:rFonts w:ascii="Calibri" w:hAnsi="Calibri" w:cs="Calibri" w:eastAsiaTheme="minorEastAsia"/>
          <w:i/>
          <w:kern w:val="2"/>
          <w:sz w:val="20"/>
          <w:szCs w:val="24"/>
          <w:lang w:val="en-US" w:eastAsia="zh-CN" w:bidi="ar-SA"/>
        </w:rPr>
        <w:t>Social Science &amp; Medicine</w:t>
      </w:r>
      <w:r>
        <w:rPr>
          <w:rFonts w:ascii="Calibri" w:hAnsi="Calibri" w:cs="Calibri" w:eastAsiaTheme="minorEastAsia"/>
          <w:kern w:val="2"/>
          <w:sz w:val="20"/>
          <w:szCs w:val="24"/>
          <w:lang w:val="en-US" w:eastAsia="zh-CN" w:bidi="ar-SA"/>
        </w:rPr>
        <w:t xml:space="preserve"> 2014; </w:t>
      </w:r>
      <w:r>
        <w:rPr>
          <w:rFonts w:ascii="Calibri" w:hAnsi="Calibri" w:cs="Calibri" w:eastAsiaTheme="minorEastAsia"/>
          <w:b/>
          <w:kern w:val="2"/>
          <w:sz w:val="20"/>
          <w:szCs w:val="24"/>
          <w:lang w:val="en-US" w:eastAsia="zh-CN" w:bidi="ar-SA"/>
        </w:rPr>
        <w:t>120</w:t>
      </w:r>
      <w:r>
        <w:rPr>
          <w:rFonts w:ascii="Calibri" w:hAnsi="Calibri" w:cs="Calibri" w:eastAsiaTheme="minorEastAsia"/>
          <w:kern w:val="2"/>
          <w:sz w:val="20"/>
          <w:szCs w:val="24"/>
          <w:lang w:val="en-US" w:eastAsia="zh-CN" w:bidi="ar-SA"/>
        </w:rPr>
        <w:t>: 224-32.</w:t>
      </w:r>
    </w:p>
    <w:p w14:paraId="4A4D6111">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19.</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Collins GS, Reitsma JB, Altman DG, Moons KGM. Transparent reporting of a multivariable prediction model for individual prognosis or diagnosis (TRIPOD): the TRIPOD statement. </w:t>
      </w:r>
      <w:r>
        <w:rPr>
          <w:rFonts w:ascii="Calibri" w:hAnsi="Calibri" w:cs="Calibri" w:eastAsiaTheme="minorEastAsia"/>
          <w:i/>
          <w:kern w:val="2"/>
          <w:sz w:val="20"/>
          <w:szCs w:val="24"/>
          <w:lang w:val="en-US" w:eastAsia="zh-CN" w:bidi="ar-SA"/>
        </w:rPr>
        <w:t>BMJ</w:t>
      </w:r>
      <w:r>
        <w:rPr>
          <w:rFonts w:ascii="Calibri" w:hAnsi="Calibri" w:cs="Calibri" w:eastAsiaTheme="minorEastAsia"/>
          <w:kern w:val="2"/>
          <w:sz w:val="20"/>
          <w:szCs w:val="24"/>
          <w:lang w:val="en-US" w:eastAsia="zh-CN" w:bidi="ar-SA"/>
        </w:rPr>
        <w:t xml:space="preserve"> 2015; </w:t>
      </w:r>
      <w:r>
        <w:rPr>
          <w:rFonts w:ascii="Calibri" w:hAnsi="Calibri" w:cs="Calibri" w:eastAsiaTheme="minorEastAsia"/>
          <w:b/>
          <w:kern w:val="2"/>
          <w:sz w:val="20"/>
          <w:szCs w:val="24"/>
          <w:lang w:val="en-US" w:eastAsia="zh-CN" w:bidi="ar-SA"/>
        </w:rPr>
        <w:t>350</w:t>
      </w:r>
      <w:r>
        <w:rPr>
          <w:rFonts w:ascii="Calibri" w:hAnsi="Calibri" w:cs="Calibri" w:eastAsiaTheme="minorEastAsia"/>
          <w:kern w:val="2"/>
          <w:sz w:val="20"/>
          <w:szCs w:val="24"/>
          <w:lang w:val="en-US" w:eastAsia="zh-CN" w:bidi="ar-SA"/>
        </w:rPr>
        <w:t>(jan07 4): g7594-g.</w:t>
      </w:r>
    </w:p>
    <w:p w14:paraId="354C6367">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20.</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Wolff RF, Moons KGM, Riley RD, et al. PROBAST: A Tool to Assess the Risk of Bias and Applicability of Prediction Model Studies. </w:t>
      </w:r>
      <w:r>
        <w:rPr>
          <w:rFonts w:ascii="Calibri" w:hAnsi="Calibri" w:cs="Calibri" w:eastAsiaTheme="minorEastAsia"/>
          <w:i/>
          <w:kern w:val="2"/>
          <w:sz w:val="20"/>
          <w:szCs w:val="24"/>
          <w:lang w:val="en-US" w:eastAsia="zh-CN" w:bidi="ar-SA"/>
        </w:rPr>
        <w:t>Ann Intern Med</w:t>
      </w:r>
      <w:r>
        <w:rPr>
          <w:rFonts w:ascii="Calibri" w:hAnsi="Calibri" w:cs="Calibri" w:eastAsiaTheme="minorEastAsia"/>
          <w:kern w:val="2"/>
          <w:sz w:val="20"/>
          <w:szCs w:val="24"/>
          <w:lang w:val="en-US" w:eastAsia="zh-CN" w:bidi="ar-SA"/>
        </w:rPr>
        <w:t xml:space="preserve"> 2019; </w:t>
      </w:r>
      <w:r>
        <w:rPr>
          <w:rFonts w:ascii="Calibri" w:hAnsi="Calibri" w:cs="Calibri" w:eastAsiaTheme="minorEastAsia"/>
          <w:b/>
          <w:kern w:val="2"/>
          <w:sz w:val="20"/>
          <w:szCs w:val="24"/>
          <w:lang w:val="en-US" w:eastAsia="zh-CN" w:bidi="ar-SA"/>
        </w:rPr>
        <w:t>170</w:t>
      </w:r>
      <w:r>
        <w:rPr>
          <w:rFonts w:ascii="Calibri" w:hAnsi="Calibri" w:cs="Calibri" w:eastAsiaTheme="minorEastAsia"/>
          <w:kern w:val="2"/>
          <w:sz w:val="20"/>
          <w:szCs w:val="24"/>
          <w:lang w:val="en-US" w:eastAsia="zh-CN" w:bidi="ar-SA"/>
        </w:rPr>
        <w:t>(1): 51-8.</w:t>
      </w:r>
    </w:p>
    <w:p w14:paraId="6C259DDA">
      <w:pPr>
        <w:pStyle w:val="11"/>
        <w:bidi w:val="0"/>
        <w:ind w:left="0" w:firstLine="0"/>
        <w:rPr>
          <w:rFonts w:ascii="Calibri" w:hAnsi="Calibri" w:cs="Calibri" w:eastAsiaTheme="minorEastAsia"/>
          <w:kern w:val="2"/>
          <w:sz w:val="20"/>
          <w:szCs w:val="24"/>
          <w:lang w:val="en-US" w:eastAsia="zh-CN" w:bidi="ar-SA"/>
        </w:rPr>
      </w:pPr>
      <w:r>
        <w:rPr>
          <w:rFonts w:ascii="Calibri" w:hAnsi="Calibri" w:cs="Calibri" w:eastAsiaTheme="minorEastAsia"/>
          <w:kern w:val="2"/>
          <w:sz w:val="20"/>
          <w:szCs w:val="24"/>
          <w:lang w:val="en-US" w:eastAsia="zh-CN" w:bidi="ar-SA"/>
        </w:rPr>
        <w:t>21.</w:t>
      </w:r>
      <w:r>
        <w:rPr>
          <w:rFonts w:ascii="Calibri" w:hAnsi="Calibri" w:cs="Calibri" w:eastAsiaTheme="minorEastAsia"/>
          <w:kern w:val="2"/>
          <w:sz w:val="20"/>
          <w:szCs w:val="24"/>
          <w:lang w:val="en-US" w:eastAsia="zh-CN" w:bidi="ar-SA"/>
        </w:rPr>
        <w:tab/>
      </w:r>
      <w:r>
        <w:rPr>
          <w:rFonts w:ascii="Calibri" w:hAnsi="Calibri" w:cs="Calibri" w:eastAsiaTheme="minorEastAsia"/>
          <w:kern w:val="2"/>
          <w:sz w:val="20"/>
          <w:szCs w:val="24"/>
          <w:lang w:val="en-US" w:eastAsia="zh-CN" w:bidi="ar-SA"/>
        </w:rPr>
        <w:t xml:space="preserve">Lundberg SM, Lee S-I. A unified approach to interpreting model predictions. </w:t>
      </w:r>
      <w:r>
        <w:rPr>
          <w:rFonts w:ascii="Calibri" w:hAnsi="Calibri" w:cs="Calibri" w:eastAsiaTheme="minorEastAsia"/>
          <w:i/>
          <w:kern w:val="2"/>
          <w:sz w:val="20"/>
          <w:szCs w:val="24"/>
          <w:lang w:val="en-US" w:eastAsia="zh-CN" w:bidi="ar-SA"/>
        </w:rPr>
        <w:t>Advances in neural information processing systems</w:t>
      </w:r>
      <w:r>
        <w:rPr>
          <w:rFonts w:ascii="Calibri" w:hAnsi="Calibri" w:cs="Calibri" w:eastAsiaTheme="minorEastAsia"/>
          <w:kern w:val="2"/>
          <w:sz w:val="20"/>
          <w:szCs w:val="24"/>
          <w:lang w:val="en-US" w:eastAsia="zh-CN" w:bidi="ar-SA"/>
        </w:rPr>
        <w:t xml:space="preserve"> 2017; </w:t>
      </w:r>
      <w:r>
        <w:rPr>
          <w:rFonts w:ascii="Calibri" w:hAnsi="Calibri" w:cs="Calibri" w:eastAsiaTheme="minorEastAsia"/>
          <w:b/>
          <w:kern w:val="2"/>
          <w:sz w:val="20"/>
          <w:szCs w:val="24"/>
          <w:lang w:val="en-US" w:eastAsia="zh-CN" w:bidi="ar-SA"/>
        </w:rPr>
        <w:t>30</w:t>
      </w:r>
      <w:r>
        <w:rPr>
          <w:rFonts w:ascii="Calibri" w:hAnsi="Calibri" w:cs="Calibri" w:eastAsiaTheme="minorEastAsia"/>
          <w:kern w:val="2"/>
          <w:sz w:val="20"/>
          <w:szCs w:val="24"/>
          <w:lang w:val="en-US" w:eastAsia="zh-CN" w:bidi="ar-SA"/>
        </w:rPr>
        <w:t>.</w:t>
      </w:r>
    </w:p>
    <w:p w14:paraId="12BF1E94">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jc w:val="both"/>
        <w:textAlignment w:val="auto"/>
        <w:rPr>
          <w:rFonts w:hint="eastAsia" w:ascii="Times New Roman" w:hAnsi="Times New Roman" w:eastAsia="仿宋" w:cs="Times New Roman"/>
          <w:i w:val="0"/>
          <w:iCs w:val="0"/>
          <w:sz w:val="24"/>
          <w:szCs w:val="24"/>
          <w:lang w:eastAsia="zh-CN"/>
        </w:rPr>
      </w:pPr>
      <w:r>
        <w:rPr>
          <w:rFonts w:hint="eastAsia" w:ascii="Times New Roman" w:hAnsi="Times New Roman" w:eastAsia="仿宋" w:cs="Times New Roman"/>
          <w:i w:val="0"/>
          <w:iCs w:val="0"/>
          <w:sz w:val="24"/>
          <w:szCs w:val="24"/>
          <w:lang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9BF8F"/>
    <w:multiLevelType w:val="singleLevel"/>
    <w:tmpl w:val="13D9BF8F"/>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az2rftejdezr4eespx5r9edazxzt99was2d&quot;&gt;我的EndNote库-Converted&lt;record-ids&gt;&lt;item&gt;1635&lt;/item&gt;&lt;item&gt;241644&lt;/item&gt;&lt;item&gt;241650&lt;/item&gt;&lt;item&gt;241653&lt;/item&gt;&lt;item&gt;241657&lt;/item&gt;&lt;item&gt;241660&lt;/item&gt;&lt;item&gt;241663&lt;/item&gt;&lt;item&gt;241664&lt;/item&gt;&lt;item&gt;241665&lt;/item&gt;&lt;item&gt;241666&lt;/item&gt;&lt;item&gt;241667&lt;/item&gt;&lt;item&gt;241668&lt;/item&gt;&lt;item&gt;241670&lt;/item&gt;&lt;/record-ids&gt;&lt;/item&gt;&lt;/Libraries&gt;"/>
  </w:docVars>
  <w:rsids>
    <w:rsidRoot w:val="21FC2171"/>
    <w:rsid w:val="0A075D0B"/>
    <w:rsid w:val="0A0D52EB"/>
    <w:rsid w:val="0BCD088E"/>
    <w:rsid w:val="109020CF"/>
    <w:rsid w:val="1DD2442A"/>
    <w:rsid w:val="21FC2171"/>
    <w:rsid w:val="28774527"/>
    <w:rsid w:val="2CBD0053"/>
    <w:rsid w:val="2F781BEF"/>
    <w:rsid w:val="3E017CEA"/>
    <w:rsid w:val="3FDA11F0"/>
    <w:rsid w:val="44BE2F55"/>
    <w:rsid w:val="695E7EED"/>
    <w:rsid w:val="7B2E5971"/>
    <w:rsid w:val="7D0B7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paragraph" w:customStyle="1" w:styleId="10">
    <w:name w:val="EndNote Bibliography Title"/>
    <w:qFormat/>
    <w:uiPriority w:val="0"/>
    <w:pPr>
      <w:pBdr>
        <w:top w:val="none" w:color="auto" w:sz="0" w:space="0"/>
        <w:left w:val="none" w:color="auto" w:sz="0" w:space="0"/>
        <w:bottom w:val="none" w:color="auto" w:sz="0" w:space="0"/>
        <w:right w:val="none" w:color="auto" w:sz="0" w:space="0"/>
        <w:between w:val="none" w:color="auto" w:sz="0" w:space="0"/>
      </w:pBdr>
      <w:jc w:val="center"/>
    </w:pPr>
    <w:rPr>
      <w:rFonts w:ascii="Calibri" w:hAnsi="Calibri" w:cs="Calibri" w:eastAsiaTheme="minorEastAsia"/>
      <w:kern w:val="2"/>
      <w:sz w:val="20"/>
      <w:szCs w:val="24"/>
      <w:lang w:val="en-US" w:eastAsia="zh-CN" w:bidi="ar-SA"/>
    </w:rPr>
  </w:style>
  <w:style w:type="paragraph" w:customStyle="1" w:styleId="11">
    <w:name w:val="EndNote Bibliography"/>
    <w:qFormat/>
    <w:uiPriority w:val="0"/>
    <w:pPr>
      <w:pBdr>
        <w:top w:val="none" w:color="auto" w:sz="0" w:space="0"/>
        <w:left w:val="none" w:color="auto" w:sz="0" w:space="0"/>
        <w:bottom w:val="none" w:color="auto" w:sz="0" w:space="0"/>
        <w:right w:val="none" w:color="auto" w:sz="0" w:space="0"/>
        <w:between w:val="none" w:color="auto" w:sz="0" w:space="0"/>
      </w:pBdr>
      <w:jc w:val="both"/>
    </w:pPr>
    <w:rPr>
      <w:rFonts w:ascii="Calibri" w:hAnsi="Calibri" w:cs="Calibri" w:eastAsiaTheme="minorEastAsia"/>
      <w:kern w:val="2"/>
      <w:sz w:val="20"/>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4127</Words>
  <Characters>7090</Characters>
  <Lines>0</Lines>
  <Paragraphs>0</Paragraphs>
  <TotalTime>283</TotalTime>
  <ScaleCrop>false</ScaleCrop>
  <LinksUpToDate>false</LinksUpToDate>
  <CharactersWithSpaces>7675</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2026-02-09T13:59:00Z</dcterms:created>
  <dc:creator>www</dc:creator>
  <cp:lastModifiedBy>www</cp:lastModifiedBy>
  <dcterms:modified xsi:type="dcterms:W3CDTF">2026-02-28T10:56:22Z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16A797D45334497C81598BE3EC21D442_11</vt:lpwstr>
  </property>
  <property fmtid="{D5CDD505-2E9C-101B-9397-08002B2CF9AE}" pid="4" name="KSOTemplateDocerSaveRecord">
    <vt:lpwstr>eyJoZGlkIjoiY2NmM2NjNGFjZDFhMjkwYjIzZmNkYTI1N2M5MzMxZDkiLCJ1c2VySWQiOiI2OTE5MzEwIn0=</vt:lpwstr>
  </property>
</Properties>
</file>