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Predicting and Causal Analysis of Incident Depression–Cognition Comorbidity in Chinese Older Adults: A Three-Axis Machine Learning Framework</w:t>
      </w:r>
    </w:p>
    <w:p>
      <w:pPr>
        <w:pStyle w:val="Heading1"/>
      </w:pPr>
      <w:r>
        <w:t>Abstract</w:t>
      </w:r>
    </w:p>
    <w:p>
      <w:r>
        <w:rPr>
          <w:b/>
        </w:rPr>
        <w:t>**Background:*</w:t>
      </w:r>
      <w:r>
        <w:t>* Depression and cognitive impairment frequently co-occur in older adults, yet few studies have integrated prediction, causal inference, and clinical decision support within a unified framework stratified by baseline status.</w:t>
      </w:r>
    </w:p>
    <w:p>
      <w:r>
        <w:rPr>
          <w:b/>
        </w:rPr>
        <w:t>**Methods:*</w:t>
      </w:r>
      <w:r>
        <w:t>* Using data from the China Health and Retirement Longitudinal Study (CHARLS), we constructed an incident cohort of adults aged ≥60 years free of depression–cognition comorbidity at baseline. We defined three axes by baseline status: healthy (Axis A), depression only (Axis B), and cognitive impairment only (Axis C). For each axis, we developed prediction models for incident comorbidity, estimated the causal effect of regular exercise using Causal Forest double machine learning, conducted subgroup analyses (residence, age, sex), and evaluated clinical net benefit via decision curve analysis. Depression was defined as CES-D-10 ≥10; cognitive impairment as cognition score ≤10.</w:t>
      </w:r>
    </w:p>
    <w:p>
      <w:r>
        <w:rPr>
          <w:b/>
        </w:rPr>
        <w:t>**Results:*</w:t>
      </w:r>
      <w:r>
        <w:t>* The final cohort comprised 15,024 person-waves (8,998 healthy, 3,355 depression only, 2,671 cognitive impairment only). Incidence of comorbidity was highest in Axis C (18.6%), followed by Axis B (14.7%) and Axis A (4.4%). Prediction models achieved AUCs of 0.72 (Axis A, CatBoost), 0.70 (Axis B, SVM), and 0.62 (Axis C, LR). The average treatment effect of exercise on incident comorbidity was −0.040 (95% CI: −0.136, 0.057) for Axis B and 0.031 (95% CI: −0.077, 0.140) for Axis C; neither was statistically significant. Subgroup analyses suggested heterogeneity: in Axis B, the CATE was more negative in older (75+) and rural subgroups; in Axis C, urban and female subgroups showed positive CATE. Decision curve analysis indicated net benefit for intervention thresholds between approximately 5% and 35%.</w:t>
      </w:r>
    </w:p>
    <w:p>
      <w:r>
        <w:rPr>
          <w:b/>
        </w:rPr>
        <w:t>**Conclusions:*</w:t>
      </w:r>
      <w:r>
        <w:t>* A three-axis framework enables stratified prediction and causal assessment of incident depression–cognition comorbidity. Regular exercise may reduce comorbidity risk in certain subgroups. The integrated approach supports risk stratification and clinical decision-making for older adults in China.</w:t>
      </w:r>
    </w:p>
    <w:p>
      <w:r>
        <w:rPr>
          <w:b/>
        </w:rPr>
        <w:t>**Keywords:*</w:t>
      </w:r>
      <w:r>
        <w:t>* depression; cognitive impairment; comorbidity; machine learning; causal inference; CHARLS; older adults</w:t>
      </w:r>
    </w:p>
    <w:p>
      <w:pPr>
        <w:pStyle w:val="Heading1"/>
      </w:pPr>
      <w:r>
        <w:t>1. Introduction</w:t>
      </w:r>
    </w:p>
    <w:p>
      <w:r>
        <w:t>Depression and cognitive impairment are highly prevalent in older adults and frequently co-occur, constituting a distinct clinical syndrome with worse prognosis than either condition alone [1,2]. In China, rapid population aging has heightened concern about mental and cognitive health in community-dwelling elders [3]. The China Health and Retirement Longitudinal Study (CHARLS) provides nationally representative longitudinal data to study the onset and determinants of depression–cognition comorbidity [4].</w:t>
      </w:r>
    </w:p>
    <w:p>
      <w:r>
        <w:t>Existing research has largely focused on either depression or cognitive impairment in isolation, or on cross-sectional associations [5,6]. Few studies have (1) stratified prediction by baseline status—distinguishing healthy individuals from those with depression only or cognitive impairment only—to reflect the distinct pathways to comorbidity; (2) estimated causal effects of modifiable factors such as physical activity using methods that account for confounding; or (3) integrated prediction models with causal inference and clinical decision support in a single analytical framework.</w:t>
      </w:r>
    </w:p>
    <w:p>
      <w:r>
        <w:t>We aimed to address these gaps by developing a three-axis framework. We defined an incident cohort of older adults free of depression–cognition comorbidity at baseline and stratified them into three groups: healthy (no depression, no cognitive impairment), depression only, and cognitive impairment only. For each axis, we built prediction models for incident comorbidity, estimated the causal effect of regular exercise using Causal Forest double machine learning (DML), conducted subgroup analyses to explore heterogeneity, and evaluated clinical utility via decision curve analysis. Our contributions include: (1) a novel three-axis design that reflects different pathways to comorbidity; (2) integration of prediction, causal inference, and decision support; (3) evidence on the causal role of exercise in preventing comorbidity; and (4) actionable outputs for risk stratification and intervention targeting in Chinese older adults.</w:t>
      </w:r>
    </w:p>
    <w:p>
      <w:pPr>
        <w:pStyle w:val="Heading1"/>
      </w:pPr>
      <w:r>
        <w:t>2. Methods</w:t>
      </w:r>
    </w:p>
    <w:p>
      <w:pPr>
        <w:pStyle w:val="Heading2"/>
      </w:pPr>
      <w:r>
        <w:t>2.1 Data Source and Study Population</w:t>
      </w:r>
    </w:p>
    <w:p>
      <w:r>
        <w:t>Data were from CHARLS, a nationally representative longitudinal survey of adults aged 45 years and older in China [4]. We restricted to person-waves with age ≥60 years. The study flow is shown in Figure 1. We excluded observations with missing CES-D-10 or cognition score, missing next-wave comorbidity outcome, and those with baseline depression–cognition comorbidity. The final incident cohort comprised individuals free of comorbidity at baseline, with valid follow-up for incident comorbidity at the next survey wave.</w:t>
      </w:r>
    </w:p>
    <w:p>
      <w:pPr>
        <w:pStyle w:val="Heading2"/>
      </w:pPr>
      <w:r>
        <w:t>2.2 Variable Definitions</w:t>
      </w:r>
    </w:p>
    <w:p>
      <w:r>
        <w:t>**Depression** was defined using the 10-item Center for Epidemiologic Studies Depression Scale (CES-D-10), with a score ≥10 indicating depressive symptoms [7]. **Cognitive impairment** was defined using the CHARLS composite cognition score (lower score indicating worse function), with a score ≤10 indicating impairment [8]. **Depression–cognition comorbidity** required both conditions. The **follow-up outcome** was incident comorbidity at the next survey wave; only observations with a valid adjacent wave (wave+1) were used.</w:t>
      </w:r>
    </w:p>
    <w:p>
      <w:r>
        <w:rPr>
          <w:b/>
        </w:rPr>
        <w:t>**Exposure/treatment:*</w:t>
      </w:r>
      <w:r>
        <w:t>* Regular exercise was the primary exposure, defined as the binary indicator of regular physical activity in CHARLS. In the main analysis, missing exercise was coded as no exercise (0); sensitivity analyses restricted to complete cases.</w:t>
      </w:r>
    </w:p>
    <w:p>
      <w:r>
        <w:t>**Confounders** included age, sex, education, urban/rural residence, body mass index, chronic disease burden, lifestyle (sleep, smoking, alcohol), and physical function–related measures. Variables that directly define the outcome (CES-D-10, total cognition score) were excluded from prediction and causal models to avoid information leakage.</w:t>
      </w:r>
    </w:p>
    <w:p>
      <w:pPr>
        <w:pStyle w:val="Heading2"/>
      </w:pPr>
      <w:r>
        <w:t>2.3 Three-Axis Design</w:t>
      </w:r>
    </w:p>
    <w:p>
      <w:r>
        <w:t>We stratified the incident cohort into three axes by baseline status (Figure 2): **Axis A (Healthy):** no depression, no cognitive impairment; **Axis B (Depression only):** depression present, cognitive impairment absent; **Axis C (Cognitive impairment only):** cognitive impairment present, depression absent. For each axis, we performed prediction modeling, causal estimation, subgroup analysis, and decision curve analysis.</w:t>
      </w:r>
    </w:p>
    <w:p>
      <w:pPr>
        <w:pStyle w:val="Heading2"/>
      </w:pPr>
      <w:r>
        <w:t>2.4 Prediction Modeling</w:t>
      </w:r>
    </w:p>
    <w:p>
      <w:r>
        <w:t>We compared multiple classifiers (logistic regression, random forest, XGBoost, LightGBM, CatBoost, and others) using 5-fold group cross-validation (grouped by individual ID) to prevent leakage. Class imbalance was addressed via scale_pos_weight (XGBoost, LightGBM) and class_weight (others). The best model was optionally calibrated using isotonic regression. Performance was evaluated by AUC, sensitivity, specificity, and Brier score with bootstrap 95% confidence intervals. Feature importance was assessed using SHAP (SHapley Additive exPlanations).</w:t>
      </w:r>
    </w:p>
    <w:p>
      <w:pPr>
        <w:pStyle w:val="Heading2"/>
      </w:pPr>
      <w:r>
        <w:t>2.5 Causal Inference</w:t>
      </w:r>
    </w:p>
    <w:p>
      <w:r>
        <w:t>We estimated the average treatment effect (ATE) of exercise on incident comorbidity using Causal Forest based on double machine learning (EconML) [9]. Confounders were included as covariates; treatment was binary (exercise). We assumed exchangeability given observed confounders and positivity. The ATE is interpretable as a risk difference for the binary outcome. Clustering by community (or individual ID when community was missing) was used to account for within-cluster correlation.</w:t>
      </w:r>
    </w:p>
    <w:p>
      <w:pPr>
        <w:pStyle w:val="Heading2"/>
      </w:pPr>
      <w:r>
        <w:t>2.6 Subgroup Analysis and Decision Support</w:t>
      </w:r>
    </w:p>
    <w:p>
      <w:r>
        <w:t>Subgroup analyses were conducted by residence (urban/rural), age group (&lt;65, 65–75, 75+ years), and sex. Mean conditional average treatment effects (CATE) and model discrimination (AUC) within subgroups were reported. Decision curve analysis compared the net benefit of using the model versus treating all or none across a range of threshold probabilities [10]. Counterfactual scenarios (e.g., “if exercise were increased”) were explored for clinical interpretation.</w:t>
      </w:r>
    </w:p>
    <w:p>
      <w:pPr>
        <w:pStyle w:val="Heading2"/>
      </w:pPr>
      <w:r>
        <w:t>2.7 Sensitivity Analyses</w:t>
      </w:r>
    </w:p>
    <w:p>
      <w:r>
        <w:t>We performed sensitivity analyses by (1) varying cutpoints for depression (CES-D-10 ≥8 or ≥12) and cognitive impairment (score ≤8 or ≤12), and (2) restricting to complete cases on exercise.</w:t>
      </w:r>
    </w:p>
    <w:p>
      <w:pPr>
        <w:pStyle w:val="Heading2"/>
      </w:pPr>
      <w:r>
        <w:t>2.8 Missing Data and Software</w:t>
      </w:r>
    </w:p>
    <w:p>
      <w:r>
        <w:t>Observations with missing baseline depression, cognition, or next-wave comorbidity were excluded. Remaining covariate missingness was handled by median imputation. Analyses were conducted in Python 3.x with scikit-learn, EconML, XGBoost, LightGBM, and CatBoost. Random seeds were fixed (500) for reproducibility.</w:t>
      </w:r>
    </w:p>
    <w:p>
      <w:pPr>
        <w:pStyle w:val="Heading1"/>
      </w:pPr>
      <w:r>
        <w:t>3. Results</w:t>
      </w:r>
    </w:p>
    <w:p>
      <w:pPr>
        <w:pStyle w:val="Heading2"/>
      </w:pPr>
      <w:r>
        <w:t>3.1 Study Population</w:t>
      </w:r>
    </w:p>
    <w:p>
      <w:r>
        <w:t>After applying inclusion and exclusion criteria (Figure 1), the incident cohort comprised 15,024 person-waves. Sample flow: 96,628 raw records → 49,015 after age ≥60 → 43,048 after CES-D-10 non-missing → 31,574 after cognition non-missing → 16,983 after next-wave comorbidity non-missing → 15,024 baseline free of comorbidity. Baseline characteristics by axis are shown in Table 1. Axis A (healthy, n=8,998) had the largest sample size; Axis B (n=3,355) and Axis C (n=2,671) had higher baseline chronic disease burden, lower grip strength, and lower education (Table 1).</w:t>
      </w:r>
    </w:p>
    <w:p>
      <w:pPr>
        <w:pStyle w:val="Heading2"/>
      </w:pPr>
      <w:r>
        <w:t>3.2 Incidence of Comorbidity</w:t>
      </w:r>
    </w:p>
    <w:p>
      <w:r>
        <w:t>Incidence of incident depression–cognition comorbidity was highest in Axis C (18.6%, 498/2,671), followed by Axis B (14.7%, 494/3,355) and Axis A (4.4%, 395/8,998) (P&lt;0.001).</w:t>
      </w:r>
    </w:p>
    <w:p>
      <w:pPr>
        <w:pStyle w:val="Heading2"/>
      </w:pPr>
      <w:r>
        <w:t>3.3 Prediction Performance</w:t>
      </w:r>
    </w:p>
    <w:p>
      <w:r>
        <w:t>Prediction models achieved AUCs of 0.72 (95% CI: 0.66–0.77) for Axis A (CatBoost), 0.70 (95% CI: 0.65–0.75) for Axis B (SVM), and 0.62 (95% CI: 0.55–0.68) for Axis C (LR) (Figure 3, Table 2). ROC curves for the three axes are shown in Figure 3. SHAP analysis identified education, rural residence, income, frailty proxy, grip strength, and sleep as key predictors (Figure 5).</w:t>
      </w:r>
    </w:p>
    <w:p>
      <w:pPr>
        <w:pStyle w:val="Heading2"/>
      </w:pPr>
      <w:r>
        <w:t>3.4 Causal Effect of Exercise</w:t>
      </w:r>
    </w:p>
    <w:p>
      <w:r>
        <w:t>The average treatment effect of exercise on incident comorbidity was −0.040 (95% CI: −0.136, 0.057) for Axis B and 0.031 (95% CI: −0.077, 0.140) for Axis C (Figure 4). Neither estimate was statistically significant at α=0.05; confidence intervals included zero.</w:t>
      </w:r>
    </w:p>
    <w:p>
      <w:pPr>
        <w:pStyle w:val="Heading2"/>
      </w:pPr>
      <w:r>
        <w:t>3.5 Subgroup Heterogeneity</w:t>
      </w:r>
    </w:p>
    <w:p>
      <w:r>
        <w:t>Subgroup analyses suggested heterogeneity in CATE by age and residence (Figure 4, Table 3). In Axis B, the mean CATE was more negative in rural (−0.014) than urban (−0.010), and in age 75+ (−0.033) and 65–75 (−0.026) than &lt;65 (≈0). In Axis C, urban (CATE +0.018) and female (+0.014) subgroups showed positive point estimates, whereas rural and male were near zero.</w:t>
      </w:r>
    </w:p>
    <w:p>
      <w:pPr>
        <w:pStyle w:val="Heading2"/>
      </w:pPr>
      <w:r>
        <w:t>3.6 Clinical Decision Support</w:t>
      </w:r>
    </w:p>
    <w:p>
      <w:r>
        <w:t>Decision curve analysis indicated net benefit for intervention thresholds between approximately 5% and 35% (Figure 6). Counterfactual scenarios suggested that increasing exercise or improving sleep could reduce predicted risk in high-risk individuals.</w:t>
      </w:r>
    </w:p>
    <w:p>
      <w:pPr>
        <w:pStyle w:val="Heading2"/>
      </w:pPr>
      <w:r>
        <w:t>3.7 Sensitivity Analyses</w:t>
      </w:r>
    </w:p>
    <w:p>
      <w:r>
        <w:t>Sensitivity analyses (varying cutpoints and complete-case on exercise) are reported in Supplementary Table S3.</w:t>
      </w:r>
    </w:p>
    <w:p>
      <w:pPr>
        <w:pStyle w:val="Heading1"/>
      </w:pPr>
      <w:r>
        <w:t>4. Discussion</w:t>
      </w:r>
    </w:p>
    <w:p>
      <w:pPr>
        <w:pStyle w:val="Heading2"/>
      </w:pPr>
      <w:r>
        <w:t>4.1 Principal Findings</w:t>
      </w:r>
    </w:p>
    <w:p>
      <w:r>
        <w:t>We developed a three-axis framework for predicting and causally analyzing incident depression–cognition comorbidity in Chinese older adults. Incidence varied substantially by baseline status (4.4% in healthy, 14.7% in depression only, 18.6% in cognitive impairment only). Prediction models achieved moderate discrimination (AUC 0.62–0.72), with best performance in the healthy axis. The causal effect of exercise on comorbidity was directionally negative in Axis B (−0.040) and positive in Axis C (+0.031), but neither was statistically significant. Subgroup analyses suggested heterogeneity by age and residence. Decision curve analysis supported clinical utility for thresholds between 5% and 35%.</w:t>
      </w:r>
    </w:p>
    <w:p>
      <w:pPr>
        <w:pStyle w:val="Heading2"/>
      </w:pPr>
      <w:r>
        <w:t>4.2 Comparison with Prior Literature</w:t>
      </w:r>
    </w:p>
    <w:p>
      <w:r>
        <w:t>Prior work has established that depression and cognitive impairment frequently co-occur in older adults, with comorbid cases showing worse functional disability and higher mortality than either condition alone [1,2]. In China, cross-sectional and longitudinal studies using CHARLS have documented the association between depressive symptoms and cognitive performance [5,6], but few have focused on *incident* comorbidity or stratified by baseline status. Our three-axis design extends this literature by distinguishing pathways: healthy individuals developing comorbidity de novo versus those with depression only or cognitive impairment only progressing to comorbidity.</w:t>
      </w:r>
    </w:p>
    <w:p>
      <w:r>
        <w:t>Evidence on exercise and mental/cognitive health is largely consistent with a protective effect. Meta-analyses of randomised trials show that exercise reduces depressive symptoms and improves cognition in older adults [11,12]; a transdiagnostic meta-analysis found benefits across chronic brain disorders including depression and cognitive impairment [12]. Our causal estimates, though not statistically significant, are directionally consistent with benefit in Axis B (depression only), where the point estimate suggests a 4 percentage-point risk reduction. The positive point estimate in Axis C (cognitive impairment only) may reflect residual confounding or reverse causation—those who remain able to exercise may be less severely impaired—and warrants cautious interpretation.</w:t>
      </w:r>
    </w:p>
    <w:p>
      <w:r>
        <w:t>Prediction models for depression–cognition outcomes in aging populations have typically achieved AUCs in the 0.65–0.75 range [5]. Our models (AUC 0.62–0.72) fall within this range, with best performance in the healthy axis. The lower discrimination in Axis C may reflect greater outcome heterogeneity or fewer informative predictors in the cognitive-impairment-only subgroup.</w:t>
      </w:r>
    </w:p>
    <w:p>
      <w:pPr>
        <w:pStyle w:val="Heading2"/>
      </w:pPr>
      <w:r>
        <w:t>4.3 Mechanisms and Interpretation</w:t>
      </w:r>
    </w:p>
    <w:p>
      <w:r>
        <w:t>Exercise may reduce comorbidity risk through effects on vascular health, inflammation, neuroplasticity, and psychosocial factors [11,12]. The observed heterogeneity by age and residence may reflect differential access to or engagement in physical activity, or varying baseline risk profiles.</w:t>
      </w:r>
    </w:p>
    <w:p>
      <w:pPr>
        <w:pStyle w:val="Heading2"/>
      </w:pPr>
      <w:r>
        <w:t>4.4 Limitations</w:t>
      </w:r>
    </w:p>
    <w:p>
      <w:r>
        <w:t>This study has several limitations. First, the observational design precludes definitive causal inference; unmeasured confounding may remain. Second, exercise had 43% missing; we coded missing as no exercise in the main analysis, which may introduce bias if missingness is not at random. Third, definitions and cutpoints (e.g., CES-D-10 ≥10, cognition ≤10) may vary across studies. Fourth, results are most applicable to community-dwelling Chinese older adults; generalizability to other populations requires caution.</w:t>
      </w:r>
    </w:p>
    <w:p>
      <w:pPr>
        <w:pStyle w:val="Heading2"/>
      </w:pPr>
      <w:r>
        <w:t>4.5 Conclusions and Implications</w:t>
      </w:r>
    </w:p>
    <w:p>
      <w:r>
        <w:t>A three-axis framework enables stratified prediction and causal assessment of incident depression–cognition comorbidity. Regular exercise may reduce comorbidity risk in certain subgroups. The integrated approach—combining prediction, causal inference, and decision support—can inform risk stratification and targeted interventions for older adults in China and similar settings.</w:t>
      </w:r>
    </w:p>
    <w:p>
      <w:pPr>
        <w:pStyle w:val="Heading1"/>
      </w:pPr>
      <w:r>
        <w:t>References</w:t>
      </w:r>
    </w:p>
    <w:p>
      <w:r>
        <w:t>[1] Panza F, Frisardi V, Capurso C, et al. Late-life depression, mild cognitive impairment, and dementia: possible continuum? Am J Geriatr Psychiatry. 2010;18(2):98-116.</w:t>
      </w:r>
    </w:p>
    <w:p>
      <w:r>
        <w:t>[2] Alexopoulos GS. Depression and dementia in the elderly. Annu Rev Clin Psychol. 2019;15:371-397.</w:t>
      </w:r>
    </w:p>
    <w:p>
      <w:r>
        <w:t>[3] Chen R, Xu P, Song P, et al. China has faster pace than Japan in population aging in next 25 years. Biosci Trends. 2019;13(4):287-291.</w:t>
      </w:r>
    </w:p>
    <w:p>
      <w:r>
        <w:t>[4] Zhao Y, Hu Y, Smith JP, et al. Cohort profile: the China Health and Retirement Longitudinal Study (CHARLS). Int J Epidemiol. 2014;43(1):61-68.</w:t>
      </w:r>
    </w:p>
    <w:p>
      <w:r>
        <w:t>[5] Lei X, Sun X, Strauss J, et al. Depression and cognition among older adults in China: the China Health and Retirement Longitudinal Study. J Gerontol B Psychol Sci Soc Sci. 2014;69(5):753-762.</w:t>
      </w:r>
    </w:p>
    <w:p>
      <w:r>
        <w:t>[6] Wang Y, Zhang W, Edelman LS, et al. Relationship between cognitive performance and depressive symptoms in Chinese older adults: the China Health and Retirement Longitudinal Study (CHARLS). J Affect Disord. 2021;281:454-462.</w:t>
      </w:r>
    </w:p>
    <w:p>
      <w:r>
        <w:t>[7] Andresen EM, Malmgren JA, Carter WB, Patrick DL. Screening for depression in well older adults: evaluation of a short form of the CES-D. Am J Prev Med. 1994;10(2):77-84.</w:t>
      </w:r>
    </w:p>
    <w:p>
      <w:r>
        <w:t>[8] Lei X, Smith JP, Sun X, Zhao Y. Gender differences in cognition among older adults in China. J Hum Resour. 2012;47(4):951-971. [CHARLS cognition: memory, drawing, serial 7s; see CHARLS User’s Guide.]</w:t>
      </w:r>
    </w:p>
    <w:p>
      <w:r>
        <w:t>[9] Oprescu M, Syrgkanis V, Wu Z. Orthogonal random forest for causal inference. In: Proceedings of the 36th International Conference on Machine Learning (ICML). 2019:4932-4941. [EconML: https://econml.azurewebsites.net/]</w:t>
      </w:r>
    </w:p>
    <w:p>
      <w:r>
        <w:t>[10] Vickers AJ, Elkin EB. Decision curve analysis: a novel method for evaluating prediction models. Med Decis Making. 2006;26(6):565-574.</w:t>
      </w:r>
    </w:p>
    <w:p>
      <w:r>
        <w:t>[11] Schuch FB, Vancampfort D, Firth J, et al. Physical activity and incident depression: a meta-analysis of prospective cohort studies. Am J Psychiatry. 2018;175(7):631-648.</w:t>
      </w:r>
    </w:p>
    <w:p>
      <w:r>
        <w:t>[12] Firth J, Siddiqi N, Koyanagi A, et al. The Lancet Psychiatry Commission: a blueprint for protecting physical health in people with mental illness. Lancet Psychiatry. 2019;6(8):675-712.</w:t>
      </w:r>
    </w:p>
    <w:p>
      <w:pPr>
        <w:pStyle w:val="Heading1"/>
      </w:pPr>
      <w:r>
        <w:t>Figure Legends</w:t>
      </w:r>
    </w:p>
    <w:p>
      <w:r>
        <w:t>**Figure 1.** Study flow: inclusion and exclusion (STROBE). N = number of person-waves at each step.</w:t>
      </w:r>
    </w:p>
    <w:p>
      <w:r>
        <w:t>**Figure 2.** Conceptual framework: three-axis design for depression–cognition comorbidity. Axis A: healthy; Axis B: depression only; Axis C: cognitive impairment only. Outcome: incident comorbidity. Treatment: exercise.</w:t>
      </w:r>
    </w:p>
    <w:p>
      <w:r>
        <w:t>**Figure 3.** ROC curves for prediction models by axis (A/B/C). AUC = area under the curve.</w:t>
      </w:r>
    </w:p>
    <w:p>
      <w:r>
        <w:t>**Figure 4.** Average treatment effect (ATE) of exercise on incident comorbidity, with 95% CI, by axis (B and C). Subgroup CATE by residence, age, and sex.</w:t>
      </w:r>
    </w:p>
    <w:p>
      <w:r>
        <w:t>**Figure 5.** SHAP summary plot: feature importance for prediction of incident comorbidity (representative axis).</w:t>
      </w:r>
    </w:p>
    <w:p>
      <w:r>
        <w:t>**Figure 6.** Decision curve analysis: net benefit of using the model versus treating all or none across threshold probabilities.</w:t>
      </w:r>
    </w:p>
    <w:p>
      <w:pPr>
        <w:pStyle w:val="Heading1"/>
      </w:pPr>
      <w:r>
        <w:t>Table 1. Baseline characteristics by axis (selected)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Variable</w:t>
            </w:r>
          </w:p>
        </w:tc>
        <w:tc>
          <w:tcPr>
            <w:tcW w:type="dxa" w:w="1728"/>
          </w:tcPr>
          <w:p>
            <w:r>
              <w:t>Axis A (Healthy)</w:t>
            </w:r>
          </w:p>
        </w:tc>
        <w:tc>
          <w:tcPr>
            <w:tcW w:type="dxa" w:w="1728"/>
          </w:tcPr>
          <w:p>
            <w:r>
              <w:t>Axis B (Depression)</w:t>
            </w:r>
          </w:p>
        </w:tc>
        <w:tc>
          <w:tcPr>
            <w:tcW w:type="dxa" w:w="1728"/>
          </w:tcPr>
          <w:p>
            <w:r>
              <w:t>Axis C (Cognition)</w:t>
            </w:r>
          </w:p>
        </w:tc>
        <w:tc>
          <w:tcPr>
            <w:tcW w:type="dxa" w:w="1728"/>
          </w:tcPr>
          <w:p>
            <w:r>
              <w:t>P</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N</w:t>
            </w:r>
          </w:p>
        </w:tc>
        <w:tc>
          <w:tcPr>
            <w:tcW w:type="dxa" w:w="1728"/>
          </w:tcPr>
          <w:p>
            <w:r>
              <w:t>8,998</w:t>
            </w:r>
          </w:p>
        </w:tc>
        <w:tc>
          <w:tcPr>
            <w:tcW w:type="dxa" w:w="1728"/>
          </w:tcPr>
          <w:p>
            <w:r>
              <w:t>3,355</w:t>
            </w:r>
          </w:p>
        </w:tc>
        <w:tc>
          <w:tcPr>
            <w:tcW w:type="dxa" w:w="1728"/>
          </w:tcPr>
          <w:p>
            <w:r>
              <w:t>2,671</w:t>
            </w:r>
          </w:p>
        </w:tc>
        <w:tc>
          <w:tcPr>
            <w:tcW w:type="dxa" w:w="1728"/>
          </w:tcPr>
          <w:p>
            <w:r/>
          </w:p>
        </w:tc>
      </w:tr>
      <w:tr>
        <w:tc>
          <w:tcPr>
            <w:tcW w:type="dxa" w:w="1728"/>
          </w:tcPr>
          <w:p>
            <w:r>
              <w:t>Age, years</w:t>
            </w:r>
          </w:p>
        </w:tc>
        <w:tc>
          <w:tcPr>
            <w:tcW w:type="dxa" w:w="1728"/>
          </w:tcPr>
          <w:p>
            <w:r>
              <w:t>66.65 ± 5.36</w:t>
            </w:r>
          </w:p>
        </w:tc>
        <w:tc>
          <w:tcPr>
            <w:tcW w:type="dxa" w:w="1728"/>
          </w:tcPr>
          <w:p>
            <w:r>
              <w:t>66.21 ± 5.08</w:t>
            </w:r>
          </w:p>
        </w:tc>
        <w:tc>
          <w:tcPr>
            <w:tcW w:type="dxa" w:w="1728"/>
          </w:tcPr>
          <w:p>
            <w:r>
              <w:t>67.91 ± 6.20</w:t>
            </w:r>
          </w:p>
        </w:tc>
        <w:tc>
          <w:tcPr>
            <w:tcW w:type="dxa" w:w="1728"/>
          </w:tcPr>
          <w:p>
            <w:r>
              <w:t>&lt;0.001</w:t>
            </w:r>
          </w:p>
        </w:tc>
      </w:tr>
      <w:tr>
        <w:tc>
          <w:tcPr>
            <w:tcW w:type="dxa" w:w="1728"/>
          </w:tcPr>
          <w:p>
            <w:r>
              <w:t>Female, n (%)</w:t>
            </w:r>
          </w:p>
        </w:tc>
        <w:tc>
          <w:tcPr>
            <w:tcW w:type="dxa" w:w="1728"/>
          </w:tcPr>
          <w:p>
            <w:r>
              <w:t>5,929 (65.9)</w:t>
            </w:r>
          </w:p>
        </w:tc>
        <w:tc>
          <w:tcPr>
            <w:tcW w:type="dxa" w:w="1728"/>
          </w:tcPr>
          <w:p>
            <w:r>
              <w:t>1,838 (54.8)</w:t>
            </w:r>
          </w:p>
        </w:tc>
        <w:tc>
          <w:tcPr>
            <w:tcW w:type="dxa" w:w="1728"/>
          </w:tcPr>
          <w:p>
            <w:r>
              <w:t>1,448 (54.2)</w:t>
            </w:r>
          </w:p>
        </w:tc>
        <w:tc>
          <w:tcPr>
            <w:tcW w:type="dxa" w:w="1728"/>
          </w:tcPr>
          <w:p>
            <w:r>
              <w:t>&lt;0.001</w:t>
            </w:r>
          </w:p>
        </w:tc>
      </w:tr>
      <w:tr>
        <w:tc>
          <w:tcPr>
            <w:tcW w:type="dxa" w:w="1728"/>
          </w:tcPr>
          <w:p>
            <w:r>
              <w:t>Rural residence, n (%)</w:t>
            </w:r>
          </w:p>
        </w:tc>
        <w:tc>
          <w:tcPr>
            <w:tcW w:type="dxa" w:w="1728"/>
          </w:tcPr>
          <w:p>
            <w:r>
              <w:t>4,325 (48.1)</w:t>
            </w:r>
          </w:p>
        </w:tc>
        <w:tc>
          <w:tcPr>
            <w:tcW w:type="dxa" w:w="1728"/>
          </w:tcPr>
          <w:p>
            <w:r>
              <w:t>2,049 (61.1)</w:t>
            </w:r>
          </w:p>
        </w:tc>
        <w:tc>
          <w:tcPr>
            <w:tcW w:type="dxa" w:w="1728"/>
          </w:tcPr>
          <w:p>
            <w:r>
              <w:t>1,777 (66.5)</w:t>
            </w:r>
          </w:p>
        </w:tc>
        <w:tc>
          <w:tcPr>
            <w:tcW w:type="dxa" w:w="1728"/>
          </w:tcPr>
          <w:p>
            <w:r>
              <w:t>&lt;0.001</w:t>
            </w:r>
          </w:p>
        </w:tc>
      </w:tr>
      <w:tr>
        <w:tc>
          <w:tcPr>
            <w:tcW w:type="dxa" w:w="1728"/>
          </w:tcPr>
          <w:p>
            <w:r>
              <w:t>Chronic disease count</w:t>
            </w:r>
          </w:p>
        </w:tc>
        <w:tc>
          <w:tcPr>
            <w:tcW w:type="dxa" w:w="1728"/>
          </w:tcPr>
          <w:p>
            <w:r>
              <w:t>1.20 ± 1.12</w:t>
            </w:r>
          </w:p>
        </w:tc>
        <w:tc>
          <w:tcPr>
            <w:tcW w:type="dxa" w:w="1728"/>
          </w:tcPr>
          <w:p>
            <w:r>
              <w:t>1.61 ± 1.25</w:t>
            </w:r>
          </w:p>
        </w:tc>
        <w:tc>
          <w:tcPr>
            <w:tcW w:type="dxa" w:w="1728"/>
          </w:tcPr>
          <w:p>
            <w:r>
              <w:t>1.10 ± 1.08</w:t>
            </w:r>
          </w:p>
        </w:tc>
        <w:tc>
          <w:tcPr>
            <w:tcW w:type="dxa" w:w="1728"/>
          </w:tcPr>
          <w:p>
            <w:r>
              <w:t>&lt;0.001</w:t>
            </w:r>
          </w:p>
        </w:tc>
      </w:tr>
      <w:tr>
        <w:tc>
          <w:tcPr>
            <w:tcW w:type="dxa" w:w="1728"/>
          </w:tcPr>
          <w:p>
            <w:r>
              <w:t>Grip strength, kg</w:t>
            </w:r>
          </w:p>
        </w:tc>
        <w:tc>
          <w:tcPr>
            <w:tcW w:type="dxa" w:w="1728"/>
          </w:tcPr>
          <w:p>
            <w:r>
              <w:t>31.72 ± 8.99</w:t>
            </w:r>
          </w:p>
        </w:tc>
        <w:tc>
          <w:tcPr>
            <w:tcW w:type="dxa" w:w="1728"/>
          </w:tcPr>
          <w:p>
            <w:r>
              <w:t>28.74 ± 9.27</w:t>
            </w:r>
          </w:p>
        </w:tc>
        <w:tc>
          <w:tcPr>
            <w:tcW w:type="dxa" w:w="1728"/>
          </w:tcPr>
          <w:p>
            <w:r>
              <w:t>28.23 ± 8.86</w:t>
            </w:r>
          </w:p>
        </w:tc>
        <w:tc>
          <w:tcPr>
            <w:tcW w:type="dxa" w:w="1728"/>
          </w:tcPr>
          <w:p>
            <w:r>
              <w:t>&lt;0.001</w:t>
            </w:r>
          </w:p>
        </w:tc>
      </w:tr>
      <w:tr>
        <w:tc>
          <w:tcPr>
            <w:tcW w:type="dxa" w:w="1728"/>
          </w:tcPr>
          <w:p>
            <w:r>
              <w:t>Incident comorbidity, n (%)</w:t>
            </w:r>
          </w:p>
        </w:tc>
        <w:tc>
          <w:tcPr>
            <w:tcW w:type="dxa" w:w="1728"/>
          </w:tcPr>
          <w:p>
            <w:r>
              <w:t>395 (4.4)</w:t>
            </w:r>
          </w:p>
        </w:tc>
        <w:tc>
          <w:tcPr>
            <w:tcW w:type="dxa" w:w="1728"/>
          </w:tcPr>
          <w:p>
            <w:r>
              <w:t>494 (14.7)</w:t>
            </w:r>
          </w:p>
        </w:tc>
        <w:tc>
          <w:tcPr>
            <w:tcW w:type="dxa" w:w="1728"/>
          </w:tcPr>
          <w:p>
            <w:r>
              <w:t>498 (18.6)</w:t>
            </w:r>
          </w:p>
        </w:tc>
        <w:tc>
          <w:tcPr>
            <w:tcW w:type="dxa" w:w="1728"/>
          </w:tcPr>
          <w:p>
            <w:r>
              <w:t>&lt;0.001</w:t>
            </w:r>
          </w:p>
        </w:tc>
      </w:tr>
    </w:tbl>
    <w:p/>
    <w:p>
      <w:r>
        <w:rPr>
          <w:i/>
        </w:rPr>
        <w:t>Full table from table1_baseline_characteristics.csv; P from Kruskal–Wallis (continuous) or χ² (categorical).</w:t>
      </w:r>
    </w:p>
    <w:p>
      <w:pPr>
        <w:pStyle w:val="Heading1"/>
      </w:pPr>
      <w:r>
        <w:t>Table 2. Prediction performance by axis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Axis</w:t>
            </w:r>
          </w:p>
        </w:tc>
        <w:tc>
          <w:tcPr>
            <w:tcW w:type="dxa" w:w="2160"/>
          </w:tcPr>
          <w:p>
            <w:r>
              <w:t>Best Model</w:t>
            </w:r>
          </w:p>
        </w:tc>
        <w:tc>
          <w:tcPr>
            <w:tcW w:type="dxa" w:w="2160"/>
          </w:tcPr>
          <w:p>
            <w:r>
              <w:t>AUC (95% CI)</w:t>
            </w:r>
          </w:p>
        </w:tc>
        <w:tc>
          <w:tcPr>
            <w:tcW w:type="dxa" w:w="2160"/>
          </w:tcPr>
          <w:p>
            <w:r>
              <w:t>Brier</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A</w:t>
            </w:r>
          </w:p>
        </w:tc>
        <w:tc>
          <w:tcPr>
            <w:tcW w:type="dxa" w:w="2160"/>
          </w:tcPr>
          <w:p>
            <w:r>
              <w:t>CatBoost</w:t>
            </w:r>
          </w:p>
        </w:tc>
        <w:tc>
          <w:tcPr>
            <w:tcW w:type="dxa" w:w="2160"/>
          </w:tcPr>
          <w:p>
            <w:r>
              <w:t>0.72 (0.66–0.77)</w:t>
            </w:r>
          </w:p>
        </w:tc>
        <w:tc>
          <w:tcPr>
            <w:tcW w:type="dxa" w:w="2160"/>
          </w:tcPr>
          <w:p>
            <w:r>
              <w:t>0.175</w:t>
            </w:r>
          </w:p>
        </w:tc>
      </w:tr>
      <w:tr>
        <w:tc>
          <w:tcPr>
            <w:tcW w:type="dxa" w:w="2160"/>
          </w:tcPr>
          <w:p>
            <w:r>
              <w:t>B</w:t>
            </w:r>
          </w:p>
        </w:tc>
        <w:tc>
          <w:tcPr>
            <w:tcW w:type="dxa" w:w="2160"/>
          </w:tcPr>
          <w:p>
            <w:r>
              <w:t>SVM</w:t>
            </w:r>
          </w:p>
        </w:tc>
        <w:tc>
          <w:tcPr>
            <w:tcW w:type="dxa" w:w="2160"/>
          </w:tcPr>
          <w:p>
            <w:r>
              <w:t>0.70 (0.65–0.75)</w:t>
            </w:r>
          </w:p>
        </w:tc>
        <w:tc>
          <w:tcPr>
            <w:tcW w:type="dxa" w:w="2160"/>
          </w:tcPr>
          <w:p>
            <w:r>
              <w:t>0.124</w:t>
            </w:r>
          </w:p>
        </w:tc>
      </w:tr>
      <w:tr>
        <w:tc>
          <w:tcPr>
            <w:tcW w:type="dxa" w:w="2160"/>
          </w:tcPr>
          <w:p>
            <w:r>
              <w:t>C</w:t>
            </w:r>
          </w:p>
        </w:tc>
        <w:tc>
          <w:tcPr>
            <w:tcW w:type="dxa" w:w="2160"/>
          </w:tcPr>
          <w:p>
            <w:r>
              <w:t>LR</w:t>
            </w:r>
          </w:p>
        </w:tc>
        <w:tc>
          <w:tcPr>
            <w:tcW w:type="dxa" w:w="2160"/>
          </w:tcPr>
          <w:p>
            <w:r>
              <w:t>0.62 (0.55–0.68)</w:t>
            </w:r>
          </w:p>
        </w:tc>
        <w:tc>
          <w:tcPr>
            <w:tcW w:type="dxa" w:w="2160"/>
          </w:tcPr>
          <w:p>
            <w:r>
              <w:t>0.230</w:t>
            </w:r>
          </w:p>
        </w:tc>
      </w:tr>
    </w:tbl>
    <w:p/>
    <w:p>
      <w:pPr>
        <w:pStyle w:val="Heading1"/>
      </w:pPr>
      <w:r>
        <w:t>Table 3. Subgroup CATE (mean causal effect of exercise)</w:t>
      </w:r>
    </w:p>
    <w:tbl>
      <w:tblPr>
        <w:tblStyle w:val="TableGrid"/>
        <w:tblW w:type="auto" w:w="0"/>
        <w:tblLook w:firstColumn="1" w:firstRow="1" w:lastColumn="0" w:lastRow="0" w:noHBand="0" w:noVBand="1" w:val="04A0"/>
      </w:tblPr>
      <w:tblGrid>
        <w:gridCol w:w="2880"/>
        <w:gridCol w:w="2880"/>
        <w:gridCol w:w="2880"/>
      </w:tblGrid>
      <w:tr>
        <w:tc>
          <w:tcPr>
            <w:tcW w:type="dxa" w:w="2880"/>
          </w:tcPr>
          <w:p>
            <w:r>
              <w:t>Subgroup</w:t>
            </w:r>
          </w:p>
        </w:tc>
        <w:tc>
          <w:tcPr>
            <w:tcW w:type="dxa" w:w="2880"/>
          </w:tcPr>
          <w:p>
            <w:r>
              <w:t>Axis B</w:t>
            </w:r>
          </w:p>
        </w:tc>
        <w:tc>
          <w:tcPr>
            <w:tcW w:type="dxa" w:w="2880"/>
          </w:tcPr>
          <w:p>
            <w:r>
              <w:t>Axis C</w:t>
            </w:r>
          </w:p>
        </w:tc>
      </w:tr>
      <w:tr>
        <w:tc>
          <w:tcPr>
            <w:tcW w:type="dxa" w:w="2880"/>
          </w:tcPr>
          <w:p>
            <w:r>
              <w:t>----------</w:t>
            </w:r>
          </w:p>
        </w:tc>
        <w:tc>
          <w:tcPr>
            <w:tcW w:type="dxa" w:w="2880"/>
          </w:tcPr>
          <w:p>
            <w:r>
              <w:t>--------</w:t>
            </w:r>
          </w:p>
        </w:tc>
        <w:tc>
          <w:tcPr>
            <w:tcW w:type="dxa" w:w="2880"/>
          </w:tcPr>
          <w:p>
            <w:r>
              <w:t>--------</w:t>
            </w:r>
          </w:p>
        </w:tc>
      </w:tr>
      <w:tr>
        <w:tc>
          <w:tcPr>
            <w:tcW w:type="dxa" w:w="2880"/>
          </w:tcPr>
          <w:p>
            <w:r>
              <w:t>Urban</w:t>
            </w:r>
          </w:p>
        </w:tc>
        <w:tc>
          <w:tcPr>
            <w:tcW w:type="dxa" w:w="2880"/>
          </w:tcPr>
          <w:p>
            <w:r>
              <w:t>−0.010</w:t>
            </w:r>
          </w:p>
        </w:tc>
        <w:tc>
          <w:tcPr>
            <w:tcW w:type="dxa" w:w="2880"/>
          </w:tcPr>
          <w:p>
            <w:r>
              <w:t>+0.018</w:t>
            </w:r>
          </w:p>
        </w:tc>
      </w:tr>
      <w:tr>
        <w:tc>
          <w:tcPr>
            <w:tcW w:type="dxa" w:w="2880"/>
          </w:tcPr>
          <w:p>
            <w:r>
              <w:t>Rural</w:t>
            </w:r>
          </w:p>
        </w:tc>
        <w:tc>
          <w:tcPr>
            <w:tcW w:type="dxa" w:w="2880"/>
          </w:tcPr>
          <w:p>
            <w:r>
              <w:t>−0.014</w:t>
            </w:r>
          </w:p>
        </w:tc>
        <w:tc>
          <w:tcPr>
            <w:tcW w:type="dxa" w:w="2880"/>
          </w:tcPr>
          <w:p>
            <w:r>
              <w:t>+0.001</w:t>
            </w:r>
          </w:p>
        </w:tc>
      </w:tr>
      <w:tr>
        <w:tc>
          <w:tcPr>
            <w:tcW w:type="dxa" w:w="2880"/>
          </w:tcPr>
          <w:p>
            <w:r>
              <w:t>Age &lt;65</w:t>
            </w:r>
          </w:p>
        </w:tc>
        <w:tc>
          <w:tcPr>
            <w:tcW w:type="dxa" w:w="2880"/>
          </w:tcPr>
          <w:p>
            <w:r>
              <w:t>+0.001</w:t>
            </w:r>
          </w:p>
        </w:tc>
        <w:tc>
          <w:tcPr>
            <w:tcW w:type="dxa" w:w="2880"/>
          </w:tcPr>
          <w:p>
            <w:r>
              <w:t>−0.006</w:t>
            </w:r>
          </w:p>
        </w:tc>
      </w:tr>
      <w:tr>
        <w:tc>
          <w:tcPr>
            <w:tcW w:type="dxa" w:w="2880"/>
          </w:tcPr>
          <w:p>
            <w:r>
              <w:t>Age 65–75</w:t>
            </w:r>
          </w:p>
        </w:tc>
        <w:tc>
          <w:tcPr>
            <w:tcW w:type="dxa" w:w="2880"/>
          </w:tcPr>
          <w:p>
            <w:r>
              <w:t>−0.026</w:t>
            </w:r>
          </w:p>
        </w:tc>
        <w:tc>
          <w:tcPr>
            <w:tcW w:type="dxa" w:w="2880"/>
          </w:tcPr>
          <w:p>
            <w:r>
              <w:t>+0.018</w:t>
            </w:r>
          </w:p>
        </w:tc>
      </w:tr>
      <w:tr>
        <w:tc>
          <w:tcPr>
            <w:tcW w:type="dxa" w:w="2880"/>
          </w:tcPr>
          <w:p>
            <w:r>
              <w:t>Age 75+</w:t>
            </w:r>
          </w:p>
        </w:tc>
        <w:tc>
          <w:tcPr>
            <w:tcW w:type="dxa" w:w="2880"/>
          </w:tcPr>
          <w:p>
            <w:r>
              <w:t>−0.033</w:t>
            </w:r>
          </w:p>
        </w:tc>
        <w:tc>
          <w:tcPr>
            <w:tcW w:type="dxa" w:w="2880"/>
          </w:tcPr>
          <w:p>
            <w:r>
              <w:t>+0.011</w:t>
            </w:r>
          </w:p>
        </w:tc>
      </w:tr>
      <w:tr>
        <w:tc>
          <w:tcPr>
            <w:tcW w:type="dxa" w:w="2880"/>
          </w:tcPr>
          <w:p>
            <w:r>
              <w:t>Female</w:t>
            </w:r>
          </w:p>
        </w:tc>
        <w:tc>
          <w:tcPr>
            <w:tcW w:type="dxa" w:w="2880"/>
          </w:tcPr>
          <w:p>
            <w:r>
              <w:t>−0.002</w:t>
            </w:r>
          </w:p>
        </w:tc>
        <w:tc>
          <w:tcPr>
            <w:tcW w:type="dxa" w:w="2880"/>
          </w:tcPr>
          <w:p>
            <w:r>
              <w:t>+0.014</w:t>
            </w:r>
          </w:p>
        </w:tc>
      </w:tr>
      <w:tr>
        <w:tc>
          <w:tcPr>
            <w:tcW w:type="dxa" w:w="2880"/>
          </w:tcPr>
          <w:p>
            <w:r>
              <w:t>Male</w:t>
            </w:r>
          </w:p>
        </w:tc>
        <w:tc>
          <w:tcPr>
            <w:tcW w:type="dxa" w:w="2880"/>
          </w:tcPr>
          <w:p>
            <w:r>
              <w:t>−0.021</w:t>
            </w:r>
          </w:p>
        </w:tc>
        <w:tc>
          <w:tcPr>
            <w:tcW w:type="dxa" w:w="2880"/>
          </w:tcPr>
          <w:p>
            <w:r>
              <w:t>0.000</w:t>
            </w:r>
          </w:p>
        </w:tc>
      </w:tr>
    </w:tbl>
    <w:p/>
    <w:p>
      <w:r>
        <w:rPr>
          <w:i/>
        </w:rPr>
        <w:t>CATE = conditional average treatment effect (risk difference).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