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00"/>
        <w:jc w:val="center"/>
      </w:pPr>
      <w:r>
        <w:rPr>
          <w:b/>
          <w:bCs/>
          <w:color w:val="0E4D75"/>
          <w:sz w:val="64"/>
          <w:szCs w:val="64"/>
        </w:rPr>
        <w:t xml:space="preserve">THE THIRSTY AI PROJECT</w:t>
      </w:r>
    </w:p>
    <w:p>
      <w:pPr>
        <w:spacing w:after="300"/>
        <w:jc w:val="center"/>
      </w:pPr>
      <w:r>
        <w:rPr>
          <w:i/>
          <w:iCs/>
          <w:color w:val="595959"/>
          <w:sz w:val="28"/>
          <w:szCs w:val="28"/>
        </w:rPr>
        <w:t xml:space="preserve">A macOS menu-bar app that tracks the water footprint of your AI usage — and challenges you to out-drink your AI</w:t>
      </w:r>
    </w:p>
    <w:p>
      <w:pPr>
        <w:spacing w:after="120"/>
        <w:jc w:val="center"/>
      </w:pPr>
      <w:r>
        <w:rPr>
          <w:b/>
          <w:bCs/>
          <w:sz w:val="26"/>
          <w:szCs w:val="26"/>
        </w:rPr>
        <w:t xml:space="preserve">Deep Research Report &amp; Project Blueprint</w:t>
      </w:r>
    </w:p>
    <w:p>
      <w:pPr>
        <w:jc w:val="center"/>
      </w:pPr>
      <w:r>
        <w:rPr>
          <w:color w:val="595959"/>
          <w:sz w:val="22"/>
          <w:szCs w:val="22"/>
        </w:rPr>
        <w:t xml:space="preserve">Prepared for Harsh  •  July 17, 2026</w:t>
      </w:r>
    </w:p>
    <w:p>
      <w:r>
        <w:br w:type="page"/>
      </w:r>
    </w:p>
    <w:p>
      <w:pPr>
        <w:pStyle w:val="Heading1"/>
        <w:spacing w:after="160" w:before="360"/>
      </w:pPr>
      <w:r>
        <w:t xml:space="preserve">1. Executive Summary</w:t>
      </w:r>
    </w:p>
    <w:p>
      <w:pPr>
        <w:spacing w:after="140" w:line="276"/>
        <w:jc w:val="both"/>
      </w:pPr>
      <w:r>
        <w:t xml:space="preserve">This report is the research foundation for a free, open-source macOS menu-bar app with a simple, powerful premise: every time you use AI, a data center somewhere “drinks” water to cool the machines answering you and to generate the electricity powering them. The app makes that invisible water visible, turns it into a friendly competition (“your AI drank 340 ml today — have you kept up?”), and nudges you to drink water yourself. It does not tell anyone to stop using AI. It asks them to use it consciously, and to hydrate while they do.</w:t>
      </w:r>
    </w:p>
    <w:p>
      <w:pPr>
        <w:spacing w:after="140" w:line="276"/>
        <w:jc w:val="both"/>
      </w:pPr>
      <w:r>
        <w:t xml:space="preserve">The research below confirms four things. First, the science is real but nuanced: a typical ChatGPT-class query consumes roughly 0.3 ml of water on-site, but 2–10+ ml once you count the water used to generate the electricity behind it — and reasoning models can consume 30–70 times more than standard ones. Any honest app must present ranges and be transparent about methodology. Second, tracking is technically feasible today through a tiered architecture: API usage endpoints (exact), a companion browser extension for chatgpt.com and claude.ai (near-exact), local log parsing for tools like Claude Code (exact), and time-in-app estimation as a fallback (rough). Third, the cause is timely and news-worthy: from Georgia residents' wells running dry near Meta's data center, to Google's $15 billion Visakhapatnam AI hub in one of Andhra Pradesh's most groundwater-stressed districts, the AI-water story is one of the most covered environmental topics of 2025–2026. Fourth, and most important for you: nothing like this exists. Hydration apps ignore AI; AI footprint calculators ignore the human. The fusion — personal hydration gamified against your personal AI water footprint — is an open niche.</w:t>
      </w:r>
    </w:p>
    <w:p>
      <w:pPr>
        <w:spacing w:after="140" w:line="276"/>
        <w:jc w:val="both"/>
      </w:pPr>
      <w:r>
        <w:t xml:space="preserve">Recommended path: build an open-source Swift menu-bar app + browser extension, ship with a transparent low/mid/high estimation methodology, launch as a mission-driven project under fiscal sponsorship (Open Source Collective), fund via donations and grants (Mozilla's AI &amp; Environmental Justice awards are a near-perfect fit), and keep a future B2B door open: ESG dashboards that let companies measure the water footprint of their teams' AI usage.</w:t>
      </w:r>
    </w:p>
    <w:p>
      <w:pPr>
        <w:pStyle w:val="Heading1"/>
        <w:spacing w:after="160" w:before="360"/>
      </w:pPr>
      <w:r>
        <w:t xml:space="preserve">2. The Idea, Sharpened</w:t>
      </w:r>
    </w:p>
    <w:p>
      <w:pPr>
        <w:spacing w:after="140" w:line="276"/>
        <w:jc w:val="both"/>
      </w:pPr>
      <w:r>
        <w:t xml:space="preserve">Your instinct — “AI drinks more water than me” — is exactly the right emotional hook. The app should be built around one core loop:</w:t>
      </w:r>
    </w:p>
    <w:p>
      <w:pPr>
        <w:pStyle w:val="ListParagraph"/>
        <w:numPr>
          <w:ilvl w:val="0"/>
          <w:numId w:val="2"/>
        </w:numPr>
        <w:spacing w:after="80" w:line="276"/>
      </w:pPr>
      <w:r>
        <w:rPr>
          <w:b/>
          <w:bCs/>
        </w:rPr>
        <w:t xml:space="preserve">See: </w:t>
      </w:r>
      <w:r>
        <w:t xml:space="preserve">a small droplet icon in the menu bar shows, live, how much water your AI usage has consumed today — computed from your actual connected sources.</w:t>
      </w:r>
    </w:p>
    <w:p>
      <w:pPr>
        <w:pStyle w:val="ListParagraph"/>
        <w:numPr>
          <w:ilvl w:val="0"/>
          <w:numId w:val="2"/>
        </w:numPr>
        <w:spacing w:after="80" w:line="276"/>
      </w:pPr>
      <w:r>
        <w:rPr>
          <w:b/>
          <w:bCs/>
        </w:rPr>
        <w:t xml:space="preserve">Compete: </w:t>
      </w:r>
      <w:r>
        <w:t xml:space="preserve">your own water intake (logged with one click or a keyboard shortcut) races against your AI's consumption on the same progress bar. If your AI is “winning,” you get a gentle nudge: “Your AI is 200 ml ahead. Catch up?”</w:t>
      </w:r>
    </w:p>
    <w:p>
      <w:pPr>
        <w:pStyle w:val="ListParagraph"/>
        <w:numPr>
          <w:ilvl w:val="0"/>
          <w:numId w:val="2"/>
        </w:numPr>
        <w:spacing w:after="80" w:line="276"/>
      </w:pPr>
      <w:r>
        <w:rPr>
          <w:b/>
          <w:bCs/>
        </w:rPr>
        <w:t xml:space="preserve">Reflect: </w:t>
      </w:r>
      <w:r>
        <w:t xml:space="preserve">weekly and yearly “AI Water Wrapped” cards — shareable, screenshot-friendly — show your footprint, your hydration streak, and how your usage compares to relatable things (cups, bottles, a shower).</w:t>
      </w:r>
    </w:p>
    <w:p>
      <w:pPr>
        <w:pStyle w:val="ListParagraph"/>
        <w:numPr>
          <w:ilvl w:val="0"/>
          <w:numId w:val="2"/>
        </w:numPr>
        <w:spacing w:after="80" w:line="276"/>
      </w:pPr>
      <w:r>
        <w:rPr>
          <w:b/>
          <w:bCs/>
        </w:rPr>
        <w:t xml:space="preserve">Contribute: </w:t>
      </w:r>
      <w:r>
        <w:t xml:space="preserve">optional tie-in with water charities: users can pledge a donation per liter their AI “drinks,” turning awareness into real-world impact.</w:t>
      </w:r>
    </w:p>
    <w:p>
      <w:pPr>
        <w:spacing w:after="140" w:line="276"/>
        <w:jc w:val="both"/>
      </w:pPr>
      <w:r>
        <w:t xml:space="preserve">The framing must stay playful and non-guilt-based. The message is not “AI is evil” — it is “you are part of a giant system; here is your slice of it, measured honestly; now drink some water, you're dehydrated.” That dual-care framing (care for yourself + care for the planet) is what makes this different from every alarmist calculator and every ordinary hydration reminder.</w:t>
      </w:r>
    </w:p>
    <w:p>
      <w:pPr>
        <w:pStyle w:val="Heading1"/>
        <w:spacing w:after="160" w:before="360"/>
      </w:pPr>
      <w:r>
        <w:t xml:space="preserve">3. The Science: How Much Water Does AI Actually Drink?</w:t>
      </w:r>
    </w:p>
    <w:p>
      <w:pPr>
        <w:pStyle w:val="Heading2"/>
        <w:spacing w:after="120" w:before="280"/>
      </w:pPr>
      <w:r>
        <w:t xml:space="preserve">3.1 The headline numbers, and why they disagree</w:t>
      </w:r>
    </w:p>
    <w:p>
      <w:pPr>
        <w:spacing w:after="140" w:line="276"/>
        <w:jc w:val="both"/>
      </w:pPr>
      <w:r>
        <w:t xml:space="preserve">Published per-query water figures span two orders of magnitude — from 0.26 ml to 25 ml — and the difference is almost entirely about scope, not measurement error. There are three scopes of water use: Scope 1 is water evaporated on-site in data center cooling towers; Scope 2 is water consumed off-site by the power plants generating the electricity; Scope 3 is water embedded in chip manufacturing and construction. Company disclosures typically report only Scope 1, which represents just 10–15% of the total footprint. Electricity generation (Scope 2) accounts for roughly 70–85% of it.</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1700"/>
        <w:gridCol w:w="3760"/>
      </w:tblGrid>
      <w:tr>
        <w:trPr>
          <w:tblHeader/>
        </w:trPr>
        <w:tc>
          <w:tcPr>
            <w:tcW w:type="dxa" w:w="2600"/>
            <w:shd w:fill="1F6FB2" w:val="clear"/>
            <w:tcMar>
              <w:top w:type="dxa" w:w="80"/>
              <w:left w:type="dxa" w:w="100"/>
              <w:bottom w:type="dxa" w:w="80"/>
              <w:right w:type="dxa" w:w="100"/>
            </w:tcMar>
          </w:tcPr>
          <w:p>
            <w:r>
              <w:rPr>
                <w:b/>
                <w:bCs/>
                <w:color w:val="FFFFFF"/>
                <w:sz w:val="20"/>
                <w:szCs w:val="20"/>
              </w:rPr>
              <w:t xml:space="preserve">Source (year)</w:t>
            </w:r>
          </w:p>
        </w:tc>
        <w:tc>
          <w:tcPr>
            <w:tcW w:type="dxa" w:w="2300"/>
            <w:shd w:fill="1F6FB2" w:val="clear"/>
            <w:tcMar>
              <w:top w:type="dxa" w:w="80"/>
              <w:left w:type="dxa" w:w="100"/>
              <w:bottom w:type="dxa" w:w="80"/>
              <w:right w:type="dxa" w:w="100"/>
            </w:tcMar>
          </w:tcPr>
          <w:p>
            <w:r>
              <w:rPr>
                <w:b/>
                <w:bCs/>
                <w:color w:val="FFFFFF"/>
                <w:sz w:val="20"/>
                <w:szCs w:val="20"/>
              </w:rPr>
              <w:t xml:space="preserve">Figure</w:t>
            </w:r>
          </w:p>
        </w:tc>
        <w:tc>
          <w:tcPr>
            <w:tcW w:type="dxa" w:w="1700"/>
            <w:shd w:fill="1F6FB2" w:val="clear"/>
            <w:tcMar>
              <w:top w:type="dxa" w:w="80"/>
              <w:left w:type="dxa" w:w="100"/>
              <w:bottom w:type="dxa" w:w="80"/>
              <w:right w:type="dxa" w:w="100"/>
            </w:tcMar>
          </w:tcPr>
          <w:p>
            <w:r>
              <w:rPr>
                <w:b/>
                <w:bCs/>
                <w:color w:val="FFFFFF"/>
                <w:sz w:val="20"/>
                <w:szCs w:val="20"/>
              </w:rPr>
              <w:t xml:space="preserve">Scope</w:t>
            </w:r>
          </w:p>
        </w:tc>
        <w:tc>
          <w:tcPr>
            <w:tcW w:type="dxa" w:w="3760"/>
            <w:shd w:fill="1F6FB2" w:val="clear"/>
            <w:tcMar>
              <w:top w:type="dxa" w:w="80"/>
              <w:left w:type="dxa" w:w="100"/>
              <w:bottom w:type="dxa" w:w="80"/>
              <w:right w:type="dxa" w:w="100"/>
            </w:tcMar>
          </w:tcPr>
          <w:p>
            <w:r>
              <w:rPr>
                <w:b/>
                <w:bCs/>
                <w:color w:val="FFFFFF"/>
                <w:sz w:val="20"/>
                <w:szCs w:val="20"/>
              </w:rPr>
              <w:t xml:space="preserve">Notes</w:t>
            </w:r>
          </w:p>
        </w:tc>
      </w:tr>
      <w:tr>
        <w:tc>
          <w:tcPr>
            <w:tcW w:type="dxa" w:w="2600"/>
            <w:shd w:fill="FFFFFF" w:val="clear"/>
            <w:tcMar>
              <w:top w:type="dxa" w:w="60"/>
              <w:left w:type="dxa" w:w="100"/>
              <w:bottom w:type="dxa" w:w="60"/>
              <w:right w:type="dxa" w:w="100"/>
            </w:tcMar>
          </w:tcPr>
          <w:p>
            <w:r>
              <w:rPr>
                <w:sz w:val="20"/>
                <w:szCs w:val="20"/>
              </w:rPr>
              <w:t xml:space="preserve">Sam Altman / OpenAI (2025)</w:t>
            </w:r>
          </w:p>
        </w:tc>
        <w:tc>
          <w:tcPr>
            <w:tcW w:type="dxa" w:w="2300"/>
            <w:shd w:fill="FFFFFF" w:val="clear"/>
            <w:tcMar>
              <w:top w:type="dxa" w:w="60"/>
              <w:left w:type="dxa" w:w="100"/>
              <w:bottom w:type="dxa" w:w="60"/>
              <w:right w:type="dxa" w:w="100"/>
            </w:tcMar>
          </w:tcPr>
          <w:p>
            <w:r>
              <w:rPr>
                <w:sz w:val="20"/>
                <w:szCs w:val="20"/>
              </w:rPr>
              <w:t xml:space="preserve">0.32 ml per ChatGPT query</w:t>
            </w:r>
          </w:p>
        </w:tc>
        <w:tc>
          <w:tcPr>
            <w:tcW w:type="dxa" w:w="1700"/>
            <w:shd w:fill="FFFFFF" w:val="clear"/>
            <w:tcMar>
              <w:top w:type="dxa" w:w="60"/>
              <w:left w:type="dxa" w:w="100"/>
              <w:bottom w:type="dxa" w:w="60"/>
              <w:right w:type="dxa" w:w="100"/>
            </w:tcMar>
          </w:tcPr>
          <w:p>
            <w:r>
              <w:rPr>
                <w:sz w:val="20"/>
                <w:szCs w:val="20"/>
              </w:rPr>
              <w:t xml:space="preserve">Scope 1 only</w:t>
            </w:r>
          </w:p>
        </w:tc>
        <w:tc>
          <w:tcPr>
            <w:tcW w:type="dxa" w:w="3760"/>
            <w:shd w:fill="FFFFFF" w:val="clear"/>
            <w:tcMar>
              <w:top w:type="dxa" w:w="60"/>
              <w:left w:type="dxa" w:w="100"/>
              <w:bottom w:type="dxa" w:w="60"/>
              <w:right w:type="dxa" w:w="100"/>
            </w:tcMar>
          </w:tcPr>
          <w:p>
            <w:r>
              <w:rPr>
                <w:sz w:val="20"/>
                <w:szCs w:val="20"/>
              </w:rPr>
              <w:t xml:space="preserve">≈0.34 Wh energy per average query; excludes electricity water</w:t>
            </w:r>
          </w:p>
        </w:tc>
      </w:tr>
      <w:tr>
        <w:tc>
          <w:tcPr>
            <w:tcW w:type="dxa" w:w="2600"/>
            <w:shd w:fill="E8F2FA" w:val="clear"/>
            <w:tcMar>
              <w:top w:type="dxa" w:w="60"/>
              <w:left w:type="dxa" w:w="100"/>
              <w:bottom w:type="dxa" w:w="60"/>
              <w:right w:type="dxa" w:w="100"/>
            </w:tcMar>
          </w:tcPr>
          <w:p>
            <w:r>
              <w:rPr>
                <w:sz w:val="20"/>
                <w:szCs w:val="20"/>
              </w:rPr>
              <w:t xml:space="preserve">Google Gemini env. report (2025)</w:t>
            </w:r>
          </w:p>
        </w:tc>
        <w:tc>
          <w:tcPr>
            <w:tcW w:type="dxa" w:w="2300"/>
            <w:shd w:fill="E8F2FA" w:val="clear"/>
            <w:tcMar>
              <w:top w:type="dxa" w:w="60"/>
              <w:left w:type="dxa" w:w="100"/>
              <w:bottom w:type="dxa" w:w="60"/>
              <w:right w:type="dxa" w:w="100"/>
            </w:tcMar>
          </w:tcPr>
          <w:p>
            <w:r>
              <w:rPr>
                <w:sz w:val="20"/>
                <w:szCs w:val="20"/>
              </w:rPr>
              <w:t xml:space="preserve">0.26 ml per median text prompt</w:t>
            </w:r>
          </w:p>
        </w:tc>
        <w:tc>
          <w:tcPr>
            <w:tcW w:type="dxa" w:w="1700"/>
            <w:shd w:fill="E8F2FA" w:val="clear"/>
            <w:tcMar>
              <w:top w:type="dxa" w:w="60"/>
              <w:left w:type="dxa" w:w="100"/>
              <w:bottom w:type="dxa" w:w="60"/>
              <w:right w:type="dxa" w:w="100"/>
            </w:tcMar>
          </w:tcPr>
          <w:p>
            <w:r>
              <w:rPr>
                <w:sz w:val="20"/>
                <w:szCs w:val="20"/>
              </w:rPr>
              <w:t xml:space="preserve">Scope 1 only</w:t>
            </w:r>
          </w:p>
        </w:tc>
        <w:tc>
          <w:tcPr>
            <w:tcW w:type="dxa" w:w="3760"/>
            <w:shd w:fill="E8F2FA" w:val="clear"/>
            <w:tcMar>
              <w:top w:type="dxa" w:w="60"/>
              <w:left w:type="dxa" w:w="100"/>
              <w:bottom w:type="dxa" w:w="60"/>
              <w:right w:type="dxa" w:w="100"/>
            </w:tcMar>
          </w:tcPr>
          <w:p>
            <w:r>
              <w:rPr>
                <w:sz w:val="20"/>
                <w:szCs w:val="20"/>
              </w:rPr>
              <w:t xml:space="preserve">0.24 Wh per median prompt; 260 L per million queries</w:t>
            </w:r>
          </w:p>
        </w:tc>
      </w:tr>
      <w:tr>
        <w:tc>
          <w:tcPr>
            <w:tcW w:type="dxa" w:w="2600"/>
            <w:shd w:fill="FFFFFF" w:val="clear"/>
            <w:tcMar>
              <w:top w:type="dxa" w:w="60"/>
              <w:left w:type="dxa" w:w="100"/>
              <w:bottom w:type="dxa" w:w="60"/>
              <w:right w:type="dxa" w:w="100"/>
            </w:tcMar>
          </w:tcPr>
          <w:p>
            <w:r>
              <w:rPr>
                <w:sz w:val="20"/>
                <w:szCs w:val="20"/>
              </w:rPr>
              <w:t xml:space="preserve">UC Riverside / Shaolei Ren (2023–2025)</w:t>
            </w:r>
          </w:p>
        </w:tc>
        <w:tc>
          <w:tcPr>
            <w:tcW w:type="dxa" w:w="2300"/>
            <w:shd w:fill="FFFFFF" w:val="clear"/>
            <w:tcMar>
              <w:top w:type="dxa" w:w="60"/>
              <w:left w:type="dxa" w:w="100"/>
              <w:bottom w:type="dxa" w:w="60"/>
              <w:right w:type="dxa" w:w="100"/>
            </w:tcMar>
          </w:tcPr>
          <w:p>
            <w:r>
              <w:rPr>
                <w:sz w:val="20"/>
                <w:szCs w:val="20"/>
              </w:rPr>
              <w:t xml:space="preserve">5–25 ml per query</w:t>
            </w:r>
          </w:p>
        </w:tc>
        <w:tc>
          <w:tcPr>
            <w:tcW w:type="dxa" w:w="1700"/>
            <w:shd w:fill="FFFFFF" w:val="clear"/>
            <w:tcMar>
              <w:top w:type="dxa" w:w="60"/>
              <w:left w:type="dxa" w:w="100"/>
              <w:bottom w:type="dxa" w:w="60"/>
              <w:right w:type="dxa" w:w="100"/>
            </w:tcMar>
          </w:tcPr>
          <w:p>
            <w:r>
              <w:rPr>
                <w:sz w:val="20"/>
                <w:szCs w:val="20"/>
              </w:rPr>
              <w:t xml:space="preserve">Scope 1 + 2</w:t>
            </w:r>
          </w:p>
        </w:tc>
        <w:tc>
          <w:tcPr>
            <w:tcW w:type="dxa" w:w="3760"/>
            <w:shd w:fill="FFFFFF" w:val="clear"/>
            <w:tcMar>
              <w:top w:type="dxa" w:w="60"/>
              <w:left w:type="dxa" w:w="100"/>
              <w:bottom w:type="dxa" w:w="60"/>
              <w:right w:type="dxa" w:w="100"/>
            </w:tcMar>
          </w:tcPr>
          <w:p>
            <w:r>
              <w:rPr>
                <w:sz w:val="20"/>
                <w:szCs w:val="20"/>
              </w:rPr>
              <w:t xml:space="preserve">The famous “500 ml per 10–50 responses” paper; GPT-3 training ≈ 700,000 L direct</w:t>
            </w:r>
          </w:p>
        </w:tc>
      </w:tr>
      <w:tr>
        <w:tc>
          <w:tcPr>
            <w:tcW w:type="dxa" w:w="2600"/>
            <w:shd w:fill="E8F2FA" w:val="clear"/>
            <w:tcMar>
              <w:top w:type="dxa" w:w="60"/>
              <w:left w:type="dxa" w:w="100"/>
              <w:bottom w:type="dxa" w:w="60"/>
              <w:right w:type="dxa" w:w="100"/>
            </w:tcMar>
          </w:tcPr>
          <w:p>
            <w:r>
              <w:rPr>
                <w:sz w:val="20"/>
                <w:szCs w:val="20"/>
              </w:rPr>
              <w:t xml:space="preserve">Mistral Large 2 LCA (2025)</w:t>
            </w:r>
          </w:p>
        </w:tc>
        <w:tc>
          <w:tcPr>
            <w:tcW w:type="dxa" w:w="2300"/>
            <w:shd w:fill="E8F2FA" w:val="clear"/>
            <w:tcMar>
              <w:top w:type="dxa" w:w="60"/>
              <w:left w:type="dxa" w:w="100"/>
              <w:bottom w:type="dxa" w:w="60"/>
              <w:right w:type="dxa" w:w="100"/>
            </w:tcMar>
          </w:tcPr>
          <w:p>
            <w:r>
              <w:rPr>
                <w:sz w:val="20"/>
                <w:szCs w:val="20"/>
              </w:rPr>
              <w:t xml:space="preserve">≈45 ml per 400-token prompt</w:t>
            </w:r>
          </w:p>
        </w:tc>
        <w:tc>
          <w:tcPr>
            <w:tcW w:type="dxa" w:w="1700"/>
            <w:shd w:fill="E8F2FA" w:val="clear"/>
            <w:tcMar>
              <w:top w:type="dxa" w:w="60"/>
              <w:left w:type="dxa" w:w="100"/>
              <w:bottom w:type="dxa" w:w="60"/>
              <w:right w:type="dxa" w:w="100"/>
            </w:tcMar>
          </w:tcPr>
          <w:p>
            <w:r>
              <w:rPr>
                <w:sz w:val="20"/>
                <w:szCs w:val="20"/>
              </w:rPr>
              <w:t xml:space="preserve">Full lifecycle</w:t>
            </w:r>
          </w:p>
        </w:tc>
        <w:tc>
          <w:tcPr>
            <w:tcW w:type="dxa" w:w="3760"/>
            <w:shd w:fill="E8F2FA" w:val="clear"/>
            <w:tcMar>
              <w:top w:type="dxa" w:w="60"/>
              <w:left w:type="dxa" w:w="100"/>
              <w:bottom w:type="dxa" w:w="60"/>
              <w:right w:type="dxa" w:w="100"/>
            </w:tcMar>
          </w:tcPr>
          <w:p>
            <w:r>
              <w:rPr>
                <w:sz w:val="20"/>
                <w:szCs w:val="20"/>
              </w:rPr>
              <w:t xml:space="preserve">First full lifecycle analysis by a major lab (≈0.11 ml/token)</w:t>
            </w:r>
          </w:p>
        </w:tc>
      </w:tr>
      <w:tr>
        <w:tc>
          <w:tcPr>
            <w:tcW w:type="dxa" w:w="2600"/>
            <w:shd w:fill="FFFFFF" w:val="clear"/>
            <w:tcMar>
              <w:top w:type="dxa" w:w="60"/>
              <w:left w:type="dxa" w:w="100"/>
              <w:bottom w:type="dxa" w:w="60"/>
              <w:right w:type="dxa" w:w="100"/>
            </w:tcMar>
          </w:tcPr>
          <w:p>
            <w:r>
              <w:rPr>
                <w:sz w:val="20"/>
                <w:szCs w:val="20"/>
              </w:rPr>
              <w:t xml:space="preserve">“How Hungry is AI?” (arXiv, 2025)</w:t>
            </w:r>
          </w:p>
        </w:tc>
        <w:tc>
          <w:tcPr>
            <w:tcW w:type="dxa" w:w="2300"/>
            <w:shd w:fill="FFFFFF" w:val="clear"/>
            <w:tcMar>
              <w:top w:type="dxa" w:w="60"/>
              <w:left w:type="dxa" w:w="100"/>
              <w:bottom w:type="dxa" w:w="60"/>
              <w:right w:type="dxa" w:w="100"/>
            </w:tcMar>
          </w:tcPr>
          <w:p>
            <w:r>
              <w:rPr>
                <w:sz w:val="20"/>
                <w:szCs w:val="20"/>
              </w:rPr>
              <w:t xml:space="preserve">0.42–0.84 Wh per short query</w:t>
            </w:r>
          </w:p>
        </w:tc>
        <w:tc>
          <w:tcPr>
            <w:tcW w:type="dxa" w:w="1700"/>
            <w:shd w:fill="FFFFFF" w:val="clear"/>
            <w:tcMar>
              <w:top w:type="dxa" w:w="60"/>
              <w:left w:type="dxa" w:w="100"/>
              <w:bottom w:type="dxa" w:w="60"/>
              <w:right w:type="dxa" w:w="100"/>
            </w:tcMar>
          </w:tcPr>
          <w:p>
            <w:r>
              <w:rPr>
                <w:sz w:val="20"/>
                <w:szCs w:val="20"/>
              </w:rPr>
              <w:t xml:space="preserve">Energy benchmark</w:t>
            </w:r>
          </w:p>
        </w:tc>
        <w:tc>
          <w:tcPr>
            <w:tcW w:type="dxa" w:w="3760"/>
            <w:shd w:fill="FFFFFF" w:val="clear"/>
            <w:tcMar>
              <w:top w:type="dxa" w:w="60"/>
              <w:left w:type="dxa" w:w="100"/>
              <w:bottom w:type="dxa" w:w="60"/>
              <w:right w:type="dxa" w:w="100"/>
            </w:tcMar>
          </w:tcPr>
          <w:p>
            <w:r>
              <w:rPr>
                <w:sz w:val="20"/>
                <w:szCs w:val="20"/>
              </w:rPr>
              <w:t xml:space="preserve">30 models benchmarked; reasoning models 33+ Wh per long prompt</w:t>
            </w:r>
          </w:p>
        </w:tc>
      </w:tr>
      <w:tr>
        <w:tc>
          <w:tcPr>
            <w:tcW w:type="dxa" w:w="2600"/>
            <w:shd w:fill="E8F2FA" w:val="clear"/>
            <w:tcMar>
              <w:top w:type="dxa" w:w="60"/>
              <w:left w:type="dxa" w:w="100"/>
              <w:bottom w:type="dxa" w:w="60"/>
              <w:right w:type="dxa" w:w="100"/>
            </w:tcMar>
          </w:tcPr>
          <w:p>
            <w:r>
              <w:rPr>
                <w:sz w:val="20"/>
                <w:szCs w:val="20"/>
              </w:rPr>
              <w:t xml:space="preserve">Anthropic / Claude</w:t>
            </w:r>
          </w:p>
        </w:tc>
        <w:tc>
          <w:tcPr>
            <w:tcW w:type="dxa" w:w="2300"/>
            <w:shd w:fill="E8F2FA" w:val="clear"/>
            <w:tcMar>
              <w:top w:type="dxa" w:w="60"/>
              <w:left w:type="dxa" w:w="100"/>
              <w:bottom w:type="dxa" w:w="60"/>
              <w:right w:type="dxa" w:w="100"/>
            </w:tcMar>
          </w:tcPr>
          <w:p>
            <w:r>
              <w:rPr>
                <w:sz w:val="20"/>
                <w:szCs w:val="20"/>
              </w:rPr>
              <w:t xml:space="preserve">No per-query disclosure</w:t>
            </w:r>
          </w:p>
        </w:tc>
        <w:tc>
          <w:tcPr>
            <w:tcW w:type="dxa" w:w="1700"/>
            <w:shd w:fill="E8F2FA" w:val="clear"/>
            <w:tcMar>
              <w:top w:type="dxa" w:w="60"/>
              <w:left w:type="dxa" w:w="100"/>
              <w:bottom w:type="dxa" w:w="60"/>
              <w:right w:type="dxa" w:w="100"/>
            </w:tcMar>
          </w:tcPr>
          <w:p>
            <w:r>
              <w:rPr>
                <w:sz w:val="20"/>
                <w:szCs w:val="20"/>
              </w:rPr>
              <w:t xml:space="preserve">—</w:t>
            </w:r>
          </w:p>
        </w:tc>
        <w:tc>
          <w:tcPr>
            <w:tcW w:type="dxa" w:w="3760"/>
            <w:shd w:fill="E8F2FA" w:val="clear"/>
            <w:tcMar>
              <w:top w:type="dxa" w:w="60"/>
              <w:left w:type="dxa" w:w="100"/>
              <w:bottom w:type="dxa" w:w="60"/>
              <w:right w:type="dxa" w:w="100"/>
            </w:tcMar>
          </w:tcPr>
          <w:p>
            <w:r>
              <w:rPr>
                <w:sz w:val="20"/>
                <w:szCs w:val="20"/>
              </w:rPr>
              <w:t xml:space="preserve">General efficiency claims only; app must estimate from energy benchmarks</w:t>
            </w:r>
          </w:p>
        </w:tc>
      </w:tr>
    </w:tbl>
    <w:p>
      <w:pPr>
        <w:spacing w:after="120"/>
      </w:pPr>
    </w:p>
    <w:p>
      <w:pPr>
        <w:spacing w:after="140" w:line="276"/>
        <w:jc w:val="both"/>
      </w:pPr>
      <w:r>
        <w:t xml:space="preserve">The honest takeaway: OpenAI's 0.32 ml and Google's 0.26 ml are true but incomplete — they omit the majority of the water footprint that flows through electricity. UC Riverside's 5–25 ml is the more complete picture for a typical US grid. Your app should never present a single number as truth; it should ship three labeled modes.</w:t>
      </w:r>
    </w:p>
    <w:p>
      <w:pPr>
        <w:pStyle w:val="Heading2"/>
        <w:spacing w:after="120" w:before="280"/>
      </w:pPr>
      <w:r>
        <w:t xml:space="preserve">3.2 What makes water-per-query vary</w:t>
      </w:r>
    </w:p>
    <w:p>
      <w:pPr>
        <w:spacing w:after="140" w:line="276"/>
        <w:jc w:val="both"/>
      </w:pPr>
      <w:r>
        <w:t xml:space="preserve">Four factors dominate. Model class: a small model like LLaMA-3.2-1B uses ~0.07 Wh per query while GPT-4o uses ~0.42 Wh, and reasoning models (o3, DeepSeek-R1) can hit 20–33+ Wh — a 70–200× spread. Token count: energy scales roughly linearly with output tokens (input tokens cost about a quarter as much). Media type: a 5-second AI video can consume around 1 kWh and ~4 liters of water — hundreds of image-generations' worth. Location and cooling: evaporative-cooled data centers in hot regions consume 2–5 L/kWh on-site, while modern liquid-cooled facilities are near 0.05–0.2 L/kWh; the water intensity of the electricity grid (EWIF) ranges from ~0.8 to ~9 L/kWh across US regions. Season and time of day matter too — summer afternoon queries in Arizona can carry roughly 3× the on-site water of the same query in winter.</w:t>
      </w:r>
    </w:p>
    <w:p>
      <w:pPr>
        <w:pStyle w:val="Heading2"/>
        <w:spacing w:after="120" w:before="280"/>
      </w:pPr>
      <w:r>
        <w:t xml:space="preserve">3.3 The estimation methodology the app should ship with</w:t>
      </w:r>
    </w:p>
    <w:p>
      <w:pPr>
        <w:spacing w:after="140" w:line="276"/>
        <w:jc w:val="both"/>
      </w:pPr>
      <w:r>
        <w:t xml:space="preserve">Because water is not directly measurable per query, the defensible approach is a two-step formula: estimate energy from tokens, then convert energy to water using published Water Usage Effectiveness (WUE, on-site cooling) and Energy-Water Intensity Factor (EWIF, grid) values:</w:t>
      </w:r>
    </w:p>
    <w:p>
      <w:pPr>
        <w:spacing w:after="60"/>
      </w:pPr>
      <w:r>
        <w:rPr>
          <w:rFonts w:ascii="Courier New" w:cs="Courier New" w:eastAsia="Courier New" w:hAnsi="Courier New"/>
          <w:sz w:val="20"/>
          <w:szCs w:val="20"/>
        </w:rPr>
        <w:t xml:space="preserve">Energy (Wh) ≈ (input_tokens × e_in) + (output_tokens × e_out)   — per-model coefficients</w:t>
      </w:r>
    </w:p>
    <w:p>
      <w:pPr>
        <w:spacing w:after="140"/>
      </w:pPr>
      <w:r>
        <w:rPr>
          <w:rFonts w:ascii="Courier New" w:cs="Courier New" w:eastAsia="Courier New" w:hAnsi="Courier New"/>
          <w:sz w:val="20"/>
          <w:szCs w:val="20"/>
        </w:rPr>
        <w:t xml:space="preserve">Water (ml) ≈ Energy (Wh) × [ WUE + (EWIF × PUE) ] / 1000 × 1000  →  ≈ Energy × water-factor (ml/Wh)</w:t>
      </w:r>
    </w:p>
    <w:p>
      <w:pPr>
        <w:spacing w:after="140" w:line="276"/>
        <w:jc w:val="both"/>
      </w:pPr>
      <w:r>
        <w:t xml:space="preserve">With typical mid-range assumptions (WUE 0.4 L/kWh, EWIF 5 L/kWh, PUE 1.2), this collapses to a simple empirical factor of roughly 1.6 ml of water per Wh. The app ships three modes, always labeled and explained in-app:</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800"/>
        <w:gridCol w:w="1400"/>
        <w:gridCol w:w="1600"/>
        <w:gridCol w:w="2560"/>
      </w:tblGrid>
      <w:tr>
        <w:trPr>
          <w:tblHeader/>
        </w:trPr>
        <w:tc>
          <w:tcPr>
            <w:tcW w:type="dxa" w:w="1700"/>
            <w:shd w:fill="1F6FB2" w:val="clear"/>
            <w:tcMar>
              <w:top w:type="dxa" w:w="80"/>
              <w:left w:type="dxa" w:w="100"/>
              <w:bottom w:type="dxa" w:w="80"/>
              <w:right w:type="dxa" w:w="100"/>
            </w:tcMar>
          </w:tcPr>
          <w:p>
            <w:r>
              <w:rPr>
                <w:b/>
                <w:bCs/>
                <w:color w:val="FFFFFF"/>
                <w:sz w:val="20"/>
                <w:szCs w:val="20"/>
              </w:rPr>
              <w:t xml:space="preserve">Mode</w:t>
            </w:r>
          </w:p>
        </w:tc>
        <w:tc>
          <w:tcPr>
            <w:tcW w:type="dxa" w:w="1300"/>
            <w:shd w:fill="1F6FB2" w:val="clear"/>
            <w:tcMar>
              <w:top w:type="dxa" w:w="80"/>
              <w:left w:type="dxa" w:w="100"/>
              <w:bottom w:type="dxa" w:w="80"/>
              <w:right w:type="dxa" w:w="100"/>
            </w:tcMar>
          </w:tcPr>
          <w:p>
            <w:r>
              <w:rPr>
                <w:b/>
                <w:bCs/>
                <w:color w:val="FFFFFF"/>
                <w:sz w:val="20"/>
                <w:szCs w:val="20"/>
              </w:rPr>
              <w:t xml:space="preserve">Factor</w:t>
            </w:r>
          </w:p>
        </w:tc>
        <w:tc>
          <w:tcPr>
            <w:tcW w:type="dxa" w:w="1800"/>
            <w:shd w:fill="1F6FB2" w:val="clear"/>
            <w:tcMar>
              <w:top w:type="dxa" w:w="80"/>
              <w:left w:type="dxa" w:w="100"/>
              <w:bottom w:type="dxa" w:w="80"/>
              <w:right w:type="dxa" w:w="100"/>
            </w:tcMar>
          </w:tcPr>
          <w:p>
            <w:r>
              <w:rPr>
                <w:b/>
                <w:bCs/>
                <w:color w:val="FFFFFF"/>
                <w:sz w:val="20"/>
                <w:szCs w:val="20"/>
              </w:rPr>
              <w:t xml:space="preserve">ChatGPT-class query</w:t>
            </w:r>
          </w:p>
        </w:tc>
        <w:tc>
          <w:tcPr>
            <w:tcW w:type="dxa" w:w="1400"/>
            <w:shd w:fill="1F6FB2" w:val="clear"/>
            <w:tcMar>
              <w:top w:type="dxa" w:w="80"/>
              <w:left w:type="dxa" w:w="100"/>
              <w:bottom w:type="dxa" w:w="80"/>
              <w:right w:type="dxa" w:w="100"/>
            </w:tcMar>
          </w:tcPr>
          <w:p>
            <w:r>
              <w:rPr>
                <w:b/>
                <w:bCs/>
                <w:color w:val="FFFFFF"/>
                <w:sz w:val="20"/>
                <w:szCs w:val="20"/>
              </w:rPr>
              <w:t xml:space="preserve">Claude query</w:t>
            </w:r>
          </w:p>
        </w:tc>
        <w:tc>
          <w:tcPr>
            <w:tcW w:type="dxa" w:w="1600"/>
            <w:shd w:fill="1F6FB2" w:val="clear"/>
            <w:tcMar>
              <w:top w:type="dxa" w:w="80"/>
              <w:left w:type="dxa" w:w="100"/>
              <w:bottom w:type="dxa" w:w="80"/>
              <w:right w:type="dxa" w:w="100"/>
            </w:tcMar>
          </w:tcPr>
          <w:p>
            <w:r>
              <w:rPr>
                <w:b/>
                <w:bCs/>
                <w:color w:val="FFFFFF"/>
                <w:sz w:val="20"/>
                <w:szCs w:val="20"/>
              </w:rPr>
              <w:t xml:space="preserve">Reasoning query</w:t>
            </w:r>
          </w:p>
        </w:tc>
        <w:tc>
          <w:tcPr>
            <w:tcW w:type="dxa" w:w="2560"/>
            <w:shd w:fill="1F6FB2" w:val="clear"/>
            <w:tcMar>
              <w:top w:type="dxa" w:w="80"/>
              <w:left w:type="dxa" w:w="100"/>
              <w:bottom w:type="dxa" w:w="80"/>
              <w:right w:type="dxa" w:w="100"/>
            </w:tcMar>
          </w:tcPr>
          <w:p>
            <w:r>
              <w:rPr>
                <w:b/>
                <w:bCs/>
                <w:color w:val="FFFFFF"/>
                <w:sz w:val="20"/>
                <w:szCs w:val="20"/>
              </w:rPr>
              <w:t xml:space="preserve">What it counts</w:t>
            </w:r>
          </w:p>
        </w:tc>
      </w:tr>
      <w:tr>
        <w:tc>
          <w:tcPr>
            <w:tcW w:type="dxa" w:w="1700"/>
            <w:shd w:fill="FFFFFF" w:val="clear"/>
            <w:tcMar>
              <w:top w:type="dxa" w:w="60"/>
              <w:left w:type="dxa" w:w="100"/>
              <w:bottom w:type="dxa" w:w="60"/>
              <w:right w:type="dxa" w:w="100"/>
            </w:tcMar>
          </w:tcPr>
          <w:p>
            <w:r>
              <w:rPr>
                <w:sz w:val="20"/>
                <w:szCs w:val="20"/>
              </w:rPr>
              <w:t xml:space="preserve">Conservative</w:t>
            </w:r>
          </w:p>
        </w:tc>
        <w:tc>
          <w:tcPr>
            <w:tcW w:type="dxa" w:w="1300"/>
            <w:shd w:fill="FFFFFF" w:val="clear"/>
            <w:tcMar>
              <w:top w:type="dxa" w:w="60"/>
              <w:left w:type="dxa" w:w="100"/>
              <w:bottom w:type="dxa" w:w="60"/>
              <w:right w:type="dxa" w:w="100"/>
            </w:tcMar>
          </w:tcPr>
          <w:p>
            <w:r>
              <w:rPr>
                <w:sz w:val="20"/>
                <w:szCs w:val="20"/>
              </w:rPr>
              <w:t xml:space="preserve">≈0.6 ml/Wh</w:t>
            </w:r>
          </w:p>
        </w:tc>
        <w:tc>
          <w:tcPr>
            <w:tcW w:type="dxa" w:w="1800"/>
            <w:shd w:fill="FFFFFF" w:val="clear"/>
            <w:tcMar>
              <w:top w:type="dxa" w:w="60"/>
              <w:left w:type="dxa" w:w="100"/>
              <w:bottom w:type="dxa" w:w="60"/>
              <w:right w:type="dxa" w:w="100"/>
            </w:tcMar>
          </w:tcPr>
          <w:p>
            <w:r>
              <w:rPr>
                <w:sz w:val="20"/>
                <w:szCs w:val="20"/>
              </w:rPr>
              <w:t xml:space="preserve">≈0.3 ml</w:t>
            </w:r>
          </w:p>
        </w:tc>
        <w:tc>
          <w:tcPr>
            <w:tcW w:type="dxa" w:w="1400"/>
            <w:shd w:fill="FFFFFF" w:val="clear"/>
            <w:tcMar>
              <w:top w:type="dxa" w:w="60"/>
              <w:left w:type="dxa" w:w="100"/>
              <w:bottom w:type="dxa" w:w="60"/>
              <w:right w:type="dxa" w:w="100"/>
            </w:tcMar>
          </w:tcPr>
          <w:p>
            <w:r>
              <w:rPr>
                <w:sz w:val="20"/>
                <w:szCs w:val="20"/>
              </w:rPr>
              <w:t xml:space="preserve">≈0.5 ml</w:t>
            </w:r>
          </w:p>
        </w:tc>
        <w:tc>
          <w:tcPr>
            <w:tcW w:type="dxa" w:w="1600"/>
            <w:shd w:fill="FFFFFF" w:val="clear"/>
            <w:tcMar>
              <w:top w:type="dxa" w:w="60"/>
              <w:left w:type="dxa" w:w="100"/>
              <w:bottom w:type="dxa" w:w="60"/>
              <w:right w:type="dxa" w:w="100"/>
            </w:tcMar>
          </w:tcPr>
          <w:p>
            <w:r>
              <w:rPr>
                <w:sz w:val="20"/>
                <w:szCs w:val="20"/>
              </w:rPr>
              <w:t xml:space="preserve">≈12 ml</w:t>
            </w:r>
          </w:p>
        </w:tc>
        <w:tc>
          <w:tcPr>
            <w:tcW w:type="dxa" w:w="2560"/>
            <w:shd w:fill="FFFFFF" w:val="clear"/>
            <w:tcMar>
              <w:top w:type="dxa" w:w="60"/>
              <w:left w:type="dxa" w:w="100"/>
              <w:bottom w:type="dxa" w:w="60"/>
              <w:right w:type="dxa" w:w="100"/>
            </w:tcMar>
          </w:tcPr>
          <w:p>
            <w:r>
              <w:rPr>
                <w:sz w:val="20"/>
                <w:szCs w:val="20"/>
              </w:rPr>
              <w:t xml:space="preserve">On-site cooling only (matches vendor claims)</w:t>
            </w:r>
          </w:p>
        </w:tc>
      </w:tr>
      <w:tr>
        <w:tc>
          <w:tcPr>
            <w:tcW w:type="dxa" w:w="1700"/>
            <w:shd w:fill="E8F2FA" w:val="clear"/>
            <w:tcMar>
              <w:top w:type="dxa" w:w="60"/>
              <w:left w:type="dxa" w:w="100"/>
              <w:bottom w:type="dxa" w:w="60"/>
              <w:right w:type="dxa" w:w="100"/>
            </w:tcMar>
          </w:tcPr>
          <w:p>
            <w:r>
              <w:rPr>
                <w:sz w:val="20"/>
                <w:szCs w:val="20"/>
              </w:rPr>
              <w:t xml:space="preserve">Standard (default)</w:t>
            </w:r>
          </w:p>
        </w:tc>
        <w:tc>
          <w:tcPr>
            <w:tcW w:type="dxa" w:w="1300"/>
            <w:shd w:fill="E8F2FA" w:val="clear"/>
            <w:tcMar>
              <w:top w:type="dxa" w:w="60"/>
              <w:left w:type="dxa" w:w="100"/>
              <w:bottom w:type="dxa" w:w="60"/>
              <w:right w:type="dxa" w:w="100"/>
            </w:tcMar>
          </w:tcPr>
          <w:p>
            <w:r>
              <w:rPr>
                <w:sz w:val="20"/>
                <w:szCs w:val="20"/>
              </w:rPr>
              <w:t xml:space="preserve">≈1.6 ml/Wh</w:t>
            </w:r>
          </w:p>
        </w:tc>
        <w:tc>
          <w:tcPr>
            <w:tcW w:type="dxa" w:w="1800"/>
            <w:shd w:fill="E8F2FA" w:val="clear"/>
            <w:tcMar>
              <w:top w:type="dxa" w:w="60"/>
              <w:left w:type="dxa" w:w="100"/>
              <w:bottom w:type="dxa" w:w="60"/>
              <w:right w:type="dxa" w:w="100"/>
            </w:tcMar>
          </w:tcPr>
          <w:p>
            <w:r>
              <w:rPr>
                <w:sz w:val="20"/>
                <w:szCs w:val="20"/>
              </w:rPr>
              <w:t xml:space="preserve">≈0.7 ml</w:t>
            </w:r>
          </w:p>
        </w:tc>
        <w:tc>
          <w:tcPr>
            <w:tcW w:type="dxa" w:w="1400"/>
            <w:shd w:fill="E8F2FA" w:val="clear"/>
            <w:tcMar>
              <w:top w:type="dxa" w:w="60"/>
              <w:left w:type="dxa" w:w="100"/>
              <w:bottom w:type="dxa" w:w="60"/>
              <w:right w:type="dxa" w:w="100"/>
            </w:tcMar>
          </w:tcPr>
          <w:p>
            <w:r>
              <w:rPr>
                <w:sz w:val="20"/>
                <w:szCs w:val="20"/>
              </w:rPr>
              <w:t xml:space="preserve">≈1.3 ml</w:t>
            </w:r>
          </w:p>
        </w:tc>
        <w:tc>
          <w:tcPr>
            <w:tcW w:type="dxa" w:w="1600"/>
            <w:shd w:fill="E8F2FA" w:val="clear"/>
            <w:tcMar>
              <w:top w:type="dxa" w:w="60"/>
              <w:left w:type="dxa" w:w="100"/>
              <w:bottom w:type="dxa" w:w="60"/>
              <w:right w:type="dxa" w:w="100"/>
            </w:tcMar>
          </w:tcPr>
          <w:p>
            <w:r>
              <w:rPr>
                <w:sz w:val="20"/>
                <w:szCs w:val="20"/>
              </w:rPr>
              <w:t xml:space="preserve">≈32 ml</w:t>
            </w:r>
          </w:p>
        </w:tc>
        <w:tc>
          <w:tcPr>
            <w:tcW w:type="dxa" w:w="2560"/>
            <w:shd w:fill="E8F2FA" w:val="clear"/>
            <w:tcMar>
              <w:top w:type="dxa" w:w="60"/>
              <w:left w:type="dxa" w:w="100"/>
              <w:bottom w:type="dxa" w:w="60"/>
              <w:right w:type="dxa" w:w="100"/>
            </w:tcMar>
          </w:tcPr>
          <w:p>
            <w:r>
              <w:rPr>
                <w:sz w:val="20"/>
                <w:szCs w:val="20"/>
              </w:rPr>
              <w:t xml:space="preserve">Cooling + electricity water (Scopes 1+2)</w:t>
            </w:r>
          </w:p>
        </w:tc>
      </w:tr>
      <w:tr>
        <w:tc>
          <w:tcPr>
            <w:tcW w:type="dxa" w:w="1700"/>
            <w:shd w:fill="FFFFFF" w:val="clear"/>
            <w:tcMar>
              <w:top w:type="dxa" w:w="60"/>
              <w:left w:type="dxa" w:w="100"/>
              <w:bottom w:type="dxa" w:w="60"/>
              <w:right w:type="dxa" w:w="100"/>
            </w:tcMar>
          </w:tcPr>
          <w:p>
            <w:r>
              <w:rPr>
                <w:sz w:val="20"/>
                <w:szCs w:val="20"/>
              </w:rPr>
              <w:t xml:space="preserve">Full footprint</w:t>
            </w:r>
          </w:p>
        </w:tc>
        <w:tc>
          <w:tcPr>
            <w:tcW w:type="dxa" w:w="1300"/>
            <w:shd w:fill="FFFFFF" w:val="clear"/>
            <w:tcMar>
              <w:top w:type="dxa" w:w="60"/>
              <w:left w:type="dxa" w:w="100"/>
              <w:bottom w:type="dxa" w:w="60"/>
              <w:right w:type="dxa" w:w="100"/>
            </w:tcMar>
          </w:tcPr>
          <w:p>
            <w:r>
              <w:rPr>
                <w:sz w:val="20"/>
                <w:szCs w:val="20"/>
              </w:rPr>
              <w:t xml:space="preserve">≈2.5 ml/Wh</w:t>
            </w:r>
          </w:p>
        </w:tc>
        <w:tc>
          <w:tcPr>
            <w:tcW w:type="dxa" w:w="1800"/>
            <w:shd w:fill="FFFFFF" w:val="clear"/>
            <w:tcMar>
              <w:top w:type="dxa" w:w="60"/>
              <w:left w:type="dxa" w:w="100"/>
              <w:bottom w:type="dxa" w:w="60"/>
              <w:right w:type="dxa" w:w="100"/>
            </w:tcMar>
          </w:tcPr>
          <w:p>
            <w:r>
              <w:rPr>
                <w:sz w:val="20"/>
                <w:szCs w:val="20"/>
              </w:rPr>
              <w:t xml:space="preserve">≈2 ml</w:t>
            </w:r>
          </w:p>
        </w:tc>
        <w:tc>
          <w:tcPr>
            <w:tcW w:type="dxa" w:w="1400"/>
            <w:shd w:fill="FFFFFF" w:val="clear"/>
            <w:tcMar>
              <w:top w:type="dxa" w:w="60"/>
              <w:left w:type="dxa" w:w="100"/>
              <w:bottom w:type="dxa" w:w="60"/>
              <w:right w:type="dxa" w:w="100"/>
            </w:tcMar>
          </w:tcPr>
          <w:p>
            <w:r>
              <w:rPr>
                <w:sz w:val="20"/>
                <w:szCs w:val="20"/>
              </w:rPr>
              <w:t xml:space="preserve">≈3.5 ml</w:t>
            </w:r>
          </w:p>
        </w:tc>
        <w:tc>
          <w:tcPr>
            <w:tcW w:type="dxa" w:w="1600"/>
            <w:shd w:fill="FFFFFF" w:val="clear"/>
            <w:tcMar>
              <w:top w:type="dxa" w:w="60"/>
              <w:left w:type="dxa" w:w="100"/>
              <w:bottom w:type="dxa" w:w="60"/>
              <w:right w:type="dxa" w:w="100"/>
            </w:tcMar>
          </w:tcPr>
          <w:p>
            <w:r>
              <w:rPr>
                <w:sz w:val="20"/>
                <w:szCs w:val="20"/>
              </w:rPr>
              <w:t xml:space="preserve">≈50 ml</w:t>
            </w:r>
          </w:p>
        </w:tc>
        <w:tc>
          <w:tcPr>
            <w:tcW w:type="dxa" w:w="2560"/>
            <w:shd w:fill="FFFFFF" w:val="clear"/>
            <w:tcMar>
              <w:top w:type="dxa" w:w="60"/>
              <w:left w:type="dxa" w:w="100"/>
              <w:bottom w:type="dxa" w:w="60"/>
              <w:right w:type="dxa" w:w="100"/>
            </w:tcMar>
          </w:tcPr>
          <w:p>
            <w:r>
              <w:rPr>
                <w:sz w:val="20"/>
                <w:szCs w:val="20"/>
              </w:rPr>
              <w:t xml:space="preserve">Adds lifecycle share (older cooling, Scope 3 slice)</w:t>
            </w:r>
          </w:p>
        </w:tc>
      </w:tr>
    </w:tbl>
    <w:p>
      <w:pPr>
        <w:spacing w:after="120"/>
      </w:pPr>
    </w:p>
    <w:p>
      <w:pPr>
        <w:spacing w:after="140" w:line="276"/>
        <w:jc w:val="both"/>
      </w:pPr>
      <w:r>
        <w:t xml:space="preserve">Per-token defaults for streaming sources: input tokens ≈ 0.015–0.05 ml, output tokens ≈ 0.06–0.2 ml (low–high). These coefficients should live in a versioned, open JSON file in the repo so the community can audit and update them as new disclosures land — this is what makes the app “dynamic, smart and accurate” rather than frozen guesswork. An excellent shortcut: the open-source EcoLogits library (ecologits.ai) already maintains per-model energy and water estimation for OpenAI, Anthropic, Google, Mistral and Cohere, and added water tracking in 2025. Adopt or mirror its methodology rather than inventing your own.</w:t>
      </w:r>
    </w:p>
    <w:p>
      <w:pPr>
        <w:pStyle w:val="Heading1"/>
        <w:spacing w:after="160" w:before="360"/>
      </w:pPr>
      <w:r>
        <w:t xml:space="preserve">4. The Cause: The Data Center Water Story in 2026</w:t>
      </w:r>
    </w:p>
    <w:p>
      <w:pPr>
        <w:pStyle w:val="Heading2"/>
        <w:spacing w:after="120" w:before="280"/>
      </w:pPr>
      <w:r>
        <w:t xml:space="preserve">4.1 The big picture</w:t>
      </w:r>
    </w:p>
    <w:p>
      <w:pPr>
        <w:spacing w:after="140" w:line="276"/>
        <w:jc w:val="both"/>
      </w:pPr>
      <w:r>
        <w:t xml:space="preserve">North American data centers consumed roughly one trillion liters of water in 2025, and global data center water consumption is projected to reach about 9.3 trillion liters annually by 2030 — equivalent to the basic domestic water needs of over a billion people. More than 70% of new US data centers since 2022 have been built in high-water-stress regions such as Arizona, Texas and California. At the same time, honesty requires counterpoints: agriculture uses ~70% of global freshwater, US golf courses alone consume around 2 billion gallons a day, and the industry is genuinely improving — Microsoft's closed-loop designs (all new facilities from late 2024) save over 125 million liters per facility per year, and AWS cools two dozen data centers with treated sewage. The app's credibility depends on presenting both sides.</w:t>
      </w:r>
    </w:p>
    <w:p>
      <w:pPr>
        <w:pStyle w:val="Heading2"/>
        <w:spacing w:after="120" w:before="280"/>
      </w:pPr>
      <w:r>
        <w:t xml:space="preserve">4.2 Flashpoints you mentioned — verified</w:t>
      </w:r>
    </w:p>
    <w:p>
      <w:pPr>
        <w:pStyle w:val="ListParagraph"/>
        <w:numPr>
          <w:ilvl w:val="0"/>
          <w:numId w:val="2"/>
        </w:numPr>
        <w:spacing w:after="80" w:line="276"/>
      </w:pPr>
      <w:r>
        <w:rPr>
          <w:b/>
          <w:bCs/>
        </w:rPr>
        <w:t xml:space="preserve">Georgia (the protests you heard about): </w:t>
      </w:r>
      <w:r>
        <w:t xml:space="preserve">residents of Newton County reported wells running dry and taps turning brown after Meta's $750M data center was built; the facility accounts for roughly 10% of the county's daily water use, and the county is projected to face a water deficit by 2030. In May 2026 the issue reached a congressional EPA hearing, and an EPA investigation is underway.</w:t>
      </w:r>
    </w:p>
    <w:p>
      <w:pPr>
        <w:pStyle w:val="ListParagraph"/>
        <w:numPr>
          <w:ilvl w:val="0"/>
          <w:numId w:val="2"/>
        </w:numPr>
        <w:spacing w:after="80" w:line="276"/>
      </w:pPr>
      <w:r>
        <w:rPr>
          <w:b/>
          <w:bCs/>
        </w:rPr>
        <w:t xml:space="preserve">Visakhapatnam, India: </w:t>
      </w:r>
      <w:r>
        <w:t xml:space="preserve">Google broke ground in April 2026 on a ~$15 billion AI hub in Vizag — in a district with the lowest groundwater levels in Andhra Pradesh. Environmental clearance documents reportedly lack disclosure of operational water use. India holds 18% of the world's population with only 4% of its freshwater; NITI Aayog projects water demand will be double supply by 2030. Your instinct that this matters for India is well-founded.</w:t>
      </w:r>
    </w:p>
    <w:p>
      <w:pPr>
        <w:pStyle w:val="ListParagraph"/>
        <w:numPr>
          <w:ilvl w:val="0"/>
          <w:numId w:val="2"/>
        </w:numPr>
        <w:spacing w:after="80" w:line="276"/>
      </w:pPr>
      <w:r>
        <w:rPr>
          <w:b/>
          <w:bCs/>
        </w:rPr>
        <w:t xml:space="preserve">Elsewhere: </w:t>
      </w:r>
      <w:r>
        <w:t xml:space="preserve">Google's water use in The Dalles, Oregon grew to ~40% of the city's supply; its Council Bluffs, Iowa site consumed 1.3 billion gallons in 2025 (21% of city use); a Google project in Chile was paused after courts partially overturned its permit; Uruguay forced a redesign to air cooling after its worst drought in 70 years; the Netherlands has a moratorium on new hyperscale construction; xAI's Memphis campus is racing to finish a wastewater-recycling plant while newer buildings still draw millions of gallons of drinking water daily.</w:t>
      </w:r>
    </w:p>
    <w:p>
      <w:pPr>
        <w:pStyle w:val="Heading2"/>
        <w:spacing w:after="120" w:before="280"/>
      </w:pPr>
      <w:r>
        <w:t xml:space="preserve">4.3 Why this app, framed as a cause, lands now</w:t>
      </w:r>
    </w:p>
    <w:p>
      <w:pPr>
        <w:spacing w:after="140" w:line="276"/>
        <w:jc w:val="both"/>
      </w:pPr>
      <w:r>
        <w:t xml:space="preserve">Bloomberg, the Financial Times, MIT Technology Review, Fortune and Undark have all run major AI-water investigations in 2025–2026 — the topic is media catnip, and a playful consumer app that personalizes the story (“here's YOUR share”) is exactly the kind of concrete, human angle journalists look for. Academic work also supports the awareness thesis: in a 2025–2026 higher-education study, nearly half of respondents found AI water data surprising, and most expressed intent to use AI more deliberately after exposure. Awareness changes behavior; nagging does not. The app is awareness with a smile.</w:t>
      </w:r>
    </w:p>
    <w:p>
      <w:pPr>
        <w:pStyle w:val="Heading1"/>
        <w:spacing w:after="160" w:before="360"/>
      </w:pPr>
      <w:r>
        <w:t xml:space="preserve">5. Tracking Architecture: How to Measure Usage Accurately</w:t>
      </w:r>
    </w:p>
    <w:p>
      <w:pPr>
        <w:pStyle w:val="Heading2"/>
        <w:spacing w:after="120" w:before="280"/>
      </w:pPr>
      <w:r>
        <w:t xml:space="preserve">5.1 The four accuracy tiers</w:t>
      </w:r>
    </w:p>
    <w:p>
      <w:pPr>
        <w:spacing w:after="140" w:line="276"/>
        <w:jc w:val="both"/>
      </w:pPr>
      <w:r>
        <w:t xml:space="preserve">No single method covers ChatGPT web, Claude desktop, and raw API keys, so the app should combine sources in tiers, each labeled with its accuracy, and let users connect one or many — exactly the dynamic model you described.</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5060"/>
        <w:gridCol w:w="2700"/>
      </w:tblGrid>
      <w:tr>
        <w:trPr>
          <w:tblHeader/>
        </w:trPr>
        <w:tc>
          <w:tcPr>
            <w:tcW w:type="dxa" w:w="700"/>
            <w:shd w:fill="1F6FB2" w:val="clear"/>
            <w:tcMar>
              <w:top w:type="dxa" w:w="80"/>
              <w:left w:type="dxa" w:w="100"/>
              <w:bottom w:type="dxa" w:w="80"/>
              <w:right w:type="dxa" w:w="100"/>
            </w:tcMar>
          </w:tcPr>
          <w:p>
            <w:r>
              <w:rPr>
                <w:b/>
                <w:bCs/>
                <w:color w:val="FFFFFF"/>
                <w:sz w:val="20"/>
                <w:szCs w:val="20"/>
              </w:rPr>
              <w:t xml:space="preserve">Tier</w:t>
            </w:r>
          </w:p>
        </w:tc>
        <w:tc>
          <w:tcPr>
            <w:tcW w:type="dxa" w:w="1900"/>
            <w:shd w:fill="1F6FB2" w:val="clear"/>
            <w:tcMar>
              <w:top w:type="dxa" w:w="80"/>
              <w:left w:type="dxa" w:w="100"/>
              <w:bottom w:type="dxa" w:w="80"/>
              <w:right w:type="dxa" w:w="100"/>
            </w:tcMar>
          </w:tcPr>
          <w:p>
            <w:r>
              <w:rPr>
                <w:b/>
                <w:bCs/>
                <w:color w:val="FFFFFF"/>
                <w:sz w:val="20"/>
                <w:szCs w:val="20"/>
              </w:rPr>
              <w:t xml:space="preserve">Source</w:t>
            </w:r>
          </w:p>
        </w:tc>
        <w:tc>
          <w:tcPr>
            <w:tcW w:type="dxa" w:w="5060"/>
            <w:shd w:fill="1F6FB2" w:val="clear"/>
            <w:tcMar>
              <w:top w:type="dxa" w:w="80"/>
              <w:left w:type="dxa" w:w="100"/>
              <w:bottom w:type="dxa" w:w="80"/>
              <w:right w:type="dxa" w:w="100"/>
            </w:tcMar>
          </w:tcPr>
          <w:p>
            <w:r>
              <w:rPr>
                <w:b/>
                <w:bCs/>
                <w:color w:val="FFFFFF"/>
                <w:sz w:val="20"/>
                <w:szCs w:val="20"/>
              </w:rPr>
              <w:t xml:space="preserve">How</w:t>
            </w:r>
          </w:p>
        </w:tc>
        <w:tc>
          <w:tcPr>
            <w:tcW w:type="dxa" w:w="2700"/>
            <w:shd w:fill="1F6FB2" w:val="clear"/>
            <w:tcMar>
              <w:top w:type="dxa" w:w="80"/>
              <w:left w:type="dxa" w:w="100"/>
              <w:bottom w:type="dxa" w:w="80"/>
              <w:right w:type="dxa" w:w="100"/>
            </w:tcMar>
          </w:tcPr>
          <w:p>
            <w:r>
              <w:rPr>
                <w:b/>
                <w:bCs/>
                <w:color w:val="FFFFFF"/>
                <w:sz w:val="20"/>
                <w:szCs w:val="20"/>
              </w:rPr>
              <w:t xml:space="preserve">Accuracy</w:t>
            </w:r>
          </w:p>
        </w:tc>
      </w:tr>
      <w:tr>
        <w:tc>
          <w:tcPr>
            <w:tcW w:type="dxa" w:w="700"/>
            <w:shd w:fill="FFFFFF" w:val="clear"/>
            <w:tcMar>
              <w:top w:type="dxa" w:w="60"/>
              <w:left w:type="dxa" w:w="100"/>
              <w:bottom w:type="dxa" w:w="60"/>
              <w:right w:type="dxa" w:w="100"/>
            </w:tcMar>
          </w:tcPr>
          <w:p>
            <w:r>
              <w:rPr>
                <w:sz w:val="20"/>
                <w:szCs w:val="20"/>
              </w:rPr>
              <w:t xml:space="preserve">1</w:t>
            </w:r>
          </w:p>
        </w:tc>
        <w:tc>
          <w:tcPr>
            <w:tcW w:type="dxa" w:w="1900"/>
            <w:shd w:fill="FFFFFF" w:val="clear"/>
            <w:tcMar>
              <w:top w:type="dxa" w:w="60"/>
              <w:left w:type="dxa" w:w="100"/>
              <w:bottom w:type="dxa" w:w="60"/>
              <w:right w:type="dxa" w:w="100"/>
            </w:tcMar>
          </w:tcPr>
          <w:p>
            <w:r>
              <w:rPr>
                <w:sz w:val="20"/>
                <w:szCs w:val="20"/>
              </w:rPr>
              <w:t xml:space="preserve">API usage endpoints</w:t>
            </w:r>
          </w:p>
        </w:tc>
        <w:tc>
          <w:tcPr>
            <w:tcW w:type="dxa" w:w="5060"/>
            <w:shd w:fill="FFFFFF" w:val="clear"/>
            <w:tcMar>
              <w:top w:type="dxa" w:w="60"/>
              <w:left w:type="dxa" w:w="100"/>
              <w:bottom w:type="dxa" w:w="60"/>
              <w:right w:type="dxa" w:w="100"/>
            </w:tcMar>
          </w:tcPr>
          <w:p>
            <w:r>
              <w:rPr>
                <w:sz w:val="20"/>
                <w:szCs w:val="20"/>
              </w:rPr>
              <w:t xml:space="preserve">User pastes an API/admin key; app polls Anthropic's usage_report endpoint, OpenAI admin usage APIs, Gemini quotas, or OpenRouter's usage accounting (which covers many models at once)</w:t>
            </w:r>
          </w:p>
        </w:tc>
        <w:tc>
          <w:tcPr>
            <w:tcW w:type="dxa" w:w="2700"/>
            <w:shd w:fill="FFFFFF" w:val="clear"/>
            <w:tcMar>
              <w:top w:type="dxa" w:w="60"/>
              <w:left w:type="dxa" w:w="100"/>
              <w:bottom w:type="dxa" w:w="60"/>
              <w:right w:type="dxa" w:w="100"/>
            </w:tcMar>
          </w:tcPr>
          <w:p>
            <w:r>
              <w:rPr>
                <w:sz w:val="20"/>
                <w:szCs w:val="20"/>
              </w:rPr>
              <w:t xml:space="preserve">±2–5% (exact tokens)</w:t>
            </w:r>
          </w:p>
        </w:tc>
      </w:tr>
      <w:tr>
        <w:tc>
          <w:tcPr>
            <w:tcW w:type="dxa" w:w="700"/>
            <w:shd w:fill="E8F2FA" w:val="clear"/>
            <w:tcMar>
              <w:top w:type="dxa" w:w="60"/>
              <w:left w:type="dxa" w:w="100"/>
              <w:bottom w:type="dxa" w:w="60"/>
              <w:right w:type="dxa" w:w="100"/>
            </w:tcMar>
          </w:tcPr>
          <w:p>
            <w:r>
              <w:rPr>
                <w:sz w:val="20"/>
                <w:szCs w:val="20"/>
              </w:rPr>
              <w:t xml:space="preserve">2</w:t>
            </w:r>
          </w:p>
        </w:tc>
        <w:tc>
          <w:tcPr>
            <w:tcW w:type="dxa" w:w="1900"/>
            <w:shd w:fill="E8F2FA" w:val="clear"/>
            <w:tcMar>
              <w:top w:type="dxa" w:w="60"/>
              <w:left w:type="dxa" w:w="100"/>
              <w:bottom w:type="dxa" w:w="60"/>
              <w:right w:type="dxa" w:w="100"/>
            </w:tcMar>
          </w:tcPr>
          <w:p>
            <w:r>
              <w:rPr>
                <w:sz w:val="20"/>
                <w:szCs w:val="20"/>
              </w:rPr>
              <w:t xml:space="preserve">Browser extension</w:t>
            </w:r>
          </w:p>
        </w:tc>
        <w:tc>
          <w:tcPr>
            <w:tcW w:type="dxa" w:w="5060"/>
            <w:shd w:fill="E8F2FA" w:val="clear"/>
            <w:tcMar>
              <w:top w:type="dxa" w:w="60"/>
              <w:left w:type="dxa" w:w="100"/>
              <w:bottom w:type="dxa" w:w="60"/>
              <w:right w:type="dxa" w:w="100"/>
            </w:tcMar>
          </w:tcPr>
          <w:p>
            <w:r>
              <w:rPr>
                <w:sz w:val="20"/>
                <w:szCs w:val="20"/>
              </w:rPr>
              <w:t xml:space="preserve">Companion Chrome/Safari extension watches chatgpt.com and claude.ai, counts messages/tokens via DOM observation and (for Claude) the /usage endpoint; talks to the menu-bar app via native messaging or localhost</w:t>
            </w:r>
          </w:p>
        </w:tc>
        <w:tc>
          <w:tcPr>
            <w:tcW w:type="dxa" w:w="2700"/>
            <w:shd w:fill="E8F2FA" w:val="clear"/>
            <w:tcMar>
              <w:top w:type="dxa" w:w="60"/>
              <w:left w:type="dxa" w:w="100"/>
              <w:bottom w:type="dxa" w:w="60"/>
              <w:right w:type="dxa" w:w="100"/>
            </w:tcMar>
          </w:tcPr>
          <w:p>
            <w:r>
              <w:rPr>
                <w:sz w:val="20"/>
                <w:szCs w:val="20"/>
              </w:rPr>
              <w:t xml:space="preserve">±10–15%</w:t>
            </w:r>
          </w:p>
        </w:tc>
      </w:tr>
      <w:tr>
        <w:tc>
          <w:tcPr>
            <w:tcW w:type="dxa" w:w="700"/>
            <w:shd w:fill="FFFFFF" w:val="clear"/>
            <w:tcMar>
              <w:top w:type="dxa" w:w="60"/>
              <w:left w:type="dxa" w:w="100"/>
              <w:bottom w:type="dxa" w:w="60"/>
              <w:right w:type="dxa" w:w="100"/>
            </w:tcMar>
          </w:tcPr>
          <w:p>
            <w:r>
              <w:rPr>
                <w:sz w:val="20"/>
                <w:szCs w:val="20"/>
              </w:rPr>
              <w:t xml:space="preserve">3</w:t>
            </w:r>
          </w:p>
        </w:tc>
        <w:tc>
          <w:tcPr>
            <w:tcW w:type="dxa" w:w="1900"/>
            <w:shd w:fill="FFFFFF" w:val="clear"/>
            <w:tcMar>
              <w:top w:type="dxa" w:w="60"/>
              <w:left w:type="dxa" w:w="100"/>
              <w:bottom w:type="dxa" w:w="60"/>
              <w:right w:type="dxa" w:w="100"/>
            </w:tcMar>
          </w:tcPr>
          <w:p>
            <w:r>
              <w:rPr>
                <w:sz w:val="20"/>
                <w:szCs w:val="20"/>
              </w:rPr>
              <w:t xml:space="preserve">Local log parsing</w:t>
            </w:r>
          </w:p>
        </w:tc>
        <w:tc>
          <w:tcPr>
            <w:tcW w:type="dxa" w:w="5060"/>
            <w:shd w:fill="FFFFFF" w:val="clear"/>
            <w:tcMar>
              <w:top w:type="dxa" w:w="60"/>
              <w:left w:type="dxa" w:w="100"/>
              <w:bottom w:type="dxa" w:w="60"/>
              <w:right w:type="dxa" w:w="100"/>
            </w:tcMar>
          </w:tcPr>
          <w:p>
            <w:r>
              <w:rPr>
                <w:sz w:val="20"/>
                <w:szCs w:val="20"/>
              </w:rPr>
              <w:t xml:space="preserve">Read local JSONL logs from Claude Code, Codex CLI, Gemini CLI etc. (the proven “ccusage” approach) — exact token counts, fully offline</w:t>
            </w:r>
          </w:p>
        </w:tc>
        <w:tc>
          <w:tcPr>
            <w:tcW w:type="dxa" w:w="2700"/>
            <w:shd w:fill="FFFFFF" w:val="clear"/>
            <w:tcMar>
              <w:top w:type="dxa" w:w="60"/>
              <w:left w:type="dxa" w:w="100"/>
              <w:bottom w:type="dxa" w:w="60"/>
              <w:right w:type="dxa" w:w="100"/>
            </w:tcMar>
          </w:tcPr>
          <w:p>
            <w:r>
              <w:rPr>
                <w:sz w:val="20"/>
                <w:szCs w:val="20"/>
              </w:rPr>
              <w:t xml:space="preserve">±5–10%</w:t>
            </w:r>
          </w:p>
        </w:tc>
      </w:tr>
      <w:tr>
        <w:tc>
          <w:tcPr>
            <w:tcW w:type="dxa" w:w="700"/>
            <w:shd w:fill="E8F2FA" w:val="clear"/>
            <w:tcMar>
              <w:top w:type="dxa" w:w="60"/>
              <w:left w:type="dxa" w:w="100"/>
              <w:bottom w:type="dxa" w:w="60"/>
              <w:right w:type="dxa" w:w="100"/>
            </w:tcMar>
          </w:tcPr>
          <w:p>
            <w:r>
              <w:rPr>
                <w:sz w:val="20"/>
                <w:szCs w:val="20"/>
              </w:rPr>
              <w:t xml:space="preserve">4</w:t>
            </w:r>
          </w:p>
        </w:tc>
        <w:tc>
          <w:tcPr>
            <w:tcW w:type="dxa" w:w="1900"/>
            <w:shd w:fill="E8F2FA" w:val="clear"/>
            <w:tcMar>
              <w:top w:type="dxa" w:w="60"/>
              <w:left w:type="dxa" w:w="100"/>
              <w:bottom w:type="dxa" w:w="60"/>
              <w:right w:type="dxa" w:w="100"/>
            </w:tcMar>
          </w:tcPr>
          <w:p>
            <w:r>
              <w:rPr>
                <w:sz w:val="20"/>
                <w:szCs w:val="20"/>
              </w:rPr>
              <w:t xml:space="preserve">Activity proxy</w:t>
            </w:r>
          </w:p>
        </w:tc>
        <w:tc>
          <w:tcPr>
            <w:tcW w:type="dxa" w:w="5060"/>
            <w:shd w:fill="E8F2FA" w:val="clear"/>
            <w:tcMar>
              <w:top w:type="dxa" w:w="60"/>
              <w:left w:type="dxa" w:w="100"/>
              <w:bottom w:type="dxa" w:w="60"/>
              <w:right w:type="dxa" w:w="100"/>
            </w:tcMar>
          </w:tcPr>
          <w:p>
            <w:r>
              <w:rPr>
                <w:sz w:val="20"/>
                <w:szCs w:val="20"/>
              </w:rPr>
              <w:t xml:space="preserve">macOS NSWorkspace app-focus tracking estimates time spent in ChatGPT/Claude desktop apps and converts to estimated queries</w:t>
            </w:r>
          </w:p>
        </w:tc>
        <w:tc>
          <w:tcPr>
            <w:tcW w:type="dxa" w:w="2700"/>
            <w:shd w:fill="E8F2FA" w:val="clear"/>
            <w:tcMar>
              <w:top w:type="dxa" w:w="60"/>
              <w:left w:type="dxa" w:w="100"/>
              <w:bottom w:type="dxa" w:w="60"/>
              <w:right w:type="dxa" w:w="100"/>
            </w:tcMar>
          </w:tcPr>
          <w:p>
            <w:r>
              <w:rPr>
                <w:sz w:val="20"/>
                <w:szCs w:val="20"/>
              </w:rPr>
              <w:t xml:space="preserve">rough (±50–100%)</w:t>
            </w:r>
          </w:p>
        </w:tc>
      </w:tr>
    </w:tbl>
    <w:p>
      <w:pPr>
        <w:spacing w:after="120"/>
      </w:pPr>
    </w:p>
    <w:p>
      <w:pPr>
        <w:spacing w:after="140" w:line="276"/>
        <w:jc w:val="both"/>
      </w:pPr>
      <w:r>
        <w:t xml:space="preserve">Two important honesty notes surfaced in research. Consumer ChatGPT and Claude accounts have no official real-time usage API — their data exports are one-time ZIPs without token counts — so the browser extension is genuinely the best available method for web usage, and it already has working precedents (Claude Counter, MultiToken Counter). And network interception (mitmproxy-style) should be ruled out entirely: it requires installing trusted certificates, is a privacy hazard, and would never pass App Store review.</w:t>
      </w:r>
    </w:p>
    <w:p>
      <w:pPr>
        <w:pStyle w:val="Heading2"/>
        <w:spacing w:after="120" w:before="280"/>
      </w:pPr>
      <w:r>
        <w:t xml:space="preserve">5.2 Recommended tech stack</w:t>
      </w:r>
    </w:p>
    <w:p>
      <w:pPr>
        <w:spacing w:after="140" w:line="276"/>
        <w:jc w:val="both"/>
      </w:pPr>
      <w:r>
        <w:t xml:space="preserve">Native Swift/SwiftUI using MenuBarExtra is the best fit for an always-on, lightweight, lovable macOS app (Tauri v2 is the fallback if you later want Windows/Linux). Notifications via UNUserNotificationCenter with heavy restraint; launch-at-login; all data stored locally — no server, no accounts, no telemetry. Privacy is not just ethics here, it is positioning: an environmental app that spies on your AI conversations would be dead on arrival. The extension sends only counts and token estimates, never content. Safari makes extension-to-app messaging especially easy (no manifest host file needed); for Chrome, native messaging or a localhost bridge both work.</w:t>
      </w:r>
    </w:p>
    <w:p>
      <w:pPr>
        <w:pStyle w:val="Heading2"/>
        <w:spacing w:after="120" w:before="280"/>
      </w:pPr>
      <w:r>
        <w:t xml:space="preserve">5.3 Projects to learn from or build on</w:t>
      </w:r>
    </w:p>
    <w:p>
      <w:pPr>
        <w:pStyle w:val="ListParagraph"/>
        <w:numPr>
          <w:ilvl w:val="0"/>
          <w:numId w:val="2"/>
        </w:numPr>
        <w:spacing w:after="80" w:line="276"/>
      </w:pPr>
      <w:r>
        <w:rPr>
          <w:b/>
          <w:bCs/>
        </w:rPr>
        <w:t xml:space="preserve">EcoLogits (ecologits.ai): </w:t>
      </w:r>
      <w:r>
        <w:t xml:space="preserve">open-source energy/water estimation per model — use as the calculation brain.</w:t>
      </w:r>
    </w:p>
    <w:p>
      <w:pPr>
        <w:pStyle w:val="ListParagraph"/>
        <w:numPr>
          <w:ilvl w:val="0"/>
          <w:numId w:val="2"/>
        </w:numPr>
        <w:spacing w:after="80" w:line="276"/>
      </w:pPr>
      <w:r>
        <w:rPr>
          <w:b/>
          <w:bCs/>
        </w:rPr>
        <w:t xml:space="preserve">ccusage (ccusage.com): </w:t>
      </w:r>
      <w:r>
        <w:t xml:space="preserve">parses local logs of Claude Code, Codex, Copilot and more — the blueprint for Tier 3.</w:t>
      </w:r>
    </w:p>
    <w:p>
      <w:pPr>
        <w:pStyle w:val="ListParagraph"/>
        <w:numPr>
          <w:ilvl w:val="0"/>
          <w:numId w:val="2"/>
        </w:numPr>
        <w:spacing w:after="80" w:line="276"/>
      </w:pPr>
      <w:r>
        <w:rPr>
          <w:b/>
          <w:bCs/>
        </w:rPr>
        <w:t xml:space="preserve">claude-counter (GitHub): </w:t>
      </w:r>
      <w:r>
        <w:t xml:space="preserve">browser extension proving token tracking on claude.ai works — blueprint for Tier 2.</w:t>
      </w:r>
    </w:p>
    <w:p>
      <w:pPr>
        <w:pStyle w:val="ListParagraph"/>
        <w:numPr>
          <w:ilvl w:val="0"/>
          <w:numId w:val="2"/>
        </w:numPr>
        <w:spacing w:after="80" w:line="276"/>
      </w:pPr>
      <w:r>
        <w:rPr>
          <w:b/>
          <w:bCs/>
        </w:rPr>
        <w:t xml:space="preserve">Stats &amp; MeetingBar: </w:t>
      </w:r>
      <w:r>
        <w:t xml:space="preserve">beloved open-source menu-bar apps showing the distribution playbook (GitHub + Homebrew + direct notarized download).</w:t>
      </w:r>
    </w:p>
    <w:p>
      <w:pPr>
        <w:pStyle w:val="Heading1"/>
        <w:spacing w:after="160" w:before="360"/>
      </w:pPr>
      <w:r>
        <w:t xml:space="preserve">6. Product Design: The “You vs. Your AI” Game</w:t>
      </w:r>
    </w:p>
    <w:p>
      <w:pPr>
        <w:pStyle w:val="Heading2"/>
        <w:spacing w:after="120" w:before="280"/>
      </w:pPr>
      <w:r>
        <w:t xml:space="preserve">6.1 The competition mechanic</w:t>
      </w:r>
    </w:p>
    <w:p>
      <w:pPr>
        <w:spacing w:after="140" w:line="276"/>
        <w:jc w:val="both"/>
      </w:pPr>
      <w:r>
        <w:t xml:space="preserve">The human-vs-system competition has strong precedents: Apple Watch rings, Duolingo's streak (47.7M daily users driven largely by loss aversion), and Forest's dying trees. Your twist is better than all of them because the opponent is real: the AI's water consumption is a live number generated by the user's own behavior. Design it as a single race bar in the menu-bar dropdown — your intake on top, your AI's on the bottom — with the day's “winner” crowned at midnight. Add streaks (“days you out-drank your AI”), a weekly AI Thirst Index (which model drank most), and freeze tokens so a missed day doesn't destroy motivation (Duolingo's most important retention lesson).</w:t>
      </w:r>
    </w:p>
    <w:p>
      <w:pPr>
        <w:pStyle w:val="Heading2"/>
        <w:spacing w:after="120" w:before="280"/>
      </w:pPr>
      <w:r>
        <w:t xml:space="preserve">6.2 Nudges that don't get muted</w:t>
      </w:r>
    </w:p>
    <w:p>
      <w:pPr>
        <w:spacing w:after="140" w:line="276"/>
        <w:jc w:val="both"/>
      </w:pPr>
      <w:r>
        <w:t xml:space="preserve">Research is blunt: 52% of users disable notifications when they're too frequent, while batching and respecting Focus modes cuts opt-outs nearly in half. The default should be: silent menu-bar state changes (the droplet fills as the AI “drinks”) as the primary signal, at most two gentle notifications a day at smart moments (mid-morning, mid-afternoon), automatic silence during Do Not Disturb, and celebratory pings only on milestones. A hydration nag that annoys people fails at both of its missions.</w:t>
      </w:r>
    </w:p>
    <w:p>
      <w:pPr>
        <w:pStyle w:val="Heading2"/>
        <w:spacing w:after="120" w:before="280"/>
      </w:pPr>
      <w:r>
        <w:t xml:space="preserve">6.3 Shareability: the growth engine</w:t>
      </w:r>
    </w:p>
    <w:p>
      <w:pPr>
        <w:spacing w:after="140" w:line="276"/>
        <w:jc w:val="both"/>
      </w:pPr>
      <w:r>
        <w:t xml:space="preserve">Spotify Wrapped generated 500 million shares in 24 hours because it is personal, visual and comparative. Build “AI Water Wrapped” from day one: monthly and yearly cards — “Your AI drank 4.2 L this month. You drank 41 L. You won 22 of 30 days. That's 6 water bottles of data-center water — and you pledged ₹300 to clean water projects.” Screenshot-ready 1:1 and Stories dimensions, one-tap share. Every share is an advertisement for both the app and the cause.</w:t>
      </w:r>
    </w:p>
    <w:p>
      <w:pPr>
        <w:pStyle w:val="Heading1"/>
        <w:spacing w:after="160" w:before="360"/>
      </w:pPr>
      <w:r>
        <w:t xml:space="preserve">7. Nonprofit Structure, Marketing, and Revenue</w:t>
      </w:r>
    </w:p>
    <w:p>
      <w:pPr>
        <w:pStyle w:val="Heading2"/>
        <w:spacing w:after="120" w:before="280"/>
      </w:pPr>
      <w:r>
        <w:t xml:space="preserve">7.1 Structure</w:t>
      </w:r>
    </w:p>
    <w:p>
      <w:pPr>
        <w:spacing w:after="140" w:line="276"/>
        <w:jc w:val="both"/>
      </w:pPr>
      <w:r>
        <w:t xml:space="preserve">Don't form a nonprofit company on day one. Launch as an open-source project under fiscal sponsorship — Open Source Collective handles donations, transparency and legal infrastructure for a 10% fee, which is the standard path for mission-driven developer tools. Publish the estimation methodology openly and invite audits; partner informally with credible voices (EcoLogits/GenAI Impact, Green Web Foundation, Hugging Face's AI Energy Score community) for scientific legitimacy, and with water charities (charity: water's project-sponsorship model fits perfectly) for the donation loop.</w:t>
      </w:r>
    </w:p>
    <w:p>
      <w:pPr>
        <w:pStyle w:val="Heading2"/>
        <w:spacing w:after="120" w:before="280"/>
      </w:pPr>
      <w:r>
        <w:t xml:space="preserve">7.2 Marketing</w:t>
      </w:r>
    </w:p>
    <w:p>
      <w:pPr>
        <w:spacing w:after="140" w:line="276"/>
        <w:jc w:val="both"/>
      </w:pPr>
      <w:r>
        <w:t xml:space="preserve">The launch sequence that works for indie mission apps: build in public on Indie Hackers and X for a few weeks (Indie Hackers converts engaged readers at ~23%, far above Product Hunt's ~3%); launch on Product Hunt and Show HN (weekday 8–10am PT) the same week; seed r/macapps and climate-tech communities; then pitch the press with the personal angle — every outlet already covering AI water (Bloomberg, FT, MIT Tech Review, Undark, plus Indian outlets covering Vizag) needs a fresh human hook, and “an app that makes you race your AI at drinking water” is exactly that. The Wrapped cards then compound growth organically.</w:t>
      </w:r>
    </w:p>
    <w:p>
      <w:pPr>
        <w:pStyle w:val="Heading2"/>
        <w:spacing w:after="120" w:before="280"/>
      </w:pPr>
      <w:r>
        <w:t xml:space="preserve">7.3 Revenue that fits the mission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4760"/>
        <w:gridCol w:w="3800"/>
      </w:tblGrid>
      <w:tr>
        <w:trPr>
          <w:tblHeader/>
        </w:trPr>
        <w:tc>
          <w:tcPr>
            <w:tcW w:type="dxa" w:w="1800"/>
            <w:shd w:fill="1F6FB2" w:val="clear"/>
            <w:tcMar>
              <w:top w:type="dxa" w:w="80"/>
              <w:left w:type="dxa" w:w="100"/>
              <w:bottom w:type="dxa" w:w="80"/>
              <w:right w:type="dxa" w:w="100"/>
            </w:tcMar>
          </w:tcPr>
          <w:p>
            <w:r>
              <w:rPr>
                <w:b/>
                <w:bCs/>
                <w:color w:val="FFFFFF"/>
                <w:sz w:val="20"/>
                <w:szCs w:val="20"/>
              </w:rPr>
              <w:t xml:space="preserve">Stream</w:t>
            </w:r>
          </w:p>
        </w:tc>
        <w:tc>
          <w:tcPr>
            <w:tcW w:type="dxa" w:w="4760"/>
            <w:shd w:fill="1F6FB2" w:val="clear"/>
            <w:tcMar>
              <w:top w:type="dxa" w:w="80"/>
              <w:left w:type="dxa" w:w="100"/>
              <w:bottom w:type="dxa" w:w="80"/>
              <w:right w:type="dxa" w:w="100"/>
            </w:tcMar>
          </w:tcPr>
          <w:p>
            <w:r>
              <w:rPr>
                <w:b/>
                <w:bCs/>
                <w:color w:val="FFFFFF"/>
                <w:sz w:val="20"/>
                <w:szCs w:val="20"/>
              </w:rPr>
              <w:t xml:space="preserve">Mechanics</w:t>
            </w:r>
          </w:p>
        </w:tc>
        <w:tc>
          <w:tcPr>
            <w:tcW w:type="dxa" w:w="3800"/>
            <w:shd w:fill="1F6FB2" w:val="clear"/>
            <w:tcMar>
              <w:top w:type="dxa" w:w="80"/>
              <w:left w:type="dxa" w:w="100"/>
              <w:bottom w:type="dxa" w:w="80"/>
              <w:right w:type="dxa" w:w="100"/>
            </w:tcMar>
          </w:tcPr>
          <w:p>
            <w:r>
              <w:rPr>
                <w:b/>
                <w:bCs/>
                <w:color w:val="FFFFFF"/>
                <w:sz w:val="20"/>
                <w:szCs w:val="20"/>
              </w:rPr>
              <w:t xml:space="preserve">Realistic potential</w:t>
            </w:r>
          </w:p>
        </w:tc>
      </w:tr>
      <w:tr>
        <w:tc>
          <w:tcPr>
            <w:tcW w:type="dxa" w:w="1800"/>
            <w:shd w:fill="FFFFFF" w:val="clear"/>
            <w:tcMar>
              <w:top w:type="dxa" w:w="60"/>
              <w:left w:type="dxa" w:w="100"/>
              <w:bottom w:type="dxa" w:w="60"/>
              <w:right w:type="dxa" w:w="100"/>
            </w:tcMar>
          </w:tcPr>
          <w:p>
            <w:r>
              <w:rPr>
                <w:sz w:val="20"/>
                <w:szCs w:val="20"/>
              </w:rPr>
              <w:t xml:space="preserve">Donations</w:t>
            </w:r>
          </w:p>
        </w:tc>
        <w:tc>
          <w:tcPr>
            <w:tcW w:type="dxa" w:w="4760"/>
            <w:shd w:fill="FFFFFF" w:val="clear"/>
            <w:tcMar>
              <w:top w:type="dxa" w:w="60"/>
              <w:left w:type="dxa" w:w="100"/>
              <w:bottom w:type="dxa" w:w="60"/>
              <w:right w:type="dxa" w:w="100"/>
            </w:tcMar>
          </w:tcPr>
          <w:p>
            <w:r>
              <w:rPr>
                <w:sz w:val="20"/>
                <w:szCs w:val="20"/>
              </w:rPr>
              <w:t xml:space="preserve">GitHub Sponsors (0% fee) + Open Collective; “pay-what-you-want” tied to charity averages ~$6.50 vs $0.92 untied</w:t>
            </w:r>
          </w:p>
        </w:tc>
        <w:tc>
          <w:tcPr>
            <w:tcW w:type="dxa" w:w="3800"/>
            <w:shd w:fill="FFFFFF" w:val="clear"/>
            <w:tcMar>
              <w:top w:type="dxa" w:w="60"/>
              <w:left w:type="dxa" w:w="100"/>
              <w:bottom w:type="dxa" w:w="60"/>
              <w:right w:type="dxa" w:w="100"/>
            </w:tcMar>
          </w:tcPr>
          <w:p>
            <w:r>
              <w:rPr>
                <w:sz w:val="20"/>
                <w:szCs w:val="20"/>
              </w:rPr>
              <w:t xml:space="preserve">Comparable OSS projects report ~$6K+/month at scale</w:t>
            </w:r>
          </w:p>
        </w:tc>
      </w:tr>
      <w:tr>
        <w:tc>
          <w:tcPr>
            <w:tcW w:type="dxa" w:w="1800"/>
            <w:shd w:fill="E8F2FA" w:val="clear"/>
            <w:tcMar>
              <w:top w:type="dxa" w:w="60"/>
              <w:left w:type="dxa" w:w="100"/>
              <w:bottom w:type="dxa" w:w="60"/>
              <w:right w:type="dxa" w:w="100"/>
            </w:tcMar>
          </w:tcPr>
          <w:p>
            <w:r>
              <w:rPr>
                <w:sz w:val="20"/>
                <w:szCs w:val="20"/>
              </w:rPr>
              <w:t xml:space="preserve">Grants</w:t>
            </w:r>
          </w:p>
        </w:tc>
        <w:tc>
          <w:tcPr>
            <w:tcW w:type="dxa" w:w="4760"/>
            <w:shd w:fill="E8F2FA" w:val="clear"/>
            <w:tcMar>
              <w:top w:type="dxa" w:w="60"/>
              <w:left w:type="dxa" w:w="100"/>
              <w:bottom w:type="dxa" w:w="60"/>
              <w:right w:type="dxa" w:w="100"/>
            </w:tcMar>
          </w:tcPr>
          <w:p>
            <w:r>
              <w:rPr>
                <w:sz w:val="20"/>
                <w:szCs w:val="20"/>
              </w:rPr>
              <w:t xml:space="preserve">Mozilla Technology Fund — AI &amp; Environmental Justice awards ($50K, open-source); Google.org climate challenges; 360+ water-focused grants on Instrumentl</w:t>
            </w:r>
          </w:p>
        </w:tc>
        <w:tc>
          <w:tcPr>
            <w:tcW w:type="dxa" w:w="3800"/>
            <w:shd w:fill="E8F2FA" w:val="clear"/>
            <w:tcMar>
              <w:top w:type="dxa" w:w="60"/>
              <w:left w:type="dxa" w:w="100"/>
              <w:bottom w:type="dxa" w:w="60"/>
              <w:right w:type="dxa" w:w="100"/>
            </w:tcMar>
          </w:tcPr>
          <w:p>
            <w:r>
              <w:rPr>
                <w:sz w:val="20"/>
                <w:szCs w:val="20"/>
              </w:rPr>
              <w:t xml:space="preserve">$50K–$150K non-dilutive, realistic first target</w:t>
            </w:r>
          </w:p>
        </w:tc>
      </w:tr>
      <w:tr>
        <w:tc>
          <w:tcPr>
            <w:tcW w:type="dxa" w:w="1800"/>
            <w:shd w:fill="FFFFFF" w:val="clear"/>
            <w:tcMar>
              <w:top w:type="dxa" w:w="60"/>
              <w:left w:type="dxa" w:w="100"/>
              <w:bottom w:type="dxa" w:w="60"/>
              <w:right w:type="dxa" w:w="100"/>
            </w:tcMar>
          </w:tcPr>
          <w:p>
            <w:r>
              <w:rPr>
                <w:sz w:val="20"/>
                <w:szCs w:val="20"/>
              </w:rPr>
              <w:t xml:space="preserve">Pro tier (optional)</w:t>
            </w:r>
          </w:p>
        </w:tc>
        <w:tc>
          <w:tcPr>
            <w:tcW w:type="dxa" w:w="4760"/>
            <w:shd w:fill="FFFFFF" w:val="clear"/>
            <w:tcMar>
              <w:top w:type="dxa" w:w="60"/>
              <w:left w:type="dxa" w:w="100"/>
              <w:bottom w:type="dxa" w:w="60"/>
              <w:right w:type="dxa" w:w="100"/>
            </w:tcMar>
          </w:tcPr>
          <w:p>
            <w:r>
              <w:rPr>
                <w:sz w:val="20"/>
                <w:szCs w:val="20"/>
              </w:rPr>
              <w:t xml:space="preserve">Free core forever; $2.99–4.99/mo for themes, deep history, multi-device, team boards</w:t>
            </w:r>
          </w:p>
        </w:tc>
        <w:tc>
          <w:tcPr>
            <w:tcW w:type="dxa" w:w="3800"/>
            <w:shd w:fill="FFFFFF" w:val="clear"/>
            <w:tcMar>
              <w:top w:type="dxa" w:w="60"/>
              <w:left w:type="dxa" w:w="100"/>
              <w:bottom w:type="dxa" w:w="60"/>
              <w:right w:type="dxa" w:w="100"/>
            </w:tcMar>
          </w:tcPr>
          <w:p>
            <w:r>
              <w:rPr>
                <w:sz w:val="20"/>
                <w:szCs w:val="20"/>
              </w:rPr>
              <w:t xml:space="preserve">2–5% conversion typical; 25–50% with 7-day trials</w:t>
            </w:r>
          </w:p>
        </w:tc>
      </w:tr>
      <w:tr>
        <w:tc>
          <w:tcPr>
            <w:tcW w:type="dxa" w:w="1800"/>
            <w:shd w:fill="E8F2FA" w:val="clear"/>
            <w:tcMar>
              <w:top w:type="dxa" w:w="60"/>
              <w:left w:type="dxa" w:w="100"/>
              <w:bottom w:type="dxa" w:w="60"/>
              <w:right w:type="dxa" w:w="100"/>
            </w:tcMar>
          </w:tcPr>
          <w:p>
            <w:r>
              <w:rPr>
                <w:sz w:val="20"/>
                <w:szCs w:val="20"/>
              </w:rPr>
              <w:t xml:space="preserve">B2B ESG dashboards</w:t>
            </w:r>
          </w:p>
        </w:tc>
        <w:tc>
          <w:tcPr>
            <w:tcW w:type="dxa" w:w="4760"/>
            <w:shd w:fill="E8F2FA" w:val="clear"/>
            <w:tcMar>
              <w:top w:type="dxa" w:w="60"/>
              <w:left w:type="dxa" w:w="100"/>
              <w:bottom w:type="dxa" w:w="60"/>
              <w:right w:type="dxa" w:w="100"/>
            </w:tcMar>
          </w:tcPr>
          <w:p>
            <w:r>
              <w:rPr>
                <w:sz w:val="20"/>
                <w:szCs w:val="20"/>
              </w:rPr>
              <w:t xml:space="preserve">Companies increasingly need Scope 3 AI water/carbon reporting; a team edition aggregating employees' AI footprints</w:t>
            </w:r>
          </w:p>
        </w:tc>
        <w:tc>
          <w:tcPr>
            <w:tcW w:type="dxa" w:w="3800"/>
            <w:shd w:fill="E8F2FA" w:val="clear"/>
            <w:tcMar>
              <w:top w:type="dxa" w:w="60"/>
              <w:left w:type="dxa" w:w="100"/>
              <w:bottom w:type="dxa" w:w="60"/>
              <w:right w:type="dxa" w:w="100"/>
            </w:tcMar>
          </w:tcPr>
          <w:p>
            <w:r>
              <w:rPr>
                <w:sz w:val="20"/>
                <w:szCs w:val="20"/>
              </w:rPr>
              <w:t xml:space="preserve">$500–2,000/month per company — the serious long-term revenue</w:t>
            </w:r>
          </w:p>
        </w:tc>
      </w:tr>
      <w:tr>
        <w:tc>
          <w:tcPr>
            <w:tcW w:type="dxa" w:w="1800"/>
            <w:shd w:fill="FFFFFF" w:val="clear"/>
            <w:tcMar>
              <w:top w:type="dxa" w:w="60"/>
              <w:left w:type="dxa" w:w="100"/>
              <w:bottom w:type="dxa" w:w="60"/>
              <w:right w:type="dxa" w:w="100"/>
            </w:tcMar>
          </w:tcPr>
          <w:p>
            <w:r>
              <w:rPr>
                <w:sz w:val="20"/>
                <w:szCs w:val="20"/>
              </w:rPr>
              <w:t xml:space="preserve">Charity tie-in</w:t>
            </w:r>
          </w:p>
        </w:tc>
        <w:tc>
          <w:tcPr>
            <w:tcW w:type="dxa" w:w="4760"/>
            <w:shd w:fill="FFFFFF" w:val="clear"/>
            <w:tcMar>
              <w:top w:type="dxa" w:w="60"/>
              <w:left w:type="dxa" w:w="100"/>
              <w:bottom w:type="dxa" w:w="60"/>
              <w:right w:type="dxa" w:w="100"/>
            </w:tcMar>
          </w:tcPr>
          <w:p>
            <w:r>
              <w:rPr>
                <w:sz w:val="20"/>
                <w:szCs w:val="20"/>
              </w:rPr>
              <w:t xml:space="preserve">1% for the Planet membership; per-liter pledges routed to charity: water / Water.org</w:t>
            </w:r>
          </w:p>
        </w:tc>
        <w:tc>
          <w:tcPr>
            <w:tcW w:type="dxa" w:w="3800"/>
            <w:shd w:fill="FFFFFF" w:val="clear"/>
            <w:tcMar>
              <w:top w:type="dxa" w:w="60"/>
              <w:left w:type="dxa" w:w="100"/>
              <w:bottom w:type="dxa" w:w="60"/>
              <w:right w:type="dxa" w:w="100"/>
            </w:tcMar>
          </w:tcPr>
          <w:p>
            <w:r>
              <w:rPr>
                <w:sz w:val="20"/>
                <w:szCs w:val="20"/>
              </w:rPr>
              <w:t xml:space="preserve">Brand trust + tax-efficient impact, not profit</w:t>
            </w:r>
          </w:p>
        </w:tc>
      </w:tr>
    </w:tbl>
    <w:p>
      <w:pPr>
        <w:spacing w:after="120"/>
      </w:pPr>
    </w:p>
    <w:p>
      <w:pPr>
        <w:pStyle w:val="Heading2"/>
        <w:spacing w:after="120" w:before="280"/>
      </w:pPr>
      <w:r>
        <w:t xml:space="preserve">7.4 Naming</w:t>
      </w:r>
    </w:p>
    <w:p>
      <w:pPr>
        <w:spacing w:after="140" w:line="276"/>
        <w:jc w:val="both"/>
      </w:pPr>
      <w:r>
        <w:t xml:space="preserve">Candidates worth checking for domains and App Store collisions: Quench (action-oriented, memorable), WaterMark (double meaning: water + accountability), Thirst / thirsty.ai (direct and playful), Vapor (what cooling towers actually release), Drip, Flows, and “The AI Cup” (the competition metaphor). Verify against USPTO/WIPO trademarks, .app/.io domains, and existing hydration apps before committing — “Drip” in particular is crowded.</w:t>
      </w:r>
    </w:p>
    <w:p>
      <w:pPr>
        <w:pStyle w:val="Heading1"/>
        <w:spacing w:after="160" w:before="360"/>
      </w:pPr>
      <w:r>
        <w:t xml:space="preserve">8. Competitive Landscape &amp; the Gap</w:t>
      </w:r>
    </w:p>
    <w:p>
      <w:pPr>
        <w:spacing w:after="140" w:line="276"/>
        <w:jc w:val="both"/>
      </w:pPr>
      <w:r>
        <w:t xml:space="preserve">On one side sit hydration apps — Waterllama ($9.99/yr), WaterMinder (up to $49.99 lifetime), Plant Nanny (free, 105K ratings at 4.7★) — all iOS-centric, all purely personal, none environmental. On the other side sit AI footprint tools — EcoLogits, Hugging Face's AI Energy Score, several web calculators — all educational, none behavioral, none gamified, none living on your desktop. Research found no product anywhere that combines real-time AI usage tracking, water-footprint calculation, personal hydration gamification, and a charity loop. macOS menu-bar real estate for this concept is completely empty. That is the opportunity, and it is also the moat: the fusion is hard to copy credibly without the open methodology and mission framing.</w:t>
      </w:r>
    </w:p>
    <w:p>
      <w:pPr>
        <w:pStyle w:val="Heading1"/>
        <w:spacing w:after="160" w:before="360"/>
      </w:pPr>
      <w:r>
        <w:t xml:space="preserve">9. Suggested Roadmap</w:t>
      </w:r>
    </w:p>
    <w:p>
      <w:pPr>
        <w:pStyle w:val="Heading3"/>
        <w:spacing w:after="100" w:before="220"/>
      </w:pPr>
      <w:r>
        <w:t xml:space="preserve">Phase 1 — MVP (4–8 weeks of evenings)</w:t>
      </w:r>
    </w:p>
    <w:p>
      <w:pPr>
        <w:pStyle w:val="ListParagraph"/>
        <w:numPr>
          <w:ilvl w:val="0"/>
          <w:numId w:val="2"/>
        </w:numPr>
        <w:spacing w:after="80" w:line="276"/>
      </w:pPr>
      <w:r>
        <w:t xml:space="preserve">Swift MenuBarExtra app: droplet icon, race bar, one-click water logging, local storage, launch-at-login.</w:t>
      </w:r>
    </w:p>
    <w:p>
      <w:pPr>
        <w:pStyle w:val="ListParagraph"/>
        <w:numPr>
          <w:ilvl w:val="0"/>
          <w:numId w:val="2"/>
        </w:numPr>
        <w:spacing w:after="80" w:line="276"/>
      </w:pPr>
      <w:r>
        <w:t xml:space="preserve">Tier 3 first (easiest + exact): parse Claude Code / Codex local logs, ccusage-style — perfect for your own vibe-coding usage.</w:t>
      </w:r>
    </w:p>
    <w:p>
      <w:pPr>
        <w:pStyle w:val="ListParagraph"/>
        <w:numPr>
          <w:ilvl w:val="0"/>
          <w:numId w:val="2"/>
        </w:numPr>
        <w:spacing w:after="80" w:line="276"/>
      </w:pPr>
      <w:r>
        <w:t xml:space="preserve">Tier 1: paste-your-API-key support for OpenAI, Anthropic, OpenRouter.</w:t>
      </w:r>
    </w:p>
    <w:p>
      <w:pPr>
        <w:pStyle w:val="ListParagraph"/>
        <w:numPr>
          <w:ilvl w:val="0"/>
          <w:numId w:val="2"/>
        </w:numPr>
        <w:spacing w:after="80" w:line="276"/>
      </w:pPr>
      <w:r>
        <w:t xml:space="preserve">EcoLogits-based water math with the three labeled modes; open methodology page.</w:t>
      </w:r>
    </w:p>
    <w:p>
      <w:pPr>
        <w:pStyle w:val="Heading3"/>
        <w:spacing w:after="100" w:before="220"/>
      </w:pPr>
      <w:r>
        <w:t xml:space="preserve">Phase 2 — The Extension (next 4–6 weeks)</w:t>
      </w:r>
    </w:p>
    <w:p>
      <w:pPr>
        <w:pStyle w:val="ListParagraph"/>
        <w:numPr>
          <w:ilvl w:val="0"/>
          <w:numId w:val="2"/>
        </w:numPr>
        <w:spacing w:after="80" w:line="276"/>
      </w:pPr>
      <w:r>
        <w:t xml:space="preserve">Chrome + Safari extension for chatgpt.com and claude.ai; native messaging to the app; counts only, never content.</w:t>
      </w:r>
    </w:p>
    <w:p>
      <w:pPr>
        <w:pStyle w:val="ListParagraph"/>
        <w:numPr>
          <w:ilvl w:val="0"/>
          <w:numId w:val="2"/>
        </w:numPr>
        <w:spacing w:after="80" w:line="276"/>
      </w:pPr>
      <w:r>
        <w:t xml:space="preserve">Streaks, freeze tokens, first shareable weekly card.</w:t>
      </w:r>
    </w:p>
    <w:p>
      <w:pPr>
        <w:pStyle w:val="Heading3"/>
        <w:spacing w:after="100" w:before="220"/>
      </w:pPr>
      <w:r>
        <w:t xml:space="preserve">Phase 3 — The Movement</w:t>
      </w:r>
    </w:p>
    <w:p>
      <w:pPr>
        <w:pStyle w:val="ListParagraph"/>
        <w:numPr>
          <w:ilvl w:val="0"/>
          <w:numId w:val="2"/>
        </w:numPr>
        <w:spacing w:after="80" w:line="276"/>
      </w:pPr>
      <w:r>
        <w:t xml:space="preserve">Open Source Collective, Mozilla grant application, charity: water pledge integration, Product Hunt / Show HN / press launch.</w:t>
      </w:r>
    </w:p>
    <w:p>
      <w:pPr>
        <w:pStyle w:val="ListParagraph"/>
        <w:numPr>
          <w:ilvl w:val="0"/>
          <w:numId w:val="2"/>
        </w:numPr>
        <w:spacing w:after="80" w:line="276"/>
      </w:pPr>
      <w:r>
        <w:t xml:space="preserve">AI Water Wrapped (yearly), community leaderboards, localization (Hindi/Telugu — the Vizag story gives India launch relevance).</w:t>
      </w:r>
    </w:p>
    <w:p>
      <w:pPr>
        <w:pStyle w:val="Heading3"/>
        <w:spacing w:after="100" w:before="220"/>
      </w:pPr>
      <w:r>
        <w:t xml:space="preserve">Phase 4 — Sustainability</w:t>
      </w:r>
    </w:p>
    <w:p>
      <w:pPr>
        <w:pStyle w:val="ListParagraph"/>
        <w:numPr>
          <w:ilvl w:val="0"/>
          <w:numId w:val="2"/>
        </w:numPr>
        <w:spacing w:after="80" w:line="276"/>
      </w:pPr>
      <w:r>
        <w:t xml:space="preserve">Optional Pro tier; B2B team dashboard pilot with one ESG-minded company; Windows/Linux via Tauri if demand appears.</w:t>
      </w:r>
    </w:p>
    <w:p>
      <w:pPr>
        <w:pStyle w:val="Heading1"/>
        <w:spacing w:after="160" w:before="360"/>
      </w:pPr>
      <w:r>
        <w:t xml:space="preserve">10. Risks and How to Handle Them</w:t>
      </w:r>
    </w:p>
    <w:p>
      <w:pPr>
        <w:pStyle w:val="ListParagraph"/>
        <w:numPr>
          <w:ilvl w:val="0"/>
          <w:numId w:val="2"/>
        </w:numPr>
        <w:spacing w:after="80" w:line="276"/>
      </w:pPr>
      <w:r>
        <w:rPr>
          <w:b/>
          <w:bCs/>
        </w:rPr>
        <w:t xml:space="preserve">Accuracy attacks: </w:t>
      </w:r>
      <w:r>
        <w:t xml:space="preserve">critics will say the numbers are wrong — in both directions. Defense: ranges not point-values, open versioned coefficients, cite every source in-app, and update fast when vendors disclose more.</w:t>
      </w:r>
    </w:p>
    <w:p>
      <w:pPr>
        <w:pStyle w:val="ListParagraph"/>
        <w:numPr>
          <w:ilvl w:val="0"/>
          <w:numId w:val="2"/>
        </w:numPr>
        <w:spacing w:after="80" w:line="276"/>
      </w:pPr>
      <w:r>
        <w:rPr>
          <w:b/>
          <w:bCs/>
        </w:rPr>
        <w:t xml:space="preserve">Vendor opacity: </w:t>
      </w:r>
      <w:r>
        <w:t xml:space="preserve">Anthropic publishes no per-query figures and OpenAI's number is Scope-1 only; the app must clearly mark estimates as estimates. Turn this into advocacy: a public “transparency scorecard” of AI vendors is itself press-worthy.</w:t>
      </w:r>
    </w:p>
    <w:p>
      <w:pPr>
        <w:pStyle w:val="ListParagraph"/>
        <w:numPr>
          <w:ilvl w:val="0"/>
          <w:numId w:val="2"/>
        </w:numPr>
        <w:spacing w:after="80" w:line="276"/>
      </w:pPr>
      <w:r>
        <w:rPr>
          <w:b/>
          <w:bCs/>
        </w:rPr>
        <w:t xml:space="preserve">Platform changes: </w:t>
      </w:r>
      <w:r>
        <w:t xml:space="preserve">ChatGPT/Claude UIs change and can break the extension; keep DOM selectors remotely updatable and the community engaged.</w:t>
      </w:r>
    </w:p>
    <w:p>
      <w:pPr>
        <w:pStyle w:val="ListParagraph"/>
        <w:numPr>
          <w:ilvl w:val="0"/>
          <w:numId w:val="2"/>
        </w:numPr>
        <w:spacing w:after="80" w:line="276"/>
      </w:pPr>
      <w:r>
        <w:rPr>
          <w:b/>
          <w:bCs/>
        </w:rPr>
        <w:t xml:space="preserve">Notification fatigue / preachiness: </w:t>
      </w:r>
      <w:r>
        <w:t xml:space="preserve">the app dies if it nags. Default to silence, delight on milestones, never moralize.</w:t>
      </w:r>
    </w:p>
    <w:p>
      <w:pPr>
        <w:pStyle w:val="ListParagraph"/>
        <w:numPr>
          <w:ilvl w:val="0"/>
          <w:numId w:val="2"/>
        </w:numPr>
        <w:spacing w:after="80" w:line="276"/>
      </w:pPr>
      <w:r>
        <w:rPr>
          <w:b/>
          <w:bCs/>
        </w:rPr>
        <w:t xml:space="preserve">Privacy: </w:t>
      </w:r>
      <w:r>
        <w:t xml:space="preserve">never transmit or store conversation content; local-only by default. This must be provable via open source.</w:t>
      </w:r>
    </w:p>
    <w:p>
      <w:pPr>
        <w:pStyle w:val="Heading1"/>
        <w:spacing w:after="160" w:before="360"/>
      </w:pPr>
      <w:r>
        <w:t xml:space="preserve">11. Key Sources</w:t>
      </w:r>
    </w:p>
    <w:p>
      <w:pPr>
        <w:pStyle w:val="Heading3"/>
        <w:spacing w:after="100" w:before="220"/>
      </w:pPr>
      <w:r>
        <w:t xml:space="preserve">Water footprint science</w:t>
      </w:r>
    </w:p>
    <w:p>
      <w:pPr>
        <w:pStyle w:val="ListParagraph"/>
        <w:numPr>
          <w:ilvl w:val="0"/>
          <w:numId w:val="2"/>
        </w:numPr>
        <w:spacing w:after="60"/>
      </w:pPr>
      <w:hyperlink w:history="1" r:id="rIdtstaxr_bjhbodecu6h0w2">
        <w:r>
          <w:rPr>
            <w:rStyle w:val="Hyperlink"/>
          </w:rPr>
          <w:t xml:space="preserve">Making AI Less “Thirsty” — Ren et al., UC Riverside (arXiv 2304.03271)</w:t>
        </w:r>
      </w:hyperlink>
    </w:p>
    <w:p>
      <w:pPr>
        <w:pStyle w:val="ListParagraph"/>
        <w:numPr>
          <w:ilvl w:val="0"/>
          <w:numId w:val="2"/>
        </w:numPr>
        <w:spacing w:after="60"/>
      </w:pPr>
      <w:hyperlink w:history="1" r:id="rIdvpdltdmzcs-b-rmvmzjda">
        <w:r>
          <w:rPr>
            <w:rStyle w:val="Hyperlink"/>
          </w:rPr>
          <w:t xml:space="preserve">How Hungry is AI? — benchmark of 30 models (arXiv 2505.09598)</w:t>
        </w:r>
      </w:hyperlink>
    </w:p>
    <w:p>
      <w:pPr>
        <w:pStyle w:val="ListParagraph"/>
        <w:numPr>
          <w:ilvl w:val="0"/>
          <w:numId w:val="2"/>
        </w:numPr>
        <w:spacing w:after="60"/>
      </w:pPr>
      <w:hyperlink w:history="1" r:id="rIdfshgdbixf3mxxdvvdynoi">
        <w:r>
          <w:rPr>
            <w:rStyle w:val="Hyperlink"/>
          </w:rPr>
          <w:t xml:space="preserve">Sam Altman: 0.34 Wh &amp; 0.000085 gal per query — Data Center Dynamics</w:t>
        </w:r>
      </w:hyperlink>
    </w:p>
    <w:p>
      <w:pPr>
        <w:pStyle w:val="ListParagraph"/>
        <w:numPr>
          <w:ilvl w:val="0"/>
          <w:numId w:val="2"/>
        </w:numPr>
        <w:spacing w:after="60"/>
      </w:pPr>
      <w:hyperlink w:history="1" r:id="rIdxca4va0sm_v6axop7jtr6">
        <w:r>
          <w:rPr>
            <w:rStyle w:val="Hyperlink"/>
          </w:rPr>
          <w:t xml:space="preserve">Google: measuring the environmental impact of AI inference (Gemini 0.24 Wh / 0.26 ml)</w:t>
        </w:r>
      </w:hyperlink>
    </w:p>
    <w:p>
      <w:pPr>
        <w:pStyle w:val="ListParagraph"/>
        <w:numPr>
          <w:ilvl w:val="0"/>
          <w:numId w:val="2"/>
        </w:numPr>
        <w:spacing w:after="60"/>
      </w:pPr>
      <w:hyperlink w:history="1" r:id="rIdbl7v41zxxw1eor3voqctb">
        <w:r>
          <w:rPr>
            <w:rStyle w:val="Hyperlink"/>
          </w:rPr>
          <w:t xml:space="preserve">Mistral AI — lifecycle analysis contribution to a global environmental standard</w:t>
        </w:r>
      </w:hyperlink>
    </w:p>
    <w:p>
      <w:pPr>
        <w:pStyle w:val="ListParagraph"/>
        <w:numPr>
          <w:ilvl w:val="0"/>
          <w:numId w:val="2"/>
        </w:numPr>
        <w:spacing w:after="60"/>
      </w:pPr>
      <w:hyperlink w:history="1" r:id="rIdjweycgvt9lkukvejxjjju">
        <w:r>
          <w:rPr>
            <w:rStyle w:val="Hyperlink"/>
          </w:rPr>
          <w:t xml:space="preserve">Epoch AI — How much energy does ChatGPT use?</w:t>
        </w:r>
      </w:hyperlink>
    </w:p>
    <w:p>
      <w:pPr>
        <w:pStyle w:val="ListParagraph"/>
        <w:numPr>
          <w:ilvl w:val="0"/>
          <w:numId w:val="2"/>
        </w:numPr>
        <w:spacing w:after="60"/>
      </w:pPr>
      <w:hyperlink w:history="1" r:id="rId9gpygbdzfgt_b2jhlxsdq">
        <w:r>
          <w:rPr>
            <w:rStyle w:val="Hyperlink"/>
          </w:rPr>
          <w:t xml:space="preserve">Water intensity of US electricity (EWIF) — Water Resources Research 2024</w:t>
        </w:r>
      </w:hyperlink>
    </w:p>
    <w:p>
      <w:pPr>
        <w:pStyle w:val="ListParagraph"/>
        <w:numPr>
          <w:ilvl w:val="0"/>
          <w:numId w:val="2"/>
        </w:numPr>
        <w:spacing w:after="60"/>
      </w:pPr>
      <w:hyperlink w:history="1" r:id="rIdlta5hfwnrqahajj4awjpm">
        <w:r>
          <w:rPr>
            <w:rStyle w:val="Hyperlink"/>
          </w:rPr>
          <w:t xml:space="preserve">Microsoft datacenter efficiency &amp; zero-water cooling</w:t>
        </w:r>
      </w:hyperlink>
    </w:p>
    <w:p>
      <w:pPr>
        <w:pStyle w:val="Heading3"/>
        <w:spacing w:after="100" w:before="220"/>
      </w:pPr>
      <w:r>
        <w:t xml:space="preserve">The crisis &amp; the cause</w:t>
      </w:r>
    </w:p>
    <w:p>
      <w:pPr>
        <w:pStyle w:val="ListParagraph"/>
        <w:numPr>
          <w:ilvl w:val="0"/>
          <w:numId w:val="2"/>
        </w:numPr>
        <w:spacing w:after="60"/>
      </w:pPr>
      <w:hyperlink w:history="1" r:id="rId_ljguecocghmszqztjvrj">
        <w:r>
          <w:rPr>
            <w:rStyle w:val="Hyperlink"/>
          </w:rPr>
          <w:t xml:space="preserve">Bloomberg — The AI boom is draining water from the areas that need it most</w:t>
        </w:r>
      </w:hyperlink>
    </w:p>
    <w:p>
      <w:pPr>
        <w:pStyle w:val="ListParagraph"/>
        <w:numPr>
          <w:ilvl w:val="0"/>
          <w:numId w:val="2"/>
        </w:numPr>
        <w:spacing w:after="60"/>
      </w:pPr>
      <w:hyperlink w:history="1" r:id="rIdx1jnxzaot26qgp-5kcgr6">
        <w:r>
          <w:rPr>
            <w:rStyle w:val="Hyperlink"/>
          </w:rPr>
          <w:t xml:space="preserve">Fortune — America's data centers are thirsty (Georgia/Arizona water wars)</w:t>
        </w:r>
      </w:hyperlink>
    </w:p>
    <w:p>
      <w:pPr>
        <w:pStyle w:val="ListParagraph"/>
        <w:numPr>
          <w:ilvl w:val="0"/>
          <w:numId w:val="2"/>
        </w:numPr>
        <w:spacing w:after="60"/>
      </w:pPr>
      <w:hyperlink w:history="1" r:id="rId3hmctqzyaejb0qg0kxq86">
        <w:r>
          <w:rPr>
            <w:rStyle w:val="Hyperlink"/>
          </w:rPr>
          <w:t xml:space="preserve">Data centers could consume 9.3 trillion liters by 2030 — Earth.org / UN report</w:t>
        </w:r>
      </w:hyperlink>
    </w:p>
    <w:p>
      <w:pPr>
        <w:pStyle w:val="ListParagraph"/>
        <w:numPr>
          <w:ilvl w:val="0"/>
          <w:numId w:val="2"/>
        </w:numPr>
        <w:spacing w:after="60"/>
      </w:pPr>
      <w:hyperlink w:history="1" r:id="rId6dppxfzpyvph01psb7fpu">
        <w:r>
          <w:rPr>
            <w:rStyle w:val="Hyperlink"/>
          </w:rPr>
          <w:t xml:space="preserve">Mongabay India — India bets on data centres amid water &amp; energy concerns (Vizag)</w:t>
        </w:r>
      </w:hyperlink>
    </w:p>
    <w:p>
      <w:pPr>
        <w:pStyle w:val="ListParagraph"/>
        <w:numPr>
          <w:ilvl w:val="0"/>
          <w:numId w:val="2"/>
        </w:numPr>
        <w:spacing w:after="60"/>
      </w:pPr>
      <w:hyperlink w:history="1" r:id="rIdyx7winriqe2cmvriukcfk">
        <w:r>
          <w:rPr>
            <w:rStyle w:val="Hyperlink"/>
          </w:rPr>
          <w:t xml:space="preserve">Google breaks ground on India AI hub (Visakhapatnam)</w:t>
        </w:r>
      </w:hyperlink>
    </w:p>
    <w:p>
      <w:pPr>
        <w:pStyle w:val="ListParagraph"/>
        <w:numPr>
          <w:ilvl w:val="0"/>
          <w:numId w:val="2"/>
        </w:numPr>
        <w:spacing w:after="60"/>
      </w:pPr>
      <w:hyperlink w:history="1" r:id="rIdwgw8h0c2ehskhxxe4nwwm">
        <w:r>
          <w:rPr>
            <w:rStyle w:val="Hyperlink"/>
          </w:rPr>
          <w:t xml:space="preserve">EESI — Data centers and water consumption</w:t>
        </w:r>
      </w:hyperlink>
    </w:p>
    <w:p>
      <w:pPr>
        <w:pStyle w:val="Heading3"/>
        <w:spacing w:after="100" w:before="220"/>
      </w:pPr>
      <w:r>
        <w:t xml:space="preserve">Tracking &amp; tools</w:t>
      </w:r>
    </w:p>
    <w:p>
      <w:pPr>
        <w:pStyle w:val="ListParagraph"/>
        <w:numPr>
          <w:ilvl w:val="0"/>
          <w:numId w:val="2"/>
        </w:numPr>
        <w:spacing w:after="60"/>
      </w:pPr>
      <w:hyperlink w:history="1" r:id="rIdokuvqapukqmzquqihipio">
        <w:r>
          <w:rPr>
            <w:rStyle w:val="Hyperlink"/>
          </w:rPr>
          <w:t xml:space="preserve">EcoLogits — open-source AI energy &amp; water estimation</w:t>
        </w:r>
      </w:hyperlink>
    </w:p>
    <w:p>
      <w:pPr>
        <w:pStyle w:val="ListParagraph"/>
        <w:numPr>
          <w:ilvl w:val="0"/>
          <w:numId w:val="2"/>
        </w:numPr>
        <w:spacing w:after="60"/>
      </w:pPr>
      <w:hyperlink w:history="1" r:id="rIda2lvnxwgvexb5b1ggtevx">
        <w:r>
          <w:rPr>
            <w:rStyle w:val="Hyperlink"/>
          </w:rPr>
          <w:t xml:space="preserve">Anthropic Usage &amp; Cost API</w:t>
        </w:r>
      </w:hyperlink>
    </w:p>
    <w:p>
      <w:pPr>
        <w:pStyle w:val="ListParagraph"/>
        <w:numPr>
          <w:ilvl w:val="0"/>
          <w:numId w:val="2"/>
        </w:numPr>
        <w:spacing w:after="60"/>
      </w:pPr>
      <w:hyperlink w:history="1" r:id="rIdbdgoqdlbi0c0bt3opnnls">
        <w:r>
          <w:rPr>
            <w:rStyle w:val="Hyperlink"/>
          </w:rPr>
          <w:t xml:space="preserve">OpenAI Admin APIs</w:t>
        </w:r>
      </w:hyperlink>
    </w:p>
    <w:p>
      <w:pPr>
        <w:pStyle w:val="ListParagraph"/>
        <w:numPr>
          <w:ilvl w:val="0"/>
          <w:numId w:val="2"/>
        </w:numPr>
        <w:spacing w:after="60"/>
      </w:pPr>
      <w:hyperlink w:history="1" r:id="rIdxyscy1u6n_xuhn9nn3qub">
        <w:r>
          <w:rPr>
            <w:rStyle w:val="Hyperlink"/>
          </w:rPr>
          <w:t xml:space="preserve">OpenRouter usage accounting</w:t>
        </w:r>
      </w:hyperlink>
    </w:p>
    <w:p>
      <w:pPr>
        <w:pStyle w:val="ListParagraph"/>
        <w:numPr>
          <w:ilvl w:val="0"/>
          <w:numId w:val="2"/>
        </w:numPr>
        <w:spacing w:after="60"/>
      </w:pPr>
      <w:hyperlink w:history="1" r:id="rIdfqid-jmog1aerfwjb0blt">
        <w:r>
          <w:rPr>
            <w:rStyle w:val="Hyperlink"/>
          </w:rPr>
          <w:t xml:space="preserve">ccusage — local AI CLI usage analysis</w:t>
        </w:r>
      </w:hyperlink>
    </w:p>
    <w:p>
      <w:pPr>
        <w:pStyle w:val="ListParagraph"/>
        <w:numPr>
          <w:ilvl w:val="0"/>
          <w:numId w:val="2"/>
        </w:numPr>
        <w:spacing w:after="60"/>
      </w:pPr>
      <w:hyperlink w:history="1" r:id="rId8uqymvqtgb_uzamh4ng3y">
        <w:r>
          <w:rPr>
            <w:rStyle w:val="Hyperlink"/>
          </w:rPr>
          <w:t xml:space="preserve">claude-counter browser extension (GitHub)</w:t>
        </w:r>
      </w:hyperlink>
    </w:p>
    <w:p>
      <w:pPr>
        <w:pStyle w:val="ListParagraph"/>
        <w:numPr>
          <w:ilvl w:val="0"/>
          <w:numId w:val="2"/>
        </w:numPr>
        <w:spacing w:after="60"/>
      </w:pPr>
      <w:hyperlink w:history="1" r:id="rIdbdvhzr6drjxtunpi6o15p">
        <w:r>
          <w:rPr>
            <w:rStyle w:val="Hyperlink"/>
          </w:rPr>
          <w:t xml:space="preserve">MenuBarExtra — Apple Developer documentation</w:t>
        </w:r>
      </w:hyperlink>
    </w:p>
    <w:p>
      <w:pPr>
        <w:pStyle w:val="Heading3"/>
        <w:spacing w:after="100" w:before="220"/>
      </w:pPr>
      <w:r>
        <w:t xml:space="preserve">Design, marketing &amp; funding</w:t>
      </w:r>
    </w:p>
    <w:p>
      <w:pPr>
        <w:pStyle w:val="ListParagraph"/>
        <w:numPr>
          <w:ilvl w:val="0"/>
          <w:numId w:val="2"/>
        </w:numPr>
        <w:spacing w:after="60"/>
      </w:pPr>
      <w:hyperlink w:history="1" r:id="rIdjcy238hoau_gl4yehzppc">
        <w:r>
          <w:rPr>
            <w:rStyle w:val="Hyperlink"/>
          </w:rPr>
          <w:t xml:space="preserve">Duolingo gamification case study</w:t>
        </w:r>
      </w:hyperlink>
    </w:p>
    <w:p>
      <w:pPr>
        <w:pStyle w:val="ListParagraph"/>
        <w:numPr>
          <w:ilvl w:val="0"/>
          <w:numId w:val="2"/>
        </w:numPr>
        <w:spacing w:after="60"/>
      </w:pPr>
      <w:hyperlink w:history="1" r:id="rIdj_ug8mwpswk4glios9ipz">
        <w:r>
          <w:rPr>
            <w:rStyle w:val="Hyperlink"/>
          </w:rPr>
          <w:t xml:space="preserve">Notification fatigue — product strategies</w:t>
        </w:r>
      </w:hyperlink>
    </w:p>
    <w:p>
      <w:pPr>
        <w:pStyle w:val="ListParagraph"/>
        <w:numPr>
          <w:ilvl w:val="0"/>
          <w:numId w:val="2"/>
        </w:numPr>
        <w:spacing w:after="60"/>
      </w:pPr>
      <w:hyperlink w:history="1" r:id="rId5ofhowbiz7ghbgo3rchep">
        <w:r>
          <w:rPr>
            <w:rStyle w:val="Hyperlink"/>
          </w:rPr>
          <w:t xml:space="preserve">Spotify Wrapped 2025 — the sharing machine</w:t>
        </w:r>
      </w:hyperlink>
    </w:p>
    <w:p>
      <w:pPr>
        <w:pStyle w:val="ListParagraph"/>
        <w:numPr>
          <w:ilvl w:val="0"/>
          <w:numId w:val="2"/>
        </w:numPr>
        <w:spacing w:after="60"/>
      </w:pPr>
      <w:hyperlink w:history="1" r:id="rIdd1cydgcxglmflfnbcow1b">
        <w:r>
          <w:rPr>
            <w:rStyle w:val="Hyperlink"/>
          </w:rPr>
          <w:t xml:space="preserve">Mozilla Technology Fund — AI &amp; Environmental Justice awards</w:t>
        </w:r>
      </w:hyperlink>
    </w:p>
    <w:p>
      <w:pPr>
        <w:pStyle w:val="ListParagraph"/>
        <w:numPr>
          <w:ilvl w:val="0"/>
          <w:numId w:val="2"/>
        </w:numPr>
        <w:spacing w:after="60"/>
      </w:pPr>
      <w:hyperlink w:history="1" r:id="rIdd_mflfsgldzwp-fyyhbpj">
        <w:r>
          <w:rPr>
            <w:rStyle w:val="Hyperlink"/>
          </w:rPr>
          <w:t xml:space="preserve">Open Source Collective — fiscal sponsorship</w:t>
        </w:r>
      </w:hyperlink>
    </w:p>
    <w:p>
      <w:pPr>
        <w:pStyle w:val="ListParagraph"/>
        <w:numPr>
          <w:ilvl w:val="0"/>
          <w:numId w:val="2"/>
        </w:numPr>
        <w:spacing w:after="60"/>
      </w:pPr>
      <w:hyperlink w:history="1" r:id="rIdejo8b2p9gvaix9qivdddv">
        <w:r>
          <w:rPr>
            <w:rStyle w:val="Hyperlink"/>
          </w:rPr>
          <w:t xml:space="preserve">charity: water — project sponsorship</w:t>
        </w:r>
      </w:hyperlink>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E4D75"/>
      <w:sz w:val="32"/>
      <w:szCs w:val="32"/>
    </w:rPr>
  </w:style>
  <w:style w:type="paragraph" w:styleId="Heading2">
    <w:name w:val="Heading 2"/>
    <w:basedOn w:val="Normal"/>
    <w:next w:val="Normal"/>
    <w:qFormat/>
    <w:rPr>
      <w:rFonts w:ascii="Calibri" w:cs="Calibri" w:eastAsia="Calibri" w:hAnsi="Calibri"/>
      <w:b/>
      <w:bCs/>
      <w:color w:val="1F6FB2"/>
      <w:sz w:val="26"/>
      <w:szCs w:val="26"/>
    </w:rPr>
  </w:style>
  <w:style w:type="paragraph" w:styleId="Heading3">
    <w:name w:val="Heading 3"/>
    <w:basedOn w:val="Normal"/>
    <w:next w:val="Normal"/>
    <w:qFormat/>
    <w:rPr>
      <w:rFonts w:ascii="Calibri" w:cs="Calibri" w:eastAsia="Calibri" w:hAnsi="Calibri"/>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staxr_bjhbodecu6h0w2" Type="http://schemas.openxmlformats.org/officeDocument/2006/relationships/hyperlink" Target="https://arxiv.org/abs/2304.03271" TargetMode="External"/><Relationship Id="rIdvpdltdmzcs-b-rmvmzjda" Type="http://schemas.openxmlformats.org/officeDocument/2006/relationships/hyperlink" Target="https://arxiv.org/abs/2505.09598" TargetMode="External"/><Relationship Id="rIdfshgdbixf3mxxdvvdynoi" Type="http://schemas.openxmlformats.org/officeDocument/2006/relationships/hyperlink" Target="https://www.datacenterdynamics.com/en/news/sam-altman-chatgpt-queries-consume-034-watt-hours-of-electricity-and-0000085-gallons-of-water/" TargetMode="External"/><Relationship Id="rIdxca4va0sm_v6axop7jtr6" Type="http://schemas.openxmlformats.org/officeDocument/2006/relationships/hyperlink" Target="https://cloud.google.com/blog/products/infrastructure/measuring-the-environmental-impact-of-ai-inference" TargetMode="External"/><Relationship Id="rIdbl7v41zxxw1eor3voqctb" Type="http://schemas.openxmlformats.org/officeDocument/2006/relationships/hyperlink" Target="https://mistral.ai/news/our-contribution-to-a-global-environmental-standard-for-ai/" TargetMode="External"/><Relationship Id="rIdjweycgvt9lkukvejxjjju" Type="http://schemas.openxmlformats.org/officeDocument/2006/relationships/hyperlink" Target="https://epoch.ai/gradient-updates/how-much-energy-does-chatgpt-use" TargetMode="External"/><Relationship Id="rId9gpygbdzfgt_b2jhlxsdq" Type="http://schemas.openxmlformats.org/officeDocument/2006/relationships/hyperlink" Target="https://agupubs.onlinelibrary.wiley.com/doi/full/10.1029/2024WR038350" TargetMode="External"/><Relationship Id="rIdlta5hfwnrqahajj4awjpm" Type="http://schemas.openxmlformats.org/officeDocument/2006/relationships/hyperlink" Target="https://www.microsoft.com/en-us/microsoft-cloud/blog/2024/12/09/sustainable-by-design-next-generation-datacenters-consume-zero-water-for-cooling/" TargetMode="External"/><Relationship Id="rId_ljguecocghmszqztjvrj" Type="http://schemas.openxmlformats.org/officeDocument/2006/relationships/hyperlink" Target="https://www.bloomberg.com/graphics/2025-ai-impacts-data-centers-water-data/" TargetMode="External"/><Relationship Id="rIdx1jnxzaot26qgp-5kcgr6" Type="http://schemas.openxmlformats.org/officeDocument/2006/relationships/hyperlink" Target="https://fortune.com/2026/05/13/data-center-georgia-arizona-water-wars/" TargetMode="External"/><Relationship Id="rId3hmctqzyaejb0qg0kxq86" Type="http://schemas.openxmlformats.org/officeDocument/2006/relationships/hyperlink" Target="https://earth.org/9-3-trillion-liters-of-water-un-report-exposes-unfathomable-footprint-of-data-centers-as-ai-booms/" TargetMode="External"/><Relationship Id="rId6dppxfzpyvph01psb7fpu" Type="http://schemas.openxmlformats.org/officeDocument/2006/relationships/hyperlink" Target="https://india.mongabay.com/2026/05/india-bets-on-data-centres-even-as-water-energy-use-concerns-mount/" TargetMode="External"/><Relationship Id="rIdyx7winriqe2cmvriukcfk" Type="http://schemas.openxmlformats.org/officeDocument/2006/relationships/hyperlink" Target="https://www.googlecloudpresscorner.com/2026-04-28-Google-Breaks-Ground-on-India-AI-Hub,-Launching-a-National-Industrial-Ecosystem-Alongside-Indias-Digital-Infrastructure-Milestone/" TargetMode="External"/><Relationship Id="rIdwgw8h0c2ehskhxxe4nwwm" Type="http://schemas.openxmlformats.org/officeDocument/2006/relationships/hyperlink" Target="https://www.eesi.org/articles/view/data-centers-and-water-consumption" TargetMode="External"/><Relationship Id="rIdokuvqapukqmzquqihipio" Type="http://schemas.openxmlformats.org/officeDocument/2006/relationships/hyperlink" Target="https://ecologits.ai/latest/" TargetMode="External"/><Relationship Id="rIda2lvnxwgvexb5b1ggtevx" Type="http://schemas.openxmlformats.org/officeDocument/2006/relationships/hyperlink" Target="https://platform.claude.com/docs/en/manage-claude/usage-cost-api" TargetMode="External"/><Relationship Id="rIdbdgoqdlbi0c0bt3opnnls" Type="http://schemas.openxmlformats.org/officeDocument/2006/relationships/hyperlink" Target="https://developers.openai.com/api/docs/guides/admin-apis" TargetMode="External"/><Relationship Id="rIdxyscy1u6n_xuhn9nn3qub" Type="http://schemas.openxmlformats.org/officeDocument/2006/relationships/hyperlink" Target="https://openrouter.ai/docs/cookbook/administration/usage-accounting" TargetMode="External"/><Relationship Id="rIdfqid-jmog1aerfwjb0blt" Type="http://schemas.openxmlformats.org/officeDocument/2006/relationships/hyperlink" Target="https://ccusage.com/" TargetMode="External"/><Relationship Id="rId8uqymvqtgb_uzamh4ng3y" Type="http://schemas.openxmlformats.org/officeDocument/2006/relationships/hyperlink" Target="https://github.com/she-llac/claude-counter" TargetMode="External"/><Relationship Id="rIdbdvhzr6drjxtunpi6o15p" Type="http://schemas.openxmlformats.org/officeDocument/2006/relationships/hyperlink" Target="https://developer.apple.com/documentation/swiftui/menubarextra" TargetMode="External"/><Relationship Id="rIdjcy238hoau_gl4yehzppc" Type="http://schemas.openxmlformats.org/officeDocument/2006/relationships/hyperlink" Target="https://trophy.so/blog/duolingo-gamification-case-study" TargetMode="External"/><Relationship Id="rIdj_ug8mwpswk4glios9ipz" Type="http://schemas.openxmlformats.org/officeDocument/2006/relationships/hyperlink" Target="https://www.courier.com/blog/how-to-reduce-notification-fatigue-7-proven-product-strategies-for-saas" TargetMode="External"/><Relationship Id="rId5ofhowbiz7ghbgo3rchep" Type="http://schemas.openxmlformats.org/officeDocument/2006/relationships/hyperlink" Target="https://newsroom.spotify.com/2025-12-03/2025-wrapped-user-experience/" TargetMode="External"/><Relationship Id="rIdd1cydgcxglmflfnbcow1b" Type="http://schemas.openxmlformats.org/officeDocument/2006/relationships/hyperlink" Target="https://wildlabs.net/funding-opportunity/mozilla-technology-fund-ai-and-environmental-justice-awards" TargetMode="External"/><Relationship Id="rIdd_mflfsgldzwp-fyyhbpj" Type="http://schemas.openxmlformats.org/officeDocument/2006/relationships/hyperlink" Target="https://docs.oscollective.org/for-donors-companies-organizations-and-individuals/supporting-projects" TargetMode="External"/><Relationship Id="rIdejo8b2p9gvaix9qivdddv" Type="http://schemas.openxmlformats.org/officeDocument/2006/relationships/hyperlink" Target="https://www.charitywater.org/donate/water-project-sponsorship"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2026-07-17T17:18:53.562Z</dcterms:created>
  <dcterms:modified xsi:type="dcterms:W3CDTF">2026-07-17T17:18:53.562Z</dcterms:modified>
</cp:coreProperties>
</file>

<file path=docProps/custom.xml><?xml version="1.0" encoding="utf-8"?>
<Properties xmlns="http://schemas.openxmlformats.org/officeDocument/2006/custom-properties" xmlns:vt="http://schemas.openxmlformats.org/officeDocument/2006/docPropsVTypes"/>
</file>