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0"/>
        </w:rPr>
        <w:t>GeoPredict: A Graph Neural Network Framework for Temporal Conflict Forecasting in Global Geopolitical Networks</w:t>
      </w:r>
    </w:p>
    <w:p/>
    <w:p>
      <w:pPr>
        <w:jc w:val="center"/>
      </w:pPr>
      <w:r>
        <w:rPr>
          <w:i/>
          <w:color w:val="5B6474"/>
        </w:rPr>
        <w:t>May 05, 2026</w:t>
      </w:r>
    </w:p>
    <w:p/>
    <w:p>
      <w:pPr>
        <w:pStyle w:val="Heading1"/>
      </w:pPr>
      <w:r>
        <w:rPr>
          <w:rFonts w:ascii="Calibri" w:hAnsi="Calibri"/>
          <w:b/>
          <w:color w:val="0F172A"/>
          <w:sz w:val="36"/>
        </w:rPr>
        <w:t>Abstract</w:t>
      </w:r>
    </w:p>
    <w:p>
      <w:pPr>
        <w:spacing w:line="360" w:lineRule="auto" w:after="120"/>
      </w:pPr>
      <w:r>
        <w:rPr>
          <w:rFonts w:ascii="Calibri" w:hAnsi="Calibri"/>
          <w:color w:val="1E293B"/>
          <w:sz w:val="22"/>
        </w:rPr>
        <w:t>Accurately forecasting interstate conflict remains a key challenge in international relations and computational social science. Traditional approaches struggle with the relational, non-Euclidean structure of global politics. We present GeoPredict, a graph neural network framework that transforms geopolitical event streams from GDELT into temporal graphs for conflict prediction. We implement TemporalGCN and TemporalGAT architectures and evaluate them against logistic regression, random forest, and gradient boosting baselines. Using an augmented temporal dataset spanning 84 months (60 synthetic, 24 real), our baselines achieve up to 82.3% AUC-ROC, while the GNN variants reach 53.6% AUC, revealing a significant performance gap that highlights the challenge of learning graph-structured dependencies from limited real-world conflict data.</w:t>
      </w:r>
    </w:p>
    <w:p>
      <w:pPr>
        <w:pStyle w:val="Heading1"/>
      </w:pPr>
      <w:r>
        <w:rPr>
          <w:rFonts w:ascii="Calibri" w:hAnsi="Calibri"/>
          <w:b/>
          <w:color w:val="0F172A"/>
          <w:sz w:val="36"/>
        </w:rPr>
        <w:t>1. Introduction</w:t>
      </w:r>
    </w:p>
    <w:p>
      <w:pPr>
        <w:pStyle w:val="Heading2"/>
      </w:pPr>
      <w:r>
        <w:rPr>
          <w:rFonts w:ascii="Calibri" w:hAnsi="Calibri"/>
          <w:b/>
          <w:color w:val="0F172A"/>
          <w:sz w:val="28"/>
        </w:rPr>
        <w:t>1.1 The Problem</w:t>
      </w:r>
    </w:p>
    <w:p>
      <w:pPr>
        <w:spacing w:line="360" w:lineRule="auto" w:after="120"/>
      </w:pPr>
      <w:r>
        <w:rPr>
          <w:rFonts w:ascii="Calibri" w:hAnsi="Calibri"/>
          <w:color w:val="1E293B"/>
          <w:sz w:val="22"/>
        </w:rPr>
        <w:t>Forecasting armed conflict has preoccupied scholars and policymakers for centuries. Classical statistical models treat countries as independent observations, discarding the network topology of international relations. Modern machine learning pipelines assume Euclidean feature spaces, struggling with temporal non-stationarity.</w:t>
      </w:r>
    </w:p>
    <w:p>
      <w:pPr>
        <w:pStyle w:val="Heading2"/>
      </w:pPr>
      <w:r>
        <w:rPr>
          <w:rFonts w:ascii="Calibri" w:hAnsi="Calibri"/>
          <w:b/>
          <w:color w:val="0F172A"/>
          <w:sz w:val="28"/>
        </w:rPr>
        <w:t>1.2 The Opportunity</w:t>
      </w:r>
    </w:p>
    <w:p>
      <w:pPr>
        <w:spacing w:line="360" w:lineRule="auto" w:after="120"/>
      </w:pPr>
      <w:r>
        <w:rPr>
          <w:rFonts w:ascii="Calibri" w:hAnsi="Calibri"/>
          <w:color w:val="1E293B"/>
          <w:sz w:val="22"/>
        </w:rPr>
        <w:t>Graph Neural Networks (GNNs) operate directly on graph-structured data, propagating information along edges to learn topology-conditioned representations. Spatio-temporal GNNs further combine graph convolutions with recurrent temporal modules, suited for geopolitical forecasting where structural dependencies span months.</w:t>
      </w:r>
    </w:p>
    <w:p>
      <w:pPr>
        <w:pStyle w:val="Heading2"/>
      </w:pPr>
      <w:r>
        <w:rPr>
          <w:rFonts w:ascii="Calibri" w:hAnsi="Calibri"/>
          <w:b/>
          <w:color w:val="0F172A"/>
          <w:sz w:val="28"/>
        </w:rPr>
        <w:t>1.3 Objective</w:t>
      </w:r>
    </w:p>
    <w:p>
      <w:pPr>
        <w:spacing w:line="360" w:lineRule="auto" w:after="120"/>
      </w:pPr>
      <w:r>
        <w:rPr>
          <w:rFonts w:ascii="Calibri" w:hAnsi="Calibri"/>
          <w:color w:val="1E293B"/>
          <w:sz w:val="22"/>
        </w:rPr>
        <w:t>This paper introduces GeoPredict with three contributions: (1) a reproducible temporal graph pipeline from GDELT 2.0; (2) TemporalGCN and TemporalGAT architectures; (3) empirical evaluation against strong tabular baselines on augmented data.</w:t>
      </w:r>
    </w:p>
    <w:p>
      <w:pPr>
        <w:pStyle w:val="Heading1"/>
      </w:pPr>
      <w:r>
        <w:rPr>
          <w:rFonts w:ascii="Calibri" w:hAnsi="Calibri"/>
          <w:b/>
          <w:color w:val="0F172A"/>
          <w:sz w:val="36"/>
        </w:rPr>
        <w:t>2. Related Work</w:t>
      </w:r>
    </w:p>
    <w:p>
      <w:pPr>
        <w:spacing w:line="360" w:lineRule="auto" w:after="120"/>
      </w:pPr>
      <w:r>
        <w:rPr>
          <w:rFonts w:ascii="Calibri" w:hAnsi="Calibri"/>
          <w:color w:val="1E293B"/>
          <w:sz w:val="22"/>
        </w:rPr>
        <w:t>Event datasets like GDELT and ICEWS encode billions of political events. Classical VAR models and network analysis established that position matters in IR, but the shift to deep graph learning for conflict prediction remains nascent (Kipf et al., 2018; Velickovic et al., 2018).</w:t>
      </w:r>
    </w:p>
    <w:p>
      <w:pPr>
        <w:pStyle w:val="Heading1"/>
      </w:pPr>
      <w:r>
        <w:rPr>
          <w:rFonts w:ascii="Calibri" w:hAnsi="Calibri"/>
          <w:b/>
          <w:color w:val="0F172A"/>
          <w:sz w:val="36"/>
        </w:rPr>
        <w:t>3. System Architecture &amp; Methodology</w:t>
      </w:r>
    </w:p>
    <w:p>
      <w:pPr>
        <w:pStyle w:val="Heading2"/>
      </w:pPr>
      <w:r>
        <w:rPr>
          <w:rFonts w:ascii="Calibri" w:hAnsi="Calibri"/>
          <w:b/>
          <w:color w:val="0F172A"/>
          <w:sz w:val="28"/>
        </w:rPr>
        <w:t>3.1 Data Engineering</w:t>
      </w:r>
    </w:p>
    <w:p>
      <w:pPr>
        <w:spacing w:line="360" w:lineRule="auto" w:after="120"/>
      </w:pPr>
      <w:r>
        <w:rPr>
          <w:rFonts w:ascii="Calibri" w:hAnsi="Calibri"/>
          <w:color w:val="1E293B"/>
          <w:sz w:val="22"/>
        </w:rPr>
        <w:t>GeoPredict ingests GDELT 2.0 events, filters to major-power FIPS countries, and constructs monthly conflict/cooperation networks with Goldstein scores and tone. We augment the original 24-month dataset with 60 synthetically generated months based on fitted empirical distributions, yielding 84 total months.</w:t>
      </w:r>
    </w:p>
    <w:p>
      <w:pPr>
        <w:pStyle w:val="Heading2"/>
      </w:pPr>
      <w:r>
        <w:rPr>
          <w:rFonts w:ascii="Calibri" w:hAnsi="Calibri"/>
          <w:b/>
          <w:color w:val="0F172A"/>
          <w:sz w:val="28"/>
        </w:rPr>
        <w:t>3.2 GNN Framework</w:t>
      </w:r>
    </w:p>
    <w:p>
      <w:pPr>
        <w:spacing w:line="360" w:lineRule="auto" w:after="120"/>
      </w:pPr>
      <w:r>
        <w:rPr>
          <w:rFonts w:ascii="Calibri" w:hAnsi="Calibri"/>
          <w:color w:val="1E293B"/>
          <w:sz w:val="22"/>
        </w:rPr>
        <w:t>TemporalGCN couples an LSTM encoder with symmetrically normalized Graph Convolution (Kipf &amp; Welling, 2017). TemporalGAT replaces convolution with multi-head self-attention (Velickovic et al., 2018). Both project final embeddings through an edge-prediction MLP.</w:t>
      </w:r>
    </w:p>
    <w:p>
      <w:pPr>
        <w:pStyle w:val="Heading2"/>
      </w:pPr>
      <w:r>
        <w:rPr>
          <w:rFonts w:ascii="Calibri" w:hAnsi="Calibri"/>
          <w:b/>
          <w:color w:val="0F172A"/>
          <w:sz w:val="28"/>
        </w:rPr>
        <w:t>3.3 Augmentation Strategy</w:t>
      </w:r>
    </w:p>
    <w:p>
      <w:pPr>
        <w:spacing w:line="360" w:lineRule="auto" w:after="120"/>
      </w:pPr>
      <w:r>
        <w:rPr>
          <w:rFonts w:ascii="Calibri" w:hAnsi="Calibri"/>
          <w:color w:val="1E293B"/>
          <w:sz w:val="22"/>
        </w:rPr>
        <w:t>To address severe data scarcity, we generate 60 months of synthetic history by sampling from per-dyad empirical distributions fit on real GDELT data. The procedure preserves regional conflict patterns (Middle East, South Asia hotspots) and temporal autocorrelation via AR(1) processes on Goldstein scores. The augmented dataset spans January 2019 through December 2025.</w:t>
      </w:r>
    </w:p>
    <w:p>
      <w:pPr>
        <w:pStyle w:val="Heading2"/>
      </w:pPr>
      <w:r>
        <w:rPr>
          <w:rFonts w:ascii="Calibri" w:hAnsi="Calibri"/>
          <w:b/>
          <w:color w:val="0F172A"/>
          <w:sz w:val="28"/>
        </w:rPr>
        <w:t>3.4 Training Pipeline</w:t>
      </w:r>
    </w:p>
    <w:p>
      <w:pPr>
        <w:spacing w:line="360" w:lineRule="auto" w:after="120"/>
      </w:pPr>
      <w:r>
        <w:rPr>
          <w:rFonts w:ascii="Calibri" w:hAnsi="Calibri"/>
          <w:color w:val="1E293B"/>
          <w:sz w:val="22"/>
        </w:rPr>
        <w:t>All experiments use seed=42, temporal window T=12, chronological split (70/10/20), AdamW optimization with weight decay 1e-5, ReduceLROnPlateau scheduling, early stopping (patience=10), and gradient clipping. Threshold optimization maximizes validation F1.</w:t>
      </w:r>
    </w:p>
    <w:p>
      <w:pPr>
        <w:pStyle w:val="Heading1"/>
      </w:pPr>
      <w:r>
        <w:rPr>
          <w:rFonts w:ascii="Calibri" w:hAnsi="Calibri"/>
          <w:b/>
          <w:color w:val="0F172A"/>
          <w:sz w:val="36"/>
        </w:rPr>
        <w:t>4. Implementation Details</w:t>
      </w:r>
    </w:p>
    <w:p>
      <w:pPr>
        <w:spacing w:line="360" w:lineRule="auto" w:after="120"/>
      </w:pPr>
      <w:r>
        <w:rPr>
          <w:rFonts w:ascii="Calibri" w:hAnsi="Calibri"/>
          <w:color w:val="1E293B"/>
          <w:sz w:val="22"/>
        </w:rPr>
        <w:t>Implemented in Python 3.11 with PyTorch 2.x. Models range from 18,977 (TemporalGCN) to 75,265 (TemporalGAT) parameters. Training on CPU takes 6-28 seconds per model. The framework supports CPU and CUDA inference.</w:t>
      </w:r>
    </w:p>
    <w:p>
      <w:pPr>
        <w:pStyle w:val="Heading1"/>
      </w:pPr>
      <w:r>
        <w:rPr>
          <w:rFonts w:ascii="Calibri" w:hAnsi="Calibri"/>
          <w:b/>
          <w:color w:val="0F172A"/>
          <w:sz w:val="36"/>
        </w:rPr>
        <w:t>5. Experiments &amp; Evaluation</w:t>
      </w:r>
    </w:p>
    <w:p>
      <w:pPr>
        <w:pStyle w:val="Heading2"/>
      </w:pPr>
      <w:r>
        <w:rPr>
          <w:rFonts w:ascii="Calibri" w:hAnsi="Calibri"/>
          <w:b/>
          <w:color w:val="0F172A"/>
          <w:sz w:val="28"/>
        </w:rPr>
        <w:t>5.1 Setup</w:t>
      </w:r>
    </w:p>
    <w:p>
      <w:pPr>
        <w:spacing w:line="360" w:lineRule="auto" w:after="120"/>
      </w:pPr>
      <w:r>
        <w:rPr>
          <w:rFonts w:ascii="Calibri" w:hAnsi="Calibri"/>
          <w:color w:val="1E293B"/>
          <w:sz w:val="22"/>
        </w:rPr>
        <w:t>Dataset: 20 major-power countries, 84 monthly periods (60 synthetic + 24 real), ~26,189 valid dyads. Effective supervised split after windowing: 50 train / 7 val / 15 test. Test set is exclusively the real period months (Oct 2024-Dec 2025).</w:t>
      </w:r>
    </w:p>
    <w:p>
      <w:pPr>
        <w:pStyle w:val="Heading2"/>
      </w:pPr>
      <w:r>
        <w:rPr>
          <w:rFonts w:ascii="Calibri" w:hAnsi="Calibri"/>
          <w:b/>
          <w:color w:val="0F172A"/>
          <w:sz w:val="28"/>
        </w:rPr>
        <w:t>5.2 Results</w:t>
      </w:r>
    </w:p>
    <w:p>
      <w:pPr>
        <w:spacing w:line="360" w:lineRule="auto" w:after="120"/>
      </w:pPr>
      <w:r>
        <w:rPr>
          <w:rFonts w:ascii="Calibri" w:hAnsi="Calibri"/>
          <w:i/>
          <w:color w:val="1E293B"/>
          <w:sz w:val="22"/>
        </w:rPr>
        <w:t>Table 1 reports test-set performance on conflict escalation prediction across 3,620 test dyads, all computed at the optimal validation threshold.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2E8F0"/>
          </w:tcPr>
          <w:p>
            <w:r>
              <w:rPr>
                <w:rFonts w:ascii="Calibri" w:hAnsi="Calibri"/>
                <w:b/>
                <w:sz w:val="20"/>
              </w:rPr>
              <w:t>Model</w:t>
            </w:r>
          </w:p>
        </w:tc>
        <w:tc>
          <w:tcPr>
            <w:tcW w:type="dxa" w:w="1440"/>
            <w:shd w:fill="E2E8F0"/>
          </w:tcPr>
          <w:p>
            <w:r>
              <w:rPr>
                <w:rFonts w:ascii="Calibri" w:hAnsi="Calibri"/>
                <w:b/>
                <w:sz w:val="20"/>
              </w:rPr>
              <w:t>AUC</w:t>
            </w:r>
          </w:p>
        </w:tc>
        <w:tc>
          <w:tcPr>
            <w:tcW w:type="dxa" w:w="1440"/>
            <w:shd w:fill="E2E8F0"/>
          </w:tcPr>
          <w:p>
            <w:r>
              <w:rPr>
                <w:rFonts w:ascii="Calibri" w:hAnsi="Calibri"/>
                <w:b/>
                <w:sz w:val="20"/>
              </w:rPr>
              <w:t>Macro-F1</w:t>
            </w:r>
          </w:p>
        </w:tc>
        <w:tc>
          <w:tcPr>
            <w:tcW w:type="dxa" w:w="1440"/>
            <w:shd w:fill="E2E8F0"/>
          </w:tcPr>
          <w:p>
            <w:r>
              <w:rPr>
                <w:rFonts w:ascii="Calibri" w:hAnsi="Calibri"/>
                <w:b/>
                <w:sz w:val="20"/>
              </w:rPr>
              <w:t>Precision</w:t>
            </w:r>
          </w:p>
        </w:tc>
        <w:tc>
          <w:tcPr>
            <w:tcW w:type="dxa" w:w="1440"/>
            <w:shd w:fill="E2E8F0"/>
          </w:tcPr>
          <w:p>
            <w:r>
              <w:rPr>
                <w:rFonts w:ascii="Calibri" w:hAnsi="Calibri"/>
                <w:b/>
                <w:sz w:val="20"/>
              </w:rPr>
              <w:t>Recall</w:t>
            </w:r>
          </w:p>
        </w:tc>
        <w:tc>
          <w:tcPr>
            <w:tcW w:type="dxa" w:w="1440"/>
            <w:shd w:fill="E2E8F0"/>
          </w:tcPr>
          <w:p>
            <w:r>
              <w:rPr>
                <w:rFonts w:ascii="Calibri" w:hAnsi="Calibri"/>
                <w:b/>
                <w:sz w:val="20"/>
              </w:rPr>
              <w:t>Accuracy</w:t>
            </w:r>
          </w:p>
        </w:tc>
      </w:tr>
      <w:tr>
        <w:tc>
          <w:tcPr>
            <w:tcW w:type="dxa" w:w="1440"/>
          </w:tcPr>
          <w:p>
            <w:r>
              <w:rPr>
                <w:rFonts w:ascii="Calibri" w:hAnsi="Calibri"/>
                <w:sz w:val="20"/>
              </w:rPr>
              <w:t>Logistic Regression</w:t>
            </w:r>
          </w:p>
        </w:tc>
        <w:tc>
          <w:tcPr>
            <w:tcW w:type="dxa" w:w="1440"/>
          </w:tcPr>
          <w:p>
            <w:r>
              <w:rPr>
                <w:rFonts w:ascii="Calibri" w:hAnsi="Calibri"/>
                <w:sz w:val="20"/>
              </w:rPr>
              <w:t>0.8231</w:t>
            </w:r>
          </w:p>
        </w:tc>
        <w:tc>
          <w:tcPr>
            <w:tcW w:type="dxa" w:w="1440"/>
          </w:tcPr>
          <w:p>
            <w:r>
              <w:rPr>
                <w:rFonts w:ascii="Calibri" w:hAnsi="Calibri"/>
                <w:sz w:val="20"/>
              </w:rPr>
              <w:t>0.7462</w:t>
            </w:r>
          </w:p>
        </w:tc>
        <w:tc>
          <w:tcPr>
            <w:tcW w:type="dxa" w:w="1440"/>
          </w:tcPr>
          <w:p>
            <w:r>
              <w:rPr>
                <w:rFonts w:ascii="Calibri" w:hAnsi="Calibri"/>
                <w:sz w:val="20"/>
              </w:rPr>
              <w:t>0.6816</w:t>
            </w:r>
          </w:p>
        </w:tc>
        <w:tc>
          <w:tcPr>
            <w:tcW w:type="dxa" w:w="1440"/>
          </w:tcPr>
          <w:p>
            <w:r>
              <w:rPr>
                <w:rFonts w:ascii="Calibri" w:hAnsi="Calibri"/>
                <w:sz w:val="20"/>
              </w:rPr>
              <w:t>0.9207</w:t>
            </w:r>
          </w:p>
        </w:tc>
        <w:tc>
          <w:tcPr>
            <w:tcW w:type="dxa" w:w="1440"/>
          </w:tcPr>
          <w:p>
            <w:r>
              <w:rPr>
                <w:rFonts w:ascii="Calibri" w:hAnsi="Calibri"/>
                <w:sz w:val="20"/>
              </w:rPr>
              <w:t>0.7517</w:t>
            </w:r>
          </w:p>
        </w:tc>
      </w:tr>
      <w:tr>
        <w:tc>
          <w:tcPr>
            <w:tcW w:type="dxa" w:w="1440"/>
          </w:tcPr>
          <w:p>
            <w:r>
              <w:rPr>
                <w:rFonts w:ascii="Calibri" w:hAnsi="Calibri"/>
                <w:sz w:val="20"/>
              </w:rPr>
              <w:t>Random Forest</w:t>
            </w:r>
          </w:p>
        </w:tc>
        <w:tc>
          <w:tcPr>
            <w:tcW w:type="dxa" w:w="1440"/>
          </w:tcPr>
          <w:p>
            <w:r>
              <w:rPr>
                <w:rFonts w:ascii="Calibri" w:hAnsi="Calibri"/>
                <w:sz w:val="20"/>
              </w:rPr>
              <w:t>0.7984</w:t>
            </w:r>
          </w:p>
        </w:tc>
        <w:tc>
          <w:tcPr>
            <w:tcW w:type="dxa" w:w="1440"/>
          </w:tcPr>
          <w:p>
            <w:r>
              <w:rPr>
                <w:rFonts w:ascii="Calibri" w:hAnsi="Calibri"/>
                <w:sz w:val="20"/>
              </w:rPr>
              <w:t>0.5081</w:t>
            </w:r>
          </w:p>
        </w:tc>
        <w:tc>
          <w:tcPr>
            <w:tcW w:type="dxa" w:w="1440"/>
          </w:tcPr>
          <w:p>
            <w:r>
              <w:rPr>
                <w:rFonts w:ascii="Calibri" w:hAnsi="Calibri"/>
                <w:sz w:val="20"/>
              </w:rPr>
              <w:t>0.8684</w:t>
            </w:r>
          </w:p>
        </w:tc>
        <w:tc>
          <w:tcPr>
            <w:tcW w:type="dxa" w:w="1440"/>
          </w:tcPr>
          <w:p>
            <w:r>
              <w:rPr>
                <w:rFonts w:ascii="Calibri" w:hAnsi="Calibri"/>
                <w:sz w:val="20"/>
              </w:rPr>
              <w:t>0.1870</w:t>
            </w:r>
          </w:p>
        </w:tc>
        <w:tc>
          <w:tcPr>
            <w:tcW w:type="dxa" w:w="1440"/>
          </w:tcPr>
          <w:p>
            <w:r>
              <w:rPr>
                <w:rFonts w:ascii="Calibri" w:hAnsi="Calibri"/>
                <w:sz w:val="20"/>
              </w:rPr>
              <w:t>0.5898</w:t>
            </w:r>
          </w:p>
        </w:tc>
      </w:tr>
      <w:tr>
        <w:tc>
          <w:tcPr>
            <w:tcW w:type="dxa" w:w="1440"/>
          </w:tcPr>
          <w:p>
            <w:r>
              <w:rPr>
                <w:rFonts w:ascii="Calibri" w:hAnsi="Calibri"/>
                <w:sz w:val="20"/>
              </w:rPr>
              <w:t>Gradient Boosting</w:t>
            </w:r>
          </w:p>
        </w:tc>
        <w:tc>
          <w:tcPr>
            <w:tcW w:type="dxa" w:w="1440"/>
          </w:tcPr>
          <w:p>
            <w:r>
              <w:rPr>
                <w:rFonts w:ascii="Calibri" w:hAnsi="Calibri"/>
                <w:sz w:val="20"/>
              </w:rPr>
              <w:t>0.7773</w:t>
            </w:r>
          </w:p>
        </w:tc>
        <w:tc>
          <w:tcPr>
            <w:tcW w:type="dxa" w:w="1440"/>
          </w:tcPr>
          <w:p>
            <w:r>
              <w:rPr>
                <w:rFonts w:ascii="Calibri" w:hAnsi="Calibri"/>
                <w:sz w:val="20"/>
              </w:rPr>
              <w:t>0.6028</w:t>
            </w:r>
          </w:p>
        </w:tc>
        <w:tc>
          <w:tcPr>
            <w:tcW w:type="dxa" w:w="1440"/>
          </w:tcPr>
          <w:p>
            <w:r>
              <w:rPr>
                <w:rFonts w:ascii="Calibri" w:hAnsi="Calibri"/>
                <w:sz w:val="20"/>
              </w:rPr>
              <w:t>0.7979</w:t>
            </w:r>
          </w:p>
        </w:tc>
        <w:tc>
          <w:tcPr>
            <w:tcW w:type="dxa" w:w="1440"/>
          </w:tcPr>
          <w:p>
            <w:r>
              <w:rPr>
                <w:rFonts w:ascii="Calibri" w:hAnsi="Calibri"/>
                <w:sz w:val="20"/>
              </w:rPr>
              <w:t>0.3467</w:t>
            </w:r>
          </w:p>
        </w:tc>
        <w:tc>
          <w:tcPr>
            <w:tcW w:type="dxa" w:w="1440"/>
          </w:tcPr>
          <w:p>
            <w:r>
              <w:rPr>
                <w:rFonts w:ascii="Calibri" w:hAnsi="Calibri"/>
                <w:sz w:val="20"/>
              </w:rPr>
              <w:t>0.6387</w:t>
            </w:r>
          </w:p>
        </w:tc>
      </w:tr>
      <w:tr>
        <w:tc>
          <w:tcPr>
            <w:tcW w:type="dxa" w:w="1440"/>
          </w:tcPr>
          <w:p>
            <w:r>
              <w:rPr>
                <w:rFonts w:ascii="Calibri" w:hAnsi="Calibri"/>
                <w:sz w:val="20"/>
              </w:rPr>
              <w:t>TemporalGCN (Ours)</w:t>
            </w:r>
          </w:p>
        </w:tc>
        <w:tc>
          <w:tcPr>
            <w:tcW w:type="dxa" w:w="1440"/>
          </w:tcPr>
          <w:p>
            <w:r>
              <w:rPr>
                <w:rFonts w:ascii="Calibri" w:hAnsi="Calibri"/>
                <w:sz w:val="20"/>
              </w:rPr>
              <w:t>0.5274</w:t>
            </w:r>
          </w:p>
        </w:tc>
        <w:tc>
          <w:tcPr>
            <w:tcW w:type="dxa" w:w="1440"/>
          </w:tcPr>
          <w:p>
            <w:r>
              <w:rPr>
                <w:rFonts w:ascii="Calibri" w:hAnsi="Calibri"/>
                <w:sz w:val="20"/>
              </w:rPr>
              <w:t>0.5000</w:t>
            </w:r>
          </w:p>
        </w:tc>
        <w:tc>
          <w:tcPr>
            <w:tcW w:type="dxa" w:w="1440"/>
          </w:tcPr>
          <w:p>
            <w:r>
              <w:rPr>
                <w:rFonts w:ascii="Calibri" w:hAnsi="Calibri"/>
                <w:sz w:val="20"/>
              </w:rPr>
              <w:t>0.5108</w:t>
            </w:r>
          </w:p>
        </w:tc>
        <w:tc>
          <w:tcPr>
            <w:tcW w:type="dxa" w:w="1440"/>
          </w:tcPr>
          <w:p>
            <w:r>
              <w:rPr>
                <w:rFonts w:ascii="Calibri" w:hAnsi="Calibri"/>
                <w:sz w:val="20"/>
              </w:rPr>
              <w:t>0.1870</w:t>
            </w:r>
          </w:p>
        </w:tc>
        <w:tc>
          <w:tcPr>
            <w:tcW w:type="dxa" w:w="1440"/>
          </w:tcPr>
          <w:p>
            <w:r>
              <w:rPr>
                <w:rFonts w:ascii="Calibri" w:hAnsi="Calibri"/>
                <w:sz w:val="20"/>
              </w:rPr>
              <w:t>0.5163</w:t>
            </w:r>
          </w:p>
        </w:tc>
      </w:tr>
      <w:tr>
        <w:tc>
          <w:tcPr>
            <w:tcW w:type="dxa" w:w="1440"/>
          </w:tcPr>
          <w:p>
            <w:r>
              <w:rPr>
                <w:rFonts w:ascii="Calibri" w:hAnsi="Calibri"/>
                <w:sz w:val="20"/>
              </w:rPr>
              <w:t>TemporalGAT (Ours)</w:t>
            </w:r>
          </w:p>
        </w:tc>
        <w:tc>
          <w:tcPr>
            <w:tcW w:type="dxa" w:w="1440"/>
          </w:tcPr>
          <w:p>
            <w:r>
              <w:rPr>
                <w:rFonts w:ascii="Calibri" w:hAnsi="Calibri"/>
                <w:sz w:val="20"/>
              </w:rPr>
              <w:t>0.5363</w:t>
            </w:r>
          </w:p>
        </w:tc>
        <w:tc>
          <w:tcPr>
            <w:tcW w:type="dxa" w:w="1440"/>
          </w:tcPr>
          <w:p>
            <w:r>
              <w:rPr>
                <w:rFonts w:ascii="Calibri" w:hAnsi="Calibri"/>
                <w:sz w:val="20"/>
              </w:rPr>
              <w:t>0.5556</w:t>
            </w:r>
          </w:p>
        </w:tc>
        <w:tc>
          <w:tcPr>
            <w:tcW w:type="dxa" w:w="1440"/>
          </w:tcPr>
          <w:p>
            <w:r>
              <w:rPr>
                <w:rFonts w:ascii="Calibri" w:hAnsi="Calibri"/>
                <w:sz w:val="20"/>
              </w:rPr>
              <w:t>0.5106</w:t>
            </w:r>
          </w:p>
        </w:tc>
        <w:tc>
          <w:tcPr>
            <w:tcW w:type="dxa" w:w="1440"/>
          </w:tcPr>
          <w:p>
            <w:r>
              <w:rPr>
                <w:rFonts w:ascii="Calibri" w:hAnsi="Calibri"/>
                <w:sz w:val="20"/>
              </w:rPr>
              <w:t>0.3144</w:t>
            </w:r>
          </w:p>
        </w:tc>
        <w:tc>
          <w:tcPr>
            <w:tcW w:type="dxa" w:w="1440"/>
          </w:tcPr>
          <w:p>
            <w:r>
              <w:rPr>
                <w:rFonts w:ascii="Calibri" w:hAnsi="Calibri"/>
                <w:sz w:val="20"/>
              </w:rPr>
              <w:t>0.5188</w:t>
            </w:r>
          </w:p>
        </w:tc>
      </w:tr>
    </w:tbl>
    <w:p/>
    <w:p>
      <w:pPr>
        <w:spacing w:line="360" w:lineRule="auto" w:after="120"/>
      </w:pPr>
      <w:r>
        <w:rPr>
          <w:rFonts w:ascii="Calibri" w:hAnsi="Calibri"/>
          <w:color w:val="1E293B"/>
          <w:sz w:val="22"/>
        </w:rPr>
        <w:t>On the augmented dataset, traditional baselines dramatically outperform the GNN variants. Logistic Regression achieves 82.3% AUC-ROC and 92.1% recall, suggesting that the engineered edge features (conflict/cooperation counts, Goldstein scale, tone, imbalance ratio) carry strong predictive signal. By contrast, TemporalGCN and TemporalGAT plateau at approximately 53% AUC—only marginally above random chance. Several factors explain this gap: (1) Model capacity: the GNNs have 50K-75K parameters, creating severe overfitting on ~50 training windows. (2) Distribution shift: the test set contains only real GDELT data, while 71% of training is synthetic. Synthetic data captures marginal distributions but misses higher-order temporal autocorrelation and geopolitical shocks. (3) Label construction: the Goldstein-drop label formulation (drop &gt; 0.5 month-to-month) is noisy and leads to ~46% positives even in synthetic data, making structural inductive biases less discriminative than tabular features. (4) Message passing may dilute signal: with only 20 nodes, full-graph convolution averages away dyad-specific signals.</w:t>
      </w:r>
    </w:p>
    <w:p>
      <w:pPr>
        <w:pStyle w:val="Heading2"/>
      </w:pPr>
      <w:r>
        <w:rPr>
          <w:rFonts w:ascii="Calibri" w:hAnsi="Calibri"/>
          <w:b/>
          <w:color w:val="0F172A"/>
          <w:sz w:val="28"/>
        </w:rPr>
        <w:t>5.3 Ablation: Effect of Dataset Size</w:t>
      </w:r>
    </w:p>
    <w:p>
      <w:pPr>
        <w:spacing w:line="360" w:lineRule="auto" w:after="120"/>
      </w:pPr>
      <w:r>
        <w:rPr>
          <w:rFonts w:ascii="Calibri" w:hAnsi="Calibri"/>
          <w:color w:val="1E293B"/>
          <w:sz w:val="22"/>
        </w:rPr>
        <w:t>We trained identical models on the original 24-month unaugmented dataset (8 train / 1 val / 3 test). The same baselines achieved 78.4% AUC-ROC, demonstrating that data augmentation did improve baseline performance (+3.9 AUC points for Logistic Regression) but failed to lift GNNs beyond ~53% AUC. This suggests the primary bottleneck is not sample count but the fundamental mismatch between GNN structural priors and the problem formulation.</w:t>
      </w:r>
    </w:p>
    <w:p>
      <w:pPr>
        <w:pStyle w:val="Heading1"/>
      </w:pPr>
      <w:r>
        <w:rPr>
          <w:rFonts w:ascii="Calibri" w:hAnsi="Calibri"/>
          <w:b/>
          <w:color w:val="0F172A"/>
          <w:sz w:val="36"/>
        </w:rPr>
        <w:t>6. Discussion</w:t>
      </w:r>
    </w:p>
    <w:p>
      <w:pPr>
        <w:spacing w:line="360" w:lineRule="auto" w:after="120"/>
      </w:pPr>
      <w:r>
        <w:rPr>
          <w:rFonts w:ascii="Calibri" w:hAnsi="Calibri"/>
          <w:color w:val="1E293B"/>
          <w:sz w:val="22"/>
        </w:rPr>
        <w:t>The principal finding is unequivocal: for this geopolitical conflict prediction task, flat tabular models substantially outperform graph-based architectures. This does not invalidate GNNs for IR but reveals important boundary conditions. GNNs excel when graph structure itself is predictive (e.g., alliance networks, trade dependencies); when the target variable is primarily driven by dyadic feature values (event counts, sentiment scores), graph convolution may add noise through neighborhood averaging. Additionally, with only 20 nodes, the information bottleneck from adjacency-based message passing is minimal, removing the GNN's comparative advantage over fully connected or flat models.</w:t>
      </w:r>
    </w:p>
    <w:p>
      <w:pPr>
        <w:spacing w:line="360" w:lineRule="auto" w:after="120"/>
      </w:pPr>
      <w:r>
        <w:rPr>
          <w:rFonts w:ascii="Calibri" w:hAnsi="Calibri"/>
          <w:color w:val="1E293B"/>
          <w:sz w:val="22"/>
        </w:rPr>
        <w:t>Limitations include synthetic data fidelity (marginal distributions without geopolitical logic), the Goldstein-drop label heuristic (alternative formulations warrant exploration), and the major-power whitelist excluding non-state actors and smaller states. Ethical considerations around predictive conflict models remain critical: all results should be paired with human oversight, uncertainty quantification, and bias auditing.</w:t>
      </w:r>
    </w:p>
    <w:p>
      <w:pPr>
        <w:pStyle w:val="Heading1"/>
      </w:pPr>
      <w:r>
        <w:rPr>
          <w:rFonts w:ascii="Calibri" w:hAnsi="Calibri"/>
          <w:b/>
          <w:color w:val="0F172A"/>
          <w:sz w:val="36"/>
        </w:rPr>
        <w:t>7. Conclusion &amp; Future Work</w:t>
      </w:r>
    </w:p>
    <w:p>
      <w:pPr>
        <w:spacing w:line="360" w:lineRule="auto" w:after="120"/>
      </w:pPr>
      <w:r>
        <w:rPr>
          <w:rFonts w:ascii="Calibri" w:hAnsi="Calibri"/>
          <w:color w:val="1E293B"/>
          <w:sz w:val="22"/>
        </w:rPr>
        <w:t>GeoPredict provides a reproducible pipeline for temporal conflict forecasting with GNNs. On our augmented 84-month dataset, traditional baselines achieve 82.3% AUC-ROC, while TemporalGCN/TAT reach approximately 53%. Future directions include: (1) incorporating multimodal signals (UN voting, trade flows, military expenditure) as node attributes; (2) alternative label formulations (e.g., UCDP conflict onset rather than Goldstein drops); (3) graph transformer architectures; (4) real-time streaming with live GDELT feeds; and (5) causal counterfactual simulation via learned graph generative models.</w:t>
      </w:r>
    </w:p>
    <w:p>
      <w:pPr>
        <w:pStyle w:val="Heading1"/>
      </w:pPr>
      <w:r>
        <w:rPr>
          <w:rFonts w:ascii="Calibri" w:hAnsi="Calibri"/>
          <w:b/>
          <w:color w:val="0F172A"/>
          <w:sz w:val="36"/>
        </w:rPr>
        <w:t>References</w:t>
      </w:r>
    </w:p>
    <w:p>
      <w:pPr>
        <w:pStyle w:val="ListNumber"/>
        <w:spacing w:line="240" w:lineRule="auto" w:after="60"/>
      </w:pPr>
      <w:r>
        <w:rPr>
          <w:sz w:val="20"/>
        </w:rPr>
        <w:t>Kipf, T. N., &amp; Welling, M. (2017). Semi-Supervised Classification with Graph Convolutional Networks. ICLR 2017.</w:t>
      </w:r>
    </w:p>
    <w:p>
      <w:pPr>
        <w:pStyle w:val="ListNumber"/>
        <w:spacing w:line="240" w:lineRule="auto" w:after="60"/>
      </w:pPr>
      <w:r>
        <w:rPr>
          <w:sz w:val="20"/>
        </w:rPr>
        <w:t>Velickovic, P., Cucurull, G., Casanova, A., Romero, A., Lio, P., &amp; Bengio, Y. (2018). Graph Attention Networks. ICLR 2018.</w:t>
      </w:r>
    </w:p>
    <w:p>
      <w:pPr>
        <w:pStyle w:val="ListNumber"/>
        <w:spacing w:line="240" w:lineRule="auto" w:after="60"/>
      </w:pPr>
      <w:r>
        <w:rPr>
          <w:sz w:val="20"/>
        </w:rPr>
        <w:t>Leetaru, K., &amp; Schrodt, P. A. (2013). GDELT: Global Data on Events, Language, and Tone, 1979-2012.</w:t>
      </w:r>
    </w:p>
    <w:p>
      <w:pPr>
        <w:pStyle w:val="ListNumber"/>
        <w:spacing w:line="240" w:lineRule="auto" w:after="60"/>
      </w:pPr>
      <w:r>
        <w:rPr>
          <w:sz w:val="20"/>
        </w:rPr>
        <w:t>Tetlock, P. E., &amp; Gardner, D. (2015). Superforecasting: The Art and Science of Prediction.</w:t>
      </w:r>
    </w:p>
    <w:p>
      <w:pPr>
        <w:pStyle w:val="ListNumber"/>
        <w:spacing w:line="240" w:lineRule="auto" w:after="60"/>
      </w:pPr>
      <w:r>
        <w:rPr>
          <w:sz w:val="20"/>
        </w:rPr>
        <w:t>Maoz, Z. (2010). Networks of Nations: The Evolution, Structure, and Impact of International Networks, 1816-2001.</w:t>
      </w:r>
    </w:p>
    <w:p/>
    <w:p>
      <w:pPr>
        <w:jc w:val="center"/>
      </w:pPr>
      <w:r>
        <w:rPr>
          <w:i/>
          <w:color w:val="5B6474"/>
          <w:sz w:val="18"/>
        </w:rPr>
        <w:t>(c) 2025 GeoPredict Research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