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Applying</w:t>
      </w:r>
      <w:r>
        <w:t xml:space="preserve"> </w:t>
      </w:r>
      <w:r>
        <w:t xml:space="preserve">party</w:t>
      </w:r>
      <w:r>
        <w:t xml:space="preserve"> </w:t>
      </w:r>
      <w:r>
        <w:t xml:space="preserve">pkg</w:t>
      </w:r>
      <w:r>
        <w:t xml:space="preserve"> </w:t>
      </w:r>
      <w:r>
        <w:t xml:space="preserve">on</w:t>
      </w:r>
      <w:r>
        <w:t xml:space="preserve"> </w:t>
      </w:r>
      <w:r>
        <w:t xml:space="preserve">ID3</w:t>
      </w:r>
    </w:p>
    <w:p>
      <w:pPr>
        <w:pStyle w:val="Author"/>
      </w:pPr>
      <w:r>
        <w:t xml:space="preserve">Waniya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party-pkg-in-r-studio-assignment"/>
      <w:bookmarkEnd w:id="21"/>
      <w:r>
        <w:t xml:space="preserve">PARTY Pkg in R studio Assignment</w:t>
      </w:r>
    </w:p>
    <w:p>
      <w:pPr>
        <w:pStyle w:val="FirstParagraph"/>
      </w:pPr>
      <w:r>
        <w:t xml:space="preserve">A computational toolbox for recursive partitioning.</w:t>
      </w:r>
      <w:r>
        <w:t xml:space="preserve"> </w:t>
      </w:r>
      <w:r>
        <w:t xml:space="preserve">The core of the package is ctree(), an implementation of</w:t>
      </w:r>
      <w:r>
        <w:t xml:space="preserve"> </w:t>
      </w:r>
      <w:r>
        <w:t xml:space="preserve">conditional inference trees which embed tree-structured</w:t>
      </w:r>
      <w:r>
        <w:t xml:space="preserve"> </w:t>
      </w:r>
      <w:r>
        <w:t xml:space="preserve">regression models into a well defined theory of conditional</w:t>
      </w:r>
      <w:r>
        <w:t xml:space="preserve"> </w:t>
      </w:r>
      <w:r>
        <w:t xml:space="preserve">inference procedures. This non-parametric class of regression</w:t>
      </w:r>
      <w:r>
        <w:t xml:space="preserve"> </w:t>
      </w:r>
      <w:r>
        <w:t xml:space="preserve">trees is applicable to all kinds of regression problems, including</w:t>
      </w:r>
      <w:r>
        <w:t xml:space="preserve"> </w:t>
      </w:r>
      <w:r>
        <w:t xml:space="preserve">nominal, ordinal, numeric, censored as well as multivariate response</w:t>
      </w:r>
      <w:r>
        <w:t xml:space="preserve"> </w:t>
      </w:r>
      <w:r>
        <w:t xml:space="preserve">variables and arbitrary measurement scales of the covariates.</w:t>
      </w:r>
      <w:r>
        <w:t xml:space="preserve"> </w:t>
      </w:r>
      <w:r>
        <w:t xml:space="preserve">Based on conditional inference trees, cforest() provides an</w:t>
      </w:r>
      <w:r>
        <w:t xml:space="preserve"> </w:t>
      </w:r>
      <w:r>
        <w:t xml:space="preserve">implementation of Breiman’s random forests. The function mob()</w:t>
      </w:r>
      <w:r>
        <w:t xml:space="preserve"> </w:t>
      </w:r>
      <w:r>
        <w:t xml:space="preserve">implements an algorithm for recursive partitioning based on</w:t>
      </w:r>
      <w:r>
        <w:t xml:space="preserve"> </w:t>
      </w:r>
      <w:r>
        <w:t xml:space="preserve">parametric models (e.g. linear models, GLMs or survival</w:t>
      </w:r>
      <w:r>
        <w:t xml:space="preserve"> </w:t>
      </w:r>
      <w:r>
        <w:t xml:space="preserve">regression) employing parameter instability tests for split</w:t>
      </w:r>
      <w:r>
        <w:t xml:space="preserve"> </w:t>
      </w:r>
      <w:r>
        <w:t xml:space="preserve">selection. Extensible functionality for visualizing tree-structured</w:t>
      </w:r>
      <w:r>
        <w:t xml:space="preserve"> </w:t>
      </w:r>
      <w:r>
        <w:t xml:space="preserve">regression models is available. The methods are described in</w:t>
      </w:r>
      <w:r>
        <w:t xml:space="preserve"> </w:t>
      </w:r>
      <w:r>
        <w:t xml:space="preserve">Hothorn et al. (2006)</w:t>
      </w:r>
      <w:r>
        <w:t xml:space="preserve"> </w:t>
      </w:r>
      <w:hyperlink r:id="rId22">
        <w:r>
          <w:rPr>
            <w:rStyle w:val="Hyperlink"/>
          </w:rPr>
          <w:t xml:space="preserve">doi:10.1198/106186006X133933</w:t>
        </w:r>
      </w:hyperlink>
      <w:r>
        <w:t xml:space="preserve">,</w:t>
      </w:r>
      <w:r>
        <w:t xml:space="preserve"> </w:t>
      </w:r>
      <w:r>
        <w:t xml:space="preserve">Zeileis et al. (2008)</w:t>
      </w:r>
      <w:r>
        <w:t xml:space="preserve"> </w:t>
      </w:r>
      <w:hyperlink r:id="rId23">
        <w:r>
          <w:rPr>
            <w:rStyle w:val="Hyperlink"/>
          </w:rPr>
          <w:t xml:space="preserve">doi:10.1198/106186008X319331</w:t>
        </w:r>
      </w:hyperlink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(party)</w:t>
      </w:r>
    </w:p>
    <w:p>
      <w:pPr>
        <w:pStyle w:val="SourceCode"/>
      </w:pPr>
      <w:r>
        <w:rPr>
          <w:rStyle w:val="VerbatimChar"/>
        </w:rPr>
        <w:t xml:space="preserve">## Warning: package 'party'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Loading required package: modeltools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strucchange</w:t>
      </w:r>
    </w:p>
    <w:p>
      <w:pPr>
        <w:pStyle w:val="SourceCode"/>
      </w:pPr>
      <w:r>
        <w:rPr>
          <w:rStyle w:val="VerbatimChar"/>
        </w:rPr>
        <w:t xml:space="preserve">## Warning: package 'strucchange'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sandwich</w:t>
      </w:r>
    </w:p>
    <w:p>
      <w:pPr>
        <w:pStyle w:val="SourceCode"/>
      </w:pPr>
      <w:r>
        <w:rPr>
          <w:rStyle w:val="VerbatimChar"/>
        </w:rPr>
        <w:t xml:space="preserve">## Warning: package 'sandwich' was built under R version 3.4.4</w:t>
      </w:r>
    </w:p>
    <w:p>
      <w:pPr>
        <w:pStyle w:val="SourceCode"/>
      </w:pPr>
      <w:r>
        <w:rPr>
          <w:rStyle w:val="NormalTok"/>
        </w:rPr>
        <w:t xml:space="preserve"> Listofdrinks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"D:/data mining/Listofdrinks.csv"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(Listofdrinks)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ind 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(Listofdrinks),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train.data &lt;-Listofdrinks[ind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 test.data &lt;-Listofdrinks[ind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 myf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fixed.acidity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chlorides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alcohol</w:t>
      </w:r>
      <w:r>
        <w:br w:type="textWrapping"/>
      </w:r>
      <w:r>
        <w:rPr>
          <w:rStyle w:val="NormalTok"/>
        </w:rPr>
        <w:t xml:space="preserve"> Listofdrinks_ctree &lt;-</w:t>
      </w:r>
      <w:r>
        <w:rPr>
          <w:rStyle w:val="KeywordTok"/>
        </w:rPr>
        <w:t xml:space="preserve">ctree</w:t>
      </w:r>
      <w:r>
        <w:rPr>
          <w:rStyle w:val="NormalTok"/>
        </w:rPr>
        <w:t xml:space="preserve">(myf,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train.data)</w:t>
      </w:r>
    </w:p>
    <w:p>
      <w:pPr>
        <w:pStyle w:val="Heading2"/>
      </w:pPr>
      <w:bookmarkStart w:id="25" w:name="decission-tree-of-data"/>
      <w:bookmarkEnd w:id="25"/>
      <w:r>
        <w:t xml:space="preserve">Decission Tree of data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(Listofdrinks_ctree)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y_pkg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7dbb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hyperlink" Id="rId22" Target="doi:10.1198/106186006X133933" TargetMode="External" /><Relationship Type="http://schemas.openxmlformats.org/officeDocument/2006/relationships/hyperlink" Id="rId23" Target="doi:10.1198/106186008X319331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doi:10.1198/106186006X133933" TargetMode="External" /><Relationship Type="http://schemas.openxmlformats.org/officeDocument/2006/relationships/hyperlink" Id="rId23" Target="doi:10.1198/106186008X319331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Applying party pkg on ID3</dc:title>
  <dc:creator>Waniya</dc:creator>
  <dcterms:created xsi:type="dcterms:W3CDTF">2018-05-02T15:43:47Z</dcterms:created>
  <dcterms:modified xsi:type="dcterms:W3CDTF">2018-05-02T15:43:47Z</dcterms:modified>
</cp:coreProperties>
</file>