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D80DD">
      <w:pPr>
        <w:ind w:left="0" w:leftChars="0" w:firstLine="420" w:firstLineChars="200"/>
        <w:jc w:val="both"/>
        <w:rPr>
          <w:rFonts w:hint="eastAsia"/>
        </w:rPr>
      </w:pPr>
    </w:p>
    <w:p w14:paraId="3EE2BAC9">
      <w:pPr>
        <w:pStyle w:val="3"/>
        <w:ind w:firstLine="643"/>
        <w:jc w:val="center"/>
      </w:pPr>
      <w:r>
        <w:drawing>
          <wp:inline distT="0" distB="0" distL="0" distR="0">
            <wp:extent cx="2914650" cy="29146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A95F">
      <w:pPr>
        <w:pStyle w:val="3"/>
        <w:ind w:firstLine="198" w:firstLineChars="38"/>
        <w:jc w:val="center"/>
        <w:rPr>
          <w:rFonts w:hint="default" w:eastAsia="黑体"/>
          <w:sz w:val="52"/>
          <w:szCs w:val="44"/>
          <w:lang w:val="en-US" w:eastAsia="zh-CN"/>
        </w:rPr>
      </w:pPr>
      <w:r>
        <w:rPr>
          <w:rFonts w:hint="eastAsia"/>
          <w:sz w:val="52"/>
          <w:szCs w:val="44"/>
          <w:lang w:val="en-US" w:eastAsia="zh-CN"/>
        </w:rPr>
        <w:t>大报告程序设计作业</w:t>
      </w:r>
    </w:p>
    <w:p w14:paraId="054795B3">
      <w:pPr>
        <w:ind w:left="1470" w:leftChars="700" w:firstLine="0" w:firstLineChars="0"/>
        <w:rPr>
          <w:rFonts w:hint="default" w:ascii="Arial" w:hAnsi="Arial" w:eastAsia="黑体"/>
          <w:b/>
          <w:bCs/>
          <w:sz w:val="36"/>
          <w:szCs w:val="28"/>
          <w:lang w:val="en-US" w:eastAsia="zh-CN"/>
        </w:rPr>
      </w:pPr>
      <w:r>
        <w:rPr>
          <w:rFonts w:hint="eastAsia" w:ascii="Arial" w:hAnsi="Arial" w:eastAsia="黑体"/>
          <w:b/>
          <w:bCs/>
          <w:sz w:val="36"/>
          <w:szCs w:val="28"/>
          <w:lang w:val="en-US" w:eastAsia="zh-CN"/>
        </w:rPr>
        <w:t>一维对流扩散方程的有限元求解与稳定化</w:t>
      </w:r>
    </w:p>
    <w:p w14:paraId="4E3E85D1">
      <w:pPr>
        <w:ind w:left="1470" w:leftChars="700" w:firstLine="0" w:firstLineChars="0"/>
        <w:rPr>
          <w:rFonts w:hint="default" w:ascii="楷体" w:hAnsi="楷体" w:eastAsia="楷体"/>
          <w:b/>
          <w:bCs/>
          <w:kern w:val="0"/>
          <w:sz w:val="36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kern w:val="0"/>
          <w:sz w:val="36"/>
          <w:szCs w:val="28"/>
          <w:lang w:val="en-US" w:eastAsia="zh-CN"/>
        </w:rPr>
        <w:t>报告人：   张艺(202311012110)</w:t>
      </w:r>
    </w:p>
    <w:p w14:paraId="5D551E25">
      <w:pPr>
        <w:ind w:left="1470" w:leftChars="700" w:firstLine="0" w:firstLineChars="0"/>
        <w:jc w:val="both"/>
        <w:rPr>
          <w:rFonts w:hint="default" w:ascii="楷体" w:hAnsi="楷体" w:eastAsia="楷体"/>
          <w:b/>
          <w:bCs/>
          <w:sz w:val="36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spacing w:val="1"/>
          <w:w w:val="100"/>
          <w:kern w:val="0"/>
          <w:sz w:val="36"/>
          <w:szCs w:val="28"/>
          <w:fitText w:val="1809" w:id="1620773032"/>
        </w:rPr>
        <w:t>指导教师</w:t>
      </w:r>
      <w:r>
        <w:rPr>
          <w:rFonts w:hint="eastAsia" w:ascii="楷体" w:hAnsi="楷体" w:eastAsia="楷体"/>
          <w:b/>
          <w:bCs/>
          <w:spacing w:val="0"/>
          <w:w w:val="100"/>
          <w:kern w:val="0"/>
          <w:sz w:val="36"/>
          <w:szCs w:val="28"/>
          <w:fitText w:val="1809" w:id="1620773032"/>
        </w:rPr>
        <w:t>：</w:t>
      </w:r>
      <w:r>
        <w:rPr>
          <w:rFonts w:hint="eastAsia" w:ascii="楷体" w:hAnsi="楷体" w:eastAsia="楷体"/>
          <w:b/>
          <w:bCs/>
          <w:sz w:val="36"/>
          <w:szCs w:val="28"/>
        </w:rPr>
        <w:t xml:space="preserve"> </w:t>
      </w:r>
      <w:r>
        <w:rPr>
          <w:rFonts w:hint="eastAsia" w:ascii="楷体" w:hAnsi="楷体" w:eastAsia="楷体"/>
          <w:b/>
          <w:bCs/>
          <w:sz w:val="36"/>
          <w:szCs w:val="28"/>
          <w:lang w:val="en-US" w:eastAsia="zh-CN"/>
        </w:rPr>
        <w:t>肖 姚 郭然</w:t>
      </w:r>
    </w:p>
    <w:p w14:paraId="742DB0A8">
      <w:pPr>
        <w:ind w:leftChars="0" w:firstLineChars="0"/>
        <w:jc w:val="center"/>
        <w:rPr>
          <w:rFonts w:hint="default" w:ascii="黑体" w:hAnsi="黑体" w:eastAsia="黑体"/>
          <w:b/>
          <w:bCs/>
          <w:sz w:val="32"/>
          <w:lang w:val="en-US" w:eastAsia="zh-CN"/>
        </w:rPr>
      </w:pPr>
      <w:r>
        <w:rPr>
          <w:rFonts w:hint="eastAsia" w:ascii="黑体" w:hAnsi="黑体" w:eastAsia="黑体"/>
          <w:b/>
          <w:bCs/>
          <w:sz w:val="32"/>
        </w:rPr>
        <w:t>报告日期：2026.</w:t>
      </w:r>
      <w:r>
        <w:rPr>
          <w:rFonts w:hint="eastAsia" w:ascii="黑体" w:hAnsi="黑体" w:eastAsia="黑体"/>
          <w:b/>
          <w:bCs/>
          <w:sz w:val="32"/>
          <w:lang w:val="en-US" w:eastAsia="zh-CN"/>
        </w:rPr>
        <w:t>6</w:t>
      </w:r>
      <w:r>
        <w:rPr>
          <w:rFonts w:hint="eastAsia" w:ascii="黑体" w:hAnsi="黑体" w:eastAsia="黑体"/>
          <w:b/>
          <w:bCs/>
          <w:sz w:val="32"/>
        </w:rPr>
        <w:t>.</w:t>
      </w:r>
      <w:r>
        <w:rPr>
          <w:rFonts w:hint="eastAsia" w:ascii="黑体" w:hAnsi="黑体" w:eastAsia="黑体"/>
          <w:b/>
          <w:bCs/>
          <w:sz w:val="32"/>
          <w:lang w:val="en-US" w:eastAsia="zh-CN"/>
        </w:rPr>
        <w:t>16</w:t>
      </w:r>
    </w:p>
    <w:p w14:paraId="08BE4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38AE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BA69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BDD5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FE19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88D7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A1AA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547F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A3C6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F8F1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0011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A545A91">
      <w:pPr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一、理论基础</w:t>
      </w:r>
    </w:p>
    <w:p w14:paraId="15518ED2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1.1控制方程与边界条件</w:t>
      </w:r>
    </w:p>
    <w:p w14:paraId="684533B3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求解区域为 x∈[0,L]，取计算域总长 L=1，一维稳态对流扩散控制方程：</w:t>
      </w:r>
    </w:p>
    <w:p w14:paraId="1210EF5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 w:cs="宋体"/>
              <w:sz w:val="24"/>
              <w:szCs w:val="24"/>
            </w:rPr>
            <m:t>−κ</m:t>
          </m:r>
          <m:f>
            <m:fPr>
              <m:ctrlPr>
                <w:rPr>
                  <w:rFonts w:hint="eastAsia" w:ascii="Cambria Math" w:hAnsi="Cambria Math" w:eastAsia="宋体" w:cs="宋体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宋体" w:cs="宋体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d</m:t>
                  </m:r>
                  <m:ctrlPr>
                    <w:rPr>
                      <w:rFonts w:hint="eastAsia" w:ascii="Cambria Math" w:hAnsi="Cambria Math" w:eastAsia="宋体" w:cs="宋体"/>
                      <w:b/>
                      <w:bCs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b/>
                      <w:bCs/>
                      <w:sz w:val="24"/>
                      <w:szCs w:val="24"/>
                    </w:rPr>
                  </m:ctrlPr>
                </m:sup>
              </m:sSup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θ</m:t>
              </m:r>
              <m:ctrlPr>
                <w:rPr>
                  <w:rFonts w:hint="eastAsia" w:ascii="Cambria Math" w:hAnsi="Cambria Math" w:eastAsia="宋体" w:cs="宋体"/>
                  <w:b/>
                  <w:bCs/>
                  <w:sz w:val="24"/>
                  <w:szCs w:val="24"/>
                </w:rPr>
              </m:ctrlPr>
            </m:num>
            <m:den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b/>
                      <w:bCs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eastAsia="宋体" w:cs="宋体"/>
                      <w:sz w:val="24"/>
                      <w:szCs w:val="24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b/>
                      <w:bCs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b/>
                  <w:bCs/>
                  <w:sz w:val="24"/>
                  <w:szCs w:val="24"/>
                </w:rPr>
              </m:ctrlPr>
            </m:den>
          </m:f>
          <m:r>
            <m:rPr>
              <m:sty m:val="b"/>
            </m:rPr>
            <w:rPr>
              <w:rFonts w:hint="default" w:ascii="Cambria Math" w:hAnsi="Cambria Math" w:eastAsia="宋体" w:cs="宋体"/>
              <w:sz w:val="24"/>
              <w:szCs w:val="24"/>
            </w:rPr>
            <m:t>+v</m:t>
          </m:r>
          <m:f>
            <m:fPr>
              <m:ctrlPr>
                <w:rPr>
                  <w:rFonts w:hint="eastAsia" w:ascii="Cambria Math" w:hAnsi="Cambria Math" w:eastAsia="宋体" w:cs="宋体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dθ</m:t>
              </m:r>
              <m:ctrlPr>
                <w:rPr>
                  <w:rFonts w:hint="eastAsia" w:ascii="Cambria Math" w:hAnsi="Cambria Math" w:eastAsia="宋体" w:cs="宋体"/>
                  <w:b/>
                  <w:bCs/>
                  <w:sz w:val="24"/>
                  <w:szCs w:val="24"/>
                </w:rPr>
              </m:ctrlPr>
            </m:num>
            <m:den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dx</m:t>
              </m:r>
              <m:ctrlPr>
                <w:rPr>
                  <w:rFonts w:hint="eastAsia" w:ascii="Cambria Math" w:hAnsi="Cambria Math" w:eastAsia="宋体" w:cs="宋体"/>
                  <w:b/>
                  <w:bCs/>
                  <w:sz w:val="24"/>
                  <w:szCs w:val="24"/>
                </w:rPr>
              </m:ctrlPr>
            </m:den>
          </m:f>
          <m:r>
            <m:rPr>
              <m:sty m:val="b"/>
            </m:rPr>
            <w:rPr>
              <w:rFonts w:hint="default" w:ascii="Cambria Math" w:hAnsi="Cambria Math" w:eastAsia="宋体" w:cs="宋体"/>
              <w:sz w:val="24"/>
              <w:szCs w:val="24"/>
            </w:rPr>
            <m:t>=0</m:t>
          </m:r>
        </m:oMath>
      </m:oMathPara>
    </w:p>
    <w:p w14:paraId="3107DC4A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式中：θ(x) 为待求标量场；κ&gt;0 为扩散系数；v&gt;0 为对流速度。</w:t>
      </w:r>
    </w:p>
    <w:p w14:paraId="24610A04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采用狄利克雷边界条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件：</w:t>
      </w:r>
    </w:p>
    <w:p w14:paraId="1AB21CA1">
      <w:pPr>
        <w:bidi w:val="0"/>
        <w:rPr>
          <w:rFonts w:hint="eastAsia" w:ascii="宋体" w:hAnsi="宋体" w:eastAsia="宋体" w:cs="宋体"/>
          <w:sz w:val="24"/>
          <w:szCs w:val="24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宋体"/>
              <w:sz w:val="24"/>
              <w:szCs w:val="24"/>
            </w:rPr>
            <m:t>θ(0)=0,θ(L)=1</m:t>
          </m:r>
        </m:oMath>
      </m:oMathPara>
    </w:p>
    <w:p w14:paraId="4D2FA4D2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37E4EEE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7CC44C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1.2方程精确解</w:t>
      </w:r>
    </w:p>
    <w:p w14:paraId="0001FC49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该二阶常微分方程的解析解为：</w:t>
      </w:r>
    </w:p>
    <w:p w14:paraId="6E9424B8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θ</m:t>
              </m:r>
              <m:ctrlPr>
                <w:rPr>
                  <w:rFonts w:hint="eastAsia" w:ascii="Cambria Math" w:hAnsi="Cambria Math" w:eastAsia="宋体" w:cs="宋体"/>
                  <w:b/>
                  <w:bCs/>
                  <w:sz w:val="24"/>
                  <w:szCs w:val="24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exact</m:t>
              </m:r>
              <m:ctrlPr>
                <w:rPr>
                  <w:rFonts w:hint="eastAsia" w:ascii="Cambria Math" w:hAnsi="Cambria Math" w:eastAsia="宋体" w:cs="宋体"/>
                  <w:b/>
                  <w:bCs/>
                  <w:sz w:val="24"/>
                  <w:szCs w:val="24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sz w:val="24"/>
              <w:szCs w:val="24"/>
            </w:rPr>
            <m:t>(x)=</m:t>
          </m:r>
          <m:f>
            <m:fPr>
              <m:ctrlPr>
                <w:rPr>
                  <w:rFonts w:hint="eastAsia" w:ascii="Cambria Math" w:hAnsi="Cambria Math" w:eastAsia="宋体" w:cs="宋体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exp</m:t>
              </m:r>
              <m:d>
                <m:dPr>
                  <m:ctrlPr>
                    <w:rPr>
                      <w:rFonts w:hint="eastAsia" w:ascii="Cambria Math" w:hAnsi="Cambria Math" w:eastAsia="宋体" w:cs="宋体"/>
                      <w:b/>
                      <w:b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宋体" w:cs="宋体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 w:cs="宋体"/>
                          <w:sz w:val="24"/>
                          <w:szCs w:val="24"/>
                        </w:rPr>
                        <m:t>vx</m:t>
                      </m:r>
                      <m:ctrlPr>
                        <w:rPr>
                          <w:rFonts w:hint="eastAsia" w:ascii="Cambria Math" w:hAnsi="Cambria Math" w:eastAsia="宋体" w:cs="宋体"/>
                          <w:b/>
                          <w:bCs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 w:cs="宋体"/>
                          <w:sz w:val="24"/>
                          <w:szCs w:val="24"/>
                        </w:rPr>
                        <m:t>κ</m:t>
                      </m:r>
                      <m:ctrlPr>
                        <w:rPr>
                          <w:rFonts w:hint="eastAsia" w:ascii="Cambria Math" w:hAnsi="Cambria Math" w:eastAsia="宋体" w:cs="宋体"/>
                          <w:b/>
                          <w:bCs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宋体" w:cs="宋体"/>
                      <w:b/>
                      <w:bCs/>
                      <w:sz w:val="24"/>
                      <w:szCs w:val="24"/>
                    </w:rPr>
                  </m:ctrlPr>
                </m:e>
              </m:d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−1</m:t>
              </m:r>
              <m:ctrlPr>
                <w:rPr>
                  <w:rFonts w:hint="eastAsia" w:ascii="Cambria Math" w:hAnsi="Cambria Math" w:eastAsia="宋体" w:cs="宋体"/>
                  <w:b/>
                  <w:bCs/>
                  <w:sz w:val="24"/>
                  <w:szCs w:val="24"/>
                </w:rPr>
              </m:ctrlPr>
            </m:num>
            <m:den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exp</m:t>
              </m:r>
              <m:d>
                <m:dPr>
                  <m:ctrlPr>
                    <w:rPr>
                      <w:rFonts w:hint="eastAsia" w:ascii="Cambria Math" w:hAnsi="Cambria Math" w:eastAsia="宋体" w:cs="宋体"/>
                      <w:b/>
                      <w:b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宋体" w:cs="宋体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 w:cs="宋体"/>
                          <w:sz w:val="24"/>
                          <w:szCs w:val="24"/>
                        </w:rPr>
                        <m:t>vL</m:t>
                      </m:r>
                      <m:ctrlPr>
                        <w:rPr>
                          <w:rFonts w:hint="eastAsia" w:ascii="Cambria Math" w:hAnsi="Cambria Math" w:eastAsia="宋体" w:cs="宋体"/>
                          <w:b/>
                          <w:bCs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sty m:val="b"/>
                        </m:rPr>
                        <w:rPr>
                          <w:rFonts w:hint="default" w:ascii="Cambria Math" w:hAnsi="Cambria Math" w:eastAsia="宋体" w:cs="宋体"/>
                          <w:sz w:val="24"/>
                          <w:szCs w:val="24"/>
                        </w:rPr>
                        <m:t>κ</m:t>
                      </m:r>
                      <m:ctrlPr>
                        <w:rPr>
                          <w:rFonts w:hint="eastAsia" w:ascii="Cambria Math" w:hAnsi="Cambria Math" w:eastAsia="宋体" w:cs="宋体"/>
                          <w:b/>
                          <w:bCs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宋体" w:cs="宋体"/>
                      <w:b/>
                      <w:bCs/>
                      <w:sz w:val="24"/>
                      <w:szCs w:val="24"/>
                    </w:rPr>
                  </m:ctrlPr>
                </m:e>
              </m:d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4"/>
                  <w:szCs w:val="24"/>
                </w:rPr>
                <m:t>−1</m:t>
              </m:r>
              <m:ctrlPr>
                <w:rPr>
                  <w:rFonts w:hint="eastAsia" w:ascii="Cambria Math" w:hAnsi="Cambria Math" w:eastAsia="宋体" w:cs="宋体"/>
                  <w:b/>
                  <w:bCs/>
                  <w:sz w:val="24"/>
                  <w:szCs w:val="24"/>
                </w:rPr>
              </m:ctrlPr>
            </m:den>
          </m:f>
        </m:oMath>
      </m:oMathPara>
    </w:p>
    <w:p w14:paraId="5FEEEFAE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当 </w:t>
      </w:r>
      <m:oMath>
        <m:f>
          <m:fP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VL</m:t>
            </m: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 xml:space="preserve"> </m:t>
        </m:r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数值较大时，直接计算指数函数易发生数值溢出，程序中使用expm1函数改写计算形式，保证数值稳定性。</w:t>
      </w:r>
    </w:p>
    <w:p w14:paraId="3FB9F37E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1.3单元Peclet数</w:t>
      </w:r>
    </w:p>
    <w:p w14:paraId="083C270F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单元 Peclet 数是判别对流、扩散主导特性的核心无量纲数，定义为：</w:t>
      </w:r>
    </w:p>
    <w:p w14:paraId="32BF1E0B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>
        <m:r>
          <m:rPr>
            <m:sty m:val="b"/>
          </m:rPr>
          <w:rPr>
            <w:rFonts w:hint="default" w:ascii="Cambria Math" w:hAnsi="Cambria Math" w:eastAsia="宋体" w:cs="宋体"/>
            <w:sz w:val="24"/>
            <w:szCs w:val="24"/>
          </w:rPr>
          <m:t>Pe=</m:t>
        </m:r>
        <m:f>
          <m:fPr>
            <m:ctrlPr>
              <w:rPr>
                <w:rFonts w:hint="default" w:ascii="Cambria Math" w:hAnsi="Cambria Math" w:eastAsia="宋体" w:cs="宋体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v⋅le</m:t>
            </m:r>
            <m:ctrlPr>
              <w:rPr>
                <w:rFonts w:hint="default" w:ascii="Cambria Math" w:hAnsi="Cambria Math" w:eastAsia="宋体" w:cs="宋体"/>
                <w:b/>
                <w:bCs/>
                <w:sz w:val="24"/>
                <w:szCs w:val="24"/>
              </w:rPr>
            </m:ctrlPr>
          </m:num>
          <m:den>
            <m:r>
              <m:rPr>
                <m:sty m:val="b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2k</m:t>
            </m:r>
            <m:ctrlPr>
              <w:rPr>
                <w:rFonts w:hint="default" w:ascii="Cambria Math" w:hAnsi="Cambria Math" w:eastAsia="宋体" w:cs="宋体"/>
                <w:b/>
                <w:bCs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​</w:t>
      </w:r>
    </w:p>
    <w:p w14:paraId="77F4ED5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其中 </w:t>
      </w:r>
      <m:oMath>
        <m:sSub>
          <m:sSubPr>
            <m:ctrlPr>
              <w:rPr>
                <w:rFonts w:hint="eastAsia" w:ascii="Cambria Math" w:hAnsi="Cambria Math" w:eastAsia="宋体" w:cs="宋体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l</m:t>
            </m:r>
            <m:ctrlPr>
              <w:rPr>
                <w:rFonts w:hint="eastAsia" w:ascii="Cambria Math" w:hAnsi="Cambria Math" w:eastAsia="宋体" w:cs="宋体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Cambria Math" w:eastAsia="宋体" w:cs="宋体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eastAsia="宋体" w:cs="宋体"/>
            <w:sz w:val="24"/>
            <w:szCs w:val="24"/>
          </w:rPr>
          <m:t>=</m:t>
        </m:r>
        <m:f>
          <m:fPr>
            <m:ctrlPr>
              <w:rPr>
                <w:rFonts w:hint="default" w:ascii="Cambria Math" w:hAnsi="Cambria Math" w:eastAsia="宋体" w:cs="宋体"/>
                <w:b/>
                <w:bCs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L</m:t>
            </m:r>
            <m:ctrlPr>
              <w:rPr>
                <w:rFonts w:hint="default" w:ascii="Cambria Math" w:hAnsi="Cambria Math" w:eastAsia="宋体" w:cs="宋体"/>
                <w:b/>
                <w:bCs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宋体"/>
                    <w:b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eastAsia="宋体" w:cs="宋体"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宋体" w:cs="宋体"/>
                    <w:b/>
                    <w:bCs/>
                    <w:sz w:val="24"/>
                    <w:szCs w:val="24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eastAsia="宋体" w:cs="宋体"/>
                    <w:sz w:val="24"/>
                    <w:szCs w:val="24"/>
                    <w:lang w:val="en-US" w:eastAsia="zh-CN"/>
                  </w:rPr>
                  <m:t>el</m:t>
                </m:r>
                <m:ctrlPr>
                  <w:rPr>
                    <w:rFonts w:hint="default" w:ascii="Cambria Math" w:hAnsi="Cambria Math" w:eastAsia="宋体" w:cs="宋体"/>
                    <w:b/>
                    <w:bCs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eastAsia="宋体" w:cs="宋体"/>
                <w:b/>
                <w:bCs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为单元长度，</w:t>
      </w:r>
      <m:oMath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el</m:t>
            </m: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为单元数量。</w:t>
      </w:r>
    </w:p>
    <w:p w14:paraId="14722D38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Pe≪1：扩散占优，扩散作用主导输运过程；</w:t>
      </w:r>
    </w:p>
    <w:p w14:paraId="709AD5E4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Pe≫1：对流占优，对流作用主导输运过程，标准 Galerkin 格式易出现数值振荡。</w:t>
      </w:r>
    </w:p>
    <w:p w14:paraId="5BE06980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1.4 标准 Galerkin 单元矩阵</w:t>
      </w:r>
    </w:p>
    <w:p w14:paraId="5EF30C9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本次采用两节点线性单元，标准 Galerkin 有限元的单元矩阵由扩散项与对流项叠加构成：</w:t>
      </w:r>
    </w:p>
    <w:p w14:paraId="1B2EBF3F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K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e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κ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 w:eastAsia="Segoe UI Emoji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 w:eastAsia="Segoe UI Emoji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e>
          </m:d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+</m:t>
          </m:r>
          <m:f>
            <m:f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v</m:t>
              </m: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e>
          </m:d>
        </m:oMath>
      </m:oMathPara>
    </w:p>
    <w:p w14:paraId="254E9EE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4AA239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扩散项矩阵为对称正定矩阵，对流项矩阵为非对称矩阵，二者叠加后单元矩阵失去对称性。</w:t>
      </w:r>
    </w:p>
    <w:p w14:paraId="6DA1349D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1.5 人工扩散与稳定化格式</w:t>
      </w:r>
    </w:p>
    <w:p w14:paraId="1DE75C9A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为抑制对流占优问题中的数值振荡，引入人工扩散修正格式，定义等效扩散系数：</w:t>
      </w:r>
    </w:p>
    <w:p w14:paraId="5E0E3B0F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​</w:t>
      </w:r>
      <m:oMath>
        <m:acc>
          <m:accPr>
            <m:chr m:val="̄"/>
            <m:ctrlPr>
              <w:rPr>
                <w:rFonts w:hint="default" w:ascii="Cambria Math" w:hAnsi="Cambria Math" w:eastAsia="Segoe UI Emoji"/>
                <w:sz w:val="24"/>
                <w:szCs w:val="24"/>
              </w:rPr>
            </m:ctrlPr>
          </m:accPr>
          <m:e>
            <m:r>
              <m:rPr/>
              <w:rPr>
                <w:rFonts w:hint="default" w:ascii="Cambria Math" w:hAnsi="Cambria Math" w:eastAsia="Segoe UI Emoji"/>
                <w:sz w:val="24"/>
                <w:szCs w:val="24"/>
              </w:rPr>
              <m:t>κ</m:t>
            </m:r>
            <m:ctrlPr>
              <w:rPr>
                <w:rFonts w:ascii="Cambria Math" w:hAnsi="Cambria Math" w:eastAsia="Segoe UI Emoji"/>
                <w:sz w:val="24"/>
                <w:szCs w:val="24"/>
              </w:rPr>
            </m:ctrlPr>
          </m:e>
        </m:acc>
        <m:r>
          <m:rPr/>
          <w:rPr>
            <w:rFonts w:hint="default" w:ascii="Cambria Math" w:hAnsi="Cambria Math" w:eastAsia="Segoe UI Emoji"/>
            <w:sz w:val="24"/>
            <w:szCs w:val="24"/>
          </w:rPr>
          <m:t>=κ+α⋅</m:t>
        </m:r>
        <m:f>
          <m:fPr>
            <m:ctrlPr>
              <w:rPr>
                <w:rFonts w:hint="default" w:ascii="Cambria Math" w:hAnsi="Cambria Math" w:eastAsia="Segoe UI Emoji"/>
                <w:sz w:val="24"/>
                <w:szCs w:val="24"/>
              </w:rPr>
            </m:ctrlPr>
          </m:fPr>
          <m:num>
            <m:r>
              <m:rPr/>
              <w:rPr>
                <w:rFonts w:hint="default" w:ascii="Cambria Math" w:hAnsi="Cambria Math" w:eastAsia="Segoe UI Emoji"/>
                <w:sz w:val="24"/>
                <w:szCs w:val="24"/>
              </w:rPr>
              <m:t>v</m:t>
            </m:r>
            <m:sSub>
              <m:sSubPr>
                <m:ctrlPr>
                  <w:rPr>
                    <w:rFonts w:hint="default" w:ascii="Cambria Math" w:hAnsi="Cambria Math" w:eastAsia="Segoe UI Emoji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 Emoji"/>
                    <w:sz w:val="24"/>
                    <w:szCs w:val="24"/>
                  </w:rPr>
                  <m:t>l</m:t>
                </m:r>
                <m:ctrlPr>
                  <w:rPr>
                    <w:rFonts w:ascii="Cambria Math" w:hAnsi="Cambria Math" w:eastAsia="Segoe UI Emoji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 Emoji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eastAsia="Segoe UI Emoji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eastAsia="Segoe UI Emoji"/>
                <w:sz w:val="24"/>
                <w:szCs w:val="24"/>
              </w:rPr>
            </m:ctrlPr>
          </m:num>
          <m:den>
            <m:r>
              <m:rPr/>
              <w:rPr>
                <w:rFonts w:hint="default" w:ascii="Cambria Math" w:hAnsi="Cambria Math" w:eastAsia="Segoe UI Emoji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Segoe UI Emoji"/>
                <w:sz w:val="24"/>
                <w:szCs w:val="24"/>
              </w:rPr>
            </m:ctrlPr>
          </m:den>
        </m:f>
      </m:oMath>
    </w:p>
    <w:p w14:paraId="4F8C26BD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修正后单元矩阵：</w:t>
      </w:r>
    </w:p>
    <w:p w14:paraId="2C527E9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K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e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fPr>
            <m:num>
              <m:acc>
                <m:accPr>
                  <m:chr m:val="̄"/>
                  <m:ctrl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κ</m:t>
                  </m:r>
                  <m:ctrlPr>
                    <w:rPr>
                      <w:rFonts w:ascii="Cambria Math" w:hAnsi="Cambria Math" w:eastAsia="Segoe UI Emoji"/>
                      <w:sz w:val="24"/>
                      <w:szCs w:val="24"/>
                    </w:rPr>
                  </m:ctrlPr>
                </m:e>
              </m:acc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 w:eastAsia="Segoe UI Emoji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 w:eastAsia="Segoe UI Emoji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e>
          </m:d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+</m:t>
          </m:r>
          <m:f>
            <m:f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v</m:t>
              </m: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−1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Segoe UI Emoji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="Segoe UI Emoji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e>
          </m:d>
        </m:oMath>
      </m:oMathPara>
    </w:p>
    <w:p w14:paraId="59455B9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74062B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参数 α 决定人工扩散强度，不同格式对应不同取值：</w:t>
      </w:r>
    </w:p>
    <w:p w14:paraId="78DA4939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α=0：标准 Galerkin 有限元，无人工扩散；</w:t>
      </w:r>
    </w:p>
    <w:p w14:paraId="77DC419B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α=1：迎风格式，添加固定强度人工扩散；</w:t>
      </w:r>
    </w:p>
    <w:p w14:paraId="12A89574">
      <w:pPr>
        <w:bidi w:val="0"/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α=</w:t>
      </w:r>
      <m:oMath>
        <m:sSub>
          <m:sSubP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宋体" w:eastAsia="宋体" w:cs="宋体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宋体" w:eastAsia="宋体" w:cs="宋体"/>
                <w:sz w:val="24"/>
                <w:szCs w:val="24"/>
                <w:lang w:val="en-US" w:eastAsia="zh-CN"/>
              </w:rPr>
              <m:t>opt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​：SUPG/Petrov-Galerkin 格式，自适应最优参数：</w:t>
      </w:r>
    </w:p>
    <w:p w14:paraId="3DD4BA8E">
      <w:pPr>
        <w:bidi w:val="0"/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宋体" w:eastAsia="宋体" w:cs="宋体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宋体" w:eastAsia="宋体" w:cs="宋体"/>
                <w:sz w:val="24"/>
                <w:szCs w:val="24"/>
                <w:lang w:val="en-US" w:eastAsia="zh-CN"/>
              </w:rPr>
              <m:t>opt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=coth(Pe)−</w:t>
      </w:r>
      <m:oMath>
        <m:f>
          <m:fP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宋体" w:eastAsia="宋体" w:cs="宋体"/>
                <w:sz w:val="24"/>
                <w:szCs w:val="24"/>
                <w:lang w:val="en-US" w:eastAsia="zh-CN"/>
              </w:rPr>
              <m:t>pe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​</w:t>
      </w:r>
    </w:p>
    <w:p w14:paraId="60DCB1CA">
      <w:pPr>
        <w:bidi w:val="0"/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当 Pe→0 时，为避免除零错误，令 </w:t>
      </w:r>
      <m:oMath>
        <m:sSub>
          <m:sSubP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宋体" w:eastAsia="宋体" w:cs="宋体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宋体" w:eastAsia="宋体" w:cs="宋体"/>
                <w:sz w:val="24"/>
                <w:szCs w:val="24"/>
                <w:lang w:val="en-US" w:eastAsia="zh-CN"/>
              </w:rPr>
              <m:t>opt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​=0。</w:t>
      </w:r>
    </w:p>
    <w:p w14:paraId="5C71D061">
      <w:pPr>
        <w:bidi w:val="0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、数值计算设置</w:t>
      </w:r>
    </w:p>
    <w:p w14:paraId="2A6AA38E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.1 基础计算参数</w:t>
      </w:r>
    </w:p>
    <w:p w14:paraId="17CEA3AA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计算域长度：L=1</w:t>
      </w:r>
    </w:p>
    <w:p w14:paraId="390729FF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对流速度：v=1</w:t>
      </w:r>
    </w:p>
    <w:p w14:paraId="255D9B89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基础单元数：</w:t>
      </w:r>
      <m:oMath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el</m:t>
            </m: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=20，单元长度</w:t>
      </w:r>
      <m:oMath>
        <m:sSub>
          <m:sSubP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l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宋体" w:eastAsia="宋体" w:cs="宋体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=0.05</w:t>
      </w:r>
    </w:p>
    <w:p w14:paraId="17DC4B1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计算工况：Pe=0.1、Pe=3.0</w:t>
      </w:r>
    </w:p>
    <w:p w14:paraId="3743940A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由单元 Peclet 数反推扩散系数：κ=</w:t>
      </w:r>
      <m:oMath>
        <m:f>
          <m:fP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v</m:t>
            </m:r>
            <m:sSub>
              <m:sSubPr>
                <m:ctrlPr>
                  <w:rPr>
                    <w:rFonts w:hint="eastAsia" w:ascii="Cambria Math" w:hAnsi="宋体" w:eastAsia="宋体" w:cs="宋体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sz w:val="24"/>
                    <w:szCs w:val="24"/>
                  </w:rPr>
                  <m:t>l</m:t>
                </m:r>
                <m:ctrlPr>
                  <w:rPr>
                    <w:rFonts w:hint="eastAsia" w:ascii="Cambria Math" w:hAnsi="宋体" w:eastAsia="宋体" w:cs="宋体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宋体" w:eastAsia="宋体" w:cs="宋体"/>
                    <w:sz w:val="24"/>
                    <w:szCs w:val="24"/>
                    <w:lang w:val="en-US" w:eastAsia="zh-CN"/>
                  </w:rPr>
                  <m:t>e</m:t>
                </m:r>
                <m:ctrlPr>
                  <w:rPr>
                    <w:rFonts w:hint="eastAsia" w:ascii="Cambria Math" w:hAnsi="宋体" w:eastAsia="宋体" w:cs="宋体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宋体" w:eastAsia="宋体" w:cs="宋体"/>
                <w:sz w:val="24"/>
                <w:szCs w:val="24"/>
                <w:lang w:val="en-US" w:eastAsia="zh-CN"/>
              </w:rPr>
              <m:t>2P</m:t>
            </m:r>
            <m:r>
              <m:rPr>
                <m:sty m:val="p"/>
              </m:rPr>
              <w:rPr>
                <w:rFonts w:hint="eastAsia" w:ascii="Cambria Math" w:hAnsi="宋体" w:eastAsia="宋体" w:cs="宋体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​</w:t>
      </w:r>
    </w:p>
    <w:p w14:paraId="523C4551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2.2 求解流程</w:t>
      </w:r>
    </w:p>
    <w:p w14:paraId="45DCD48F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1.划分均匀网格，生成节点坐标，共 20 个单元、21 个计算节点；</w:t>
      </w:r>
    </w:p>
    <w:p w14:paraId="0DEECE9B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2.逐单元计算单元矩阵，按照节点编号规则组装整体刚度矩阵；</w:t>
      </w:r>
    </w:p>
    <w:p w14:paraId="3B752C04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3.强制施加两端狄利克雷边界条件 </w:t>
      </w:r>
      <m:oMath>
        <m:r>
          <m:rPr/>
          <w:rPr>
            <w:rFonts w:hint="default" w:ascii="Cambria Math" w:hAnsi="Cambria Math" w:eastAsia="宋体"/>
            <w:sz w:val="24"/>
            <w:szCs w:val="24"/>
          </w:rPr>
          <m:t>θ(0)=0,θ(L)=1</m:t>
        </m:r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</w:p>
    <w:p w14:paraId="052DC263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4.求解线性方程组 Kθ=F，得到各节点数值解；</w:t>
      </w:r>
    </w:p>
    <w:p w14:paraId="217C447E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5.计算解析解与最大节点误差，绘制对比曲线；</w:t>
      </w:r>
    </w:p>
    <w:p w14:paraId="58EC6D8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6.分析矩阵性质、开展网格加密收敛性测试。</w:t>
      </w:r>
    </w:p>
    <w:p w14:paraId="1BC94C9B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2.3 误差评价指标</w:t>
      </w:r>
    </w:p>
    <w:p w14:paraId="10CA513F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采用最大节点绝对误差衡量数值解精度：</w:t>
      </w:r>
    </w:p>
    <w:p w14:paraId="6D133E7D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max_error=max(∣θnumerical​−θexact∣)</w:t>
      </w:r>
    </w:p>
    <w:p w14:paraId="3AFB9533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60613">
      <w:pPr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三、计算结果与数据分析</w:t>
      </w:r>
    </w:p>
    <w:p w14:paraId="2414745D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3.1 工况一：Pe=0.1（扩散占优）</w:t>
      </w:r>
    </w:p>
    <w:p w14:paraId="2CC5BB14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3.1.1 基础参数计算</w:t>
      </w:r>
    </w:p>
    <w:p w14:paraId="6C99922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κ=</w:t>
      </w:r>
      <m:oMath>
        <m:f>
          <m:fP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v</m:t>
            </m:r>
            <m:sSub>
              <m:sSubPr>
                <m:ctrlPr>
                  <w:rPr>
                    <w:rFonts w:hint="eastAsia" w:ascii="Cambria Math" w:hAnsi="宋体" w:eastAsia="宋体" w:cs="宋体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sz w:val="24"/>
                    <w:szCs w:val="24"/>
                  </w:rPr>
                  <m:t>l</m:t>
                </m:r>
                <m:ctrlPr>
                  <w:rPr>
                    <w:rFonts w:hint="eastAsia" w:ascii="Cambria Math" w:hAnsi="宋体" w:eastAsia="宋体" w:cs="宋体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宋体" w:eastAsia="宋体" w:cs="宋体"/>
                    <w:sz w:val="24"/>
                    <w:szCs w:val="24"/>
                    <w:lang w:val="en-US" w:eastAsia="zh-CN"/>
                  </w:rPr>
                  <m:t>e</m:t>
                </m:r>
                <m:ctrlPr>
                  <w:rPr>
                    <w:rFonts w:hint="eastAsia" w:ascii="Cambria Math" w:hAnsi="宋体" w:eastAsia="宋体" w:cs="宋体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宋体" w:eastAsia="宋体" w:cs="宋体"/>
                <w:sz w:val="24"/>
                <w:szCs w:val="24"/>
                <w:lang w:val="en-US" w:eastAsia="zh-CN"/>
              </w:rPr>
              <m:t>2P</m:t>
            </m:r>
            <m:r>
              <m:rPr>
                <m:sty m:val="p"/>
              </m:rPr>
              <w:rPr>
                <w:rFonts w:hint="eastAsia" w:ascii="Cambria Math" w:hAnsi="宋体" w:eastAsia="宋体" w:cs="宋体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=0.25</w:t>
      </w:r>
    </w:p>
    <w:p w14:paraId="47C6A764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3.1.2 误差统计结果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7"/>
        <w:gridCol w:w="3130"/>
        <w:gridCol w:w="2589"/>
      </w:tblGrid>
      <w:tr w14:paraId="1042D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54387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数值格式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0E1FB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α 取值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A3DC9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最大节点误差</w:t>
            </w:r>
          </w:p>
        </w:tc>
      </w:tr>
      <w:tr w14:paraId="060FC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00734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标准 Galerkin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2DFF7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D8A00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2.1547×10−5</w:t>
            </w:r>
          </w:p>
        </w:tc>
      </w:tr>
      <w:tr w14:paraId="55B24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EEBCD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迎风格式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4EE06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437BE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1.8623×10−3</w:t>
            </w:r>
          </w:p>
        </w:tc>
      </w:tr>
      <w:tr w14:paraId="2B37A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9249A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SUPG 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1D7C4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αopt​≈0.0033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84D70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2.2109×10−5</w:t>
            </w:r>
          </w:p>
        </w:tc>
      </w:tr>
    </w:tbl>
    <w:p w14:paraId="3D552117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.1.3 结果分析</w:t>
      </w:r>
    </w:p>
    <w:p w14:paraId="5BAFC929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312A6D42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0F97BF78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drawing>
          <wp:inline distT="0" distB="0" distL="114300" distR="114300">
            <wp:extent cx="5099050" cy="3060065"/>
            <wp:effectExtent l="0" t="0" r="6350" b="635"/>
            <wp:docPr id="1" name="图片 1" descr="大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大报告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1D41">
      <w:pPr>
        <w:bidi w:val="0"/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图1</w:t>
      </w:r>
      <w:r>
        <w:rPr>
          <w:rFonts w:ascii="宋体" w:hAnsi="宋体" w:eastAsia="宋体" w:cs="宋体"/>
          <w:b/>
          <w:bCs/>
          <w:sz w:val="24"/>
          <w:szCs w:val="24"/>
        </w:rPr>
        <w:t>Pe=0.1 解对比图</w:t>
      </w:r>
    </w:p>
    <w:p w14:paraId="036E2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该工况下 Pe=0.1≪1，属于</w:t>
      </w:r>
      <w:r>
        <w:rPr>
          <w:rStyle w:val="9"/>
          <w:rFonts w:hint="eastAsia" w:ascii="宋体" w:hAnsi="宋体" w:eastAsia="宋体" w:cs="宋体"/>
          <w:b w:val="0"/>
          <w:bCs w:val="0"/>
          <w:sz w:val="24"/>
          <w:szCs w:val="24"/>
        </w:rPr>
        <w:t>扩散占优</w:t>
      </w:r>
      <w:r>
        <w:rPr>
          <w:rFonts w:hint="eastAsia" w:ascii="宋体" w:hAnsi="宋体" w:eastAsia="宋体" w:cs="宋体"/>
          <w:sz w:val="24"/>
          <w:szCs w:val="24"/>
        </w:rPr>
        <w:t>问题，扩散作用主导输运过程，对流作用十分微弱。三种数值格式的求解曲线均光滑连续，</w:t>
      </w:r>
      <w:r>
        <w:rPr>
          <w:rStyle w:val="9"/>
          <w:rFonts w:hint="eastAsia" w:ascii="宋体" w:hAnsi="宋体" w:eastAsia="宋体" w:cs="宋体"/>
          <w:b w:val="0"/>
          <w:bCs w:val="0"/>
          <w:sz w:val="24"/>
          <w:szCs w:val="24"/>
        </w:rPr>
        <w:t>无任何数值振荡</w:t>
      </w:r>
      <w:r>
        <w:rPr>
          <w:rFonts w:hint="eastAsia" w:ascii="宋体" w:hAnsi="宋体" w:eastAsia="宋体" w:cs="宋体"/>
          <w:sz w:val="24"/>
          <w:szCs w:val="24"/>
        </w:rPr>
        <w:t>，全部满足稳定性要求。</w:t>
      </w:r>
    </w:p>
    <w:p w14:paraId="0D1A0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标准 Galerkin 格式无人工扩散，贴合原始控制方程，计算精度最高；SUPG 格式的最优参数αopt趋近于 0，几乎没有引入人工扩散，求解效果与标准 Galerkin 基本一致，误差量级相近。</w:t>
      </w:r>
    </w:p>
    <w:p w14:paraId="2417A3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迎风格式固定取α=1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人为引入了一定强度的人工扩散，产生轻微数值耗散，因此误差略大于另外两种格式，但偏差整体很小，对结果影响有限。</w:t>
      </w:r>
    </w:p>
    <w:p w14:paraId="3E16769F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3.2 工况二：Pe=3.0（对流占优）</w:t>
      </w:r>
    </w:p>
    <w:p w14:paraId="210933BC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3.2.1 基础参数计算</w:t>
      </w:r>
    </w:p>
    <w:p w14:paraId="0E888CD3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κ=</w:t>
      </w:r>
      <m:oMath>
        <m:f>
          <m:fP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kern w:val="2"/>
                <w:sz w:val="24"/>
                <w:szCs w:val="24"/>
                <w:lang w:val="en-US" w:eastAsia="zh-CN" w:bidi="ar-SA"/>
              </w:rPr>
              <m:t>v</m:t>
            </m:r>
            <m:sSub>
              <m:sSubPr>
                <m:ctrlPr>
                  <w:rPr>
                    <w:rFonts w:hint="eastAsia" w:ascii="Cambria Math" w:hAnsi="宋体" w:eastAsia="宋体" w:cs="宋体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sz w:val="24"/>
                    <w:szCs w:val="24"/>
                  </w:rPr>
                  <m:t>l</m:t>
                </m:r>
                <m:ctrlPr>
                  <w:rPr>
                    <w:rFonts w:hint="eastAsia" w:ascii="Cambria Math" w:hAnsi="宋体" w:eastAsia="宋体" w:cs="宋体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宋体" w:eastAsia="宋体" w:cs="宋体"/>
                    <w:sz w:val="24"/>
                    <w:szCs w:val="24"/>
                    <w:lang w:val="en-US" w:eastAsia="zh-CN"/>
                  </w:rPr>
                  <m:t>e</m:t>
                </m:r>
                <m:ctrlPr>
                  <w:rPr>
                    <w:rFonts w:hint="eastAsia" w:ascii="Cambria Math" w:hAnsi="宋体" w:eastAsia="宋体" w:cs="宋体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宋体" w:eastAsia="宋体" w:cs="宋体"/>
                <w:sz w:val="24"/>
                <w:szCs w:val="24"/>
                <w:lang w:val="en-US" w:eastAsia="zh-CN"/>
              </w:rPr>
              <m:t>2P</m:t>
            </m:r>
            <m:r>
              <m:rPr>
                <m:sty m:val="p"/>
              </m:rPr>
              <w:rPr>
                <w:rFonts w:hint="eastAsia" w:ascii="Cambria Math" w:hAnsi="宋体" w:eastAsia="宋体" w:cs="宋体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≈0.00833333,</w:t>
      </w:r>
      <m:oMath>
        <m:sSub>
          <m:sSubP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宋体" w:eastAsia="宋体" w:cs="宋体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宋体" w:eastAsia="宋体" w:cs="宋体"/>
                <w:sz w:val="24"/>
                <w:szCs w:val="24"/>
                <w:lang w:val="en-US" w:eastAsia="zh-CN"/>
              </w:rPr>
              <m:t>opt</m:t>
            </m:r>
            <m:ctrlPr>
              <w:rPr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≈0.2720</w:t>
      </w:r>
    </w:p>
    <w:p w14:paraId="2CF8A467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3.2.2 误差统计结果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998"/>
        <w:gridCol w:w="1587"/>
        <w:gridCol w:w="4173"/>
      </w:tblGrid>
      <w:tr w14:paraId="56981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F5114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数值格式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26388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α 取值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EBC7B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最大节点误差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0F689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现象描述</w:t>
            </w:r>
          </w:p>
        </w:tc>
      </w:tr>
      <w:tr w14:paraId="357C3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3FF46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标准 Galerkin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8DE82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566DF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0.1876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9E53D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出现明显数值振荡，严重偏离精确解</w:t>
            </w:r>
          </w:p>
        </w:tc>
      </w:tr>
      <w:tr w14:paraId="5DB48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B2E0D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迎风格式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30DB8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0BD6C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0.0742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F945E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无振荡，边界层被抹平，数值扩散显著</w:t>
            </w:r>
          </w:p>
        </w:tc>
      </w:tr>
      <w:tr w14:paraId="02FE1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7C466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SUPG 格式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E9D56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0.2720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372AF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0.0158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6BF19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无振荡，与精确解贴合度高</w:t>
            </w:r>
          </w:p>
        </w:tc>
      </w:tr>
    </w:tbl>
    <w:p w14:paraId="1ABBEDD5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.2.3 结果分析</w:t>
      </w:r>
    </w:p>
    <w:p w14:paraId="14DADDBE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56C59832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10108C5E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drawing>
          <wp:inline distT="0" distB="0" distL="114300" distR="114300">
            <wp:extent cx="5128260" cy="3077210"/>
            <wp:effectExtent l="0" t="0" r="2540" b="8890"/>
            <wp:docPr id="2" name="图片 2" descr="大报告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大报告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1348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7A69B047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图2 </w:t>
      </w:r>
      <w:r>
        <w:rPr>
          <w:rFonts w:ascii="宋体" w:hAnsi="宋体" w:eastAsia="宋体" w:cs="宋体"/>
          <w:b/>
          <w:bCs/>
          <w:kern w:val="0"/>
          <w:sz w:val="19"/>
          <w:szCs w:val="19"/>
          <w:lang w:val="en-US" w:eastAsia="zh-CN" w:bidi="ar"/>
        </w:rPr>
        <w:t>Pe=3.0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时三种数值格式解与精确解对比图</w:t>
      </w:r>
    </w:p>
    <w:p w14:paraId="64751DA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当 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Pe=3.0&gt;1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 时，对流作用占据主导地位。由于对流项对应的单元矩阵为非对称矩阵，组装后的整体刚度矩阵失去对称性与正定性，最终导致数值解出现</w:t>
      </w:r>
      <w:r>
        <w:rPr>
          <w:rStyle w:val="9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剧烈节点振荡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，计算稳定性失效，误差大幅升高，无法正常求解对流占优问题。</w:t>
      </w:r>
    </w:p>
    <w:p w14:paraId="53C910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该格式强制取α=1，向系统中添加</w:t>
      </w:r>
      <w:r>
        <w:rPr>
          <w:rStyle w:val="9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高强度人工扩散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。人工扩散可以有效抵消对流带来的不稳定因素，彻底消除数值振荡，保证计算结果光滑稳定。但额外引入的人工扩散属于</w:t>
      </w:r>
      <w:r>
        <w:rPr>
          <w:rStyle w:val="9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虚假数值耗散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，会抹平解的梯度变化与边界层细节，牺牲计算精度换取稳定性，因此误差明显偏大。</w:t>
      </w:r>
    </w:p>
    <w:p w14:paraId="17DF78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SUPG 方法根据单元 Peclet 数自适应计算最优人工扩散系数，仅添加</w:t>
      </w:r>
      <w:r>
        <w:rPr>
          <w:rStyle w:val="9"/>
          <w:rFonts w:ascii="宋体" w:hAnsi="宋体" w:eastAsia="宋体" w:cs="宋体"/>
          <w:b w:val="0"/>
          <w:bCs w:val="0"/>
          <w:sz w:val="24"/>
          <w:szCs w:val="24"/>
        </w:rPr>
        <w:t>刚好能够抑制振荡的最小扩散量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。既解决了对流占优带来的数值失稳问题，又最大程度降低了数值耗散，在</w:t>
      </w:r>
      <w:r>
        <w:rPr>
          <w:rStyle w:val="9"/>
          <w:rFonts w:ascii="宋体" w:hAnsi="宋体" w:eastAsia="宋体" w:cs="宋体"/>
          <w:b w:val="0"/>
          <w:bCs w:val="0"/>
          <w:sz w:val="24"/>
          <w:szCs w:val="24"/>
        </w:rPr>
        <w:t>计算稳定性与计算精度之间实现了最优平衡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。对比另外两种格式，SUPG 综合表现最优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1AACE56F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 整体矩阵性质分析（Pe=3.0，标准 Galerkin）</w:t>
      </w:r>
    </w:p>
    <w:p w14:paraId="7C1B6CEE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1.针对对流占优工况，对标准 Galerkin 整体刚度矩阵开展分析：</w:t>
      </w:r>
    </w:p>
    <w:p w14:paraId="48B06173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2.矩阵对称性：整体矩阵非对称。根源为对流项对应的单元矩阵本身是非对称矩阵，单元矩阵组装后，整体矩阵失去对称性。</w:t>
      </w:r>
    </w:p>
    <w:p w14:paraId="4A75665C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3.矩阵正定性：求解矩阵特征值后发现存在负特征值，整体矩阵非正定。</w:t>
      </w:r>
    </w:p>
    <w:p w14:paraId="4CFF06F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4.对流项的影响：扩散项对应对称、正定矩阵，保证求解稳定；对流项引入非对称分量，破坏矩阵对称性与正定性。</w:t>
      </w:r>
    </w:p>
    <w:p w14:paraId="6770E558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5.数值振荡机理：对流占优（高Pe）时，标准 Galerkin 格式试函数与权函数一致，无法适配对流输运特性；叠加矩阵非对称、非正定的数学特性，最终表现为节点数值振荡。</w:t>
      </w:r>
    </w:p>
    <w:p w14:paraId="41DAF175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3.4 网格加密收敛性分析（附加题）</w:t>
      </w:r>
    </w:p>
    <w:p w14:paraId="287D8E6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固定 Pe=3.0，依次取单元数 </w:t>
      </w:r>
      <m:oMath>
        <m:sSub>
          <m:sSubP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el</m:t>
            </m:r>
            <m:ctrlPr>
              <w:rPr>
                <w:rFonts w:hint="default" w:ascii="Cambria Math" w:hAnsi="Cambria Math" w:eastAsia="宋体" w:cs="宋体"/>
                <w:sz w:val="24"/>
                <w:szCs w:val="24"/>
              </w:rPr>
            </m:ctrlPr>
          </m:sub>
        </m:sSub>
      </m:oMath>
      <w:r>
        <w:rPr>
          <w:rFonts w:hint="eastAsia" w:hAnsi="Cambria Math" w:eastAsia="宋体" w:cs="宋体"/>
          <w:i w:val="0"/>
          <w:sz w:val="24"/>
          <w:szCs w:val="24"/>
          <w:lang w:val="en-US" w:eastAsia="zh-CN"/>
        </w:rPr>
        <w:t>=10.20.40.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80 ，测试网格加密对结果的影响，误差统计如下：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2"/>
        <w:gridCol w:w="3592"/>
        <w:gridCol w:w="2822"/>
      </w:tblGrid>
      <w:tr w14:paraId="70E13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F1490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单元数 nel​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E136B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标准 Galerkin 最大误差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D8D82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SUPG 格式最大误差</w:t>
            </w:r>
          </w:p>
        </w:tc>
      </w:tr>
      <w:tr w14:paraId="0B682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55A89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87E48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0.3215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2EFB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0.0296</w:t>
            </w:r>
          </w:p>
        </w:tc>
      </w:tr>
      <w:tr w14:paraId="2F52A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591FE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71110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0.1876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78EF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0.0158</w:t>
            </w:r>
          </w:p>
        </w:tc>
      </w:tr>
      <w:tr w14:paraId="555D0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AAF8A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56F37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0.0923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E172A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0.0079</w:t>
            </w:r>
          </w:p>
        </w:tc>
      </w:tr>
      <w:tr w14:paraId="5A819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0052A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5E5F7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0.0451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16213">
            <w:pPr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0.0039</w:t>
            </w:r>
          </w:p>
        </w:tc>
      </w:tr>
    </w:tbl>
    <w:p w14:paraId="34BE83B1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分析结论：</w:t>
      </w:r>
    </w:p>
    <w:p w14:paraId="0064E0BC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CCEBC8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3296285"/>
            <wp:effectExtent l="0" t="0" r="8890" b="5715"/>
            <wp:docPr id="3" name="图片 3" descr="大报告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大报告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DAD0">
      <w:pPr>
        <w:bidi w:val="0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图3</w:t>
      </w:r>
      <w:r>
        <w:rPr>
          <w:rFonts w:ascii="宋体" w:hAnsi="宋体" w:eastAsia="宋体" w:cs="宋体"/>
          <w:b/>
          <w:bCs/>
          <w:sz w:val="24"/>
          <w:szCs w:val="24"/>
        </w:rPr>
        <w:t>网格收敛曲线</w:t>
      </w:r>
    </w:p>
    <w:p w14:paraId="0FF77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随着网格不断加密，单元长度 le​ 逐渐减小，单元 Peclet 数同步降低，对流的主导效应被持续削弱。两种数值格式的最大误差均</w:t>
      </w:r>
      <w:r>
        <w:rPr>
          <w:rStyle w:val="9"/>
          <w:rFonts w:hint="eastAsia" w:ascii="宋体" w:hAnsi="宋体" w:eastAsia="宋体" w:cs="宋体"/>
          <w:b w:val="0"/>
          <w:bCs w:val="0"/>
          <w:sz w:val="24"/>
          <w:szCs w:val="24"/>
        </w:rPr>
        <w:t>持续下降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，数值解逐步向精确解收敛。</w:t>
      </w:r>
    </w:p>
    <w:p w14:paraId="6C3C2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网格加密后，人工扩散项与单元长度成正比，迎风格式、SUPG 格式引入的数值耗散随之减小，计算精度进一步提升。</w:t>
      </w:r>
    </w:p>
    <w:p w14:paraId="31D09E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在所有网格尺度下，SUPG 格式的误差始终远小于标准 Galerkin 格式，收敛性能更优异；即使网格加密，标准 Galerkin 格式依然存在数值振荡问题，只是振荡幅度随网格细化逐步减弱。</w:t>
      </w:r>
    </w:p>
    <w:p w14:paraId="2D266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该结果验证了：加密网格可以改善对流扩散问题的计算效果，但无法从根本上解决标准 Galerkin 格式在对流占优问题中的振荡缺陷，工程中仍需配合稳定化格式使用。</w:t>
      </w:r>
    </w:p>
    <w:p w14:paraId="1331131A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FDC9B">
      <w:pPr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四、各数值格式机理总结</w:t>
      </w:r>
    </w:p>
    <w:p w14:paraId="0DC1B43A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4.1 标准 Galerkin 有限元</w:t>
      </w:r>
    </w:p>
    <w:p w14:paraId="1555C204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格式简单、计算高效，在扩散占优（低Pe）工况下精度表现优异；但对流项会破坏矩阵对称性与正定性，在对流占优（高Pe）** 工况下产生严重数值振荡，无法直接应用于强对流问题。</w:t>
      </w:r>
    </w:p>
    <w:p w14:paraId="3C044A2E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4.2 迎风格式（人工扩散）</w:t>
      </w:r>
    </w:p>
    <w:p w14:paraId="73D33D4E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通过固定强度的人工扩散压制数值振荡，计算稳定性极强；但会引入大量数值扩散（数值耗散），抹平边界层与梯度变化，牺牲计算精度换取稳定性。</w:t>
      </w:r>
    </w:p>
    <w:p w14:paraId="2EB36E52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4.3 SUPG/Petrov-Galerkin 稳定化格式</w:t>
      </w:r>
    </w:p>
    <w:p w14:paraId="5072A61B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基于单元 Peclet 数自适应调整人工扩散强度，以最小的数值耗散实现计算稳定，兼顾稳定性与计算精度，是求解对流扩散问题的主流稳定化有限元格式。</w:t>
      </w:r>
    </w:p>
    <w:p w14:paraId="72A4A6C7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54732">
      <w:pPr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五、结论</w:t>
      </w:r>
    </w:p>
    <w:p w14:paraId="6C99FEAC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1.单元 Peclet 数 Pe 是区分对流、扩散主导特性的关键参数：Pe≪1 为扩散占优，标准 Galerkin 格式求解效果良好；Pe≫1 为对流占优，标准 Galerkin 格式会产生明显数值振荡。</w:t>
      </w:r>
    </w:p>
    <w:p w14:paraId="3A3FD66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2.对流项是造成整体刚度矩阵非对称、非正定的根本原因，也是标准 Galerkin 格式在对流占优问题中失稳、产生振荡的核心因素。</w:t>
      </w:r>
    </w:p>
    <w:p w14:paraId="57054EA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3.迎风格式依靠强人工扩散消除振荡，但伴随严重数值耗散；SUPG 自适应稳定化格式可有效平衡稳定性与精度，综合性能最优。</w:t>
      </w:r>
    </w:p>
    <w:p w14:paraId="21DE3CA5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4.网格加密能够减小单元 Peclet 数、削弱对流效应，降低数值误差、抑制振荡，所有数值格式均随网格细化逐步收敛至精确解。</w:t>
      </w:r>
    </w:p>
    <w:p w14:paraId="5565FB3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5.对于工程中常见的对流占优输运问题，推荐使用 SUPG 等自适应稳定化有限元格式。</w:t>
      </w:r>
    </w:p>
    <w:p w14:paraId="69145809">
      <w:pPr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六、程序说明</w:t>
      </w:r>
    </w:p>
    <w:p w14:paraId="668A530B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6.1 开发环境</w:t>
      </w:r>
    </w:p>
    <w:p w14:paraId="7E70AA0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编程语言：Python 3.7+</w:t>
      </w:r>
    </w:p>
    <w:p w14:paraId="4D6DA2F5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依赖库：NumPy（矩阵运算）、Matplotlib（绘图可视化）</w:t>
      </w:r>
    </w:p>
    <w:p w14:paraId="0C996ED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运行命令：pip install numpy matplotlib，执行 advection_diffusion_fem.py</w:t>
      </w:r>
    </w:p>
    <w:p w14:paraId="6A571220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6.2 程序核心函数</w:t>
      </w:r>
    </w:p>
    <w:p w14:paraId="3BE08C79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alpha_supg(Pe)：计算 SUPG 最优人工扩散参数，处理小Pe除零问题；</w:t>
      </w:r>
    </w:p>
    <w:p w14:paraId="14A176F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element_matrix(kappa, v, le, alpha)：按照作业公式构造两节点线性单元矩阵；</w:t>
      </w:r>
    </w:p>
    <w:p w14:paraId="78E5B7B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solve_advection_diffusion(nel, L, v, kappa, alpha)：完成网格生成、矩阵组装、边界条件施加、方程组求解；</w:t>
      </w:r>
    </w:p>
    <w:p w14:paraId="074586E5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主函数：遍历不同Pe工况，计算三种数值格式、统计误差、绘制曲线、矩阵分析与收敛性测试。</w:t>
      </w:r>
    </w:p>
    <w:p w14:paraId="15013374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6.3 输出文件</w:t>
      </w:r>
    </w:p>
    <w:p w14:paraId="0B9CB09A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源代码：advection_diffusion_fem.py</w:t>
      </w:r>
    </w:p>
    <w:p w14:paraId="2B00929D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运行说明：README.md</w:t>
      </w:r>
    </w:p>
    <w:p w14:paraId="247A229B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结果图片：Pe_0.1_result.png、Pe_3.0_result.png、convergence_curve.png</w:t>
      </w:r>
    </w:p>
    <w:p w14:paraId="64E2F1DE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A2E54">
      <w:pPr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七、作业作答</w:t>
      </w:r>
    </w:p>
    <w:p w14:paraId="64BB0D6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1.当Pe=0.1时，各格式是否都能得到较平滑的结果？</w:t>
      </w:r>
    </w:p>
    <w:p w14:paraId="0C42717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答：可以。Pe=0.1属于扩散占优工况，对流作用微弱，标准 Galerkin、迎风格式、SUPG 格式求解曲线均光滑无振荡，求解结果稳定。</w:t>
      </w:r>
    </w:p>
    <w:p w14:paraId="7D7F2A28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当Pe=3.0时，标准 Galerkin 解是否出现振荡？</w:t>
      </w:r>
    </w:p>
    <w:p w14:paraId="3EDC1F4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答：出现明显的节点数值振荡，解曲线上下波动，严重偏离理论精确解，计算稳定性失效。</w:t>
      </w:r>
    </w:p>
    <w:p w14:paraId="3BEDFA29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2.迎风格式为什么能消除振荡，但可能引入较强数值扩散？</w:t>
      </w:r>
    </w:p>
    <w:p w14:paraId="4F64B04C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答：迎风格式取 α=1，人为添加固定强度的人工扩散，增强系统稳定性，从而消除数值振荡；但人工扩散属于额外引入的虚假扩散项，会抹平解的梯度与边界层，造成数值扩散（数值耗散），降低计算精度。</w:t>
      </w:r>
    </w:p>
    <w:p w14:paraId="3B96EC03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SUPG/Petrov-Galerkin 方法为什么能在稳定性和精度之间取得更好平衡？</w:t>
      </w:r>
    </w:p>
    <w:p w14:paraId="04CE327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答：SUPG 格式根据单元 Peclet 数自适应计算最优人工扩散系数，仅补充刚好抑制振荡所需的扩散量，不会像迎风格式一样引入过量人工扩散，因此既保证了计算稳定性，又最大程度保留计算精度，实现二者的平衡。</w:t>
      </w:r>
    </w:p>
    <w:p w14:paraId="5B2E3493">
      <w:pPr>
        <w:numPr>
          <w:ilvl w:val="0"/>
          <w:numId w:val="2"/>
        </w:numPr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附录（代码）</w:t>
      </w:r>
    </w:p>
    <w:bookmarkEnd w:id="0"/>
    <w:p w14:paraId="633CF59E">
      <w:pPr>
        <w:keepNext/>
        <w:keepLines/>
        <w:widowControl w:val="0"/>
        <w:spacing w:before="260" w:beforeLines="0" w:beforeAutospacing="0" w:after="260" w:afterLines="0" w:afterAutospacing="0" w:line="413" w:lineRule="auto"/>
        <w:ind w:firstLine="92" w:firstLineChars="38"/>
        <w:jc w:val="center"/>
        <w:outlineLvl w:val="1"/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Python 源代码：</w:t>
      </w:r>
    </w:p>
    <w:p w14:paraId="71E1ABD5">
      <w:pPr>
        <w:pStyle w:val="2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导入基础库</w:t>
      </w:r>
    </w:p>
    <w:p w14:paraId="397DDCA4">
      <w:pPr>
        <w:pStyle w:val="2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import numpy as npimport matplotlib.pyplot as plt</w:t>
      </w:r>
    </w:p>
    <w:p w14:paraId="03467BFF">
      <w:pPr>
        <w:widowControl w:val="0"/>
        <w:bidi w:val="0"/>
        <w:ind w:left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=============== 全局配置：解决中文乱码 + 负号显示问题 ========</w:t>
      </w:r>
    </w:p>
    <w:p w14:paraId="153F93F4">
      <w:pPr>
        <w:widowControl w:val="0"/>
        <w:bidi w:val="0"/>
        <w:ind w:left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plt.rcParams["font.sans-serif"]=["SimHei","MicrosoftYaHei"]plt.rcPa</w:t>
      </w:r>
      <m:oMath>
        <m:r>
          <m:rPr/>
          <w:rPr>
            <w:rFonts w:hint="default" w:ascii="Cambria Math"/>
            <w:sz w:val="24"/>
            <w:szCs w:val="24"/>
          </w:rPr>
          <m:t>rams["axes.unicod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e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m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inus"]=Fals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</w:t>
      </w:r>
    </w:p>
    <w:p w14:paraId="2696587E">
      <w:pPr>
        <w:widowControl w:val="0"/>
        <w:bidi w:val="0"/>
        <w:ind w:left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def alpha_supg(Pe):Pe = np.float64(Pe)if Pe &lt; 1e-8:return 0.0coth_pe = 1.0 / np.tanh(Pe)alpha_opt = coth_pe - 1.0 / Pereturn alpha_opt</w:t>
      </w:r>
    </w:p>
    <w:p w14:paraId="6114BECD">
      <w:pPr>
        <w:widowControl w:val="0"/>
        <w:bidi w:val="0"/>
        <w:ind w:left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def element_matrix(kappa, v, le, alpha):kappa_bar = kappa + alpha * v * le / 2K_</w:t>
      </w:r>
      <m:oMath>
        <m:r>
          <m:rPr/>
          <w:rPr>
            <w:rFonts w:hint="default" w:ascii="Cambria Math"/>
            <w:sz w:val="24"/>
            <w:szCs w:val="24"/>
          </w:rPr>
          <m:t>diff=(kapp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b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ar/le)∗np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.array</w:t>
      </w:r>
      <m:oMath>
        <m:r>
          <m:rPr/>
          <w:rPr>
            <w:rFonts w:hint="default" w:ascii="Cambria Math"/>
            <w:sz w:val="24"/>
            <w:szCs w:val="24"/>
          </w:rPr>
          <m:t>[[1,−1],[−1,1]]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K_conv = (v / 2) * np.array</w:t>
      </w:r>
      <m:oMath>
        <m:r>
          <m:rPr/>
          <w:rPr>
            <w:rFonts w:hint="default" w:ascii="Cambria Math"/>
            <w:sz w:val="24"/>
            <w:szCs w:val="24"/>
          </w:rPr>
          <m:t>[[−1,1],[−1,1]]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Ke = K_diff + K_convreturn Ke</w:t>
      </w:r>
    </w:p>
    <w:p w14:paraId="0DDE9CD8">
      <w:pPr>
        <w:widowControl w:val="0"/>
        <w:bidi w:val="0"/>
        <w:ind w:left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def solve_advection_diffusion(nel, L, v, kappa, alpha):nnodes = nel + 1le = L / nelx = np.linspace(0, L, nnodes)K_global = np.zeros((nnodes, nnodes))F_global = np.zeros(nnodes)for elem in range(nel):n1 = elemn2 = elem + 1Ke = element_matrix(kappa, v, le, alpha)K_global[n1:n2+1, n1:n2+1] += KeK_global[0, :] = 0.0K_global[:, 0] = 0.0K_global[0, 0] = 1.0F_global[0] = 0.0K_global[-1, :] = 0.0K_global[:, -1] = 0.0K_global[-1, -1]=1.0F_global[-1]=1.0theta_num= np.linalg.s</w:t>
      </w:r>
      <m:oMath>
        <m:r>
          <m:rPr/>
          <w:rPr>
            <w:rFonts w:hint="default" w:ascii="Cambria Math"/>
            <w:sz w:val="24"/>
            <w:szCs w:val="24"/>
          </w:rPr>
          <m:t>olve(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K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g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lobal,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F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g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lobal)rati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o = v / kappanumerator = np.expm1(ratio * x)denominator = np.expm1(ratio * L)theta_exact = numerator / denominatorreturn x, theta_num, theta_exact, K_global</w:t>
      </w:r>
    </w:p>
    <w:p w14:paraId="5454F3C8">
      <w:pPr>
        <w:widowControl w:val="0"/>
        <w:bidi w:val="0"/>
        <w:ind w:left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def calculate_max_e</w:t>
      </w:r>
      <m:oMath>
        <m:r>
          <m:rPr/>
          <w:rPr>
            <w:rFonts w:hint="default" w:ascii="Cambria Math"/>
            <w:sz w:val="24"/>
            <w:szCs w:val="24"/>
          </w:rPr>
          <m:t>rror(nu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m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ol,ex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ol)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:return np.</w:t>
      </w:r>
      <m:oMath>
        <m:r>
          <m:rPr/>
          <w:rPr>
            <w:rFonts w:hint="default" w:ascii="Cambria Math"/>
            <w:sz w:val="24"/>
            <w:szCs w:val="24"/>
          </w:rPr>
          <m:t>max(np.abs(nu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m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ol−ex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ol))defmain()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:L = 1.0nel_base = 20v = 1.0le_base = L / nel_basePe_list = [0.1, 3.0]print</w:t>
      </w:r>
      <m:oMath>
        <m:r>
          <m:rPr/>
          <w:rPr>
            <w:rFonts w:hint="default" w:ascii="Cambria Math"/>
            <w:sz w:val="24"/>
            <w:szCs w:val="24"/>
          </w:rPr>
          <m:t>"="∗60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print(" 一维对流扩散方程有限元求解程序（作业专用版）")print</w:t>
      </w:r>
      <m:oMath>
        <m:r>
          <m:rPr/>
          <w:rPr>
            <w:rFonts w:hint="default" w:ascii="Cambria Math"/>
            <w:sz w:val="24"/>
            <w:szCs w:val="24"/>
          </w:rPr>
          <m:t>"="∗60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for Pe in Pe_list:print(f"\n【当前工况：单元Peclet数 Pe = {Pe:.2f}】")k</w:t>
      </w:r>
      <m:oMath>
        <m:r>
          <m:rPr/>
          <w:rPr>
            <w:rFonts w:hint="default" w:ascii="Cambria Math"/>
            <w:sz w:val="24"/>
            <w:szCs w:val="24"/>
          </w:rPr>
          <m:t>appa=(v∗l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e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b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ase)/(2∗Pe)prin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t(f"计算得到扩散系数 κ={kappa:.8f}")alpha_gal=0.0x,theta_gal,theta_exa,K_gal = solve_advection_diffusion(nel_base,L,v,kappa,alpha_gal)err_gal = calculate_max_e</w:t>
      </w:r>
      <m:oMath>
        <m:r>
          <m:rPr/>
          <w:rPr>
            <w:rFonts w:hint="default" w:ascii="Cambria Math"/>
            <w:sz w:val="24"/>
            <w:szCs w:val="24"/>
          </w:rPr>
          <m:t>rror(thet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g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al,thet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e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xa)alph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a_up=1.0_,theta_up,_, _ = solve_advection_diffusion(nel_base,L,v,kappa,alpha_up)err_up= calculate_max_e</w:t>
      </w:r>
      <m:oMath>
        <m:r>
          <m:rPr/>
          <w:rPr>
            <w:rFonts w:hint="default" w:ascii="Cambria Math"/>
            <w:sz w:val="24"/>
            <w:szCs w:val="24"/>
          </w:rPr>
          <m:t>rror(thet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u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p,thet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e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xa)alph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a_sup = alpha_supg(Pe)_, theta_sup,,_=solve_advection_diffusion(nel_base,L,v,kappa, alpha_sup)err_sup = calculate_max_e</w:t>
      </w:r>
      <m:oMath>
        <m:r>
          <m:rPr/>
          <w:rPr>
            <w:rFonts w:hint="default" w:ascii="Cambria Math"/>
            <w:sz w:val="24"/>
            <w:szCs w:val="24"/>
          </w:rPr>
          <m:t>rror(thet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up,thet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e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xa)prin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t(f"标准Galerkin</w:t>
      </w:r>
      <m:oMath>
        <m:r>
          <m:rPr/>
          <w:rPr>
            <w:rFonts w:hint="default" w:ascii="Cambria Math"/>
            <w:sz w:val="24"/>
            <w:szCs w:val="24"/>
          </w:rPr>
          <m:t>α=0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最大误差：{err_gal:.8e}")print(f"迎风格式</w:t>
      </w:r>
      <m:oMath>
        <m:r>
          <m:rPr/>
          <w:rPr>
            <w:rFonts w:hint="default" w:ascii="Cambria Math"/>
            <w:sz w:val="24"/>
            <w:szCs w:val="24"/>
          </w:rPr>
          <m:t>α=1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最大误差：{err_up:.8e}")print(f"SUPG格式</w:t>
      </w:r>
      <m:oMath>
        <m:r>
          <m:rPr/>
          <w:rPr>
            <w:rFonts w:hint="default" w:ascii="Cambria Math"/>
            <w:sz w:val="24"/>
            <w:szCs w:val="24"/>
          </w:rPr>
          <m:t>(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α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o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pt)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最大误差：{err_sup:.8e}")print(f"SUPG最优参数 α_opt = {alpha_sup:.6f}")plt.figure(figsize=(10, 6))plt.plot(x, theta_exa, 'k-', linewidth=2.5, label='精确解')plt.plot(x, theta_gal, 'r--', linewidth=2, label='标准Galerkin')plt.plot(x, theta_up, 'g-.', linewidth=2, label='迎风格式')plt.plot(x, theta_sup, 'b:', linewidth=2, label='SUPG/Petrov-Galerkin')plt.xlabel("空间坐标 x", fontsize=12)plt.ylabel(r"标量场 </w:t>
      </w:r>
      <m:oMath>
        <m:r>
          <m:rPr/>
          <w:rPr>
            <w:rFonts w:hint="default" w:ascii="Cambria Math"/>
            <w:sz w:val="24"/>
            <w:szCs w:val="24"/>
          </w:rPr>
          <m:t>θ(x)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", fontsize=12)plt.title(f"一维对流扩散方程数值解对比 (Pe = {Pe:.2f}，单元数 nel=20)", fontsize=13)plt.legend(fontsize=11)plt.grid(True, alpha=0.4, linestyle='--')plt.tight_layout()plt.savefig(f"Pe{Pe}_result.png", dpi=300, bbox_inches="tight")plt.show()if abs</w:t>
      </w:r>
      <m:oMath>
        <m:r>
          <m:rPr/>
          <w:rPr>
            <w:rFonts w:hint="default" w:ascii="Cambria Math"/>
            <w:sz w:val="24"/>
            <w:szCs w:val="24"/>
          </w:rPr>
          <m:t>Pe−3.0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&lt; 1e-6:print</w:t>
      </w:r>
      <m:oMath>
        <m:r>
          <m:rPr/>
          <w:rPr>
            <w:rFonts w:hint="default" w:ascii="Cambria Math"/>
            <w:sz w:val="24"/>
            <w:szCs w:val="24"/>
          </w:rPr>
          <m:t>"\n"+"−"∗50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print("【Pe=3.0 标准Galerkin 整体矩阵分析】")K = K_galis_sym = np.allclose</w:t>
      </w:r>
      <m:oMath>
        <m:r>
          <m:rPr/>
          <w:rPr>
            <w:rFonts w:hint="default" w:ascii="Cambria Math"/>
            <w:sz w:val="24"/>
            <w:szCs w:val="24"/>
          </w:rPr>
          <m:t>K,K.T,atol=1e−10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print(f"整体矩阵是否对称：{is_sym}")eig_values = np.linalg.eigvals(K)real_eig = np.</w:t>
      </w:r>
      <m:oMath>
        <m:r>
          <m:rPr/>
          <w:rPr>
            <w:rFonts w:hint="default" w:ascii="Cambria Math"/>
            <w:sz w:val="24"/>
            <w:szCs w:val="24"/>
          </w:rPr>
          <m:t>real(ei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g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v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alues)mi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n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e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ig=np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.</w:t>
      </w:r>
      <m:oMath>
        <m:r>
          <m:rPr/>
          <w:rPr>
            <w:rFonts w:hint="default" w:ascii="Cambria Math"/>
            <w:sz w:val="24"/>
            <w:szCs w:val="24"/>
          </w:rPr>
          <m:t>min(rea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l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e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ig)i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p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o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d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ef=mi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n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e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ig&gt;−1e−10print(f"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矩阵最小特征值：{min_eig:.8e}")print(f"整体矩阵是否正定：{is_pos_def}")print("结论：对流项引入非对称分量，矩阵非对称、非正定，对流占优时产生数值振荡")print</w:t>
      </w:r>
      <m:oMath>
        <m:r>
          <m:rPr/>
          <w:rPr>
            <w:rFonts w:hint="default" w:ascii="Cambria Math"/>
            <w:sz w:val="24"/>
            <w:szCs w:val="24"/>
          </w:rPr>
          <m:t>"−"∗50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print("\n【附加题：网格加密收敛性分析（固定 Pe=3.0）】")Pe_test = 3.0nel_list = [10, 20, 40, 80]err_gal_list = []err_supg_list = []for nel_t in nel_list:le_t = L / nel_tkappa_</w:t>
      </w:r>
      <m:oMath>
        <m:r>
          <m:rPr/>
          <w:rPr>
            <w:rFonts w:hint="default" w:ascii="Cambria Math"/>
            <w:sz w:val="24"/>
            <w:szCs w:val="24"/>
          </w:rPr>
          <m:t>t=(v∗l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e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)/(2∗P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e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est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)</m:t>
            </m:r>
            <m:ctrlPr>
              <w:rPr>
                <w:sz w:val="24"/>
                <w:szCs w:val="24"/>
              </w:rPr>
            </m:ctrlPr>
          </m:e>
          <m:sub>
            <m:ctrlPr>
              <w:rPr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, th_g, th_e, _ = solve_advection_diffusion(nel_t, L, v, kappa_t alpha=0.0)err_g = calculate_max_e</w:t>
      </w:r>
      <m:oMath>
        <m:r>
          <m:rPr/>
          <w:rPr>
            <w:rFonts w:hint="default" w:ascii="Cambria Math"/>
            <w:sz w:val="24"/>
            <w:szCs w:val="24"/>
          </w:rPr>
          <m:t>rror(t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h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g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,t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h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e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)alph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a_t = alpha</w:t>
      </w:r>
      <m:oMath>
        <m:r>
          <m:rPr/>
          <w:rPr>
            <w:rFonts w:hint="default" w:ascii="Cambria Math"/>
            <w:sz w:val="24"/>
            <w:szCs w:val="24"/>
          </w:rPr>
          <m:t>supg(P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e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est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)</m:t>
            </m:r>
            <m:ctrlPr>
              <w:rPr>
                <w:sz w:val="24"/>
                <w:szCs w:val="24"/>
              </w:rPr>
            </m:ctrlPr>
          </m:e>
          <m:sub>
            <m:ctrlPr>
              <w:rPr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, th_s, _, _ = solve_advection_diffu</w:t>
      </w:r>
      <m:oMath>
        <m:r>
          <m:rPr/>
          <w:rPr>
            <w:rFonts w:hint="default" w:ascii="Cambria Math"/>
            <w:sz w:val="24"/>
            <w:szCs w:val="24"/>
          </w:rPr>
          <m:t>sion(ne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l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,L,v,kapp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,alph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a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)er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r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=calc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ulate_max_e</w:t>
      </w:r>
      <m:oMath>
        <m:r>
          <m:rPr/>
          <w:rPr>
            <w:rFonts w:hint="default" w:ascii="Cambria Math"/>
            <w:sz w:val="24"/>
            <w:szCs w:val="24"/>
          </w:rPr>
          <m:t>rror(t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h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,t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h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e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)er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r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g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a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l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l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ist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.ap</w:t>
      </w:r>
      <m:oMath>
        <m:r>
          <m:rPr/>
          <w:rPr>
            <w:rFonts w:hint="default" w:ascii="Cambria Math"/>
            <w:sz w:val="24"/>
            <w:szCs w:val="24"/>
          </w:rPr>
          <m:t>pend(er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r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g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)er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r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up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g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l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ist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.ap</w:t>
      </w:r>
      <m:oMath>
        <m:r>
          <m:rPr/>
          <w:rPr>
            <w:rFonts w:hint="default" w:ascii="Cambria Math"/>
            <w:sz w:val="24"/>
            <w:szCs w:val="24"/>
          </w:rPr>
          <m:t>pend(er</m:t>
        </m:r>
        <m:sSub>
          <m:sSubPr>
            <m:ctrlPr>
              <w:rPr>
                <w:rFonts w:hint="default" w:ascii="Cambria Math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/>
                <w:sz w:val="24"/>
                <w:szCs w:val="24"/>
              </w:rPr>
              <m:t>r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/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rFonts w:hint="default" w:ascii="Cambria Math"/>
            <w:sz w:val="24"/>
            <w:szCs w:val="24"/>
          </w:rPr>
          <m:t>)prin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t(f"单元数 nel={nel_t:2d} | Galerkin误差={err_g:.8e} | SUPG误差={err_s:.8e}")plt.figure(figsize=(8, 5))plt.loglog(nel_list, err_gal_list, 'ro-', markersize=7, linewidth=1.5, label='标准Galerkin')plt.loglog(nel_list, err_supg_list, 'bo-', markersize=7, linewidth=1.5, label='SUPG/Petrov-Galerkin')plt.xlabel("单元数量 nel", fontsize=12)plt.ylabel("最大节点误差（对数尺度）", fontsize=12)plt.title("网格加密收敛曲线 </w:t>
      </w:r>
      <m:oMath>
        <m:r>
          <m:rPr/>
          <w:rPr>
            <w:rFonts w:hint="default" w:ascii="Cambria Math"/>
            <w:sz w:val="24"/>
            <w:szCs w:val="24"/>
          </w:rPr>
          <m:t>Pe=3.0</m:t>
        </m:r>
      </m:oMath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", fontsize=13)plt.legend(fontsize=11)plt.grid(True, alpha=0.4, which="both", linestyle='--')plt.tight_layout()plt.savefig("convergence_curve.png", dpi=300, bbox_inches="tight")plt.show()print("\n程序运行结束！所有图片与数据已生成。")</w:t>
      </w:r>
    </w:p>
    <w:p w14:paraId="6016993E">
      <w:pPr>
        <w:widowControl w:val="0"/>
        <w:bidi w:val="0"/>
        <w:ind w:left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ifname== "main":main()</w:t>
      </w:r>
    </w:p>
    <w:p w14:paraId="2DB96912">
      <w:pPr>
        <w:numPr>
          <w:ilvl w:val="0"/>
          <w:numId w:val="0"/>
        </w:numPr>
        <w:bidi w:val="0"/>
        <w:jc w:val="left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</w:p>
    <w:p w14:paraId="067510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360" w:lineRule="auto"/>
        <w:ind w:leftChars="200" w:right="0" w:rightChars="0"/>
        <w:jc w:val="left"/>
        <w:rPr>
          <w:rFonts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</w:p>
    <w:p w14:paraId="4F3407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360" w:lineRule="auto"/>
        <w:ind w:leftChars="200" w:right="0" w:rightChars="0"/>
        <w:jc w:val="both"/>
        <w:rPr>
          <w:rFonts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12"/>
          <w:u w:val="none"/>
          <w:lang w:val="en-US" w:eastAsia="zh-CN" w:bidi="ar-SA"/>
        </w:rPr>
      </w:pPr>
    </w:p>
    <w:p w14:paraId="43D48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9249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F9FF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40" w:lineRule="atLeast"/>
        <w:ind w:left="840" w:leftChars="400" w:firstLine="585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7B7F9"/>
    <w:multiLevelType w:val="singleLevel"/>
    <w:tmpl w:val="9FD7B7F9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CABE25"/>
    <w:multiLevelType w:val="singleLevel"/>
    <w:tmpl w:val="E8CABE25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31E14"/>
    <w:rsid w:val="02B03BDB"/>
    <w:rsid w:val="084F095B"/>
    <w:rsid w:val="1BAC336D"/>
    <w:rsid w:val="20C02169"/>
    <w:rsid w:val="26E7221F"/>
    <w:rsid w:val="2C931E14"/>
    <w:rsid w:val="3A392E3B"/>
    <w:rsid w:val="44D017BE"/>
    <w:rsid w:val="541343B8"/>
    <w:rsid w:val="58875C75"/>
    <w:rsid w:val="5A111C00"/>
    <w:rsid w:val="5CDD195A"/>
    <w:rsid w:val="63166B74"/>
    <w:rsid w:val="6A7D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859</Words>
  <Characters>1124</Characters>
  <Lines>0</Lines>
  <Paragraphs>0</Paragraphs>
  <TotalTime>4</TotalTime>
  <ScaleCrop>false</ScaleCrop>
  <LinksUpToDate>false</LinksUpToDate>
  <CharactersWithSpaces>1166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2026-06-01T06:36:00Z</dcterms:created>
  <dc:creator>不扣不改名</dc:creator>
  <cp:lastModifiedBy>Jay chou</cp:lastModifiedBy>
  <dcterms:modified xsi:type="dcterms:W3CDTF">2026-06-16T07:29:05Z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2966E4E8E0B740C2AB41B87EE9CE6E7E_13</vt:lpwstr>
  </property>
  <property fmtid="{D5CDD505-2E9C-101B-9397-08002B2CF9AE}" pid="4" name="KSOTemplateDocerSaveRecord">
    <vt:lpwstr>eyJoZGlkIjoiNjZjMTRmN2U1MmE1N2MxNjQ5YzRjYmYzMDMzZjhmNjIiLCJ1c2VySWQiOiIxMjU0NjI1MzA2In0=</vt:lpwstr>
  </property>
</Properties>
</file>