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75FD7C">
      <w:pPr>
        <w:jc w:val="center"/>
        <w:rPr>
          <w:rFonts w:hint="default" w:ascii="Segoe UI Black" w:hAnsi="Segoe UI Black" w:cs="Segoe UI Black"/>
          <w:b/>
          <w:bCs/>
          <w:color w:val="1F4E79" w:themeColor="accent1" w:themeShade="80"/>
          <w:sz w:val="32"/>
          <w:szCs w:val="32"/>
          <w:highlight w:val="none"/>
          <w:u w:val="single"/>
          <w:lang w:val="en-US"/>
        </w:rPr>
      </w:pPr>
      <w:r>
        <w:rPr>
          <w:rFonts w:hint="default" w:ascii="Segoe UI Black" w:hAnsi="Segoe UI Black" w:cs="Segoe UI Black"/>
          <w:b/>
          <w:bCs/>
          <w:color w:val="1F4E79" w:themeColor="accent1" w:themeShade="80"/>
          <w:sz w:val="32"/>
          <w:szCs w:val="32"/>
          <w:highlight w:val="none"/>
          <w:u w:val="single"/>
          <w:lang w:val="en-US"/>
        </w:rPr>
        <w:t>20 ALAT ALAT- ALAT LABORATORIUM IPA</w:t>
      </w:r>
    </w:p>
    <w:p w14:paraId="7F496E43">
      <w:pPr>
        <w:jc w:val="center"/>
        <w:rPr>
          <w:rFonts w:hint="default" w:ascii="Segoe UI Black" w:hAnsi="Segoe UI Black" w:cs="Segoe UI Black"/>
          <w:b/>
          <w:bCs/>
          <w:color w:val="1F4E79" w:themeColor="accent1" w:themeShade="80"/>
          <w:sz w:val="32"/>
          <w:szCs w:val="32"/>
          <w:highlight w:val="none"/>
          <w:u w:val="single"/>
          <w:lang w:val="en-US"/>
        </w:rPr>
      </w:pPr>
    </w:p>
    <w:p w14:paraId="407ADC47"/>
    <w:tbl>
      <w:tblPr>
        <w:tblStyle w:val="5"/>
        <w:tblW w:w="11571" w:type="dxa"/>
        <w:tblInd w:w="15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"/>
        <w:gridCol w:w="1869"/>
        <w:gridCol w:w="2784"/>
        <w:gridCol w:w="6443"/>
      </w:tblGrid>
      <w:tr w14:paraId="2B38E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0" w:hRule="atLeast"/>
        </w:trPr>
        <w:tc>
          <w:tcPr>
            <w:tcW w:w="475" w:type="dxa"/>
          </w:tcPr>
          <w:p w14:paraId="13A62BE1"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vertAlign w:val="baseline"/>
                <w:lang w:val="en-US"/>
              </w:rPr>
              <w:t>1</w:t>
            </w:r>
          </w:p>
        </w:tc>
        <w:tc>
          <w:tcPr>
            <w:tcW w:w="1869" w:type="dxa"/>
            <w:shd w:val="clear" w:color="auto" w:fill="FFE599" w:themeFill="accent4" w:themeFillTint="66"/>
          </w:tcPr>
          <w:p w14:paraId="73994DC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Chars="0" w:right="0" w:rightChars="0"/>
              <w:jc w:val="center"/>
              <w:textAlignment w:val="baseline"/>
              <w:rPr>
                <w:rFonts w:hint="eastAsia" w:asciiTheme="minorEastAsia" w:hAnsiTheme="minorEastAsia" w:eastAsiaTheme="minorEastAsia" w:cstheme="minorEastAsia"/>
                <w:b/>
                <w:bCs/>
                <w:sz w:val="19"/>
                <w:szCs w:val="19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444444"/>
                <w:spacing w:val="0"/>
                <w:sz w:val="19"/>
                <w:szCs w:val="19"/>
                <w:highlight w:val="none"/>
                <w:shd w:val="clear" w:fill="FFFFFF"/>
                <w:vertAlign w:val="baseline"/>
              </w:rPr>
              <w:t>Beaker</w:t>
            </w:r>
          </w:p>
          <w:p w14:paraId="230C43E1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highlight w:val="none"/>
                <w:vertAlign w:val="baseline"/>
                <w:lang w:val="en-US"/>
              </w:rPr>
            </w:pPr>
          </w:p>
        </w:tc>
        <w:tc>
          <w:tcPr>
            <w:tcW w:w="2784" w:type="dxa"/>
          </w:tcPr>
          <w:p w14:paraId="5B5DE318"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266700</wp:posOffset>
                  </wp:positionH>
                  <wp:positionV relativeFrom="paragraph">
                    <wp:posOffset>104140</wp:posOffset>
                  </wp:positionV>
                  <wp:extent cx="1118870" cy="1135380"/>
                  <wp:effectExtent l="0" t="0" r="0" b="0"/>
                  <wp:wrapNone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t="4301" b="4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8870" cy="1135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714FC29C"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</w:rPr>
            </w:pPr>
          </w:p>
          <w:p w14:paraId="1096915A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vertAlign w:val="baseline"/>
              </w:rPr>
            </w:pPr>
          </w:p>
        </w:tc>
        <w:tc>
          <w:tcPr>
            <w:tcW w:w="6443" w:type="dxa"/>
            <w:shd w:val="clear" w:color="auto" w:fill="FFE599" w:themeFill="accent4" w:themeFillTint="66"/>
          </w:tcPr>
          <w:p w14:paraId="62238860"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  <w:t>Tempat mencampur dan mereaksikan bahan kimia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  <w:t>Bentuknya yang mengerucut ke atas sangat ideal untuk mengocok atau mencampur cairan menggunakan tangan atau mesin pengocok</w:t>
            </w:r>
          </w:p>
        </w:tc>
      </w:tr>
      <w:tr w14:paraId="09E8C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3" w:hRule="atLeast"/>
        </w:trPr>
        <w:tc>
          <w:tcPr>
            <w:tcW w:w="475" w:type="dxa"/>
          </w:tcPr>
          <w:p w14:paraId="4EAF6E09"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vertAlign w:val="baseline"/>
                <w:lang w:val="en-US"/>
              </w:rPr>
              <w:t>2</w:t>
            </w:r>
          </w:p>
        </w:tc>
        <w:tc>
          <w:tcPr>
            <w:tcW w:w="1869" w:type="dxa"/>
          </w:tcPr>
          <w:p w14:paraId="0B91351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Chars="0" w:right="0" w:rightChars="0"/>
              <w:jc w:val="center"/>
              <w:textAlignment w:val="baseline"/>
              <w:rPr>
                <w:rFonts w:hint="eastAsia" w:asciiTheme="minorEastAsia" w:hAnsiTheme="minorEastAsia" w:eastAsiaTheme="minorEastAsia" w:cstheme="minorEastAsia"/>
                <w:b/>
                <w:bCs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444444"/>
                <w:spacing w:val="0"/>
                <w:sz w:val="19"/>
                <w:szCs w:val="19"/>
                <w:shd w:val="clear" w:fill="FFFFFF"/>
                <w:vertAlign w:val="baseline"/>
              </w:rPr>
              <w:t>Test tube</w:t>
            </w:r>
          </w:p>
          <w:p w14:paraId="3D8509A3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vertAlign w:val="baseline"/>
              </w:rPr>
            </w:pPr>
          </w:p>
        </w:tc>
        <w:tc>
          <w:tcPr>
            <w:tcW w:w="2784" w:type="dxa"/>
          </w:tcPr>
          <w:p w14:paraId="5D38696F"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91440</wp:posOffset>
                  </wp:positionH>
                  <wp:positionV relativeFrom="paragraph">
                    <wp:posOffset>108585</wp:posOffset>
                  </wp:positionV>
                  <wp:extent cx="1487170" cy="1158240"/>
                  <wp:effectExtent l="0" t="0" r="6350" b="0"/>
                  <wp:wrapNone/>
                  <wp:docPr id="8" name="Picture 8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12810" b="93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7170" cy="1158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7DD37C8C"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</w:pPr>
          </w:p>
          <w:p w14:paraId="162D8D08"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vertAlign w:val="baseline"/>
              </w:rPr>
            </w:pPr>
          </w:p>
        </w:tc>
        <w:tc>
          <w:tcPr>
            <w:tcW w:w="6443" w:type="dxa"/>
          </w:tcPr>
          <w:p w14:paraId="14774DEE"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  <w:t>Digunakan untuk mencampur atau mereaksikan cairan dalam skala kecil dan mengamati perubahan yang terjadi (seperti perubahan warna atau timbulnya endapan)</w:t>
            </w:r>
          </w:p>
        </w:tc>
      </w:tr>
      <w:tr w14:paraId="22CBF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6" w:hRule="atLeast"/>
        </w:trPr>
        <w:tc>
          <w:tcPr>
            <w:tcW w:w="475" w:type="dxa"/>
          </w:tcPr>
          <w:p w14:paraId="3CC42F85"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vertAlign w:val="baseline"/>
                <w:lang w:val="en-US"/>
              </w:rPr>
              <w:t>3</w:t>
            </w:r>
          </w:p>
        </w:tc>
        <w:tc>
          <w:tcPr>
            <w:tcW w:w="1869" w:type="dxa"/>
            <w:shd w:val="clear" w:color="auto" w:fill="FFE599" w:themeFill="accent4" w:themeFillTint="66"/>
          </w:tcPr>
          <w:p w14:paraId="055A723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Chars="0" w:right="0" w:rightChars="0"/>
              <w:jc w:val="center"/>
              <w:textAlignment w:val="baseline"/>
              <w:rPr>
                <w:rFonts w:hint="eastAsia" w:asciiTheme="minorEastAsia" w:hAnsiTheme="minorEastAsia" w:eastAsiaTheme="minorEastAsia" w:cstheme="minorEastAsia"/>
                <w:b/>
                <w:bCs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444444"/>
                <w:spacing w:val="0"/>
                <w:sz w:val="19"/>
                <w:szCs w:val="19"/>
                <w:shd w:val="clear" w:fill="FFFFFF"/>
                <w:vertAlign w:val="baseline"/>
              </w:rPr>
              <w:t>Flask</w:t>
            </w:r>
          </w:p>
          <w:p w14:paraId="7015293A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vertAlign w:val="baseline"/>
              </w:rPr>
            </w:pPr>
          </w:p>
        </w:tc>
        <w:tc>
          <w:tcPr>
            <w:tcW w:w="2784" w:type="dxa"/>
          </w:tcPr>
          <w:p w14:paraId="49D7A879"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243840</wp:posOffset>
                  </wp:positionH>
                  <wp:positionV relativeFrom="paragraph">
                    <wp:posOffset>55245</wp:posOffset>
                  </wp:positionV>
                  <wp:extent cx="1129030" cy="1172210"/>
                  <wp:effectExtent l="0" t="0" r="13970" b="1270"/>
                  <wp:wrapNone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t="98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030" cy="117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1FFFE373"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vertAlign w:val="baseline"/>
              </w:rPr>
            </w:pPr>
          </w:p>
          <w:p w14:paraId="7E8FF4DD"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vertAlign w:val="baseline"/>
              </w:rPr>
            </w:pPr>
          </w:p>
        </w:tc>
        <w:tc>
          <w:tcPr>
            <w:tcW w:w="6443" w:type="dxa"/>
            <w:shd w:val="clear" w:color="auto" w:fill="FFE599" w:themeFill="accent4" w:themeFillTint="66"/>
          </w:tcPr>
          <w:p w14:paraId="30C42630"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  <w:t>Berfungsi untuk mencampur, menampung, atau memanaskan larutan, serta sangat ideal untuk proses titrasi karena cairan tidak mudah tumpah saat dikocok</w:t>
            </w:r>
          </w:p>
        </w:tc>
      </w:tr>
      <w:tr w14:paraId="55A28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4" w:hRule="atLeast"/>
        </w:trPr>
        <w:tc>
          <w:tcPr>
            <w:tcW w:w="475" w:type="dxa"/>
          </w:tcPr>
          <w:p w14:paraId="3FDA6CA8"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vertAlign w:val="baseline"/>
                <w:lang w:val="en-US"/>
              </w:rPr>
              <w:t>4</w:t>
            </w:r>
          </w:p>
        </w:tc>
        <w:tc>
          <w:tcPr>
            <w:tcW w:w="1869" w:type="dxa"/>
          </w:tcPr>
          <w:p w14:paraId="0180749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Chars="0" w:right="0" w:rightChars="0"/>
              <w:jc w:val="center"/>
              <w:textAlignment w:val="baseline"/>
              <w:rPr>
                <w:rFonts w:hint="eastAsia" w:asciiTheme="minorEastAsia" w:hAnsiTheme="minorEastAsia" w:eastAsiaTheme="minorEastAsia" w:cstheme="minorEastAsia"/>
                <w:b/>
                <w:bCs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444444"/>
                <w:spacing w:val="0"/>
                <w:sz w:val="19"/>
                <w:szCs w:val="19"/>
                <w:shd w:val="clear" w:fill="FFFFFF"/>
                <w:vertAlign w:val="baseline"/>
              </w:rPr>
              <w:t>Conical flask</w:t>
            </w:r>
          </w:p>
          <w:p w14:paraId="6F4FCB58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vertAlign w:val="baseline"/>
              </w:rPr>
            </w:pPr>
          </w:p>
        </w:tc>
        <w:tc>
          <w:tcPr>
            <w:tcW w:w="2784" w:type="dxa"/>
          </w:tcPr>
          <w:p w14:paraId="1418C3D3"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464820</wp:posOffset>
                  </wp:positionH>
                  <wp:positionV relativeFrom="paragraph">
                    <wp:posOffset>94615</wp:posOffset>
                  </wp:positionV>
                  <wp:extent cx="622300" cy="1158240"/>
                  <wp:effectExtent l="0" t="0" r="254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l="29108" t="8657" r="26428" b="26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300" cy="1158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729F5C05"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vertAlign w:val="baseline"/>
              </w:rPr>
            </w:pPr>
          </w:p>
        </w:tc>
        <w:tc>
          <w:tcPr>
            <w:tcW w:w="6443" w:type="dxa"/>
          </w:tcPr>
          <w:p w14:paraId="6F77BFEE"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  <w:t>Sangat populer digunakan dalam proses titrasi karena corong kerucutnya memudahkan penambahan cairan dari buret sambil terus diaduk atau digoyang</w:t>
            </w:r>
          </w:p>
        </w:tc>
      </w:tr>
      <w:tr w14:paraId="21B41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2" w:hRule="atLeast"/>
        </w:trPr>
        <w:tc>
          <w:tcPr>
            <w:tcW w:w="475" w:type="dxa"/>
          </w:tcPr>
          <w:p w14:paraId="2D86ABE0"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vertAlign w:val="baseline"/>
                <w:lang w:val="en-US"/>
              </w:rPr>
              <w:t>5</w:t>
            </w:r>
          </w:p>
        </w:tc>
        <w:tc>
          <w:tcPr>
            <w:tcW w:w="1869" w:type="dxa"/>
            <w:shd w:val="clear" w:color="auto" w:fill="FFE599" w:themeFill="accent4" w:themeFillTint="66"/>
          </w:tcPr>
          <w:p w14:paraId="1890016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Chars="0" w:right="0" w:rightChars="0"/>
              <w:jc w:val="center"/>
              <w:textAlignment w:val="baseline"/>
              <w:rPr>
                <w:rFonts w:hint="eastAsia" w:asciiTheme="minorEastAsia" w:hAnsiTheme="minorEastAsia" w:eastAsiaTheme="minorEastAsia" w:cstheme="minorEastAsia"/>
                <w:b/>
                <w:bCs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444444"/>
                <w:spacing w:val="0"/>
                <w:sz w:val="19"/>
                <w:szCs w:val="19"/>
                <w:shd w:val="clear" w:fill="FFFFFF"/>
                <w:vertAlign w:val="baseline"/>
              </w:rPr>
              <w:t>Measuring cylinder</w:t>
            </w:r>
          </w:p>
          <w:p w14:paraId="138CCE1A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vertAlign w:val="baseline"/>
              </w:rPr>
            </w:pPr>
          </w:p>
        </w:tc>
        <w:tc>
          <w:tcPr>
            <w:tcW w:w="2784" w:type="dxa"/>
          </w:tcPr>
          <w:p w14:paraId="3D65A476"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</w:rPr>
              <w:drawing>
                <wp:inline distT="0" distB="0" distL="114300" distR="114300">
                  <wp:extent cx="1616075" cy="1525270"/>
                  <wp:effectExtent l="0" t="0" r="14605" b="1397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6075" cy="1525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43" w:type="dxa"/>
            <w:shd w:val="clear" w:color="auto" w:fill="FFE599" w:themeFill="accent4" w:themeFillTint="66"/>
          </w:tcPr>
          <w:p w14:paraId="6A7890FC"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  <w:t>Berfungsi untuk mengukur volume larutan atau cairan kimia secara akurat dengan berbagai kapasitas (mulai dari 5 ml hingga 2 liter atau lebih).</w:t>
            </w:r>
          </w:p>
        </w:tc>
      </w:tr>
      <w:tr w14:paraId="349D3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0" w:hRule="atLeast"/>
        </w:trPr>
        <w:tc>
          <w:tcPr>
            <w:tcW w:w="475" w:type="dxa"/>
          </w:tcPr>
          <w:p w14:paraId="06896B7D"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vertAlign w:val="baseline"/>
                <w:lang w:val="en-US"/>
              </w:rPr>
              <w:t>6</w:t>
            </w:r>
          </w:p>
        </w:tc>
        <w:tc>
          <w:tcPr>
            <w:tcW w:w="1869" w:type="dxa"/>
          </w:tcPr>
          <w:p w14:paraId="6848DF8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Chars="0" w:right="0" w:rightChars="0"/>
              <w:jc w:val="center"/>
              <w:textAlignment w:val="baseline"/>
              <w:rPr>
                <w:rFonts w:hint="eastAsia" w:asciiTheme="minorEastAsia" w:hAnsiTheme="minorEastAsia" w:eastAsiaTheme="minorEastAsia" w:cstheme="minorEastAsia"/>
                <w:b/>
                <w:bCs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444444"/>
                <w:spacing w:val="0"/>
                <w:sz w:val="19"/>
                <w:szCs w:val="19"/>
                <w:shd w:val="clear" w:fill="FFFFFF"/>
                <w:vertAlign w:val="baseline"/>
              </w:rPr>
              <w:t>Bunsen burner</w:t>
            </w:r>
          </w:p>
          <w:p w14:paraId="59DBD7D1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vertAlign w:val="baseline"/>
              </w:rPr>
            </w:pPr>
          </w:p>
        </w:tc>
        <w:tc>
          <w:tcPr>
            <w:tcW w:w="2784" w:type="dxa"/>
          </w:tcPr>
          <w:p w14:paraId="2858826B"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403860</wp:posOffset>
                  </wp:positionH>
                  <wp:positionV relativeFrom="paragraph">
                    <wp:posOffset>25400</wp:posOffset>
                  </wp:positionV>
                  <wp:extent cx="720725" cy="1135380"/>
                  <wp:effectExtent l="0" t="0" r="10795" b="7620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 l="26472" t="15004" r="24030" b="100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725" cy="1135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75B64935">
            <w:pPr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vertAlign w:val="baseline"/>
              </w:rPr>
            </w:pPr>
          </w:p>
        </w:tc>
        <w:tc>
          <w:tcPr>
            <w:tcW w:w="6443" w:type="dxa"/>
          </w:tcPr>
          <w:p w14:paraId="362E41F3"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  <w:t>Berfungsi untuk menyediakan api guna memanaskan bahan kimia, zat, atau larutan di dalam tabung reaksi, labu, atau wadah tahan panas lainnya.</w:t>
            </w:r>
          </w:p>
        </w:tc>
      </w:tr>
      <w:tr w14:paraId="002BE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4" w:hRule="atLeast"/>
        </w:trPr>
        <w:tc>
          <w:tcPr>
            <w:tcW w:w="475" w:type="dxa"/>
          </w:tcPr>
          <w:p w14:paraId="328CAC0E"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vertAlign w:val="baseline"/>
                <w:lang w:val="en-US"/>
              </w:rPr>
              <w:t>7</w:t>
            </w:r>
          </w:p>
        </w:tc>
        <w:tc>
          <w:tcPr>
            <w:tcW w:w="1869" w:type="dxa"/>
            <w:shd w:val="clear" w:color="auto" w:fill="FFE599" w:themeFill="accent4" w:themeFillTint="66"/>
          </w:tcPr>
          <w:p w14:paraId="086ACA7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Chars="0" w:right="0" w:rightChars="0"/>
              <w:jc w:val="center"/>
              <w:textAlignment w:val="baseline"/>
              <w:rPr>
                <w:rFonts w:hint="eastAsia" w:asciiTheme="minorEastAsia" w:hAnsiTheme="minorEastAsia" w:eastAsiaTheme="minorEastAsia" w:cstheme="minorEastAsia"/>
                <w:b/>
                <w:bCs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444444"/>
                <w:spacing w:val="0"/>
                <w:sz w:val="19"/>
                <w:szCs w:val="19"/>
                <w:shd w:val="clear" w:fill="FFFFFF"/>
                <w:vertAlign w:val="baseline"/>
              </w:rPr>
              <w:t>Tripod stand</w:t>
            </w:r>
          </w:p>
          <w:p w14:paraId="25F68AD8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vertAlign w:val="baseline"/>
              </w:rPr>
            </w:pPr>
          </w:p>
        </w:tc>
        <w:tc>
          <w:tcPr>
            <w:tcW w:w="2784" w:type="dxa"/>
          </w:tcPr>
          <w:p w14:paraId="236E399F"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</w:rP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column">
                    <wp:posOffset>304800</wp:posOffset>
                  </wp:positionH>
                  <wp:positionV relativeFrom="paragraph">
                    <wp:posOffset>15240</wp:posOffset>
                  </wp:positionV>
                  <wp:extent cx="943610" cy="1056640"/>
                  <wp:effectExtent l="0" t="0" r="1270" b="10160"/>
                  <wp:wrapNone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610" cy="1056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443" w:type="dxa"/>
            <w:shd w:val="clear" w:color="auto" w:fill="FFE599" w:themeFill="accent4" w:themeFillTint="66"/>
          </w:tcPr>
          <w:p w14:paraId="00973F27"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  <w:t>Berfungsi sebagai penopang atau penyangga wadah (seperti bejana, labu, atau beaker) saat proses pemanasan menggunakan pembakar spiritus atau pembakar Bunsen</w:t>
            </w:r>
          </w:p>
        </w:tc>
      </w:tr>
      <w:tr w14:paraId="1FB5B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4" w:hRule="atLeast"/>
        </w:trPr>
        <w:tc>
          <w:tcPr>
            <w:tcW w:w="475" w:type="dxa"/>
          </w:tcPr>
          <w:p w14:paraId="3CC16B8F"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vertAlign w:val="baseline"/>
                <w:lang w:val="en-US"/>
              </w:rPr>
              <w:t>8</w:t>
            </w:r>
          </w:p>
        </w:tc>
        <w:tc>
          <w:tcPr>
            <w:tcW w:w="1869" w:type="dxa"/>
          </w:tcPr>
          <w:p w14:paraId="2CDAB43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Chars="0" w:right="0" w:rightChars="0"/>
              <w:jc w:val="center"/>
              <w:textAlignment w:val="baseline"/>
              <w:rPr>
                <w:rFonts w:hint="eastAsia" w:asciiTheme="minorEastAsia" w:hAnsiTheme="minorEastAsia" w:eastAsiaTheme="minorEastAsia" w:cstheme="minorEastAsia"/>
                <w:b/>
                <w:bCs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444444"/>
                <w:spacing w:val="0"/>
                <w:sz w:val="19"/>
                <w:szCs w:val="19"/>
                <w:shd w:val="clear" w:fill="FFFFFF"/>
                <w:vertAlign w:val="baseline"/>
              </w:rPr>
              <w:t>Wire gauze</w:t>
            </w:r>
          </w:p>
          <w:p w14:paraId="189D6D85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vertAlign w:val="baseline"/>
              </w:rPr>
            </w:pPr>
          </w:p>
        </w:tc>
        <w:tc>
          <w:tcPr>
            <w:tcW w:w="2784" w:type="dxa"/>
          </w:tcPr>
          <w:p w14:paraId="1AE1A379"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</w:rPr>
              <w:drawing>
                <wp:anchor distT="0" distB="0" distL="114300" distR="114300" simplePos="0" relativeHeight="251665408" behindDoc="0" locked="0" layoutInCell="1" allowOverlap="1">
                  <wp:simplePos x="0" y="0"/>
                  <wp:positionH relativeFrom="column">
                    <wp:posOffset>158750</wp:posOffset>
                  </wp:positionH>
                  <wp:positionV relativeFrom="paragraph">
                    <wp:posOffset>45720</wp:posOffset>
                  </wp:positionV>
                  <wp:extent cx="1342390" cy="984885"/>
                  <wp:effectExtent l="0" t="0" r="13970" b="5715"/>
                  <wp:wrapNone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2390" cy="984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443" w:type="dxa"/>
          </w:tcPr>
          <w:p w14:paraId="7D31F623"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  <w:t>Berfungsi untuk mendistribusikan panas secara merata dari api (pembakar Bunsen atau spiritus) ke bagian bawah wadah kaca agar tidak pecah akibat panas yang terpusat di satu titik.</w:t>
            </w:r>
          </w:p>
        </w:tc>
      </w:tr>
      <w:tr w14:paraId="7EAF4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4" w:hRule="atLeast"/>
        </w:trPr>
        <w:tc>
          <w:tcPr>
            <w:tcW w:w="475" w:type="dxa"/>
          </w:tcPr>
          <w:p w14:paraId="65673E82"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vertAlign w:val="baseline"/>
                <w:lang w:val="en-US"/>
              </w:rPr>
              <w:t>9</w:t>
            </w:r>
          </w:p>
        </w:tc>
        <w:tc>
          <w:tcPr>
            <w:tcW w:w="1869" w:type="dxa"/>
            <w:shd w:val="clear" w:color="auto" w:fill="FFE599" w:themeFill="accent4" w:themeFillTint="66"/>
          </w:tcPr>
          <w:p w14:paraId="0063E13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Chars="0" w:right="0" w:rightChars="0"/>
              <w:jc w:val="center"/>
              <w:textAlignment w:val="baseline"/>
              <w:rPr>
                <w:rFonts w:hint="eastAsia" w:asciiTheme="minorEastAsia" w:hAnsiTheme="minorEastAsia" w:eastAsiaTheme="minorEastAsia" w:cstheme="minorEastAsia"/>
                <w:b/>
                <w:bCs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444444"/>
                <w:spacing w:val="0"/>
                <w:sz w:val="19"/>
                <w:szCs w:val="19"/>
                <w:shd w:val="clear" w:fill="FFFFFF"/>
                <w:vertAlign w:val="baseline"/>
              </w:rPr>
              <w:t>Test tube rack</w:t>
            </w:r>
          </w:p>
          <w:p w14:paraId="543016DE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vertAlign w:val="baseline"/>
              </w:rPr>
            </w:pPr>
          </w:p>
        </w:tc>
        <w:tc>
          <w:tcPr>
            <w:tcW w:w="2784" w:type="dxa"/>
          </w:tcPr>
          <w:p w14:paraId="2E9C5518"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</w:rPr>
              <w:drawing>
                <wp:anchor distT="0" distB="0" distL="114300" distR="114300" simplePos="0" relativeHeight="251666432" behindDoc="0" locked="0" layoutInCell="1" allowOverlap="1">
                  <wp:simplePos x="0" y="0"/>
                  <wp:positionH relativeFrom="column">
                    <wp:posOffset>190500</wp:posOffset>
                  </wp:positionH>
                  <wp:positionV relativeFrom="paragraph">
                    <wp:posOffset>48260</wp:posOffset>
                  </wp:positionV>
                  <wp:extent cx="1219835" cy="1071880"/>
                  <wp:effectExtent l="0" t="0" r="14605" b="10160"/>
                  <wp:wrapNone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835" cy="1071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52A0725"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vertAlign w:val="baseline"/>
              </w:rPr>
            </w:pPr>
          </w:p>
        </w:tc>
        <w:tc>
          <w:tcPr>
            <w:tcW w:w="6443" w:type="dxa"/>
            <w:shd w:val="clear" w:color="auto" w:fill="FFE599" w:themeFill="accent4" w:themeFillTint="66"/>
          </w:tcPr>
          <w:p w14:paraId="49B16493"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  <w:t>Berfungsi untuk menjaga agar tabung reaksi tetap berada dalam posisi berdiri tegak, sehingga cairan di dalamnya tidak tumpah</w:t>
            </w:r>
          </w:p>
        </w:tc>
      </w:tr>
      <w:tr w14:paraId="7BBA3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1" w:hRule="atLeast"/>
        </w:trPr>
        <w:tc>
          <w:tcPr>
            <w:tcW w:w="475" w:type="dxa"/>
          </w:tcPr>
          <w:p w14:paraId="5A9B0781"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vertAlign w:val="baseline"/>
                <w:lang w:val="en-US"/>
              </w:rPr>
              <w:t>10</w:t>
            </w:r>
          </w:p>
        </w:tc>
        <w:tc>
          <w:tcPr>
            <w:tcW w:w="1869" w:type="dxa"/>
          </w:tcPr>
          <w:p w14:paraId="465CCEC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Chars="0" w:right="0" w:rightChars="0"/>
              <w:jc w:val="center"/>
              <w:textAlignment w:val="baseline"/>
              <w:rPr>
                <w:rFonts w:hint="eastAsia" w:asciiTheme="minorEastAsia" w:hAnsiTheme="minorEastAsia" w:eastAsiaTheme="minorEastAsia" w:cstheme="minorEastAsia"/>
                <w:b/>
                <w:bCs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444444"/>
                <w:spacing w:val="0"/>
                <w:sz w:val="19"/>
                <w:szCs w:val="19"/>
                <w:shd w:val="clear" w:fill="FFFFFF"/>
                <w:vertAlign w:val="baseline"/>
              </w:rPr>
              <w:t>Test tube holder</w:t>
            </w:r>
          </w:p>
          <w:p w14:paraId="5052188D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vertAlign w:val="baseline"/>
              </w:rPr>
            </w:pPr>
          </w:p>
        </w:tc>
        <w:tc>
          <w:tcPr>
            <w:tcW w:w="2784" w:type="dxa"/>
          </w:tcPr>
          <w:p w14:paraId="768A9CD4"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</w:rPr>
              <w:drawing>
                <wp:anchor distT="0" distB="0" distL="114300" distR="114300" simplePos="0" relativeHeight="251667456" behindDoc="0" locked="0" layoutInCell="1" allowOverlap="1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121920</wp:posOffset>
                  </wp:positionV>
                  <wp:extent cx="1634490" cy="937895"/>
                  <wp:effectExtent l="0" t="0" r="11430" b="6985"/>
                  <wp:wrapNone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4490" cy="937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443" w:type="dxa"/>
          </w:tcPr>
          <w:p w14:paraId="7D8470DD"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  <w:t>Berfungsi untuk menjepit tabung reaksi secara aman agar tangan tidak terkena panas saat tabung sedang dipanaskan di atas nyala api pembakar</w:t>
            </w:r>
          </w:p>
          <w:p w14:paraId="35D12544"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  <w:t>Mencegah tangan bersentuhan langsung dengan bahan kimia berbahaya, panas, atau reaktif yang berada di dalam tabung reaksi selama proses eksperimen.</w:t>
            </w:r>
          </w:p>
        </w:tc>
      </w:tr>
      <w:tr w14:paraId="30EFC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4" w:hRule="atLeast"/>
        </w:trPr>
        <w:tc>
          <w:tcPr>
            <w:tcW w:w="475" w:type="dxa"/>
          </w:tcPr>
          <w:p w14:paraId="7DF7D6F2"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vertAlign w:val="baseline"/>
                <w:lang w:val="en-US"/>
              </w:rPr>
              <w:t>11</w:t>
            </w:r>
          </w:p>
        </w:tc>
        <w:tc>
          <w:tcPr>
            <w:tcW w:w="1869" w:type="dxa"/>
            <w:shd w:val="clear" w:color="auto" w:fill="FFE599" w:themeFill="accent4" w:themeFillTint="66"/>
          </w:tcPr>
          <w:p w14:paraId="1466958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Chars="0" w:right="0" w:rightChars="0"/>
              <w:jc w:val="center"/>
              <w:textAlignment w:val="baseline"/>
              <w:rPr>
                <w:rFonts w:hint="eastAsia" w:asciiTheme="minorEastAsia" w:hAnsiTheme="minorEastAsia" w:eastAsiaTheme="minorEastAsia" w:cstheme="minorEastAsia"/>
                <w:b/>
                <w:bCs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444444"/>
                <w:spacing w:val="0"/>
                <w:sz w:val="19"/>
                <w:szCs w:val="19"/>
                <w:shd w:val="clear" w:fill="FFFFFF"/>
                <w:vertAlign w:val="baseline"/>
              </w:rPr>
              <w:t>Funnel</w:t>
            </w:r>
          </w:p>
          <w:p w14:paraId="082A4D1A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vertAlign w:val="baseline"/>
              </w:rPr>
            </w:pPr>
          </w:p>
        </w:tc>
        <w:tc>
          <w:tcPr>
            <w:tcW w:w="2784" w:type="dxa"/>
          </w:tcPr>
          <w:p w14:paraId="5E062B49"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  <w:drawing>
                <wp:anchor distT="0" distB="0" distL="114300" distR="114300" simplePos="0" relativeHeight="251668480" behindDoc="0" locked="0" layoutInCell="1" allowOverlap="1">
                  <wp:simplePos x="0" y="0"/>
                  <wp:positionH relativeFrom="column">
                    <wp:posOffset>190500</wp:posOffset>
                  </wp:positionH>
                  <wp:positionV relativeFrom="paragraph">
                    <wp:posOffset>90805</wp:posOffset>
                  </wp:positionV>
                  <wp:extent cx="1253490" cy="1000760"/>
                  <wp:effectExtent l="0" t="0" r="0" b="5080"/>
                  <wp:wrapNone/>
                  <wp:docPr id="14" name="Picture 1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rcRect t="9676" b="105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3490" cy="10007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2CC71E2E"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vertAlign w:val="baseline"/>
              </w:rPr>
            </w:pPr>
          </w:p>
        </w:tc>
        <w:tc>
          <w:tcPr>
            <w:tcW w:w="6443" w:type="dxa"/>
            <w:shd w:val="clear" w:color="auto" w:fill="FFE599" w:themeFill="accent4" w:themeFillTint="66"/>
          </w:tcPr>
          <w:p w14:paraId="74A508C3"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  <w:t>Berfungsi untuk membantu memindahkan atau memasukkan cairan ke dalam wadah yang memiliki leher sempit (seperti labu ukur atau botol reagen) agar tidak tumpah.</w:t>
            </w:r>
          </w:p>
        </w:tc>
      </w:tr>
      <w:tr w14:paraId="42FC8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4" w:hRule="atLeast"/>
        </w:trPr>
        <w:tc>
          <w:tcPr>
            <w:tcW w:w="475" w:type="dxa"/>
          </w:tcPr>
          <w:p w14:paraId="33ACF20F"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vertAlign w:val="baseline"/>
                <w:lang w:val="en-US"/>
              </w:rPr>
              <w:t>12</w:t>
            </w:r>
          </w:p>
        </w:tc>
        <w:tc>
          <w:tcPr>
            <w:tcW w:w="1869" w:type="dxa"/>
          </w:tcPr>
          <w:p w14:paraId="3FCBC3B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Chars="0" w:right="0" w:rightChars="0"/>
              <w:jc w:val="center"/>
              <w:textAlignment w:val="baseline"/>
              <w:rPr>
                <w:rFonts w:hint="eastAsia" w:asciiTheme="minorEastAsia" w:hAnsiTheme="minorEastAsia" w:eastAsiaTheme="minorEastAsia" w:cstheme="minorEastAsia"/>
                <w:b/>
                <w:bCs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444444"/>
                <w:spacing w:val="0"/>
                <w:sz w:val="19"/>
                <w:szCs w:val="19"/>
                <w:shd w:val="clear" w:fill="FFFFFF"/>
                <w:vertAlign w:val="baseline"/>
              </w:rPr>
              <w:t>Dropper</w:t>
            </w:r>
          </w:p>
          <w:p w14:paraId="5B619152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vertAlign w:val="baseline"/>
              </w:rPr>
            </w:pPr>
          </w:p>
        </w:tc>
        <w:tc>
          <w:tcPr>
            <w:tcW w:w="2784" w:type="dxa"/>
          </w:tcPr>
          <w:p w14:paraId="0003A6BA"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</w:rPr>
              <w:drawing>
                <wp:anchor distT="0" distB="0" distL="114300" distR="114300" simplePos="0" relativeHeight="251669504" behindDoc="0" locked="0" layoutInCell="1" allowOverlap="1">
                  <wp:simplePos x="0" y="0"/>
                  <wp:positionH relativeFrom="column">
                    <wp:posOffset>144780</wp:posOffset>
                  </wp:positionH>
                  <wp:positionV relativeFrom="paragraph">
                    <wp:posOffset>40640</wp:posOffset>
                  </wp:positionV>
                  <wp:extent cx="1230630" cy="1064260"/>
                  <wp:effectExtent l="0" t="0" r="0" b="0"/>
                  <wp:wrapNone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rcRect r="27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630" cy="1064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5B4C3926"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vertAlign w:val="baseline"/>
              </w:rPr>
            </w:pPr>
          </w:p>
        </w:tc>
        <w:tc>
          <w:tcPr>
            <w:tcW w:w="6443" w:type="dxa"/>
          </w:tcPr>
          <w:p w14:paraId="48F14D3F"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  <w:t>Berfungsi untuk mengambil dan memindahkan cairan atau larutan dari satu wadah ke wadah lain dalam takaran tetesan kecil.</w:t>
            </w:r>
          </w:p>
        </w:tc>
      </w:tr>
      <w:tr w14:paraId="65CA7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4" w:hRule="atLeast"/>
        </w:trPr>
        <w:tc>
          <w:tcPr>
            <w:tcW w:w="475" w:type="dxa"/>
          </w:tcPr>
          <w:p w14:paraId="545BE558"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vertAlign w:val="baseline"/>
                <w:lang w:val="en-US"/>
              </w:rPr>
              <w:t>13</w:t>
            </w:r>
          </w:p>
        </w:tc>
        <w:tc>
          <w:tcPr>
            <w:tcW w:w="1869" w:type="dxa"/>
            <w:shd w:val="clear" w:color="auto" w:fill="FFE599" w:themeFill="accent4" w:themeFillTint="66"/>
          </w:tcPr>
          <w:p w14:paraId="27F5AC1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Chars="0" w:right="0" w:rightChars="0"/>
              <w:jc w:val="center"/>
              <w:textAlignment w:val="baseline"/>
              <w:rPr>
                <w:rFonts w:hint="eastAsia" w:asciiTheme="minorEastAsia" w:hAnsiTheme="minorEastAsia" w:eastAsiaTheme="minorEastAsia" w:cstheme="minorEastAsia"/>
                <w:b/>
                <w:bCs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444444"/>
                <w:spacing w:val="0"/>
                <w:sz w:val="19"/>
                <w:szCs w:val="19"/>
                <w:shd w:val="clear" w:fill="FFFFFF"/>
                <w:vertAlign w:val="baseline"/>
              </w:rPr>
              <w:t>Pipette</w:t>
            </w:r>
          </w:p>
          <w:p w14:paraId="179AE339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vertAlign w:val="baseline"/>
              </w:rPr>
            </w:pPr>
          </w:p>
        </w:tc>
        <w:tc>
          <w:tcPr>
            <w:tcW w:w="2784" w:type="dxa"/>
          </w:tcPr>
          <w:p w14:paraId="6A345DCE"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</w:rPr>
              <w:drawing>
                <wp:anchor distT="0" distB="0" distL="114300" distR="114300" simplePos="0" relativeHeight="251670528" behindDoc="0" locked="0" layoutInCell="1" allowOverlap="1">
                  <wp:simplePos x="0" y="0"/>
                  <wp:positionH relativeFrom="column">
                    <wp:posOffset>101600</wp:posOffset>
                  </wp:positionH>
                  <wp:positionV relativeFrom="paragraph">
                    <wp:posOffset>104140</wp:posOffset>
                  </wp:positionV>
                  <wp:extent cx="1570990" cy="986155"/>
                  <wp:effectExtent l="0" t="0" r="13970" b="4445"/>
                  <wp:wrapNone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0990" cy="986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26B38A46"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vertAlign w:val="baseline"/>
              </w:rPr>
            </w:pPr>
          </w:p>
        </w:tc>
        <w:tc>
          <w:tcPr>
            <w:tcW w:w="6443" w:type="dxa"/>
            <w:shd w:val="clear" w:color="auto" w:fill="FFE599" w:themeFill="accent4" w:themeFillTint="66"/>
          </w:tcPr>
          <w:p w14:paraId="0CDE284B"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  <w:t>Pipet silinder panjang yang memiliki garis-garis skala volume di sepanjang batangnya. Berfungsi untuk mengukur dan memindahkan cairan dengan berbagai variasi volume secara presisi.</w:t>
            </w:r>
          </w:p>
        </w:tc>
      </w:tr>
      <w:tr w14:paraId="43382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4" w:hRule="atLeast"/>
        </w:trPr>
        <w:tc>
          <w:tcPr>
            <w:tcW w:w="475" w:type="dxa"/>
          </w:tcPr>
          <w:p w14:paraId="1AD2A186"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vertAlign w:val="baseline"/>
                <w:lang w:val="en-US"/>
              </w:rPr>
              <w:t>14</w:t>
            </w:r>
          </w:p>
        </w:tc>
        <w:tc>
          <w:tcPr>
            <w:tcW w:w="1869" w:type="dxa"/>
          </w:tcPr>
          <w:p w14:paraId="791CD7E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Chars="0" w:right="0" w:rightChars="0"/>
              <w:jc w:val="center"/>
              <w:textAlignment w:val="baseline"/>
              <w:rPr>
                <w:rFonts w:hint="eastAsia" w:asciiTheme="minorEastAsia" w:hAnsiTheme="minorEastAsia" w:eastAsiaTheme="minorEastAsia" w:cstheme="minorEastAsia"/>
                <w:b/>
                <w:bCs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444444"/>
                <w:spacing w:val="0"/>
                <w:sz w:val="19"/>
                <w:szCs w:val="19"/>
                <w:shd w:val="clear" w:fill="FFFFFF"/>
                <w:vertAlign w:val="baseline"/>
              </w:rPr>
              <w:t>Burette</w:t>
            </w:r>
          </w:p>
          <w:p w14:paraId="1BA278D5">
            <w:pPr>
              <w:rPr>
                <w:rFonts w:hint="eastAsia" w:asciiTheme="minorEastAsia" w:hAnsiTheme="minorEastAsia" w:eastAsiaTheme="minorEastAsia" w:cstheme="minorEastAsia"/>
                <w:b/>
                <w:bCs/>
                <w:vertAlign w:val="baseline"/>
              </w:rPr>
            </w:pPr>
          </w:p>
        </w:tc>
        <w:tc>
          <w:tcPr>
            <w:tcW w:w="2784" w:type="dxa"/>
          </w:tcPr>
          <w:p w14:paraId="013616F1"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</w:rPr>
              <w:drawing>
                <wp:anchor distT="0" distB="0" distL="114300" distR="114300" simplePos="0" relativeHeight="251671552" behindDoc="0" locked="0" layoutInCell="1" allowOverlap="1">
                  <wp:simplePos x="0" y="0"/>
                  <wp:positionH relativeFrom="column">
                    <wp:posOffset>372745</wp:posOffset>
                  </wp:positionH>
                  <wp:positionV relativeFrom="paragraph">
                    <wp:posOffset>-260985</wp:posOffset>
                  </wp:positionV>
                  <wp:extent cx="875030" cy="1634490"/>
                  <wp:effectExtent l="0" t="0" r="11430" b="8890"/>
                  <wp:wrapNone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875030" cy="1634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443" w:type="dxa"/>
          </w:tcPr>
          <w:p w14:paraId="07210777"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  <w:t>Berfungsi utama sebagai alat penakar untuk mengeluarkan larutan peniter (titran) secara perlahan dan presisi tetes demi tetes ke dalam wadah titrasi (seperti labu erlenmeyer).</w:t>
            </w:r>
          </w:p>
        </w:tc>
      </w:tr>
      <w:tr w14:paraId="5C133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4" w:hRule="atLeast"/>
        </w:trPr>
        <w:tc>
          <w:tcPr>
            <w:tcW w:w="475" w:type="dxa"/>
          </w:tcPr>
          <w:p w14:paraId="3F4F45C5"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vertAlign w:val="baseline"/>
                <w:lang w:val="en-US"/>
              </w:rPr>
              <w:t>15</w:t>
            </w:r>
          </w:p>
        </w:tc>
        <w:tc>
          <w:tcPr>
            <w:tcW w:w="1869" w:type="dxa"/>
            <w:shd w:val="clear" w:color="auto" w:fill="FFE599" w:themeFill="accent4" w:themeFillTint="66"/>
          </w:tcPr>
          <w:p w14:paraId="72B8727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Chars="0" w:right="0" w:rightChars="0"/>
              <w:jc w:val="center"/>
              <w:textAlignment w:val="baseline"/>
              <w:rPr>
                <w:rFonts w:hint="eastAsia" w:asciiTheme="minorEastAsia" w:hAnsiTheme="minorEastAsia" w:eastAsiaTheme="minorEastAsia" w:cstheme="minorEastAsia"/>
                <w:b/>
                <w:bCs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444444"/>
                <w:spacing w:val="0"/>
                <w:sz w:val="19"/>
                <w:szCs w:val="19"/>
                <w:shd w:val="clear" w:fill="FFFFFF"/>
                <w:vertAlign w:val="baseline"/>
              </w:rPr>
              <w:t>Clamp stand</w:t>
            </w:r>
          </w:p>
          <w:p w14:paraId="254C1E29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vertAlign w:val="baseline"/>
              </w:rPr>
            </w:pPr>
          </w:p>
        </w:tc>
        <w:tc>
          <w:tcPr>
            <w:tcW w:w="2784" w:type="dxa"/>
          </w:tcPr>
          <w:p w14:paraId="6BA7444C"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</w:rPr>
              <w:drawing>
                <wp:anchor distT="0" distB="0" distL="114300" distR="114300" simplePos="0" relativeHeight="251672576" behindDoc="0" locked="0" layoutInCell="1" allowOverlap="1">
                  <wp:simplePos x="0" y="0"/>
                  <wp:positionH relativeFrom="column">
                    <wp:posOffset>355600</wp:posOffset>
                  </wp:positionH>
                  <wp:positionV relativeFrom="paragraph">
                    <wp:posOffset>8890</wp:posOffset>
                  </wp:positionV>
                  <wp:extent cx="974090" cy="1389380"/>
                  <wp:effectExtent l="0" t="0" r="1270" b="12700"/>
                  <wp:wrapNone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090" cy="1389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443" w:type="dxa"/>
            <w:shd w:val="clear" w:color="auto" w:fill="FFE599" w:themeFill="accent4" w:themeFillTint="66"/>
          </w:tcPr>
          <w:p w14:paraId="677ED20F"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  <w:t>Berfungsi untuk memegang dan menopang berbagai peralatan gelas atau instrumen (seperti buret, labu alas bulat, corong pisah, atau termometer) pada posisi tertentu selama eksperimen.</w:t>
            </w:r>
          </w:p>
        </w:tc>
      </w:tr>
      <w:tr w14:paraId="271E7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1" w:hRule="atLeast"/>
        </w:trPr>
        <w:tc>
          <w:tcPr>
            <w:tcW w:w="475" w:type="dxa"/>
          </w:tcPr>
          <w:p w14:paraId="33FD0E95"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vertAlign w:val="baseline"/>
                <w:lang w:val="en-US"/>
              </w:rPr>
              <w:t>16</w:t>
            </w:r>
          </w:p>
        </w:tc>
        <w:tc>
          <w:tcPr>
            <w:tcW w:w="1869" w:type="dxa"/>
          </w:tcPr>
          <w:p w14:paraId="03BCDA5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Chars="0" w:right="0" w:rightChars="0"/>
              <w:jc w:val="center"/>
              <w:textAlignment w:val="baseline"/>
              <w:rPr>
                <w:rFonts w:hint="eastAsia" w:asciiTheme="minorEastAsia" w:hAnsiTheme="minorEastAsia" w:eastAsiaTheme="minorEastAsia" w:cstheme="minorEastAsia"/>
                <w:b/>
                <w:bCs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444444"/>
                <w:spacing w:val="0"/>
                <w:sz w:val="19"/>
                <w:szCs w:val="19"/>
                <w:shd w:val="clear" w:fill="FFFFFF"/>
                <w:vertAlign w:val="baseline"/>
              </w:rPr>
              <w:t>Watch glass</w:t>
            </w:r>
          </w:p>
          <w:p w14:paraId="1373B4EF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vertAlign w:val="baseline"/>
              </w:rPr>
            </w:pPr>
          </w:p>
        </w:tc>
        <w:tc>
          <w:tcPr>
            <w:tcW w:w="2784" w:type="dxa"/>
          </w:tcPr>
          <w:p w14:paraId="675DA7AA"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</w:rPr>
              <w:drawing>
                <wp:anchor distT="0" distB="0" distL="114300" distR="114300" simplePos="0" relativeHeight="251673600" behindDoc="0" locked="0" layoutInCell="1" allowOverlap="1">
                  <wp:simplePos x="0" y="0"/>
                  <wp:positionH relativeFrom="column">
                    <wp:posOffset>245110</wp:posOffset>
                  </wp:positionH>
                  <wp:positionV relativeFrom="paragraph">
                    <wp:posOffset>41910</wp:posOffset>
                  </wp:positionV>
                  <wp:extent cx="1156335" cy="1127760"/>
                  <wp:effectExtent l="0" t="0" r="1905" b="0"/>
                  <wp:wrapNone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6335" cy="1127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443" w:type="dxa"/>
          </w:tcPr>
          <w:p w14:paraId="001D5072"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  <w:t>Berfungsi untuk menguapkan cairan dalam jumlah sedikit atau mengeringkan sampel basah dengan cara mendiamkannya atau memanaskannya secara perlahan.</w:t>
            </w:r>
          </w:p>
        </w:tc>
      </w:tr>
      <w:tr w14:paraId="5EC43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4" w:hRule="atLeast"/>
        </w:trPr>
        <w:tc>
          <w:tcPr>
            <w:tcW w:w="475" w:type="dxa"/>
          </w:tcPr>
          <w:p w14:paraId="032F4BCE"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vertAlign w:val="baseline"/>
                <w:lang w:val="en-US"/>
              </w:rPr>
              <w:t>17</w:t>
            </w:r>
          </w:p>
        </w:tc>
        <w:tc>
          <w:tcPr>
            <w:tcW w:w="1869" w:type="dxa"/>
            <w:shd w:val="clear" w:color="auto" w:fill="FFE599" w:themeFill="accent4" w:themeFillTint="66"/>
          </w:tcPr>
          <w:p w14:paraId="728BB35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Chars="0" w:right="0" w:rightChars="0"/>
              <w:jc w:val="center"/>
              <w:textAlignment w:val="baseline"/>
              <w:rPr>
                <w:rFonts w:hint="eastAsia" w:asciiTheme="minorEastAsia" w:hAnsiTheme="minorEastAsia" w:eastAsiaTheme="minorEastAsia" w:cstheme="minorEastAsia"/>
                <w:b/>
                <w:bCs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444444"/>
                <w:spacing w:val="0"/>
                <w:sz w:val="19"/>
                <w:szCs w:val="19"/>
                <w:shd w:val="clear" w:fill="FFFFFF"/>
                <w:vertAlign w:val="baseline"/>
              </w:rPr>
              <w:t>Glass rod</w:t>
            </w:r>
          </w:p>
          <w:p w14:paraId="12A19906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vertAlign w:val="baseline"/>
              </w:rPr>
            </w:pPr>
          </w:p>
        </w:tc>
        <w:tc>
          <w:tcPr>
            <w:tcW w:w="2784" w:type="dxa"/>
          </w:tcPr>
          <w:p w14:paraId="50E1826C"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</w:rPr>
              <w:drawing>
                <wp:anchor distT="0" distB="0" distL="114300" distR="114300" simplePos="0" relativeHeight="251674624" behindDoc="0" locked="0" layoutInCell="1" allowOverlap="1">
                  <wp:simplePos x="0" y="0"/>
                  <wp:positionH relativeFrom="column">
                    <wp:posOffset>178435</wp:posOffset>
                  </wp:positionH>
                  <wp:positionV relativeFrom="paragraph">
                    <wp:posOffset>34925</wp:posOffset>
                  </wp:positionV>
                  <wp:extent cx="1104900" cy="1076325"/>
                  <wp:effectExtent l="0" t="0" r="7620" b="5715"/>
                  <wp:wrapNone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443" w:type="dxa"/>
            <w:shd w:val="clear" w:color="auto" w:fill="FFE599" w:themeFill="accent4" w:themeFillTint="66"/>
          </w:tcPr>
          <w:p w14:paraId="49083EA4"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  <w:t>Berfungsi untuk mencampur atau mengaduk bahan kimia cair atau larutan di dalam wadah (seperti beaker atau erlenmeyer) agar tercampur secara merata</w:t>
            </w:r>
          </w:p>
        </w:tc>
      </w:tr>
      <w:tr w14:paraId="5AA80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4" w:hRule="atLeast"/>
        </w:trPr>
        <w:tc>
          <w:tcPr>
            <w:tcW w:w="475" w:type="dxa"/>
          </w:tcPr>
          <w:p w14:paraId="4606C64D"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vertAlign w:val="baseline"/>
                <w:lang w:val="en-US"/>
              </w:rPr>
              <w:t>18</w:t>
            </w:r>
          </w:p>
        </w:tc>
        <w:tc>
          <w:tcPr>
            <w:tcW w:w="1869" w:type="dxa"/>
          </w:tcPr>
          <w:p w14:paraId="688EF47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Chars="0" w:right="0" w:rightChars="0"/>
              <w:jc w:val="center"/>
              <w:textAlignment w:val="baseline"/>
              <w:rPr>
                <w:rFonts w:hint="eastAsia" w:asciiTheme="minorEastAsia" w:hAnsiTheme="minorEastAsia" w:eastAsiaTheme="minorEastAsia" w:cstheme="minorEastAsia"/>
                <w:b/>
                <w:bCs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444444"/>
                <w:spacing w:val="0"/>
                <w:sz w:val="19"/>
                <w:szCs w:val="19"/>
                <w:shd w:val="clear" w:fill="FFFFFF"/>
                <w:vertAlign w:val="baseline"/>
              </w:rPr>
              <w:t>Spatula</w:t>
            </w:r>
          </w:p>
          <w:p w14:paraId="7D640125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vertAlign w:val="baseline"/>
              </w:rPr>
            </w:pPr>
          </w:p>
        </w:tc>
        <w:tc>
          <w:tcPr>
            <w:tcW w:w="2784" w:type="dxa"/>
          </w:tcPr>
          <w:p w14:paraId="66C40456"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</w:rPr>
              <w:drawing>
                <wp:anchor distT="0" distB="0" distL="114300" distR="114300" simplePos="0" relativeHeight="251675648" behindDoc="0" locked="0" layoutInCell="1" allowOverlap="1">
                  <wp:simplePos x="0" y="0"/>
                  <wp:positionH relativeFrom="column">
                    <wp:posOffset>186690</wp:posOffset>
                  </wp:positionH>
                  <wp:positionV relativeFrom="paragraph">
                    <wp:posOffset>93345</wp:posOffset>
                  </wp:positionV>
                  <wp:extent cx="1130300" cy="991235"/>
                  <wp:effectExtent l="0" t="0" r="0" b="0"/>
                  <wp:wrapNone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rcRect b="70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300" cy="991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3E3C433B"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vertAlign w:val="baseline"/>
              </w:rPr>
            </w:pPr>
          </w:p>
        </w:tc>
        <w:tc>
          <w:tcPr>
            <w:tcW w:w="6443" w:type="dxa"/>
          </w:tcPr>
          <w:p w14:paraId="74FB330E"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  <w:t>Digunakan untuk memindahkan zat padat dalam jumlah kecil serta membantu mencampur atau menghancurkan gumpalan kecil zat padat saat persiapan larutan.</w:t>
            </w:r>
          </w:p>
        </w:tc>
      </w:tr>
      <w:tr w14:paraId="52009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4" w:hRule="atLeast"/>
        </w:trPr>
        <w:tc>
          <w:tcPr>
            <w:tcW w:w="475" w:type="dxa"/>
          </w:tcPr>
          <w:p w14:paraId="55955CEB"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vertAlign w:val="baseline"/>
                <w:lang w:val="en-US"/>
              </w:rPr>
              <w:t>19</w:t>
            </w:r>
          </w:p>
        </w:tc>
        <w:tc>
          <w:tcPr>
            <w:tcW w:w="1869" w:type="dxa"/>
            <w:shd w:val="clear" w:color="auto" w:fill="FFE599" w:themeFill="accent4" w:themeFillTint="66"/>
          </w:tcPr>
          <w:p w14:paraId="1E931212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vertAlign w:val="baseline"/>
              </w:rPr>
            </w:pPr>
            <w:r>
              <w:rPr>
                <w:rStyle w:val="4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292929"/>
                <w:spacing w:val="0"/>
                <w:sz w:val="20"/>
                <w:szCs w:val="20"/>
                <w:shd w:val="clear" w:fill="FFFFFF"/>
              </w:rPr>
              <w:t>Chiller</w:t>
            </w:r>
          </w:p>
        </w:tc>
        <w:tc>
          <w:tcPr>
            <w:tcW w:w="2784" w:type="dxa"/>
          </w:tcPr>
          <w:p w14:paraId="65E89B79"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</w:rPr>
              <w:drawing>
                <wp:anchor distT="0" distB="0" distL="114300" distR="114300" simplePos="0" relativeHeight="251677696" behindDoc="0" locked="0" layoutInCell="1" allowOverlap="1">
                  <wp:simplePos x="0" y="0"/>
                  <wp:positionH relativeFrom="column">
                    <wp:posOffset>285115</wp:posOffset>
                  </wp:positionH>
                  <wp:positionV relativeFrom="paragraph">
                    <wp:posOffset>95885</wp:posOffset>
                  </wp:positionV>
                  <wp:extent cx="1047115" cy="1042035"/>
                  <wp:effectExtent l="0" t="0" r="4445" b="9525"/>
                  <wp:wrapNone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rcRect l="7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115" cy="1042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6F3E006C"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vertAlign w:val="baseline"/>
              </w:rPr>
            </w:pPr>
          </w:p>
        </w:tc>
        <w:tc>
          <w:tcPr>
            <w:tcW w:w="6443" w:type="dxa"/>
            <w:shd w:val="clear" w:color="auto" w:fill="FFE599" w:themeFill="accent4" w:themeFillTint="66"/>
          </w:tcPr>
          <w:p w14:paraId="5157F300"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  <w:t>Berfungsi untuk mendinginkan dan menjaga kestabilan suhu rendah pada berbagai instrumen laboratorium yang menghasilkan panas saat beroperas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/>
              </w:rPr>
              <w:t>i</w:t>
            </w:r>
          </w:p>
        </w:tc>
      </w:tr>
      <w:tr w14:paraId="6C3E5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1" w:hRule="atLeast"/>
        </w:trPr>
        <w:tc>
          <w:tcPr>
            <w:tcW w:w="475" w:type="dxa"/>
          </w:tcPr>
          <w:p w14:paraId="5E0C074A"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vertAlign w:val="baseline"/>
                <w:lang w:val="en-US"/>
              </w:rPr>
              <w:t>20</w:t>
            </w:r>
          </w:p>
        </w:tc>
        <w:tc>
          <w:tcPr>
            <w:tcW w:w="1869" w:type="dxa"/>
          </w:tcPr>
          <w:p w14:paraId="414F70F4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vertAlign w:val="baseline"/>
              </w:rPr>
            </w:pPr>
            <w:r>
              <w:rPr>
                <w:rStyle w:val="4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292929"/>
                <w:spacing w:val="0"/>
                <w:sz w:val="20"/>
                <w:szCs w:val="20"/>
                <w:shd w:val="clear" w:fill="FFFFFF"/>
              </w:rPr>
              <w:t>Drying Oven</w:t>
            </w:r>
          </w:p>
        </w:tc>
        <w:tc>
          <w:tcPr>
            <w:tcW w:w="2784" w:type="dxa"/>
          </w:tcPr>
          <w:p w14:paraId="74C6513E"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</w:rPr>
              <w:drawing>
                <wp:anchor distT="0" distB="0" distL="114300" distR="114300" simplePos="0" relativeHeight="251676672" behindDoc="0" locked="0" layoutInCell="1" allowOverlap="1">
                  <wp:simplePos x="0" y="0"/>
                  <wp:positionH relativeFrom="column">
                    <wp:posOffset>234315</wp:posOffset>
                  </wp:positionH>
                  <wp:positionV relativeFrom="paragraph">
                    <wp:posOffset>36830</wp:posOffset>
                  </wp:positionV>
                  <wp:extent cx="1145540" cy="1082040"/>
                  <wp:effectExtent l="0" t="0" r="0" b="0"/>
                  <wp:wrapNone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rcRect l="5401" b="17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5540" cy="1082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112378A9"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vertAlign w:val="baseline"/>
              </w:rPr>
            </w:pPr>
          </w:p>
        </w:tc>
        <w:tc>
          <w:tcPr>
            <w:tcW w:w="6443" w:type="dxa"/>
          </w:tcPr>
          <w:p w14:paraId="6C46AE39"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  <w:t>Berfungsi untuk mengeringkan peralatan gelas laboratorium yang telah dicuci agar bebas dari kandungan air atau pelarut sebelum digunakan kembali</w:t>
            </w:r>
          </w:p>
        </w:tc>
      </w:tr>
    </w:tbl>
    <w:p w14:paraId="1CCEA63E">
      <w:bookmarkStart w:id="0" w:name="_GoBack"/>
      <w:bookmarkEnd w:id="0"/>
    </w:p>
    <w:sectPr>
      <w:pgSz w:w="12188" w:h="18708"/>
      <w:pgMar w:top="283" w:right="283" w:bottom="283" w:left="283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Poppi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Impact">
    <w:panose1 w:val="020B0806030902050204"/>
    <w:charset w:val="00"/>
    <w:family w:val="auto"/>
    <w:pitch w:val="default"/>
    <w:sig w:usb0="00000287" w:usb1="00000000" w:usb2="00000000" w:usb3="00000000" w:csb0="2000009F" w:csb1="DFD70000"/>
  </w:font>
  <w:font w:name="Bahnschrift SemiBol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Cascadia Code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ascadia Code Light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ascadia Code SemiLight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ascadia Code SemiBold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Microsoft Himalaya">
    <w:panose1 w:val="01010100010101010101"/>
    <w:charset w:val="00"/>
    <w:family w:val="auto"/>
    <w:pitch w:val="default"/>
    <w:sig w:usb0="80000003" w:usb1="00010000" w:usb2="00000040" w:usb3="00000000" w:csb0="00000001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 UI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03113E"/>
    <w:rsid w:val="55031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table" w:styleId="5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66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2026-07-30T13:56:00Z</dcterms:created>
  <dc:creator>king flowers</dc:creator>
  <cp:lastModifiedBy>king flowers</cp:lastModifiedBy>
  <cp:lastPrinted>2026-07-30T15:00:01Z</cp:lastPrinted>
  <dcterms:modified xsi:type="dcterms:W3CDTF">2026-07-30T15:02:52Z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1CFE5D258F7D4D9093040D3A694B1A41_11</vt:lpwstr>
  </property>
</Properties>
</file>