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jc w:val="center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40"/>
          <w:szCs w:val="40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40"/>
          <w:szCs w:val="40"/>
        </w:rPr>
        <w:t>居间服务合同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出卖人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甲方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）：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{sellerName}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买受人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乙方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）：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{buyerName}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居间方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丙方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）：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</w:t>
      </w:r>
      <w:bookmarkStart w:id="0" w:name="_GoBack"/>
      <w:bookmarkEnd w:id="0"/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{intermediaryName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}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10" w:leftChars="0" w:firstLine="409" w:firstLineChars="195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鉴于甲、乙双方通过丙方居间，买卖位于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{houseAdress}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的房屋，于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{contractData}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约定时间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签订了《北京市存量房屋买卖合同》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以下简称“《买卖合同》”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。 甲、乙、丙三方在友好协商的基础上，订立本居间服务合同，以兹共同遵守。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第一条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居间服务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638" w:leftChars="0" w:right="72" w:hanging="638" w:hangingChars="304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一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甲、乙双方同意，共同委托丙方作为交易居间方，丙方提供居间服务包括：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1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提供房屋买卖市场行情咨询；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2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寻找、提供并发布房源、客源信息；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3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引领买受人实地看房；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4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协助查看房屋权属证明文件；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5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协助交易双方协商房屋买卖合同的相关条款内容；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6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促成交易双方签署合法有效的买卖合同。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633" w:leftChars="0" w:hanging="633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二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甲、乙双方签订《买卖合同》时，居间行为完成，甲、乙双方应向丙方支付本合同约定的居间服务费。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第二条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权利义务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638" w:leftChars="0" w:right="72" w:hanging="638" w:hangingChars="304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（一） 甲方和乙方应积极配合丙方的居间活动，按照丙方的要求提交房屋买卖所需的一切证书、证件及资料，并依照本合同的约定，及时足额向丙方支付居间服务费；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638" w:leftChars="0" w:right="72" w:hanging="638" w:hangingChars="304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（二）甲方和乙方应保证其提交的资料及签名真实、合法、有效；甲方和乙方授权丙方或丙方指定的第三方办理网上签约手续。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638" w:leftChars="0" w:right="72" w:hanging="638" w:hangingChars="304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（三）丙方应秉承诚实信用原则为甲、乙双方提供居间服务，不得故意在交易中提供虚假信息或故意隐瞒真实情况。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第三条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居间服务费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410" w:leftChars="0" w:firstLine="9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经三方的友好协商，在签订房屋买卖合同时，应向丙方支付居间服务费，服务费金额为人民币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{commission}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 xml:space="preserve">。其中，由甲方承担人民币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{jiaCommission}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 xml:space="preserve">。乙方承担人民币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{yiCommission}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第四条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违约责任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638" w:leftChars="0" w:right="72" w:hanging="638" w:hangingChars="304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（一）甲乙双方利用丙方所提供信息、条件、机会等，私自或者另行通过其他居间方签署《买卖合同》，甲乙双方应当承担违约责任；丙方有权要求甲乙双方支付本合同约定的全部居间服务费。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638" w:leftChars="0" w:right="72" w:hanging="638" w:hangingChars="304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（二）甲乙双方或一方延迟向丙方支付本协议第三条约定的居间服务费，该延迟方除应向丙方支付居间服务费外，还应就其未支付的部分，按照每日1%的标准支付违约金。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53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在居间服务中，丙方因工作疏漏，遗失甲、乙双方相关文件及资料，丙方承担补办手续并给与相应的经济补偿，丙方违反本合同第三条约定的，丙方应承担相应的违约责任，甲方或乙方违反本合同第二条约定，导致丙方不能继续履行义务的，丙方不承担责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81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四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甲、乙双方任何一方拖延或拒绝配合补办交易中各项手续，造成另一方损失，由拖延或拒绝配合一方承担赔偿责任，除本合同另有约定的除外，各方不得擅自单方解除或变更本协议。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第五条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其他约定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一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本协议的补充、变更、解除都应当使用书面形式，且经丙方加盖合同专用章后方可生效。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81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二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与本协议的签署或履行相关的，或因本协议的签署或履行产生的争议，三方应协商解决。协商不能达成一致的，任何一方均可向房屋所在地人民法院提起诉讼。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6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本协议壹式三份，三方各执壹份，自甲、乙、丙三方签署之日起生效。本协议的补充、变更、解除都应当使用书面形式，且经丙方加盖合同专用章后方可生效。</w:t>
      </w:r>
    </w:p>
    <w:tbl>
      <w:tblPr>
        <w:tblStyle w:val="9"/>
        <w:tblW w:w="9643" w:type="dxa"/>
        <w:tblInd w:w="119" w:type="dxa"/>
        <w:tblBorders>
          <w:top w:val="single" w:color="000000" w:sz="4" w:space="0"/>
          <w:left w:val="single" w:color="000000" w:sz="2" w:space="0"/>
          <w:bottom w:val="single" w:color="000000" w:sz="8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3"/>
      </w:tblGrid>
      <w:tr>
        <w:tblPrEx>
          <w:tblBorders>
            <w:top w:val="single" w:color="000000" w:sz="4" w:space="0"/>
            <w:left w:val="single" w:color="000000" w:sz="2" w:space="0"/>
            <w:bottom w:val="single" w:color="000000" w:sz="8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964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hanging="7" w:firstLineChars="0"/>
              <w:textAlignment w:val="center"/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特别告知，为了保障您的利益，请您确认：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0" w:leftChars="0" w:right="164" w:firstLine="411" w:firstLineChars="195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您向丙方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居间方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支付任何款项时，应取得加盖丙方印章的收款凭证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即使向丙方及丙方各分公司营业执照登记的负责人支付任何款项时，亦须取得加盖丙方印章的收款凭证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lang w:eastAsia="zh-CN"/>
              </w:rPr>
              <w:t>），</w:t>
            </w:r>
            <w:r>
              <w:rPr>
                <w:rFonts w:hint="eastAsia" w:ascii="宋体" w:hAnsi="宋体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</w:rPr>
              <w:t>否则视为您与丙方员工的私人款项往来，丙方不认可该付款行为，应由付款方及收款方自行承担由此产生的一切损失及法律责任。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出卖人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甲方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）：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 xml:space="preserve">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买受人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乙方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）：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居间方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丙方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）：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签约地址：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经纪执业人员1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none" w:color="auto"/>
        </w:rPr>
        <w:t>证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书编号：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经纪执业人员2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证书编号：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经办人姓名：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联系电话：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本合同签署日期：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</w:t>
      </w:r>
    </w:p>
    <w:p/>
    <w:sectPr>
      <w:headerReference r:id="rId5" w:type="default"/>
      <w:pgSz w:w="11906" w:h="16838"/>
      <w:pgMar w:top="1440" w:right="1134" w:bottom="1440" w:left="1134" w:header="567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kinsoku w:val="0"/>
      <w:autoSpaceDE w:val="0"/>
      <w:autoSpaceDN w:val="0"/>
      <w:adjustRightInd w:val="0"/>
      <w:snapToGrid w:val="0"/>
      <w:spacing w:line="240" w:lineRule="auto"/>
      <w:jc w:val="both"/>
      <w:textAlignment w:val="baseline"/>
      <w:outlineLvl w:val="9"/>
    </w:pPr>
    <w:r>
      <w:rPr>
        <w:rFonts w:ascii="Arial" w:hAnsi="Arial" w:eastAsia="Arial" w:cs="Arial"/>
        <w:snapToGrid w:val="0"/>
        <w:color w:val="000000"/>
        <w:kern w:val="0"/>
        <w:sz w:val="18"/>
        <w:szCs w:val="21"/>
      </w:rPr>
      <w:drawing>
        <wp:inline distT="0" distB="0" distL="114300" distR="114300">
          <wp:extent cx="1892935" cy="412115"/>
          <wp:effectExtent l="0" t="0" r="12065" b="6985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2935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5MmMzNTQzNjgxZTQ3OTE0NTIwYWRiYTBhZjMyMTUifQ=="/>
  </w:docVars>
  <w:rsids>
    <w:rsidRoot w:val="6E8D1E98"/>
    <w:rsid w:val="04671BA3"/>
    <w:rsid w:val="086453D6"/>
    <w:rsid w:val="383572F8"/>
    <w:rsid w:val="52C627DD"/>
    <w:rsid w:val="589B1C23"/>
    <w:rsid w:val="6D3E035D"/>
    <w:rsid w:val="6DAE352D"/>
    <w:rsid w:val="6E8D1E98"/>
    <w:rsid w:val="7AEA4006"/>
    <w:rsid w:val="7CD6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pPr>
      <w:spacing w:before="120" w:after="120"/>
    </w:pPr>
    <w:rPr>
      <w:rFonts w:ascii="Verdana" w:hAnsi="Verdana" w:eastAsia="Verdana" w:cs="Times New Roman"/>
      <w:sz w:val="22"/>
      <w:lang w:val="fr-FR" w:eastAsia="en-US"/>
    </w:rPr>
  </w:style>
  <w:style w:type="paragraph" w:styleId="3">
    <w:name w:val="toc 3"/>
    <w:basedOn w:val="1"/>
    <w:next w:val="1"/>
    <w:qFormat/>
    <w:uiPriority w:val="0"/>
    <w:pPr>
      <w:ind w:left="840" w:leftChars="400"/>
    </w:pPr>
    <w:rPr>
      <w:rFonts w:ascii="宋体" w:hAnsi="宋体" w:eastAsia="宋体" w:cs="宋体"/>
      <w:color w:val="000000"/>
      <w:sz w:val="24"/>
      <w:szCs w:val="22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able of figures"/>
    <w:basedOn w:val="1"/>
    <w:next w:val="1"/>
    <w:qFormat/>
    <w:uiPriority w:val="0"/>
    <w:pPr>
      <w:ind w:left="0" w:firstLine="0"/>
    </w:pPr>
    <w:rPr>
      <w:rFonts w:ascii="Verdana" w:hAnsi="Verdana" w:eastAsia="Verdana" w:cs="Times New Roman"/>
      <w:sz w:val="22"/>
      <w:lang w:val="fr-FR" w:eastAsia="en-US"/>
    </w:rPr>
  </w:style>
  <w:style w:type="table" w:customStyle="1" w:styleId="9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2023-03-17T09:35:00Z</dcterms:created>
  <dc:creator>大哥</dc:creator>
  <cp:lastModifiedBy>hi</cp:lastModifiedBy>
  <dcterms:modified xsi:type="dcterms:W3CDTF">2023-04-05T02:36:06Z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BE52F4A6A8514285B941435DE6275ED0</vt:lpwstr>
  </property>
</Properties>
</file>