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95" w:firstLine="0"/>
        <w:textAlignment w:val="center"/>
        <w:rPr>
          <w:rFonts w:hint="eastAsia" w:ascii="宋体" w:hAnsi="宋体" w:eastAsia="宋体" w:cs="宋体"/>
          <w:spacing w:val="0"/>
          <w:positio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40"/>
          <w:szCs w:val="40"/>
        </w:rPr>
        <w:t>交易资金风险提示及自行划转确认书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13"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  <w:t>(交易双方自行划转交易资金时须在本确认书上签字确认)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9" w:right="5" w:firstLine="420" w:firstLineChars="200"/>
        <w:jc w:val="both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为了保障房屋交易的资金安全，本次房屋交易的居间方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>{intermediaryName}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9" w:right="5" w:firstLine="420" w:firstLineChars="200"/>
        <w:jc w:val="both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 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以下简称“21世纪不动产”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建议交易双方以资金监管或资金托管的方式划转购房资金，前述“购房资金”包括但不限于定金、首付款/购房款、物业交割保证金等房屋交易涉及的相关款项。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" w:leftChars="0" w:firstLine="409" w:firstLineChars="194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  <w:t>21世纪不动产特别告知，如交易双方放弃资金监管/资金托管方式划转购房资金，而自行支付购房资金的，可能面临的风险包括但不限于：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1、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>若交易不成功，房屋买受人已经支付的购房资金可能存在风险；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2、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>交易房屋可能无法按照合同的约定进行交付；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3、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>房屋出卖人可能无法按照合同的约定，按时足额收取购房资金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" w:leftChars="0" w:firstLine="409" w:firstLineChars="194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交易双方完全知悉并理解21世纪不动产告知的上述内容，自愿接受自行划转购房资金可能产生的后果。交易双方一致确认，买受人自愿将购房资金按约定以自行支付的方式支付给出卖人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2" w:firstLine="0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特此确认!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3" w:firstLine="0"/>
        <w:jc w:val="both"/>
        <w:textAlignment w:val="center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(以下无正文)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3"/>
        <w:jc w:val="both"/>
        <w:textAlignment w:val="center"/>
        <w:rPr>
          <w:rFonts w:hint="eastAsia" w:ascii="宋体" w:hAnsi="宋体" w:eastAsia="宋体" w:cs="宋体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3"/>
        <w:jc w:val="both"/>
        <w:textAlignment w:val="center"/>
        <w:rPr>
          <w:rFonts w:hint="eastAsia" w:ascii="宋体" w:hAnsi="宋体" w:eastAsia="宋体" w:cs="宋体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3"/>
        <w:jc w:val="both"/>
        <w:textAlignment w:val="center"/>
        <w:rPr>
          <w:rFonts w:hint="eastAsia" w:ascii="宋体" w:hAnsi="宋体" w:eastAsia="宋体" w:cs="宋体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tabs>
          <w:tab w:val="left" w:pos="48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房屋出卖人：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房屋买受人：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</w:t>
      </w:r>
    </w:p>
    <w:p>
      <w:pPr>
        <w:keepNext w:val="0"/>
        <w:keepLines w:val="0"/>
        <w:pageBreakBefore w:val="0"/>
        <w:widowControl/>
        <w:tabs>
          <w:tab w:val="left" w:pos="48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签署日期：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签署日期：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3A5666F4"/>
    <w:rsid w:val="02E0676D"/>
    <w:rsid w:val="04671BA3"/>
    <w:rsid w:val="086453D6"/>
    <w:rsid w:val="36086272"/>
    <w:rsid w:val="383572F8"/>
    <w:rsid w:val="3A5666F4"/>
    <w:rsid w:val="47EF0F0B"/>
    <w:rsid w:val="589B1C23"/>
    <w:rsid w:val="68564D84"/>
    <w:rsid w:val="6D3E035D"/>
    <w:rsid w:val="6DAE352D"/>
    <w:rsid w:val="7E9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431</Characters>
  <Lines>0</Lines>
  <Paragraphs>0</Paragraphs>
  <TotalTime>1</TotalTime>
  <ScaleCrop>false</ScaleCrop>
  <LinksUpToDate>false</LinksUpToDate>
  <CharactersWithSpaces>587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2023-03-17T09:31:00Z</dcterms:created>
  <dc:creator>大哥</dc:creator>
  <cp:lastModifiedBy>hi</cp:lastModifiedBy>
  <dcterms:modified xsi:type="dcterms:W3CDTF">2023-04-05T13:24:12Z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85204DBFAA6B47A39151B57ED02AE12F</vt:lpwstr>
  </property>
</Properties>
</file>