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Soalan Lazim Logo Halal</w:t>
      </w:r>
    </w:p>
    <w:p>
      <w:r>
        <w:rPr>
          <w:b/>
        </w:rPr>
        <w:t xml:space="preserve">Soalan 1: </w:t>
      </w:r>
      <w:r>
        <w:t xml:space="preserve">Bolehkah syarikat guna logo halal lama? </w:t>
      </w:r>
      <w:r>
        <w:t>(rujukan: MPPHM &amp; Klausa 40(2))</w:t>
      </w:r>
    </w:p>
    <w:p>
      <w:pPr>
        <w:pStyle w:val="ListBullet"/>
      </w:pPr>
      <w:r>
        <w:t>Jawapan: Tidak. Logo hendaklah mengikut spesifikasi semasa.</w:t>
      </w:r>
    </w:p>
    <w:p>
      <w:r>
        <w:t>Baris satu</w:t>
      </w:r>
      <w:r>
        <w:br/>
      </w:r>
      <w:r>
        <w:t>Baris dua</w:t>
        <w:tab/>
        <w:t>selepas tab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Soalan</w:t>
            </w:r>
          </w:p>
        </w:tc>
        <w:tc>
          <w:tcPr>
            <w:tcW w:type="dxa" w:w="4320"/>
          </w:tcPr>
          <w:p>
            <w:r>
              <w:t>Jawapan</w:t>
            </w:r>
          </w:p>
        </w:tc>
      </w:tr>
      <w:tr>
        <w:tc>
          <w:tcPr>
            <w:tcW w:type="dxa" w:w="4320"/>
          </w:tcPr>
          <w:p>
            <w:r>
              <w:t>Berapa lama sijil halal sah?</w:t>
            </w:r>
          </w:p>
        </w:tc>
        <w:tc>
          <w:tcPr>
            <w:tcW w:type="dxa" w:w="4320"/>
          </w:tcPr>
          <w:p>
            <w:r>
              <w:t>Dua tahun.</w:t>
            </w:r>
          </w:p>
        </w:tc>
      </w:tr>
      <w:tr>
        <w:tc>
          <w:tcPr>
            <w:tcW w:type="dxa" w:w="4320"/>
          </w:tcPr>
          <w:p>
            <w:r>
              <w:t>Adakah “logo” hijau wajib?</w:t>
            </w:r>
          </w:p>
          <w:p>
            <w:r>
              <w:t>(soalan kedua dalam sel yang sama)</w:t>
            </w:r>
          </w:p>
        </w:tc>
        <w:tc>
          <w:tcPr>
            <w:tcW w:type="dxa" w:w="4320"/>
          </w:tcPr>
          <w:p>
            <w:r>
              <w:t>Tidak; Klausa 40(2) membenarkan warna lain.</w:t>
            </w:r>
          </w:p>
        </w:tc>
      </w:tr>
    </w:tbl>
    <w:p>
      <w:r>
        <w:t>Penutup — café &amp; kopi &lt;ok&gt;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