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after="20"/>
      </w:pPr>
      <w:r>
        <w:rPr>
          <w:rFonts w:ascii="Arial" w:hAnsi="Arial"/>
          <w:b/>
          <w:color w:val="181F1C"/>
          <w:sz w:val="40"/>
        </w:rPr>
        <w:t>Wanshu Zhang</w:t>
      </w:r>
    </w:p>
    <w:p>
      <w:pPr>
        <w:widowControl/>
        <w:spacing w:after="40"/>
      </w:pPr>
      <w:r>
        <w:rPr>
          <w:sz w:val="17"/>
        </w:rPr>
        <w:t xml:space="preserve">Luxembourg  |  </w:t>
      </w:r>
      <w:hyperlink r:id="rId9">
        <w:r>
          <w:rPr>
            <w:color w:val="1F705E"/>
            <w:sz w:val="17"/>
          </w:rPr>
          <w:t>wanshu.zhang@uni.lu</w:t>
        </w:r>
      </w:hyperlink>
      <w:r>
        <w:t xml:space="preserve">  |  </w:t>
      </w:r>
      <w:hyperlink r:id="rId10">
        <w:r>
          <w:rPr>
            <w:color w:val="1F705E"/>
            <w:sz w:val="17"/>
          </w:rPr>
          <w:t>github.com/wanshuzhang-story</w:t>
        </w:r>
      </w:hyperlink>
    </w:p>
    <w:p>
      <w:pPr>
        <w:widowControl/>
        <w:spacing w:after="100"/>
      </w:pPr>
      <w:r>
        <w:rPr>
          <w:b/>
          <w:color w:val="1F705E"/>
          <w:sz w:val="18"/>
        </w:rPr>
        <w:t>Computational history  •  NLP &amp; LLM evaluation  •  information networks  •  digital systems</w:t>
      </w:r>
    </w:p>
    <w:p>
      <w:pPr>
        <w:widowControl/>
        <w:spacing w:after="120"/>
      </w:pPr>
      <w:r>
        <w:rPr>
          <w:b/>
        </w:rPr>
        <w:t xml:space="preserve">Research profile. </w:t>
      </w:r>
      <w:r>
        <w:t>PhD researcher at the Luxembourg Centre for Contemporary and Digital History (C²DH), University of Luxembourg. I study how uncertain claims change through repetition, attribution, correction, and reuse, and I build reproducible computational workflows for noisy historical text. My work combines NLP and LLM evaluation, annotation and benchmark design, provenance/source-reuse networks, large-scale corpus processing, and public-facing digital systems.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112"/>
            <w:vAlign w:val="center"/>
            <w:shd w:fill="EEF4F1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20"/>
            </w:pPr>
            <w:r/>
            <w:r>
              <w:rPr>
                <w:b/>
                <w:color w:val="1F705E"/>
                <w:sz w:val="17"/>
              </w:rPr>
              <w:t>AI / NLP</w:t>
            </w:r>
          </w:p>
          <w:p>
            <w:pPr>
              <w:spacing w:after="0"/>
            </w:pPr>
            <w:r>
              <w:rPr>
                <w:color w:val="181F1C"/>
                <w:sz w:val="15"/>
              </w:rPr>
              <w:t>LLM annotation and evaluation; event/entity extraction; semantic similarity; OCR-aware processing.</w:t>
            </w:r>
          </w:p>
        </w:tc>
        <w:tc>
          <w:tcPr>
            <w:tcW w:type="dxa" w:w="5112"/>
            <w:vAlign w:val="center"/>
            <w:shd w:fill="EEF4F1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20"/>
            </w:pPr>
            <w:r/>
            <w:r>
              <w:rPr>
                <w:b/>
                <w:color w:val="1F705E"/>
                <w:sz w:val="17"/>
              </w:rPr>
              <w:t>Scale / infrastructure</w:t>
            </w:r>
          </w:p>
          <w:p>
            <w:pPr>
              <w:spacing w:after="0"/>
            </w:pPr>
            <w:r>
              <w:rPr>
                <w:color w:val="181F1C"/>
                <w:sz w:val="15"/>
              </w:rPr>
              <w:t>Large historical corpora, streaming data, DuckDB, Hugging Face datasets, ULHPC/SLURM workflows.</w:t>
            </w:r>
          </w:p>
        </w:tc>
      </w:tr>
      <w:tr>
        <w:tc>
          <w:tcPr>
            <w:tcW w:type="dxa" w:w="5112"/>
            <w:vAlign w:val="center"/>
            <w:shd w:fill="EEF4F1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20"/>
            </w:pPr>
            <w:r/>
            <w:r>
              <w:rPr>
                <w:b/>
                <w:color w:val="1F705E"/>
                <w:sz w:val="17"/>
              </w:rPr>
              <w:t>Open research software</w:t>
            </w:r>
          </w:p>
          <w:p>
            <w:pPr>
              <w:spacing w:after="0"/>
            </w:pPr>
            <w:r>
              <w:rPr>
                <w:color w:val="181F1C"/>
                <w:sz w:val="15"/>
              </w:rPr>
              <w:t>RumourFlow provenance/reuse toolkit; RecycloLux multilingual serious-game system.</w:t>
            </w:r>
          </w:p>
        </w:tc>
        <w:tc>
          <w:tcPr>
            <w:tcW w:type="dxa" w:w="5112"/>
            <w:vAlign w:val="center"/>
            <w:shd w:fill="EEF4F1"/>
            <w:tcMar>
              <w:top w:w="75" w:type="dxa"/>
              <w:start w:w="90" w:type="dxa"/>
              <w:bottom w:w="75" w:type="dxa"/>
              <w:end w:w="90" w:type="dxa"/>
            </w:tcMar>
          </w:tcPr>
          <w:p>
            <w:pPr>
              <w:spacing w:after="20"/>
            </w:pPr>
            <w:r/>
            <w:r>
              <w:rPr>
                <w:b/>
                <w:color w:val="1F705E"/>
                <w:sz w:val="17"/>
              </w:rPr>
              <w:t>Evaluation / evidence</w:t>
            </w:r>
          </w:p>
          <w:p>
            <w:pPr>
              <w:spacing w:after="0"/>
            </w:pPr>
            <w:r>
              <w:rPr>
                <w:color w:val="181F1C"/>
                <w:sz w:val="15"/>
              </w:rPr>
              <w:t>Gold-set design, inter-annotator agreement, error analysis, source/reuse networks, reproducible validation.</w:t>
            </w:r>
          </w:p>
        </w:tc>
      </w:tr>
    </w:tbl>
    <w:p>
      <w:pPr>
        <w:pStyle w:val="CVSection"/>
        <w:widowControl/>
      </w:pPr>
      <w:r>
        <w:t>EDUCATION</w:t>
      </w:r>
    </w:p>
    <w:p>
      <w:pPr>
        <w:pStyle w:val="CVItem"/>
        <w:widowControl/>
      </w:pPr>
      <w:r>
        <w:rPr>
          <w:b/>
        </w:rPr>
        <w:t>University of Luxembourg — Luxembourg Centre for Contemporary and Digital History (C²DH)</w:t>
      </w:r>
      <w:r>
        <w:rPr>
          <w:b w:val="0"/>
          <w:color w:val="606662"/>
        </w:rPr>
        <w:t xml:space="preserve">    Jul 2023–present</w:t>
      </w:r>
    </w:p>
    <w:p>
      <w:pPr>
        <w:pStyle w:val="CVSmall"/>
        <w:widowControl/>
      </w:pPr>
      <w:r>
        <w:t>PhD researcher in History / Digital History</w:t>
      </w:r>
    </w:p>
    <w:p>
      <w:pPr>
        <w:widowControl/>
        <w:spacing w:after="24"/>
        <w:ind w:left="216" w:hanging="144"/>
      </w:pPr>
      <w:r>
        <w:rPr>
          <w:sz w:val="16"/>
        </w:rPr>
        <w:t>• Thesis: Repetition Patterns and Ephemeral Effects of Rumors (Collective Amnesia Phenomenon).</w:t>
      </w:r>
    </w:p>
    <w:p>
      <w:pPr>
        <w:widowControl/>
        <w:spacing w:after="24"/>
        <w:ind w:left="216" w:hanging="144"/>
      </w:pPr>
      <w:r>
        <w:rPr>
          <w:sz w:val="16"/>
        </w:rPr>
        <w:t>• Coursework includes Digital Epistemology and Narratives of the Digital.</w:t>
      </w:r>
    </w:p>
    <w:p>
      <w:pPr>
        <w:pStyle w:val="CVItem"/>
        <w:widowControl/>
      </w:pPr>
      <w:r>
        <w:rPr>
          <w:b/>
        </w:rPr>
        <w:t>Higher School of Economics (HSE), Moscow</w:t>
      </w:r>
      <w:r>
        <w:rPr>
          <w:b w:val="0"/>
          <w:color w:val="606662"/>
        </w:rPr>
        <w:t xml:space="preserve">    Sep 2020–Jun 2022</w:t>
      </w:r>
    </w:p>
    <w:p>
      <w:pPr>
        <w:pStyle w:val="CVSmall"/>
        <w:widowControl/>
      </w:pPr>
      <w:r>
        <w:t>M.A. in Linguistic Theory and Language Description</w:t>
      </w:r>
    </w:p>
    <w:p>
      <w:pPr>
        <w:widowControl/>
        <w:spacing w:after="24"/>
        <w:ind w:left="216" w:hanging="144"/>
      </w:pPr>
      <w:r>
        <w:rPr>
          <w:sz w:val="16"/>
        </w:rPr>
        <w:t>• Thesis: Semantic Fields of Pulling and Pushing in Mandarin Chinese.</w:t>
      </w:r>
    </w:p>
    <w:p>
      <w:pPr>
        <w:widowControl/>
        <w:spacing w:after="24"/>
        <w:ind w:left="216" w:hanging="144"/>
      </w:pPr>
      <w:r>
        <w:rPr>
          <w:sz w:val="16"/>
        </w:rPr>
        <w:t>• Training included formal approaches to language, Python, quantitative analysis and visualization, sociolinguistics, typology, linguistic anthropology, and neurolinguistics.</w:t>
      </w:r>
    </w:p>
    <w:p>
      <w:pPr>
        <w:pStyle w:val="CVItem"/>
        <w:widowControl/>
      </w:pPr>
      <w:r>
        <w:rPr>
          <w:b/>
        </w:rPr>
        <w:t>Henan Institute of Science and Technology</w:t>
      </w:r>
      <w:r>
        <w:rPr>
          <w:b w:val="0"/>
          <w:color w:val="606662"/>
        </w:rPr>
        <w:t xml:space="preserve">    Sep 2014–Jun 2018</w:t>
      </w:r>
    </w:p>
    <w:p>
      <w:pPr>
        <w:pStyle w:val="CVSmall"/>
        <w:widowControl/>
      </w:pPr>
      <w:r>
        <w:t>B.A. in Biological Engineering</w:t>
      </w:r>
    </w:p>
    <w:p>
      <w:pPr>
        <w:widowControl/>
        <w:spacing w:after="24"/>
        <w:ind w:left="216" w:hanging="144"/>
      </w:pPr>
      <w:r>
        <w:rPr>
          <w:sz w:val="16"/>
        </w:rPr>
        <w:t>• Thesis: Cloning and Expression Analysis of the TaLr67 Gene in Wheat.</w:t>
      </w:r>
    </w:p>
    <w:p>
      <w:pPr>
        <w:pStyle w:val="CVSection"/>
        <w:widowControl/>
      </w:pPr>
      <w:r>
        <w:t>PEER-REVIEWED PUBLICATIONS AND ACCEPTED CONTRIBUTIONS</w:t>
      </w:r>
    </w:p>
    <w:p>
      <w:pPr>
        <w:widowControl/>
        <w:spacing w:after="60"/>
        <w:ind w:left="173" w:hanging="173"/>
      </w:pPr>
      <w:r>
        <w:t>Zhang, W. (2026). “Validating Rule-Based Classification of Historical Fake News with Event Extraction: A Case Study of the Great Moon Hoax of 1835.” In X. Ding &amp; Y. Dong (Eds.), Computational Linguistics and Natural Language Processing – 2nd International Conference, CLNLP 2025, Revised Selected Papers, 39–46. Springer Nature.</w:t>
      </w:r>
      <w:r>
        <w:t xml:space="preserve">  DOI: </w:t>
      </w:r>
      <w:hyperlink r:id="rId11">
        <w:r>
          <w:rPr>
            <w:color w:val="1F705E"/>
            <w:sz w:val="17"/>
          </w:rPr>
          <w:t>10.1007/978-981-95-4788-3_4</w:t>
        </w:r>
      </w:hyperlink>
    </w:p>
    <w:p>
      <w:pPr>
        <w:widowControl/>
        <w:spacing w:after="60"/>
        <w:ind w:left="173" w:hanging="173"/>
      </w:pPr>
      <w:r>
        <w:t>Zhang, W. (2026). “LLM-Based Frame and Stance Annotation for 19th-Century Rumour Discourse in US and UK Newspapers.” Proceedings of NeoLLM 2026: Neology and Large Language Models.</w:t>
      </w:r>
      <w:r>
        <w:t xml:space="preserve">  DOI: </w:t>
      </w:r>
      <w:hyperlink r:id="rId12">
        <w:r>
          <w:rPr>
            <w:color w:val="1F705E"/>
            <w:sz w:val="17"/>
          </w:rPr>
          <w:t>10.63317/4qdnrzfmibbz</w:t>
        </w:r>
      </w:hyperlink>
    </w:p>
    <w:p>
      <w:pPr>
        <w:widowControl/>
        <w:spacing w:after="60"/>
        <w:ind w:left="173" w:hanging="173"/>
      </w:pPr>
      <w:r>
        <w:t>Zhang, W. (2026). “The Editor’s Dilemma: A Browser-Based Serious Game Prototype for Teaching Epistemic Vocabulary Through Historical Misinformation.” Joint Conference on Serious Games 2026. [accepted; forthcoming]</w:t>
      </w:r>
    </w:p>
    <w:p>
      <w:pPr>
        <w:widowControl/>
        <w:spacing w:after="60"/>
        <w:ind w:left="173" w:hanging="173"/>
      </w:pPr>
      <w:r>
        <w:t>Zhang, W. (2026). “RecycloLux: A Multilingual Serious Game Demo for Civic Waste Sorting Literacy in Luxembourg.” Joint Conference on Serious Games 2026, Lecture Notes in Computer Science proceedings. [accepted; forthcoming]</w:t>
      </w:r>
    </w:p>
    <w:p>
      <w:pPr>
        <w:widowControl/>
        <w:spacing w:after="60"/>
        <w:ind w:left="173" w:hanging="173"/>
      </w:pPr>
      <w:r>
        <w:t>Zhang, W. (2026). “Linking Rumour Flows: A Gazetteer-Based Toolkit for Source and Reuse Detection in Historical Newspapers.” EADH 2026 poster abstract. [presented]</w:t>
      </w:r>
      <w:r>
        <w:t xml:space="preserve">  DOI: </w:t>
      </w:r>
      <w:hyperlink r:id="rId13">
        <w:r>
          <w:rPr>
            <w:color w:val="1F705E"/>
            <w:sz w:val="17"/>
          </w:rPr>
          <w:t>10.5281/zenodo.23267368</w:t>
        </w:r>
      </w:hyperlink>
    </w:p>
    <w:p>
      <w:pPr>
        <w:widowControl/>
        <w:spacing w:after="60"/>
        <w:ind w:left="173" w:hanging="173"/>
      </w:pPr>
      <w:r>
        <w:t>Zhang, W., Liao, M., &amp; Wang, Y. (2026). “The Anatomy of Digital Haunting: Extracting the Universal Mechanism of Fear from a Case Study of Northeast China’s Dreamcore.” Spatial Humanities 26 abstract. [presented]</w:t>
      </w:r>
    </w:p>
    <w:p>
      <w:pPr>
        <w:pStyle w:val="CVSection"/>
        <w:widowControl/>
      </w:pPr>
      <w:r>
        <w:t>SELECTED RESEARCH, SOFTWARE, AND DIGITAL SYSTEMS</w:t>
      </w:r>
    </w:p>
    <w:p>
      <w:pPr>
        <w:pStyle w:val="CVItem"/>
        <w:widowControl/>
      </w:pPr>
      <w:r>
        <w:rPr>
          <w:b/>
        </w:rPr>
        <w:t>PRESTO — discovering and tracking rumoured events in historical newspapers</w:t>
      </w:r>
    </w:p>
    <w:p>
      <w:pPr>
        <w:widowControl/>
        <w:spacing w:after="24"/>
        <w:ind w:left="216" w:hanging="144"/>
      </w:pPr>
      <w:r>
        <w:rPr>
          <w:sz w:val="16"/>
        </w:rPr>
        <w:t>• Designed a two-phase workflow for high-recall discovery followed by event-focused extraction and validation across large historical newspaper corpora.</w:t>
      </w:r>
    </w:p>
    <w:p>
      <w:pPr>
        <w:widowControl/>
        <w:spacing w:after="24"/>
        <w:ind w:left="216" w:hanging="144"/>
      </w:pPr>
      <w:r>
        <w:rPr>
          <w:sz w:val="16"/>
        </w:rPr>
        <w:t>• Integrated rule-based NLP, dependency/event features, OCR-aware preprocessing, embeddings, and LLM-assisted classification; presented at Digital Humanities 2026.</w:t>
      </w:r>
    </w:p>
    <w:p>
      <w:pPr>
        <w:pStyle w:val="CVItem"/>
        <w:widowControl/>
      </w:pPr>
      <w:r>
        <w:rPr>
          <w:b/>
        </w:rPr>
        <w:t>RumourFlow — source, reuse, and provenance detection in historical news</w:t>
      </w:r>
    </w:p>
    <w:p>
      <w:pPr>
        <w:pStyle w:val="CVSmall"/>
        <w:widowControl/>
      </w:pPr>
      <w:hyperlink r:id="rId14">
        <w:r>
          <w:rPr>
            <w:color w:val="1F705E"/>
            <w:sz w:val="17"/>
          </w:rPr>
          <w:t>GitHub</w:t>
        </w:r>
      </w:hyperlink>
      <w:r>
        <w:t xml:space="preserve">  |  </w:t>
      </w:r>
      <w:hyperlink r:id="rId13">
        <w:r>
          <w:rPr>
            <w:color w:val="1F705E"/>
            <w:sz w:val="17"/>
          </w:rPr>
          <w:t>EADH 2026 poster</w:t>
        </w:r>
      </w:hyperlink>
    </w:p>
    <w:p>
      <w:pPr>
        <w:widowControl/>
        <w:spacing w:after="24"/>
        <w:ind w:left="216" w:hanging="144"/>
      </w:pPr>
      <w:r>
        <w:rPr>
          <w:sz w:val="16"/>
        </w:rPr>
        <w:t>• Developed a review-oriented toolkit combining source cues, cross-collection gazetteers, text-reuse detection, clustering, and graph-ready exports for historical newspaper research.</w:t>
      </w:r>
    </w:p>
    <w:p>
      <w:pPr>
        <w:widowControl/>
        <w:spacing w:after="24"/>
        <w:ind w:left="216" w:hanging="144"/>
      </w:pPr>
      <w:r>
        <w:rPr>
          <w:sz w:val="16"/>
        </w:rPr>
        <w:t>• Methodological focus: distinguishing dependent repetition from independent corroboration and keeping inferred connections auditable.</w:t>
      </w:r>
    </w:p>
    <w:p>
      <w:pPr>
        <w:pStyle w:val="CVItem"/>
        <w:widowControl/>
      </w:pPr>
      <w:r>
        <w:rPr>
          <w:b/>
        </w:rPr>
        <w:t>LLM frame and stance annotation for nineteenth-century rumour discourse</w:t>
      </w:r>
    </w:p>
    <w:p>
      <w:pPr>
        <w:widowControl/>
        <w:spacing w:after="24"/>
        <w:ind w:left="216" w:hanging="144"/>
      </w:pPr>
      <w:r>
        <w:rPr>
          <w:sz w:val="16"/>
        </w:rPr>
        <w:t>• Constructed US/UK newspaper datasets and annotation schemes for frames, stance, and anachronism; evaluated LLM-based labeling against manually checked data.</w:t>
      </w:r>
    </w:p>
    <w:p>
      <w:pPr>
        <w:widowControl/>
        <w:spacing w:after="24"/>
        <w:ind w:left="216" w:hanging="144"/>
      </w:pPr>
      <w:r>
        <w:rPr>
          <w:sz w:val="16"/>
        </w:rPr>
        <w:t>• Emphasis: reproducible evaluation, error analysis, cross-national comparison, and semantic change.</w:t>
      </w:r>
    </w:p>
    <w:p>
      <w:pPr>
        <w:pStyle w:val="CVItem"/>
        <w:widowControl/>
      </w:pPr>
      <w:r>
        <w:rPr>
          <w:b/>
        </w:rPr>
        <w:t>Helsinki Digital Humanities Hackathon — #Books</w:t>
      </w:r>
      <w:r>
        <w:rPr>
          <w:b w:val="0"/>
          <w:color w:val="606662"/>
        </w:rPr>
        <w:t xml:space="preserve">    May 2026</w:t>
      </w:r>
    </w:p>
    <w:p>
      <w:pPr>
        <w:widowControl/>
        <w:spacing w:after="24"/>
        <w:ind w:left="216" w:hanging="144"/>
      </w:pPr>
      <w:r>
        <w:rPr>
          <w:sz w:val="16"/>
        </w:rPr>
        <w:t>• Co-built a manually annotated 1,200-record VD16/VD17 dataset with a medieval-literature domain expert; compared GPT-5.5 and Gemini 3.1 Pro prompting strategies and developed a 3D prism visualization for semantic change.</w:t>
      </w:r>
    </w:p>
    <w:p>
      <w:pPr>
        <w:pStyle w:val="CVItem"/>
        <w:widowControl/>
      </w:pPr>
      <w:r>
        <w:rPr>
          <w:b/>
        </w:rPr>
        <w:t>RecycloLux — multilingual civic waste-sorting serious game</w:t>
      </w:r>
      <w:r>
        <w:rPr>
          <w:b w:val="0"/>
          <w:color w:val="606662"/>
        </w:rPr>
        <w:t xml:space="preserve">    2026</w:t>
      </w:r>
    </w:p>
    <w:p>
      <w:pPr>
        <w:pStyle w:val="CVSmall"/>
        <w:widowControl/>
      </w:pPr>
      <w:hyperlink r:id="rId15">
        <w:r>
          <w:rPr>
            <w:color w:val="1F705E"/>
            <w:sz w:val="17"/>
          </w:rPr>
          <w:t>Live system</w:t>
        </w:r>
      </w:hyperlink>
      <w:r>
        <w:t xml:space="preserve">  |  </w:t>
      </w:r>
      <w:hyperlink r:id="rId16">
        <w:r>
          <w:rPr>
            <w:color w:val="1F705E"/>
            <w:sz w:val="17"/>
          </w:rPr>
          <w:t>GitHub</w:t>
        </w:r>
      </w:hyperlink>
    </w:p>
    <w:p>
      <w:pPr>
        <w:widowControl/>
        <w:spacing w:after="24"/>
        <w:ind w:left="216" w:hanging="144"/>
      </w:pPr>
      <w:r>
        <w:rPr>
          <w:sz w:val="16"/>
        </w:rPr>
        <w:t>• Designed and deployed a source-verified multilingual browser game with 91 household items, age-differentiated pools, three difficulty levels, explanatory feedback, search/reporting workflows, and privacy-aware maintenance.</w:t>
      </w:r>
    </w:p>
    <w:p>
      <w:pPr>
        <w:widowControl/>
        <w:spacing w:after="24"/>
        <w:ind w:left="216" w:hanging="144"/>
      </w:pPr>
      <w:r>
        <w:rPr>
          <w:sz w:val="16"/>
        </w:rPr>
        <w:t>• Accepted as a JCSG 2026 demo paper.</w:t>
      </w:r>
    </w:p>
    <w:p>
      <w:pPr>
        <w:pStyle w:val="CVItem"/>
        <w:widowControl/>
      </w:pPr>
      <w:r>
        <w:rPr>
          <w:b/>
        </w:rPr>
        <w:t>Birthday Wishes Collector — lightweight team web utility</w:t>
      </w:r>
      <w:r>
        <w:rPr>
          <w:b w:val="0"/>
          <w:color w:val="606662"/>
        </w:rPr>
        <w:t xml:space="preserve">    2026</w:t>
      </w:r>
    </w:p>
    <w:p>
      <w:pPr>
        <w:pStyle w:val="CVSmall"/>
        <w:widowControl/>
      </w:pPr>
      <w:hyperlink r:id="rId17">
        <w:r>
          <w:rPr>
            <w:color w:val="1F705E"/>
            <w:sz w:val="17"/>
          </w:rPr>
          <w:t>GitHub</w:t>
        </w:r>
      </w:hyperlink>
    </w:p>
    <w:p>
      <w:pPr>
        <w:widowControl/>
        <w:spacing w:after="24"/>
        <w:ind w:left="216" w:hanging="144"/>
      </w:pPr>
      <w:r>
        <w:rPr>
          <w:sz w:val="16"/>
        </w:rPr>
        <w:t>• Built an HTML/CSS/JavaScript browser tool for upcoming-birthday calculation, structured message collection, and Google Forms submission without OAuth.</w:t>
      </w:r>
    </w:p>
    <w:p>
      <w:pPr>
        <w:pStyle w:val="CVSection"/>
        <w:widowControl/>
      </w:pPr>
      <w:r>
        <w:t>SELECTED PRESENTATIONS AND ADVANCED TRAINING</w:t>
      </w:r>
    </w:p>
    <w:p>
      <w:pPr>
        <w:pStyle w:val="CVItem"/>
        <w:widowControl/>
      </w:pPr>
      <w:r>
        <w:rPr>
          <w:b/>
        </w:rPr>
        <w:t>Digital Humanities 2026 (DH2026), Daejeon, South Korea</w:t>
      </w:r>
      <w:r>
        <w:rPr>
          <w:b w:val="0"/>
          <w:color w:val="606662"/>
        </w:rPr>
        <w:t xml:space="preserve">    Jul 2026</w:t>
      </w:r>
    </w:p>
    <w:p>
      <w:pPr>
        <w:widowControl/>
        <w:spacing w:after="24"/>
        <w:ind w:left="216" w:hanging="144"/>
      </w:pPr>
      <w:r>
        <w:rPr>
          <w:sz w:val="16"/>
        </w:rPr>
        <w:t>• Presented PRESTO.</w:t>
      </w:r>
    </w:p>
    <w:p>
      <w:pPr>
        <w:pStyle w:val="CVItem"/>
        <w:widowControl/>
      </w:pPr>
      <w:r>
        <w:rPr>
          <w:b/>
        </w:rPr>
        <w:t>European Association for Digital Humanities Conference (EADH 2026), Kraków, Poland</w:t>
      </w:r>
      <w:r>
        <w:rPr>
          <w:b w:val="0"/>
          <w:color w:val="606662"/>
        </w:rPr>
        <w:t xml:space="preserve">    Sep 2026</w:t>
      </w:r>
    </w:p>
    <w:p>
      <w:pPr>
        <w:widowControl/>
        <w:spacing w:after="24"/>
        <w:ind w:left="216" w:hanging="144"/>
      </w:pPr>
      <w:r>
        <w:rPr>
          <w:sz w:val="16"/>
        </w:rPr>
        <w:t>• Presented poster “Linking Rumour Flows.”</w:t>
      </w:r>
    </w:p>
    <w:p>
      <w:pPr>
        <w:pStyle w:val="CVItem"/>
        <w:widowControl/>
      </w:pPr>
      <w:r>
        <w:rPr>
          <w:b/>
        </w:rPr>
        <w:t>Spatial Humanities 26, University of Minho, Braga, Portugal</w:t>
      </w:r>
      <w:r>
        <w:rPr>
          <w:b w:val="0"/>
          <w:color w:val="606662"/>
        </w:rPr>
        <w:t xml:space="preserve">    Sep 2026</w:t>
      </w:r>
    </w:p>
    <w:p>
      <w:pPr>
        <w:widowControl/>
        <w:spacing w:after="24"/>
        <w:ind w:left="216" w:hanging="144"/>
      </w:pPr>
      <w:r>
        <w:rPr>
          <w:sz w:val="16"/>
        </w:rPr>
        <w:t>• Presented “The Anatomy of Digital Haunting.”</w:t>
      </w:r>
    </w:p>
    <w:p>
      <w:pPr>
        <w:pStyle w:val="CVItem"/>
        <w:widowControl/>
      </w:pPr>
      <w:r>
        <w:rPr>
          <w:b/>
        </w:rPr>
        <w:t>Digital Humanities Summer Institute (DHSI), Université de Montréal</w:t>
      </w:r>
      <w:r>
        <w:rPr>
          <w:b w:val="0"/>
          <w:color w:val="606662"/>
        </w:rPr>
        <w:t xml:space="preserve">    Jun 2026</w:t>
      </w:r>
    </w:p>
    <w:p>
      <w:pPr>
        <w:widowControl/>
        <w:spacing w:after="24"/>
        <w:ind w:left="216" w:hanging="144"/>
      </w:pPr>
      <w:r>
        <w:rPr>
          <w:sz w:val="16"/>
        </w:rPr>
        <w:t>• Week 1: Introduction to Linked Open Data and the Semantic Web (8–12 Jun).</w:t>
      </w:r>
    </w:p>
    <w:p>
      <w:pPr>
        <w:widowControl/>
        <w:spacing w:after="24"/>
        <w:ind w:left="216" w:hanging="144"/>
      </w:pPr>
      <w:r>
        <w:rPr>
          <w:sz w:val="16"/>
        </w:rPr>
        <w:t>• Week 2: AVAnnotate Open Source Application for Audiovisual Digital Exhibits and Editions (15–19 Jun).</w:t>
      </w:r>
    </w:p>
    <w:p>
      <w:pPr>
        <w:pStyle w:val="CVItem"/>
        <w:widowControl/>
      </w:pPr>
      <w:r>
        <w:rPr>
          <w:b/>
        </w:rPr>
        <w:t>Erasmus+ Blended Intensive Programme — A Journey into Knowledge and Reasoning, Silesian University of Technology</w:t>
      </w:r>
      <w:r>
        <w:rPr>
          <w:b w:val="0"/>
          <w:color w:val="606662"/>
        </w:rPr>
        <w:t xml:space="preserve">    May–Jul 2026</w:t>
      </w:r>
    </w:p>
    <w:p>
      <w:pPr>
        <w:widowControl/>
        <w:spacing w:after="24"/>
        <w:ind w:left="216" w:hanging="144"/>
      </w:pPr>
      <w:r>
        <w:rPr>
          <w:sz w:val="16"/>
        </w:rPr>
        <w:t>• Training in logic, knowledge representation, constraint programming, rule-based transformation, automata, argumentation, and interdisciplinary project work; in-person component in Gliwice, 6–10 Jul 2026.</w:t>
      </w:r>
    </w:p>
    <w:p>
      <w:pPr>
        <w:pStyle w:val="CVItem"/>
        <w:widowControl/>
      </w:pPr>
      <w:r>
        <w:rPr>
          <w:b/>
        </w:rPr>
        <w:t>NeoLLM 2026, Palma de Mallorca</w:t>
      </w:r>
      <w:r>
        <w:rPr>
          <w:b w:val="0"/>
          <w:color w:val="606662"/>
        </w:rPr>
        <w:t xml:space="preserve">    May 2026</w:t>
      </w:r>
    </w:p>
    <w:p>
      <w:pPr>
        <w:widowControl/>
        <w:spacing w:after="24"/>
        <w:ind w:left="216" w:hanging="144"/>
      </w:pPr>
      <w:r>
        <w:rPr>
          <w:sz w:val="16"/>
        </w:rPr>
        <w:t>• Presented “LLM-Based Frame and Stance Annotation.”</w:t>
      </w:r>
    </w:p>
    <w:p>
      <w:pPr>
        <w:pStyle w:val="CVItem"/>
        <w:widowControl/>
      </w:pPr>
      <w:r>
        <w:rPr>
          <w:b/>
        </w:rPr>
        <w:t>European Summer University in Digital Humanities, Besançon, France</w:t>
      </w:r>
      <w:r>
        <w:rPr>
          <w:b w:val="0"/>
          <w:color w:val="606662"/>
        </w:rPr>
        <w:t xml:space="preserve">    Jul–Aug 2025</w:t>
      </w:r>
    </w:p>
    <w:p>
      <w:pPr>
        <w:pStyle w:val="CVItem"/>
        <w:widowControl/>
      </w:pPr>
      <w:r>
        <w:rPr>
          <w:b/>
        </w:rPr>
        <w:t>Deep Data Science for Digital History Summer School, University of Agder / Lesbos</w:t>
      </w:r>
      <w:r>
        <w:rPr>
          <w:b w:val="0"/>
          <w:color w:val="606662"/>
        </w:rPr>
        <w:t xml:space="preserve">    Jun 2025</w:t>
      </w:r>
    </w:p>
    <w:p>
      <w:pPr>
        <w:pStyle w:val="CVItem"/>
        <w:widowControl/>
      </w:pPr>
      <w:r>
        <w:rPr>
          <w:b/>
        </w:rPr>
        <w:t>EUROPAST Summer School — Facing the Past: Public History for a Stronger Europe</w:t>
      </w:r>
      <w:r>
        <w:rPr>
          <w:b w:val="0"/>
          <w:color w:val="606662"/>
        </w:rPr>
        <w:t xml:space="preserve">    Jul 2024</w:t>
      </w:r>
    </w:p>
    <w:p>
      <w:pPr>
        <w:pStyle w:val="CVSection"/>
        <w:widowControl/>
      </w:pPr>
      <w:r>
        <w:t>HONORS AND AWARDS</w:t>
      </w:r>
    </w:p>
    <w:p>
      <w:pPr>
        <w:pStyle w:val="CVItem"/>
        <w:widowControl/>
      </w:pPr>
      <w:r>
        <w:rPr>
          <w:b/>
        </w:rPr>
        <w:t>Best Oral Presentation — 2nd International Conference on Computational Linguistics and Natural Language Processing (CLNLP 2025)</w:t>
      </w:r>
      <w:r>
        <w:rPr>
          <w:b w:val="0"/>
          <w:color w:val="606662"/>
        </w:rPr>
        <w:t xml:space="preserve">    2025</w:t>
      </w:r>
    </w:p>
    <w:p>
      <w:pPr>
        <w:pStyle w:val="CVItem"/>
        <w:widowControl/>
      </w:pPr>
      <w:r>
        <w:rPr>
          <w:b/>
        </w:rPr>
        <w:t>Full Scholarship — Higher School of Economics</w:t>
      </w:r>
      <w:r>
        <w:rPr>
          <w:b w:val="0"/>
          <w:color w:val="606662"/>
        </w:rPr>
        <w:t xml:space="preserve">    2020</w:t>
      </w:r>
    </w:p>
    <w:p>
      <w:pPr>
        <w:pStyle w:val="CVItem"/>
        <w:widowControl/>
      </w:pPr>
      <w:r>
        <w:rPr>
          <w:b/>
        </w:rPr>
        <w:t>Chinese National Inspirational Scholarship</w:t>
      </w:r>
      <w:r>
        <w:rPr>
          <w:b w:val="0"/>
          <w:color w:val="606662"/>
        </w:rPr>
        <w:t xml:space="preserve">    2016</w:t>
      </w:r>
    </w:p>
    <w:p>
      <w:pPr>
        <w:pStyle w:val="CVItem"/>
        <w:widowControl/>
      </w:pPr>
      <w:r>
        <w:rPr>
          <w:b/>
        </w:rPr>
        <w:t>Second Prize — Eighth Henan Translation Competition</w:t>
      </w:r>
      <w:r>
        <w:rPr>
          <w:b w:val="0"/>
          <w:color w:val="606662"/>
        </w:rPr>
        <w:t xml:space="preserve">    2016</w:t>
      </w:r>
    </w:p>
    <w:p>
      <w:pPr>
        <w:pStyle w:val="CVItem"/>
        <w:widowControl/>
      </w:pPr>
      <w:r>
        <w:rPr>
          <w:b/>
        </w:rPr>
        <w:t>Second Prize — 8th National College Students Ocean Knowledge Competition</w:t>
      </w:r>
      <w:r>
        <w:rPr>
          <w:b w:val="0"/>
          <w:color w:val="606662"/>
        </w:rPr>
        <w:t xml:space="preserve">    2015</w:t>
      </w:r>
    </w:p>
    <w:p>
      <w:pPr>
        <w:pStyle w:val="CVSection"/>
        <w:widowControl/>
      </w:pPr>
      <w:r>
        <w:t>METHODS AND TECHNICAL SKILLS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280"/>
      </w:tblGrid>
      <w:tr>
        <w:tc>
          <w:tcPr>
            <w:tcW w:type="dxa" w:w="522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  <w:shd w:fill="DCEAE5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81F1C"/>
                <w:sz w:val="16"/>
              </w:rPr>
              <w:t>Area</w:t>
            </w:r>
          </w:p>
        </w:tc>
        <w:tc>
          <w:tcPr>
            <w:tcW w:type="dxa" w:w="522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  <w:shd w:fill="DCEAE5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81F1C"/>
                <w:sz w:val="16"/>
              </w:rPr>
              <w:t>Experience</w:t>
            </w:r>
          </w:p>
        </w:tc>
      </w:tr>
      <w:tr>
        <w:tc>
          <w:tcPr>
            <w:tcW w:type="dxa" w:w="522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  <w:shd w:fill="F4F6F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F705E"/>
                <w:sz w:val="16"/>
              </w:rPr>
              <w:t>NLP / LLMs</w:t>
            </w:r>
          </w:p>
        </w:tc>
        <w:tc>
          <w:tcPr>
            <w:tcW w:type="dxa" w:w="522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81F1C"/>
                <w:sz w:val="16"/>
              </w:rPr>
              <w:t>LLM-assisted annotation and evaluation; prompt-strategy comparison; stance/frame classification; event/entity extraction; semantic similarity; topic modeling; OCR-aware processing.</w:t>
            </w:r>
          </w:p>
        </w:tc>
      </w:tr>
      <w:tr>
        <w:tc>
          <w:tcPr>
            <w:tcW w:type="dxa" w:w="522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  <w:shd w:fill="F4F6F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F705E"/>
                <w:sz w:val="16"/>
              </w:rPr>
              <w:t>Tools</w:t>
            </w:r>
          </w:p>
        </w:tc>
        <w:tc>
          <w:tcPr>
            <w:tcW w:type="dxa" w:w="522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81F1C"/>
                <w:sz w:val="16"/>
              </w:rPr>
              <w:t>Python, R, pandas, spaCy, Stanza, Stanford CoreNLP, SentenceTransformers, scikit-learn/Gensim, Hugging Face datasets, DuckDB.</w:t>
            </w:r>
          </w:p>
        </w:tc>
      </w:tr>
      <w:tr>
        <w:tc>
          <w:tcPr>
            <w:tcW w:type="dxa" w:w="522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  <w:shd w:fill="F4F6F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F705E"/>
                <w:sz w:val="16"/>
              </w:rPr>
              <w:t>Infrastructure</w:t>
            </w:r>
          </w:p>
        </w:tc>
        <w:tc>
          <w:tcPr>
            <w:tcW w:type="dxa" w:w="522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81F1C"/>
                <w:sz w:val="16"/>
              </w:rPr>
              <w:t>ULHPC/SLURM; large streaming datasets; reproducible batch processing and checkpointing.</w:t>
            </w:r>
          </w:p>
        </w:tc>
      </w:tr>
      <w:tr>
        <w:tc>
          <w:tcPr>
            <w:tcW w:type="dxa" w:w="522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  <w:shd w:fill="F4F6F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F705E"/>
                <w:sz w:val="16"/>
              </w:rPr>
              <w:t>Evaluation</w:t>
            </w:r>
          </w:p>
        </w:tc>
        <w:tc>
          <w:tcPr>
            <w:tcW w:type="dxa" w:w="522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81F1C"/>
                <w:sz w:val="16"/>
              </w:rPr>
              <w:t>Annotation design, gold-set construction, inter-annotator agreement, error analysis, source/reuse networks, quantitative visualization.</w:t>
            </w:r>
          </w:p>
        </w:tc>
      </w:tr>
      <w:tr>
        <w:tc>
          <w:tcPr>
            <w:tcW w:type="dxa" w:w="522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  <w:shd w:fill="F4F6F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F705E"/>
                <w:sz w:val="16"/>
              </w:rPr>
              <w:t>Web / prototyping</w:t>
            </w:r>
          </w:p>
        </w:tc>
        <w:tc>
          <w:tcPr>
            <w:tcW w:type="dxa" w:w="522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81F1C"/>
                <w:sz w:val="16"/>
              </w:rPr>
              <w:t>HTML, CSS, JavaScript; progressive web apps; browser-based interactive tools; lightweight Apps Script / Google Forms integrations.</w:t>
            </w:r>
          </w:p>
        </w:tc>
      </w:tr>
      <w:tr>
        <w:tc>
          <w:tcPr>
            <w:tcW w:type="dxa" w:w="522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  <w:shd w:fill="F4F6F3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F705E"/>
                <w:sz w:val="16"/>
              </w:rPr>
              <w:t>Languages</w:t>
            </w:r>
          </w:p>
        </w:tc>
        <w:tc>
          <w:tcPr>
            <w:tcW w:type="dxa" w:w="522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81F1C"/>
                <w:sz w:val="16"/>
              </w:rPr>
              <w:t>Chinese (native); English (fluent).</w:t>
            </w:r>
          </w:p>
        </w:tc>
      </w:tr>
    </w:tbl>
    <w:sectPr w:rsidR="00FC693F" w:rsidRPr="0006063C" w:rsidSect="00034616">
      <w:footerReference w:type="default" r:id="rId18"/>
      <w:pgSz w:w="12240" w:h="15840"/>
      <w:pgMar w:top="749" w:right="893" w:bottom="749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06662"/>
        <w:sz w:val="14"/>
      </w:rPr>
      <w:t>Wanshu Zhang — Public CV — October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34" w:line="247" w:lineRule="auto"/>
    </w:pPr>
    <w:rPr>
      <w:rFonts w:ascii="Arial" w:hAnsi="Arial"/>
      <w:color w:val="181F1C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Section">
    <w:name w:val="CV Section"/>
    <w:pPr>
      <w:keepNext/>
      <w:spacing w:before="140" w:after="60"/>
    </w:pPr>
    <w:rPr>
      <w:rFonts w:ascii="Arial" w:hAnsi="Arial"/>
      <w:b/>
      <w:color w:val="1F705E"/>
      <w:sz w:val="21"/>
    </w:rPr>
  </w:style>
  <w:style w:type="paragraph" w:customStyle="1" w:styleId="CVItem">
    <w:name w:val="CV Item"/>
    <w:pPr>
      <w:keepNext/>
      <w:spacing w:before="60" w:after="10"/>
    </w:pPr>
    <w:rPr>
      <w:rFonts w:ascii="Arial" w:hAnsi="Arial"/>
      <w:b/>
      <w:color w:val="181F1C"/>
      <w:sz w:val="18"/>
    </w:rPr>
  </w:style>
  <w:style w:type="paragraph" w:customStyle="1" w:styleId="CVSmall">
    <w:name w:val="CV Small"/>
    <w:pPr>
      <w:keepNext w:val="0"/>
      <w:spacing w:before="0" w:after="0"/>
    </w:pPr>
    <w:rPr>
      <w:rFonts w:ascii="Arial" w:hAnsi="Arial"/>
      <w:b w:val="0"/>
      <w:color w:val="606662"/>
      <w:sz w:val="15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wanshu.zhang@uni.lu" TargetMode="External"/><Relationship Id="rId10" Type="http://schemas.openxmlformats.org/officeDocument/2006/relationships/hyperlink" Target="https://github.com/wanshuzhang-story" TargetMode="External"/><Relationship Id="rId11" Type="http://schemas.openxmlformats.org/officeDocument/2006/relationships/hyperlink" Target="https://doi.org/10.1007/978-981-95-4788-3_4" TargetMode="External"/><Relationship Id="rId12" Type="http://schemas.openxmlformats.org/officeDocument/2006/relationships/hyperlink" Target="https://doi.org/10.63317/4qdnrzfmibbz" TargetMode="External"/><Relationship Id="rId13" Type="http://schemas.openxmlformats.org/officeDocument/2006/relationships/hyperlink" Target="https://doi.org/10.5281/zenodo.23267368" TargetMode="External"/><Relationship Id="rId14" Type="http://schemas.openxmlformats.org/officeDocument/2006/relationships/hyperlink" Target="https://github.com/Wanshu8/rumourflow" TargetMode="External"/><Relationship Id="rId15" Type="http://schemas.openxmlformats.org/officeDocument/2006/relationships/hyperlink" Target="https://recyclo-lux.vercel.app" TargetMode="External"/><Relationship Id="rId16" Type="http://schemas.openxmlformats.org/officeDocument/2006/relationships/hyperlink" Target="https://github.com/wanshuzhang-story/recyclo-lux" TargetMode="External"/><Relationship Id="rId17" Type="http://schemas.openxmlformats.org/officeDocument/2006/relationships/hyperlink" Target="https://github.com/wanshuzhang-story/Birthday_Wishes_Collector" TargetMode="External"/><Relationship Id="rId1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Wanshu Zhang - Public CV - October 2026</dc:title>
  <dc:subject>Computational history, NLP, LLM evaluation, information networks, and digital systems</dc:subject>
  <dc:creator>Wanshu Zhang</dc:creator>
  <cp:keywords>digital history, historical NLP, LLM evaluation, rumour studies, digital humanities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