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pageBreakBefore w:val="0"/>
        <w:kinsoku/>
        <w:wordWrap/>
        <w:overflowPunct/>
        <w:topLinePunct w:val="0"/>
        <w:autoSpaceDE/>
        <w:autoSpaceDN/>
        <w:bidi w:val="0"/>
        <w:adjustRightInd/>
        <w:snapToGrid w:val="0"/>
        <w:spacing w:before="0" w:beforeLines="0" w:after="0" w:afterLines="0" w:line="360" w:lineRule="auto"/>
        <w:jc w:val="center"/>
        <w:rPr>
          <w:rFonts w:hint="default" w:eastAsiaTheme="minorEastAsia"/>
          <w:lang w:val="en-US" w:eastAsia="zh-Hans"/>
        </w:rPr>
      </w:pPr>
      <w:r>
        <w:rPr>
          <w:rFonts w:hint="eastAsia"/>
          <w:lang w:val="en-US" w:eastAsia="zh-Hans"/>
        </w:rPr>
        <w:t>公司金融小组</w:t>
      </w:r>
      <w:r>
        <w:rPr>
          <w:rFonts w:hint="default"/>
          <w:lang w:eastAsia="zh-Hans"/>
        </w:rPr>
        <w:t>Proj</w:t>
      </w:r>
      <w:r>
        <w:rPr>
          <w:rFonts w:hint="eastAsia"/>
          <w:lang w:val="en-US" w:eastAsia="zh-Hans"/>
        </w:rPr>
        <w:t>ect——磷酸铁锂行业资料整理</w:t>
      </w:r>
    </w:p>
    <w:p>
      <w:pPr>
        <w:pageBreakBefore w:val="0"/>
        <w:kinsoku/>
        <w:wordWrap/>
        <w:overflowPunct/>
        <w:topLinePunct w:val="0"/>
        <w:autoSpaceDE/>
        <w:autoSpaceDN/>
        <w:bidi w:val="0"/>
        <w:adjustRightInd/>
        <w:snapToGrid w:val="0"/>
        <w:spacing w:line="360" w:lineRule="auto"/>
      </w:pPr>
    </w:p>
    <w:p>
      <w:pPr>
        <w:keepNext w:val="0"/>
        <w:keepLines w:val="0"/>
        <w:pageBreakBefore w:val="0"/>
        <w:widowControl w:val="0"/>
        <w:numPr>
          <w:ilvl w:val="0"/>
          <w:numId w:val="1"/>
        </w:numPr>
        <w:kinsoku/>
        <w:wordWrap/>
        <w:overflowPunct/>
        <w:topLinePunct w:val="0"/>
        <w:autoSpaceDE/>
        <w:autoSpaceDN/>
        <w:bidi w:val="0"/>
        <w:adjustRightInd/>
        <w:snapToGrid w:val="0"/>
        <w:spacing w:line="360" w:lineRule="auto"/>
        <w:ind w:left="0" w:leftChars="0" w:firstLine="420" w:firstLineChars="0"/>
        <w:textAlignment w:val="auto"/>
        <w:rPr>
          <w:b/>
          <w:bCs/>
        </w:rPr>
      </w:pPr>
      <w:r>
        <w:rPr>
          <w:rFonts w:hint="eastAsia"/>
          <w:b/>
          <w:bCs/>
          <w:lang w:val="en-US" w:eastAsia="zh-Hans"/>
        </w:rPr>
        <w:t>磷酸铁锂行业概况</w:t>
      </w:r>
    </w:p>
    <w:p>
      <w:pPr>
        <w:keepNext w:val="0"/>
        <w:keepLines w:val="0"/>
        <w:pageBreakBefore w:val="0"/>
        <w:widowControl w:val="0"/>
        <w:numPr>
          <w:ilvl w:val="0"/>
          <w:numId w:val="2"/>
        </w:numPr>
        <w:kinsoku/>
        <w:wordWrap/>
        <w:overflowPunct/>
        <w:topLinePunct w:val="0"/>
        <w:autoSpaceDE/>
        <w:autoSpaceDN/>
        <w:bidi w:val="0"/>
        <w:adjustRightInd/>
        <w:snapToGrid w:val="0"/>
        <w:spacing w:line="360" w:lineRule="auto"/>
        <w:ind w:left="0" w:leftChars="0" w:firstLine="420" w:firstLineChars="0"/>
        <w:textAlignment w:val="auto"/>
        <w:rPr>
          <w:rFonts w:hint="eastAsia"/>
          <w:b w:val="0"/>
          <w:bCs w:val="0"/>
          <w:sz w:val="22"/>
          <w:szCs w:val="22"/>
        </w:rPr>
      </w:pPr>
      <w:r>
        <w:rPr>
          <w:rFonts w:hint="eastAsia"/>
          <w:b w:val="0"/>
          <w:bCs w:val="0"/>
          <w:sz w:val="22"/>
          <w:szCs w:val="22"/>
          <w:lang w:val="en-US" w:eastAsia="zh-Hans"/>
        </w:rPr>
        <w:t>动力电池领域：电池封装技术革新带来磷酸铁锂超预期增长</w:t>
      </w:r>
    </w:p>
    <w:p>
      <w:pPr>
        <w:keepNext w:val="0"/>
        <w:keepLines w:val="0"/>
        <w:pageBreakBefore w:val="0"/>
        <w:widowControl w:val="0"/>
        <w:numPr>
          <w:numId w:val="0"/>
        </w:numPr>
        <w:kinsoku/>
        <w:wordWrap/>
        <w:overflowPunct/>
        <w:topLinePunct w:val="0"/>
        <w:autoSpaceDE/>
        <w:autoSpaceDN/>
        <w:bidi w:val="0"/>
        <w:adjustRightInd/>
        <w:snapToGrid w:val="0"/>
        <w:spacing w:line="360" w:lineRule="auto"/>
        <w:ind w:left="420" w:leftChars="0" w:firstLine="420" w:firstLineChars="0"/>
        <w:textAlignment w:val="auto"/>
        <w:rPr>
          <w:rFonts w:hint="eastAsia"/>
          <w:b w:val="0"/>
          <w:bCs w:val="0"/>
          <w:sz w:val="22"/>
          <w:szCs w:val="22"/>
        </w:rPr>
      </w:pPr>
      <w:r>
        <w:rPr>
          <w:rFonts w:hint="eastAsia"/>
          <w:b w:val="0"/>
          <w:bCs w:val="0"/>
          <w:sz w:val="22"/>
          <w:szCs w:val="22"/>
        </w:rPr>
        <w:t>2013年-2015年，公交车的电动化渗透率快速提升推动了我国新能源汽车高速发展，但国家出于安全考虑，规定暂停三元锂电池在客车的推广应用，磷酸铁锂需求快速增长。根据高工锂电数据，2014年-2016年国内磷酸铁锂出货量分别为1.4万吨、3.1万吨、5.2万吨，同比增速高达118％和71％。</w:t>
      </w:r>
    </w:p>
    <w:p>
      <w:pPr>
        <w:keepNext w:val="0"/>
        <w:keepLines w:val="0"/>
        <w:pageBreakBefore w:val="0"/>
        <w:widowControl w:val="0"/>
        <w:numPr>
          <w:numId w:val="0"/>
        </w:numPr>
        <w:kinsoku/>
        <w:wordWrap/>
        <w:overflowPunct/>
        <w:topLinePunct w:val="0"/>
        <w:autoSpaceDE/>
        <w:autoSpaceDN/>
        <w:bidi w:val="0"/>
        <w:adjustRightInd/>
        <w:snapToGrid w:val="0"/>
        <w:spacing w:line="360" w:lineRule="auto"/>
        <w:ind w:left="420" w:leftChars="0" w:firstLine="420" w:firstLineChars="0"/>
        <w:textAlignment w:val="auto"/>
        <w:rPr>
          <w:rFonts w:hint="eastAsia"/>
          <w:b w:val="0"/>
          <w:bCs w:val="0"/>
          <w:sz w:val="22"/>
          <w:szCs w:val="22"/>
        </w:rPr>
      </w:pPr>
      <w:r>
        <w:rPr>
          <w:rFonts w:hint="eastAsia"/>
          <w:b w:val="0"/>
          <w:bCs w:val="0"/>
          <w:sz w:val="22"/>
          <w:szCs w:val="22"/>
        </w:rPr>
        <w:t>2016年以后，国内补贴政策与能量密度呈强相关（高能量密度方案给予更高的系数补贴，且逐年上调能量密度标准），同时车型结构快速由250km以下向300-400km切换，使得能量密度较低的磷酸铁锂路线承受了较大的压力，2019年在乘用车的渗透率降至5％的低位，同时以磷酸铁锂装机为主的电动客车（商用车）渗透率已超过80％。由此2017年-2019年磷酸铁锂国内出货量分别为5.9万吨、6.9万吨、9.0万吨，同比增速分别为12％、17％、30％。</w:t>
      </w:r>
    </w:p>
    <w:p>
      <w:pPr>
        <w:keepNext w:val="0"/>
        <w:keepLines w:val="0"/>
        <w:pageBreakBefore w:val="0"/>
        <w:widowControl w:val="0"/>
        <w:numPr>
          <w:numId w:val="0"/>
        </w:numPr>
        <w:kinsoku/>
        <w:wordWrap/>
        <w:overflowPunct/>
        <w:topLinePunct w:val="0"/>
        <w:autoSpaceDE/>
        <w:autoSpaceDN/>
        <w:bidi w:val="0"/>
        <w:adjustRightInd/>
        <w:snapToGrid w:val="0"/>
        <w:spacing w:line="360" w:lineRule="auto"/>
        <w:ind w:left="420" w:leftChars="0" w:firstLine="420" w:firstLineChars="0"/>
        <w:textAlignment w:val="auto"/>
        <w:rPr>
          <w:rFonts w:hint="eastAsia"/>
          <w:b w:val="0"/>
          <w:bCs w:val="0"/>
          <w:sz w:val="22"/>
          <w:szCs w:val="22"/>
        </w:rPr>
      </w:pPr>
      <w:r>
        <w:rPr>
          <w:rFonts w:hint="eastAsia"/>
          <w:b w:val="0"/>
          <w:bCs w:val="0"/>
          <w:sz w:val="22"/>
          <w:szCs w:val="22"/>
        </w:rPr>
        <w:t>2019年后新出台的补贴政策淡化能量密度和续航指标，开启了以高安全性、低成本为导向的补贴政策新周期。下游车企推出更多市场化车型，行业由补贴驱动转向市场驱动。补贴政策的退坡与平价周期的来临迫使企业选择成本更低的动力电池，磷酸铁锂行业景气度逐渐回暖。</w:t>
      </w:r>
    </w:p>
    <w:p>
      <w:pPr>
        <w:keepNext w:val="0"/>
        <w:keepLines w:val="0"/>
        <w:pageBreakBefore w:val="0"/>
        <w:widowControl w:val="0"/>
        <w:numPr>
          <w:numId w:val="0"/>
        </w:numPr>
        <w:kinsoku/>
        <w:wordWrap/>
        <w:overflowPunct/>
        <w:topLinePunct w:val="0"/>
        <w:autoSpaceDE/>
        <w:autoSpaceDN/>
        <w:bidi w:val="0"/>
        <w:adjustRightInd/>
        <w:snapToGrid w:val="0"/>
        <w:spacing w:line="360" w:lineRule="auto"/>
        <w:ind w:left="420" w:leftChars="0" w:firstLine="420" w:firstLineChars="0"/>
        <w:textAlignment w:val="auto"/>
        <w:rPr>
          <w:rFonts w:hint="eastAsia"/>
          <w:b w:val="0"/>
          <w:bCs w:val="0"/>
          <w:sz w:val="22"/>
          <w:szCs w:val="22"/>
        </w:rPr>
      </w:pPr>
      <w:r>
        <w:rPr>
          <w:rFonts w:hint="eastAsia"/>
          <w:b w:val="0"/>
          <w:bCs w:val="0"/>
          <w:sz w:val="22"/>
          <w:szCs w:val="22"/>
        </w:rPr>
        <w:t>2020年以来，随着宁德时代CTP和比亚迪“刀片”等电池封装工艺革新，带来了电芯等组装环节成组效率的大幅提升，进而使得磷酸铁锂电池的体积能量密度接近常规5系三元电池水平，克服了能量密度低的短板。其次，若均考虑CTP工艺，磷酸铁锂电池较三元电池的成本优势阶段性达到15％-20％，因此在能量密度能够满足续航里程要求的情况下，电池成本成为车企对于技术路线选择的首要考虑因素。在比亚迪汉、特斯拉Model3、Model Y、宏光MINI、小鹏P7、P5等明星车型的助推下，磷酸铁锂方案已覆盖了特斯拉、新兴造车、自主品牌，车型级别也跨越了A00级到C级，国内车企接受度高，磷酸铁锂回潮超出市场预期。</w:t>
      </w:r>
    </w:p>
    <w:p>
      <w:pPr>
        <w:keepNext w:val="0"/>
        <w:keepLines w:val="0"/>
        <w:pageBreakBefore w:val="0"/>
        <w:widowControl w:val="0"/>
        <w:numPr>
          <w:numId w:val="0"/>
        </w:numPr>
        <w:kinsoku/>
        <w:wordWrap/>
        <w:overflowPunct/>
        <w:topLinePunct w:val="0"/>
        <w:autoSpaceDE/>
        <w:autoSpaceDN/>
        <w:bidi w:val="0"/>
        <w:adjustRightInd/>
        <w:snapToGrid w:val="0"/>
        <w:spacing w:line="360" w:lineRule="auto"/>
        <w:ind w:left="420" w:leftChars="0" w:firstLine="420" w:firstLineChars="0"/>
        <w:textAlignment w:val="auto"/>
        <w:rPr>
          <w:rFonts w:hint="eastAsia"/>
          <w:b w:val="0"/>
          <w:bCs w:val="0"/>
          <w:sz w:val="22"/>
          <w:szCs w:val="22"/>
        </w:rPr>
      </w:pPr>
      <w:r>
        <w:rPr>
          <w:rFonts w:hint="eastAsia"/>
          <w:b w:val="0"/>
          <w:bCs w:val="0"/>
          <w:sz w:val="22"/>
          <w:szCs w:val="22"/>
        </w:rPr>
        <w:t>总体来看，在动力电池技术路线上，磷酸铁锂和三元材料使用场景各有不同，长期并存发展是业内共识，其中磷酸铁锂电池凭借较低的生产成本、较高的安全性、出色的循环性能，形成新能源商用车和新能源乘用车相辅相成的应用格局；三元材料电池凭借能量密度高的优势，主要应用于偏高端的新能源乘用车。根据动力电池创新联盟数据统计，2021年全年我国动力电池产量为219.7GWh，其中三元材料电池产量为93.9GWh，同比增长93.6％，占比下降至42.7％；磷酸铁锂电池产量为125.4GWh，同比增长262.9％，占比快速提升至57.1％。装机量方面，动力电池装机量为154.5GWh，其中三元材料电池装机量为74.3GWh，同比增长91.3％，占比下降至48.1％；磷酸铁锂电池装机量为79.8GWh，同比增长227.4％，占比快速提升至51.7％。可以看到三元电池产量和装机量的差额约为20GWh，而磷酸铁锂电池产量和装机量差额为45GWh，充分说明电池企业和整车企业分别在电池生产、备货决策上已倾向于磷酸铁锂方案。</w:t>
      </w:r>
    </w:p>
    <w:p>
      <w:pPr>
        <w:pageBreakBefore w:val="0"/>
        <w:numPr>
          <w:numId w:val="0"/>
        </w:numPr>
        <w:kinsoku/>
        <w:wordWrap/>
        <w:overflowPunct/>
        <w:topLinePunct w:val="0"/>
        <w:autoSpaceDE/>
        <w:autoSpaceDN/>
        <w:bidi w:val="0"/>
        <w:adjustRightInd/>
        <w:snapToGrid w:val="0"/>
        <w:spacing w:line="360" w:lineRule="auto"/>
        <w:ind w:left="420" w:leftChars="0"/>
      </w:pPr>
      <w:r>
        <w:drawing>
          <wp:inline distT="0" distB="0" distL="114300" distR="114300">
            <wp:extent cx="2376170" cy="1651000"/>
            <wp:effectExtent l="6350" t="6350" r="30480" b="19050"/>
            <wp:docPr id="8"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r>
        <w:rPr>
          <w:rFonts w:hint="default"/>
        </w:rPr>
        <w:t xml:space="preserve"> </w:t>
      </w:r>
      <w:r>
        <w:drawing>
          <wp:inline distT="0" distB="0" distL="114300" distR="114300">
            <wp:extent cx="2376170" cy="1651000"/>
            <wp:effectExtent l="6350" t="6350" r="30480" b="19050"/>
            <wp:docPr id="7"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pageBreakBefore w:val="0"/>
        <w:numPr>
          <w:numId w:val="0"/>
        </w:numPr>
        <w:kinsoku/>
        <w:wordWrap/>
        <w:overflowPunct/>
        <w:topLinePunct w:val="0"/>
        <w:autoSpaceDE/>
        <w:autoSpaceDN/>
        <w:bidi w:val="0"/>
        <w:adjustRightInd/>
        <w:snapToGrid w:val="0"/>
        <w:spacing w:line="360" w:lineRule="auto"/>
        <w:ind w:left="420" w:leftChars="0"/>
      </w:pPr>
    </w:p>
    <w:p>
      <w:pPr>
        <w:keepNext w:val="0"/>
        <w:keepLines w:val="0"/>
        <w:pageBreakBefore w:val="0"/>
        <w:widowControl w:val="0"/>
        <w:numPr>
          <w:ilvl w:val="0"/>
          <w:numId w:val="2"/>
        </w:numPr>
        <w:kinsoku/>
        <w:wordWrap/>
        <w:overflowPunct/>
        <w:topLinePunct w:val="0"/>
        <w:autoSpaceDE/>
        <w:autoSpaceDN/>
        <w:bidi w:val="0"/>
        <w:adjustRightInd/>
        <w:snapToGrid w:val="0"/>
        <w:spacing w:line="360" w:lineRule="auto"/>
        <w:ind w:left="0" w:leftChars="0" w:firstLine="420" w:firstLineChars="0"/>
        <w:textAlignment w:val="auto"/>
        <w:rPr>
          <w:rFonts w:hint="eastAsia"/>
          <w:b w:val="0"/>
          <w:bCs w:val="0"/>
          <w:sz w:val="22"/>
          <w:szCs w:val="22"/>
        </w:rPr>
      </w:pPr>
      <w:r>
        <w:rPr>
          <w:rFonts w:hint="eastAsia"/>
          <w:b w:val="0"/>
          <w:bCs w:val="0"/>
          <w:sz w:val="22"/>
          <w:szCs w:val="22"/>
          <w:lang w:val="en-US" w:eastAsia="zh-Hans"/>
        </w:rPr>
        <w:t>储能电池领域：磷酸铁锂成为主流方向</w:t>
      </w:r>
    </w:p>
    <w:p>
      <w:pPr>
        <w:keepNext w:val="0"/>
        <w:keepLines w:val="0"/>
        <w:pageBreakBefore w:val="0"/>
        <w:widowControl w:val="0"/>
        <w:numPr>
          <w:numId w:val="0"/>
        </w:numPr>
        <w:kinsoku/>
        <w:wordWrap/>
        <w:overflowPunct/>
        <w:topLinePunct w:val="0"/>
        <w:autoSpaceDE/>
        <w:autoSpaceDN/>
        <w:bidi w:val="0"/>
        <w:adjustRightInd/>
        <w:snapToGrid w:val="0"/>
        <w:spacing w:line="360" w:lineRule="auto"/>
        <w:ind w:left="420" w:leftChars="0" w:firstLine="420" w:firstLineChars="0"/>
        <w:textAlignment w:val="auto"/>
        <w:rPr>
          <w:rFonts w:hint="eastAsia"/>
          <w:b w:val="0"/>
          <w:bCs w:val="0"/>
          <w:sz w:val="22"/>
          <w:szCs w:val="22"/>
        </w:rPr>
      </w:pPr>
      <w:r>
        <w:rPr>
          <w:rFonts w:hint="eastAsia"/>
          <w:b w:val="0"/>
          <w:bCs w:val="0"/>
          <w:sz w:val="22"/>
          <w:szCs w:val="22"/>
        </w:rPr>
        <w:t>锂离子电池具有低污染、高能量密度、长循环寿命、高倍率等优良性能，随其成本逐步下降，锂离子电池的经济性开始凸显，新增电池储能越来越多地采用锂离子电池，并逐步替代存量铅酸蓄电池，在储能市场的运用越来越广泛。根据高工锂电数据统计，2017年至2020年我国储能锂离子电池出货量由3.5GWh增长至16.2GWh，年均复合增长率为66.7％；2021年储能锂电池出货量为48GWh，其中磷酸铁锂路线占比98.5％。</w:t>
      </w:r>
    </w:p>
    <w:p>
      <w:pPr>
        <w:keepNext w:val="0"/>
        <w:keepLines w:val="0"/>
        <w:pageBreakBefore w:val="0"/>
        <w:widowControl w:val="0"/>
        <w:numPr>
          <w:numId w:val="0"/>
        </w:numPr>
        <w:kinsoku/>
        <w:wordWrap/>
        <w:overflowPunct/>
        <w:topLinePunct w:val="0"/>
        <w:autoSpaceDE/>
        <w:autoSpaceDN/>
        <w:bidi w:val="0"/>
        <w:adjustRightInd/>
        <w:snapToGrid w:val="0"/>
        <w:spacing w:line="360" w:lineRule="auto"/>
        <w:ind w:left="420" w:leftChars="0" w:firstLine="420" w:firstLineChars="0"/>
        <w:textAlignment w:val="auto"/>
        <w:rPr>
          <w:rFonts w:hint="eastAsia"/>
          <w:b w:val="0"/>
          <w:bCs w:val="0"/>
          <w:sz w:val="22"/>
          <w:szCs w:val="22"/>
        </w:rPr>
      </w:pPr>
      <w:r>
        <w:rPr>
          <w:rFonts w:hint="eastAsia"/>
          <w:b w:val="0"/>
          <w:bCs w:val="0"/>
          <w:sz w:val="22"/>
          <w:szCs w:val="22"/>
        </w:rPr>
        <w:t>由于储能应用领域更注重经济性，对电池成本、循环寿命、安全性、全生命周期成本更为关注，因此相比于三元材料电池，磷酸铁锂电池优势更为明显，是储能电池的主流方向。</w:t>
      </w:r>
    </w:p>
    <w:p>
      <w:pPr>
        <w:keepNext w:val="0"/>
        <w:keepLines w:val="0"/>
        <w:pageBreakBefore w:val="0"/>
        <w:widowControl w:val="0"/>
        <w:numPr>
          <w:ilvl w:val="0"/>
          <w:numId w:val="2"/>
        </w:numPr>
        <w:kinsoku/>
        <w:wordWrap/>
        <w:overflowPunct/>
        <w:topLinePunct w:val="0"/>
        <w:autoSpaceDE/>
        <w:autoSpaceDN/>
        <w:bidi w:val="0"/>
        <w:adjustRightInd/>
        <w:snapToGrid w:val="0"/>
        <w:spacing w:line="360" w:lineRule="auto"/>
        <w:ind w:left="0" w:leftChars="0" w:firstLine="420" w:firstLineChars="0"/>
        <w:textAlignment w:val="auto"/>
        <w:rPr>
          <w:rFonts w:hint="eastAsia"/>
          <w:b w:val="0"/>
          <w:bCs w:val="0"/>
          <w:sz w:val="22"/>
          <w:szCs w:val="22"/>
        </w:rPr>
      </w:pPr>
      <w:r>
        <w:rPr>
          <w:rFonts w:hint="eastAsia"/>
          <w:b w:val="0"/>
          <w:bCs w:val="0"/>
          <w:sz w:val="22"/>
          <w:szCs w:val="22"/>
          <w:lang w:val="en-US" w:eastAsia="zh-Hans"/>
        </w:rPr>
        <w:t>竞争格局：第一梯队产量差异较小，第二梯队产量提升加速</w:t>
      </w:r>
    </w:p>
    <w:p>
      <w:pPr>
        <w:keepNext w:val="0"/>
        <w:keepLines w:val="0"/>
        <w:pageBreakBefore w:val="0"/>
        <w:widowControl w:val="0"/>
        <w:numPr>
          <w:numId w:val="0"/>
        </w:numPr>
        <w:kinsoku/>
        <w:wordWrap/>
        <w:overflowPunct/>
        <w:topLinePunct w:val="0"/>
        <w:autoSpaceDE/>
        <w:autoSpaceDN/>
        <w:bidi w:val="0"/>
        <w:adjustRightInd/>
        <w:snapToGrid w:val="0"/>
        <w:spacing w:line="360" w:lineRule="auto"/>
        <w:ind w:firstLine="420" w:firstLineChars="0"/>
        <w:textAlignment w:val="auto"/>
        <w:rPr>
          <w:rFonts w:hint="eastAsia"/>
          <w:b w:val="0"/>
          <w:bCs w:val="0"/>
          <w:sz w:val="22"/>
          <w:szCs w:val="22"/>
        </w:rPr>
      </w:pPr>
      <w:r>
        <w:rPr>
          <w:rFonts w:hint="eastAsia"/>
          <w:b w:val="0"/>
          <w:bCs w:val="0"/>
          <w:sz w:val="22"/>
          <w:szCs w:val="22"/>
        </w:rPr>
        <w:t>从市场竞争格局来看，湖南裕能、德方纳米位于第一梯队，湖南裕能市场份额最高，占约25%。常州锂源、融通高科、湖北万润三企业位于第二</w:t>
      </w:r>
      <w:r>
        <w:rPr>
          <w:rFonts w:hint="eastAsia"/>
          <w:b w:val="0"/>
          <w:bCs w:val="0"/>
          <w:sz w:val="22"/>
          <w:szCs w:val="22"/>
          <w:lang w:val="en-US" w:eastAsia="zh-Hans"/>
        </w:rPr>
        <w:t>梯队</w:t>
      </w:r>
      <w:r>
        <w:rPr>
          <w:rFonts w:hint="eastAsia"/>
          <w:b w:val="0"/>
          <w:bCs w:val="0"/>
          <w:sz w:val="22"/>
          <w:szCs w:val="22"/>
        </w:rPr>
        <w:t>，年产量相差不大。2022年虽然湖南裕能、德方纳米两龙头企业产量均实现翻倍增长，但融通高科、湖北万润、安达科技等企业增速更快。因此，2022年磷酸铁锂市场集中度较2021年有所下滑，CR5从67.85%下降至65.94%。</w:t>
      </w:r>
    </w:p>
    <w:p>
      <w:pPr>
        <w:keepNext w:val="0"/>
        <w:keepLines w:val="0"/>
        <w:pageBreakBefore w:val="0"/>
        <w:widowControl w:val="0"/>
        <w:numPr>
          <w:numId w:val="0"/>
        </w:numPr>
        <w:kinsoku/>
        <w:wordWrap/>
        <w:overflowPunct/>
        <w:topLinePunct w:val="0"/>
        <w:autoSpaceDE/>
        <w:autoSpaceDN/>
        <w:bidi w:val="0"/>
        <w:adjustRightInd/>
        <w:snapToGrid w:val="0"/>
        <w:spacing w:line="360" w:lineRule="auto"/>
        <w:textAlignment w:val="auto"/>
      </w:pPr>
      <w:r>
        <w:drawing>
          <wp:inline distT="0" distB="0" distL="114300" distR="114300">
            <wp:extent cx="2520315" cy="1442720"/>
            <wp:effectExtent l="12700" t="12700" r="32385" b="17780"/>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6"/>
                    <a:srcRect l="8396" r="7025" b="13609"/>
                    <a:stretch>
                      <a:fillRect/>
                    </a:stretch>
                  </pic:blipFill>
                  <pic:spPr>
                    <a:xfrm>
                      <a:off x="0" y="0"/>
                      <a:ext cx="2520315" cy="1442720"/>
                    </a:xfrm>
                    <a:prstGeom prst="rect">
                      <a:avLst/>
                    </a:prstGeom>
                    <a:noFill/>
                    <a:ln w="9525">
                      <a:solidFill>
                        <a:schemeClr val="tx1"/>
                      </a:solidFill>
                    </a:ln>
                  </pic:spPr>
                </pic:pic>
              </a:graphicData>
            </a:graphic>
          </wp:inline>
        </w:drawing>
      </w:r>
      <w:r>
        <w:rPr>
          <w:rFonts w:hint="default"/>
        </w:rPr>
        <w:t xml:space="preserve"> </w:t>
      </w:r>
      <w:r>
        <w:drawing>
          <wp:inline distT="0" distB="0" distL="114300" distR="114300">
            <wp:extent cx="2520315" cy="1430020"/>
            <wp:effectExtent l="12700" t="12700" r="32385" b="3048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7"/>
                    <a:stretch>
                      <a:fillRect/>
                    </a:stretch>
                  </pic:blipFill>
                  <pic:spPr>
                    <a:xfrm>
                      <a:off x="0" y="0"/>
                      <a:ext cx="2520315" cy="1430020"/>
                    </a:xfrm>
                    <a:prstGeom prst="rect">
                      <a:avLst/>
                    </a:prstGeom>
                    <a:noFill/>
                    <a:ln>
                      <a:solidFill>
                        <a:schemeClr val="tx1"/>
                      </a:solid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val="0"/>
        <w:spacing w:line="360" w:lineRule="auto"/>
        <w:textAlignment w:val="auto"/>
        <w:rPr>
          <w:rFonts w:hint="eastAsia"/>
        </w:rPr>
      </w:pPr>
    </w:p>
    <w:p>
      <w:pPr>
        <w:keepNext w:val="0"/>
        <w:keepLines w:val="0"/>
        <w:pageBreakBefore w:val="0"/>
        <w:widowControl w:val="0"/>
        <w:numPr>
          <w:ilvl w:val="0"/>
          <w:numId w:val="1"/>
        </w:numPr>
        <w:kinsoku/>
        <w:wordWrap/>
        <w:overflowPunct/>
        <w:topLinePunct w:val="0"/>
        <w:autoSpaceDE/>
        <w:autoSpaceDN/>
        <w:bidi w:val="0"/>
        <w:adjustRightInd/>
        <w:snapToGrid w:val="0"/>
        <w:spacing w:line="360" w:lineRule="auto"/>
        <w:ind w:left="0" w:leftChars="0" w:firstLine="420" w:firstLineChars="0"/>
        <w:textAlignment w:val="auto"/>
        <w:rPr>
          <w:b/>
          <w:bCs/>
        </w:rPr>
      </w:pPr>
      <w:r>
        <w:rPr>
          <w:rFonts w:hint="eastAsia"/>
          <w:b/>
          <w:bCs/>
          <w:lang w:val="en-US" w:eastAsia="zh-Hans"/>
        </w:rPr>
        <w:t>磷酸铁锂单位成本构成</w:t>
      </w:r>
    </w:p>
    <w:p>
      <w:pPr>
        <w:keepNext w:val="0"/>
        <w:keepLines w:val="0"/>
        <w:pageBreakBefore w:val="0"/>
        <w:widowControl w:val="0"/>
        <w:numPr>
          <w:numId w:val="0"/>
        </w:numPr>
        <w:kinsoku/>
        <w:wordWrap/>
        <w:overflowPunct/>
        <w:topLinePunct w:val="0"/>
        <w:autoSpaceDE/>
        <w:autoSpaceDN/>
        <w:bidi w:val="0"/>
        <w:adjustRightInd/>
        <w:snapToGrid w:val="0"/>
        <w:spacing w:line="360" w:lineRule="auto"/>
        <w:ind w:firstLine="420" w:firstLineChars="0"/>
        <w:textAlignment w:val="auto"/>
        <w:rPr>
          <w:rFonts w:hint="eastAsia"/>
          <w:b w:val="0"/>
          <w:bCs w:val="0"/>
          <w:sz w:val="22"/>
          <w:szCs w:val="22"/>
        </w:rPr>
      </w:pPr>
      <w:r>
        <w:rPr>
          <w:rFonts w:hint="eastAsia"/>
          <w:b w:val="0"/>
          <w:bCs w:val="0"/>
          <w:sz w:val="22"/>
          <w:szCs w:val="22"/>
        </w:rPr>
        <w:t>1GWh电池需要消耗0.22-0.25万吨磷酸铁锂。按照不同的工艺路线，材料消耗有所不同。以融通高科的固相法+磷酸铁锂（外购）为例，每吨磷酸铁锂消耗磷酸铁0.97万吨，碳酸锂（电池级）0.25万吨以及葡萄糖0.1万吨。</w:t>
      </w:r>
    </w:p>
    <w:p>
      <w:pPr>
        <w:keepNext w:val="0"/>
        <w:keepLines w:val="0"/>
        <w:pageBreakBefore w:val="0"/>
        <w:widowControl w:val="0"/>
        <w:numPr>
          <w:numId w:val="0"/>
        </w:numPr>
        <w:kinsoku/>
        <w:wordWrap/>
        <w:overflowPunct/>
        <w:topLinePunct w:val="0"/>
        <w:autoSpaceDE/>
        <w:autoSpaceDN/>
        <w:bidi w:val="0"/>
        <w:adjustRightInd/>
        <w:snapToGrid w:val="0"/>
        <w:spacing w:line="360" w:lineRule="auto"/>
        <w:ind w:firstLine="420" w:firstLineChars="0"/>
        <w:textAlignment w:val="auto"/>
        <w:rPr>
          <w:rFonts w:hint="eastAsia"/>
          <w:b w:val="0"/>
          <w:bCs w:val="0"/>
          <w:sz w:val="22"/>
          <w:szCs w:val="22"/>
        </w:rPr>
      </w:pPr>
      <w:r>
        <w:rPr>
          <w:rFonts w:hint="eastAsia"/>
          <w:b w:val="0"/>
          <w:bCs w:val="0"/>
          <w:sz w:val="22"/>
          <w:szCs w:val="22"/>
        </w:rPr>
        <w:t>从原材料价格来看，碳酸锂（电池级）48.75万/吨，磷酸铁（无水）2.38万元/吨，葡萄糖0.38万元/吨。</w:t>
      </w:r>
    </w:p>
    <w:p>
      <w:pPr>
        <w:keepNext w:val="0"/>
        <w:keepLines w:val="0"/>
        <w:pageBreakBefore w:val="0"/>
        <w:widowControl w:val="0"/>
        <w:numPr>
          <w:numId w:val="0"/>
        </w:numPr>
        <w:kinsoku/>
        <w:wordWrap/>
        <w:overflowPunct/>
        <w:topLinePunct w:val="0"/>
        <w:autoSpaceDE/>
        <w:autoSpaceDN/>
        <w:bidi w:val="0"/>
        <w:adjustRightInd/>
        <w:snapToGrid w:val="0"/>
        <w:spacing w:line="360" w:lineRule="auto"/>
        <w:ind w:firstLine="420" w:firstLineChars="0"/>
        <w:textAlignment w:val="auto"/>
        <w:rPr>
          <w:rFonts w:hint="eastAsia"/>
          <w:b w:val="0"/>
          <w:bCs w:val="0"/>
          <w:sz w:val="22"/>
          <w:szCs w:val="22"/>
        </w:rPr>
      </w:pPr>
      <w:r>
        <w:rPr>
          <w:rFonts w:hint="eastAsia"/>
          <w:b w:val="0"/>
          <w:bCs w:val="0"/>
          <w:sz w:val="22"/>
          <w:szCs w:val="22"/>
        </w:rPr>
        <w:t>按固相法+磷酸铁锂（外购）的比例计算，1吨磷酸铁锂的成本中，碳酸锂（电池级）、磷酸铁、葡萄糖分别占比83.85%、15.88%、0.26%。</w:t>
      </w:r>
    </w:p>
    <w:p>
      <w:pPr>
        <w:keepNext w:val="0"/>
        <w:keepLines w:val="0"/>
        <w:pageBreakBefore w:val="0"/>
        <w:widowControl w:val="0"/>
        <w:numPr>
          <w:numId w:val="0"/>
        </w:numPr>
        <w:kinsoku/>
        <w:wordWrap/>
        <w:overflowPunct/>
        <w:topLinePunct w:val="0"/>
        <w:autoSpaceDE/>
        <w:autoSpaceDN/>
        <w:bidi w:val="0"/>
        <w:adjustRightInd/>
        <w:snapToGrid w:val="0"/>
        <w:spacing w:line="360" w:lineRule="auto"/>
        <w:ind w:firstLine="420" w:firstLineChars="0"/>
        <w:textAlignment w:val="auto"/>
        <w:rPr>
          <w:rFonts w:hint="default"/>
          <w:b w:val="0"/>
          <w:bCs w:val="0"/>
          <w:sz w:val="22"/>
          <w:szCs w:val="22"/>
          <w:lang w:eastAsia="zh-Hans"/>
        </w:rPr>
      </w:pPr>
      <w:r>
        <w:rPr>
          <w:rFonts w:hint="eastAsia"/>
          <w:b w:val="0"/>
          <w:bCs w:val="0"/>
          <w:sz w:val="22"/>
          <w:szCs w:val="22"/>
          <w:lang w:val="en-US" w:eastAsia="zh-Hans"/>
        </w:rPr>
        <w:t>从成本构成来看，降低碳酸锂的购入成本是成为降低产品成本的最大影响因素，磷酸铁次之，葡萄糖再次。</w:t>
      </w:r>
    </w:p>
    <w:p>
      <w:pPr>
        <w:keepNext w:val="0"/>
        <w:keepLines w:val="0"/>
        <w:pageBreakBefore w:val="0"/>
        <w:widowControl w:val="0"/>
        <w:numPr>
          <w:numId w:val="0"/>
        </w:numPr>
        <w:kinsoku/>
        <w:wordWrap/>
        <w:overflowPunct/>
        <w:topLinePunct w:val="0"/>
        <w:autoSpaceDE/>
        <w:autoSpaceDN/>
        <w:bidi w:val="0"/>
        <w:adjustRightInd/>
        <w:snapToGrid w:val="0"/>
        <w:spacing w:line="360" w:lineRule="auto"/>
        <w:jc w:val="center"/>
        <w:textAlignment w:val="auto"/>
      </w:pPr>
      <w:r>
        <w:drawing>
          <wp:inline distT="0" distB="0" distL="114300" distR="114300">
            <wp:extent cx="3992880" cy="2225040"/>
            <wp:effectExtent l="12700" t="12700" r="33020" b="2286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8"/>
                    <a:stretch>
                      <a:fillRect/>
                    </a:stretch>
                  </pic:blipFill>
                  <pic:spPr>
                    <a:xfrm>
                      <a:off x="0" y="0"/>
                      <a:ext cx="3992880" cy="2225040"/>
                    </a:xfrm>
                    <a:prstGeom prst="rect">
                      <a:avLst/>
                    </a:prstGeom>
                    <a:noFill/>
                    <a:ln>
                      <a:solidFill>
                        <a:schemeClr val="tx1"/>
                      </a:solid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val="0"/>
        <w:spacing w:line="360" w:lineRule="auto"/>
        <w:jc w:val="center"/>
        <w:textAlignment w:val="auto"/>
        <w:rPr>
          <w:rFonts w:hint="default" w:eastAsiaTheme="minorEastAsia"/>
          <w:lang w:val="en-US" w:eastAsia="zh-Hans"/>
        </w:rPr>
      </w:pPr>
      <w:r>
        <w:rPr>
          <w:rFonts w:hint="eastAsia"/>
          <w:lang w:val="en-US" w:eastAsia="zh-Hans"/>
        </w:rPr>
        <w:t>图</w:t>
      </w:r>
      <w:r>
        <w:rPr>
          <w:rFonts w:hint="default"/>
          <w:lang w:eastAsia="zh-Hans"/>
        </w:rPr>
        <w:t>1</w:t>
      </w:r>
      <w:r>
        <w:rPr>
          <w:rFonts w:hint="eastAsia"/>
          <w:lang w:eastAsia="zh-Hans"/>
        </w:rPr>
        <w:t>：</w:t>
      </w:r>
      <w:r>
        <w:rPr>
          <w:rFonts w:hint="eastAsia"/>
          <w:lang w:val="en-US" w:eastAsia="zh-Hans"/>
        </w:rPr>
        <w:t>不同工艺的磷酸铁锂加工流程图</w:t>
      </w:r>
    </w:p>
    <w:p>
      <w:pPr>
        <w:pageBreakBefore w:val="0"/>
        <w:numPr>
          <w:numId w:val="0"/>
        </w:numPr>
        <w:kinsoku/>
        <w:wordWrap/>
        <w:overflowPunct/>
        <w:topLinePunct w:val="0"/>
        <w:autoSpaceDE/>
        <w:autoSpaceDN/>
        <w:bidi w:val="0"/>
        <w:adjustRightInd/>
        <w:snapToGrid w:val="0"/>
        <w:spacing w:line="360" w:lineRule="auto"/>
      </w:pPr>
      <w:r>
        <w:drawing>
          <wp:inline distT="0" distB="0" distL="114300" distR="114300">
            <wp:extent cx="5271770" cy="2734310"/>
            <wp:effectExtent l="0" t="0" r="1143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5271770" cy="2734310"/>
                    </a:xfrm>
                    <a:prstGeom prst="rect">
                      <a:avLst/>
                    </a:prstGeom>
                    <a:noFill/>
                    <a:ln w="9525">
                      <a:noFill/>
                    </a:ln>
                  </pic:spPr>
                </pic:pic>
              </a:graphicData>
            </a:graphic>
          </wp:inline>
        </w:drawing>
      </w:r>
    </w:p>
    <w:p>
      <w:pPr>
        <w:pageBreakBefore w:val="0"/>
        <w:numPr>
          <w:numId w:val="0"/>
        </w:numPr>
        <w:kinsoku/>
        <w:wordWrap/>
        <w:overflowPunct/>
        <w:topLinePunct w:val="0"/>
        <w:autoSpaceDE/>
        <w:autoSpaceDN/>
        <w:bidi w:val="0"/>
        <w:adjustRightInd/>
        <w:snapToGrid w:val="0"/>
        <w:spacing w:line="360" w:lineRule="auto"/>
      </w:pPr>
      <w:r>
        <w:drawing>
          <wp:inline distT="0" distB="0" distL="114300" distR="114300">
            <wp:extent cx="5273040" cy="1261745"/>
            <wp:effectExtent l="0" t="0" r="1016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5273040" cy="1261745"/>
                    </a:xfrm>
                    <a:prstGeom prst="rect">
                      <a:avLst/>
                    </a:prstGeom>
                    <a:noFill/>
                    <a:ln w="9525">
                      <a:noFill/>
                    </a:ln>
                  </pic:spPr>
                </pic:pic>
              </a:graphicData>
            </a:graphic>
          </wp:inline>
        </w:drawing>
      </w:r>
    </w:p>
    <w:p>
      <w:pPr>
        <w:pageBreakBefore w:val="0"/>
        <w:numPr>
          <w:numId w:val="0"/>
        </w:numPr>
        <w:kinsoku/>
        <w:wordWrap/>
        <w:overflowPunct/>
        <w:topLinePunct w:val="0"/>
        <w:autoSpaceDE/>
        <w:autoSpaceDN/>
        <w:bidi w:val="0"/>
        <w:adjustRightInd/>
        <w:snapToGrid w:val="0"/>
        <w:spacing w:line="360" w:lineRule="auto"/>
      </w:pPr>
    </w:p>
    <w:p>
      <w:pPr>
        <w:pageBreakBefore w:val="0"/>
        <w:numPr>
          <w:ilvl w:val="0"/>
          <w:numId w:val="1"/>
        </w:numPr>
        <w:kinsoku/>
        <w:wordWrap/>
        <w:overflowPunct/>
        <w:topLinePunct w:val="0"/>
        <w:autoSpaceDE/>
        <w:autoSpaceDN/>
        <w:bidi w:val="0"/>
        <w:adjustRightInd/>
        <w:snapToGrid w:val="0"/>
        <w:spacing w:line="360" w:lineRule="auto"/>
        <w:ind w:left="0" w:leftChars="0" w:firstLine="420" w:firstLineChars="0"/>
        <w:rPr>
          <w:b/>
          <w:bCs/>
        </w:rPr>
      </w:pPr>
      <w:r>
        <w:rPr>
          <w:rFonts w:hint="eastAsia"/>
          <w:b/>
          <w:bCs/>
          <w:lang w:val="en-US" w:eastAsia="zh-Hans"/>
        </w:rPr>
        <w:t>对比企业简介</w:t>
      </w:r>
    </w:p>
    <w:p>
      <w:pPr>
        <w:keepNext w:val="0"/>
        <w:keepLines w:val="0"/>
        <w:pageBreakBefore w:val="0"/>
        <w:widowControl w:val="0"/>
        <w:numPr>
          <w:numId w:val="0"/>
        </w:numPr>
        <w:kinsoku/>
        <w:wordWrap/>
        <w:overflowPunct/>
        <w:topLinePunct w:val="0"/>
        <w:autoSpaceDE/>
        <w:autoSpaceDN/>
        <w:bidi w:val="0"/>
        <w:adjustRightInd/>
        <w:snapToGrid w:val="0"/>
        <w:spacing w:line="360" w:lineRule="auto"/>
        <w:ind w:firstLine="420" w:firstLineChars="0"/>
        <w:textAlignment w:val="auto"/>
        <w:rPr>
          <w:rFonts w:hint="default" w:eastAsiaTheme="minorEastAsia"/>
          <w:b w:val="0"/>
          <w:bCs w:val="0"/>
          <w:sz w:val="22"/>
          <w:szCs w:val="22"/>
          <w:lang w:val="en-US" w:eastAsia="zh-Hans"/>
        </w:rPr>
      </w:pPr>
      <w:r>
        <w:rPr>
          <w:rFonts w:hint="eastAsia"/>
          <w:b w:val="0"/>
          <w:bCs w:val="0"/>
          <w:sz w:val="22"/>
          <w:szCs w:val="22"/>
          <w:lang w:val="en-US" w:eastAsia="zh-Hans"/>
        </w:rPr>
        <w:t>本文选取对比企业，如专注磷酸铁锂生产环节的德方纳米，如从原材料切入磷酸铁锂的万润新能，如通过收并购切入磷酸铁锂行业的龙蟠科技，以期了解不同资源禀赋的企业在自身发展过程中资本预算和财务决策的异同。</w:t>
      </w:r>
    </w:p>
    <w:p>
      <w:pPr>
        <w:pageBreakBefore w:val="0"/>
        <w:numPr>
          <w:ilvl w:val="0"/>
          <w:numId w:val="3"/>
        </w:numPr>
        <w:kinsoku/>
        <w:wordWrap/>
        <w:overflowPunct/>
        <w:topLinePunct w:val="0"/>
        <w:autoSpaceDE/>
        <w:autoSpaceDN/>
        <w:bidi w:val="0"/>
        <w:adjustRightInd/>
        <w:snapToGrid w:val="0"/>
        <w:spacing w:line="360" w:lineRule="auto"/>
        <w:ind w:left="0" w:leftChars="0" w:firstLine="420" w:firstLineChars="0"/>
        <w:rPr>
          <w:b/>
          <w:bCs/>
          <w:sz w:val="22"/>
          <w:szCs w:val="22"/>
        </w:rPr>
      </w:pPr>
      <w:r>
        <w:rPr>
          <w:rFonts w:hint="eastAsia"/>
          <w:b/>
          <w:bCs/>
          <w:sz w:val="22"/>
          <w:szCs w:val="22"/>
          <w:lang w:val="en-US" w:eastAsia="zh-Hans"/>
        </w:rPr>
        <w:t>德方纳米</w:t>
      </w:r>
    </w:p>
    <w:p>
      <w:pPr>
        <w:pageBreakBefore w:val="0"/>
        <w:numPr>
          <w:ilvl w:val="0"/>
          <w:numId w:val="0"/>
        </w:numPr>
        <w:kinsoku/>
        <w:wordWrap/>
        <w:overflowPunct/>
        <w:topLinePunct w:val="0"/>
        <w:autoSpaceDE/>
        <w:autoSpaceDN/>
        <w:bidi w:val="0"/>
        <w:adjustRightInd/>
        <w:snapToGrid w:val="0"/>
        <w:spacing w:line="360" w:lineRule="auto"/>
        <w:ind w:firstLine="420" w:firstLineChars="0"/>
        <w:rPr>
          <w:b w:val="0"/>
          <w:bCs w:val="0"/>
          <w:sz w:val="22"/>
          <w:szCs w:val="22"/>
        </w:rPr>
      </w:pPr>
      <w:r>
        <w:rPr>
          <w:rFonts w:hint="eastAsia"/>
          <w:b w:val="0"/>
          <w:bCs w:val="0"/>
          <w:sz w:val="22"/>
          <w:szCs w:val="22"/>
        </w:rPr>
        <w:t>德方纳米</w:t>
      </w:r>
      <w:r>
        <w:rPr>
          <w:rFonts w:hint="default"/>
          <w:b w:val="0"/>
          <w:bCs w:val="0"/>
          <w:sz w:val="22"/>
          <w:szCs w:val="22"/>
        </w:rPr>
        <w:t>(</w:t>
      </w:r>
      <w:r>
        <w:rPr>
          <w:rFonts w:hint="eastAsia"/>
          <w:b w:val="0"/>
          <w:bCs w:val="0"/>
          <w:sz w:val="22"/>
          <w:szCs w:val="22"/>
        </w:rPr>
        <w:t>300769．SZ</w:t>
      </w:r>
      <w:r>
        <w:rPr>
          <w:rFonts w:hint="default"/>
          <w:b w:val="0"/>
          <w:bCs w:val="0"/>
          <w:sz w:val="22"/>
          <w:szCs w:val="22"/>
        </w:rPr>
        <w:t>)</w:t>
      </w:r>
      <w:r>
        <w:rPr>
          <w:rFonts w:hint="eastAsia"/>
          <w:b w:val="0"/>
          <w:bCs w:val="0"/>
          <w:sz w:val="22"/>
          <w:szCs w:val="22"/>
        </w:rPr>
        <w:t>成立于2007年，2019年于深交所上市，主要从事纳米级锂离子电池材料制备技术的开发，主要产品有纳米磷酸铁锂（液相法）和碳纳米管导电液。德方纳米 2018年-2020年磷酸铁锂出货量为5.84万吨、8.8万吨、12.4万吨，约占当期市场出货量的25％，其主要客户为宁德时代、比亚迪、亿纬锂能等国内锂离子电池领域的领先企业。</w:t>
      </w:r>
      <w:r>
        <w:rPr>
          <w:rFonts w:hint="eastAsia"/>
          <w:b w:val="0"/>
          <w:bCs w:val="0"/>
          <w:sz w:val="22"/>
          <w:szCs w:val="22"/>
          <w:lang w:val="en-US" w:eastAsia="zh-Hans"/>
        </w:rPr>
        <w:t>截至</w:t>
      </w:r>
      <w:r>
        <w:rPr>
          <w:rFonts w:hint="default"/>
          <w:b w:val="0"/>
          <w:bCs w:val="0"/>
          <w:sz w:val="22"/>
          <w:szCs w:val="22"/>
          <w:lang w:eastAsia="zh-Hans"/>
        </w:rPr>
        <w:t>2022</w:t>
      </w:r>
      <w:r>
        <w:rPr>
          <w:rFonts w:hint="eastAsia"/>
          <w:b w:val="0"/>
          <w:bCs w:val="0"/>
          <w:sz w:val="22"/>
          <w:szCs w:val="22"/>
          <w:lang w:val="en-US" w:eastAsia="zh-Hans"/>
        </w:rPr>
        <w:t>年末，公司</w:t>
      </w:r>
      <w:r>
        <w:rPr>
          <w:rFonts w:hint="eastAsia"/>
          <w:b w:val="0"/>
          <w:bCs w:val="0"/>
          <w:sz w:val="22"/>
          <w:szCs w:val="22"/>
        </w:rPr>
        <w:t>具有</w:t>
      </w:r>
      <w:r>
        <w:rPr>
          <w:rFonts w:hint="default"/>
          <w:b w:val="0"/>
          <w:bCs w:val="0"/>
          <w:sz w:val="22"/>
          <w:szCs w:val="22"/>
        </w:rPr>
        <w:t>10.2</w:t>
      </w:r>
      <w:r>
        <w:rPr>
          <w:rFonts w:hint="eastAsia"/>
          <w:b w:val="0"/>
          <w:bCs w:val="0"/>
          <w:sz w:val="22"/>
          <w:szCs w:val="22"/>
        </w:rPr>
        <w:t>万吨</w:t>
      </w:r>
      <w:r>
        <w:rPr>
          <w:rFonts w:hint="default"/>
          <w:b w:val="0"/>
          <w:bCs w:val="0"/>
          <w:sz w:val="22"/>
          <w:szCs w:val="22"/>
        </w:rPr>
        <w:t>/</w:t>
      </w:r>
      <w:r>
        <w:rPr>
          <w:rFonts w:hint="eastAsia"/>
          <w:b w:val="0"/>
          <w:bCs w:val="0"/>
          <w:sz w:val="22"/>
          <w:szCs w:val="22"/>
        </w:rPr>
        <w:t>年磷酸铁锂</w:t>
      </w:r>
      <w:r>
        <w:rPr>
          <w:rFonts w:hint="eastAsia"/>
          <w:b w:val="0"/>
          <w:bCs w:val="0"/>
          <w:sz w:val="22"/>
          <w:szCs w:val="22"/>
        </w:rPr>
        <w:t>产能</w:t>
      </w:r>
      <w:r>
        <w:rPr>
          <w:rFonts w:hint="eastAsia"/>
          <w:b w:val="0"/>
          <w:bCs w:val="0"/>
          <w:sz w:val="22"/>
          <w:szCs w:val="22"/>
        </w:rPr>
        <w:t>，主要生产基地在广东佛山和云南曲靖。</w:t>
      </w:r>
    </w:p>
    <w:p>
      <w:pPr>
        <w:pageBreakBefore w:val="0"/>
        <w:numPr>
          <w:ilvl w:val="0"/>
          <w:numId w:val="3"/>
        </w:numPr>
        <w:kinsoku/>
        <w:wordWrap/>
        <w:overflowPunct/>
        <w:topLinePunct w:val="0"/>
        <w:autoSpaceDE/>
        <w:autoSpaceDN/>
        <w:bidi w:val="0"/>
        <w:adjustRightInd/>
        <w:snapToGrid w:val="0"/>
        <w:spacing w:line="360" w:lineRule="auto"/>
        <w:ind w:left="0" w:leftChars="0" w:firstLine="420" w:firstLineChars="0"/>
        <w:rPr>
          <w:b/>
          <w:bCs/>
          <w:sz w:val="22"/>
          <w:szCs w:val="22"/>
        </w:rPr>
      </w:pPr>
      <w:r>
        <w:rPr>
          <w:rFonts w:hint="eastAsia"/>
          <w:b/>
          <w:bCs/>
          <w:sz w:val="22"/>
          <w:szCs w:val="22"/>
          <w:lang w:val="en-US" w:eastAsia="zh-Hans"/>
        </w:rPr>
        <w:t>万润新能</w:t>
      </w:r>
    </w:p>
    <w:p>
      <w:pPr>
        <w:pageBreakBefore w:val="0"/>
        <w:numPr>
          <w:ilvl w:val="0"/>
          <w:numId w:val="0"/>
        </w:numPr>
        <w:kinsoku/>
        <w:wordWrap/>
        <w:overflowPunct/>
        <w:topLinePunct w:val="0"/>
        <w:autoSpaceDE/>
        <w:autoSpaceDN/>
        <w:bidi w:val="0"/>
        <w:adjustRightInd/>
        <w:snapToGrid w:val="0"/>
        <w:spacing w:line="360" w:lineRule="auto"/>
        <w:ind w:firstLine="420" w:firstLineChars="0"/>
        <w:rPr>
          <w:rFonts w:hint="eastAsia"/>
          <w:b w:val="0"/>
          <w:bCs w:val="0"/>
          <w:sz w:val="22"/>
          <w:szCs w:val="22"/>
        </w:rPr>
      </w:pPr>
      <w:r>
        <w:rPr>
          <w:rFonts w:hint="eastAsia"/>
          <w:b w:val="0"/>
          <w:bCs w:val="0"/>
          <w:sz w:val="22"/>
          <w:szCs w:val="22"/>
          <w:lang w:val="en-US" w:eastAsia="zh-Hans"/>
        </w:rPr>
        <w:t>万润新能</w:t>
      </w:r>
      <w:r>
        <w:rPr>
          <w:rFonts w:hint="eastAsia"/>
          <w:b w:val="0"/>
          <w:bCs w:val="0"/>
          <w:sz w:val="22"/>
          <w:szCs w:val="22"/>
        </w:rPr>
        <w:t>（</w:t>
      </w:r>
      <w:r>
        <w:rPr>
          <w:rFonts w:hint="default"/>
          <w:b w:val="0"/>
          <w:bCs w:val="0"/>
          <w:sz w:val="22"/>
          <w:szCs w:val="22"/>
        </w:rPr>
        <w:t>688275.</w:t>
      </w:r>
      <w:r>
        <w:rPr>
          <w:rFonts w:hint="eastAsia"/>
          <w:b w:val="0"/>
          <w:bCs w:val="0"/>
          <w:sz w:val="22"/>
          <w:szCs w:val="22"/>
        </w:rPr>
        <w:t>SH）成立于2010年，</w:t>
      </w:r>
      <w:r>
        <w:rPr>
          <w:rFonts w:hint="eastAsia"/>
          <w:b w:val="0"/>
          <w:bCs w:val="0"/>
          <w:sz w:val="22"/>
          <w:szCs w:val="22"/>
          <w:lang w:val="en-US" w:eastAsia="zh-Hans"/>
        </w:rPr>
        <w:t>于</w:t>
      </w:r>
      <w:r>
        <w:rPr>
          <w:rFonts w:hint="default"/>
          <w:b w:val="0"/>
          <w:bCs w:val="0"/>
          <w:sz w:val="22"/>
          <w:szCs w:val="22"/>
          <w:lang w:eastAsia="zh-Hans"/>
        </w:rPr>
        <w:t>2022</w:t>
      </w:r>
      <w:r>
        <w:rPr>
          <w:rFonts w:hint="eastAsia"/>
          <w:b w:val="0"/>
          <w:bCs w:val="0"/>
          <w:sz w:val="22"/>
          <w:szCs w:val="22"/>
          <w:lang w:val="en-US" w:eastAsia="zh-Hans"/>
        </w:rPr>
        <w:t>年</w:t>
      </w:r>
      <w:r>
        <w:rPr>
          <w:rFonts w:hint="default"/>
          <w:b w:val="0"/>
          <w:bCs w:val="0"/>
          <w:sz w:val="22"/>
          <w:szCs w:val="22"/>
          <w:lang w:eastAsia="zh-Hans"/>
        </w:rPr>
        <w:t>9</w:t>
      </w:r>
      <w:r>
        <w:rPr>
          <w:rFonts w:hint="eastAsia"/>
          <w:b w:val="0"/>
          <w:bCs w:val="0"/>
          <w:sz w:val="22"/>
          <w:szCs w:val="22"/>
          <w:lang w:val="en-US" w:eastAsia="zh-Hans"/>
        </w:rPr>
        <w:t>月上市</w:t>
      </w:r>
      <w:r>
        <w:rPr>
          <w:rFonts w:hint="eastAsia"/>
          <w:b w:val="0"/>
          <w:bCs w:val="0"/>
          <w:sz w:val="22"/>
          <w:szCs w:val="22"/>
        </w:rPr>
        <w:t>，从事锂离子动力电池和储能电池正极材料前驱体、正极材料的研发、生产和销售。湖北万润2020年-2021年市场占有率分别为13.5％和10％，位居行业第三主要客户包括宁德时代、比亚迪、中航锂电、亿纬锂能、万向等下游知名电池企业。目前，公司拥有规模化生产草酸亚铁、磷酸铁锂与三元材料前驱体、磷酸铁锂正极材料等电池材料的生产能力，其中磷酸铁锂产能为4</w:t>
      </w:r>
      <w:r>
        <w:rPr>
          <w:rFonts w:hint="default"/>
          <w:b w:val="0"/>
          <w:bCs w:val="0"/>
          <w:sz w:val="22"/>
          <w:szCs w:val="22"/>
        </w:rPr>
        <w:t>.28</w:t>
      </w:r>
      <w:r>
        <w:rPr>
          <w:rFonts w:hint="eastAsia"/>
          <w:b w:val="0"/>
          <w:bCs w:val="0"/>
          <w:sz w:val="22"/>
          <w:szCs w:val="22"/>
        </w:rPr>
        <w:t>万吨</w:t>
      </w:r>
      <w:r>
        <w:rPr>
          <w:rFonts w:hint="default"/>
          <w:b w:val="0"/>
          <w:bCs w:val="0"/>
          <w:sz w:val="22"/>
          <w:szCs w:val="22"/>
        </w:rPr>
        <w:t>/</w:t>
      </w:r>
      <w:r>
        <w:rPr>
          <w:rFonts w:hint="eastAsia"/>
          <w:b w:val="0"/>
          <w:bCs w:val="0"/>
          <w:sz w:val="22"/>
          <w:szCs w:val="22"/>
        </w:rPr>
        <w:t>年。</w:t>
      </w:r>
    </w:p>
    <w:p>
      <w:pPr>
        <w:pageBreakBefore w:val="0"/>
        <w:numPr>
          <w:ilvl w:val="0"/>
          <w:numId w:val="3"/>
        </w:numPr>
        <w:kinsoku/>
        <w:wordWrap/>
        <w:overflowPunct/>
        <w:topLinePunct w:val="0"/>
        <w:autoSpaceDE/>
        <w:autoSpaceDN/>
        <w:bidi w:val="0"/>
        <w:adjustRightInd/>
        <w:snapToGrid w:val="0"/>
        <w:spacing w:line="360" w:lineRule="auto"/>
        <w:ind w:left="0" w:leftChars="0" w:firstLine="420" w:firstLineChars="0"/>
        <w:rPr>
          <w:b/>
          <w:bCs/>
          <w:sz w:val="22"/>
          <w:szCs w:val="22"/>
        </w:rPr>
      </w:pPr>
      <w:r>
        <w:rPr>
          <w:rFonts w:hint="eastAsia"/>
          <w:b/>
          <w:bCs/>
          <w:sz w:val="22"/>
          <w:szCs w:val="22"/>
          <w:lang w:val="en-US" w:eastAsia="zh-Hans"/>
        </w:rPr>
        <w:t>龙蟠科技</w:t>
      </w:r>
    </w:p>
    <w:p>
      <w:pPr>
        <w:pageBreakBefore w:val="0"/>
        <w:numPr>
          <w:numId w:val="0"/>
        </w:numPr>
        <w:kinsoku/>
        <w:wordWrap/>
        <w:overflowPunct/>
        <w:topLinePunct w:val="0"/>
        <w:autoSpaceDE/>
        <w:autoSpaceDN/>
        <w:bidi w:val="0"/>
        <w:adjustRightInd/>
        <w:snapToGrid w:val="0"/>
        <w:spacing w:line="360" w:lineRule="auto"/>
        <w:ind w:firstLine="420" w:firstLineChars="0"/>
        <w:rPr>
          <w:b w:val="0"/>
          <w:bCs w:val="0"/>
          <w:sz w:val="22"/>
          <w:szCs w:val="22"/>
        </w:rPr>
      </w:pPr>
      <w:r>
        <w:rPr>
          <w:rFonts w:hint="eastAsia"/>
          <w:b w:val="0"/>
          <w:bCs w:val="0"/>
          <w:sz w:val="22"/>
          <w:szCs w:val="22"/>
        </w:rPr>
        <w:t>龙蟠科技</w:t>
      </w:r>
      <w:r>
        <w:rPr>
          <w:rFonts w:hint="default"/>
          <w:b w:val="0"/>
          <w:bCs w:val="0"/>
          <w:sz w:val="22"/>
          <w:szCs w:val="22"/>
        </w:rPr>
        <w:t>(</w:t>
      </w:r>
      <w:r>
        <w:rPr>
          <w:rFonts w:hint="eastAsia"/>
          <w:b w:val="0"/>
          <w:bCs w:val="0"/>
          <w:sz w:val="22"/>
          <w:szCs w:val="22"/>
        </w:rPr>
        <w:t>603906．SH</w:t>
      </w:r>
      <w:r>
        <w:rPr>
          <w:rFonts w:hint="default"/>
          <w:b w:val="0"/>
          <w:bCs w:val="0"/>
          <w:sz w:val="22"/>
          <w:szCs w:val="22"/>
        </w:rPr>
        <w:t>)</w:t>
      </w:r>
      <w:r>
        <w:rPr>
          <w:rFonts w:hint="eastAsia"/>
          <w:b w:val="0"/>
          <w:bCs w:val="0"/>
          <w:sz w:val="22"/>
          <w:szCs w:val="22"/>
        </w:rPr>
        <w:t>成立于2003年，是车用尿素行业龙头，2021年6月完成对贝特瑞磷酸铁锂资产的收购，拥有约3万吨磷酸铁锂产能。贝特瑞2018年-2021年市场份额分别为16％、17％、13％、9％，主要客户包括宁德时代、天津力神、国轩高科、中航锂电等。</w:t>
      </w:r>
    </w:p>
    <w:p>
      <w:pPr>
        <w:pageBreakBefore w:val="0"/>
        <w:numPr>
          <w:numId w:val="0"/>
        </w:numPr>
        <w:kinsoku/>
        <w:wordWrap/>
        <w:overflowPunct/>
        <w:topLinePunct w:val="0"/>
        <w:autoSpaceDE/>
        <w:autoSpaceDN/>
        <w:bidi w:val="0"/>
        <w:adjustRightInd/>
        <w:snapToGrid w:val="0"/>
        <w:spacing w:line="360" w:lineRule="auto"/>
        <w:ind w:left="420" w:leftChars="0"/>
        <w:rPr>
          <w:b/>
          <w:bCs/>
        </w:rPr>
      </w:pPr>
    </w:p>
    <w:p>
      <w:pPr>
        <w:pageBreakBefore w:val="0"/>
        <w:numPr>
          <w:ilvl w:val="0"/>
          <w:numId w:val="1"/>
        </w:numPr>
        <w:kinsoku/>
        <w:wordWrap/>
        <w:overflowPunct/>
        <w:topLinePunct w:val="0"/>
        <w:autoSpaceDE/>
        <w:autoSpaceDN/>
        <w:bidi w:val="0"/>
        <w:adjustRightInd/>
        <w:snapToGrid w:val="0"/>
        <w:spacing w:line="360" w:lineRule="auto"/>
        <w:ind w:left="0" w:leftChars="0" w:firstLine="420" w:firstLineChars="0"/>
        <w:rPr>
          <w:b/>
          <w:bCs/>
        </w:rPr>
      </w:pPr>
      <w:r>
        <w:rPr>
          <w:rFonts w:hint="eastAsia"/>
          <w:b/>
          <w:bCs/>
          <w:lang w:val="en-US" w:eastAsia="zh-Hans"/>
        </w:rPr>
        <w:t>近三年对企业的财务情况</w:t>
      </w:r>
    </w:p>
    <w:p>
      <w:pPr>
        <w:pageBreakBefore w:val="0"/>
        <w:numPr>
          <w:numId w:val="0"/>
        </w:numPr>
        <w:kinsoku/>
        <w:wordWrap/>
        <w:overflowPunct/>
        <w:topLinePunct w:val="0"/>
        <w:autoSpaceDE/>
        <w:autoSpaceDN/>
        <w:bidi w:val="0"/>
        <w:adjustRightInd/>
        <w:snapToGrid w:val="0"/>
        <w:spacing w:line="360" w:lineRule="auto"/>
        <w:ind w:firstLine="420" w:firstLineChars="0"/>
        <w:rPr>
          <w:rFonts w:hint="eastAsia"/>
          <w:b w:val="0"/>
          <w:bCs w:val="0"/>
          <w:sz w:val="22"/>
          <w:szCs w:val="22"/>
          <w:lang w:val="en-US" w:eastAsia="zh-Hans"/>
        </w:rPr>
      </w:pPr>
      <w:r>
        <w:rPr>
          <w:rFonts w:hint="eastAsia"/>
          <w:b w:val="0"/>
          <w:bCs w:val="0"/>
          <w:sz w:val="22"/>
          <w:szCs w:val="22"/>
          <w:lang w:val="en-US" w:eastAsia="zh-Hans"/>
        </w:rPr>
        <w:t>从资产规模来看，德方纳米最大，资产总计约</w:t>
      </w:r>
      <w:r>
        <w:rPr>
          <w:rFonts w:hint="default"/>
          <w:b w:val="0"/>
          <w:bCs w:val="0"/>
          <w:sz w:val="22"/>
          <w:szCs w:val="22"/>
          <w:lang w:eastAsia="zh-Hans"/>
        </w:rPr>
        <w:t>90</w:t>
      </w:r>
      <w:r>
        <w:rPr>
          <w:rFonts w:hint="eastAsia"/>
          <w:b w:val="0"/>
          <w:bCs w:val="0"/>
          <w:sz w:val="22"/>
          <w:szCs w:val="22"/>
          <w:lang w:val="en-US" w:eastAsia="zh-Hans"/>
        </w:rPr>
        <w:t>亿元，其次是龙蟠科技，再次是万润新能。</w:t>
      </w:r>
    </w:p>
    <w:p>
      <w:pPr>
        <w:pageBreakBefore w:val="0"/>
        <w:numPr>
          <w:numId w:val="0"/>
        </w:numPr>
        <w:kinsoku/>
        <w:wordWrap/>
        <w:overflowPunct/>
        <w:topLinePunct w:val="0"/>
        <w:autoSpaceDE/>
        <w:autoSpaceDN/>
        <w:bidi w:val="0"/>
        <w:adjustRightInd/>
        <w:snapToGrid w:val="0"/>
        <w:spacing w:line="360" w:lineRule="auto"/>
        <w:ind w:firstLine="420" w:firstLineChars="0"/>
        <w:rPr>
          <w:rFonts w:hint="eastAsia"/>
          <w:b w:val="0"/>
          <w:bCs w:val="0"/>
          <w:sz w:val="22"/>
          <w:szCs w:val="22"/>
          <w:lang w:val="en-US" w:eastAsia="zh-Hans"/>
        </w:rPr>
      </w:pPr>
      <w:r>
        <w:rPr>
          <w:rFonts w:hint="eastAsia"/>
          <w:b w:val="0"/>
          <w:bCs w:val="0"/>
          <w:sz w:val="22"/>
          <w:szCs w:val="22"/>
          <w:lang w:val="en-US" w:eastAsia="zh-Hans"/>
        </w:rPr>
        <w:t>从偿债能力上看，德方纳米与龙蟠科技较为接近，万润新能偿债能力较弱。</w:t>
      </w:r>
    </w:p>
    <w:p>
      <w:pPr>
        <w:pageBreakBefore w:val="0"/>
        <w:numPr>
          <w:numId w:val="0"/>
        </w:numPr>
        <w:kinsoku/>
        <w:wordWrap/>
        <w:overflowPunct/>
        <w:topLinePunct w:val="0"/>
        <w:autoSpaceDE/>
        <w:autoSpaceDN/>
        <w:bidi w:val="0"/>
        <w:adjustRightInd/>
        <w:snapToGrid w:val="0"/>
        <w:spacing w:line="360" w:lineRule="auto"/>
        <w:ind w:firstLine="420" w:firstLineChars="0"/>
        <w:rPr>
          <w:rFonts w:hint="default"/>
          <w:b w:val="0"/>
          <w:bCs w:val="0"/>
          <w:sz w:val="22"/>
          <w:szCs w:val="22"/>
          <w:lang w:val="en-US" w:eastAsia="zh-Hans"/>
        </w:rPr>
      </w:pPr>
      <w:r>
        <w:rPr>
          <w:rFonts w:hint="eastAsia"/>
          <w:b w:val="0"/>
          <w:bCs w:val="0"/>
          <w:sz w:val="22"/>
          <w:szCs w:val="22"/>
          <w:lang w:val="en-US" w:eastAsia="zh-Hans"/>
        </w:rPr>
        <w:t>从营运能力上看，万润新能最优，德方纳米与龙蟠科技相近且较弱。</w:t>
      </w:r>
    </w:p>
    <w:p>
      <w:pPr>
        <w:pageBreakBefore w:val="0"/>
        <w:numPr>
          <w:numId w:val="0"/>
        </w:numPr>
        <w:kinsoku/>
        <w:wordWrap/>
        <w:overflowPunct/>
        <w:topLinePunct w:val="0"/>
        <w:autoSpaceDE/>
        <w:autoSpaceDN/>
        <w:bidi w:val="0"/>
        <w:adjustRightInd/>
        <w:snapToGrid w:val="0"/>
        <w:spacing w:line="360" w:lineRule="auto"/>
        <w:ind w:firstLine="420" w:firstLineChars="0"/>
        <w:rPr>
          <w:rFonts w:hint="default"/>
          <w:b w:val="0"/>
          <w:bCs w:val="0"/>
          <w:sz w:val="22"/>
          <w:szCs w:val="22"/>
          <w:lang w:val="en-US" w:eastAsia="zh-Hans"/>
        </w:rPr>
      </w:pPr>
      <w:r>
        <w:rPr>
          <w:rFonts w:hint="eastAsia"/>
          <w:b w:val="0"/>
          <w:bCs w:val="0"/>
          <w:sz w:val="22"/>
          <w:szCs w:val="22"/>
          <w:lang w:val="en-US" w:eastAsia="zh-Hans"/>
        </w:rPr>
        <w:t>从盈利能力上看，德方纳米与万润新能ROE约</w:t>
      </w:r>
      <w:r>
        <w:rPr>
          <w:rFonts w:hint="default"/>
          <w:b w:val="0"/>
          <w:bCs w:val="0"/>
          <w:sz w:val="22"/>
          <w:szCs w:val="22"/>
          <w:lang w:eastAsia="zh-Hans"/>
        </w:rPr>
        <w:t>30%</w:t>
      </w:r>
      <w:r>
        <w:rPr>
          <w:rFonts w:hint="eastAsia"/>
          <w:b w:val="0"/>
          <w:bCs w:val="0"/>
          <w:sz w:val="22"/>
          <w:szCs w:val="22"/>
          <w:lang w:val="en-US" w:eastAsia="zh-Hans"/>
        </w:rPr>
        <w:t>左右，龙蟠科技最弱。</w:t>
      </w:r>
    </w:p>
    <w:tbl>
      <w:tblPr>
        <w:tblW w:w="5900" w:type="dxa"/>
        <w:tblInd w:w="8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2636"/>
        <w:gridCol w:w="1024"/>
        <w:gridCol w:w="1024"/>
        <w:gridCol w:w="1024"/>
        <w:gridCol w:w="10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248" w:hRule="atLeast"/>
        </w:trPr>
        <w:tc>
          <w:tcPr>
            <w:tcW w:w="1816" w:type="dxa"/>
            <w:tcBorders>
              <w:top w:val="single" w:color="000000" w:sz="4" w:space="0"/>
              <w:left w:val="single" w:color="000000" w:sz="4" w:space="0"/>
              <w:bottom w:val="single" w:color="000000" w:sz="4" w:space="0"/>
              <w:right w:val="single" w:color="000000" w:sz="4" w:space="0"/>
            </w:tcBorders>
            <w:shd w:val="clear" w:color="4472C4" w:fill="4472C4"/>
            <w:noWrap/>
            <w:vAlign w:val="center"/>
          </w:tcPr>
          <w:p>
            <w:pPr>
              <w:keepNext w:val="0"/>
              <w:keepLines w:val="0"/>
              <w:widowControl/>
              <w:suppressLineNumbers w:val="0"/>
              <w:jc w:val="left"/>
              <w:textAlignment w:val="center"/>
              <w:rPr>
                <w:rFonts w:ascii="等线" w:hAnsi="等线" w:eastAsia="等线" w:cs="等线"/>
                <w:b/>
                <w:bCs/>
                <w:i w:val="0"/>
                <w:iCs w:val="0"/>
                <w:color w:val="FFFFFF"/>
                <w:sz w:val="22"/>
                <w:szCs w:val="22"/>
                <w:u w:val="none"/>
              </w:rPr>
            </w:pPr>
            <w:r>
              <w:rPr>
                <w:rFonts w:hint="default" w:ascii="等线" w:hAnsi="等线" w:eastAsia="等线" w:cs="等线"/>
                <w:b/>
                <w:bCs/>
                <w:i w:val="0"/>
                <w:iCs w:val="0"/>
                <w:color w:val="FFFFFF"/>
                <w:kern w:val="0"/>
                <w:sz w:val="22"/>
                <w:szCs w:val="22"/>
                <w:u w:val="none"/>
                <w:bdr w:val="none" w:color="auto" w:sz="0" w:space="0"/>
                <w:lang w:val="en-US" w:eastAsia="zh-CN" w:bidi="ar"/>
              </w:rPr>
              <w:t>德方纳米</w:t>
            </w:r>
          </w:p>
        </w:tc>
        <w:tc>
          <w:tcPr>
            <w:tcW w:w="1024" w:type="dxa"/>
            <w:tcBorders>
              <w:top w:val="single" w:color="000000" w:sz="4" w:space="0"/>
              <w:left w:val="single" w:color="000000" w:sz="4" w:space="0"/>
              <w:bottom w:val="single" w:color="000000" w:sz="4" w:space="0"/>
              <w:right w:val="single" w:color="000000" w:sz="4" w:space="0"/>
            </w:tcBorders>
            <w:shd w:val="clear" w:color="4472C4" w:fill="4472C4"/>
            <w:noWrap/>
            <w:vAlign w:val="center"/>
          </w:tcPr>
          <w:p>
            <w:pPr>
              <w:keepNext w:val="0"/>
              <w:keepLines w:val="0"/>
              <w:widowControl/>
              <w:suppressLineNumbers w:val="0"/>
              <w:jc w:val="right"/>
              <w:textAlignment w:val="center"/>
              <w:rPr>
                <w:rFonts w:hint="default" w:ascii="等线" w:hAnsi="等线" w:eastAsia="等线" w:cs="等线"/>
                <w:b/>
                <w:bCs/>
                <w:i w:val="0"/>
                <w:iCs w:val="0"/>
                <w:color w:val="FFFFFF"/>
                <w:sz w:val="22"/>
                <w:szCs w:val="22"/>
                <w:u w:val="none"/>
              </w:rPr>
            </w:pPr>
            <w:r>
              <w:rPr>
                <w:rFonts w:hint="default" w:ascii="等线" w:hAnsi="等线" w:eastAsia="等线" w:cs="等线"/>
                <w:b/>
                <w:bCs/>
                <w:i w:val="0"/>
                <w:iCs w:val="0"/>
                <w:color w:val="FFFFFF"/>
                <w:kern w:val="0"/>
                <w:sz w:val="22"/>
                <w:szCs w:val="22"/>
                <w:u w:val="none"/>
                <w:bdr w:val="none" w:color="auto" w:sz="0" w:space="0"/>
                <w:lang w:val="en-US" w:eastAsia="zh-CN" w:bidi="ar"/>
              </w:rPr>
              <w:t>2018</w:t>
            </w:r>
          </w:p>
        </w:tc>
        <w:tc>
          <w:tcPr>
            <w:tcW w:w="1024" w:type="dxa"/>
            <w:tcBorders>
              <w:top w:val="single" w:color="000000" w:sz="4" w:space="0"/>
              <w:left w:val="single" w:color="000000" w:sz="4" w:space="0"/>
              <w:bottom w:val="single" w:color="000000" w:sz="4" w:space="0"/>
              <w:right w:val="single" w:color="000000" w:sz="4" w:space="0"/>
            </w:tcBorders>
            <w:shd w:val="clear" w:color="4472C4" w:fill="4472C4"/>
            <w:noWrap/>
            <w:vAlign w:val="center"/>
          </w:tcPr>
          <w:p>
            <w:pPr>
              <w:keepNext w:val="0"/>
              <w:keepLines w:val="0"/>
              <w:widowControl/>
              <w:suppressLineNumbers w:val="0"/>
              <w:jc w:val="right"/>
              <w:textAlignment w:val="center"/>
              <w:rPr>
                <w:rFonts w:hint="default" w:ascii="等线" w:hAnsi="等线" w:eastAsia="等线" w:cs="等线"/>
                <w:b/>
                <w:bCs/>
                <w:i w:val="0"/>
                <w:iCs w:val="0"/>
                <w:color w:val="FFFFFF"/>
                <w:sz w:val="22"/>
                <w:szCs w:val="22"/>
                <w:u w:val="none"/>
              </w:rPr>
            </w:pPr>
            <w:r>
              <w:rPr>
                <w:rFonts w:hint="default" w:ascii="等线" w:hAnsi="等线" w:eastAsia="等线" w:cs="等线"/>
                <w:b/>
                <w:bCs/>
                <w:i w:val="0"/>
                <w:iCs w:val="0"/>
                <w:color w:val="FFFFFF"/>
                <w:kern w:val="0"/>
                <w:sz w:val="22"/>
                <w:szCs w:val="22"/>
                <w:u w:val="none"/>
                <w:bdr w:val="none" w:color="auto" w:sz="0" w:space="0"/>
                <w:lang w:val="en-US" w:eastAsia="zh-CN" w:bidi="ar"/>
              </w:rPr>
              <w:t>2019</w:t>
            </w:r>
          </w:p>
        </w:tc>
        <w:tc>
          <w:tcPr>
            <w:tcW w:w="1024" w:type="dxa"/>
            <w:tcBorders>
              <w:top w:val="single" w:color="000000" w:sz="4" w:space="0"/>
              <w:left w:val="single" w:color="000000" w:sz="4" w:space="0"/>
              <w:bottom w:val="single" w:color="000000" w:sz="4" w:space="0"/>
              <w:right w:val="single" w:color="000000" w:sz="4" w:space="0"/>
            </w:tcBorders>
            <w:shd w:val="clear" w:color="4472C4" w:fill="4472C4"/>
            <w:noWrap/>
            <w:vAlign w:val="center"/>
          </w:tcPr>
          <w:p>
            <w:pPr>
              <w:keepNext w:val="0"/>
              <w:keepLines w:val="0"/>
              <w:widowControl/>
              <w:suppressLineNumbers w:val="0"/>
              <w:jc w:val="right"/>
              <w:textAlignment w:val="center"/>
              <w:rPr>
                <w:rFonts w:hint="default" w:ascii="等线" w:hAnsi="等线" w:eastAsia="等线" w:cs="等线"/>
                <w:b/>
                <w:bCs/>
                <w:i w:val="0"/>
                <w:iCs w:val="0"/>
                <w:color w:val="FFFFFF"/>
                <w:sz w:val="22"/>
                <w:szCs w:val="22"/>
                <w:u w:val="none"/>
              </w:rPr>
            </w:pPr>
            <w:r>
              <w:rPr>
                <w:rFonts w:hint="default" w:ascii="等线" w:hAnsi="等线" w:eastAsia="等线" w:cs="等线"/>
                <w:b/>
                <w:bCs/>
                <w:i w:val="0"/>
                <w:iCs w:val="0"/>
                <w:color w:val="FFFFFF"/>
                <w:kern w:val="0"/>
                <w:sz w:val="22"/>
                <w:szCs w:val="22"/>
                <w:u w:val="none"/>
                <w:bdr w:val="none" w:color="auto" w:sz="0" w:space="0"/>
                <w:lang w:val="en-US" w:eastAsia="zh-CN" w:bidi="ar"/>
              </w:rPr>
              <w:t>2020</w:t>
            </w:r>
          </w:p>
        </w:tc>
        <w:tc>
          <w:tcPr>
            <w:tcW w:w="1024" w:type="dxa"/>
            <w:tcBorders>
              <w:top w:val="single" w:color="000000" w:sz="4" w:space="0"/>
              <w:left w:val="single" w:color="000000" w:sz="4" w:space="0"/>
              <w:bottom w:val="single" w:color="000000" w:sz="4" w:space="0"/>
              <w:right w:val="single" w:color="000000" w:sz="4" w:space="0"/>
            </w:tcBorders>
            <w:shd w:val="clear" w:color="4472C4" w:fill="4472C4"/>
            <w:noWrap/>
            <w:vAlign w:val="center"/>
          </w:tcPr>
          <w:p>
            <w:pPr>
              <w:keepNext w:val="0"/>
              <w:keepLines w:val="0"/>
              <w:widowControl/>
              <w:suppressLineNumbers w:val="0"/>
              <w:jc w:val="right"/>
              <w:textAlignment w:val="center"/>
              <w:rPr>
                <w:rFonts w:hint="default" w:ascii="等线" w:hAnsi="等线" w:eastAsia="等线" w:cs="等线"/>
                <w:b/>
                <w:bCs/>
                <w:i w:val="0"/>
                <w:iCs w:val="0"/>
                <w:color w:val="FFFFFF"/>
                <w:sz w:val="22"/>
                <w:szCs w:val="22"/>
                <w:u w:val="none"/>
              </w:rPr>
            </w:pPr>
            <w:r>
              <w:rPr>
                <w:rFonts w:hint="default" w:ascii="等线" w:hAnsi="等线" w:eastAsia="等线" w:cs="等线"/>
                <w:b/>
                <w:bCs/>
                <w:i w:val="0"/>
                <w:iCs w:val="0"/>
                <w:color w:val="FFFFFF"/>
                <w:kern w:val="0"/>
                <w:sz w:val="22"/>
                <w:szCs w:val="22"/>
                <w:u w:val="none"/>
                <w:bdr w:val="none" w:color="auto" w:sz="0" w:space="0"/>
                <w:lang w:val="en-US" w:eastAsia="zh-CN" w:bidi="ar"/>
              </w:rPr>
              <w:t>2021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248" w:hRule="atLeast"/>
        </w:trPr>
        <w:tc>
          <w:tcPr>
            <w:tcW w:w="0" w:type="auto"/>
            <w:tcBorders>
              <w:top w:val="single" w:color="000000" w:sz="4" w:space="0"/>
              <w:left w:val="single" w:color="000000" w:sz="4" w:space="0"/>
              <w:bottom w:val="single" w:color="000000" w:sz="4" w:space="0"/>
              <w:right w:val="single" w:color="000000" w:sz="4" w:space="0"/>
            </w:tcBorders>
            <w:shd w:val="clear" w:color="D9D9D9" w:fill="D9D9D9"/>
            <w:noWrap/>
            <w:vAlign w:val="center"/>
          </w:tcPr>
          <w:p>
            <w:pPr>
              <w:keepNext w:val="0"/>
              <w:keepLines w:val="0"/>
              <w:widowControl/>
              <w:suppressLineNumbers w:val="0"/>
              <w:jc w:val="left"/>
              <w:textAlignment w:val="center"/>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货币资金（亿元）</w:t>
            </w:r>
          </w:p>
        </w:tc>
        <w:tc>
          <w:tcPr>
            <w:tcW w:w="0" w:type="auto"/>
            <w:tcBorders>
              <w:top w:val="single" w:color="000000" w:sz="4" w:space="0"/>
              <w:left w:val="single" w:color="000000" w:sz="4" w:space="0"/>
              <w:bottom w:val="single" w:color="000000" w:sz="4" w:space="0"/>
              <w:right w:val="single" w:color="000000" w:sz="4" w:space="0"/>
            </w:tcBorders>
            <w:shd w:val="clear" w:color="D9D9D9" w:fill="D9D9D9"/>
            <w:noWrap/>
            <w:vAlign w:val="bottom"/>
          </w:tcPr>
          <w:p>
            <w:pPr>
              <w:keepNext w:val="0"/>
              <w:keepLines w:val="0"/>
              <w:widowControl/>
              <w:suppressLineNumbers w:val="0"/>
              <w:jc w:val="right"/>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 xml:space="preserve">1.02 </w:t>
            </w:r>
          </w:p>
        </w:tc>
        <w:tc>
          <w:tcPr>
            <w:tcW w:w="0" w:type="auto"/>
            <w:tcBorders>
              <w:top w:val="single" w:color="000000" w:sz="4" w:space="0"/>
              <w:left w:val="single" w:color="000000" w:sz="4" w:space="0"/>
              <w:bottom w:val="single" w:color="000000" w:sz="4" w:space="0"/>
              <w:right w:val="single" w:color="000000" w:sz="4" w:space="0"/>
            </w:tcBorders>
            <w:shd w:val="clear" w:color="D9D9D9" w:fill="D9D9D9"/>
            <w:noWrap/>
            <w:vAlign w:val="bottom"/>
          </w:tcPr>
          <w:p>
            <w:pPr>
              <w:keepNext w:val="0"/>
              <w:keepLines w:val="0"/>
              <w:widowControl/>
              <w:suppressLineNumbers w:val="0"/>
              <w:jc w:val="right"/>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 xml:space="preserve">3.00 </w:t>
            </w:r>
          </w:p>
        </w:tc>
        <w:tc>
          <w:tcPr>
            <w:tcW w:w="0" w:type="auto"/>
            <w:tcBorders>
              <w:top w:val="single" w:color="000000" w:sz="4" w:space="0"/>
              <w:left w:val="single" w:color="000000" w:sz="4" w:space="0"/>
              <w:bottom w:val="single" w:color="000000" w:sz="4" w:space="0"/>
              <w:right w:val="single" w:color="000000" w:sz="4" w:space="0"/>
            </w:tcBorders>
            <w:shd w:val="clear" w:color="D9D9D9" w:fill="D9D9D9"/>
            <w:noWrap/>
            <w:vAlign w:val="bottom"/>
          </w:tcPr>
          <w:p>
            <w:pPr>
              <w:keepNext w:val="0"/>
              <w:keepLines w:val="0"/>
              <w:widowControl/>
              <w:suppressLineNumbers w:val="0"/>
              <w:jc w:val="right"/>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 xml:space="preserve">11.69 </w:t>
            </w:r>
          </w:p>
        </w:tc>
        <w:tc>
          <w:tcPr>
            <w:tcW w:w="0" w:type="auto"/>
            <w:tcBorders>
              <w:top w:val="single" w:color="000000" w:sz="4" w:space="0"/>
              <w:left w:val="single" w:color="000000" w:sz="4" w:space="0"/>
              <w:bottom w:val="single" w:color="000000" w:sz="4" w:space="0"/>
              <w:right w:val="single" w:color="000000" w:sz="4" w:space="0"/>
            </w:tcBorders>
            <w:shd w:val="clear" w:color="D9D9D9" w:fill="D9D9D9"/>
            <w:noWrap/>
            <w:vAlign w:val="bottom"/>
          </w:tcPr>
          <w:p>
            <w:pPr>
              <w:keepNext w:val="0"/>
              <w:keepLines w:val="0"/>
              <w:widowControl/>
              <w:suppressLineNumbers w:val="0"/>
              <w:jc w:val="right"/>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 xml:space="preserve">18.66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24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资产总计（亿元）</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right"/>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 xml:space="preserve">10.18 </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right"/>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 xml:space="preserve">17.09 </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right"/>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 xml:space="preserve">37.82 </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right"/>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 xml:space="preserve">89.49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248" w:hRule="atLeast"/>
        </w:trPr>
        <w:tc>
          <w:tcPr>
            <w:tcW w:w="0" w:type="auto"/>
            <w:tcBorders>
              <w:top w:val="single" w:color="000000" w:sz="4" w:space="0"/>
              <w:left w:val="single" w:color="000000" w:sz="4" w:space="0"/>
              <w:bottom w:val="single" w:color="000000" w:sz="4" w:space="0"/>
              <w:right w:val="single" w:color="000000" w:sz="4" w:space="0"/>
            </w:tcBorders>
            <w:shd w:val="clear" w:color="D9D9D9" w:fill="D9D9D9"/>
            <w:noWrap/>
            <w:vAlign w:val="center"/>
          </w:tcPr>
          <w:p>
            <w:pPr>
              <w:keepNext w:val="0"/>
              <w:keepLines w:val="0"/>
              <w:widowControl/>
              <w:suppressLineNumbers w:val="0"/>
              <w:jc w:val="left"/>
              <w:textAlignment w:val="center"/>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负债总计（亿元）</w:t>
            </w:r>
          </w:p>
        </w:tc>
        <w:tc>
          <w:tcPr>
            <w:tcW w:w="0" w:type="auto"/>
            <w:tcBorders>
              <w:top w:val="single" w:color="000000" w:sz="4" w:space="0"/>
              <w:left w:val="single" w:color="000000" w:sz="4" w:space="0"/>
              <w:bottom w:val="single" w:color="000000" w:sz="4" w:space="0"/>
              <w:right w:val="single" w:color="000000" w:sz="4" w:space="0"/>
            </w:tcBorders>
            <w:shd w:val="clear" w:color="D9D9D9" w:fill="D9D9D9"/>
            <w:noWrap/>
            <w:vAlign w:val="bottom"/>
          </w:tcPr>
          <w:p>
            <w:pPr>
              <w:keepNext w:val="0"/>
              <w:keepLines w:val="0"/>
              <w:widowControl/>
              <w:suppressLineNumbers w:val="0"/>
              <w:jc w:val="right"/>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 xml:space="preserve">5.21 </w:t>
            </w:r>
          </w:p>
        </w:tc>
        <w:tc>
          <w:tcPr>
            <w:tcW w:w="0" w:type="auto"/>
            <w:tcBorders>
              <w:top w:val="single" w:color="000000" w:sz="4" w:space="0"/>
              <w:left w:val="single" w:color="000000" w:sz="4" w:space="0"/>
              <w:bottom w:val="single" w:color="000000" w:sz="4" w:space="0"/>
              <w:right w:val="single" w:color="000000" w:sz="4" w:space="0"/>
            </w:tcBorders>
            <w:shd w:val="clear" w:color="D9D9D9" w:fill="D9D9D9"/>
            <w:noWrap/>
            <w:vAlign w:val="bottom"/>
          </w:tcPr>
          <w:p>
            <w:pPr>
              <w:keepNext w:val="0"/>
              <w:keepLines w:val="0"/>
              <w:widowControl/>
              <w:suppressLineNumbers w:val="0"/>
              <w:jc w:val="right"/>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 xml:space="preserve">7.21 </w:t>
            </w:r>
          </w:p>
        </w:tc>
        <w:tc>
          <w:tcPr>
            <w:tcW w:w="0" w:type="auto"/>
            <w:tcBorders>
              <w:top w:val="single" w:color="000000" w:sz="4" w:space="0"/>
              <w:left w:val="single" w:color="000000" w:sz="4" w:space="0"/>
              <w:bottom w:val="single" w:color="000000" w:sz="4" w:space="0"/>
              <w:right w:val="single" w:color="000000" w:sz="4" w:space="0"/>
            </w:tcBorders>
            <w:shd w:val="clear" w:color="D9D9D9" w:fill="D9D9D9"/>
            <w:noWrap/>
            <w:vAlign w:val="bottom"/>
          </w:tcPr>
          <w:p>
            <w:pPr>
              <w:keepNext w:val="0"/>
              <w:keepLines w:val="0"/>
              <w:widowControl/>
              <w:suppressLineNumbers w:val="0"/>
              <w:jc w:val="right"/>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 xml:space="preserve">15.91 </w:t>
            </w:r>
          </w:p>
        </w:tc>
        <w:tc>
          <w:tcPr>
            <w:tcW w:w="0" w:type="auto"/>
            <w:tcBorders>
              <w:top w:val="single" w:color="000000" w:sz="4" w:space="0"/>
              <w:left w:val="single" w:color="000000" w:sz="4" w:space="0"/>
              <w:bottom w:val="single" w:color="000000" w:sz="4" w:space="0"/>
              <w:right w:val="single" w:color="000000" w:sz="4" w:space="0"/>
            </w:tcBorders>
            <w:shd w:val="clear" w:color="D9D9D9" w:fill="D9D9D9"/>
            <w:noWrap/>
            <w:vAlign w:val="bottom"/>
          </w:tcPr>
          <w:p>
            <w:pPr>
              <w:keepNext w:val="0"/>
              <w:keepLines w:val="0"/>
              <w:widowControl/>
              <w:suppressLineNumbers w:val="0"/>
              <w:jc w:val="right"/>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 xml:space="preserve">49.52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24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营业收入（亿元）</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right"/>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 xml:space="preserve">10.54 </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right"/>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 xml:space="preserve">10.54 </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right"/>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 xml:space="preserve">9.42 </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right"/>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 xml:space="preserve">48.33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248" w:hRule="atLeast"/>
        </w:trPr>
        <w:tc>
          <w:tcPr>
            <w:tcW w:w="0" w:type="auto"/>
            <w:tcBorders>
              <w:top w:val="single" w:color="000000" w:sz="4" w:space="0"/>
              <w:left w:val="single" w:color="000000" w:sz="4" w:space="0"/>
              <w:bottom w:val="single" w:color="000000" w:sz="4" w:space="0"/>
              <w:right w:val="single" w:color="000000" w:sz="4" w:space="0"/>
            </w:tcBorders>
            <w:shd w:val="clear" w:color="D9D9D9" w:fill="D9D9D9"/>
            <w:noWrap/>
            <w:vAlign w:val="center"/>
          </w:tcPr>
          <w:p>
            <w:pPr>
              <w:keepNext w:val="0"/>
              <w:keepLines w:val="0"/>
              <w:widowControl/>
              <w:suppressLineNumbers w:val="0"/>
              <w:jc w:val="left"/>
              <w:textAlignment w:val="center"/>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经营现金流净额（亿元）</w:t>
            </w:r>
          </w:p>
        </w:tc>
        <w:tc>
          <w:tcPr>
            <w:tcW w:w="0" w:type="auto"/>
            <w:tcBorders>
              <w:top w:val="single" w:color="000000" w:sz="4" w:space="0"/>
              <w:left w:val="single" w:color="000000" w:sz="4" w:space="0"/>
              <w:bottom w:val="single" w:color="000000" w:sz="4" w:space="0"/>
              <w:right w:val="single" w:color="000000" w:sz="4" w:space="0"/>
            </w:tcBorders>
            <w:shd w:val="clear" w:color="D9D9D9" w:fill="D9D9D9"/>
            <w:noWrap/>
            <w:vAlign w:val="bottom"/>
          </w:tcPr>
          <w:p>
            <w:pPr>
              <w:keepNext w:val="0"/>
              <w:keepLines w:val="0"/>
              <w:widowControl/>
              <w:suppressLineNumbers w:val="0"/>
              <w:jc w:val="right"/>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 xml:space="preserve">1.67 </w:t>
            </w:r>
          </w:p>
        </w:tc>
        <w:tc>
          <w:tcPr>
            <w:tcW w:w="0" w:type="auto"/>
            <w:tcBorders>
              <w:top w:val="single" w:color="000000" w:sz="4" w:space="0"/>
              <w:left w:val="single" w:color="000000" w:sz="4" w:space="0"/>
              <w:bottom w:val="single" w:color="000000" w:sz="4" w:space="0"/>
              <w:right w:val="single" w:color="000000" w:sz="4" w:space="0"/>
            </w:tcBorders>
            <w:shd w:val="clear" w:color="D9D9D9" w:fill="D9D9D9"/>
            <w:noWrap/>
            <w:vAlign w:val="bottom"/>
          </w:tcPr>
          <w:p>
            <w:pPr>
              <w:keepNext w:val="0"/>
              <w:keepLines w:val="0"/>
              <w:widowControl/>
              <w:suppressLineNumbers w:val="0"/>
              <w:jc w:val="right"/>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 xml:space="preserve">2.89 </w:t>
            </w:r>
          </w:p>
        </w:tc>
        <w:tc>
          <w:tcPr>
            <w:tcW w:w="0" w:type="auto"/>
            <w:tcBorders>
              <w:top w:val="single" w:color="000000" w:sz="4" w:space="0"/>
              <w:left w:val="single" w:color="000000" w:sz="4" w:space="0"/>
              <w:bottom w:val="single" w:color="000000" w:sz="4" w:space="0"/>
              <w:right w:val="single" w:color="000000" w:sz="4" w:space="0"/>
            </w:tcBorders>
            <w:shd w:val="clear" w:color="D9D9D9" w:fill="D9D9D9"/>
            <w:noWrap/>
            <w:vAlign w:val="bottom"/>
          </w:tcPr>
          <w:p>
            <w:pPr>
              <w:keepNext w:val="0"/>
              <w:keepLines w:val="0"/>
              <w:widowControl/>
              <w:suppressLineNumbers w:val="0"/>
              <w:jc w:val="right"/>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 xml:space="preserve">0.96 </w:t>
            </w:r>
          </w:p>
        </w:tc>
        <w:tc>
          <w:tcPr>
            <w:tcW w:w="0" w:type="auto"/>
            <w:tcBorders>
              <w:top w:val="single" w:color="000000" w:sz="4" w:space="0"/>
              <w:left w:val="single" w:color="000000" w:sz="4" w:space="0"/>
              <w:bottom w:val="single" w:color="000000" w:sz="4" w:space="0"/>
              <w:right w:val="single" w:color="000000" w:sz="4" w:space="0"/>
            </w:tcBorders>
            <w:shd w:val="clear" w:color="D9D9D9" w:fill="D9D9D9"/>
            <w:noWrap/>
            <w:vAlign w:val="bottom"/>
          </w:tcPr>
          <w:p>
            <w:pPr>
              <w:keepNext w:val="0"/>
              <w:keepLines w:val="0"/>
              <w:widowControl/>
              <w:suppressLineNumbers w:val="0"/>
              <w:jc w:val="right"/>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 xml:space="preserve">-6.44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24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资产负债率（%）</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right"/>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 xml:space="preserve">51.17 </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right"/>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 xml:space="preserve">42.18 </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right"/>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 xml:space="preserve">42.07 </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right"/>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 xml:space="preserve">55.34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248" w:hRule="atLeast"/>
        </w:trPr>
        <w:tc>
          <w:tcPr>
            <w:tcW w:w="0" w:type="auto"/>
            <w:tcBorders>
              <w:top w:val="single" w:color="000000" w:sz="4" w:space="0"/>
              <w:left w:val="single" w:color="000000" w:sz="4" w:space="0"/>
              <w:bottom w:val="single" w:color="000000" w:sz="4" w:space="0"/>
              <w:right w:val="single" w:color="000000" w:sz="4" w:space="0"/>
            </w:tcBorders>
            <w:shd w:val="clear" w:color="D9D9D9" w:fill="D9D9D9"/>
            <w:noWrap/>
            <w:vAlign w:val="center"/>
          </w:tcPr>
          <w:p>
            <w:pPr>
              <w:keepNext w:val="0"/>
              <w:keepLines w:val="0"/>
              <w:widowControl/>
              <w:suppressLineNumbers w:val="0"/>
              <w:jc w:val="left"/>
              <w:textAlignment w:val="center"/>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现金短债比</w:t>
            </w:r>
          </w:p>
        </w:tc>
        <w:tc>
          <w:tcPr>
            <w:tcW w:w="0" w:type="auto"/>
            <w:tcBorders>
              <w:top w:val="single" w:color="000000" w:sz="4" w:space="0"/>
              <w:left w:val="single" w:color="000000" w:sz="4" w:space="0"/>
              <w:bottom w:val="single" w:color="000000" w:sz="4" w:space="0"/>
              <w:right w:val="single" w:color="000000" w:sz="4" w:space="0"/>
            </w:tcBorders>
            <w:shd w:val="clear" w:color="D9D9D9" w:fill="D9D9D9"/>
            <w:noWrap/>
            <w:vAlign w:val="bottom"/>
          </w:tcPr>
          <w:p>
            <w:pPr>
              <w:keepNext w:val="0"/>
              <w:keepLines w:val="0"/>
              <w:widowControl/>
              <w:suppressLineNumbers w:val="0"/>
              <w:jc w:val="right"/>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 xml:space="preserve">0.23 </w:t>
            </w:r>
          </w:p>
        </w:tc>
        <w:tc>
          <w:tcPr>
            <w:tcW w:w="0" w:type="auto"/>
            <w:tcBorders>
              <w:top w:val="single" w:color="000000" w:sz="4" w:space="0"/>
              <w:left w:val="single" w:color="000000" w:sz="4" w:space="0"/>
              <w:bottom w:val="single" w:color="000000" w:sz="4" w:space="0"/>
              <w:right w:val="single" w:color="000000" w:sz="4" w:space="0"/>
            </w:tcBorders>
            <w:shd w:val="clear" w:color="D9D9D9" w:fill="D9D9D9"/>
            <w:noWrap/>
            <w:vAlign w:val="bottom"/>
          </w:tcPr>
          <w:p>
            <w:pPr>
              <w:keepNext w:val="0"/>
              <w:keepLines w:val="0"/>
              <w:widowControl/>
              <w:suppressLineNumbers w:val="0"/>
              <w:jc w:val="right"/>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 xml:space="preserve">0.45 </w:t>
            </w:r>
          </w:p>
        </w:tc>
        <w:tc>
          <w:tcPr>
            <w:tcW w:w="0" w:type="auto"/>
            <w:tcBorders>
              <w:top w:val="single" w:color="000000" w:sz="4" w:space="0"/>
              <w:left w:val="single" w:color="000000" w:sz="4" w:space="0"/>
              <w:bottom w:val="single" w:color="000000" w:sz="4" w:space="0"/>
              <w:right w:val="single" w:color="000000" w:sz="4" w:space="0"/>
            </w:tcBorders>
            <w:shd w:val="clear" w:color="D9D9D9" w:fill="D9D9D9"/>
            <w:noWrap/>
            <w:vAlign w:val="bottom"/>
          </w:tcPr>
          <w:p>
            <w:pPr>
              <w:keepNext w:val="0"/>
              <w:keepLines w:val="0"/>
              <w:widowControl/>
              <w:suppressLineNumbers w:val="0"/>
              <w:jc w:val="right"/>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 xml:space="preserve">0.78 </w:t>
            </w:r>
          </w:p>
        </w:tc>
        <w:tc>
          <w:tcPr>
            <w:tcW w:w="0" w:type="auto"/>
            <w:tcBorders>
              <w:top w:val="single" w:color="000000" w:sz="4" w:space="0"/>
              <w:left w:val="single" w:color="000000" w:sz="4" w:space="0"/>
              <w:bottom w:val="single" w:color="000000" w:sz="4" w:space="0"/>
              <w:right w:val="single" w:color="000000" w:sz="4" w:space="0"/>
            </w:tcBorders>
            <w:shd w:val="clear" w:color="D9D9D9" w:fill="D9D9D9"/>
            <w:noWrap/>
            <w:vAlign w:val="bottom"/>
          </w:tcPr>
          <w:p>
            <w:pPr>
              <w:keepNext w:val="0"/>
              <w:keepLines w:val="0"/>
              <w:widowControl/>
              <w:suppressLineNumbers w:val="0"/>
              <w:jc w:val="right"/>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 xml:space="preserve">0.42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24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存货周转天数</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right"/>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 xml:space="preserve">35.41 </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right"/>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 xml:space="preserve">40.80 </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right"/>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 xml:space="preserve">74.43 </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right"/>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 xml:space="preserve">94.71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248" w:hRule="atLeast"/>
        </w:trPr>
        <w:tc>
          <w:tcPr>
            <w:tcW w:w="0" w:type="auto"/>
            <w:tcBorders>
              <w:top w:val="single" w:color="000000" w:sz="4" w:space="0"/>
              <w:left w:val="single" w:color="000000" w:sz="4" w:space="0"/>
              <w:bottom w:val="single" w:color="000000" w:sz="4" w:space="0"/>
              <w:right w:val="single" w:color="000000" w:sz="4" w:space="0"/>
            </w:tcBorders>
            <w:shd w:val="clear" w:color="D9D9D9" w:fill="D9D9D9"/>
            <w:noWrap/>
            <w:vAlign w:val="center"/>
          </w:tcPr>
          <w:p>
            <w:pPr>
              <w:keepNext w:val="0"/>
              <w:keepLines w:val="0"/>
              <w:widowControl/>
              <w:suppressLineNumbers w:val="0"/>
              <w:jc w:val="left"/>
              <w:textAlignment w:val="center"/>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应收账款周转天数</w:t>
            </w:r>
          </w:p>
        </w:tc>
        <w:tc>
          <w:tcPr>
            <w:tcW w:w="0" w:type="auto"/>
            <w:tcBorders>
              <w:top w:val="single" w:color="000000" w:sz="4" w:space="0"/>
              <w:left w:val="single" w:color="000000" w:sz="4" w:space="0"/>
              <w:bottom w:val="single" w:color="000000" w:sz="4" w:space="0"/>
              <w:right w:val="single" w:color="000000" w:sz="4" w:space="0"/>
            </w:tcBorders>
            <w:shd w:val="clear" w:color="D9D9D9" w:fill="D9D9D9"/>
            <w:noWrap/>
            <w:vAlign w:val="bottom"/>
          </w:tcPr>
          <w:p>
            <w:pPr>
              <w:keepNext w:val="0"/>
              <w:keepLines w:val="0"/>
              <w:widowControl/>
              <w:suppressLineNumbers w:val="0"/>
              <w:jc w:val="right"/>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 xml:space="preserve">141.99 </w:t>
            </w:r>
          </w:p>
        </w:tc>
        <w:tc>
          <w:tcPr>
            <w:tcW w:w="0" w:type="auto"/>
            <w:tcBorders>
              <w:top w:val="single" w:color="000000" w:sz="4" w:space="0"/>
              <w:left w:val="single" w:color="000000" w:sz="4" w:space="0"/>
              <w:bottom w:val="single" w:color="000000" w:sz="4" w:space="0"/>
              <w:right w:val="single" w:color="000000" w:sz="4" w:space="0"/>
            </w:tcBorders>
            <w:shd w:val="clear" w:color="D9D9D9" w:fill="D9D9D9"/>
            <w:noWrap/>
            <w:vAlign w:val="bottom"/>
          </w:tcPr>
          <w:p>
            <w:pPr>
              <w:keepNext w:val="0"/>
              <w:keepLines w:val="0"/>
              <w:widowControl/>
              <w:suppressLineNumbers w:val="0"/>
              <w:jc w:val="right"/>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 xml:space="preserve">107.97 </w:t>
            </w:r>
          </w:p>
        </w:tc>
        <w:tc>
          <w:tcPr>
            <w:tcW w:w="0" w:type="auto"/>
            <w:tcBorders>
              <w:top w:val="single" w:color="000000" w:sz="4" w:space="0"/>
              <w:left w:val="single" w:color="000000" w:sz="4" w:space="0"/>
              <w:bottom w:val="single" w:color="000000" w:sz="4" w:space="0"/>
              <w:right w:val="single" w:color="000000" w:sz="4" w:space="0"/>
            </w:tcBorders>
            <w:shd w:val="clear" w:color="D9D9D9" w:fill="D9D9D9"/>
            <w:noWrap/>
            <w:vAlign w:val="bottom"/>
          </w:tcPr>
          <w:p>
            <w:pPr>
              <w:keepNext w:val="0"/>
              <w:keepLines w:val="0"/>
              <w:widowControl/>
              <w:suppressLineNumbers w:val="0"/>
              <w:jc w:val="right"/>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 xml:space="preserve">93.88 </w:t>
            </w:r>
          </w:p>
        </w:tc>
        <w:tc>
          <w:tcPr>
            <w:tcW w:w="0" w:type="auto"/>
            <w:tcBorders>
              <w:top w:val="single" w:color="000000" w:sz="4" w:space="0"/>
              <w:left w:val="single" w:color="000000" w:sz="4" w:space="0"/>
              <w:bottom w:val="single" w:color="000000" w:sz="4" w:space="0"/>
              <w:right w:val="single" w:color="000000" w:sz="4" w:space="0"/>
            </w:tcBorders>
            <w:shd w:val="clear" w:color="D9D9D9" w:fill="D9D9D9"/>
            <w:noWrap/>
            <w:vAlign w:val="bottom"/>
          </w:tcPr>
          <w:p>
            <w:pPr>
              <w:keepNext w:val="0"/>
              <w:keepLines w:val="0"/>
              <w:widowControl/>
              <w:suppressLineNumbers w:val="0"/>
              <w:jc w:val="right"/>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 xml:space="preserve">58.83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24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销售净利率（%）</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right"/>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 xml:space="preserve">9.31 </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right"/>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 xml:space="preserve">9.61 </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right"/>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 xml:space="preserve">-3.70 </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right"/>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 xml:space="preserve">16.61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248" w:hRule="atLeast"/>
        </w:trPr>
        <w:tc>
          <w:tcPr>
            <w:tcW w:w="0" w:type="auto"/>
            <w:tcBorders>
              <w:top w:val="single" w:color="000000" w:sz="4" w:space="0"/>
              <w:left w:val="single" w:color="000000" w:sz="4" w:space="0"/>
              <w:bottom w:val="single" w:color="000000" w:sz="4" w:space="0"/>
              <w:right w:val="single" w:color="000000" w:sz="4" w:space="0"/>
            </w:tcBorders>
            <w:shd w:val="clear" w:color="D9D9D9" w:fill="D9D9D9"/>
            <w:noWrap/>
            <w:vAlign w:val="center"/>
          </w:tcPr>
          <w:p>
            <w:pPr>
              <w:keepNext w:val="0"/>
              <w:keepLines w:val="0"/>
              <w:widowControl/>
              <w:suppressLineNumbers w:val="0"/>
              <w:jc w:val="left"/>
              <w:textAlignment w:val="center"/>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ROA（加权，%）</w:t>
            </w:r>
          </w:p>
        </w:tc>
        <w:tc>
          <w:tcPr>
            <w:tcW w:w="0" w:type="auto"/>
            <w:tcBorders>
              <w:top w:val="single" w:color="000000" w:sz="4" w:space="0"/>
              <w:left w:val="single" w:color="000000" w:sz="4" w:space="0"/>
              <w:bottom w:val="single" w:color="000000" w:sz="4" w:space="0"/>
              <w:right w:val="single" w:color="000000" w:sz="4" w:space="0"/>
            </w:tcBorders>
            <w:shd w:val="clear" w:color="D9D9D9" w:fill="D9D9D9"/>
            <w:noWrap/>
            <w:vAlign w:val="bottom"/>
          </w:tcPr>
          <w:p>
            <w:pPr>
              <w:keepNext w:val="0"/>
              <w:keepLines w:val="0"/>
              <w:widowControl/>
              <w:suppressLineNumbers w:val="0"/>
              <w:jc w:val="right"/>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 xml:space="preserve">10.25 </w:t>
            </w:r>
          </w:p>
        </w:tc>
        <w:tc>
          <w:tcPr>
            <w:tcW w:w="0" w:type="auto"/>
            <w:tcBorders>
              <w:top w:val="single" w:color="000000" w:sz="4" w:space="0"/>
              <w:left w:val="single" w:color="000000" w:sz="4" w:space="0"/>
              <w:bottom w:val="single" w:color="000000" w:sz="4" w:space="0"/>
              <w:right w:val="single" w:color="000000" w:sz="4" w:space="0"/>
            </w:tcBorders>
            <w:shd w:val="clear" w:color="D9D9D9" w:fill="D9D9D9"/>
            <w:noWrap/>
            <w:vAlign w:val="bottom"/>
          </w:tcPr>
          <w:p>
            <w:pPr>
              <w:keepNext w:val="0"/>
              <w:keepLines w:val="0"/>
              <w:widowControl/>
              <w:suppressLineNumbers w:val="0"/>
              <w:jc w:val="right"/>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 xml:space="preserve">7.42 </w:t>
            </w:r>
          </w:p>
        </w:tc>
        <w:tc>
          <w:tcPr>
            <w:tcW w:w="0" w:type="auto"/>
            <w:tcBorders>
              <w:top w:val="single" w:color="000000" w:sz="4" w:space="0"/>
              <w:left w:val="single" w:color="000000" w:sz="4" w:space="0"/>
              <w:bottom w:val="single" w:color="000000" w:sz="4" w:space="0"/>
              <w:right w:val="single" w:color="000000" w:sz="4" w:space="0"/>
            </w:tcBorders>
            <w:shd w:val="clear" w:color="D9D9D9" w:fill="D9D9D9"/>
            <w:noWrap/>
            <w:vAlign w:val="bottom"/>
          </w:tcPr>
          <w:p>
            <w:pPr>
              <w:keepNext w:val="0"/>
              <w:keepLines w:val="0"/>
              <w:widowControl/>
              <w:suppressLineNumbers w:val="0"/>
              <w:jc w:val="right"/>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 xml:space="preserve">-1.27 </w:t>
            </w:r>
          </w:p>
        </w:tc>
        <w:tc>
          <w:tcPr>
            <w:tcW w:w="0" w:type="auto"/>
            <w:tcBorders>
              <w:top w:val="single" w:color="000000" w:sz="4" w:space="0"/>
              <w:left w:val="single" w:color="000000" w:sz="4" w:space="0"/>
              <w:bottom w:val="single" w:color="000000" w:sz="4" w:space="0"/>
              <w:right w:val="single" w:color="000000" w:sz="4" w:space="0"/>
            </w:tcBorders>
            <w:shd w:val="clear" w:color="D9D9D9" w:fill="D9D9D9"/>
            <w:noWrap/>
            <w:vAlign w:val="bottom"/>
          </w:tcPr>
          <w:p>
            <w:pPr>
              <w:keepNext w:val="0"/>
              <w:keepLines w:val="0"/>
              <w:widowControl/>
              <w:suppressLineNumbers w:val="0"/>
              <w:jc w:val="right"/>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 xml:space="preserve">12.64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24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ROE（加权，%）</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right"/>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 xml:space="preserve">21.89 </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right"/>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 xml:space="preserve">12.55 </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right"/>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 xml:space="preserve">-2.74 </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right"/>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 xml:space="preserve">31.20 </w:t>
            </w:r>
          </w:p>
        </w:tc>
      </w:tr>
    </w:tbl>
    <w:p>
      <w:pPr>
        <w:pageBreakBefore w:val="0"/>
        <w:numPr>
          <w:numId w:val="0"/>
        </w:numPr>
        <w:kinsoku/>
        <w:wordWrap/>
        <w:overflowPunct/>
        <w:topLinePunct w:val="0"/>
        <w:autoSpaceDE/>
        <w:autoSpaceDN/>
        <w:bidi w:val="0"/>
        <w:adjustRightInd/>
        <w:snapToGrid w:val="0"/>
        <w:spacing w:line="360" w:lineRule="auto"/>
        <w:rPr>
          <w:b/>
          <w:bCs/>
          <w:sz w:val="22"/>
          <w:szCs w:val="22"/>
        </w:rPr>
      </w:pPr>
    </w:p>
    <w:tbl>
      <w:tblPr>
        <w:tblW w:w="5900" w:type="dxa"/>
        <w:tblInd w:w="8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2636"/>
        <w:gridCol w:w="1024"/>
        <w:gridCol w:w="1024"/>
        <w:gridCol w:w="1024"/>
        <w:gridCol w:w="1024"/>
      </w:tblGrid>
      <w:tr>
        <w:trPr>
          <w:trHeight w:val="248" w:hRule="atLeast"/>
        </w:trPr>
        <w:tc>
          <w:tcPr>
            <w:tcW w:w="1816" w:type="dxa"/>
            <w:tcBorders>
              <w:top w:val="single" w:color="000000" w:sz="4" w:space="0"/>
              <w:left w:val="single" w:color="000000" w:sz="4" w:space="0"/>
              <w:bottom w:val="single" w:color="000000" w:sz="4" w:space="0"/>
              <w:right w:val="single" w:color="000000" w:sz="4" w:space="0"/>
            </w:tcBorders>
            <w:shd w:val="clear" w:color="4472C4" w:fill="4472C4"/>
            <w:noWrap/>
            <w:vAlign w:val="center"/>
          </w:tcPr>
          <w:p>
            <w:pPr>
              <w:keepNext w:val="0"/>
              <w:keepLines w:val="0"/>
              <w:widowControl/>
              <w:suppressLineNumbers w:val="0"/>
              <w:jc w:val="left"/>
              <w:textAlignment w:val="center"/>
              <w:rPr>
                <w:rFonts w:ascii="等线" w:hAnsi="等线" w:eastAsia="等线" w:cs="等线"/>
                <w:b/>
                <w:bCs/>
                <w:i w:val="0"/>
                <w:iCs w:val="0"/>
                <w:color w:val="FFFFFF"/>
                <w:sz w:val="22"/>
                <w:szCs w:val="22"/>
                <w:u w:val="none"/>
              </w:rPr>
            </w:pPr>
            <w:r>
              <w:rPr>
                <w:rFonts w:hint="default" w:ascii="等线" w:hAnsi="等线" w:eastAsia="等线" w:cs="等线"/>
                <w:b/>
                <w:bCs/>
                <w:i w:val="0"/>
                <w:iCs w:val="0"/>
                <w:color w:val="FFFFFF"/>
                <w:kern w:val="0"/>
                <w:sz w:val="22"/>
                <w:szCs w:val="22"/>
                <w:u w:val="none"/>
                <w:bdr w:val="none" w:color="auto" w:sz="0" w:space="0"/>
                <w:lang w:val="en-US" w:eastAsia="zh-CN" w:bidi="ar"/>
              </w:rPr>
              <w:t>万润新能</w:t>
            </w:r>
          </w:p>
        </w:tc>
        <w:tc>
          <w:tcPr>
            <w:tcW w:w="1024" w:type="dxa"/>
            <w:tcBorders>
              <w:top w:val="single" w:color="000000" w:sz="4" w:space="0"/>
              <w:left w:val="single" w:color="000000" w:sz="4" w:space="0"/>
              <w:bottom w:val="single" w:color="000000" w:sz="4" w:space="0"/>
              <w:right w:val="single" w:color="000000" w:sz="4" w:space="0"/>
            </w:tcBorders>
            <w:shd w:val="clear" w:color="4472C4" w:fill="4472C4"/>
            <w:noWrap/>
            <w:vAlign w:val="center"/>
          </w:tcPr>
          <w:p>
            <w:pPr>
              <w:keepNext w:val="0"/>
              <w:keepLines w:val="0"/>
              <w:widowControl/>
              <w:suppressLineNumbers w:val="0"/>
              <w:jc w:val="right"/>
              <w:textAlignment w:val="center"/>
              <w:rPr>
                <w:rFonts w:hint="default" w:ascii="等线" w:hAnsi="等线" w:eastAsia="等线" w:cs="等线"/>
                <w:b/>
                <w:bCs/>
                <w:i w:val="0"/>
                <w:iCs w:val="0"/>
                <w:color w:val="FFFFFF"/>
                <w:sz w:val="22"/>
                <w:szCs w:val="22"/>
                <w:u w:val="none"/>
              </w:rPr>
            </w:pPr>
            <w:r>
              <w:rPr>
                <w:rFonts w:hint="default" w:ascii="等线" w:hAnsi="等线" w:eastAsia="等线" w:cs="等线"/>
                <w:b/>
                <w:bCs/>
                <w:i w:val="0"/>
                <w:iCs w:val="0"/>
                <w:color w:val="FFFFFF"/>
                <w:kern w:val="0"/>
                <w:sz w:val="22"/>
                <w:szCs w:val="22"/>
                <w:u w:val="none"/>
                <w:bdr w:val="none" w:color="auto" w:sz="0" w:space="0"/>
                <w:lang w:val="en-US" w:eastAsia="zh-CN" w:bidi="ar"/>
              </w:rPr>
              <w:t>2018</w:t>
            </w:r>
          </w:p>
        </w:tc>
        <w:tc>
          <w:tcPr>
            <w:tcW w:w="1024" w:type="dxa"/>
            <w:tcBorders>
              <w:top w:val="single" w:color="000000" w:sz="4" w:space="0"/>
              <w:left w:val="single" w:color="000000" w:sz="4" w:space="0"/>
              <w:bottom w:val="single" w:color="000000" w:sz="4" w:space="0"/>
              <w:right w:val="single" w:color="000000" w:sz="4" w:space="0"/>
            </w:tcBorders>
            <w:shd w:val="clear" w:color="4472C4" w:fill="4472C4"/>
            <w:noWrap/>
            <w:vAlign w:val="center"/>
          </w:tcPr>
          <w:p>
            <w:pPr>
              <w:keepNext w:val="0"/>
              <w:keepLines w:val="0"/>
              <w:widowControl/>
              <w:suppressLineNumbers w:val="0"/>
              <w:jc w:val="right"/>
              <w:textAlignment w:val="center"/>
              <w:rPr>
                <w:rFonts w:hint="default" w:ascii="等线" w:hAnsi="等线" w:eastAsia="等线" w:cs="等线"/>
                <w:b/>
                <w:bCs/>
                <w:i w:val="0"/>
                <w:iCs w:val="0"/>
                <w:color w:val="FFFFFF"/>
                <w:sz w:val="22"/>
                <w:szCs w:val="22"/>
                <w:u w:val="none"/>
              </w:rPr>
            </w:pPr>
            <w:r>
              <w:rPr>
                <w:rFonts w:hint="default" w:ascii="等线" w:hAnsi="等线" w:eastAsia="等线" w:cs="等线"/>
                <w:b/>
                <w:bCs/>
                <w:i w:val="0"/>
                <w:iCs w:val="0"/>
                <w:color w:val="FFFFFF"/>
                <w:kern w:val="0"/>
                <w:sz w:val="22"/>
                <w:szCs w:val="22"/>
                <w:u w:val="none"/>
                <w:bdr w:val="none" w:color="auto" w:sz="0" w:space="0"/>
                <w:lang w:val="en-US" w:eastAsia="zh-CN" w:bidi="ar"/>
              </w:rPr>
              <w:t>2019</w:t>
            </w:r>
          </w:p>
        </w:tc>
        <w:tc>
          <w:tcPr>
            <w:tcW w:w="1024" w:type="dxa"/>
            <w:tcBorders>
              <w:top w:val="single" w:color="000000" w:sz="4" w:space="0"/>
              <w:left w:val="single" w:color="000000" w:sz="4" w:space="0"/>
              <w:bottom w:val="single" w:color="000000" w:sz="4" w:space="0"/>
              <w:right w:val="single" w:color="000000" w:sz="4" w:space="0"/>
            </w:tcBorders>
            <w:shd w:val="clear" w:color="4472C4" w:fill="4472C4"/>
            <w:noWrap/>
            <w:vAlign w:val="center"/>
          </w:tcPr>
          <w:p>
            <w:pPr>
              <w:keepNext w:val="0"/>
              <w:keepLines w:val="0"/>
              <w:widowControl/>
              <w:suppressLineNumbers w:val="0"/>
              <w:jc w:val="right"/>
              <w:textAlignment w:val="center"/>
              <w:rPr>
                <w:rFonts w:hint="default" w:ascii="等线" w:hAnsi="等线" w:eastAsia="等线" w:cs="等线"/>
                <w:b/>
                <w:bCs/>
                <w:i w:val="0"/>
                <w:iCs w:val="0"/>
                <w:color w:val="FFFFFF"/>
                <w:sz w:val="22"/>
                <w:szCs w:val="22"/>
                <w:u w:val="none"/>
              </w:rPr>
            </w:pPr>
            <w:r>
              <w:rPr>
                <w:rFonts w:hint="default" w:ascii="等线" w:hAnsi="等线" w:eastAsia="等线" w:cs="等线"/>
                <w:b/>
                <w:bCs/>
                <w:i w:val="0"/>
                <w:iCs w:val="0"/>
                <w:color w:val="FFFFFF"/>
                <w:kern w:val="0"/>
                <w:sz w:val="22"/>
                <w:szCs w:val="22"/>
                <w:u w:val="none"/>
                <w:bdr w:val="none" w:color="auto" w:sz="0" w:space="0"/>
                <w:lang w:val="en-US" w:eastAsia="zh-CN" w:bidi="ar"/>
              </w:rPr>
              <w:t>2020</w:t>
            </w:r>
          </w:p>
        </w:tc>
        <w:tc>
          <w:tcPr>
            <w:tcW w:w="1024" w:type="dxa"/>
            <w:tcBorders>
              <w:top w:val="single" w:color="000000" w:sz="4" w:space="0"/>
              <w:left w:val="single" w:color="000000" w:sz="4" w:space="0"/>
              <w:bottom w:val="single" w:color="000000" w:sz="4" w:space="0"/>
              <w:right w:val="single" w:color="000000" w:sz="4" w:space="0"/>
            </w:tcBorders>
            <w:shd w:val="clear" w:color="4472C4" w:fill="4472C4"/>
            <w:noWrap/>
            <w:vAlign w:val="center"/>
          </w:tcPr>
          <w:p>
            <w:pPr>
              <w:keepNext w:val="0"/>
              <w:keepLines w:val="0"/>
              <w:widowControl/>
              <w:suppressLineNumbers w:val="0"/>
              <w:jc w:val="right"/>
              <w:textAlignment w:val="center"/>
              <w:rPr>
                <w:rFonts w:hint="default" w:ascii="等线" w:hAnsi="等线" w:eastAsia="等线" w:cs="等线"/>
                <w:b/>
                <w:bCs/>
                <w:i w:val="0"/>
                <w:iCs w:val="0"/>
                <w:color w:val="FFFFFF"/>
                <w:sz w:val="22"/>
                <w:szCs w:val="22"/>
                <w:u w:val="none"/>
              </w:rPr>
            </w:pPr>
            <w:r>
              <w:rPr>
                <w:rFonts w:hint="default" w:ascii="等线" w:hAnsi="等线" w:eastAsia="等线" w:cs="等线"/>
                <w:b/>
                <w:bCs/>
                <w:i w:val="0"/>
                <w:iCs w:val="0"/>
                <w:color w:val="FFFFFF"/>
                <w:kern w:val="0"/>
                <w:sz w:val="22"/>
                <w:szCs w:val="22"/>
                <w:u w:val="none"/>
                <w:bdr w:val="none" w:color="auto" w:sz="0" w:space="0"/>
                <w:lang w:val="en-US" w:eastAsia="zh-CN" w:bidi="ar"/>
              </w:rPr>
              <w:t>2021</w:t>
            </w:r>
          </w:p>
        </w:tc>
      </w:tr>
      <w:tr>
        <w:trPr>
          <w:trHeight w:val="248" w:hRule="atLeast"/>
        </w:trPr>
        <w:tc>
          <w:tcPr>
            <w:tcW w:w="0" w:type="auto"/>
            <w:tcBorders>
              <w:top w:val="single" w:color="000000" w:sz="4" w:space="0"/>
              <w:left w:val="single" w:color="000000" w:sz="4" w:space="0"/>
              <w:bottom w:val="single" w:color="000000" w:sz="4" w:space="0"/>
              <w:right w:val="single" w:color="000000" w:sz="4" w:space="0"/>
            </w:tcBorders>
            <w:shd w:val="clear" w:color="D9D9D9" w:fill="D9D9D9"/>
            <w:noWrap/>
            <w:vAlign w:val="center"/>
          </w:tcPr>
          <w:p>
            <w:pPr>
              <w:keepNext w:val="0"/>
              <w:keepLines w:val="0"/>
              <w:widowControl/>
              <w:suppressLineNumbers w:val="0"/>
              <w:jc w:val="left"/>
              <w:textAlignment w:val="center"/>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货币资金（亿元）</w:t>
            </w:r>
          </w:p>
        </w:tc>
        <w:tc>
          <w:tcPr>
            <w:tcW w:w="0" w:type="auto"/>
            <w:tcBorders>
              <w:top w:val="single" w:color="000000" w:sz="4" w:space="0"/>
              <w:left w:val="single" w:color="000000" w:sz="4" w:space="0"/>
              <w:bottom w:val="single" w:color="000000" w:sz="4" w:space="0"/>
              <w:right w:val="single" w:color="000000" w:sz="4" w:space="0"/>
            </w:tcBorders>
            <w:shd w:val="clear" w:color="D9D9D9" w:fill="D9D9D9"/>
            <w:noWrap/>
            <w:vAlign w:val="bottom"/>
          </w:tcPr>
          <w:p>
            <w:pPr>
              <w:keepNext w:val="0"/>
              <w:keepLines w:val="0"/>
              <w:widowControl/>
              <w:suppressLineNumbers w:val="0"/>
              <w:jc w:val="right"/>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 xml:space="preserve">0.53 </w:t>
            </w:r>
          </w:p>
        </w:tc>
        <w:tc>
          <w:tcPr>
            <w:tcW w:w="0" w:type="auto"/>
            <w:tcBorders>
              <w:top w:val="single" w:color="000000" w:sz="4" w:space="0"/>
              <w:left w:val="single" w:color="000000" w:sz="4" w:space="0"/>
              <w:bottom w:val="single" w:color="000000" w:sz="4" w:space="0"/>
              <w:right w:val="single" w:color="000000" w:sz="4" w:space="0"/>
            </w:tcBorders>
            <w:shd w:val="clear" w:color="D9D9D9" w:fill="D9D9D9"/>
            <w:noWrap/>
            <w:vAlign w:val="bottom"/>
          </w:tcPr>
          <w:p>
            <w:pPr>
              <w:keepNext w:val="0"/>
              <w:keepLines w:val="0"/>
              <w:widowControl/>
              <w:suppressLineNumbers w:val="0"/>
              <w:jc w:val="right"/>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 xml:space="preserve">0.87 </w:t>
            </w:r>
          </w:p>
        </w:tc>
        <w:tc>
          <w:tcPr>
            <w:tcW w:w="0" w:type="auto"/>
            <w:tcBorders>
              <w:top w:val="single" w:color="000000" w:sz="4" w:space="0"/>
              <w:left w:val="single" w:color="000000" w:sz="4" w:space="0"/>
              <w:bottom w:val="single" w:color="000000" w:sz="4" w:space="0"/>
              <w:right w:val="single" w:color="000000" w:sz="4" w:space="0"/>
            </w:tcBorders>
            <w:shd w:val="clear" w:color="D9D9D9" w:fill="D9D9D9"/>
            <w:noWrap/>
            <w:vAlign w:val="bottom"/>
          </w:tcPr>
          <w:p>
            <w:pPr>
              <w:keepNext w:val="0"/>
              <w:keepLines w:val="0"/>
              <w:widowControl/>
              <w:suppressLineNumbers w:val="0"/>
              <w:jc w:val="right"/>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 xml:space="preserve">0.84 </w:t>
            </w:r>
          </w:p>
        </w:tc>
        <w:tc>
          <w:tcPr>
            <w:tcW w:w="0" w:type="auto"/>
            <w:tcBorders>
              <w:top w:val="single" w:color="000000" w:sz="4" w:space="0"/>
              <w:left w:val="single" w:color="000000" w:sz="4" w:space="0"/>
              <w:bottom w:val="single" w:color="000000" w:sz="4" w:space="0"/>
              <w:right w:val="single" w:color="000000" w:sz="4" w:space="0"/>
            </w:tcBorders>
            <w:shd w:val="clear" w:color="D9D9D9" w:fill="D9D9D9"/>
            <w:noWrap/>
            <w:vAlign w:val="bottom"/>
          </w:tcPr>
          <w:p>
            <w:pPr>
              <w:keepNext w:val="0"/>
              <w:keepLines w:val="0"/>
              <w:widowControl/>
              <w:suppressLineNumbers w:val="0"/>
              <w:jc w:val="right"/>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 xml:space="preserve">3.10 </w:t>
            </w:r>
          </w:p>
        </w:tc>
      </w:tr>
      <w:tr>
        <w:trPr>
          <w:trHeight w:val="24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资产总计（亿元）</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right"/>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 xml:space="preserve">20.56 </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right"/>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 xml:space="preserve">19.92 </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right"/>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 xml:space="preserve">23.64 </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right"/>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 xml:space="preserve">46.65 </w:t>
            </w:r>
          </w:p>
        </w:tc>
      </w:tr>
      <w:tr>
        <w:trPr>
          <w:trHeight w:val="248" w:hRule="atLeast"/>
        </w:trPr>
        <w:tc>
          <w:tcPr>
            <w:tcW w:w="0" w:type="auto"/>
            <w:tcBorders>
              <w:top w:val="single" w:color="000000" w:sz="4" w:space="0"/>
              <w:left w:val="single" w:color="000000" w:sz="4" w:space="0"/>
              <w:bottom w:val="single" w:color="000000" w:sz="4" w:space="0"/>
              <w:right w:val="single" w:color="000000" w:sz="4" w:space="0"/>
            </w:tcBorders>
            <w:shd w:val="clear" w:color="D9D9D9" w:fill="D9D9D9"/>
            <w:noWrap/>
            <w:vAlign w:val="center"/>
          </w:tcPr>
          <w:p>
            <w:pPr>
              <w:keepNext w:val="0"/>
              <w:keepLines w:val="0"/>
              <w:widowControl/>
              <w:suppressLineNumbers w:val="0"/>
              <w:jc w:val="left"/>
              <w:textAlignment w:val="center"/>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负债总计（亿元）</w:t>
            </w:r>
          </w:p>
        </w:tc>
        <w:tc>
          <w:tcPr>
            <w:tcW w:w="0" w:type="auto"/>
            <w:tcBorders>
              <w:top w:val="single" w:color="000000" w:sz="4" w:space="0"/>
              <w:left w:val="single" w:color="000000" w:sz="4" w:space="0"/>
              <w:bottom w:val="single" w:color="000000" w:sz="4" w:space="0"/>
              <w:right w:val="single" w:color="000000" w:sz="4" w:space="0"/>
            </w:tcBorders>
            <w:shd w:val="clear" w:color="D9D9D9" w:fill="D9D9D9"/>
            <w:noWrap/>
            <w:vAlign w:val="bottom"/>
          </w:tcPr>
          <w:p>
            <w:pPr>
              <w:keepNext w:val="0"/>
              <w:keepLines w:val="0"/>
              <w:widowControl/>
              <w:suppressLineNumbers w:val="0"/>
              <w:jc w:val="right"/>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 xml:space="preserve">10.68 </w:t>
            </w:r>
          </w:p>
        </w:tc>
        <w:tc>
          <w:tcPr>
            <w:tcW w:w="0" w:type="auto"/>
            <w:tcBorders>
              <w:top w:val="single" w:color="000000" w:sz="4" w:space="0"/>
              <w:left w:val="single" w:color="000000" w:sz="4" w:space="0"/>
              <w:bottom w:val="single" w:color="000000" w:sz="4" w:space="0"/>
              <w:right w:val="single" w:color="000000" w:sz="4" w:space="0"/>
            </w:tcBorders>
            <w:shd w:val="clear" w:color="D9D9D9" w:fill="D9D9D9"/>
            <w:noWrap/>
            <w:vAlign w:val="bottom"/>
          </w:tcPr>
          <w:p>
            <w:pPr>
              <w:keepNext w:val="0"/>
              <w:keepLines w:val="0"/>
              <w:widowControl/>
              <w:suppressLineNumbers w:val="0"/>
              <w:jc w:val="right"/>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 xml:space="preserve">8.75 </w:t>
            </w:r>
          </w:p>
        </w:tc>
        <w:tc>
          <w:tcPr>
            <w:tcW w:w="0" w:type="auto"/>
            <w:tcBorders>
              <w:top w:val="single" w:color="000000" w:sz="4" w:space="0"/>
              <w:left w:val="single" w:color="000000" w:sz="4" w:space="0"/>
              <w:bottom w:val="single" w:color="000000" w:sz="4" w:space="0"/>
              <w:right w:val="single" w:color="000000" w:sz="4" w:space="0"/>
            </w:tcBorders>
            <w:shd w:val="clear" w:color="D9D9D9" w:fill="D9D9D9"/>
            <w:noWrap/>
            <w:vAlign w:val="bottom"/>
          </w:tcPr>
          <w:p>
            <w:pPr>
              <w:keepNext w:val="0"/>
              <w:keepLines w:val="0"/>
              <w:widowControl/>
              <w:suppressLineNumbers w:val="0"/>
              <w:jc w:val="right"/>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 xml:space="preserve">12.83 </w:t>
            </w:r>
          </w:p>
        </w:tc>
        <w:tc>
          <w:tcPr>
            <w:tcW w:w="0" w:type="auto"/>
            <w:tcBorders>
              <w:top w:val="single" w:color="000000" w:sz="4" w:space="0"/>
              <w:left w:val="single" w:color="000000" w:sz="4" w:space="0"/>
              <w:bottom w:val="single" w:color="000000" w:sz="4" w:space="0"/>
              <w:right w:val="single" w:color="000000" w:sz="4" w:space="0"/>
            </w:tcBorders>
            <w:shd w:val="clear" w:color="D9D9D9" w:fill="D9D9D9"/>
            <w:noWrap/>
            <w:vAlign w:val="bottom"/>
          </w:tcPr>
          <w:p>
            <w:pPr>
              <w:keepNext w:val="0"/>
              <w:keepLines w:val="0"/>
              <w:widowControl/>
              <w:suppressLineNumbers w:val="0"/>
              <w:jc w:val="right"/>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 xml:space="preserve">30.93 </w:t>
            </w:r>
          </w:p>
        </w:tc>
      </w:tr>
      <w:tr>
        <w:trPr>
          <w:trHeight w:val="24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营业收入（亿元）</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right"/>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 xml:space="preserve">9.39 </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right"/>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 xml:space="preserve">7.66 </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right"/>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 xml:space="preserve">6.88 </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right"/>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 xml:space="preserve">22.29 </w:t>
            </w:r>
          </w:p>
        </w:tc>
      </w:tr>
      <w:tr>
        <w:trPr>
          <w:trHeight w:val="248" w:hRule="atLeast"/>
        </w:trPr>
        <w:tc>
          <w:tcPr>
            <w:tcW w:w="0" w:type="auto"/>
            <w:tcBorders>
              <w:top w:val="single" w:color="000000" w:sz="4" w:space="0"/>
              <w:left w:val="single" w:color="000000" w:sz="4" w:space="0"/>
              <w:bottom w:val="single" w:color="000000" w:sz="4" w:space="0"/>
              <w:right w:val="single" w:color="000000" w:sz="4" w:space="0"/>
            </w:tcBorders>
            <w:shd w:val="clear" w:color="D9D9D9" w:fill="D9D9D9"/>
            <w:noWrap/>
            <w:vAlign w:val="center"/>
          </w:tcPr>
          <w:p>
            <w:pPr>
              <w:keepNext w:val="0"/>
              <w:keepLines w:val="0"/>
              <w:widowControl/>
              <w:suppressLineNumbers w:val="0"/>
              <w:jc w:val="left"/>
              <w:textAlignment w:val="center"/>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经营现金流净额（亿元）</w:t>
            </w:r>
          </w:p>
        </w:tc>
        <w:tc>
          <w:tcPr>
            <w:tcW w:w="0" w:type="auto"/>
            <w:tcBorders>
              <w:top w:val="single" w:color="000000" w:sz="4" w:space="0"/>
              <w:left w:val="single" w:color="000000" w:sz="4" w:space="0"/>
              <w:bottom w:val="single" w:color="000000" w:sz="4" w:space="0"/>
              <w:right w:val="single" w:color="000000" w:sz="4" w:space="0"/>
            </w:tcBorders>
            <w:shd w:val="clear" w:color="D9D9D9" w:fill="D9D9D9"/>
            <w:noWrap/>
            <w:vAlign w:val="bottom"/>
          </w:tcPr>
          <w:p>
            <w:pPr>
              <w:keepNext w:val="0"/>
              <w:keepLines w:val="0"/>
              <w:widowControl/>
              <w:suppressLineNumbers w:val="0"/>
              <w:jc w:val="right"/>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 xml:space="preserve">0.26 </w:t>
            </w:r>
          </w:p>
        </w:tc>
        <w:tc>
          <w:tcPr>
            <w:tcW w:w="0" w:type="auto"/>
            <w:tcBorders>
              <w:top w:val="single" w:color="000000" w:sz="4" w:space="0"/>
              <w:left w:val="single" w:color="000000" w:sz="4" w:space="0"/>
              <w:bottom w:val="single" w:color="000000" w:sz="4" w:space="0"/>
              <w:right w:val="single" w:color="000000" w:sz="4" w:space="0"/>
            </w:tcBorders>
            <w:shd w:val="clear" w:color="D9D9D9" w:fill="D9D9D9"/>
            <w:noWrap/>
            <w:vAlign w:val="bottom"/>
          </w:tcPr>
          <w:p>
            <w:pPr>
              <w:keepNext w:val="0"/>
              <w:keepLines w:val="0"/>
              <w:widowControl/>
              <w:suppressLineNumbers w:val="0"/>
              <w:jc w:val="right"/>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 xml:space="preserve">1.76 </w:t>
            </w:r>
          </w:p>
        </w:tc>
        <w:tc>
          <w:tcPr>
            <w:tcW w:w="0" w:type="auto"/>
            <w:tcBorders>
              <w:top w:val="single" w:color="000000" w:sz="4" w:space="0"/>
              <w:left w:val="single" w:color="000000" w:sz="4" w:space="0"/>
              <w:bottom w:val="single" w:color="000000" w:sz="4" w:space="0"/>
              <w:right w:val="single" w:color="000000" w:sz="4" w:space="0"/>
            </w:tcBorders>
            <w:shd w:val="clear" w:color="D9D9D9" w:fill="D9D9D9"/>
            <w:noWrap/>
            <w:vAlign w:val="bottom"/>
          </w:tcPr>
          <w:p>
            <w:pPr>
              <w:keepNext w:val="0"/>
              <w:keepLines w:val="0"/>
              <w:widowControl/>
              <w:suppressLineNumbers w:val="0"/>
              <w:jc w:val="right"/>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 xml:space="preserve">-0.93 </w:t>
            </w:r>
          </w:p>
        </w:tc>
        <w:tc>
          <w:tcPr>
            <w:tcW w:w="0" w:type="auto"/>
            <w:tcBorders>
              <w:top w:val="single" w:color="000000" w:sz="4" w:space="0"/>
              <w:left w:val="single" w:color="000000" w:sz="4" w:space="0"/>
              <w:bottom w:val="single" w:color="000000" w:sz="4" w:space="0"/>
              <w:right w:val="single" w:color="000000" w:sz="4" w:space="0"/>
            </w:tcBorders>
            <w:shd w:val="clear" w:color="D9D9D9" w:fill="D9D9D9"/>
            <w:noWrap/>
            <w:vAlign w:val="bottom"/>
          </w:tcPr>
          <w:p>
            <w:pPr>
              <w:keepNext w:val="0"/>
              <w:keepLines w:val="0"/>
              <w:widowControl/>
              <w:suppressLineNumbers w:val="0"/>
              <w:jc w:val="right"/>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 xml:space="preserve">-3.66 </w:t>
            </w:r>
          </w:p>
        </w:tc>
      </w:tr>
      <w:tr>
        <w:trPr>
          <w:trHeight w:val="24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资产负债率（%）</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right"/>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 xml:space="preserve">51.94 </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right"/>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 xml:space="preserve">43.90 </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right"/>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 xml:space="preserve">54.28 </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right"/>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 xml:space="preserve">66.30 </w:t>
            </w:r>
          </w:p>
        </w:tc>
      </w:tr>
      <w:tr>
        <w:trPr>
          <w:trHeight w:val="248" w:hRule="atLeast"/>
        </w:trPr>
        <w:tc>
          <w:tcPr>
            <w:tcW w:w="0" w:type="auto"/>
            <w:tcBorders>
              <w:top w:val="single" w:color="000000" w:sz="4" w:space="0"/>
              <w:left w:val="single" w:color="000000" w:sz="4" w:space="0"/>
              <w:bottom w:val="single" w:color="000000" w:sz="4" w:space="0"/>
              <w:right w:val="single" w:color="000000" w:sz="4" w:space="0"/>
            </w:tcBorders>
            <w:shd w:val="clear" w:color="D9D9D9" w:fill="D9D9D9"/>
            <w:noWrap/>
            <w:vAlign w:val="center"/>
          </w:tcPr>
          <w:p>
            <w:pPr>
              <w:keepNext w:val="0"/>
              <w:keepLines w:val="0"/>
              <w:widowControl/>
              <w:suppressLineNumbers w:val="0"/>
              <w:jc w:val="left"/>
              <w:textAlignment w:val="center"/>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现金短债比</w:t>
            </w:r>
          </w:p>
        </w:tc>
        <w:tc>
          <w:tcPr>
            <w:tcW w:w="0" w:type="auto"/>
            <w:tcBorders>
              <w:top w:val="single" w:color="000000" w:sz="4" w:space="0"/>
              <w:left w:val="single" w:color="000000" w:sz="4" w:space="0"/>
              <w:bottom w:val="single" w:color="000000" w:sz="4" w:space="0"/>
              <w:right w:val="single" w:color="000000" w:sz="4" w:space="0"/>
            </w:tcBorders>
            <w:shd w:val="clear" w:color="D9D9D9" w:fill="D9D9D9"/>
            <w:noWrap/>
            <w:vAlign w:val="bottom"/>
          </w:tcPr>
          <w:p>
            <w:pPr>
              <w:keepNext w:val="0"/>
              <w:keepLines w:val="0"/>
              <w:widowControl/>
              <w:suppressLineNumbers w:val="0"/>
              <w:jc w:val="right"/>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 xml:space="preserve">0.07 </w:t>
            </w:r>
          </w:p>
        </w:tc>
        <w:tc>
          <w:tcPr>
            <w:tcW w:w="0" w:type="auto"/>
            <w:tcBorders>
              <w:top w:val="single" w:color="000000" w:sz="4" w:space="0"/>
              <w:left w:val="single" w:color="000000" w:sz="4" w:space="0"/>
              <w:bottom w:val="single" w:color="000000" w:sz="4" w:space="0"/>
              <w:right w:val="single" w:color="000000" w:sz="4" w:space="0"/>
            </w:tcBorders>
            <w:shd w:val="clear" w:color="D9D9D9" w:fill="D9D9D9"/>
            <w:noWrap/>
            <w:vAlign w:val="bottom"/>
          </w:tcPr>
          <w:p>
            <w:pPr>
              <w:keepNext w:val="0"/>
              <w:keepLines w:val="0"/>
              <w:widowControl/>
              <w:suppressLineNumbers w:val="0"/>
              <w:jc w:val="right"/>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 xml:space="preserve">0.12 </w:t>
            </w:r>
          </w:p>
        </w:tc>
        <w:tc>
          <w:tcPr>
            <w:tcW w:w="0" w:type="auto"/>
            <w:tcBorders>
              <w:top w:val="single" w:color="000000" w:sz="4" w:space="0"/>
              <w:left w:val="single" w:color="000000" w:sz="4" w:space="0"/>
              <w:bottom w:val="single" w:color="000000" w:sz="4" w:space="0"/>
              <w:right w:val="single" w:color="000000" w:sz="4" w:space="0"/>
            </w:tcBorders>
            <w:shd w:val="clear" w:color="D9D9D9" w:fill="D9D9D9"/>
            <w:noWrap/>
            <w:vAlign w:val="bottom"/>
          </w:tcPr>
          <w:p>
            <w:pPr>
              <w:keepNext w:val="0"/>
              <w:keepLines w:val="0"/>
              <w:widowControl/>
              <w:suppressLineNumbers w:val="0"/>
              <w:jc w:val="right"/>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 xml:space="preserve">0.07 </w:t>
            </w:r>
          </w:p>
        </w:tc>
        <w:tc>
          <w:tcPr>
            <w:tcW w:w="0" w:type="auto"/>
            <w:tcBorders>
              <w:top w:val="single" w:color="000000" w:sz="4" w:space="0"/>
              <w:left w:val="single" w:color="000000" w:sz="4" w:space="0"/>
              <w:bottom w:val="single" w:color="000000" w:sz="4" w:space="0"/>
              <w:right w:val="single" w:color="000000" w:sz="4" w:space="0"/>
            </w:tcBorders>
            <w:shd w:val="clear" w:color="D9D9D9" w:fill="D9D9D9"/>
            <w:noWrap/>
            <w:vAlign w:val="bottom"/>
          </w:tcPr>
          <w:p>
            <w:pPr>
              <w:keepNext w:val="0"/>
              <w:keepLines w:val="0"/>
              <w:widowControl/>
              <w:suppressLineNumbers w:val="0"/>
              <w:jc w:val="right"/>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 xml:space="preserve">0.11 </w:t>
            </w:r>
          </w:p>
        </w:tc>
      </w:tr>
      <w:tr>
        <w:trPr>
          <w:trHeight w:val="24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存货周转天数</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right"/>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 xml:space="preserve">99.97 </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right"/>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 xml:space="preserve">114.79 </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right"/>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 xml:space="preserve">92.19 </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right"/>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 xml:space="preserve">48.29 </w:t>
            </w:r>
          </w:p>
        </w:tc>
      </w:tr>
      <w:tr>
        <w:trPr>
          <w:trHeight w:val="248" w:hRule="atLeast"/>
        </w:trPr>
        <w:tc>
          <w:tcPr>
            <w:tcW w:w="0" w:type="auto"/>
            <w:tcBorders>
              <w:top w:val="single" w:color="000000" w:sz="4" w:space="0"/>
              <w:left w:val="single" w:color="000000" w:sz="4" w:space="0"/>
              <w:bottom w:val="single" w:color="000000" w:sz="4" w:space="0"/>
              <w:right w:val="single" w:color="000000" w:sz="4" w:space="0"/>
            </w:tcBorders>
            <w:shd w:val="clear" w:color="D9D9D9" w:fill="D9D9D9"/>
            <w:noWrap/>
            <w:vAlign w:val="center"/>
          </w:tcPr>
          <w:p>
            <w:pPr>
              <w:keepNext w:val="0"/>
              <w:keepLines w:val="0"/>
              <w:widowControl/>
              <w:suppressLineNumbers w:val="0"/>
              <w:jc w:val="left"/>
              <w:textAlignment w:val="center"/>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应收账款周转天数</w:t>
            </w:r>
          </w:p>
        </w:tc>
        <w:tc>
          <w:tcPr>
            <w:tcW w:w="0" w:type="auto"/>
            <w:tcBorders>
              <w:top w:val="single" w:color="000000" w:sz="4" w:space="0"/>
              <w:left w:val="single" w:color="000000" w:sz="4" w:space="0"/>
              <w:bottom w:val="single" w:color="000000" w:sz="4" w:space="0"/>
              <w:right w:val="single" w:color="000000" w:sz="4" w:space="0"/>
            </w:tcBorders>
            <w:shd w:val="clear" w:color="D9D9D9" w:fill="D9D9D9"/>
            <w:noWrap/>
            <w:vAlign w:val="bottom"/>
          </w:tcPr>
          <w:p>
            <w:pPr>
              <w:keepNext w:val="0"/>
              <w:keepLines w:val="0"/>
              <w:widowControl/>
              <w:suppressLineNumbers w:val="0"/>
              <w:jc w:val="right"/>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 xml:space="preserve">176.62 </w:t>
            </w:r>
          </w:p>
        </w:tc>
        <w:tc>
          <w:tcPr>
            <w:tcW w:w="0" w:type="auto"/>
            <w:tcBorders>
              <w:top w:val="single" w:color="000000" w:sz="4" w:space="0"/>
              <w:left w:val="single" w:color="000000" w:sz="4" w:space="0"/>
              <w:bottom w:val="single" w:color="000000" w:sz="4" w:space="0"/>
              <w:right w:val="single" w:color="000000" w:sz="4" w:space="0"/>
            </w:tcBorders>
            <w:shd w:val="clear" w:color="D9D9D9" w:fill="D9D9D9"/>
            <w:noWrap/>
            <w:vAlign w:val="bottom"/>
          </w:tcPr>
          <w:p>
            <w:pPr>
              <w:keepNext w:val="0"/>
              <w:keepLines w:val="0"/>
              <w:widowControl/>
              <w:suppressLineNumbers w:val="0"/>
              <w:jc w:val="right"/>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 xml:space="preserve">157.74 </w:t>
            </w:r>
          </w:p>
        </w:tc>
        <w:tc>
          <w:tcPr>
            <w:tcW w:w="0" w:type="auto"/>
            <w:tcBorders>
              <w:top w:val="single" w:color="000000" w:sz="4" w:space="0"/>
              <w:left w:val="single" w:color="000000" w:sz="4" w:space="0"/>
              <w:bottom w:val="single" w:color="000000" w:sz="4" w:space="0"/>
              <w:right w:val="single" w:color="000000" w:sz="4" w:space="0"/>
            </w:tcBorders>
            <w:shd w:val="clear" w:color="D9D9D9" w:fill="D9D9D9"/>
            <w:noWrap/>
            <w:vAlign w:val="bottom"/>
          </w:tcPr>
          <w:p>
            <w:pPr>
              <w:keepNext w:val="0"/>
              <w:keepLines w:val="0"/>
              <w:widowControl/>
              <w:suppressLineNumbers w:val="0"/>
              <w:jc w:val="right"/>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 xml:space="preserve">204.16 </w:t>
            </w:r>
          </w:p>
        </w:tc>
        <w:tc>
          <w:tcPr>
            <w:tcW w:w="0" w:type="auto"/>
            <w:tcBorders>
              <w:top w:val="single" w:color="000000" w:sz="4" w:space="0"/>
              <w:left w:val="single" w:color="000000" w:sz="4" w:space="0"/>
              <w:bottom w:val="single" w:color="000000" w:sz="4" w:space="0"/>
              <w:right w:val="single" w:color="000000" w:sz="4" w:space="0"/>
            </w:tcBorders>
            <w:shd w:val="clear" w:color="D9D9D9" w:fill="D9D9D9"/>
            <w:noWrap/>
            <w:vAlign w:val="bottom"/>
          </w:tcPr>
          <w:p>
            <w:pPr>
              <w:keepNext w:val="0"/>
              <w:keepLines w:val="0"/>
              <w:widowControl/>
              <w:suppressLineNumbers w:val="0"/>
              <w:jc w:val="right"/>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 xml:space="preserve">140.18 </w:t>
            </w:r>
          </w:p>
        </w:tc>
      </w:tr>
      <w:tr>
        <w:trPr>
          <w:trHeight w:val="24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销售净利率（%）</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right"/>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 xml:space="preserve">0.29 </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right"/>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 xml:space="preserve">-9.54 </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right"/>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 xml:space="preserve">-6.25 </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right"/>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 xml:space="preserve">15.84 </w:t>
            </w:r>
          </w:p>
        </w:tc>
      </w:tr>
      <w:tr>
        <w:trPr>
          <w:trHeight w:val="248" w:hRule="atLeast"/>
        </w:trPr>
        <w:tc>
          <w:tcPr>
            <w:tcW w:w="0" w:type="auto"/>
            <w:tcBorders>
              <w:top w:val="single" w:color="000000" w:sz="4" w:space="0"/>
              <w:left w:val="single" w:color="000000" w:sz="4" w:space="0"/>
              <w:bottom w:val="single" w:color="000000" w:sz="4" w:space="0"/>
              <w:right w:val="single" w:color="000000" w:sz="4" w:space="0"/>
            </w:tcBorders>
            <w:shd w:val="clear" w:color="D9D9D9" w:fill="D9D9D9"/>
            <w:noWrap/>
            <w:vAlign w:val="center"/>
          </w:tcPr>
          <w:p>
            <w:pPr>
              <w:keepNext w:val="0"/>
              <w:keepLines w:val="0"/>
              <w:widowControl/>
              <w:suppressLineNumbers w:val="0"/>
              <w:jc w:val="left"/>
              <w:textAlignment w:val="center"/>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ROA（加权，%）</w:t>
            </w:r>
          </w:p>
        </w:tc>
        <w:tc>
          <w:tcPr>
            <w:tcW w:w="0" w:type="auto"/>
            <w:tcBorders>
              <w:top w:val="single" w:color="000000" w:sz="4" w:space="0"/>
              <w:left w:val="single" w:color="000000" w:sz="4" w:space="0"/>
              <w:bottom w:val="single" w:color="000000" w:sz="4" w:space="0"/>
              <w:right w:val="single" w:color="000000" w:sz="4" w:space="0"/>
            </w:tcBorders>
            <w:shd w:val="clear" w:color="D9D9D9" w:fill="D9D9D9"/>
            <w:noWrap/>
            <w:vAlign w:val="bottom"/>
          </w:tcPr>
          <w:p>
            <w:pPr>
              <w:keepNext w:val="0"/>
              <w:keepLines w:val="0"/>
              <w:widowControl/>
              <w:suppressLineNumbers w:val="0"/>
              <w:jc w:val="right"/>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 xml:space="preserve">0.27 </w:t>
            </w:r>
          </w:p>
        </w:tc>
        <w:tc>
          <w:tcPr>
            <w:tcW w:w="0" w:type="auto"/>
            <w:tcBorders>
              <w:top w:val="single" w:color="000000" w:sz="4" w:space="0"/>
              <w:left w:val="single" w:color="000000" w:sz="4" w:space="0"/>
              <w:bottom w:val="single" w:color="000000" w:sz="4" w:space="0"/>
              <w:right w:val="single" w:color="000000" w:sz="4" w:space="0"/>
            </w:tcBorders>
            <w:shd w:val="clear" w:color="D9D9D9" w:fill="D9D9D9"/>
            <w:noWrap/>
            <w:vAlign w:val="bottom"/>
          </w:tcPr>
          <w:p>
            <w:pPr>
              <w:keepNext w:val="0"/>
              <w:keepLines w:val="0"/>
              <w:widowControl/>
              <w:suppressLineNumbers w:val="0"/>
              <w:jc w:val="right"/>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 xml:space="preserve">-3.61 </w:t>
            </w:r>
          </w:p>
        </w:tc>
        <w:tc>
          <w:tcPr>
            <w:tcW w:w="0" w:type="auto"/>
            <w:tcBorders>
              <w:top w:val="single" w:color="000000" w:sz="4" w:space="0"/>
              <w:left w:val="single" w:color="000000" w:sz="4" w:space="0"/>
              <w:bottom w:val="single" w:color="000000" w:sz="4" w:space="0"/>
              <w:right w:val="single" w:color="000000" w:sz="4" w:space="0"/>
            </w:tcBorders>
            <w:shd w:val="clear" w:color="D9D9D9" w:fill="D9D9D9"/>
            <w:noWrap/>
            <w:vAlign w:val="bottom"/>
          </w:tcPr>
          <w:p>
            <w:pPr>
              <w:keepNext w:val="0"/>
              <w:keepLines w:val="0"/>
              <w:widowControl/>
              <w:suppressLineNumbers w:val="0"/>
              <w:jc w:val="right"/>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 xml:space="preserve">-1.98 </w:t>
            </w:r>
          </w:p>
        </w:tc>
        <w:tc>
          <w:tcPr>
            <w:tcW w:w="0" w:type="auto"/>
            <w:tcBorders>
              <w:top w:val="single" w:color="000000" w:sz="4" w:space="0"/>
              <w:left w:val="single" w:color="000000" w:sz="4" w:space="0"/>
              <w:bottom w:val="single" w:color="000000" w:sz="4" w:space="0"/>
              <w:right w:val="single" w:color="000000" w:sz="4" w:space="0"/>
            </w:tcBorders>
            <w:shd w:val="clear" w:color="D9D9D9" w:fill="D9D9D9"/>
            <w:noWrap/>
            <w:vAlign w:val="bottom"/>
          </w:tcPr>
          <w:p>
            <w:pPr>
              <w:keepNext w:val="0"/>
              <w:keepLines w:val="0"/>
              <w:widowControl/>
              <w:suppressLineNumbers w:val="0"/>
              <w:jc w:val="right"/>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 xml:space="preserve">10.05 </w:t>
            </w:r>
          </w:p>
        </w:tc>
      </w:tr>
      <w:tr>
        <w:trPr>
          <w:trHeight w:val="24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ROE（加权，%）</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right"/>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 xml:space="preserve">0.28 </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right"/>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 xml:space="preserve">-7.39 </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right"/>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 xml:space="preserve">-4.38 </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right"/>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 xml:space="preserve">29.12 </w:t>
            </w:r>
          </w:p>
        </w:tc>
      </w:tr>
    </w:tbl>
    <w:p>
      <w:pPr>
        <w:pageBreakBefore w:val="0"/>
        <w:numPr>
          <w:numId w:val="0"/>
        </w:numPr>
        <w:kinsoku/>
        <w:wordWrap/>
        <w:overflowPunct/>
        <w:topLinePunct w:val="0"/>
        <w:autoSpaceDE/>
        <w:autoSpaceDN/>
        <w:bidi w:val="0"/>
        <w:adjustRightInd/>
        <w:snapToGrid w:val="0"/>
        <w:spacing w:line="360" w:lineRule="auto"/>
        <w:rPr>
          <w:b/>
          <w:bCs/>
          <w:sz w:val="22"/>
          <w:szCs w:val="22"/>
        </w:rPr>
      </w:pPr>
    </w:p>
    <w:tbl>
      <w:tblPr>
        <w:tblW w:w="5900" w:type="dxa"/>
        <w:tblInd w:w="8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2636"/>
        <w:gridCol w:w="1024"/>
        <w:gridCol w:w="1024"/>
        <w:gridCol w:w="1024"/>
        <w:gridCol w:w="1024"/>
      </w:tblGrid>
      <w:tr>
        <w:trPr>
          <w:trHeight w:val="248" w:hRule="atLeast"/>
        </w:trPr>
        <w:tc>
          <w:tcPr>
            <w:tcW w:w="1816" w:type="dxa"/>
            <w:tcBorders>
              <w:top w:val="single" w:color="000000" w:sz="4" w:space="0"/>
              <w:left w:val="single" w:color="000000" w:sz="4" w:space="0"/>
              <w:bottom w:val="single" w:color="000000" w:sz="4" w:space="0"/>
              <w:right w:val="single" w:color="000000" w:sz="4" w:space="0"/>
            </w:tcBorders>
            <w:shd w:val="clear" w:color="4472C4" w:fill="4472C4"/>
            <w:noWrap/>
            <w:vAlign w:val="center"/>
          </w:tcPr>
          <w:p>
            <w:pPr>
              <w:keepNext w:val="0"/>
              <w:keepLines w:val="0"/>
              <w:widowControl/>
              <w:suppressLineNumbers w:val="0"/>
              <w:jc w:val="left"/>
              <w:textAlignment w:val="center"/>
              <w:rPr>
                <w:rFonts w:ascii="等线" w:hAnsi="等线" w:eastAsia="等线" w:cs="等线"/>
                <w:b/>
                <w:bCs/>
                <w:i w:val="0"/>
                <w:iCs w:val="0"/>
                <w:color w:val="FFFFFF"/>
                <w:sz w:val="22"/>
                <w:szCs w:val="22"/>
                <w:u w:val="none"/>
              </w:rPr>
            </w:pPr>
            <w:r>
              <w:rPr>
                <w:rFonts w:hint="default" w:ascii="等线" w:hAnsi="等线" w:eastAsia="等线" w:cs="等线"/>
                <w:b/>
                <w:bCs/>
                <w:i w:val="0"/>
                <w:iCs w:val="0"/>
                <w:color w:val="FFFFFF"/>
                <w:kern w:val="0"/>
                <w:sz w:val="22"/>
                <w:szCs w:val="22"/>
                <w:u w:val="none"/>
                <w:bdr w:val="none" w:color="auto" w:sz="0" w:space="0"/>
                <w:lang w:val="en-US" w:eastAsia="zh-CN" w:bidi="ar"/>
              </w:rPr>
              <w:t>龙蟠科技</w:t>
            </w:r>
          </w:p>
        </w:tc>
        <w:tc>
          <w:tcPr>
            <w:tcW w:w="1024" w:type="dxa"/>
            <w:tcBorders>
              <w:top w:val="single" w:color="000000" w:sz="4" w:space="0"/>
              <w:left w:val="single" w:color="000000" w:sz="4" w:space="0"/>
              <w:bottom w:val="single" w:color="000000" w:sz="4" w:space="0"/>
              <w:right w:val="single" w:color="000000" w:sz="4" w:space="0"/>
            </w:tcBorders>
            <w:shd w:val="clear" w:color="4472C4" w:fill="4472C4"/>
            <w:noWrap/>
            <w:vAlign w:val="center"/>
          </w:tcPr>
          <w:p>
            <w:pPr>
              <w:keepNext w:val="0"/>
              <w:keepLines w:val="0"/>
              <w:widowControl/>
              <w:suppressLineNumbers w:val="0"/>
              <w:jc w:val="right"/>
              <w:textAlignment w:val="center"/>
              <w:rPr>
                <w:rFonts w:hint="default" w:ascii="等线" w:hAnsi="等线" w:eastAsia="等线" w:cs="等线"/>
                <w:b/>
                <w:bCs/>
                <w:i w:val="0"/>
                <w:iCs w:val="0"/>
                <w:color w:val="FFFFFF"/>
                <w:sz w:val="22"/>
                <w:szCs w:val="22"/>
                <w:u w:val="none"/>
              </w:rPr>
            </w:pPr>
            <w:r>
              <w:rPr>
                <w:rFonts w:hint="default" w:ascii="等线" w:hAnsi="等线" w:eastAsia="等线" w:cs="等线"/>
                <w:b/>
                <w:bCs/>
                <w:i w:val="0"/>
                <w:iCs w:val="0"/>
                <w:color w:val="FFFFFF"/>
                <w:kern w:val="0"/>
                <w:sz w:val="22"/>
                <w:szCs w:val="22"/>
                <w:u w:val="none"/>
                <w:bdr w:val="none" w:color="auto" w:sz="0" w:space="0"/>
                <w:lang w:val="en-US" w:eastAsia="zh-CN" w:bidi="ar"/>
              </w:rPr>
              <w:t>2018</w:t>
            </w:r>
          </w:p>
        </w:tc>
        <w:tc>
          <w:tcPr>
            <w:tcW w:w="1024" w:type="dxa"/>
            <w:tcBorders>
              <w:top w:val="single" w:color="000000" w:sz="4" w:space="0"/>
              <w:left w:val="single" w:color="000000" w:sz="4" w:space="0"/>
              <w:bottom w:val="single" w:color="000000" w:sz="4" w:space="0"/>
              <w:right w:val="single" w:color="000000" w:sz="4" w:space="0"/>
            </w:tcBorders>
            <w:shd w:val="clear" w:color="4472C4" w:fill="4472C4"/>
            <w:noWrap/>
            <w:vAlign w:val="center"/>
          </w:tcPr>
          <w:p>
            <w:pPr>
              <w:keepNext w:val="0"/>
              <w:keepLines w:val="0"/>
              <w:widowControl/>
              <w:suppressLineNumbers w:val="0"/>
              <w:jc w:val="right"/>
              <w:textAlignment w:val="center"/>
              <w:rPr>
                <w:rFonts w:hint="default" w:ascii="等线" w:hAnsi="等线" w:eastAsia="等线" w:cs="等线"/>
                <w:b/>
                <w:bCs/>
                <w:i w:val="0"/>
                <w:iCs w:val="0"/>
                <w:color w:val="FFFFFF"/>
                <w:sz w:val="22"/>
                <w:szCs w:val="22"/>
                <w:u w:val="none"/>
              </w:rPr>
            </w:pPr>
            <w:r>
              <w:rPr>
                <w:rFonts w:hint="default" w:ascii="等线" w:hAnsi="等线" w:eastAsia="等线" w:cs="等线"/>
                <w:b/>
                <w:bCs/>
                <w:i w:val="0"/>
                <w:iCs w:val="0"/>
                <w:color w:val="FFFFFF"/>
                <w:kern w:val="0"/>
                <w:sz w:val="22"/>
                <w:szCs w:val="22"/>
                <w:u w:val="none"/>
                <w:bdr w:val="none" w:color="auto" w:sz="0" w:space="0"/>
                <w:lang w:val="en-US" w:eastAsia="zh-CN" w:bidi="ar"/>
              </w:rPr>
              <w:t>2019</w:t>
            </w:r>
          </w:p>
        </w:tc>
        <w:tc>
          <w:tcPr>
            <w:tcW w:w="1024" w:type="dxa"/>
            <w:tcBorders>
              <w:top w:val="single" w:color="000000" w:sz="4" w:space="0"/>
              <w:left w:val="single" w:color="000000" w:sz="4" w:space="0"/>
              <w:bottom w:val="single" w:color="000000" w:sz="4" w:space="0"/>
              <w:right w:val="single" w:color="000000" w:sz="4" w:space="0"/>
            </w:tcBorders>
            <w:shd w:val="clear" w:color="4472C4" w:fill="4472C4"/>
            <w:noWrap/>
            <w:vAlign w:val="center"/>
          </w:tcPr>
          <w:p>
            <w:pPr>
              <w:keepNext w:val="0"/>
              <w:keepLines w:val="0"/>
              <w:widowControl/>
              <w:suppressLineNumbers w:val="0"/>
              <w:jc w:val="right"/>
              <w:textAlignment w:val="center"/>
              <w:rPr>
                <w:rFonts w:hint="default" w:ascii="等线" w:hAnsi="等线" w:eastAsia="等线" w:cs="等线"/>
                <w:b/>
                <w:bCs/>
                <w:i w:val="0"/>
                <w:iCs w:val="0"/>
                <w:color w:val="FFFFFF"/>
                <w:sz w:val="22"/>
                <w:szCs w:val="22"/>
                <w:u w:val="none"/>
              </w:rPr>
            </w:pPr>
            <w:r>
              <w:rPr>
                <w:rFonts w:hint="default" w:ascii="等线" w:hAnsi="等线" w:eastAsia="等线" w:cs="等线"/>
                <w:b/>
                <w:bCs/>
                <w:i w:val="0"/>
                <w:iCs w:val="0"/>
                <w:color w:val="FFFFFF"/>
                <w:kern w:val="0"/>
                <w:sz w:val="22"/>
                <w:szCs w:val="22"/>
                <w:u w:val="none"/>
                <w:bdr w:val="none" w:color="auto" w:sz="0" w:space="0"/>
                <w:lang w:val="en-US" w:eastAsia="zh-CN" w:bidi="ar"/>
              </w:rPr>
              <w:t>2020</w:t>
            </w:r>
          </w:p>
        </w:tc>
        <w:tc>
          <w:tcPr>
            <w:tcW w:w="1024" w:type="dxa"/>
            <w:tcBorders>
              <w:top w:val="single" w:color="000000" w:sz="4" w:space="0"/>
              <w:left w:val="single" w:color="000000" w:sz="4" w:space="0"/>
              <w:bottom w:val="single" w:color="000000" w:sz="4" w:space="0"/>
              <w:right w:val="single" w:color="000000" w:sz="4" w:space="0"/>
            </w:tcBorders>
            <w:shd w:val="clear" w:color="4472C4" w:fill="4472C4"/>
            <w:noWrap/>
            <w:vAlign w:val="center"/>
          </w:tcPr>
          <w:p>
            <w:pPr>
              <w:keepNext w:val="0"/>
              <w:keepLines w:val="0"/>
              <w:widowControl/>
              <w:suppressLineNumbers w:val="0"/>
              <w:jc w:val="right"/>
              <w:textAlignment w:val="center"/>
              <w:rPr>
                <w:rFonts w:hint="default" w:ascii="等线" w:hAnsi="等线" w:eastAsia="等线" w:cs="等线"/>
                <w:b/>
                <w:bCs/>
                <w:i w:val="0"/>
                <w:iCs w:val="0"/>
                <w:color w:val="FFFFFF"/>
                <w:sz w:val="22"/>
                <w:szCs w:val="22"/>
                <w:u w:val="none"/>
              </w:rPr>
            </w:pPr>
            <w:r>
              <w:rPr>
                <w:rFonts w:hint="default" w:ascii="等线" w:hAnsi="等线" w:eastAsia="等线" w:cs="等线"/>
                <w:b/>
                <w:bCs/>
                <w:i w:val="0"/>
                <w:iCs w:val="0"/>
                <w:color w:val="FFFFFF"/>
                <w:kern w:val="0"/>
                <w:sz w:val="22"/>
                <w:szCs w:val="22"/>
                <w:u w:val="none"/>
                <w:bdr w:val="none" w:color="auto" w:sz="0" w:space="0"/>
                <w:lang w:val="en-US" w:eastAsia="zh-CN" w:bidi="ar"/>
              </w:rPr>
              <w:t>2021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48" w:hRule="atLeast"/>
        </w:trPr>
        <w:tc>
          <w:tcPr>
            <w:tcW w:w="0" w:type="auto"/>
            <w:tcBorders>
              <w:top w:val="single" w:color="000000" w:sz="4" w:space="0"/>
              <w:left w:val="single" w:color="000000" w:sz="4" w:space="0"/>
              <w:bottom w:val="single" w:color="000000" w:sz="4" w:space="0"/>
              <w:right w:val="single" w:color="000000" w:sz="4" w:space="0"/>
            </w:tcBorders>
            <w:shd w:val="clear" w:color="D9D9D9" w:fill="D9D9D9"/>
            <w:noWrap/>
            <w:vAlign w:val="center"/>
          </w:tcPr>
          <w:p>
            <w:pPr>
              <w:keepNext w:val="0"/>
              <w:keepLines w:val="0"/>
              <w:widowControl/>
              <w:suppressLineNumbers w:val="0"/>
              <w:jc w:val="left"/>
              <w:textAlignment w:val="center"/>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货币资金（亿元）</w:t>
            </w:r>
          </w:p>
        </w:tc>
        <w:tc>
          <w:tcPr>
            <w:tcW w:w="0" w:type="auto"/>
            <w:tcBorders>
              <w:top w:val="single" w:color="000000" w:sz="4" w:space="0"/>
              <w:left w:val="single" w:color="000000" w:sz="4" w:space="0"/>
              <w:bottom w:val="single" w:color="000000" w:sz="4" w:space="0"/>
              <w:right w:val="single" w:color="000000" w:sz="4" w:space="0"/>
            </w:tcBorders>
            <w:shd w:val="clear" w:color="D9D9D9" w:fill="D9D9D9"/>
            <w:noWrap/>
            <w:vAlign w:val="bottom"/>
          </w:tcPr>
          <w:p>
            <w:pPr>
              <w:keepNext w:val="0"/>
              <w:keepLines w:val="0"/>
              <w:widowControl/>
              <w:suppressLineNumbers w:val="0"/>
              <w:jc w:val="right"/>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 xml:space="preserve">3.61 </w:t>
            </w:r>
          </w:p>
        </w:tc>
        <w:tc>
          <w:tcPr>
            <w:tcW w:w="0" w:type="auto"/>
            <w:tcBorders>
              <w:top w:val="single" w:color="000000" w:sz="4" w:space="0"/>
              <w:left w:val="single" w:color="000000" w:sz="4" w:space="0"/>
              <w:bottom w:val="single" w:color="000000" w:sz="4" w:space="0"/>
              <w:right w:val="single" w:color="000000" w:sz="4" w:space="0"/>
            </w:tcBorders>
            <w:shd w:val="clear" w:color="D9D9D9" w:fill="D9D9D9"/>
            <w:noWrap/>
            <w:vAlign w:val="bottom"/>
          </w:tcPr>
          <w:p>
            <w:pPr>
              <w:keepNext w:val="0"/>
              <w:keepLines w:val="0"/>
              <w:widowControl/>
              <w:suppressLineNumbers w:val="0"/>
              <w:jc w:val="right"/>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 xml:space="preserve">5.30 </w:t>
            </w:r>
          </w:p>
        </w:tc>
        <w:tc>
          <w:tcPr>
            <w:tcW w:w="0" w:type="auto"/>
            <w:tcBorders>
              <w:top w:val="single" w:color="000000" w:sz="4" w:space="0"/>
              <w:left w:val="single" w:color="000000" w:sz="4" w:space="0"/>
              <w:bottom w:val="single" w:color="000000" w:sz="4" w:space="0"/>
              <w:right w:val="single" w:color="000000" w:sz="4" w:space="0"/>
            </w:tcBorders>
            <w:shd w:val="clear" w:color="D9D9D9" w:fill="D9D9D9"/>
            <w:noWrap/>
            <w:vAlign w:val="bottom"/>
          </w:tcPr>
          <w:p>
            <w:pPr>
              <w:keepNext w:val="0"/>
              <w:keepLines w:val="0"/>
              <w:widowControl/>
              <w:suppressLineNumbers w:val="0"/>
              <w:jc w:val="right"/>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 xml:space="preserve">9.09 </w:t>
            </w:r>
          </w:p>
        </w:tc>
        <w:tc>
          <w:tcPr>
            <w:tcW w:w="0" w:type="auto"/>
            <w:tcBorders>
              <w:top w:val="single" w:color="000000" w:sz="4" w:space="0"/>
              <w:left w:val="single" w:color="000000" w:sz="4" w:space="0"/>
              <w:bottom w:val="single" w:color="000000" w:sz="4" w:space="0"/>
              <w:right w:val="single" w:color="000000" w:sz="4" w:space="0"/>
            </w:tcBorders>
            <w:shd w:val="clear" w:color="D9D9D9" w:fill="D9D9D9"/>
            <w:noWrap/>
            <w:vAlign w:val="bottom"/>
          </w:tcPr>
          <w:p>
            <w:pPr>
              <w:keepNext w:val="0"/>
              <w:keepLines w:val="0"/>
              <w:widowControl/>
              <w:suppressLineNumbers w:val="0"/>
              <w:jc w:val="right"/>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 xml:space="preserve">8.53 </w:t>
            </w:r>
          </w:p>
        </w:tc>
      </w:tr>
      <w:tr>
        <w:trPr>
          <w:trHeight w:val="24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资产总计（亿元）</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right"/>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 xml:space="preserve">20.50 </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right"/>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 xml:space="preserve">21.70 </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right"/>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 xml:space="preserve">29.56 </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right"/>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 xml:space="preserve">61.05 </w:t>
            </w:r>
          </w:p>
        </w:tc>
      </w:tr>
      <w:tr>
        <w:trPr>
          <w:trHeight w:val="248" w:hRule="atLeast"/>
        </w:trPr>
        <w:tc>
          <w:tcPr>
            <w:tcW w:w="0" w:type="auto"/>
            <w:tcBorders>
              <w:top w:val="single" w:color="000000" w:sz="4" w:space="0"/>
              <w:left w:val="single" w:color="000000" w:sz="4" w:space="0"/>
              <w:bottom w:val="single" w:color="000000" w:sz="4" w:space="0"/>
              <w:right w:val="single" w:color="000000" w:sz="4" w:space="0"/>
            </w:tcBorders>
            <w:shd w:val="clear" w:color="D9D9D9" w:fill="D9D9D9"/>
            <w:noWrap/>
            <w:vAlign w:val="center"/>
          </w:tcPr>
          <w:p>
            <w:pPr>
              <w:keepNext w:val="0"/>
              <w:keepLines w:val="0"/>
              <w:widowControl/>
              <w:suppressLineNumbers w:val="0"/>
              <w:jc w:val="left"/>
              <w:textAlignment w:val="center"/>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负债总计（亿元）</w:t>
            </w:r>
          </w:p>
        </w:tc>
        <w:tc>
          <w:tcPr>
            <w:tcW w:w="0" w:type="auto"/>
            <w:tcBorders>
              <w:top w:val="single" w:color="000000" w:sz="4" w:space="0"/>
              <w:left w:val="single" w:color="000000" w:sz="4" w:space="0"/>
              <w:bottom w:val="single" w:color="000000" w:sz="4" w:space="0"/>
              <w:right w:val="single" w:color="000000" w:sz="4" w:space="0"/>
            </w:tcBorders>
            <w:shd w:val="clear" w:color="D9D9D9" w:fill="D9D9D9"/>
            <w:noWrap/>
            <w:vAlign w:val="bottom"/>
          </w:tcPr>
          <w:p>
            <w:pPr>
              <w:keepNext w:val="0"/>
              <w:keepLines w:val="0"/>
              <w:widowControl/>
              <w:suppressLineNumbers w:val="0"/>
              <w:jc w:val="right"/>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 xml:space="preserve">6.58 </w:t>
            </w:r>
          </w:p>
        </w:tc>
        <w:tc>
          <w:tcPr>
            <w:tcW w:w="0" w:type="auto"/>
            <w:tcBorders>
              <w:top w:val="single" w:color="000000" w:sz="4" w:space="0"/>
              <w:left w:val="single" w:color="000000" w:sz="4" w:space="0"/>
              <w:bottom w:val="single" w:color="000000" w:sz="4" w:space="0"/>
              <w:right w:val="single" w:color="000000" w:sz="4" w:space="0"/>
            </w:tcBorders>
            <w:shd w:val="clear" w:color="D9D9D9" w:fill="D9D9D9"/>
            <w:noWrap/>
            <w:vAlign w:val="bottom"/>
          </w:tcPr>
          <w:p>
            <w:pPr>
              <w:keepNext w:val="0"/>
              <w:keepLines w:val="0"/>
              <w:widowControl/>
              <w:suppressLineNumbers w:val="0"/>
              <w:jc w:val="right"/>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 xml:space="preserve">6.49 </w:t>
            </w:r>
          </w:p>
        </w:tc>
        <w:tc>
          <w:tcPr>
            <w:tcW w:w="0" w:type="auto"/>
            <w:tcBorders>
              <w:top w:val="single" w:color="000000" w:sz="4" w:space="0"/>
              <w:left w:val="single" w:color="000000" w:sz="4" w:space="0"/>
              <w:bottom w:val="single" w:color="000000" w:sz="4" w:space="0"/>
              <w:right w:val="single" w:color="000000" w:sz="4" w:space="0"/>
            </w:tcBorders>
            <w:shd w:val="clear" w:color="D9D9D9" w:fill="D9D9D9"/>
            <w:noWrap/>
            <w:vAlign w:val="bottom"/>
          </w:tcPr>
          <w:p>
            <w:pPr>
              <w:keepNext w:val="0"/>
              <w:keepLines w:val="0"/>
              <w:widowControl/>
              <w:suppressLineNumbers w:val="0"/>
              <w:jc w:val="right"/>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 xml:space="preserve">8.41 </w:t>
            </w:r>
          </w:p>
        </w:tc>
        <w:tc>
          <w:tcPr>
            <w:tcW w:w="0" w:type="auto"/>
            <w:tcBorders>
              <w:top w:val="single" w:color="000000" w:sz="4" w:space="0"/>
              <w:left w:val="single" w:color="000000" w:sz="4" w:space="0"/>
              <w:bottom w:val="single" w:color="000000" w:sz="4" w:space="0"/>
              <w:right w:val="single" w:color="000000" w:sz="4" w:space="0"/>
            </w:tcBorders>
            <w:shd w:val="clear" w:color="D9D9D9" w:fill="D9D9D9"/>
            <w:noWrap/>
            <w:vAlign w:val="bottom"/>
          </w:tcPr>
          <w:p>
            <w:pPr>
              <w:keepNext w:val="0"/>
              <w:keepLines w:val="0"/>
              <w:widowControl/>
              <w:suppressLineNumbers w:val="0"/>
              <w:jc w:val="right"/>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 xml:space="preserve">35.90 </w:t>
            </w:r>
          </w:p>
        </w:tc>
      </w:tr>
      <w:tr>
        <w:trPr>
          <w:trHeight w:val="24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营业收入（亿元）</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right"/>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 xml:space="preserve">14.75 </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right"/>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 xml:space="preserve">16.70 </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right"/>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 xml:space="preserve">18.46 </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right"/>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 xml:space="preserve">39.96 </w:t>
            </w:r>
          </w:p>
        </w:tc>
      </w:tr>
      <w:tr>
        <w:trPr>
          <w:trHeight w:val="248" w:hRule="atLeast"/>
        </w:trPr>
        <w:tc>
          <w:tcPr>
            <w:tcW w:w="0" w:type="auto"/>
            <w:tcBorders>
              <w:top w:val="single" w:color="000000" w:sz="4" w:space="0"/>
              <w:left w:val="single" w:color="000000" w:sz="4" w:space="0"/>
              <w:bottom w:val="single" w:color="000000" w:sz="4" w:space="0"/>
              <w:right w:val="single" w:color="000000" w:sz="4" w:space="0"/>
            </w:tcBorders>
            <w:shd w:val="clear" w:color="D9D9D9" w:fill="D9D9D9"/>
            <w:noWrap/>
            <w:vAlign w:val="center"/>
          </w:tcPr>
          <w:p>
            <w:pPr>
              <w:keepNext w:val="0"/>
              <w:keepLines w:val="0"/>
              <w:widowControl/>
              <w:suppressLineNumbers w:val="0"/>
              <w:jc w:val="left"/>
              <w:textAlignment w:val="center"/>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经营现金流净额（亿元）</w:t>
            </w:r>
          </w:p>
        </w:tc>
        <w:tc>
          <w:tcPr>
            <w:tcW w:w="0" w:type="auto"/>
            <w:tcBorders>
              <w:top w:val="single" w:color="000000" w:sz="4" w:space="0"/>
              <w:left w:val="single" w:color="000000" w:sz="4" w:space="0"/>
              <w:bottom w:val="single" w:color="000000" w:sz="4" w:space="0"/>
              <w:right w:val="single" w:color="000000" w:sz="4" w:space="0"/>
            </w:tcBorders>
            <w:shd w:val="clear" w:color="D9D9D9" w:fill="D9D9D9"/>
            <w:noWrap/>
            <w:vAlign w:val="bottom"/>
          </w:tcPr>
          <w:p>
            <w:pPr>
              <w:keepNext w:val="0"/>
              <w:keepLines w:val="0"/>
              <w:widowControl/>
              <w:suppressLineNumbers w:val="0"/>
              <w:jc w:val="right"/>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 xml:space="preserve">1.70 </w:t>
            </w:r>
          </w:p>
        </w:tc>
        <w:tc>
          <w:tcPr>
            <w:tcW w:w="0" w:type="auto"/>
            <w:tcBorders>
              <w:top w:val="single" w:color="000000" w:sz="4" w:space="0"/>
              <w:left w:val="single" w:color="000000" w:sz="4" w:space="0"/>
              <w:bottom w:val="single" w:color="000000" w:sz="4" w:space="0"/>
              <w:right w:val="single" w:color="000000" w:sz="4" w:space="0"/>
            </w:tcBorders>
            <w:shd w:val="clear" w:color="D9D9D9" w:fill="D9D9D9"/>
            <w:noWrap/>
            <w:vAlign w:val="bottom"/>
          </w:tcPr>
          <w:p>
            <w:pPr>
              <w:keepNext w:val="0"/>
              <w:keepLines w:val="0"/>
              <w:widowControl/>
              <w:suppressLineNumbers w:val="0"/>
              <w:jc w:val="right"/>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 xml:space="preserve">2.47 </w:t>
            </w:r>
          </w:p>
        </w:tc>
        <w:tc>
          <w:tcPr>
            <w:tcW w:w="0" w:type="auto"/>
            <w:tcBorders>
              <w:top w:val="single" w:color="000000" w:sz="4" w:space="0"/>
              <w:left w:val="single" w:color="000000" w:sz="4" w:space="0"/>
              <w:bottom w:val="single" w:color="000000" w:sz="4" w:space="0"/>
              <w:right w:val="single" w:color="000000" w:sz="4" w:space="0"/>
            </w:tcBorders>
            <w:shd w:val="clear" w:color="D9D9D9" w:fill="D9D9D9"/>
            <w:noWrap/>
            <w:vAlign w:val="bottom"/>
          </w:tcPr>
          <w:p>
            <w:pPr>
              <w:keepNext w:val="0"/>
              <w:keepLines w:val="0"/>
              <w:widowControl/>
              <w:suppressLineNumbers w:val="0"/>
              <w:jc w:val="right"/>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 xml:space="preserve">3.05 </w:t>
            </w:r>
          </w:p>
        </w:tc>
        <w:tc>
          <w:tcPr>
            <w:tcW w:w="0" w:type="auto"/>
            <w:tcBorders>
              <w:top w:val="single" w:color="000000" w:sz="4" w:space="0"/>
              <w:left w:val="single" w:color="000000" w:sz="4" w:space="0"/>
              <w:bottom w:val="single" w:color="000000" w:sz="4" w:space="0"/>
              <w:right w:val="single" w:color="000000" w:sz="4" w:space="0"/>
            </w:tcBorders>
            <w:shd w:val="clear" w:color="D9D9D9" w:fill="D9D9D9"/>
            <w:noWrap/>
            <w:vAlign w:val="bottom"/>
          </w:tcPr>
          <w:p>
            <w:pPr>
              <w:keepNext w:val="0"/>
              <w:keepLines w:val="0"/>
              <w:widowControl/>
              <w:suppressLineNumbers w:val="0"/>
              <w:jc w:val="right"/>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 xml:space="preserve">-4.09 </w:t>
            </w:r>
          </w:p>
        </w:tc>
      </w:tr>
      <w:tr>
        <w:trPr>
          <w:trHeight w:val="24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资产负债率（%）</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right"/>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 xml:space="preserve">32.08 </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right"/>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 xml:space="preserve">29.91 </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right"/>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 xml:space="preserve">28.44 </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right"/>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 xml:space="preserve">58.80 </w:t>
            </w:r>
          </w:p>
        </w:tc>
      </w:tr>
      <w:tr>
        <w:trPr>
          <w:trHeight w:val="248" w:hRule="atLeast"/>
        </w:trPr>
        <w:tc>
          <w:tcPr>
            <w:tcW w:w="0" w:type="auto"/>
            <w:tcBorders>
              <w:top w:val="single" w:color="000000" w:sz="4" w:space="0"/>
              <w:left w:val="single" w:color="000000" w:sz="4" w:space="0"/>
              <w:bottom w:val="single" w:color="000000" w:sz="4" w:space="0"/>
              <w:right w:val="single" w:color="000000" w:sz="4" w:space="0"/>
            </w:tcBorders>
            <w:shd w:val="clear" w:color="D9D9D9" w:fill="D9D9D9"/>
            <w:noWrap/>
            <w:vAlign w:val="center"/>
          </w:tcPr>
          <w:p>
            <w:pPr>
              <w:keepNext w:val="0"/>
              <w:keepLines w:val="0"/>
              <w:widowControl/>
              <w:suppressLineNumbers w:val="0"/>
              <w:jc w:val="left"/>
              <w:textAlignment w:val="center"/>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现金短债比</w:t>
            </w:r>
          </w:p>
        </w:tc>
        <w:tc>
          <w:tcPr>
            <w:tcW w:w="0" w:type="auto"/>
            <w:tcBorders>
              <w:top w:val="single" w:color="000000" w:sz="4" w:space="0"/>
              <w:left w:val="single" w:color="000000" w:sz="4" w:space="0"/>
              <w:bottom w:val="single" w:color="000000" w:sz="4" w:space="0"/>
              <w:right w:val="single" w:color="000000" w:sz="4" w:space="0"/>
            </w:tcBorders>
            <w:shd w:val="clear" w:color="D9D9D9" w:fill="D9D9D9"/>
            <w:noWrap/>
            <w:vAlign w:val="bottom"/>
          </w:tcPr>
          <w:p>
            <w:pPr>
              <w:keepNext w:val="0"/>
              <w:keepLines w:val="0"/>
              <w:widowControl/>
              <w:suppressLineNumbers w:val="0"/>
              <w:jc w:val="right"/>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 xml:space="preserve">0.72 </w:t>
            </w:r>
          </w:p>
        </w:tc>
        <w:tc>
          <w:tcPr>
            <w:tcW w:w="0" w:type="auto"/>
            <w:tcBorders>
              <w:top w:val="single" w:color="000000" w:sz="4" w:space="0"/>
              <w:left w:val="single" w:color="000000" w:sz="4" w:space="0"/>
              <w:bottom w:val="single" w:color="000000" w:sz="4" w:space="0"/>
              <w:right w:val="single" w:color="000000" w:sz="4" w:space="0"/>
            </w:tcBorders>
            <w:shd w:val="clear" w:color="D9D9D9" w:fill="D9D9D9"/>
            <w:noWrap/>
            <w:vAlign w:val="bottom"/>
          </w:tcPr>
          <w:p>
            <w:pPr>
              <w:keepNext w:val="0"/>
              <w:keepLines w:val="0"/>
              <w:widowControl/>
              <w:suppressLineNumbers w:val="0"/>
              <w:jc w:val="right"/>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 xml:space="preserve">1.02 </w:t>
            </w:r>
          </w:p>
        </w:tc>
        <w:tc>
          <w:tcPr>
            <w:tcW w:w="0" w:type="auto"/>
            <w:tcBorders>
              <w:top w:val="single" w:color="000000" w:sz="4" w:space="0"/>
              <w:left w:val="single" w:color="000000" w:sz="4" w:space="0"/>
              <w:bottom w:val="single" w:color="000000" w:sz="4" w:space="0"/>
              <w:right w:val="single" w:color="000000" w:sz="4" w:space="0"/>
            </w:tcBorders>
            <w:shd w:val="clear" w:color="D9D9D9" w:fill="D9D9D9"/>
            <w:noWrap/>
            <w:vAlign w:val="bottom"/>
          </w:tcPr>
          <w:p>
            <w:pPr>
              <w:keepNext w:val="0"/>
              <w:keepLines w:val="0"/>
              <w:widowControl/>
              <w:suppressLineNumbers w:val="0"/>
              <w:jc w:val="right"/>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 xml:space="preserve">1.24 </w:t>
            </w:r>
          </w:p>
        </w:tc>
        <w:tc>
          <w:tcPr>
            <w:tcW w:w="0" w:type="auto"/>
            <w:tcBorders>
              <w:top w:val="single" w:color="000000" w:sz="4" w:space="0"/>
              <w:left w:val="single" w:color="000000" w:sz="4" w:space="0"/>
              <w:bottom w:val="single" w:color="000000" w:sz="4" w:space="0"/>
              <w:right w:val="single" w:color="000000" w:sz="4" w:space="0"/>
            </w:tcBorders>
            <w:shd w:val="clear" w:color="D9D9D9" w:fill="D9D9D9"/>
            <w:noWrap/>
            <w:vAlign w:val="bottom"/>
          </w:tcPr>
          <w:p>
            <w:pPr>
              <w:keepNext w:val="0"/>
              <w:keepLines w:val="0"/>
              <w:widowControl/>
              <w:suppressLineNumbers w:val="0"/>
              <w:jc w:val="right"/>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 xml:space="preserve">0.37 </w:t>
            </w:r>
          </w:p>
        </w:tc>
      </w:tr>
      <w:tr>
        <w:trPr>
          <w:trHeight w:val="24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存货周转天数</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right"/>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 xml:space="preserve">87.69 </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right"/>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 xml:space="preserve">86.59 </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right"/>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 xml:space="preserve">90.43 </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right"/>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 xml:space="preserve">86.85 </w:t>
            </w:r>
          </w:p>
        </w:tc>
      </w:tr>
      <w:tr>
        <w:trPr>
          <w:trHeight w:val="248" w:hRule="atLeast"/>
        </w:trPr>
        <w:tc>
          <w:tcPr>
            <w:tcW w:w="0" w:type="auto"/>
            <w:tcBorders>
              <w:top w:val="single" w:color="000000" w:sz="4" w:space="0"/>
              <w:left w:val="single" w:color="000000" w:sz="4" w:space="0"/>
              <w:bottom w:val="single" w:color="000000" w:sz="4" w:space="0"/>
              <w:right w:val="single" w:color="000000" w:sz="4" w:space="0"/>
            </w:tcBorders>
            <w:shd w:val="clear" w:color="D9D9D9" w:fill="D9D9D9"/>
            <w:noWrap/>
            <w:vAlign w:val="center"/>
          </w:tcPr>
          <w:p>
            <w:pPr>
              <w:keepNext w:val="0"/>
              <w:keepLines w:val="0"/>
              <w:widowControl/>
              <w:suppressLineNumbers w:val="0"/>
              <w:jc w:val="left"/>
              <w:textAlignment w:val="center"/>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应收账款周转天数</w:t>
            </w:r>
          </w:p>
        </w:tc>
        <w:tc>
          <w:tcPr>
            <w:tcW w:w="0" w:type="auto"/>
            <w:tcBorders>
              <w:top w:val="single" w:color="000000" w:sz="4" w:space="0"/>
              <w:left w:val="single" w:color="000000" w:sz="4" w:space="0"/>
              <w:bottom w:val="single" w:color="000000" w:sz="4" w:space="0"/>
              <w:right w:val="single" w:color="000000" w:sz="4" w:space="0"/>
            </w:tcBorders>
            <w:shd w:val="clear" w:color="D9D9D9" w:fill="D9D9D9"/>
            <w:noWrap/>
            <w:vAlign w:val="bottom"/>
          </w:tcPr>
          <w:p>
            <w:pPr>
              <w:keepNext w:val="0"/>
              <w:keepLines w:val="0"/>
              <w:widowControl/>
              <w:suppressLineNumbers w:val="0"/>
              <w:jc w:val="right"/>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 xml:space="preserve">84.21 </w:t>
            </w:r>
          </w:p>
        </w:tc>
        <w:tc>
          <w:tcPr>
            <w:tcW w:w="0" w:type="auto"/>
            <w:tcBorders>
              <w:top w:val="single" w:color="000000" w:sz="4" w:space="0"/>
              <w:left w:val="single" w:color="000000" w:sz="4" w:space="0"/>
              <w:bottom w:val="single" w:color="000000" w:sz="4" w:space="0"/>
              <w:right w:val="single" w:color="000000" w:sz="4" w:space="0"/>
            </w:tcBorders>
            <w:shd w:val="clear" w:color="D9D9D9" w:fill="D9D9D9"/>
            <w:noWrap/>
            <w:vAlign w:val="bottom"/>
          </w:tcPr>
          <w:p>
            <w:pPr>
              <w:keepNext w:val="0"/>
              <w:keepLines w:val="0"/>
              <w:widowControl/>
              <w:suppressLineNumbers w:val="0"/>
              <w:jc w:val="right"/>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 xml:space="preserve">67.85 </w:t>
            </w:r>
          </w:p>
        </w:tc>
        <w:tc>
          <w:tcPr>
            <w:tcW w:w="0" w:type="auto"/>
            <w:tcBorders>
              <w:top w:val="single" w:color="000000" w:sz="4" w:space="0"/>
              <w:left w:val="single" w:color="000000" w:sz="4" w:space="0"/>
              <w:bottom w:val="single" w:color="000000" w:sz="4" w:space="0"/>
              <w:right w:val="single" w:color="000000" w:sz="4" w:space="0"/>
            </w:tcBorders>
            <w:shd w:val="clear" w:color="D9D9D9" w:fill="D9D9D9"/>
            <w:noWrap/>
            <w:vAlign w:val="bottom"/>
          </w:tcPr>
          <w:p>
            <w:pPr>
              <w:keepNext w:val="0"/>
              <w:keepLines w:val="0"/>
              <w:widowControl/>
              <w:suppressLineNumbers w:val="0"/>
              <w:jc w:val="right"/>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 xml:space="preserve">48.61 </w:t>
            </w:r>
          </w:p>
        </w:tc>
        <w:tc>
          <w:tcPr>
            <w:tcW w:w="0" w:type="auto"/>
            <w:tcBorders>
              <w:top w:val="single" w:color="000000" w:sz="4" w:space="0"/>
              <w:left w:val="single" w:color="000000" w:sz="4" w:space="0"/>
              <w:bottom w:val="single" w:color="000000" w:sz="4" w:space="0"/>
              <w:right w:val="single" w:color="000000" w:sz="4" w:space="0"/>
            </w:tcBorders>
            <w:shd w:val="clear" w:color="D9D9D9" w:fill="D9D9D9"/>
            <w:noWrap/>
            <w:vAlign w:val="bottom"/>
          </w:tcPr>
          <w:p>
            <w:pPr>
              <w:keepNext w:val="0"/>
              <w:keepLines w:val="0"/>
              <w:widowControl/>
              <w:suppressLineNumbers w:val="0"/>
              <w:jc w:val="right"/>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 xml:space="preserve">54.89 </w:t>
            </w:r>
          </w:p>
        </w:tc>
      </w:tr>
      <w:tr>
        <w:trPr>
          <w:trHeight w:val="24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销售净利率（%）</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right"/>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 xml:space="preserve">6.64 </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right"/>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 xml:space="preserve">9.50 </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right"/>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 xml:space="preserve">12.52 </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right"/>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 xml:space="preserve">10.69 </w:t>
            </w:r>
          </w:p>
        </w:tc>
      </w:tr>
      <w:tr>
        <w:trPr>
          <w:trHeight w:val="248" w:hRule="atLeast"/>
        </w:trPr>
        <w:tc>
          <w:tcPr>
            <w:tcW w:w="0" w:type="auto"/>
            <w:tcBorders>
              <w:top w:val="single" w:color="000000" w:sz="4" w:space="0"/>
              <w:left w:val="single" w:color="000000" w:sz="4" w:space="0"/>
              <w:bottom w:val="single" w:color="000000" w:sz="4" w:space="0"/>
              <w:right w:val="single" w:color="000000" w:sz="4" w:space="0"/>
            </w:tcBorders>
            <w:shd w:val="clear" w:color="D9D9D9" w:fill="D9D9D9"/>
            <w:noWrap/>
            <w:vAlign w:val="center"/>
          </w:tcPr>
          <w:p>
            <w:pPr>
              <w:keepNext w:val="0"/>
              <w:keepLines w:val="0"/>
              <w:widowControl/>
              <w:suppressLineNumbers w:val="0"/>
              <w:jc w:val="left"/>
              <w:textAlignment w:val="center"/>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ROA（加权，%）</w:t>
            </w:r>
          </w:p>
        </w:tc>
        <w:tc>
          <w:tcPr>
            <w:tcW w:w="0" w:type="auto"/>
            <w:tcBorders>
              <w:top w:val="single" w:color="000000" w:sz="4" w:space="0"/>
              <w:left w:val="single" w:color="000000" w:sz="4" w:space="0"/>
              <w:bottom w:val="single" w:color="000000" w:sz="4" w:space="0"/>
              <w:right w:val="single" w:color="000000" w:sz="4" w:space="0"/>
            </w:tcBorders>
            <w:shd w:val="clear" w:color="D9D9D9" w:fill="D9D9D9"/>
            <w:noWrap/>
            <w:vAlign w:val="bottom"/>
          </w:tcPr>
          <w:p>
            <w:pPr>
              <w:keepNext w:val="0"/>
              <w:keepLines w:val="0"/>
              <w:widowControl/>
              <w:suppressLineNumbers w:val="0"/>
              <w:jc w:val="right"/>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 xml:space="preserve">5.36 </w:t>
            </w:r>
          </w:p>
        </w:tc>
        <w:tc>
          <w:tcPr>
            <w:tcW w:w="0" w:type="auto"/>
            <w:tcBorders>
              <w:top w:val="single" w:color="000000" w:sz="4" w:space="0"/>
              <w:left w:val="single" w:color="000000" w:sz="4" w:space="0"/>
              <w:bottom w:val="single" w:color="000000" w:sz="4" w:space="0"/>
              <w:right w:val="single" w:color="000000" w:sz="4" w:space="0"/>
            </w:tcBorders>
            <w:shd w:val="clear" w:color="D9D9D9" w:fill="D9D9D9"/>
            <w:noWrap/>
            <w:vAlign w:val="bottom"/>
          </w:tcPr>
          <w:p>
            <w:pPr>
              <w:keepNext w:val="0"/>
              <w:keepLines w:val="0"/>
              <w:widowControl/>
              <w:suppressLineNumbers w:val="0"/>
              <w:jc w:val="right"/>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 xml:space="preserve">7.72 </w:t>
            </w:r>
          </w:p>
        </w:tc>
        <w:tc>
          <w:tcPr>
            <w:tcW w:w="0" w:type="auto"/>
            <w:tcBorders>
              <w:top w:val="single" w:color="000000" w:sz="4" w:space="0"/>
              <w:left w:val="single" w:color="000000" w:sz="4" w:space="0"/>
              <w:bottom w:val="single" w:color="000000" w:sz="4" w:space="0"/>
              <w:right w:val="single" w:color="000000" w:sz="4" w:space="0"/>
            </w:tcBorders>
            <w:shd w:val="clear" w:color="D9D9D9" w:fill="D9D9D9"/>
            <w:noWrap/>
            <w:vAlign w:val="bottom"/>
          </w:tcPr>
          <w:p>
            <w:pPr>
              <w:keepNext w:val="0"/>
              <w:keepLines w:val="0"/>
              <w:widowControl/>
              <w:suppressLineNumbers w:val="0"/>
              <w:jc w:val="right"/>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 xml:space="preserve">9.35 </w:t>
            </w:r>
          </w:p>
        </w:tc>
        <w:tc>
          <w:tcPr>
            <w:tcW w:w="0" w:type="auto"/>
            <w:tcBorders>
              <w:top w:val="single" w:color="000000" w:sz="4" w:space="0"/>
              <w:left w:val="single" w:color="000000" w:sz="4" w:space="0"/>
              <w:bottom w:val="single" w:color="000000" w:sz="4" w:space="0"/>
              <w:right w:val="single" w:color="000000" w:sz="4" w:space="0"/>
            </w:tcBorders>
            <w:shd w:val="clear" w:color="D9D9D9" w:fill="D9D9D9"/>
            <w:noWrap/>
            <w:vAlign w:val="bottom"/>
          </w:tcPr>
          <w:p>
            <w:pPr>
              <w:keepNext w:val="0"/>
              <w:keepLines w:val="0"/>
              <w:widowControl/>
              <w:suppressLineNumbers w:val="0"/>
              <w:jc w:val="right"/>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 xml:space="preserve">9.56 </w:t>
            </w:r>
          </w:p>
        </w:tc>
      </w:tr>
      <w:tr>
        <w:trPr>
          <w:trHeight w:val="24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ROE（加权，%）</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right"/>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 xml:space="preserve">6.72 </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right"/>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 xml:space="preserve">9.80 </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right"/>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 xml:space="preserve">14.15 </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right"/>
              <w:textAlignment w:val="bottom"/>
              <w:rPr>
                <w:rFonts w:hint="default" w:ascii="等线" w:hAnsi="等线" w:eastAsia="等线" w:cs="等线"/>
                <w:i w:val="0"/>
                <w:iCs w:val="0"/>
                <w:color w:val="000000"/>
                <w:sz w:val="22"/>
                <w:szCs w:val="22"/>
                <w:u w:val="none"/>
              </w:rPr>
            </w:pPr>
            <w:r>
              <w:rPr>
                <w:rFonts w:hint="default" w:ascii="等线" w:hAnsi="等线" w:eastAsia="等线" w:cs="等线"/>
                <w:i w:val="0"/>
                <w:iCs w:val="0"/>
                <w:color w:val="000000"/>
                <w:kern w:val="0"/>
                <w:sz w:val="22"/>
                <w:szCs w:val="22"/>
                <w:u w:val="none"/>
                <w:bdr w:val="none" w:color="auto" w:sz="0" w:space="0"/>
                <w:lang w:val="en-US" w:eastAsia="zh-CN" w:bidi="ar"/>
              </w:rPr>
              <w:t xml:space="preserve">17.24 </w:t>
            </w:r>
          </w:p>
        </w:tc>
      </w:tr>
    </w:tbl>
    <w:p>
      <w:pPr>
        <w:pageBreakBefore w:val="0"/>
        <w:numPr>
          <w:numId w:val="0"/>
        </w:numPr>
        <w:kinsoku/>
        <w:wordWrap/>
        <w:overflowPunct/>
        <w:topLinePunct w:val="0"/>
        <w:autoSpaceDE/>
        <w:autoSpaceDN/>
        <w:bidi w:val="0"/>
        <w:adjustRightInd/>
        <w:snapToGrid w:val="0"/>
        <w:spacing w:line="360" w:lineRule="auto"/>
        <w:rPr>
          <w:b/>
          <w:bCs/>
        </w:rPr>
      </w:pPr>
    </w:p>
    <w:p>
      <w:pPr>
        <w:pageBreakBefore w:val="0"/>
        <w:numPr>
          <w:numId w:val="0"/>
        </w:numPr>
        <w:kinsoku/>
        <w:wordWrap/>
        <w:overflowPunct/>
        <w:topLinePunct w:val="0"/>
        <w:autoSpaceDE/>
        <w:autoSpaceDN/>
        <w:bidi w:val="0"/>
        <w:adjustRightInd/>
        <w:snapToGrid w:val="0"/>
        <w:spacing w:line="360" w:lineRule="auto"/>
        <w:ind w:left="420" w:leftChars="0"/>
        <w:rPr>
          <w:b/>
          <w:bCs/>
        </w:rPr>
      </w:pPr>
    </w:p>
    <w:p>
      <w:pPr>
        <w:pageBreakBefore w:val="0"/>
        <w:numPr>
          <w:ilvl w:val="0"/>
          <w:numId w:val="1"/>
        </w:numPr>
        <w:kinsoku/>
        <w:wordWrap/>
        <w:overflowPunct/>
        <w:topLinePunct w:val="0"/>
        <w:autoSpaceDE/>
        <w:autoSpaceDN/>
        <w:bidi w:val="0"/>
        <w:adjustRightInd/>
        <w:snapToGrid w:val="0"/>
        <w:spacing w:line="360" w:lineRule="auto"/>
        <w:ind w:left="0" w:leftChars="0" w:firstLine="420" w:firstLineChars="0"/>
        <w:rPr>
          <w:b/>
          <w:bCs/>
        </w:rPr>
      </w:pPr>
      <w:r>
        <w:rPr>
          <w:rFonts w:hint="eastAsia"/>
          <w:b/>
          <w:bCs/>
          <w:lang w:val="en-US" w:eastAsia="zh-Hans"/>
        </w:rPr>
        <w:t>近三年德方纳米、万润新能、龙蟠科技的产能扩张情况，融资方式</w:t>
      </w:r>
    </w:p>
    <w:p>
      <w:pPr>
        <w:pageBreakBefore w:val="0"/>
        <w:numPr>
          <w:numId w:val="0"/>
        </w:numPr>
        <w:kinsoku/>
        <w:wordWrap/>
        <w:overflowPunct/>
        <w:topLinePunct w:val="0"/>
        <w:autoSpaceDE/>
        <w:autoSpaceDN/>
        <w:bidi w:val="0"/>
        <w:adjustRightInd/>
        <w:snapToGrid w:val="0"/>
        <w:spacing w:line="360" w:lineRule="auto"/>
        <w:ind w:firstLine="420" w:firstLineChars="0"/>
        <w:rPr>
          <w:rFonts w:hint="eastAsia"/>
          <w:b w:val="0"/>
          <w:bCs w:val="0"/>
          <w:sz w:val="22"/>
          <w:szCs w:val="22"/>
          <w:lang w:val="en-US" w:eastAsia="zh-Hans"/>
        </w:rPr>
      </w:pPr>
      <w:r>
        <w:rPr>
          <w:rFonts w:hint="eastAsia"/>
          <w:b w:val="0"/>
          <w:bCs w:val="0"/>
          <w:sz w:val="22"/>
          <w:szCs w:val="22"/>
          <w:lang w:val="en-US" w:eastAsia="zh-Hans"/>
        </w:rPr>
        <w:t>德方纳米在产能扩张的选择上，仍然专注在磷酸铁锂产品上，没有向上游碳酸锂、磷酸铁、葡萄糖上面扩张。融资的方式主要是</w:t>
      </w:r>
      <w:r>
        <w:rPr>
          <w:rFonts w:hint="eastAsia"/>
          <w:b/>
          <w:bCs/>
          <w:sz w:val="22"/>
          <w:szCs w:val="22"/>
          <w:lang w:val="en-US" w:eastAsia="zh-Hans"/>
        </w:rPr>
        <w:t>定向增、租赁融资以及应收账款融资</w:t>
      </w:r>
      <w:r>
        <w:rPr>
          <w:rFonts w:hint="eastAsia"/>
          <w:b w:val="0"/>
          <w:bCs w:val="0"/>
          <w:sz w:val="22"/>
          <w:szCs w:val="22"/>
          <w:lang w:val="en-US" w:eastAsia="zh-Hans"/>
        </w:rPr>
        <w:t>。</w:t>
      </w:r>
    </w:p>
    <w:p>
      <w:pPr>
        <w:pageBreakBefore w:val="0"/>
        <w:numPr>
          <w:numId w:val="0"/>
        </w:numPr>
        <w:kinsoku/>
        <w:wordWrap/>
        <w:overflowPunct/>
        <w:topLinePunct w:val="0"/>
        <w:autoSpaceDE/>
        <w:autoSpaceDN/>
        <w:bidi w:val="0"/>
        <w:adjustRightInd/>
        <w:snapToGrid w:val="0"/>
        <w:spacing w:line="360" w:lineRule="auto"/>
        <w:ind w:firstLine="420" w:firstLineChars="0"/>
        <w:rPr>
          <w:rFonts w:hint="eastAsia"/>
          <w:b w:val="0"/>
          <w:bCs w:val="0"/>
          <w:sz w:val="22"/>
          <w:szCs w:val="22"/>
          <w:lang w:val="en-US" w:eastAsia="zh-Hans"/>
        </w:rPr>
      </w:pPr>
      <w:r>
        <w:rPr>
          <w:rFonts w:hint="eastAsia"/>
          <w:b w:val="0"/>
          <w:bCs w:val="0"/>
          <w:sz w:val="22"/>
          <w:szCs w:val="22"/>
          <w:lang w:val="en-US" w:eastAsia="zh-Hans"/>
        </w:rPr>
        <w:t>万润新能在产能扩张的选择上，由于公司发展前期以生产、销售磷酸铁为主，通过数年的研发，对原磷酸铁产品继续深加工，</w:t>
      </w:r>
      <w:r>
        <w:rPr>
          <w:rFonts w:hint="eastAsia"/>
          <w:b w:val="0"/>
          <w:bCs w:val="0"/>
          <w:sz w:val="22"/>
          <w:szCs w:val="22"/>
          <w:lang w:val="en-US" w:eastAsia="zh-Hans"/>
        </w:rPr>
        <w:t>切入磷酸铁锂行业。磷酸铁和磷酸铁锂的产能基本同步扩张。融资方式主要是</w:t>
      </w:r>
      <w:r>
        <w:rPr>
          <w:rFonts w:hint="eastAsia"/>
          <w:b/>
          <w:bCs/>
          <w:sz w:val="22"/>
          <w:szCs w:val="22"/>
          <w:lang w:val="en-US" w:eastAsia="zh-Hans"/>
        </w:rPr>
        <w:t>首次发行股票融资、</w:t>
      </w:r>
      <w:bookmarkStart w:id="0" w:name="_GoBack"/>
      <w:bookmarkEnd w:id="0"/>
      <w:r>
        <w:rPr>
          <w:rFonts w:hint="eastAsia"/>
          <w:b/>
          <w:bCs/>
          <w:sz w:val="22"/>
          <w:szCs w:val="22"/>
          <w:lang w:val="en-US" w:eastAsia="zh-Hans"/>
        </w:rPr>
        <w:t>应收账款融资、租赁融资以及股权质押</w:t>
      </w:r>
      <w:r>
        <w:rPr>
          <w:rFonts w:hint="eastAsia"/>
          <w:b w:val="0"/>
          <w:bCs w:val="0"/>
          <w:sz w:val="22"/>
          <w:szCs w:val="22"/>
          <w:lang w:val="en-US" w:eastAsia="zh-Hans"/>
        </w:rPr>
        <w:t>。</w:t>
      </w:r>
    </w:p>
    <w:p>
      <w:pPr>
        <w:pageBreakBefore w:val="0"/>
        <w:numPr>
          <w:numId w:val="0"/>
        </w:numPr>
        <w:kinsoku/>
        <w:wordWrap/>
        <w:overflowPunct/>
        <w:topLinePunct w:val="0"/>
        <w:autoSpaceDE/>
        <w:autoSpaceDN/>
        <w:bidi w:val="0"/>
        <w:adjustRightInd/>
        <w:snapToGrid w:val="0"/>
        <w:spacing w:line="360" w:lineRule="auto"/>
        <w:ind w:firstLine="420" w:firstLineChars="0"/>
        <w:rPr>
          <w:rFonts w:hint="default"/>
          <w:b w:val="0"/>
          <w:bCs w:val="0"/>
          <w:sz w:val="22"/>
          <w:szCs w:val="22"/>
          <w:lang w:val="en-US" w:eastAsia="zh-Hans"/>
        </w:rPr>
      </w:pPr>
      <w:r>
        <w:rPr>
          <w:rFonts w:hint="eastAsia"/>
          <w:b w:val="0"/>
          <w:bCs w:val="0"/>
          <w:sz w:val="22"/>
          <w:szCs w:val="22"/>
          <w:lang w:val="en-US" w:eastAsia="zh-Hans"/>
        </w:rPr>
        <w:t>龙蟠科技在产能扩张的选择上，由于公司之前是车用尿素行业龙头，对汽车发展的需求具有一定敏锐性，同时车用尿素行业增速下降，通过收并购磷酸铁锂二线企业贝特瑞，切入磷酸铁锂行业。融资方式主要是</w:t>
      </w:r>
      <w:r>
        <w:rPr>
          <w:rFonts w:hint="eastAsia"/>
          <w:b/>
          <w:bCs/>
          <w:sz w:val="22"/>
          <w:szCs w:val="22"/>
          <w:lang w:val="en-US" w:eastAsia="zh-Hans"/>
        </w:rPr>
        <w:t>定向增发、融资租赁以及股权质押</w:t>
      </w:r>
      <w:r>
        <w:rPr>
          <w:rFonts w:hint="eastAsia"/>
          <w:b w:val="0"/>
          <w:bCs w:val="0"/>
          <w:sz w:val="22"/>
          <w:szCs w:val="22"/>
          <w:lang w:val="en-US" w:eastAsia="zh-Hans"/>
        </w:rPr>
        <w:t>。</w:t>
      </w:r>
    </w:p>
    <w:tbl>
      <w:tblPr>
        <w:tblW w:w="7502" w:type="dxa"/>
        <w:tblInd w:w="8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108" w:type="dxa"/>
          <w:bottom w:w="0" w:type="dxa"/>
          <w:right w:w="108" w:type="dxa"/>
        </w:tblCellMar>
      </w:tblPr>
      <w:tblGrid>
        <w:gridCol w:w="2086"/>
        <w:gridCol w:w="756"/>
        <w:gridCol w:w="932"/>
        <w:gridCol w:w="932"/>
        <w:gridCol w:w="932"/>
        <w:gridCol w:w="932"/>
        <w:gridCol w:w="93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36" w:hRule="atLeast"/>
        </w:trPr>
        <w:tc>
          <w:tcPr>
            <w:tcW w:w="2086"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val="0"/>
              <w:spacing w:line="360" w:lineRule="auto"/>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德方纳米</w:t>
            </w:r>
            <w:r>
              <w:rPr>
                <w:rFonts w:hint="eastAsia" w:ascii="宋体" w:hAnsi="宋体" w:eastAsia="宋体" w:cs="宋体"/>
                <w:i w:val="0"/>
                <w:iCs w:val="0"/>
                <w:color w:val="000000"/>
                <w:kern w:val="0"/>
                <w:sz w:val="22"/>
                <w:szCs w:val="22"/>
                <w:u w:val="none"/>
                <w:lang w:val="en-US" w:eastAsia="zh-Hans" w:bidi="ar"/>
              </w:rPr>
              <w:t>（万吨）</w:t>
            </w:r>
          </w:p>
        </w:tc>
        <w:tc>
          <w:tcPr>
            <w:tcW w:w="756"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val="0"/>
              <w:spacing w:line="360" w:lineRule="auto"/>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2016</w:t>
            </w:r>
          </w:p>
        </w:tc>
        <w:tc>
          <w:tcPr>
            <w:tcW w:w="932"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val="0"/>
              <w:spacing w:line="360" w:lineRule="auto"/>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2017</w:t>
            </w:r>
          </w:p>
        </w:tc>
        <w:tc>
          <w:tcPr>
            <w:tcW w:w="932"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val="0"/>
              <w:spacing w:line="360" w:lineRule="auto"/>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2018</w:t>
            </w:r>
          </w:p>
        </w:tc>
        <w:tc>
          <w:tcPr>
            <w:tcW w:w="932"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val="0"/>
              <w:spacing w:line="360" w:lineRule="auto"/>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2019</w:t>
            </w:r>
          </w:p>
        </w:tc>
        <w:tc>
          <w:tcPr>
            <w:tcW w:w="932"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val="0"/>
              <w:spacing w:line="360" w:lineRule="auto"/>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2020</w:t>
            </w:r>
          </w:p>
        </w:tc>
        <w:tc>
          <w:tcPr>
            <w:tcW w:w="932"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val="0"/>
              <w:spacing w:line="360" w:lineRule="auto"/>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2021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336" w:hRule="atLeast"/>
        </w:trPr>
        <w:tc>
          <w:tcPr>
            <w:tcW w:w="2086"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val="0"/>
              <w:spacing w:line="360" w:lineRule="auto"/>
              <w:jc w:val="left"/>
              <w:textAlignment w:val="center"/>
              <w:rPr>
                <w:rFonts w:hint="eastAsia" w:ascii="宋体" w:hAnsi="宋体" w:eastAsia="宋体" w:cs="宋体"/>
                <w:i w:val="0"/>
                <w:iCs w:val="0"/>
                <w:color w:val="000000"/>
                <w:sz w:val="22"/>
                <w:szCs w:val="22"/>
                <w:u w:val="none"/>
                <w:lang w:eastAsia="zh-Hans"/>
              </w:rPr>
            </w:pPr>
            <w:r>
              <w:rPr>
                <w:rFonts w:hint="eastAsia" w:ascii="宋体" w:hAnsi="宋体" w:eastAsia="宋体" w:cs="宋体"/>
                <w:i w:val="0"/>
                <w:iCs w:val="0"/>
                <w:color w:val="000000"/>
                <w:kern w:val="0"/>
                <w:sz w:val="22"/>
                <w:szCs w:val="22"/>
                <w:u w:val="none"/>
                <w:bdr w:val="none" w:color="auto" w:sz="0" w:space="0"/>
                <w:lang w:val="en-US" w:eastAsia="zh-CN" w:bidi="ar"/>
              </w:rPr>
              <w:t>磷酸铁锂</w:t>
            </w:r>
          </w:p>
        </w:tc>
        <w:tc>
          <w:tcPr>
            <w:tcW w:w="756"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val="0"/>
              <w:spacing w:line="360" w:lineRule="auto"/>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1.05</w:t>
            </w:r>
          </w:p>
        </w:tc>
        <w:tc>
          <w:tcPr>
            <w:tcW w:w="932"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val="0"/>
              <w:spacing w:line="360" w:lineRule="auto"/>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1.75</w:t>
            </w:r>
          </w:p>
        </w:tc>
        <w:tc>
          <w:tcPr>
            <w:tcW w:w="932"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val="0"/>
              <w:spacing w:line="360" w:lineRule="auto"/>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2.28</w:t>
            </w:r>
          </w:p>
        </w:tc>
        <w:tc>
          <w:tcPr>
            <w:tcW w:w="932"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val="0"/>
              <w:spacing w:line="360" w:lineRule="auto"/>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2.55</w:t>
            </w:r>
          </w:p>
        </w:tc>
        <w:tc>
          <w:tcPr>
            <w:tcW w:w="932"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val="0"/>
              <w:spacing w:line="360" w:lineRule="auto"/>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8</w:t>
            </w:r>
          </w:p>
        </w:tc>
        <w:tc>
          <w:tcPr>
            <w:tcW w:w="932"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val="0"/>
              <w:spacing w:line="360" w:lineRule="auto"/>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19.2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336" w:hRule="atLeast"/>
        </w:trPr>
        <w:tc>
          <w:tcPr>
            <w:tcW w:w="2086"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val="0"/>
              <w:spacing w:line="360" w:lineRule="auto"/>
              <w:jc w:val="left"/>
              <w:textAlignment w:val="center"/>
              <w:rPr>
                <w:rFonts w:hint="eastAsia" w:ascii="宋体" w:hAnsi="宋体" w:eastAsia="宋体" w:cs="宋体"/>
                <w:i w:val="0"/>
                <w:iCs w:val="0"/>
                <w:color w:val="000000"/>
                <w:sz w:val="22"/>
                <w:szCs w:val="22"/>
                <w:u w:val="none"/>
              </w:rPr>
            </w:pPr>
            <w:r>
              <w:rPr>
                <w:rFonts w:hint="default" w:ascii="宋体" w:hAnsi="宋体" w:eastAsia="宋体" w:cs="宋体"/>
                <w:i w:val="0"/>
                <w:iCs w:val="0"/>
                <w:color w:val="000000"/>
                <w:kern w:val="0"/>
                <w:sz w:val="22"/>
                <w:szCs w:val="22"/>
                <w:u w:val="none"/>
                <w:bdr w:val="none" w:color="auto" w:sz="0" w:space="0"/>
                <w:lang w:eastAsia="zh-CN" w:bidi="ar"/>
              </w:rPr>
              <w:t>-</w:t>
            </w:r>
            <w:r>
              <w:rPr>
                <w:rFonts w:hint="eastAsia" w:ascii="宋体" w:hAnsi="宋体" w:eastAsia="宋体" w:cs="宋体"/>
                <w:i w:val="0"/>
                <w:iCs w:val="0"/>
                <w:color w:val="000000"/>
                <w:kern w:val="0"/>
                <w:sz w:val="22"/>
                <w:szCs w:val="22"/>
                <w:u w:val="none"/>
                <w:bdr w:val="none" w:color="auto" w:sz="0" w:space="0"/>
                <w:lang w:val="en-US" w:eastAsia="zh-CN" w:bidi="ar"/>
              </w:rPr>
              <w:t>佛山基地</w:t>
            </w:r>
          </w:p>
        </w:tc>
        <w:tc>
          <w:tcPr>
            <w:tcW w:w="756"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val="0"/>
              <w:spacing w:line="360" w:lineRule="auto"/>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1.05</w:t>
            </w:r>
          </w:p>
        </w:tc>
        <w:tc>
          <w:tcPr>
            <w:tcW w:w="932"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val="0"/>
              <w:spacing w:line="360" w:lineRule="auto"/>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1.75</w:t>
            </w:r>
          </w:p>
        </w:tc>
        <w:tc>
          <w:tcPr>
            <w:tcW w:w="932"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val="0"/>
              <w:spacing w:line="360" w:lineRule="auto"/>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2.28</w:t>
            </w:r>
          </w:p>
        </w:tc>
        <w:tc>
          <w:tcPr>
            <w:tcW w:w="932"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val="0"/>
              <w:spacing w:line="360" w:lineRule="auto"/>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2.55</w:t>
            </w:r>
          </w:p>
        </w:tc>
        <w:tc>
          <w:tcPr>
            <w:tcW w:w="932"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val="0"/>
              <w:spacing w:line="360" w:lineRule="auto"/>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w:t>
            </w:r>
          </w:p>
        </w:tc>
        <w:tc>
          <w:tcPr>
            <w:tcW w:w="932"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val="0"/>
              <w:spacing w:line="360" w:lineRule="auto"/>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336" w:hRule="atLeast"/>
        </w:trPr>
        <w:tc>
          <w:tcPr>
            <w:tcW w:w="2086"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val="0"/>
              <w:spacing w:line="360" w:lineRule="auto"/>
              <w:jc w:val="left"/>
              <w:textAlignment w:val="center"/>
              <w:rPr>
                <w:rFonts w:hint="eastAsia" w:ascii="宋体" w:hAnsi="宋体" w:eastAsia="宋体" w:cs="宋体"/>
                <w:i w:val="0"/>
                <w:iCs w:val="0"/>
                <w:color w:val="000000"/>
                <w:sz w:val="22"/>
                <w:szCs w:val="22"/>
                <w:u w:val="none"/>
              </w:rPr>
            </w:pPr>
            <w:r>
              <w:rPr>
                <w:rFonts w:hint="default" w:ascii="宋体" w:hAnsi="宋体" w:eastAsia="宋体" w:cs="宋体"/>
                <w:i w:val="0"/>
                <w:iCs w:val="0"/>
                <w:color w:val="000000"/>
                <w:kern w:val="0"/>
                <w:sz w:val="22"/>
                <w:szCs w:val="22"/>
                <w:u w:val="none"/>
                <w:bdr w:val="none" w:color="auto" w:sz="0" w:space="0"/>
                <w:lang w:eastAsia="zh-CN" w:bidi="ar"/>
              </w:rPr>
              <w:t>-</w:t>
            </w:r>
            <w:r>
              <w:rPr>
                <w:rFonts w:hint="eastAsia" w:ascii="宋体" w:hAnsi="宋体" w:eastAsia="宋体" w:cs="宋体"/>
                <w:i w:val="0"/>
                <w:iCs w:val="0"/>
                <w:color w:val="000000"/>
                <w:kern w:val="0"/>
                <w:sz w:val="22"/>
                <w:szCs w:val="22"/>
                <w:u w:val="none"/>
                <w:bdr w:val="none" w:color="auto" w:sz="0" w:space="0"/>
                <w:lang w:val="en-US" w:eastAsia="zh-CN" w:bidi="ar"/>
              </w:rPr>
              <w:t>曲靖基地</w:t>
            </w:r>
          </w:p>
        </w:tc>
        <w:tc>
          <w:tcPr>
            <w:tcW w:w="756" w:type="dxa"/>
            <w:tcBorders>
              <w:top w:val="single" w:color="000000" w:sz="4" w:space="0"/>
              <w:left w:val="single" w:color="000000" w:sz="4" w:space="0"/>
              <w:bottom w:val="single" w:color="000000" w:sz="4" w:space="0"/>
              <w:right w:val="single" w:color="000000" w:sz="4" w:space="0"/>
            </w:tcBorders>
            <w:shd w:val="clear"/>
            <w:noWrap/>
            <w:vAlign w:val="center"/>
          </w:tcPr>
          <w:p>
            <w:pPr>
              <w:pageBreakBefore w:val="0"/>
              <w:kinsoku/>
              <w:wordWrap/>
              <w:overflowPunct/>
              <w:topLinePunct w:val="0"/>
              <w:autoSpaceDE/>
              <w:autoSpaceDN/>
              <w:bidi w:val="0"/>
              <w:adjustRightInd/>
              <w:snapToGrid w:val="0"/>
              <w:spacing w:before="0" w:beforeLines="0" w:after="0" w:afterLines="0" w:line="360" w:lineRule="auto"/>
              <w:rPr>
                <w:rFonts w:hint="eastAsia" w:ascii="宋体" w:hAnsi="宋体" w:eastAsia="宋体" w:cs="宋体"/>
                <w:i w:val="0"/>
                <w:iCs w:val="0"/>
                <w:color w:val="000000"/>
                <w:sz w:val="22"/>
                <w:szCs w:val="22"/>
                <w:u w:val="none"/>
              </w:rPr>
            </w:pPr>
          </w:p>
        </w:tc>
        <w:tc>
          <w:tcPr>
            <w:tcW w:w="932" w:type="dxa"/>
            <w:tcBorders>
              <w:top w:val="single" w:color="000000" w:sz="4" w:space="0"/>
              <w:left w:val="single" w:color="000000" w:sz="4" w:space="0"/>
              <w:bottom w:val="single" w:color="000000" w:sz="4" w:space="0"/>
              <w:right w:val="single" w:color="000000" w:sz="4" w:space="0"/>
            </w:tcBorders>
            <w:shd w:val="clear"/>
            <w:noWrap/>
            <w:vAlign w:val="center"/>
          </w:tcPr>
          <w:p>
            <w:pPr>
              <w:pageBreakBefore w:val="0"/>
              <w:kinsoku/>
              <w:wordWrap/>
              <w:overflowPunct/>
              <w:topLinePunct w:val="0"/>
              <w:autoSpaceDE/>
              <w:autoSpaceDN/>
              <w:bidi w:val="0"/>
              <w:adjustRightInd/>
              <w:snapToGrid w:val="0"/>
              <w:spacing w:before="0" w:beforeLines="0" w:after="0" w:afterLines="0" w:line="360" w:lineRule="auto"/>
              <w:rPr>
                <w:rFonts w:hint="eastAsia" w:ascii="宋体" w:hAnsi="宋体" w:eastAsia="宋体" w:cs="宋体"/>
                <w:i w:val="0"/>
                <w:iCs w:val="0"/>
                <w:color w:val="000000"/>
                <w:sz w:val="22"/>
                <w:szCs w:val="22"/>
                <w:u w:val="none"/>
              </w:rPr>
            </w:pPr>
          </w:p>
        </w:tc>
        <w:tc>
          <w:tcPr>
            <w:tcW w:w="932" w:type="dxa"/>
            <w:tcBorders>
              <w:top w:val="single" w:color="000000" w:sz="4" w:space="0"/>
              <w:left w:val="single" w:color="000000" w:sz="4" w:space="0"/>
              <w:bottom w:val="single" w:color="000000" w:sz="4" w:space="0"/>
              <w:right w:val="single" w:color="000000" w:sz="4" w:space="0"/>
            </w:tcBorders>
            <w:shd w:val="clear"/>
            <w:noWrap/>
            <w:vAlign w:val="center"/>
          </w:tcPr>
          <w:p>
            <w:pPr>
              <w:pageBreakBefore w:val="0"/>
              <w:kinsoku/>
              <w:wordWrap/>
              <w:overflowPunct/>
              <w:topLinePunct w:val="0"/>
              <w:autoSpaceDE/>
              <w:autoSpaceDN/>
              <w:bidi w:val="0"/>
              <w:adjustRightInd/>
              <w:snapToGrid w:val="0"/>
              <w:spacing w:before="0" w:beforeLines="0" w:after="0" w:afterLines="0" w:line="360" w:lineRule="auto"/>
              <w:rPr>
                <w:rFonts w:hint="eastAsia" w:ascii="宋体" w:hAnsi="宋体" w:eastAsia="宋体" w:cs="宋体"/>
                <w:i w:val="0"/>
                <w:iCs w:val="0"/>
                <w:color w:val="000000"/>
                <w:sz w:val="22"/>
                <w:szCs w:val="22"/>
                <w:u w:val="none"/>
              </w:rPr>
            </w:pPr>
          </w:p>
        </w:tc>
        <w:tc>
          <w:tcPr>
            <w:tcW w:w="932" w:type="dxa"/>
            <w:tcBorders>
              <w:top w:val="single" w:color="000000" w:sz="4" w:space="0"/>
              <w:left w:val="single" w:color="000000" w:sz="4" w:space="0"/>
              <w:bottom w:val="single" w:color="000000" w:sz="4" w:space="0"/>
              <w:right w:val="single" w:color="000000" w:sz="4" w:space="0"/>
            </w:tcBorders>
            <w:shd w:val="clear"/>
            <w:noWrap/>
            <w:vAlign w:val="center"/>
          </w:tcPr>
          <w:p>
            <w:pPr>
              <w:pageBreakBefore w:val="0"/>
              <w:kinsoku/>
              <w:wordWrap/>
              <w:overflowPunct/>
              <w:topLinePunct w:val="0"/>
              <w:autoSpaceDE/>
              <w:autoSpaceDN/>
              <w:bidi w:val="0"/>
              <w:adjustRightInd/>
              <w:snapToGrid w:val="0"/>
              <w:spacing w:before="0" w:beforeLines="0" w:after="0" w:afterLines="0" w:line="360" w:lineRule="auto"/>
              <w:rPr>
                <w:rFonts w:hint="eastAsia" w:ascii="宋体" w:hAnsi="宋体" w:eastAsia="宋体" w:cs="宋体"/>
                <w:i w:val="0"/>
                <w:iCs w:val="0"/>
                <w:color w:val="000000"/>
                <w:sz w:val="22"/>
                <w:szCs w:val="22"/>
                <w:u w:val="none"/>
              </w:rPr>
            </w:pPr>
          </w:p>
        </w:tc>
        <w:tc>
          <w:tcPr>
            <w:tcW w:w="932"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val="0"/>
              <w:spacing w:line="360" w:lineRule="auto"/>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5</w:t>
            </w:r>
          </w:p>
        </w:tc>
        <w:tc>
          <w:tcPr>
            <w:tcW w:w="932"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val="0"/>
              <w:spacing w:line="360" w:lineRule="auto"/>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16.2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336" w:hRule="atLeast"/>
        </w:trPr>
        <w:tc>
          <w:tcPr>
            <w:tcW w:w="2086"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val="0"/>
              <w:spacing w:line="360" w:lineRule="auto"/>
              <w:jc w:val="left"/>
              <w:textAlignment w:val="center"/>
              <w:rPr>
                <w:rFonts w:hint="eastAsia" w:ascii="宋体" w:hAnsi="宋体" w:eastAsia="宋体" w:cs="宋体"/>
                <w:i w:val="0"/>
                <w:iCs w:val="0"/>
                <w:color w:val="000000"/>
                <w:sz w:val="22"/>
                <w:szCs w:val="22"/>
                <w:u w:val="none"/>
              </w:rPr>
            </w:pPr>
            <w:r>
              <w:rPr>
                <w:rFonts w:hint="default" w:ascii="宋体" w:hAnsi="宋体" w:eastAsia="宋体" w:cs="宋体"/>
                <w:i w:val="0"/>
                <w:iCs w:val="0"/>
                <w:color w:val="000000"/>
                <w:kern w:val="0"/>
                <w:sz w:val="22"/>
                <w:szCs w:val="22"/>
                <w:u w:val="none"/>
                <w:bdr w:val="none" w:color="auto" w:sz="0" w:space="0"/>
                <w:lang w:eastAsia="zh-CN" w:bidi="ar"/>
              </w:rPr>
              <w:t>-</w:t>
            </w:r>
            <w:r>
              <w:rPr>
                <w:rFonts w:hint="eastAsia" w:ascii="宋体" w:hAnsi="宋体" w:eastAsia="宋体" w:cs="宋体"/>
                <w:i w:val="0"/>
                <w:iCs w:val="0"/>
                <w:color w:val="000000"/>
                <w:kern w:val="0"/>
                <w:sz w:val="22"/>
                <w:szCs w:val="22"/>
                <w:u w:val="none"/>
                <w:bdr w:val="none" w:color="auto" w:sz="0" w:space="0"/>
                <w:lang w:val="en-US" w:eastAsia="zh-CN" w:bidi="ar"/>
              </w:rPr>
              <w:t>宜宾基地</w:t>
            </w:r>
          </w:p>
        </w:tc>
        <w:tc>
          <w:tcPr>
            <w:tcW w:w="756" w:type="dxa"/>
            <w:tcBorders>
              <w:top w:val="single" w:color="000000" w:sz="4" w:space="0"/>
              <w:left w:val="single" w:color="000000" w:sz="4" w:space="0"/>
              <w:bottom w:val="single" w:color="000000" w:sz="4" w:space="0"/>
              <w:right w:val="single" w:color="000000" w:sz="4" w:space="0"/>
            </w:tcBorders>
            <w:shd w:val="clear"/>
            <w:noWrap/>
            <w:vAlign w:val="center"/>
          </w:tcPr>
          <w:p>
            <w:pPr>
              <w:pageBreakBefore w:val="0"/>
              <w:kinsoku/>
              <w:wordWrap/>
              <w:overflowPunct/>
              <w:topLinePunct w:val="0"/>
              <w:autoSpaceDE/>
              <w:autoSpaceDN/>
              <w:bidi w:val="0"/>
              <w:adjustRightInd/>
              <w:snapToGrid w:val="0"/>
              <w:spacing w:before="0" w:beforeLines="0" w:after="0" w:afterLines="0" w:line="360" w:lineRule="auto"/>
              <w:rPr>
                <w:rFonts w:hint="eastAsia" w:ascii="宋体" w:hAnsi="宋体" w:eastAsia="宋体" w:cs="宋体"/>
                <w:i w:val="0"/>
                <w:iCs w:val="0"/>
                <w:color w:val="000000"/>
                <w:sz w:val="22"/>
                <w:szCs w:val="22"/>
                <w:u w:val="none"/>
              </w:rPr>
            </w:pPr>
          </w:p>
        </w:tc>
        <w:tc>
          <w:tcPr>
            <w:tcW w:w="932" w:type="dxa"/>
            <w:tcBorders>
              <w:top w:val="single" w:color="000000" w:sz="4" w:space="0"/>
              <w:left w:val="single" w:color="000000" w:sz="4" w:space="0"/>
              <w:bottom w:val="single" w:color="000000" w:sz="4" w:space="0"/>
              <w:right w:val="single" w:color="000000" w:sz="4" w:space="0"/>
            </w:tcBorders>
            <w:shd w:val="clear"/>
            <w:noWrap/>
            <w:vAlign w:val="center"/>
          </w:tcPr>
          <w:p>
            <w:pPr>
              <w:pageBreakBefore w:val="0"/>
              <w:kinsoku/>
              <w:wordWrap/>
              <w:overflowPunct/>
              <w:topLinePunct w:val="0"/>
              <w:autoSpaceDE/>
              <w:autoSpaceDN/>
              <w:bidi w:val="0"/>
              <w:adjustRightInd/>
              <w:snapToGrid w:val="0"/>
              <w:spacing w:before="0" w:beforeLines="0" w:after="0" w:afterLines="0" w:line="360" w:lineRule="auto"/>
              <w:rPr>
                <w:rFonts w:hint="eastAsia" w:ascii="宋体" w:hAnsi="宋体" w:eastAsia="宋体" w:cs="宋体"/>
                <w:i w:val="0"/>
                <w:iCs w:val="0"/>
                <w:color w:val="000000"/>
                <w:sz w:val="22"/>
                <w:szCs w:val="22"/>
                <w:u w:val="none"/>
              </w:rPr>
            </w:pPr>
          </w:p>
        </w:tc>
        <w:tc>
          <w:tcPr>
            <w:tcW w:w="932" w:type="dxa"/>
            <w:tcBorders>
              <w:top w:val="single" w:color="000000" w:sz="4" w:space="0"/>
              <w:left w:val="single" w:color="000000" w:sz="4" w:space="0"/>
              <w:bottom w:val="single" w:color="000000" w:sz="4" w:space="0"/>
              <w:right w:val="single" w:color="000000" w:sz="4" w:space="0"/>
            </w:tcBorders>
            <w:shd w:val="clear"/>
            <w:noWrap/>
            <w:vAlign w:val="center"/>
          </w:tcPr>
          <w:p>
            <w:pPr>
              <w:pageBreakBefore w:val="0"/>
              <w:kinsoku/>
              <w:wordWrap/>
              <w:overflowPunct/>
              <w:topLinePunct w:val="0"/>
              <w:autoSpaceDE/>
              <w:autoSpaceDN/>
              <w:bidi w:val="0"/>
              <w:adjustRightInd/>
              <w:snapToGrid w:val="0"/>
              <w:spacing w:before="0" w:beforeLines="0" w:after="0" w:afterLines="0" w:line="360" w:lineRule="auto"/>
              <w:rPr>
                <w:rFonts w:hint="eastAsia" w:ascii="宋体" w:hAnsi="宋体" w:eastAsia="宋体" w:cs="宋体"/>
                <w:i w:val="0"/>
                <w:iCs w:val="0"/>
                <w:color w:val="000000"/>
                <w:sz w:val="22"/>
                <w:szCs w:val="22"/>
                <w:u w:val="none"/>
              </w:rPr>
            </w:pPr>
          </w:p>
        </w:tc>
        <w:tc>
          <w:tcPr>
            <w:tcW w:w="932" w:type="dxa"/>
            <w:tcBorders>
              <w:top w:val="single" w:color="000000" w:sz="4" w:space="0"/>
              <w:left w:val="single" w:color="000000" w:sz="4" w:space="0"/>
              <w:bottom w:val="single" w:color="000000" w:sz="4" w:space="0"/>
              <w:right w:val="single" w:color="000000" w:sz="4" w:space="0"/>
            </w:tcBorders>
            <w:shd w:val="clear"/>
            <w:noWrap/>
            <w:vAlign w:val="center"/>
          </w:tcPr>
          <w:p>
            <w:pPr>
              <w:pageBreakBefore w:val="0"/>
              <w:kinsoku/>
              <w:wordWrap/>
              <w:overflowPunct/>
              <w:topLinePunct w:val="0"/>
              <w:autoSpaceDE/>
              <w:autoSpaceDN/>
              <w:bidi w:val="0"/>
              <w:adjustRightInd/>
              <w:snapToGrid w:val="0"/>
              <w:spacing w:before="0" w:beforeLines="0" w:after="0" w:afterLines="0" w:line="360" w:lineRule="auto"/>
              <w:rPr>
                <w:rFonts w:hint="eastAsia" w:ascii="宋体" w:hAnsi="宋体" w:eastAsia="宋体" w:cs="宋体"/>
                <w:i w:val="0"/>
                <w:iCs w:val="0"/>
                <w:color w:val="000000"/>
                <w:sz w:val="22"/>
                <w:szCs w:val="22"/>
                <w:u w:val="none"/>
              </w:rPr>
            </w:pPr>
          </w:p>
        </w:tc>
        <w:tc>
          <w:tcPr>
            <w:tcW w:w="932" w:type="dxa"/>
            <w:tcBorders>
              <w:top w:val="single" w:color="000000" w:sz="4" w:space="0"/>
              <w:left w:val="single" w:color="000000" w:sz="4" w:space="0"/>
              <w:bottom w:val="single" w:color="000000" w:sz="4" w:space="0"/>
              <w:right w:val="single" w:color="000000" w:sz="4" w:space="0"/>
            </w:tcBorders>
            <w:shd w:val="clear"/>
            <w:noWrap/>
            <w:vAlign w:val="center"/>
          </w:tcPr>
          <w:p>
            <w:pPr>
              <w:pageBreakBefore w:val="0"/>
              <w:kinsoku/>
              <w:wordWrap/>
              <w:overflowPunct/>
              <w:topLinePunct w:val="0"/>
              <w:autoSpaceDE/>
              <w:autoSpaceDN/>
              <w:bidi w:val="0"/>
              <w:adjustRightInd/>
              <w:snapToGrid w:val="0"/>
              <w:spacing w:before="0" w:beforeLines="0" w:after="0" w:afterLines="0" w:line="360" w:lineRule="auto"/>
              <w:rPr>
                <w:rFonts w:hint="eastAsia" w:ascii="宋体" w:hAnsi="宋体" w:eastAsia="宋体" w:cs="宋体"/>
                <w:i w:val="0"/>
                <w:iCs w:val="0"/>
                <w:color w:val="000000"/>
                <w:sz w:val="22"/>
                <w:szCs w:val="22"/>
                <w:u w:val="none"/>
              </w:rPr>
            </w:pPr>
          </w:p>
        </w:tc>
        <w:tc>
          <w:tcPr>
            <w:tcW w:w="932" w:type="dxa"/>
            <w:tcBorders>
              <w:top w:val="single" w:color="000000" w:sz="4" w:space="0"/>
              <w:left w:val="single" w:color="000000" w:sz="4" w:space="0"/>
              <w:bottom w:val="single" w:color="000000" w:sz="4" w:space="0"/>
              <w:right w:val="single" w:color="000000" w:sz="4" w:space="0"/>
            </w:tcBorders>
            <w:shd w:val="clear"/>
            <w:noWrap/>
            <w:vAlign w:val="center"/>
          </w:tcPr>
          <w:p>
            <w:pPr>
              <w:pageBreakBefore w:val="0"/>
              <w:kinsoku/>
              <w:wordWrap/>
              <w:overflowPunct/>
              <w:topLinePunct w:val="0"/>
              <w:autoSpaceDE/>
              <w:autoSpaceDN/>
              <w:bidi w:val="0"/>
              <w:adjustRightInd/>
              <w:snapToGrid w:val="0"/>
              <w:spacing w:before="0" w:beforeLines="0" w:after="0" w:afterLines="0" w:line="360" w:lineRule="auto"/>
              <w:rPr>
                <w:rFonts w:hint="eastAsia" w:ascii="宋体" w:hAnsi="宋体" w:eastAsia="宋体" w:cs="宋体"/>
                <w:i w:val="0"/>
                <w:iCs w:val="0"/>
                <w:color w:val="000000"/>
                <w:sz w:val="22"/>
                <w:szCs w:val="22"/>
                <w:u w:val="none"/>
              </w:rPr>
            </w:pPr>
          </w:p>
        </w:tc>
      </w:tr>
    </w:tbl>
    <w:p>
      <w:pPr>
        <w:pageBreakBefore w:val="0"/>
        <w:numPr>
          <w:numId w:val="0"/>
        </w:numPr>
        <w:kinsoku/>
        <w:wordWrap/>
        <w:overflowPunct/>
        <w:topLinePunct w:val="0"/>
        <w:autoSpaceDE/>
        <w:autoSpaceDN/>
        <w:bidi w:val="0"/>
        <w:adjustRightInd/>
        <w:snapToGrid w:val="0"/>
        <w:spacing w:line="360" w:lineRule="auto"/>
        <w:ind w:left="420" w:leftChars="0"/>
        <w:rPr>
          <w:b/>
          <w:bCs/>
          <w:sz w:val="22"/>
          <w:szCs w:val="22"/>
        </w:rPr>
      </w:pPr>
    </w:p>
    <w:p>
      <w:pPr>
        <w:pageBreakBefore w:val="0"/>
        <w:numPr>
          <w:numId w:val="0"/>
        </w:numPr>
        <w:kinsoku/>
        <w:wordWrap/>
        <w:overflowPunct/>
        <w:topLinePunct w:val="0"/>
        <w:autoSpaceDE/>
        <w:autoSpaceDN/>
        <w:bidi w:val="0"/>
        <w:adjustRightInd/>
        <w:snapToGrid w:val="0"/>
        <w:spacing w:line="360" w:lineRule="auto"/>
        <w:rPr>
          <w:b/>
          <w:bCs/>
          <w:sz w:val="22"/>
          <w:szCs w:val="22"/>
        </w:rPr>
      </w:pPr>
    </w:p>
    <w:tbl>
      <w:tblPr>
        <w:tblW w:w="8217" w:type="dxa"/>
        <w:tblInd w:w="8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1286"/>
        <w:gridCol w:w="1127"/>
        <w:gridCol w:w="936"/>
        <w:gridCol w:w="790"/>
        <w:gridCol w:w="4078"/>
      </w:tblGrid>
      <w:tr>
        <w:trPr>
          <w:trHeight w:val="366" w:hRule="atLeast"/>
        </w:trPr>
        <w:tc>
          <w:tcPr>
            <w:tcW w:w="128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val="0"/>
              <w:spacing w:line="360" w:lineRule="auto"/>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融资</w:t>
            </w:r>
          </w:p>
        </w:tc>
        <w:tc>
          <w:tcPr>
            <w:tcW w:w="1127"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val="0"/>
              <w:spacing w:line="360" w:lineRule="auto"/>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日期</w:t>
            </w:r>
          </w:p>
        </w:tc>
        <w:tc>
          <w:tcPr>
            <w:tcW w:w="93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val="0"/>
              <w:spacing w:line="360" w:lineRule="auto"/>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期限</w:t>
            </w:r>
          </w:p>
        </w:tc>
        <w:tc>
          <w:tcPr>
            <w:tcW w:w="79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val="0"/>
              <w:spacing w:line="360" w:lineRule="auto"/>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金额</w:t>
            </w:r>
          </w:p>
        </w:tc>
        <w:tc>
          <w:tcPr>
            <w:tcW w:w="407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val="0"/>
              <w:spacing w:line="360" w:lineRule="auto"/>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用途</w:t>
            </w:r>
          </w:p>
        </w:tc>
      </w:tr>
      <w:tr>
        <w:tblPrEx>
          <w:shd w:val="clear"/>
        </w:tblPrEx>
        <w:trPr>
          <w:trHeight w:val="366" w:hRule="atLeast"/>
        </w:trPr>
        <w:tc>
          <w:tcPr>
            <w:tcW w:w="128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val="0"/>
              <w:spacing w:line="360" w:lineRule="auto"/>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租赁融资</w:t>
            </w:r>
          </w:p>
        </w:tc>
        <w:tc>
          <w:tcPr>
            <w:tcW w:w="1127"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val="0"/>
              <w:spacing w:line="360" w:lineRule="auto"/>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2021/9/7</w:t>
            </w:r>
          </w:p>
        </w:tc>
        <w:tc>
          <w:tcPr>
            <w:tcW w:w="93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val="0"/>
              <w:spacing w:line="360" w:lineRule="auto"/>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w:t>
            </w:r>
          </w:p>
        </w:tc>
        <w:tc>
          <w:tcPr>
            <w:tcW w:w="790" w:type="dxa"/>
            <w:tcBorders>
              <w:top w:val="single" w:color="000000" w:sz="4" w:space="0"/>
              <w:left w:val="single" w:color="000000" w:sz="4" w:space="0"/>
              <w:bottom w:val="single" w:color="000000" w:sz="4" w:space="0"/>
              <w:right w:val="single" w:color="000000" w:sz="4" w:space="0"/>
            </w:tcBorders>
            <w:shd w:val="clear"/>
            <w:vAlign w:val="center"/>
          </w:tcPr>
          <w:p>
            <w:pPr>
              <w:pageBreakBefore w:val="0"/>
              <w:kinsoku/>
              <w:wordWrap/>
              <w:overflowPunct/>
              <w:topLinePunct w:val="0"/>
              <w:autoSpaceDE/>
              <w:autoSpaceDN/>
              <w:bidi w:val="0"/>
              <w:adjustRightInd/>
              <w:snapToGrid w:val="0"/>
              <w:spacing w:before="0" w:beforeLines="0" w:after="0" w:afterLines="0" w:line="360" w:lineRule="auto"/>
              <w:rPr>
                <w:rFonts w:hint="eastAsia" w:ascii="宋体" w:hAnsi="宋体" w:eastAsia="宋体" w:cs="宋体"/>
                <w:i w:val="0"/>
                <w:iCs w:val="0"/>
                <w:color w:val="000000"/>
                <w:sz w:val="22"/>
                <w:szCs w:val="22"/>
                <w:u w:val="none"/>
              </w:rPr>
            </w:pPr>
          </w:p>
        </w:tc>
        <w:tc>
          <w:tcPr>
            <w:tcW w:w="4078" w:type="dxa"/>
            <w:tcBorders>
              <w:top w:val="single" w:color="000000" w:sz="4" w:space="0"/>
              <w:left w:val="single" w:color="000000" w:sz="4" w:space="0"/>
              <w:bottom w:val="single" w:color="000000" w:sz="4" w:space="0"/>
              <w:right w:val="single" w:color="000000" w:sz="4" w:space="0"/>
            </w:tcBorders>
            <w:shd w:val="clear"/>
            <w:vAlign w:val="center"/>
          </w:tcPr>
          <w:p>
            <w:pPr>
              <w:pageBreakBefore w:val="0"/>
              <w:kinsoku/>
              <w:wordWrap/>
              <w:overflowPunct/>
              <w:topLinePunct w:val="0"/>
              <w:autoSpaceDE/>
              <w:autoSpaceDN/>
              <w:bidi w:val="0"/>
              <w:adjustRightInd/>
              <w:snapToGrid w:val="0"/>
              <w:spacing w:before="0" w:beforeLines="0" w:after="0" w:afterLines="0" w:line="360" w:lineRule="auto"/>
              <w:rPr>
                <w:rFonts w:hint="eastAsia" w:ascii="宋体" w:hAnsi="宋体" w:eastAsia="宋体" w:cs="宋体"/>
                <w:i w:val="0"/>
                <w:iCs w:val="0"/>
                <w:color w:val="000000"/>
                <w:sz w:val="22"/>
                <w:szCs w:val="22"/>
                <w:u w:val="none"/>
              </w:rPr>
            </w:pPr>
          </w:p>
        </w:tc>
      </w:tr>
      <w:tr>
        <w:trPr>
          <w:trHeight w:val="362" w:hRule="atLeast"/>
        </w:trPr>
        <w:tc>
          <w:tcPr>
            <w:tcW w:w="1286" w:type="dxa"/>
            <w:tcBorders>
              <w:top w:val="single" w:color="000000" w:sz="4" w:space="0"/>
              <w:left w:val="single" w:color="000000" w:sz="4" w:space="0"/>
              <w:bottom w:val="single" w:color="000000" w:sz="4" w:space="0"/>
              <w:right w:val="single" w:color="000000" w:sz="4" w:space="0"/>
            </w:tcBorders>
            <w:shd w:val="clear"/>
            <w:vAlign w:val="center"/>
          </w:tcPr>
          <w:p>
            <w:pPr>
              <w:pageBreakBefore w:val="0"/>
              <w:kinsoku/>
              <w:wordWrap/>
              <w:overflowPunct/>
              <w:topLinePunct w:val="0"/>
              <w:autoSpaceDE/>
              <w:autoSpaceDN/>
              <w:bidi w:val="0"/>
              <w:adjustRightInd/>
              <w:snapToGrid w:val="0"/>
              <w:spacing w:before="0" w:beforeLines="0" w:after="0" w:afterLines="0" w:line="360" w:lineRule="auto"/>
              <w:rPr>
                <w:rFonts w:hint="eastAsia" w:ascii="宋体" w:hAnsi="宋体" w:eastAsia="宋体" w:cs="宋体"/>
                <w:i w:val="0"/>
                <w:iCs w:val="0"/>
                <w:color w:val="000000"/>
                <w:sz w:val="22"/>
                <w:szCs w:val="22"/>
                <w:u w:val="none"/>
              </w:rPr>
            </w:pPr>
          </w:p>
        </w:tc>
        <w:tc>
          <w:tcPr>
            <w:tcW w:w="1127"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val="0"/>
              <w:spacing w:line="360" w:lineRule="auto"/>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2022/2/15</w:t>
            </w:r>
          </w:p>
        </w:tc>
        <w:tc>
          <w:tcPr>
            <w:tcW w:w="93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val="0"/>
              <w:spacing w:line="360" w:lineRule="auto"/>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w:t>
            </w:r>
          </w:p>
        </w:tc>
        <w:tc>
          <w:tcPr>
            <w:tcW w:w="790" w:type="dxa"/>
            <w:tcBorders>
              <w:top w:val="single" w:color="000000" w:sz="4" w:space="0"/>
              <w:left w:val="single" w:color="000000" w:sz="4" w:space="0"/>
              <w:bottom w:val="single" w:color="000000" w:sz="4" w:space="0"/>
              <w:right w:val="single" w:color="000000" w:sz="4" w:space="0"/>
            </w:tcBorders>
            <w:shd w:val="clear"/>
            <w:vAlign w:val="center"/>
          </w:tcPr>
          <w:p>
            <w:pPr>
              <w:pageBreakBefore w:val="0"/>
              <w:kinsoku/>
              <w:wordWrap/>
              <w:overflowPunct/>
              <w:topLinePunct w:val="0"/>
              <w:autoSpaceDE/>
              <w:autoSpaceDN/>
              <w:bidi w:val="0"/>
              <w:adjustRightInd/>
              <w:snapToGrid w:val="0"/>
              <w:spacing w:before="0" w:beforeLines="0" w:after="0" w:afterLines="0" w:line="360" w:lineRule="auto"/>
              <w:rPr>
                <w:rFonts w:hint="eastAsia" w:ascii="宋体" w:hAnsi="宋体" w:eastAsia="宋体" w:cs="宋体"/>
                <w:i w:val="0"/>
                <w:iCs w:val="0"/>
                <w:color w:val="000000"/>
                <w:sz w:val="22"/>
                <w:szCs w:val="22"/>
                <w:u w:val="none"/>
              </w:rPr>
            </w:pPr>
          </w:p>
        </w:tc>
        <w:tc>
          <w:tcPr>
            <w:tcW w:w="4078" w:type="dxa"/>
            <w:tcBorders>
              <w:top w:val="single" w:color="000000" w:sz="4" w:space="0"/>
              <w:left w:val="single" w:color="000000" w:sz="4" w:space="0"/>
              <w:bottom w:val="single" w:color="000000" w:sz="4" w:space="0"/>
              <w:right w:val="single" w:color="000000" w:sz="4" w:space="0"/>
            </w:tcBorders>
            <w:shd w:val="clear"/>
            <w:vAlign w:val="center"/>
          </w:tcPr>
          <w:p>
            <w:pPr>
              <w:pageBreakBefore w:val="0"/>
              <w:kinsoku/>
              <w:wordWrap/>
              <w:overflowPunct/>
              <w:topLinePunct w:val="0"/>
              <w:autoSpaceDE/>
              <w:autoSpaceDN/>
              <w:bidi w:val="0"/>
              <w:adjustRightInd/>
              <w:snapToGrid w:val="0"/>
              <w:spacing w:before="0" w:beforeLines="0" w:after="0" w:afterLines="0" w:line="360" w:lineRule="auto"/>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62" w:hRule="atLeast"/>
        </w:trPr>
        <w:tc>
          <w:tcPr>
            <w:tcW w:w="1286" w:type="dxa"/>
            <w:tcBorders>
              <w:top w:val="single" w:color="000000" w:sz="4" w:space="0"/>
              <w:left w:val="single" w:color="000000" w:sz="4" w:space="0"/>
              <w:bottom w:val="single" w:color="000000" w:sz="4" w:space="0"/>
              <w:right w:val="single" w:color="000000" w:sz="4" w:space="0"/>
            </w:tcBorders>
            <w:shd w:val="clear"/>
            <w:vAlign w:val="center"/>
          </w:tcPr>
          <w:p>
            <w:pPr>
              <w:pageBreakBefore w:val="0"/>
              <w:kinsoku/>
              <w:wordWrap/>
              <w:overflowPunct/>
              <w:topLinePunct w:val="0"/>
              <w:autoSpaceDE/>
              <w:autoSpaceDN/>
              <w:bidi w:val="0"/>
              <w:adjustRightInd/>
              <w:snapToGrid w:val="0"/>
              <w:spacing w:before="0" w:beforeLines="0" w:after="0" w:afterLines="0" w:line="360" w:lineRule="auto"/>
              <w:rPr>
                <w:rFonts w:hint="eastAsia" w:ascii="宋体" w:hAnsi="宋体" w:eastAsia="宋体" w:cs="宋体"/>
                <w:i w:val="0"/>
                <w:iCs w:val="0"/>
                <w:color w:val="000000"/>
                <w:sz w:val="22"/>
                <w:szCs w:val="22"/>
                <w:u w:val="none"/>
              </w:rPr>
            </w:pPr>
          </w:p>
        </w:tc>
        <w:tc>
          <w:tcPr>
            <w:tcW w:w="1127"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val="0"/>
              <w:spacing w:line="360" w:lineRule="auto"/>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2022/2/22</w:t>
            </w:r>
          </w:p>
        </w:tc>
        <w:tc>
          <w:tcPr>
            <w:tcW w:w="93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val="0"/>
              <w:spacing w:line="360" w:lineRule="auto"/>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3.08 </w:t>
            </w:r>
          </w:p>
        </w:tc>
        <w:tc>
          <w:tcPr>
            <w:tcW w:w="790" w:type="dxa"/>
            <w:tcBorders>
              <w:top w:val="single" w:color="000000" w:sz="4" w:space="0"/>
              <w:left w:val="single" w:color="000000" w:sz="4" w:space="0"/>
              <w:bottom w:val="single" w:color="000000" w:sz="4" w:space="0"/>
              <w:right w:val="single" w:color="000000" w:sz="4" w:space="0"/>
            </w:tcBorders>
            <w:shd w:val="clear"/>
            <w:vAlign w:val="center"/>
          </w:tcPr>
          <w:p>
            <w:pPr>
              <w:pageBreakBefore w:val="0"/>
              <w:kinsoku/>
              <w:wordWrap/>
              <w:overflowPunct/>
              <w:topLinePunct w:val="0"/>
              <w:autoSpaceDE/>
              <w:autoSpaceDN/>
              <w:bidi w:val="0"/>
              <w:adjustRightInd/>
              <w:snapToGrid w:val="0"/>
              <w:spacing w:before="0" w:beforeLines="0" w:after="0" w:afterLines="0" w:line="360" w:lineRule="auto"/>
              <w:rPr>
                <w:rFonts w:hint="eastAsia" w:ascii="宋体" w:hAnsi="宋体" w:eastAsia="宋体" w:cs="宋体"/>
                <w:i w:val="0"/>
                <w:iCs w:val="0"/>
                <w:color w:val="000000"/>
                <w:sz w:val="22"/>
                <w:szCs w:val="22"/>
                <w:u w:val="none"/>
              </w:rPr>
            </w:pPr>
          </w:p>
        </w:tc>
        <w:tc>
          <w:tcPr>
            <w:tcW w:w="4078" w:type="dxa"/>
            <w:tcBorders>
              <w:top w:val="single" w:color="000000" w:sz="4" w:space="0"/>
              <w:left w:val="single" w:color="000000" w:sz="4" w:space="0"/>
              <w:bottom w:val="single" w:color="000000" w:sz="4" w:space="0"/>
              <w:right w:val="single" w:color="000000" w:sz="4" w:space="0"/>
            </w:tcBorders>
            <w:shd w:val="clear"/>
            <w:vAlign w:val="center"/>
          </w:tcPr>
          <w:p>
            <w:pPr>
              <w:pageBreakBefore w:val="0"/>
              <w:kinsoku/>
              <w:wordWrap/>
              <w:overflowPunct/>
              <w:topLinePunct w:val="0"/>
              <w:autoSpaceDE/>
              <w:autoSpaceDN/>
              <w:bidi w:val="0"/>
              <w:adjustRightInd/>
              <w:snapToGrid w:val="0"/>
              <w:spacing w:before="0" w:beforeLines="0" w:after="0" w:afterLines="0" w:line="360" w:lineRule="auto"/>
              <w:rPr>
                <w:rFonts w:hint="eastAsia" w:ascii="宋体" w:hAnsi="宋体" w:eastAsia="宋体" w:cs="宋体"/>
                <w:i w:val="0"/>
                <w:iCs w:val="0"/>
                <w:color w:val="000000"/>
                <w:sz w:val="22"/>
                <w:szCs w:val="22"/>
                <w:u w:val="none"/>
              </w:rPr>
            </w:pPr>
          </w:p>
        </w:tc>
      </w:tr>
      <w:tr>
        <w:trPr>
          <w:trHeight w:val="362" w:hRule="atLeast"/>
        </w:trPr>
        <w:tc>
          <w:tcPr>
            <w:tcW w:w="1286" w:type="dxa"/>
            <w:tcBorders>
              <w:top w:val="single" w:color="000000" w:sz="4" w:space="0"/>
              <w:left w:val="single" w:color="000000" w:sz="4" w:space="0"/>
              <w:bottom w:val="single" w:color="000000" w:sz="4" w:space="0"/>
              <w:right w:val="single" w:color="000000" w:sz="4" w:space="0"/>
            </w:tcBorders>
            <w:shd w:val="clear"/>
            <w:vAlign w:val="center"/>
          </w:tcPr>
          <w:p>
            <w:pPr>
              <w:pageBreakBefore w:val="0"/>
              <w:kinsoku/>
              <w:wordWrap/>
              <w:overflowPunct/>
              <w:topLinePunct w:val="0"/>
              <w:autoSpaceDE/>
              <w:autoSpaceDN/>
              <w:bidi w:val="0"/>
              <w:adjustRightInd/>
              <w:snapToGrid w:val="0"/>
              <w:spacing w:before="0" w:beforeLines="0" w:after="0" w:afterLines="0" w:line="360" w:lineRule="auto"/>
              <w:rPr>
                <w:rFonts w:hint="eastAsia" w:ascii="宋体" w:hAnsi="宋体" w:eastAsia="宋体" w:cs="宋体"/>
                <w:i w:val="0"/>
                <w:iCs w:val="0"/>
                <w:color w:val="000000"/>
                <w:sz w:val="22"/>
                <w:szCs w:val="22"/>
                <w:u w:val="none"/>
              </w:rPr>
            </w:pPr>
          </w:p>
        </w:tc>
        <w:tc>
          <w:tcPr>
            <w:tcW w:w="1127"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val="0"/>
              <w:spacing w:line="360" w:lineRule="auto"/>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2022/3/9</w:t>
            </w:r>
          </w:p>
        </w:tc>
        <w:tc>
          <w:tcPr>
            <w:tcW w:w="93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val="0"/>
              <w:spacing w:line="360" w:lineRule="auto"/>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3.08</w:t>
            </w:r>
          </w:p>
        </w:tc>
        <w:tc>
          <w:tcPr>
            <w:tcW w:w="790" w:type="dxa"/>
            <w:tcBorders>
              <w:top w:val="single" w:color="000000" w:sz="4" w:space="0"/>
              <w:left w:val="single" w:color="000000" w:sz="4" w:space="0"/>
              <w:bottom w:val="single" w:color="000000" w:sz="4" w:space="0"/>
              <w:right w:val="single" w:color="000000" w:sz="4" w:space="0"/>
            </w:tcBorders>
            <w:shd w:val="clear"/>
            <w:vAlign w:val="center"/>
          </w:tcPr>
          <w:p>
            <w:pPr>
              <w:pageBreakBefore w:val="0"/>
              <w:kinsoku/>
              <w:wordWrap/>
              <w:overflowPunct/>
              <w:topLinePunct w:val="0"/>
              <w:autoSpaceDE/>
              <w:autoSpaceDN/>
              <w:bidi w:val="0"/>
              <w:adjustRightInd/>
              <w:snapToGrid w:val="0"/>
              <w:spacing w:before="0" w:beforeLines="0" w:after="0" w:afterLines="0" w:line="360" w:lineRule="auto"/>
              <w:rPr>
                <w:rFonts w:hint="eastAsia" w:ascii="宋体" w:hAnsi="宋体" w:eastAsia="宋体" w:cs="宋体"/>
                <w:i w:val="0"/>
                <w:iCs w:val="0"/>
                <w:color w:val="000000"/>
                <w:sz w:val="22"/>
                <w:szCs w:val="22"/>
                <w:u w:val="none"/>
              </w:rPr>
            </w:pPr>
          </w:p>
        </w:tc>
        <w:tc>
          <w:tcPr>
            <w:tcW w:w="4078" w:type="dxa"/>
            <w:tcBorders>
              <w:top w:val="single" w:color="000000" w:sz="4" w:space="0"/>
              <w:left w:val="single" w:color="000000" w:sz="4" w:space="0"/>
              <w:bottom w:val="single" w:color="000000" w:sz="4" w:space="0"/>
              <w:right w:val="single" w:color="000000" w:sz="4" w:space="0"/>
            </w:tcBorders>
            <w:shd w:val="clear"/>
            <w:vAlign w:val="center"/>
          </w:tcPr>
          <w:p>
            <w:pPr>
              <w:pageBreakBefore w:val="0"/>
              <w:kinsoku/>
              <w:wordWrap/>
              <w:overflowPunct/>
              <w:topLinePunct w:val="0"/>
              <w:autoSpaceDE/>
              <w:autoSpaceDN/>
              <w:bidi w:val="0"/>
              <w:adjustRightInd/>
              <w:snapToGrid w:val="0"/>
              <w:spacing w:before="0" w:beforeLines="0" w:after="0" w:afterLines="0" w:line="360" w:lineRule="auto"/>
              <w:rPr>
                <w:rFonts w:hint="eastAsia" w:ascii="宋体" w:hAnsi="宋体" w:eastAsia="宋体" w:cs="宋体"/>
                <w:i w:val="0"/>
                <w:iCs w:val="0"/>
                <w:color w:val="000000"/>
                <w:sz w:val="22"/>
                <w:szCs w:val="22"/>
                <w:u w:val="none"/>
              </w:rPr>
            </w:pPr>
          </w:p>
        </w:tc>
      </w:tr>
      <w:tr>
        <w:trPr>
          <w:trHeight w:val="362" w:hRule="atLeast"/>
        </w:trPr>
        <w:tc>
          <w:tcPr>
            <w:tcW w:w="1286" w:type="dxa"/>
            <w:tcBorders>
              <w:top w:val="single" w:color="000000" w:sz="4" w:space="0"/>
              <w:left w:val="single" w:color="000000" w:sz="4" w:space="0"/>
              <w:bottom w:val="single" w:color="000000" w:sz="4" w:space="0"/>
              <w:right w:val="single" w:color="000000" w:sz="4" w:space="0"/>
            </w:tcBorders>
            <w:shd w:val="clear"/>
            <w:vAlign w:val="center"/>
          </w:tcPr>
          <w:p>
            <w:pPr>
              <w:pageBreakBefore w:val="0"/>
              <w:kinsoku/>
              <w:wordWrap/>
              <w:overflowPunct/>
              <w:topLinePunct w:val="0"/>
              <w:autoSpaceDE/>
              <w:autoSpaceDN/>
              <w:bidi w:val="0"/>
              <w:adjustRightInd/>
              <w:snapToGrid w:val="0"/>
              <w:spacing w:before="0" w:beforeLines="0" w:after="0" w:afterLines="0" w:line="360" w:lineRule="auto"/>
              <w:rPr>
                <w:rFonts w:hint="eastAsia" w:ascii="宋体" w:hAnsi="宋体" w:eastAsia="宋体" w:cs="宋体"/>
                <w:i w:val="0"/>
                <w:iCs w:val="0"/>
                <w:color w:val="000000"/>
                <w:sz w:val="22"/>
                <w:szCs w:val="22"/>
                <w:u w:val="none"/>
              </w:rPr>
            </w:pPr>
          </w:p>
        </w:tc>
        <w:tc>
          <w:tcPr>
            <w:tcW w:w="1127"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val="0"/>
              <w:spacing w:line="360" w:lineRule="auto"/>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2022/4/25</w:t>
            </w:r>
          </w:p>
        </w:tc>
        <w:tc>
          <w:tcPr>
            <w:tcW w:w="93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val="0"/>
              <w:spacing w:line="360" w:lineRule="auto"/>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5</w:t>
            </w:r>
          </w:p>
        </w:tc>
        <w:tc>
          <w:tcPr>
            <w:tcW w:w="790" w:type="dxa"/>
            <w:tcBorders>
              <w:top w:val="single" w:color="000000" w:sz="4" w:space="0"/>
              <w:left w:val="single" w:color="000000" w:sz="4" w:space="0"/>
              <w:bottom w:val="single" w:color="000000" w:sz="4" w:space="0"/>
              <w:right w:val="single" w:color="000000" w:sz="4" w:space="0"/>
            </w:tcBorders>
            <w:shd w:val="clear"/>
            <w:vAlign w:val="center"/>
          </w:tcPr>
          <w:p>
            <w:pPr>
              <w:pageBreakBefore w:val="0"/>
              <w:kinsoku/>
              <w:wordWrap/>
              <w:overflowPunct/>
              <w:topLinePunct w:val="0"/>
              <w:autoSpaceDE/>
              <w:autoSpaceDN/>
              <w:bidi w:val="0"/>
              <w:adjustRightInd/>
              <w:snapToGrid w:val="0"/>
              <w:spacing w:before="0" w:beforeLines="0" w:after="0" w:afterLines="0" w:line="360" w:lineRule="auto"/>
              <w:rPr>
                <w:rFonts w:hint="eastAsia" w:ascii="宋体" w:hAnsi="宋体" w:eastAsia="宋体" w:cs="宋体"/>
                <w:i w:val="0"/>
                <w:iCs w:val="0"/>
                <w:color w:val="000000"/>
                <w:sz w:val="22"/>
                <w:szCs w:val="22"/>
                <w:u w:val="none"/>
              </w:rPr>
            </w:pPr>
          </w:p>
        </w:tc>
        <w:tc>
          <w:tcPr>
            <w:tcW w:w="4078" w:type="dxa"/>
            <w:tcBorders>
              <w:top w:val="single" w:color="000000" w:sz="4" w:space="0"/>
              <w:left w:val="single" w:color="000000" w:sz="4" w:space="0"/>
              <w:bottom w:val="single" w:color="000000" w:sz="4" w:space="0"/>
              <w:right w:val="single" w:color="000000" w:sz="4" w:space="0"/>
            </w:tcBorders>
            <w:shd w:val="clear"/>
            <w:vAlign w:val="center"/>
          </w:tcPr>
          <w:p>
            <w:pPr>
              <w:pageBreakBefore w:val="0"/>
              <w:kinsoku/>
              <w:wordWrap/>
              <w:overflowPunct/>
              <w:topLinePunct w:val="0"/>
              <w:autoSpaceDE/>
              <w:autoSpaceDN/>
              <w:bidi w:val="0"/>
              <w:adjustRightInd/>
              <w:snapToGrid w:val="0"/>
              <w:spacing w:before="0" w:beforeLines="0" w:after="0" w:afterLines="0" w:line="360" w:lineRule="auto"/>
              <w:rPr>
                <w:rFonts w:hint="eastAsia" w:ascii="宋体" w:hAnsi="宋体" w:eastAsia="宋体" w:cs="宋体"/>
                <w:i w:val="0"/>
                <w:iCs w:val="0"/>
                <w:color w:val="000000"/>
                <w:sz w:val="22"/>
                <w:szCs w:val="22"/>
                <w:u w:val="none"/>
              </w:rPr>
            </w:pPr>
          </w:p>
        </w:tc>
      </w:tr>
      <w:tr>
        <w:trPr>
          <w:trHeight w:val="362" w:hRule="atLeast"/>
        </w:trPr>
        <w:tc>
          <w:tcPr>
            <w:tcW w:w="1286" w:type="dxa"/>
            <w:tcBorders>
              <w:top w:val="single" w:color="000000" w:sz="4" w:space="0"/>
              <w:left w:val="single" w:color="000000" w:sz="4" w:space="0"/>
              <w:bottom w:val="single" w:color="000000" w:sz="4" w:space="0"/>
              <w:right w:val="single" w:color="000000" w:sz="4" w:space="0"/>
            </w:tcBorders>
            <w:shd w:val="clear"/>
            <w:vAlign w:val="center"/>
          </w:tcPr>
          <w:p>
            <w:pPr>
              <w:pageBreakBefore w:val="0"/>
              <w:kinsoku/>
              <w:wordWrap/>
              <w:overflowPunct/>
              <w:topLinePunct w:val="0"/>
              <w:autoSpaceDE/>
              <w:autoSpaceDN/>
              <w:bidi w:val="0"/>
              <w:adjustRightInd/>
              <w:snapToGrid w:val="0"/>
              <w:spacing w:before="0" w:beforeLines="0" w:after="0" w:afterLines="0" w:line="360" w:lineRule="auto"/>
              <w:rPr>
                <w:rFonts w:hint="eastAsia" w:ascii="宋体" w:hAnsi="宋体" w:eastAsia="宋体" w:cs="宋体"/>
                <w:i w:val="0"/>
                <w:iCs w:val="0"/>
                <w:color w:val="000000"/>
                <w:sz w:val="22"/>
                <w:szCs w:val="22"/>
                <w:u w:val="none"/>
              </w:rPr>
            </w:pPr>
          </w:p>
        </w:tc>
        <w:tc>
          <w:tcPr>
            <w:tcW w:w="1127"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val="0"/>
              <w:spacing w:line="360" w:lineRule="auto"/>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2022/7/1</w:t>
            </w:r>
          </w:p>
        </w:tc>
        <w:tc>
          <w:tcPr>
            <w:tcW w:w="93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val="0"/>
              <w:spacing w:line="360" w:lineRule="auto"/>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w:t>
            </w:r>
          </w:p>
        </w:tc>
        <w:tc>
          <w:tcPr>
            <w:tcW w:w="79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val="0"/>
              <w:spacing w:line="360" w:lineRule="auto"/>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5</w:t>
            </w:r>
          </w:p>
        </w:tc>
        <w:tc>
          <w:tcPr>
            <w:tcW w:w="4078" w:type="dxa"/>
            <w:tcBorders>
              <w:top w:val="single" w:color="000000" w:sz="4" w:space="0"/>
              <w:left w:val="single" w:color="000000" w:sz="4" w:space="0"/>
              <w:bottom w:val="single" w:color="000000" w:sz="4" w:space="0"/>
              <w:right w:val="single" w:color="000000" w:sz="4" w:space="0"/>
            </w:tcBorders>
            <w:shd w:val="clear"/>
            <w:vAlign w:val="center"/>
          </w:tcPr>
          <w:p>
            <w:pPr>
              <w:pageBreakBefore w:val="0"/>
              <w:kinsoku/>
              <w:wordWrap/>
              <w:overflowPunct/>
              <w:topLinePunct w:val="0"/>
              <w:autoSpaceDE/>
              <w:autoSpaceDN/>
              <w:bidi w:val="0"/>
              <w:adjustRightInd/>
              <w:snapToGrid w:val="0"/>
              <w:spacing w:before="0" w:beforeLines="0" w:after="0" w:afterLines="0" w:line="360" w:lineRule="auto"/>
              <w:rPr>
                <w:rFonts w:hint="eastAsia" w:ascii="宋体" w:hAnsi="宋体" w:eastAsia="宋体" w:cs="宋体"/>
                <w:i w:val="0"/>
                <w:iCs w:val="0"/>
                <w:color w:val="000000"/>
                <w:sz w:val="22"/>
                <w:szCs w:val="22"/>
                <w:u w:val="none"/>
              </w:rPr>
            </w:pPr>
          </w:p>
        </w:tc>
      </w:tr>
      <w:tr>
        <w:trPr>
          <w:trHeight w:val="362" w:hRule="atLeast"/>
        </w:trPr>
        <w:tc>
          <w:tcPr>
            <w:tcW w:w="1286" w:type="dxa"/>
            <w:tcBorders>
              <w:top w:val="single" w:color="000000" w:sz="4" w:space="0"/>
              <w:left w:val="single" w:color="000000" w:sz="4" w:space="0"/>
              <w:bottom w:val="single" w:color="000000" w:sz="4" w:space="0"/>
              <w:right w:val="single" w:color="000000" w:sz="4" w:space="0"/>
            </w:tcBorders>
            <w:shd w:val="clear"/>
            <w:vAlign w:val="center"/>
          </w:tcPr>
          <w:p>
            <w:pPr>
              <w:pageBreakBefore w:val="0"/>
              <w:kinsoku/>
              <w:wordWrap/>
              <w:overflowPunct/>
              <w:topLinePunct w:val="0"/>
              <w:autoSpaceDE/>
              <w:autoSpaceDN/>
              <w:bidi w:val="0"/>
              <w:adjustRightInd/>
              <w:snapToGrid w:val="0"/>
              <w:spacing w:before="0" w:beforeLines="0" w:after="0" w:afterLines="0" w:line="360" w:lineRule="auto"/>
              <w:rPr>
                <w:rFonts w:hint="eastAsia" w:ascii="宋体" w:hAnsi="宋体" w:eastAsia="宋体" w:cs="宋体"/>
                <w:i w:val="0"/>
                <w:iCs w:val="0"/>
                <w:color w:val="000000"/>
                <w:sz w:val="22"/>
                <w:szCs w:val="22"/>
                <w:u w:val="none"/>
              </w:rPr>
            </w:pPr>
          </w:p>
        </w:tc>
        <w:tc>
          <w:tcPr>
            <w:tcW w:w="1127"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val="0"/>
              <w:spacing w:line="360" w:lineRule="auto"/>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2022/7/1</w:t>
            </w:r>
          </w:p>
        </w:tc>
        <w:tc>
          <w:tcPr>
            <w:tcW w:w="93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val="0"/>
              <w:spacing w:line="360" w:lineRule="auto"/>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w:t>
            </w:r>
          </w:p>
        </w:tc>
        <w:tc>
          <w:tcPr>
            <w:tcW w:w="79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val="0"/>
              <w:spacing w:line="360" w:lineRule="auto"/>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0.4</w:t>
            </w:r>
          </w:p>
        </w:tc>
        <w:tc>
          <w:tcPr>
            <w:tcW w:w="4078" w:type="dxa"/>
            <w:tcBorders>
              <w:top w:val="single" w:color="000000" w:sz="4" w:space="0"/>
              <w:left w:val="single" w:color="000000" w:sz="4" w:space="0"/>
              <w:bottom w:val="single" w:color="000000" w:sz="4" w:space="0"/>
              <w:right w:val="single" w:color="000000" w:sz="4" w:space="0"/>
            </w:tcBorders>
            <w:shd w:val="clear"/>
            <w:vAlign w:val="center"/>
          </w:tcPr>
          <w:p>
            <w:pPr>
              <w:pageBreakBefore w:val="0"/>
              <w:kinsoku/>
              <w:wordWrap/>
              <w:overflowPunct/>
              <w:topLinePunct w:val="0"/>
              <w:autoSpaceDE/>
              <w:autoSpaceDN/>
              <w:bidi w:val="0"/>
              <w:adjustRightInd/>
              <w:snapToGrid w:val="0"/>
              <w:spacing w:before="0" w:beforeLines="0" w:after="0" w:afterLines="0" w:line="360" w:lineRule="auto"/>
              <w:rPr>
                <w:rFonts w:hint="eastAsia" w:ascii="宋体" w:hAnsi="宋体" w:eastAsia="宋体" w:cs="宋体"/>
                <w:i w:val="0"/>
                <w:iCs w:val="0"/>
                <w:color w:val="000000"/>
                <w:sz w:val="22"/>
                <w:szCs w:val="22"/>
                <w:u w:val="none"/>
              </w:rPr>
            </w:pPr>
          </w:p>
        </w:tc>
      </w:tr>
      <w:tr>
        <w:trPr>
          <w:trHeight w:val="621" w:hRule="atLeast"/>
        </w:trPr>
        <w:tc>
          <w:tcPr>
            <w:tcW w:w="128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val="0"/>
              <w:spacing w:line="360" w:lineRule="auto"/>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应收账款融资</w:t>
            </w:r>
          </w:p>
        </w:tc>
        <w:tc>
          <w:tcPr>
            <w:tcW w:w="1127"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val="0"/>
              <w:spacing w:line="360" w:lineRule="auto"/>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2022/7/11</w:t>
            </w:r>
          </w:p>
        </w:tc>
        <w:tc>
          <w:tcPr>
            <w:tcW w:w="93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val="0"/>
              <w:spacing w:line="360" w:lineRule="auto"/>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w:t>
            </w:r>
          </w:p>
        </w:tc>
        <w:tc>
          <w:tcPr>
            <w:tcW w:w="79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val="0"/>
              <w:spacing w:line="360" w:lineRule="auto"/>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0.2</w:t>
            </w:r>
          </w:p>
        </w:tc>
        <w:tc>
          <w:tcPr>
            <w:tcW w:w="4078" w:type="dxa"/>
            <w:tcBorders>
              <w:top w:val="single" w:color="000000" w:sz="4" w:space="0"/>
              <w:left w:val="single" w:color="000000" w:sz="4" w:space="0"/>
              <w:bottom w:val="single" w:color="000000" w:sz="4" w:space="0"/>
              <w:right w:val="single" w:color="000000" w:sz="4" w:space="0"/>
            </w:tcBorders>
            <w:shd w:val="clear"/>
            <w:vAlign w:val="center"/>
          </w:tcPr>
          <w:p>
            <w:pPr>
              <w:pageBreakBefore w:val="0"/>
              <w:kinsoku/>
              <w:wordWrap/>
              <w:overflowPunct/>
              <w:topLinePunct w:val="0"/>
              <w:autoSpaceDE/>
              <w:autoSpaceDN/>
              <w:bidi w:val="0"/>
              <w:adjustRightInd/>
              <w:snapToGrid w:val="0"/>
              <w:spacing w:before="0" w:beforeLines="0" w:after="0" w:afterLines="0" w:line="360" w:lineRule="auto"/>
              <w:rPr>
                <w:rFonts w:hint="eastAsia" w:ascii="宋体" w:hAnsi="宋体" w:eastAsia="宋体" w:cs="宋体"/>
                <w:i w:val="0"/>
                <w:iCs w:val="0"/>
                <w:color w:val="000000"/>
                <w:sz w:val="22"/>
                <w:szCs w:val="22"/>
                <w:u w:val="none"/>
              </w:rPr>
            </w:pPr>
          </w:p>
        </w:tc>
      </w:tr>
      <w:tr>
        <w:trPr>
          <w:trHeight w:val="362" w:hRule="atLeast"/>
        </w:trPr>
        <w:tc>
          <w:tcPr>
            <w:tcW w:w="1286" w:type="dxa"/>
            <w:tcBorders>
              <w:top w:val="single" w:color="000000" w:sz="4" w:space="0"/>
              <w:left w:val="single" w:color="000000" w:sz="4" w:space="0"/>
              <w:bottom w:val="single" w:color="000000" w:sz="4" w:space="0"/>
              <w:right w:val="single" w:color="000000" w:sz="4" w:space="0"/>
            </w:tcBorders>
            <w:shd w:val="clear"/>
            <w:vAlign w:val="center"/>
          </w:tcPr>
          <w:p>
            <w:pPr>
              <w:pageBreakBefore w:val="0"/>
              <w:kinsoku/>
              <w:wordWrap/>
              <w:overflowPunct/>
              <w:topLinePunct w:val="0"/>
              <w:autoSpaceDE/>
              <w:autoSpaceDN/>
              <w:bidi w:val="0"/>
              <w:adjustRightInd/>
              <w:snapToGrid w:val="0"/>
              <w:spacing w:before="0" w:beforeLines="0" w:after="0" w:afterLines="0" w:line="360" w:lineRule="auto"/>
              <w:rPr>
                <w:rFonts w:hint="eastAsia" w:ascii="宋体" w:hAnsi="宋体" w:eastAsia="宋体" w:cs="宋体"/>
                <w:i w:val="0"/>
                <w:iCs w:val="0"/>
                <w:color w:val="000000"/>
                <w:sz w:val="22"/>
                <w:szCs w:val="22"/>
                <w:u w:val="none"/>
              </w:rPr>
            </w:pPr>
          </w:p>
        </w:tc>
        <w:tc>
          <w:tcPr>
            <w:tcW w:w="1127"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val="0"/>
              <w:spacing w:line="360" w:lineRule="auto"/>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2021/7/16</w:t>
            </w:r>
          </w:p>
        </w:tc>
        <w:tc>
          <w:tcPr>
            <w:tcW w:w="93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val="0"/>
              <w:spacing w:line="360" w:lineRule="auto"/>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8.41</w:t>
            </w:r>
          </w:p>
        </w:tc>
        <w:tc>
          <w:tcPr>
            <w:tcW w:w="790" w:type="dxa"/>
            <w:tcBorders>
              <w:top w:val="single" w:color="000000" w:sz="4" w:space="0"/>
              <w:left w:val="single" w:color="000000" w:sz="4" w:space="0"/>
              <w:bottom w:val="single" w:color="000000" w:sz="4" w:space="0"/>
              <w:right w:val="single" w:color="000000" w:sz="4" w:space="0"/>
            </w:tcBorders>
            <w:shd w:val="clear"/>
            <w:vAlign w:val="center"/>
          </w:tcPr>
          <w:p>
            <w:pPr>
              <w:pageBreakBefore w:val="0"/>
              <w:kinsoku/>
              <w:wordWrap/>
              <w:overflowPunct/>
              <w:topLinePunct w:val="0"/>
              <w:autoSpaceDE/>
              <w:autoSpaceDN/>
              <w:bidi w:val="0"/>
              <w:adjustRightInd/>
              <w:snapToGrid w:val="0"/>
              <w:spacing w:before="0" w:beforeLines="0" w:after="0" w:afterLines="0" w:line="360" w:lineRule="auto"/>
              <w:rPr>
                <w:rFonts w:hint="eastAsia" w:ascii="宋体" w:hAnsi="宋体" w:eastAsia="宋体" w:cs="宋体"/>
                <w:i w:val="0"/>
                <w:iCs w:val="0"/>
                <w:color w:val="000000"/>
                <w:sz w:val="22"/>
                <w:szCs w:val="22"/>
                <w:u w:val="none"/>
              </w:rPr>
            </w:pPr>
          </w:p>
        </w:tc>
        <w:tc>
          <w:tcPr>
            <w:tcW w:w="4078" w:type="dxa"/>
            <w:tcBorders>
              <w:top w:val="single" w:color="000000" w:sz="4" w:space="0"/>
              <w:left w:val="single" w:color="000000" w:sz="4" w:space="0"/>
              <w:bottom w:val="single" w:color="000000" w:sz="4" w:space="0"/>
              <w:right w:val="single" w:color="000000" w:sz="4" w:space="0"/>
            </w:tcBorders>
            <w:shd w:val="clear"/>
            <w:vAlign w:val="center"/>
          </w:tcPr>
          <w:p>
            <w:pPr>
              <w:pageBreakBefore w:val="0"/>
              <w:kinsoku/>
              <w:wordWrap/>
              <w:overflowPunct/>
              <w:topLinePunct w:val="0"/>
              <w:autoSpaceDE/>
              <w:autoSpaceDN/>
              <w:bidi w:val="0"/>
              <w:adjustRightInd/>
              <w:snapToGrid w:val="0"/>
              <w:spacing w:before="0" w:beforeLines="0" w:after="0" w:afterLines="0" w:line="360" w:lineRule="auto"/>
              <w:rPr>
                <w:rFonts w:hint="eastAsia" w:ascii="宋体" w:hAnsi="宋体" w:eastAsia="宋体" w:cs="宋体"/>
                <w:i w:val="0"/>
                <w:iCs w:val="0"/>
                <w:color w:val="000000"/>
                <w:sz w:val="22"/>
                <w:szCs w:val="22"/>
                <w:u w:val="none"/>
              </w:rPr>
            </w:pPr>
          </w:p>
        </w:tc>
      </w:tr>
      <w:tr>
        <w:trPr>
          <w:trHeight w:val="1057" w:hRule="atLeast"/>
        </w:trPr>
        <w:tc>
          <w:tcPr>
            <w:tcW w:w="128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val="0"/>
              <w:spacing w:line="360" w:lineRule="auto"/>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定向增发</w:t>
            </w:r>
          </w:p>
        </w:tc>
        <w:tc>
          <w:tcPr>
            <w:tcW w:w="1127"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val="0"/>
              <w:spacing w:line="360" w:lineRule="auto"/>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2022/6/9</w:t>
            </w:r>
          </w:p>
        </w:tc>
        <w:tc>
          <w:tcPr>
            <w:tcW w:w="936" w:type="dxa"/>
            <w:tcBorders>
              <w:top w:val="single" w:color="000000" w:sz="4" w:space="0"/>
              <w:left w:val="single" w:color="000000" w:sz="4" w:space="0"/>
              <w:bottom w:val="single" w:color="000000" w:sz="4" w:space="0"/>
              <w:right w:val="single" w:color="000000" w:sz="4" w:space="0"/>
            </w:tcBorders>
            <w:shd w:val="clear"/>
            <w:vAlign w:val="center"/>
          </w:tcPr>
          <w:p>
            <w:pPr>
              <w:pageBreakBefore w:val="0"/>
              <w:kinsoku/>
              <w:wordWrap/>
              <w:overflowPunct/>
              <w:topLinePunct w:val="0"/>
              <w:autoSpaceDE/>
              <w:autoSpaceDN/>
              <w:bidi w:val="0"/>
              <w:adjustRightInd/>
              <w:snapToGrid w:val="0"/>
              <w:spacing w:before="0" w:beforeLines="0" w:after="0" w:afterLines="0" w:line="360" w:lineRule="auto"/>
              <w:rPr>
                <w:rFonts w:hint="eastAsia" w:ascii="宋体" w:hAnsi="宋体" w:eastAsia="宋体" w:cs="宋体"/>
                <w:i w:val="0"/>
                <w:iCs w:val="0"/>
                <w:color w:val="000000"/>
                <w:sz w:val="22"/>
                <w:szCs w:val="22"/>
                <w:u w:val="none"/>
              </w:rPr>
            </w:pPr>
          </w:p>
        </w:tc>
        <w:tc>
          <w:tcPr>
            <w:tcW w:w="79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val="0"/>
              <w:spacing w:line="360" w:lineRule="auto"/>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32</w:t>
            </w:r>
          </w:p>
        </w:tc>
        <w:tc>
          <w:tcPr>
            <w:tcW w:w="407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val="0"/>
              <w:spacing w:line="360" w:lineRule="auto"/>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使用23亿元用于年产11万吨新型磷酸盐系正极材料生产基地项目，另外拟使用9亿元用于补充流动资金。</w:t>
            </w:r>
          </w:p>
        </w:tc>
      </w:tr>
      <w:tr>
        <w:tblPrEx>
          <w:shd w:val="clear"/>
        </w:tblPrEx>
        <w:trPr>
          <w:trHeight w:val="731" w:hRule="atLeast"/>
        </w:trPr>
        <w:tc>
          <w:tcPr>
            <w:tcW w:w="1286" w:type="dxa"/>
            <w:tcBorders>
              <w:top w:val="single" w:color="000000" w:sz="4" w:space="0"/>
              <w:left w:val="single" w:color="000000" w:sz="4" w:space="0"/>
              <w:bottom w:val="single" w:color="000000" w:sz="4" w:space="0"/>
              <w:right w:val="single" w:color="000000" w:sz="4" w:space="0"/>
            </w:tcBorders>
            <w:shd w:val="clear"/>
            <w:vAlign w:val="center"/>
          </w:tcPr>
          <w:p>
            <w:pPr>
              <w:pageBreakBefore w:val="0"/>
              <w:kinsoku/>
              <w:wordWrap/>
              <w:overflowPunct/>
              <w:topLinePunct w:val="0"/>
              <w:autoSpaceDE/>
              <w:autoSpaceDN/>
              <w:bidi w:val="0"/>
              <w:adjustRightInd/>
              <w:snapToGrid w:val="0"/>
              <w:spacing w:before="0" w:beforeLines="0" w:after="0" w:afterLines="0" w:line="360" w:lineRule="auto"/>
              <w:rPr>
                <w:rFonts w:hint="eastAsia" w:ascii="宋体" w:hAnsi="宋体" w:eastAsia="宋体" w:cs="宋体"/>
                <w:i w:val="0"/>
                <w:iCs w:val="0"/>
                <w:color w:val="000000"/>
                <w:sz w:val="22"/>
                <w:szCs w:val="22"/>
                <w:u w:val="none"/>
              </w:rPr>
            </w:pPr>
          </w:p>
        </w:tc>
        <w:tc>
          <w:tcPr>
            <w:tcW w:w="1127"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val="0"/>
              <w:spacing w:line="360" w:lineRule="auto"/>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2020/12/2</w:t>
            </w:r>
          </w:p>
        </w:tc>
        <w:tc>
          <w:tcPr>
            <w:tcW w:w="936" w:type="dxa"/>
            <w:tcBorders>
              <w:top w:val="single" w:color="000000" w:sz="4" w:space="0"/>
              <w:left w:val="single" w:color="000000" w:sz="4" w:space="0"/>
              <w:bottom w:val="single" w:color="000000" w:sz="4" w:space="0"/>
              <w:right w:val="single" w:color="000000" w:sz="4" w:space="0"/>
            </w:tcBorders>
            <w:shd w:val="clear"/>
            <w:vAlign w:val="center"/>
          </w:tcPr>
          <w:p>
            <w:pPr>
              <w:pageBreakBefore w:val="0"/>
              <w:kinsoku/>
              <w:wordWrap/>
              <w:overflowPunct/>
              <w:topLinePunct w:val="0"/>
              <w:autoSpaceDE/>
              <w:autoSpaceDN/>
              <w:bidi w:val="0"/>
              <w:adjustRightInd/>
              <w:snapToGrid w:val="0"/>
              <w:spacing w:before="0" w:beforeLines="0" w:after="0" w:afterLines="0" w:line="360" w:lineRule="auto"/>
              <w:rPr>
                <w:rFonts w:hint="eastAsia" w:ascii="宋体" w:hAnsi="宋体" w:eastAsia="宋体" w:cs="宋体"/>
                <w:i w:val="0"/>
                <w:iCs w:val="0"/>
                <w:color w:val="000000"/>
                <w:sz w:val="22"/>
                <w:szCs w:val="22"/>
                <w:u w:val="none"/>
              </w:rPr>
            </w:pPr>
          </w:p>
        </w:tc>
        <w:tc>
          <w:tcPr>
            <w:tcW w:w="79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val="0"/>
              <w:spacing w:line="360" w:lineRule="auto"/>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12</w:t>
            </w:r>
          </w:p>
        </w:tc>
        <w:tc>
          <w:tcPr>
            <w:tcW w:w="407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val="0"/>
              <w:spacing w:line="360" w:lineRule="auto"/>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8.5亿元用于年产能4万吨磷酸铁锂项目，3.5亿元用于补充流动资金</w:t>
            </w:r>
          </w:p>
        </w:tc>
      </w:tr>
    </w:tbl>
    <w:p>
      <w:pPr>
        <w:pageBreakBefore w:val="0"/>
        <w:numPr>
          <w:numId w:val="0"/>
        </w:numPr>
        <w:kinsoku/>
        <w:wordWrap/>
        <w:overflowPunct/>
        <w:topLinePunct w:val="0"/>
        <w:autoSpaceDE/>
        <w:autoSpaceDN/>
        <w:bidi w:val="0"/>
        <w:adjustRightInd/>
        <w:snapToGrid w:val="0"/>
        <w:spacing w:line="360" w:lineRule="auto"/>
        <w:ind w:left="420" w:leftChars="0"/>
        <w:rPr>
          <w:b/>
          <w:bCs/>
          <w:sz w:val="22"/>
          <w:szCs w:val="22"/>
        </w:rPr>
      </w:pPr>
    </w:p>
    <w:p>
      <w:pPr>
        <w:pageBreakBefore w:val="0"/>
        <w:numPr>
          <w:numId w:val="0"/>
        </w:numPr>
        <w:kinsoku/>
        <w:wordWrap/>
        <w:overflowPunct/>
        <w:topLinePunct w:val="0"/>
        <w:autoSpaceDE/>
        <w:autoSpaceDN/>
        <w:bidi w:val="0"/>
        <w:adjustRightInd/>
        <w:snapToGrid w:val="0"/>
        <w:spacing w:line="360" w:lineRule="auto"/>
        <w:rPr>
          <w:b/>
          <w:bCs/>
          <w:sz w:val="22"/>
          <w:szCs w:val="22"/>
        </w:rPr>
      </w:pPr>
    </w:p>
    <w:tbl>
      <w:tblPr>
        <w:tblW w:w="4879" w:type="dxa"/>
        <w:tblInd w:w="8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108" w:type="dxa"/>
          <w:bottom w:w="0" w:type="dxa"/>
          <w:right w:w="108" w:type="dxa"/>
        </w:tblCellMar>
      </w:tblPr>
      <w:tblGrid>
        <w:gridCol w:w="1890"/>
        <w:gridCol w:w="887"/>
        <w:gridCol w:w="1051"/>
        <w:gridCol w:w="10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622" w:hRule="atLeast"/>
        </w:trPr>
        <w:tc>
          <w:tcPr>
            <w:tcW w:w="189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val="0"/>
              <w:spacing w:line="360" w:lineRule="auto"/>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万润新能</w:t>
            </w:r>
            <w:r>
              <w:rPr>
                <w:rFonts w:hint="eastAsia" w:ascii="宋体" w:hAnsi="宋体" w:eastAsia="宋体" w:cs="宋体"/>
                <w:i w:val="0"/>
                <w:iCs w:val="0"/>
                <w:color w:val="000000"/>
                <w:kern w:val="0"/>
                <w:sz w:val="22"/>
                <w:szCs w:val="22"/>
                <w:u w:val="none"/>
                <w:lang w:val="en-US" w:eastAsia="zh-Hans" w:bidi="ar"/>
              </w:rPr>
              <w:t>（万吨）</w:t>
            </w:r>
          </w:p>
        </w:tc>
        <w:tc>
          <w:tcPr>
            <w:tcW w:w="887"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val="0"/>
              <w:spacing w:line="360" w:lineRule="auto"/>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2019</w:t>
            </w:r>
          </w:p>
        </w:tc>
        <w:tc>
          <w:tcPr>
            <w:tcW w:w="1051"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val="0"/>
              <w:spacing w:line="360" w:lineRule="auto"/>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2020</w:t>
            </w:r>
          </w:p>
        </w:tc>
        <w:tc>
          <w:tcPr>
            <w:tcW w:w="1051"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val="0"/>
              <w:spacing w:line="360" w:lineRule="auto"/>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2021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340" w:hRule="atLeast"/>
        </w:trPr>
        <w:tc>
          <w:tcPr>
            <w:tcW w:w="189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val="0"/>
              <w:spacing w:line="360" w:lineRule="auto"/>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磷酸铁</w:t>
            </w:r>
          </w:p>
        </w:tc>
        <w:tc>
          <w:tcPr>
            <w:tcW w:w="887"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val="0"/>
              <w:spacing w:line="360" w:lineRule="auto"/>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2.32</w:t>
            </w:r>
          </w:p>
        </w:tc>
        <w:tc>
          <w:tcPr>
            <w:tcW w:w="1051"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val="0"/>
              <w:spacing w:line="360" w:lineRule="auto"/>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2.76</w:t>
            </w:r>
          </w:p>
        </w:tc>
        <w:tc>
          <w:tcPr>
            <w:tcW w:w="1051"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val="0"/>
              <w:spacing w:line="360" w:lineRule="auto"/>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350" w:hRule="atLeast"/>
        </w:trPr>
        <w:tc>
          <w:tcPr>
            <w:tcW w:w="189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val="0"/>
              <w:spacing w:line="360" w:lineRule="auto"/>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磷酸铁锂</w:t>
            </w:r>
          </w:p>
        </w:tc>
        <w:tc>
          <w:tcPr>
            <w:tcW w:w="887"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val="0"/>
              <w:spacing w:line="360" w:lineRule="auto"/>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1.88</w:t>
            </w:r>
          </w:p>
        </w:tc>
        <w:tc>
          <w:tcPr>
            <w:tcW w:w="1051"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val="0"/>
              <w:spacing w:line="360" w:lineRule="auto"/>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2.25</w:t>
            </w:r>
          </w:p>
        </w:tc>
        <w:tc>
          <w:tcPr>
            <w:tcW w:w="1051"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val="0"/>
              <w:spacing w:line="360" w:lineRule="auto"/>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4.28</w:t>
            </w:r>
          </w:p>
        </w:tc>
      </w:tr>
    </w:tbl>
    <w:p>
      <w:pPr>
        <w:pageBreakBefore w:val="0"/>
        <w:numPr>
          <w:numId w:val="0"/>
        </w:numPr>
        <w:kinsoku/>
        <w:wordWrap/>
        <w:overflowPunct/>
        <w:topLinePunct w:val="0"/>
        <w:autoSpaceDE/>
        <w:autoSpaceDN/>
        <w:bidi w:val="0"/>
        <w:adjustRightInd/>
        <w:snapToGrid w:val="0"/>
        <w:spacing w:line="360" w:lineRule="auto"/>
        <w:rPr>
          <w:b/>
          <w:bCs/>
          <w:sz w:val="22"/>
          <w:szCs w:val="22"/>
        </w:rPr>
      </w:pPr>
    </w:p>
    <w:tbl>
      <w:tblPr>
        <w:tblW w:w="8838" w:type="dxa"/>
        <w:tblInd w:w="8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1976"/>
        <w:gridCol w:w="1218"/>
        <w:gridCol w:w="936"/>
        <w:gridCol w:w="822"/>
        <w:gridCol w:w="3886"/>
      </w:tblGrid>
      <w:tr>
        <w:trPr>
          <w:trHeight w:val="360" w:hRule="atLeast"/>
        </w:trPr>
        <w:tc>
          <w:tcPr>
            <w:tcW w:w="1753"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val="0"/>
              <w:spacing w:line="360" w:lineRule="auto"/>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万润新能</w:t>
            </w:r>
          </w:p>
        </w:tc>
        <w:tc>
          <w:tcPr>
            <w:tcW w:w="111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val="0"/>
              <w:spacing w:line="360" w:lineRule="auto"/>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日期</w:t>
            </w:r>
          </w:p>
        </w:tc>
        <w:tc>
          <w:tcPr>
            <w:tcW w:w="96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val="0"/>
              <w:spacing w:line="360" w:lineRule="auto"/>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期限</w:t>
            </w:r>
          </w:p>
        </w:tc>
        <w:tc>
          <w:tcPr>
            <w:tcW w:w="83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val="0"/>
              <w:spacing w:line="360" w:lineRule="auto"/>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金额</w:t>
            </w:r>
          </w:p>
        </w:tc>
        <w:tc>
          <w:tcPr>
            <w:tcW w:w="417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val="0"/>
              <w:spacing w:line="360" w:lineRule="auto"/>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用途</w:t>
            </w:r>
          </w:p>
        </w:tc>
      </w:tr>
      <w:tr>
        <w:tblPrEx>
          <w:shd w:val="clear"/>
        </w:tblPrEx>
        <w:trPr>
          <w:trHeight w:val="356"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val="0"/>
              <w:spacing w:line="360" w:lineRule="auto"/>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融资租赁</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val="0"/>
              <w:spacing w:line="360" w:lineRule="auto"/>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2022/5/25</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val="0"/>
              <w:spacing w:line="360" w:lineRule="auto"/>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3.08</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pageBreakBefore w:val="0"/>
              <w:kinsoku/>
              <w:wordWrap/>
              <w:overflowPunct/>
              <w:topLinePunct w:val="0"/>
              <w:autoSpaceDE/>
              <w:autoSpaceDN/>
              <w:bidi w:val="0"/>
              <w:adjustRightInd/>
              <w:snapToGrid w:val="0"/>
              <w:spacing w:before="0" w:beforeLines="0" w:after="0" w:afterLines="0" w:line="360" w:lineRule="auto"/>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pageBreakBefore w:val="0"/>
              <w:kinsoku/>
              <w:wordWrap/>
              <w:overflowPunct/>
              <w:topLinePunct w:val="0"/>
              <w:autoSpaceDE/>
              <w:autoSpaceDN/>
              <w:bidi w:val="0"/>
              <w:adjustRightInd/>
              <w:snapToGrid w:val="0"/>
              <w:spacing w:before="0" w:beforeLines="0" w:after="0" w:afterLines="0" w:line="360" w:lineRule="auto"/>
              <w:rPr>
                <w:rFonts w:hint="eastAsia" w:ascii="宋体" w:hAnsi="宋体" w:eastAsia="宋体" w:cs="宋体"/>
                <w:i w:val="0"/>
                <w:iCs w:val="0"/>
                <w:color w:val="000000"/>
                <w:sz w:val="22"/>
                <w:szCs w:val="22"/>
                <w:u w:val="none"/>
              </w:rPr>
            </w:pPr>
          </w:p>
        </w:tc>
      </w:tr>
      <w:tr>
        <w:trPr>
          <w:trHeight w:val="356"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pageBreakBefore w:val="0"/>
              <w:kinsoku/>
              <w:wordWrap/>
              <w:overflowPunct/>
              <w:topLinePunct w:val="0"/>
              <w:autoSpaceDE/>
              <w:autoSpaceDN/>
              <w:bidi w:val="0"/>
              <w:adjustRightInd/>
              <w:snapToGrid w:val="0"/>
              <w:spacing w:before="0" w:beforeLines="0" w:after="0" w:afterLines="0" w:line="360" w:lineRule="auto"/>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val="0"/>
              <w:spacing w:line="360" w:lineRule="auto"/>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2021/9/26</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val="0"/>
              <w:spacing w:line="360" w:lineRule="auto"/>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5.25</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pageBreakBefore w:val="0"/>
              <w:kinsoku/>
              <w:wordWrap/>
              <w:overflowPunct/>
              <w:topLinePunct w:val="0"/>
              <w:autoSpaceDE/>
              <w:autoSpaceDN/>
              <w:bidi w:val="0"/>
              <w:adjustRightInd/>
              <w:snapToGrid w:val="0"/>
              <w:spacing w:before="0" w:beforeLines="0" w:after="0" w:afterLines="0" w:line="360" w:lineRule="auto"/>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pageBreakBefore w:val="0"/>
              <w:kinsoku/>
              <w:wordWrap/>
              <w:overflowPunct/>
              <w:topLinePunct w:val="0"/>
              <w:autoSpaceDE/>
              <w:autoSpaceDN/>
              <w:bidi w:val="0"/>
              <w:adjustRightInd/>
              <w:snapToGrid w:val="0"/>
              <w:spacing w:before="0" w:beforeLines="0" w:after="0" w:afterLines="0" w:line="360" w:lineRule="auto"/>
              <w:rPr>
                <w:rFonts w:hint="eastAsia" w:ascii="宋体" w:hAnsi="宋体" w:eastAsia="宋体" w:cs="宋体"/>
                <w:i w:val="0"/>
                <w:iCs w:val="0"/>
                <w:color w:val="000000"/>
                <w:sz w:val="22"/>
                <w:szCs w:val="22"/>
                <w:u w:val="none"/>
              </w:rPr>
            </w:pPr>
          </w:p>
        </w:tc>
      </w:tr>
      <w:tr>
        <w:trPr>
          <w:trHeight w:val="356"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pageBreakBefore w:val="0"/>
              <w:kinsoku/>
              <w:wordWrap/>
              <w:overflowPunct/>
              <w:topLinePunct w:val="0"/>
              <w:autoSpaceDE/>
              <w:autoSpaceDN/>
              <w:bidi w:val="0"/>
              <w:adjustRightInd/>
              <w:snapToGrid w:val="0"/>
              <w:spacing w:before="0" w:beforeLines="0" w:after="0" w:afterLines="0" w:line="360" w:lineRule="auto"/>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val="0"/>
              <w:spacing w:line="360" w:lineRule="auto"/>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2021/4/23</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val="0"/>
              <w:spacing w:line="360" w:lineRule="auto"/>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pageBreakBefore w:val="0"/>
              <w:kinsoku/>
              <w:wordWrap/>
              <w:overflowPunct/>
              <w:topLinePunct w:val="0"/>
              <w:autoSpaceDE/>
              <w:autoSpaceDN/>
              <w:bidi w:val="0"/>
              <w:adjustRightInd/>
              <w:snapToGrid w:val="0"/>
              <w:spacing w:before="0" w:beforeLines="0" w:after="0" w:afterLines="0" w:line="360" w:lineRule="auto"/>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pageBreakBefore w:val="0"/>
              <w:kinsoku/>
              <w:wordWrap/>
              <w:overflowPunct/>
              <w:topLinePunct w:val="0"/>
              <w:autoSpaceDE/>
              <w:autoSpaceDN/>
              <w:bidi w:val="0"/>
              <w:adjustRightInd/>
              <w:snapToGrid w:val="0"/>
              <w:spacing w:before="0" w:beforeLines="0" w:after="0" w:afterLines="0" w:line="360" w:lineRule="auto"/>
              <w:rPr>
                <w:rFonts w:hint="eastAsia" w:ascii="宋体" w:hAnsi="宋体" w:eastAsia="宋体" w:cs="宋体"/>
                <w:i w:val="0"/>
                <w:iCs w:val="0"/>
                <w:color w:val="000000"/>
                <w:sz w:val="22"/>
                <w:szCs w:val="22"/>
                <w:u w:val="none"/>
              </w:rPr>
            </w:pPr>
          </w:p>
        </w:tc>
      </w:tr>
      <w:tr>
        <w:trPr>
          <w:trHeight w:val="356"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val="0"/>
              <w:spacing w:line="360" w:lineRule="auto"/>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应收账款融资</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val="0"/>
              <w:spacing w:line="360" w:lineRule="auto"/>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2022/6/1</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val="0"/>
              <w:spacing w:line="360" w:lineRule="auto"/>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4</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val="0"/>
              <w:spacing w:line="360" w:lineRule="auto"/>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pageBreakBefore w:val="0"/>
              <w:kinsoku/>
              <w:wordWrap/>
              <w:overflowPunct/>
              <w:topLinePunct w:val="0"/>
              <w:autoSpaceDE/>
              <w:autoSpaceDN/>
              <w:bidi w:val="0"/>
              <w:adjustRightInd/>
              <w:snapToGrid w:val="0"/>
              <w:spacing w:before="0" w:beforeLines="0" w:after="0" w:afterLines="0" w:line="360" w:lineRule="auto"/>
              <w:rPr>
                <w:rFonts w:hint="eastAsia" w:ascii="宋体" w:hAnsi="宋体" w:eastAsia="宋体" w:cs="宋体"/>
                <w:i w:val="0"/>
                <w:iCs w:val="0"/>
                <w:color w:val="000000"/>
                <w:sz w:val="22"/>
                <w:szCs w:val="22"/>
                <w:u w:val="none"/>
              </w:rPr>
            </w:pPr>
          </w:p>
        </w:tc>
      </w:tr>
      <w:tr>
        <w:trPr>
          <w:trHeight w:val="356"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pageBreakBefore w:val="0"/>
              <w:kinsoku/>
              <w:wordWrap/>
              <w:overflowPunct/>
              <w:topLinePunct w:val="0"/>
              <w:autoSpaceDE/>
              <w:autoSpaceDN/>
              <w:bidi w:val="0"/>
              <w:adjustRightInd/>
              <w:snapToGrid w:val="0"/>
              <w:spacing w:before="0" w:beforeLines="0" w:after="0" w:afterLines="0" w:line="360" w:lineRule="auto"/>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val="0"/>
              <w:spacing w:line="360" w:lineRule="auto"/>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2022/1/18</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val="0"/>
              <w:spacing w:line="360" w:lineRule="auto"/>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1.5</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val="0"/>
              <w:spacing w:line="360" w:lineRule="auto"/>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3.83</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pageBreakBefore w:val="0"/>
              <w:kinsoku/>
              <w:wordWrap/>
              <w:overflowPunct/>
              <w:topLinePunct w:val="0"/>
              <w:autoSpaceDE/>
              <w:autoSpaceDN/>
              <w:bidi w:val="0"/>
              <w:adjustRightInd/>
              <w:snapToGrid w:val="0"/>
              <w:spacing w:before="0" w:beforeLines="0" w:after="0" w:afterLines="0" w:line="360" w:lineRule="auto"/>
              <w:rPr>
                <w:rFonts w:hint="eastAsia" w:ascii="宋体" w:hAnsi="宋体" w:eastAsia="宋体" w:cs="宋体"/>
                <w:i w:val="0"/>
                <w:iCs w:val="0"/>
                <w:color w:val="000000"/>
                <w:sz w:val="22"/>
                <w:szCs w:val="22"/>
                <w:u w:val="none"/>
              </w:rPr>
            </w:pPr>
          </w:p>
        </w:tc>
      </w:tr>
      <w:tr>
        <w:trPr>
          <w:trHeight w:val="356"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pageBreakBefore w:val="0"/>
              <w:kinsoku/>
              <w:wordWrap/>
              <w:overflowPunct/>
              <w:topLinePunct w:val="0"/>
              <w:autoSpaceDE/>
              <w:autoSpaceDN/>
              <w:bidi w:val="0"/>
              <w:adjustRightInd/>
              <w:snapToGrid w:val="0"/>
              <w:spacing w:before="0" w:beforeLines="0" w:after="0" w:afterLines="0" w:line="360" w:lineRule="auto"/>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val="0"/>
              <w:spacing w:line="360" w:lineRule="auto"/>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2021/11/17</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val="0"/>
              <w:spacing w:line="360" w:lineRule="auto"/>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1.5</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val="0"/>
              <w:spacing w:line="360" w:lineRule="auto"/>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pageBreakBefore w:val="0"/>
              <w:kinsoku/>
              <w:wordWrap/>
              <w:overflowPunct/>
              <w:topLinePunct w:val="0"/>
              <w:autoSpaceDE/>
              <w:autoSpaceDN/>
              <w:bidi w:val="0"/>
              <w:adjustRightInd/>
              <w:snapToGrid w:val="0"/>
              <w:spacing w:before="0" w:beforeLines="0" w:after="0" w:afterLines="0" w:line="360" w:lineRule="auto"/>
              <w:rPr>
                <w:rFonts w:hint="eastAsia" w:ascii="宋体" w:hAnsi="宋体" w:eastAsia="宋体" w:cs="宋体"/>
                <w:i w:val="0"/>
                <w:iCs w:val="0"/>
                <w:color w:val="000000"/>
                <w:sz w:val="22"/>
                <w:szCs w:val="22"/>
                <w:u w:val="none"/>
              </w:rPr>
            </w:pPr>
          </w:p>
        </w:tc>
      </w:tr>
      <w:tr>
        <w:trPr>
          <w:trHeight w:val="356"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pageBreakBefore w:val="0"/>
              <w:kinsoku/>
              <w:wordWrap/>
              <w:overflowPunct/>
              <w:topLinePunct w:val="0"/>
              <w:autoSpaceDE/>
              <w:autoSpaceDN/>
              <w:bidi w:val="0"/>
              <w:adjustRightInd/>
              <w:snapToGrid w:val="0"/>
              <w:spacing w:before="0" w:beforeLines="0" w:after="0" w:afterLines="0" w:line="360" w:lineRule="auto"/>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val="0"/>
              <w:spacing w:line="360" w:lineRule="auto"/>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2020/9/27</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val="0"/>
              <w:spacing w:line="360" w:lineRule="auto"/>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4</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val="0"/>
              <w:spacing w:line="360" w:lineRule="auto"/>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0.2</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pageBreakBefore w:val="0"/>
              <w:kinsoku/>
              <w:wordWrap/>
              <w:overflowPunct/>
              <w:topLinePunct w:val="0"/>
              <w:autoSpaceDE/>
              <w:autoSpaceDN/>
              <w:bidi w:val="0"/>
              <w:adjustRightInd/>
              <w:snapToGrid w:val="0"/>
              <w:spacing w:before="0" w:beforeLines="0" w:after="0" w:afterLines="0" w:line="360" w:lineRule="auto"/>
              <w:rPr>
                <w:rFonts w:hint="eastAsia" w:ascii="宋体" w:hAnsi="宋体" w:eastAsia="宋体" w:cs="宋体"/>
                <w:i w:val="0"/>
                <w:iCs w:val="0"/>
                <w:color w:val="000000"/>
                <w:sz w:val="22"/>
                <w:szCs w:val="22"/>
                <w:u w:val="none"/>
              </w:rPr>
            </w:pPr>
          </w:p>
        </w:tc>
      </w:tr>
      <w:tr>
        <w:trPr>
          <w:trHeight w:val="356"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pageBreakBefore w:val="0"/>
              <w:kinsoku/>
              <w:wordWrap/>
              <w:overflowPunct/>
              <w:topLinePunct w:val="0"/>
              <w:autoSpaceDE/>
              <w:autoSpaceDN/>
              <w:bidi w:val="0"/>
              <w:adjustRightInd/>
              <w:snapToGrid w:val="0"/>
              <w:spacing w:before="0" w:beforeLines="0" w:after="0" w:afterLines="0" w:line="360" w:lineRule="auto"/>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val="0"/>
              <w:spacing w:line="360" w:lineRule="auto"/>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2020/7/30</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val="0"/>
              <w:spacing w:line="360" w:lineRule="auto"/>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3.25</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val="0"/>
              <w:spacing w:line="360" w:lineRule="auto"/>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0.2</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pageBreakBefore w:val="0"/>
              <w:kinsoku/>
              <w:wordWrap/>
              <w:overflowPunct/>
              <w:topLinePunct w:val="0"/>
              <w:autoSpaceDE/>
              <w:autoSpaceDN/>
              <w:bidi w:val="0"/>
              <w:adjustRightInd/>
              <w:snapToGrid w:val="0"/>
              <w:spacing w:before="0" w:beforeLines="0" w:after="0" w:afterLines="0" w:line="360" w:lineRule="auto"/>
              <w:rPr>
                <w:rFonts w:hint="eastAsia" w:ascii="宋体" w:hAnsi="宋体" w:eastAsia="宋体" w:cs="宋体"/>
                <w:i w:val="0"/>
                <w:iCs w:val="0"/>
                <w:color w:val="000000"/>
                <w:sz w:val="22"/>
                <w:szCs w:val="22"/>
                <w:u w:val="none"/>
              </w:rPr>
            </w:pPr>
          </w:p>
        </w:tc>
      </w:tr>
      <w:tr>
        <w:trPr>
          <w:trHeight w:val="356"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pageBreakBefore w:val="0"/>
              <w:kinsoku/>
              <w:wordWrap/>
              <w:overflowPunct/>
              <w:topLinePunct w:val="0"/>
              <w:autoSpaceDE/>
              <w:autoSpaceDN/>
              <w:bidi w:val="0"/>
              <w:adjustRightInd/>
              <w:snapToGrid w:val="0"/>
              <w:spacing w:before="0" w:beforeLines="0" w:after="0" w:afterLines="0" w:line="360" w:lineRule="auto"/>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val="0"/>
              <w:spacing w:line="360" w:lineRule="auto"/>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2021/9/26</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val="0"/>
              <w:spacing w:line="360" w:lineRule="auto"/>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5.25</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val="0"/>
              <w:spacing w:line="360" w:lineRule="auto"/>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3.03</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pageBreakBefore w:val="0"/>
              <w:kinsoku/>
              <w:wordWrap/>
              <w:overflowPunct/>
              <w:topLinePunct w:val="0"/>
              <w:autoSpaceDE/>
              <w:autoSpaceDN/>
              <w:bidi w:val="0"/>
              <w:adjustRightInd/>
              <w:snapToGrid w:val="0"/>
              <w:spacing w:before="0" w:beforeLines="0" w:after="0" w:afterLines="0" w:line="360" w:lineRule="auto"/>
              <w:rPr>
                <w:rFonts w:hint="eastAsia" w:ascii="宋体" w:hAnsi="宋体" w:eastAsia="宋体" w:cs="宋体"/>
                <w:i w:val="0"/>
                <w:iCs w:val="0"/>
                <w:color w:val="000000"/>
                <w:sz w:val="22"/>
                <w:szCs w:val="22"/>
                <w:u w:val="none"/>
              </w:rPr>
            </w:pPr>
          </w:p>
        </w:tc>
      </w:tr>
      <w:tr>
        <w:trPr>
          <w:trHeight w:val="356"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val="0"/>
              <w:spacing w:line="360" w:lineRule="auto"/>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股权质押</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val="0"/>
              <w:spacing w:line="360" w:lineRule="auto"/>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2020/9/29</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val="0"/>
              <w:spacing w:line="360" w:lineRule="auto"/>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val="0"/>
              <w:spacing w:line="360" w:lineRule="auto"/>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0.8</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pageBreakBefore w:val="0"/>
              <w:kinsoku/>
              <w:wordWrap/>
              <w:overflowPunct/>
              <w:topLinePunct w:val="0"/>
              <w:autoSpaceDE/>
              <w:autoSpaceDN/>
              <w:bidi w:val="0"/>
              <w:adjustRightInd/>
              <w:snapToGrid w:val="0"/>
              <w:spacing w:before="0" w:beforeLines="0" w:after="0" w:afterLines="0" w:line="360" w:lineRule="auto"/>
              <w:rPr>
                <w:rFonts w:hint="eastAsia" w:ascii="宋体" w:hAnsi="宋体" w:eastAsia="宋体" w:cs="宋体"/>
                <w:i w:val="0"/>
                <w:iCs w:val="0"/>
                <w:color w:val="000000"/>
                <w:sz w:val="22"/>
                <w:szCs w:val="22"/>
                <w:u w:val="none"/>
              </w:rPr>
            </w:pPr>
          </w:p>
        </w:tc>
      </w:tr>
      <w:tr>
        <w:trPr>
          <w:trHeight w:val="355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val="0"/>
              <w:spacing w:line="360" w:lineRule="auto"/>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首次公开发行股票</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val="0"/>
              <w:spacing w:line="360" w:lineRule="auto"/>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2022/9/29</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val="0"/>
              <w:spacing w:line="360" w:lineRule="auto"/>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val="0"/>
              <w:spacing w:line="360" w:lineRule="auto"/>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63.89</w:t>
            </w:r>
          </w:p>
        </w:tc>
        <w:tc>
          <w:tcPr>
            <w:tcW w:w="417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val="0"/>
              <w:spacing w:line="360" w:lineRule="auto"/>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其中，宏迈高科高性能锂离子电池材料项目预计总投资8亿元，其中一期投产磷酸铁锂3万吨，二期投产磷酸铁锂2万吨。湖北万润新能源锂电池正极材料研发中心计划总投资为6,208.83万元，主要为满足市场对锂电池正极材料磷酸铁锂新产品开发。</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拟使用超募资金20.49亿元，分别向控股子公司鲁北万润增资15.49亿元、全资子公司深圳华虹清源增资5亿元，用于建设“24万吨/年磷酸铁锂联产24万吨/年磷酸铁项目”。</w:t>
            </w:r>
          </w:p>
        </w:tc>
      </w:tr>
    </w:tbl>
    <w:p>
      <w:pPr>
        <w:pageBreakBefore w:val="0"/>
        <w:numPr>
          <w:numId w:val="0"/>
        </w:numPr>
        <w:kinsoku/>
        <w:wordWrap/>
        <w:overflowPunct/>
        <w:topLinePunct w:val="0"/>
        <w:autoSpaceDE/>
        <w:autoSpaceDN/>
        <w:bidi w:val="0"/>
        <w:adjustRightInd/>
        <w:snapToGrid w:val="0"/>
        <w:spacing w:line="360" w:lineRule="auto"/>
        <w:rPr>
          <w:b/>
          <w:bCs/>
          <w:sz w:val="22"/>
          <w:szCs w:val="22"/>
        </w:rPr>
      </w:pPr>
    </w:p>
    <w:p>
      <w:pPr>
        <w:pageBreakBefore w:val="0"/>
        <w:numPr>
          <w:numId w:val="0"/>
        </w:numPr>
        <w:kinsoku/>
        <w:wordWrap/>
        <w:overflowPunct/>
        <w:topLinePunct w:val="0"/>
        <w:autoSpaceDE/>
        <w:autoSpaceDN/>
        <w:bidi w:val="0"/>
        <w:adjustRightInd/>
        <w:snapToGrid w:val="0"/>
        <w:spacing w:line="360" w:lineRule="auto"/>
        <w:rPr>
          <w:b/>
          <w:bCs/>
          <w:sz w:val="22"/>
          <w:szCs w:val="22"/>
        </w:rPr>
      </w:pPr>
    </w:p>
    <w:tbl>
      <w:tblPr>
        <w:tblW w:w="4859" w:type="dxa"/>
        <w:tblInd w:w="8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108" w:type="dxa"/>
          <w:bottom w:w="0" w:type="dxa"/>
          <w:right w:w="108" w:type="dxa"/>
        </w:tblCellMar>
      </w:tblPr>
      <w:tblGrid>
        <w:gridCol w:w="1873"/>
        <w:gridCol w:w="892"/>
        <w:gridCol w:w="1047"/>
        <w:gridCol w:w="10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618" w:hRule="atLeast"/>
        </w:trPr>
        <w:tc>
          <w:tcPr>
            <w:tcW w:w="1873"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val="0"/>
              <w:spacing w:line="360" w:lineRule="auto"/>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龙蟠科技</w:t>
            </w:r>
            <w:r>
              <w:rPr>
                <w:rFonts w:hint="eastAsia" w:ascii="宋体" w:hAnsi="宋体" w:eastAsia="宋体" w:cs="宋体"/>
                <w:i w:val="0"/>
                <w:iCs w:val="0"/>
                <w:color w:val="000000"/>
                <w:kern w:val="0"/>
                <w:sz w:val="22"/>
                <w:szCs w:val="22"/>
                <w:u w:val="none"/>
                <w:lang w:val="en-US" w:eastAsia="zh-Hans" w:bidi="ar"/>
              </w:rPr>
              <w:t>（万吨）</w:t>
            </w:r>
          </w:p>
        </w:tc>
        <w:tc>
          <w:tcPr>
            <w:tcW w:w="892"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val="0"/>
              <w:spacing w:line="360" w:lineRule="auto"/>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2019</w:t>
            </w:r>
          </w:p>
        </w:tc>
        <w:tc>
          <w:tcPr>
            <w:tcW w:w="1047"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val="0"/>
              <w:spacing w:line="360" w:lineRule="auto"/>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2020</w:t>
            </w:r>
          </w:p>
        </w:tc>
        <w:tc>
          <w:tcPr>
            <w:tcW w:w="1047"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val="0"/>
              <w:spacing w:line="360" w:lineRule="auto"/>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2021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347" w:hRule="atLeast"/>
        </w:trPr>
        <w:tc>
          <w:tcPr>
            <w:tcW w:w="1873"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val="0"/>
              <w:spacing w:line="360" w:lineRule="auto"/>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磷酸铁锂</w:t>
            </w:r>
          </w:p>
        </w:tc>
        <w:tc>
          <w:tcPr>
            <w:tcW w:w="892" w:type="dxa"/>
            <w:tcBorders>
              <w:top w:val="single" w:color="000000" w:sz="4" w:space="0"/>
              <w:left w:val="single" w:color="000000" w:sz="4" w:space="0"/>
              <w:bottom w:val="single" w:color="000000" w:sz="4" w:space="0"/>
              <w:right w:val="single" w:color="000000" w:sz="4" w:space="0"/>
            </w:tcBorders>
            <w:shd w:val="clear"/>
            <w:noWrap/>
            <w:vAlign w:val="center"/>
          </w:tcPr>
          <w:p>
            <w:pPr>
              <w:pageBreakBefore w:val="0"/>
              <w:kinsoku/>
              <w:wordWrap/>
              <w:overflowPunct/>
              <w:topLinePunct w:val="0"/>
              <w:autoSpaceDE/>
              <w:autoSpaceDN/>
              <w:bidi w:val="0"/>
              <w:adjustRightInd/>
              <w:snapToGrid w:val="0"/>
              <w:spacing w:before="0" w:beforeLines="0" w:after="0" w:afterLines="0" w:line="360" w:lineRule="auto"/>
              <w:rPr>
                <w:rFonts w:hint="eastAsia" w:ascii="宋体" w:hAnsi="宋体" w:eastAsia="宋体" w:cs="宋体"/>
                <w:i w:val="0"/>
                <w:iCs w:val="0"/>
                <w:color w:val="000000"/>
                <w:sz w:val="22"/>
                <w:szCs w:val="22"/>
                <w:u w:val="none"/>
              </w:rPr>
            </w:pPr>
          </w:p>
        </w:tc>
        <w:tc>
          <w:tcPr>
            <w:tcW w:w="1047" w:type="dxa"/>
            <w:tcBorders>
              <w:top w:val="single" w:color="000000" w:sz="4" w:space="0"/>
              <w:left w:val="single" w:color="000000" w:sz="4" w:space="0"/>
              <w:bottom w:val="single" w:color="000000" w:sz="4" w:space="0"/>
              <w:right w:val="single" w:color="000000" w:sz="4" w:space="0"/>
            </w:tcBorders>
            <w:shd w:val="clear"/>
            <w:noWrap/>
            <w:vAlign w:val="center"/>
          </w:tcPr>
          <w:p>
            <w:pPr>
              <w:pageBreakBefore w:val="0"/>
              <w:kinsoku/>
              <w:wordWrap/>
              <w:overflowPunct/>
              <w:topLinePunct w:val="0"/>
              <w:autoSpaceDE/>
              <w:autoSpaceDN/>
              <w:bidi w:val="0"/>
              <w:adjustRightInd/>
              <w:snapToGrid w:val="0"/>
              <w:spacing w:before="0" w:beforeLines="0" w:after="0" w:afterLines="0" w:line="360" w:lineRule="auto"/>
              <w:rPr>
                <w:rFonts w:hint="eastAsia" w:ascii="宋体" w:hAnsi="宋体" w:eastAsia="宋体" w:cs="宋体"/>
                <w:i w:val="0"/>
                <w:iCs w:val="0"/>
                <w:color w:val="000000"/>
                <w:sz w:val="22"/>
                <w:szCs w:val="22"/>
                <w:u w:val="none"/>
              </w:rPr>
            </w:pPr>
          </w:p>
        </w:tc>
        <w:tc>
          <w:tcPr>
            <w:tcW w:w="1047"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val="0"/>
              <w:spacing w:line="360" w:lineRule="auto"/>
              <w:jc w:val="right"/>
              <w:textAlignment w:val="center"/>
              <w:rPr>
                <w:rFonts w:hint="default" w:ascii="宋体" w:hAnsi="宋体" w:eastAsia="宋体" w:cs="宋体"/>
                <w:i w:val="0"/>
                <w:iCs w:val="0"/>
                <w:color w:val="000000"/>
                <w:sz w:val="22"/>
                <w:szCs w:val="22"/>
                <w:u w:val="none"/>
              </w:rPr>
            </w:pPr>
            <w:r>
              <w:rPr>
                <w:rFonts w:hint="default" w:ascii="宋体" w:hAnsi="宋体" w:eastAsia="宋体" w:cs="宋体"/>
                <w:i w:val="0"/>
                <w:iCs w:val="0"/>
                <w:color w:val="000000"/>
                <w:kern w:val="0"/>
                <w:sz w:val="22"/>
                <w:szCs w:val="22"/>
                <w:u w:val="none"/>
                <w:bdr w:val="none" w:color="auto" w:sz="0" w:space="0"/>
                <w:lang w:eastAsia="zh-CN" w:bidi="ar"/>
              </w:rPr>
              <w:t>3.2</w:t>
            </w:r>
          </w:p>
        </w:tc>
      </w:tr>
    </w:tbl>
    <w:p>
      <w:pPr>
        <w:pageBreakBefore w:val="0"/>
        <w:numPr>
          <w:numId w:val="0"/>
        </w:numPr>
        <w:kinsoku/>
        <w:wordWrap/>
        <w:overflowPunct/>
        <w:topLinePunct w:val="0"/>
        <w:autoSpaceDE/>
        <w:autoSpaceDN/>
        <w:bidi w:val="0"/>
        <w:adjustRightInd/>
        <w:snapToGrid w:val="0"/>
        <w:spacing w:line="360" w:lineRule="auto"/>
        <w:rPr>
          <w:b/>
          <w:bCs/>
          <w:sz w:val="22"/>
          <w:szCs w:val="22"/>
        </w:rPr>
      </w:pPr>
    </w:p>
    <w:tbl>
      <w:tblPr>
        <w:tblW w:w="8877" w:type="dxa"/>
        <w:tblInd w:w="8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108" w:type="dxa"/>
          <w:bottom w:w="0" w:type="dxa"/>
          <w:right w:w="108" w:type="dxa"/>
        </w:tblCellMar>
      </w:tblPr>
      <w:tblGrid>
        <w:gridCol w:w="1052"/>
        <w:gridCol w:w="1164"/>
        <w:gridCol w:w="725"/>
        <w:gridCol w:w="1034"/>
        <w:gridCol w:w="49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371" w:hRule="atLeast"/>
        </w:trPr>
        <w:tc>
          <w:tcPr>
            <w:tcW w:w="1052"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val="0"/>
              <w:spacing w:line="360" w:lineRule="auto"/>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龙蟠科技</w:t>
            </w:r>
          </w:p>
        </w:tc>
        <w:tc>
          <w:tcPr>
            <w:tcW w:w="116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val="0"/>
              <w:spacing w:line="360" w:lineRule="auto"/>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日期</w:t>
            </w:r>
          </w:p>
        </w:tc>
        <w:tc>
          <w:tcPr>
            <w:tcW w:w="72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val="0"/>
              <w:spacing w:line="360" w:lineRule="auto"/>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期限</w:t>
            </w:r>
          </w:p>
        </w:tc>
        <w:tc>
          <w:tcPr>
            <w:tcW w:w="10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val="0"/>
              <w:spacing w:line="360" w:lineRule="auto"/>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金额</w:t>
            </w:r>
          </w:p>
        </w:tc>
        <w:tc>
          <w:tcPr>
            <w:tcW w:w="490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val="0"/>
              <w:spacing w:line="360" w:lineRule="auto"/>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用途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366" w:hRule="atLeast"/>
        </w:trPr>
        <w:tc>
          <w:tcPr>
            <w:tcW w:w="1052"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val="0"/>
              <w:spacing w:line="360" w:lineRule="auto"/>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租赁融资</w:t>
            </w:r>
          </w:p>
        </w:tc>
        <w:tc>
          <w:tcPr>
            <w:tcW w:w="1164"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val="0"/>
              <w:spacing w:line="360" w:lineRule="auto"/>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2022/1/6</w:t>
            </w:r>
          </w:p>
        </w:tc>
        <w:tc>
          <w:tcPr>
            <w:tcW w:w="725"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val="0"/>
              <w:spacing w:line="360" w:lineRule="auto"/>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2.08</w:t>
            </w:r>
          </w:p>
        </w:tc>
        <w:tc>
          <w:tcPr>
            <w:tcW w:w="1034" w:type="dxa"/>
            <w:tcBorders>
              <w:top w:val="single" w:color="000000" w:sz="4" w:space="0"/>
              <w:left w:val="single" w:color="000000" w:sz="4" w:space="0"/>
              <w:bottom w:val="single" w:color="000000" w:sz="4" w:space="0"/>
              <w:right w:val="single" w:color="000000" w:sz="4" w:space="0"/>
            </w:tcBorders>
            <w:shd w:val="clear"/>
            <w:noWrap/>
            <w:vAlign w:val="center"/>
          </w:tcPr>
          <w:p>
            <w:pPr>
              <w:pageBreakBefore w:val="0"/>
              <w:kinsoku/>
              <w:wordWrap/>
              <w:overflowPunct/>
              <w:topLinePunct w:val="0"/>
              <w:autoSpaceDE/>
              <w:autoSpaceDN/>
              <w:bidi w:val="0"/>
              <w:adjustRightInd/>
              <w:snapToGrid w:val="0"/>
              <w:spacing w:before="0" w:beforeLines="0" w:after="0" w:afterLines="0" w:line="360" w:lineRule="auto"/>
              <w:rPr>
                <w:rFonts w:hint="eastAsia" w:ascii="宋体" w:hAnsi="宋体" w:eastAsia="宋体" w:cs="宋体"/>
                <w:i w:val="0"/>
                <w:iCs w:val="0"/>
                <w:color w:val="000000"/>
                <w:sz w:val="22"/>
                <w:szCs w:val="22"/>
                <w:u w:val="none"/>
              </w:rPr>
            </w:pPr>
          </w:p>
        </w:tc>
        <w:tc>
          <w:tcPr>
            <w:tcW w:w="4902" w:type="dxa"/>
            <w:tcBorders>
              <w:top w:val="single" w:color="000000" w:sz="4" w:space="0"/>
              <w:left w:val="single" w:color="000000" w:sz="4" w:space="0"/>
              <w:bottom w:val="single" w:color="000000" w:sz="4" w:space="0"/>
              <w:right w:val="single" w:color="000000" w:sz="4" w:space="0"/>
            </w:tcBorders>
            <w:shd w:val="clear"/>
            <w:noWrap/>
            <w:vAlign w:val="center"/>
          </w:tcPr>
          <w:p>
            <w:pPr>
              <w:pageBreakBefore w:val="0"/>
              <w:kinsoku/>
              <w:wordWrap/>
              <w:overflowPunct/>
              <w:topLinePunct w:val="0"/>
              <w:autoSpaceDE/>
              <w:autoSpaceDN/>
              <w:bidi w:val="0"/>
              <w:adjustRightInd/>
              <w:snapToGrid w:val="0"/>
              <w:spacing w:before="0" w:beforeLines="0" w:after="0" w:afterLines="0" w:line="360" w:lineRule="auto"/>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366" w:hRule="atLeast"/>
        </w:trPr>
        <w:tc>
          <w:tcPr>
            <w:tcW w:w="1052" w:type="dxa"/>
            <w:tcBorders>
              <w:top w:val="single" w:color="000000" w:sz="4" w:space="0"/>
              <w:left w:val="single" w:color="000000" w:sz="4" w:space="0"/>
              <w:bottom w:val="single" w:color="000000" w:sz="4" w:space="0"/>
              <w:right w:val="single" w:color="000000" w:sz="4" w:space="0"/>
            </w:tcBorders>
            <w:shd w:val="clear"/>
            <w:noWrap/>
            <w:vAlign w:val="center"/>
          </w:tcPr>
          <w:p>
            <w:pPr>
              <w:pageBreakBefore w:val="0"/>
              <w:kinsoku/>
              <w:wordWrap/>
              <w:overflowPunct/>
              <w:topLinePunct w:val="0"/>
              <w:autoSpaceDE/>
              <w:autoSpaceDN/>
              <w:bidi w:val="0"/>
              <w:adjustRightInd/>
              <w:snapToGrid w:val="0"/>
              <w:spacing w:before="0" w:beforeLines="0" w:after="0" w:afterLines="0" w:line="360" w:lineRule="auto"/>
              <w:rPr>
                <w:rFonts w:hint="eastAsia" w:ascii="宋体" w:hAnsi="宋体" w:eastAsia="宋体" w:cs="宋体"/>
                <w:i w:val="0"/>
                <w:iCs w:val="0"/>
                <w:color w:val="000000"/>
                <w:sz w:val="22"/>
                <w:szCs w:val="22"/>
                <w:u w:val="none"/>
              </w:rPr>
            </w:pPr>
          </w:p>
        </w:tc>
        <w:tc>
          <w:tcPr>
            <w:tcW w:w="1164"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val="0"/>
              <w:spacing w:line="360" w:lineRule="auto"/>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2021/10/14</w:t>
            </w:r>
          </w:p>
        </w:tc>
        <w:tc>
          <w:tcPr>
            <w:tcW w:w="725"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val="0"/>
              <w:spacing w:line="360" w:lineRule="auto"/>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5</w:t>
            </w:r>
          </w:p>
        </w:tc>
        <w:tc>
          <w:tcPr>
            <w:tcW w:w="1034" w:type="dxa"/>
            <w:tcBorders>
              <w:top w:val="single" w:color="000000" w:sz="4" w:space="0"/>
              <w:left w:val="single" w:color="000000" w:sz="4" w:space="0"/>
              <w:bottom w:val="single" w:color="000000" w:sz="4" w:space="0"/>
              <w:right w:val="single" w:color="000000" w:sz="4" w:space="0"/>
            </w:tcBorders>
            <w:shd w:val="clear"/>
            <w:noWrap/>
            <w:vAlign w:val="center"/>
          </w:tcPr>
          <w:p>
            <w:pPr>
              <w:pageBreakBefore w:val="0"/>
              <w:kinsoku/>
              <w:wordWrap/>
              <w:overflowPunct/>
              <w:topLinePunct w:val="0"/>
              <w:autoSpaceDE/>
              <w:autoSpaceDN/>
              <w:bidi w:val="0"/>
              <w:adjustRightInd/>
              <w:snapToGrid w:val="0"/>
              <w:spacing w:before="0" w:beforeLines="0" w:after="0" w:afterLines="0" w:line="360" w:lineRule="auto"/>
              <w:rPr>
                <w:rFonts w:hint="eastAsia" w:ascii="宋体" w:hAnsi="宋体" w:eastAsia="宋体" w:cs="宋体"/>
                <w:i w:val="0"/>
                <w:iCs w:val="0"/>
                <w:color w:val="000000"/>
                <w:sz w:val="22"/>
                <w:szCs w:val="22"/>
                <w:u w:val="none"/>
              </w:rPr>
            </w:pPr>
          </w:p>
        </w:tc>
        <w:tc>
          <w:tcPr>
            <w:tcW w:w="4902" w:type="dxa"/>
            <w:tcBorders>
              <w:top w:val="single" w:color="000000" w:sz="4" w:space="0"/>
              <w:left w:val="single" w:color="000000" w:sz="4" w:space="0"/>
              <w:bottom w:val="single" w:color="000000" w:sz="4" w:space="0"/>
              <w:right w:val="single" w:color="000000" w:sz="4" w:space="0"/>
            </w:tcBorders>
            <w:shd w:val="clear"/>
            <w:noWrap/>
            <w:vAlign w:val="center"/>
          </w:tcPr>
          <w:p>
            <w:pPr>
              <w:pageBreakBefore w:val="0"/>
              <w:kinsoku/>
              <w:wordWrap/>
              <w:overflowPunct/>
              <w:topLinePunct w:val="0"/>
              <w:autoSpaceDE/>
              <w:autoSpaceDN/>
              <w:bidi w:val="0"/>
              <w:adjustRightInd/>
              <w:snapToGrid w:val="0"/>
              <w:spacing w:before="0" w:beforeLines="0" w:after="0" w:afterLines="0" w:line="360" w:lineRule="auto"/>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1452" w:hRule="atLeast"/>
        </w:trPr>
        <w:tc>
          <w:tcPr>
            <w:tcW w:w="1052"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val="0"/>
              <w:spacing w:line="360" w:lineRule="auto"/>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定向增发</w:t>
            </w:r>
          </w:p>
        </w:tc>
        <w:tc>
          <w:tcPr>
            <w:tcW w:w="1164"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val="0"/>
              <w:spacing w:line="360" w:lineRule="auto"/>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2022/5/31</w:t>
            </w:r>
          </w:p>
        </w:tc>
        <w:tc>
          <w:tcPr>
            <w:tcW w:w="725" w:type="dxa"/>
            <w:tcBorders>
              <w:top w:val="single" w:color="000000" w:sz="4" w:space="0"/>
              <w:left w:val="single" w:color="000000" w:sz="4" w:space="0"/>
              <w:bottom w:val="single" w:color="000000" w:sz="4" w:space="0"/>
              <w:right w:val="single" w:color="000000" w:sz="4" w:space="0"/>
            </w:tcBorders>
            <w:shd w:val="clear"/>
            <w:noWrap/>
            <w:vAlign w:val="center"/>
          </w:tcPr>
          <w:p>
            <w:pPr>
              <w:pageBreakBefore w:val="0"/>
              <w:kinsoku/>
              <w:wordWrap/>
              <w:overflowPunct/>
              <w:topLinePunct w:val="0"/>
              <w:autoSpaceDE/>
              <w:autoSpaceDN/>
              <w:bidi w:val="0"/>
              <w:adjustRightInd/>
              <w:snapToGrid w:val="0"/>
              <w:spacing w:before="0" w:beforeLines="0" w:after="0" w:afterLines="0" w:line="360" w:lineRule="auto"/>
              <w:rPr>
                <w:rFonts w:hint="eastAsia" w:ascii="宋体" w:hAnsi="宋体" w:eastAsia="宋体" w:cs="宋体"/>
                <w:i w:val="0"/>
                <w:iCs w:val="0"/>
                <w:color w:val="000000"/>
                <w:sz w:val="22"/>
                <w:szCs w:val="22"/>
                <w:u w:val="none"/>
              </w:rPr>
            </w:pPr>
          </w:p>
        </w:tc>
        <w:tc>
          <w:tcPr>
            <w:tcW w:w="1034"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val="0"/>
              <w:spacing w:line="360" w:lineRule="auto"/>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22</w:t>
            </w:r>
          </w:p>
        </w:tc>
        <w:tc>
          <w:tcPr>
            <w:tcW w:w="490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val="0"/>
              <w:spacing w:line="360" w:lineRule="auto"/>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新能源汽车动力与储能电池正极材料规模化生产项目、年产60万吨车用尿素项目分别投资金额为25.18亿元、4.33亿元，拟使用募资12.90亿元、4.10亿元。本次募资中，5亿元用于补充流动资金。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366" w:hRule="atLeast"/>
        </w:trPr>
        <w:tc>
          <w:tcPr>
            <w:tcW w:w="1052"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val="0"/>
              <w:spacing w:line="360" w:lineRule="auto"/>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股权质押</w:t>
            </w:r>
          </w:p>
        </w:tc>
        <w:tc>
          <w:tcPr>
            <w:tcW w:w="1164"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val="0"/>
              <w:spacing w:line="360" w:lineRule="auto"/>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2021/12/3</w:t>
            </w:r>
          </w:p>
        </w:tc>
        <w:tc>
          <w:tcPr>
            <w:tcW w:w="725" w:type="dxa"/>
            <w:tcBorders>
              <w:top w:val="single" w:color="000000" w:sz="4" w:space="0"/>
              <w:left w:val="single" w:color="000000" w:sz="4" w:space="0"/>
              <w:bottom w:val="single" w:color="000000" w:sz="4" w:space="0"/>
              <w:right w:val="single" w:color="000000" w:sz="4" w:space="0"/>
            </w:tcBorders>
            <w:shd w:val="clear"/>
            <w:noWrap/>
            <w:vAlign w:val="center"/>
          </w:tcPr>
          <w:p>
            <w:pPr>
              <w:pageBreakBefore w:val="0"/>
              <w:kinsoku/>
              <w:wordWrap/>
              <w:overflowPunct/>
              <w:topLinePunct w:val="0"/>
              <w:autoSpaceDE/>
              <w:autoSpaceDN/>
              <w:bidi w:val="0"/>
              <w:adjustRightInd/>
              <w:snapToGrid w:val="0"/>
              <w:spacing w:before="0" w:beforeLines="0" w:after="0" w:afterLines="0" w:line="360" w:lineRule="auto"/>
              <w:rPr>
                <w:rFonts w:hint="eastAsia" w:ascii="宋体" w:hAnsi="宋体" w:eastAsia="宋体" w:cs="宋体"/>
                <w:i w:val="0"/>
                <w:iCs w:val="0"/>
                <w:color w:val="000000"/>
                <w:sz w:val="22"/>
                <w:szCs w:val="22"/>
                <w:u w:val="none"/>
              </w:rPr>
            </w:pPr>
          </w:p>
        </w:tc>
        <w:tc>
          <w:tcPr>
            <w:tcW w:w="1034"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val="0"/>
              <w:spacing w:line="360" w:lineRule="auto"/>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3万股</w:t>
            </w:r>
          </w:p>
        </w:tc>
        <w:tc>
          <w:tcPr>
            <w:tcW w:w="4902"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val="0"/>
              <w:spacing w:line="360" w:lineRule="auto"/>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常州锂源新能源科技公司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377" w:hRule="atLeast"/>
        </w:trPr>
        <w:tc>
          <w:tcPr>
            <w:tcW w:w="1052" w:type="dxa"/>
            <w:tcBorders>
              <w:top w:val="single" w:color="000000" w:sz="4" w:space="0"/>
              <w:left w:val="single" w:color="000000" w:sz="4" w:space="0"/>
              <w:bottom w:val="single" w:color="000000" w:sz="4" w:space="0"/>
              <w:right w:val="single" w:color="000000" w:sz="4" w:space="0"/>
            </w:tcBorders>
            <w:shd w:val="clear"/>
            <w:noWrap/>
            <w:vAlign w:val="center"/>
          </w:tcPr>
          <w:p>
            <w:pPr>
              <w:pageBreakBefore w:val="0"/>
              <w:kinsoku/>
              <w:wordWrap/>
              <w:overflowPunct/>
              <w:topLinePunct w:val="0"/>
              <w:autoSpaceDE/>
              <w:autoSpaceDN/>
              <w:bidi w:val="0"/>
              <w:adjustRightInd/>
              <w:snapToGrid w:val="0"/>
              <w:spacing w:before="0" w:beforeLines="0" w:after="0" w:afterLines="0" w:line="360" w:lineRule="auto"/>
              <w:rPr>
                <w:rFonts w:hint="eastAsia" w:ascii="宋体" w:hAnsi="宋体" w:eastAsia="宋体" w:cs="宋体"/>
                <w:i w:val="0"/>
                <w:iCs w:val="0"/>
                <w:color w:val="000000"/>
                <w:sz w:val="22"/>
                <w:szCs w:val="22"/>
                <w:u w:val="none"/>
              </w:rPr>
            </w:pPr>
          </w:p>
        </w:tc>
        <w:tc>
          <w:tcPr>
            <w:tcW w:w="1164"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val="0"/>
              <w:spacing w:line="360" w:lineRule="auto"/>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2018/8/23</w:t>
            </w:r>
          </w:p>
        </w:tc>
        <w:tc>
          <w:tcPr>
            <w:tcW w:w="725" w:type="dxa"/>
            <w:tcBorders>
              <w:top w:val="single" w:color="000000" w:sz="4" w:space="0"/>
              <w:left w:val="single" w:color="000000" w:sz="4" w:space="0"/>
              <w:bottom w:val="single" w:color="000000" w:sz="4" w:space="0"/>
              <w:right w:val="single" w:color="000000" w:sz="4" w:space="0"/>
            </w:tcBorders>
            <w:shd w:val="clear"/>
            <w:noWrap/>
            <w:vAlign w:val="center"/>
          </w:tcPr>
          <w:p>
            <w:pPr>
              <w:pageBreakBefore w:val="0"/>
              <w:kinsoku/>
              <w:wordWrap/>
              <w:overflowPunct/>
              <w:topLinePunct w:val="0"/>
              <w:autoSpaceDE/>
              <w:autoSpaceDN/>
              <w:bidi w:val="0"/>
              <w:adjustRightInd/>
              <w:snapToGrid w:val="0"/>
              <w:spacing w:before="0" w:beforeLines="0" w:after="0" w:afterLines="0" w:line="360" w:lineRule="auto"/>
              <w:rPr>
                <w:rFonts w:hint="eastAsia" w:ascii="宋体" w:hAnsi="宋体" w:eastAsia="宋体" w:cs="宋体"/>
                <w:i w:val="0"/>
                <w:iCs w:val="0"/>
                <w:color w:val="000000"/>
                <w:sz w:val="22"/>
                <w:szCs w:val="22"/>
                <w:u w:val="none"/>
              </w:rPr>
            </w:pPr>
          </w:p>
        </w:tc>
        <w:tc>
          <w:tcPr>
            <w:tcW w:w="1034"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val="0"/>
              <w:spacing w:line="360" w:lineRule="auto"/>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5000万股</w:t>
            </w:r>
          </w:p>
        </w:tc>
        <w:tc>
          <w:tcPr>
            <w:tcW w:w="4902"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val="0"/>
              <w:spacing w:line="360" w:lineRule="auto"/>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安徽明天新能源科技有限公司</w:t>
            </w:r>
          </w:p>
        </w:tc>
      </w:tr>
    </w:tbl>
    <w:p>
      <w:pPr>
        <w:pageBreakBefore w:val="0"/>
        <w:numPr>
          <w:numId w:val="0"/>
        </w:numPr>
        <w:kinsoku/>
        <w:wordWrap/>
        <w:overflowPunct/>
        <w:topLinePunct w:val="0"/>
        <w:autoSpaceDE/>
        <w:autoSpaceDN/>
        <w:bidi w:val="0"/>
        <w:adjustRightInd/>
        <w:snapToGrid w:val="0"/>
        <w:spacing w:line="360" w:lineRule="auto"/>
        <w:rPr>
          <w:b/>
          <w:bCs/>
        </w:rPr>
      </w:pPr>
    </w:p>
    <w:sectPr>
      <w:pgSz w:w="11906" w:h="16838"/>
      <w:pgMar w:top="1440" w:right="1800" w:bottom="1440" w:left="1800"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 w:name="微软雅黑">
    <w:altName w:val="汉仪旗黑"/>
    <w:panose1 w:val="020B0503020204020204"/>
    <w:charset w:val="86"/>
    <w:family w:val="swiss"/>
    <w:pitch w:val="variable"/>
    <w:sig w:usb0="00000000" w:usb1="00000000" w:usb2="00000000" w:usb3="00000000" w:csb0="00000000" w:csb1="00000000"/>
  </w:font>
  <w:font w:name="微软雅黑">
    <w:altName w:val="汉仪旗黑"/>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00000000" w:usb1="00000000" w:usb2="00000000" w:usb3="00000000" w:csb0="0006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00000000" w:usb1="00000000" w:usb2="00000000" w:usb3="00000000" w:csb0="0016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7B6F18"/>
    <w:multiLevelType w:val="singleLevel"/>
    <w:tmpl w:val="9E7B6F18"/>
    <w:lvl w:ilvl="0" w:tentative="0">
      <w:start w:val="1"/>
      <w:numFmt w:val="chineseCounting"/>
      <w:suff w:val="nothing"/>
      <w:lvlText w:val="%1、"/>
      <w:lvlJc w:val="left"/>
      <w:pPr>
        <w:ind w:left="0" w:firstLine="420"/>
      </w:pPr>
      <w:rPr>
        <w:rFonts w:hint="eastAsia"/>
      </w:rPr>
    </w:lvl>
  </w:abstractNum>
  <w:abstractNum w:abstractNumId="1">
    <w:nsid w:val="CFFBD1D2"/>
    <w:multiLevelType w:val="singleLevel"/>
    <w:tmpl w:val="CFFBD1D2"/>
    <w:lvl w:ilvl="0" w:tentative="0">
      <w:start w:val="1"/>
      <w:numFmt w:val="chineseCounting"/>
      <w:suff w:val="nothing"/>
      <w:lvlText w:val="（%1）"/>
      <w:lvlJc w:val="left"/>
      <w:pPr>
        <w:ind w:left="0" w:firstLine="420"/>
      </w:pPr>
      <w:rPr>
        <w:rFonts w:hint="eastAsia"/>
      </w:rPr>
    </w:lvl>
  </w:abstractNum>
  <w:abstractNum w:abstractNumId="2">
    <w:nsid w:val="FF4D0852"/>
    <w:multiLevelType w:val="singleLevel"/>
    <w:tmpl w:val="FF4D0852"/>
    <w:lvl w:ilvl="0" w:tentative="0">
      <w:start w:val="1"/>
      <w:numFmt w:val="chineseCounting"/>
      <w:suff w:val="nothing"/>
      <w:lvlText w:val="（%1）"/>
      <w:lvlJc w:val="left"/>
      <w:pPr>
        <w:ind w:left="0" w:firstLine="420"/>
      </w:pPr>
      <w:rPr>
        <w:rFonts w:hint="eastAsia"/>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BBCA34"/>
    <w:rsid w:val="0FD56D69"/>
    <w:rsid w:val="1DFFB9F7"/>
    <w:rsid w:val="2B99F93D"/>
    <w:rsid w:val="3478CA91"/>
    <w:rsid w:val="36F75F85"/>
    <w:rsid w:val="3AFEBEBC"/>
    <w:rsid w:val="5EE761EE"/>
    <w:rsid w:val="67E347A4"/>
    <w:rsid w:val="6AFDBDBF"/>
    <w:rsid w:val="6BFFF873"/>
    <w:rsid w:val="6ED7C229"/>
    <w:rsid w:val="77FDABDD"/>
    <w:rsid w:val="7AFA5637"/>
    <w:rsid w:val="7BA76F1F"/>
    <w:rsid w:val="7CE8D9FF"/>
    <w:rsid w:val="7EFFFFDA"/>
    <w:rsid w:val="7F9ED19A"/>
    <w:rsid w:val="7FBBCA34"/>
    <w:rsid w:val="7FFBFC39"/>
    <w:rsid w:val="BBF7D18D"/>
    <w:rsid w:val="BE441546"/>
    <w:rsid w:val="D3CD3866"/>
    <w:rsid w:val="DBBF8AFB"/>
    <w:rsid w:val="EFFF5D52"/>
    <w:rsid w:val="F1FFA87D"/>
    <w:rsid w:val="F71E18E6"/>
    <w:rsid w:val="FB7E4918"/>
    <w:rsid w:val="FFAD25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chart" Target="charts/chart2.xml"/><Relationship Id="rId4" Type="http://schemas.openxmlformats.org/officeDocument/2006/relationships/chart" Target="charts/chart1.xml"/><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Users/limin/Desktop/&#27146;&#24311;&#28009;&#30340;&#25991;&#26723;/2&#32929;&#26435;&#39033;&#30446;/&#34892;&#19994;&#25968;&#25454;&#32479;&#35745;/&#26032;&#33021;&#28304;&#27773;&#36710;/&#26032;&#33021;&#28304;&#27773;&#36710;&#38144;&#37327;&#12289;&#28183;&#36879;&#29575;&#21450;&#24066;&#22330;&#35268;&#27169;&#39044;&#27979;20220712.xls"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Users/limin/Desktop/&#27146;&#24311;&#28009;&#30340;&#25991;&#26723;/2&#32929;&#26435;&#39033;&#30446;/&#34892;&#19994;&#25968;&#25454;&#32479;&#35745;/&#26032;&#33021;&#28304;&#27773;&#36710;/&#26032;&#33021;&#28304;&#27773;&#36710;&#38144;&#37327;&#12289;&#28183;&#36879;&#29575;&#21450;&#24066;&#22330;&#35268;&#27169;&#39044;&#27979;20220712.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600" b="0" i="0" u="none" strike="noStrike" kern="1200" spc="0" baseline="0">
                <a:solidFill>
                  <a:sysClr val="windowText" lastClr="000000">
                    <a:lumMod val="65000"/>
                    <a:lumOff val="35000"/>
                  </a:sysClr>
                </a:solidFill>
                <a:latin typeface="微软雅黑" panose="020B0503020204020204" pitchFamily="34" charset="-122"/>
                <a:ea typeface="微软雅黑" panose="020B0503020204020204" pitchFamily="34" charset="-122"/>
                <a:cs typeface="微软雅黑" panose="020B0503020204020204" pitchFamily="34" charset="-122"/>
                <a:sym typeface="微软雅黑" panose="020B0503020204020204" pitchFamily="34" charset="-122"/>
              </a:defRPr>
            </a:pPr>
            <a:r>
              <a:rPr altLang="en-US" sz="600">
                <a:latin typeface="微软雅黑" panose="020B0503020204020204" pitchFamily="34" charset="-122"/>
                <a:ea typeface="微软雅黑" panose="020B0503020204020204" pitchFamily="34" charset="-122"/>
                <a:cs typeface="微软雅黑" panose="020B0503020204020204" pitchFamily="34" charset="-122"/>
                <a:sym typeface="微软雅黑" panose="020B0503020204020204" pitchFamily="34" charset="-122"/>
              </a:rPr>
              <a:t>新能源汽车销量及渗透率</a:t>
            </a:r>
            <a:endParaRPr lang="en-US" altLang="zh-CN" sz="600" b="0" i="0" u="none" strike="noStrike" baseline="0">
              <a:solidFill>
                <a:srgbClr val="595959">
                  <a:alpha val="100000"/>
                </a:srgbClr>
              </a:solidFill>
              <a:latin typeface="微软雅黑" panose="020B0503020204020204" pitchFamily="34" charset="-122"/>
              <a:ea typeface="微软雅黑" panose="020B0503020204020204" pitchFamily="34" charset="-122"/>
              <a:cs typeface="微软雅黑" panose="020B0503020204020204" pitchFamily="34" charset="-122"/>
              <a:sym typeface="微软雅黑" panose="020B0503020204020204" pitchFamily="34" charset="-122"/>
            </a:endParaRPr>
          </a:p>
        </c:rich>
      </c:tx>
      <c:layout/>
      <c:overlay val="0"/>
      <c:spPr>
        <a:noFill/>
        <a:ln>
          <a:noFill/>
        </a:ln>
        <a:effectLst/>
      </c:spPr>
    </c:title>
    <c:autoTitleDeleted val="0"/>
    <c:plotArea>
      <c:layout/>
      <c:barChart>
        <c:barDir val="col"/>
        <c:grouping val="clustered"/>
        <c:varyColors val="0"/>
        <c:ser>
          <c:idx val="0"/>
          <c:order val="0"/>
          <c:tx>
            <c:strRef>
              <c:f>[新能源汽车销量、渗透率及市场规模预测20220712.xls]中国新能源汽车销量汇总及预测!$B$1</c:f>
              <c:strCache>
                <c:ptCount val="1"/>
                <c:pt idx="0">
                  <c:v>中国新能源汽车销售量（万辆）</c:v>
                </c:pt>
              </c:strCache>
            </c:strRef>
          </c:tx>
          <c:spPr>
            <a:solidFill>
              <a:srgbClr val="1F5FA0"/>
            </a:solidFill>
            <a:ln>
              <a:noFill/>
            </a:ln>
            <a:effectLst/>
          </c:spPr>
          <c:invertIfNegative val="0"/>
          <c:dLbls>
            <c:numFmt formatCode="General" sourceLinked="1"/>
            <c:spPr>
              <a:noFill/>
              <a:ln>
                <a:noFill/>
              </a:ln>
              <a:effectLst/>
            </c:spPr>
            <c:txPr>
              <a:bodyPr rot="0" spcFirstLastPara="0" vertOverflow="ellipsis" vert="horz" wrap="square" lIns="38100" tIns="19050" rIns="38100" bIns="19050" anchor="ctr" anchorCtr="1"/>
              <a:lstStyle/>
              <a:p>
                <a:pPr>
                  <a:defRPr lang="zh-CN" sz="500" b="0" i="0" u="none" strike="noStrike" kern="1200" baseline="0">
                    <a:solidFill>
                      <a:schemeClr val="bg1"/>
                    </a:solidFill>
                    <a:latin typeface="微软雅黑" panose="020B0503020204020204" pitchFamily="34" charset="-122"/>
                    <a:ea typeface="微软雅黑" panose="020B0503020204020204" pitchFamily="34" charset="-122"/>
                    <a:cs typeface="微软雅黑" panose="020B0503020204020204" pitchFamily="34" charset="-122"/>
                    <a:sym typeface="微软雅黑" panose="020B0503020204020204" pitchFamily="34" charset="-122"/>
                  </a:defRPr>
                </a:pPr>
              </a:p>
            </c:txPr>
            <c:dLblPos val="in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ext>
            </c:extLst>
          </c:dLbls>
          <c:cat>
            <c:numRef>
              <c:f>[新能源汽车销量、渗透率及市场规模预测20220712.xls]中国新能源汽车销量汇总及预测!$A$2:$A$8</c:f>
              <c:numCache>
                <c:formatCode>General</c:formatCode>
                <c:ptCount val="7"/>
                <c:pt idx="0">
                  <c:v>2016</c:v>
                </c:pt>
                <c:pt idx="1">
                  <c:v>2017</c:v>
                </c:pt>
                <c:pt idx="2">
                  <c:v>2018</c:v>
                </c:pt>
                <c:pt idx="3">
                  <c:v>2019</c:v>
                </c:pt>
                <c:pt idx="4">
                  <c:v>2020</c:v>
                </c:pt>
                <c:pt idx="5">
                  <c:v>2021</c:v>
                </c:pt>
                <c:pt idx="6">
                  <c:v>2022</c:v>
                </c:pt>
              </c:numCache>
            </c:numRef>
          </c:cat>
          <c:val>
            <c:numRef>
              <c:f>[新能源汽车销量、渗透率及市场规模预测20220712.xls]中国新能源汽车销量汇总及预测!$B$2:$B$8</c:f>
              <c:numCache>
                <c:formatCode>0_ </c:formatCode>
                <c:ptCount val="7"/>
                <c:pt idx="0">
                  <c:v>50.7</c:v>
                </c:pt>
                <c:pt idx="1">
                  <c:v>77.7</c:v>
                </c:pt>
                <c:pt idx="2">
                  <c:v>125.6</c:v>
                </c:pt>
                <c:pt idx="3">
                  <c:v>120.6</c:v>
                </c:pt>
                <c:pt idx="4">
                  <c:v>136.7</c:v>
                </c:pt>
                <c:pt idx="5">
                  <c:v>352.1</c:v>
                </c:pt>
                <c:pt idx="6">
                  <c:v>688.7</c:v>
                </c:pt>
              </c:numCache>
            </c:numRef>
          </c:val>
        </c:ser>
        <c:dLbls>
          <c:showLegendKey val="0"/>
          <c:showVal val="0"/>
          <c:showCatName val="0"/>
          <c:showSerName val="0"/>
          <c:showPercent val="0"/>
          <c:showBubbleSize val="0"/>
        </c:dLbls>
        <c:gapWidth val="75"/>
        <c:overlap val="-25"/>
        <c:axId val="484399926"/>
        <c:axId val="392886642"/>
      </c:barChart>
      <c:lineChart>
        <c:grouping val="standard"/>
        <c:varyColors val="0"/>
        <c:ser>
          <c:idx val="1"/>
          <c:order val="1"/>
          <c:tx>
            <c:strRef>
              <c:f>[新能源汽车销量、渗透率及市场规模预测20220712.xls]中国新能源汽车销量汇总及预测!$H$1</c:f>
              <c:strCache>
                <c:ptCount val="1"/>
                <c:pt idx="0">
                  <c:v>新能源汽车渗透率（%）</c:v>
                </c:pt>
              </c:strCache>
            </c:strRef>
          </c:tx>
          <c:spPr>
            <a:ln w="28575" cap="rnd" cmpd="sng" algn="ctr">
              <a:solidFill>
                <a:srgbClr val="ED7D31"/>
              </a:solidFill>
              <a:prstDash val="solid"/>
              <a:round/>
            </a:ln>
            <a:effectLst/>
          </c:spPr>
          <c:marker>
            <c:symbol val="none"/>
          </c:marker>
          <c:dLbls>
            <c:numFmt formatCode="General" sourceLinked="1"/>
            <c:spPr>
              <a:noFill/>
              <a:ln>
                <a:noFill/>
              </a:ln>
              <a:effectLst/>
            </c:spPr>
            <c:txPr>
              <a:bodyPr rot="0" spcFirstLastPara="0" vertOverflow="ellipsis" vert="horz" wrap="square" lIns="38100" tIns="19050" rIns="38100" bIns="19050" anchor="ctr" anchorCtr="1"/>
              <a:lstStyle/>
              <a:p>
                <a:pPr>
                  <a:defRPr lang="zh-CN" sz="500" b="0" i="0" u="none" strike="noStrike" kern="1200" baseline="0">
                    <a:solidFill>
                      <a:sysClr val="windowText" lastClr="000000">
                        <a:lumMod val="75000"/>
                        <a:lumOff val="25000"/>
                      </a:sysClr>
                    </a:solidFill>
                    <a:latin typeface="微软雅黑" panose="020B0503020204020204" pitchFamily="34" charset="-122"/>
                    <a:ea typeface="微软雅黑" panose="020B0503020204020204" pitchFamily="34" charset="-122"/>
                    <a:cs typeface="微软雅黑" panose="020B0503020204020204" pitchFamily="34" charset="-122"/>
                    <a:sym typeface="微软雅黑" panose="020B0503020204020204" pitchFamily="34" charset="-122"/>
                  </a:defRPr>
                </a:pPr>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ext>
            </c:extLst>
          </c:dLbls>
          <c:cat>
            <c:numRef>
              <c:f>[新能源汽车销量、渗透率及市场规模预测20220712.xls]中国新能源汽车销量汇总及预测!$A$2:$A$8</c:f>
              <c:numCache>
                <c:formatCode>General</c:formatCode>
                <c:ptCount val="7"/>
                <c:pt idx="0">
                  <c:v>2016</c:v>
                </c:pt>
                <c:pt idx="1">
                  <c:v>2017</c:v>
                </c:pt>
                <c:pt idx="2">
                  <c:v>2018</c:v>
                </c:pt>
                <c:pt idx="3">
                  <c:v>2019</c:v>
                </c:pt>
                <c:pt idx="4">
                  <c:v>2020</c:v>
                </c:pt>
                <c:pt idx="5">
                  <c:v>2021</c:v>
                </c:pt>
                <c:pt idx="6">
                  <c:v>2022</c:v>
                </c:pt>
              </c:numCache>
            </c:numRef>
          </c:cat>
          <c:val>
            <c:numRef>
              <c:f>[新能源汽车销量、渗透率及市场规模预测20220712.xls]中国新能源汽车销量汇总及预测!$H$2:$H$8</c:f>
              <c:numCache>
                <c:formatCode>0.00%</c:formatCode>
                <c:ptCount val="7"/>
                <c:pt idx="0">
                  <c:v>0.0180890538033395</c:v>
                </c:pt>
                <c:pt idx="1">
                  <c:v>0.0269054569252984</c:v>
                </c:pt>
                <c:pt idx="2">
                  <c:v>0.0447277518606887</c:v>
                </c:pt>
                <c:pt idx="3">
                  <c:v>0.0468004191082308</c:v>
                </c:pt>
                <c:pt idx="4">
                  <c:v>0.0540081387539015</c:v>
                </c:pt>
                <c:pt idx="5">
                  <c:v>0.135423076923077</c:v>
                </c:pt>
                <c:pt idx="6">
                  <c:v>0.256365396069089</c:v>
                </c:pt>
              </c:numCache>
            </c:numRef>
          </c:val>
          <c:smooth val="0"/>
        </c:ser>
        <c:dLbls>
          <c:showLegendKey val="0"/>
          <c:showVal val="0"/>
          <c:showCatName val="0"/>
          <c:showSerName val="0"/>
          <c:showPercent val="0"/>
          <c:showBubbleSize val="0"/>
        </c:dLbls>
        <c:marker val="0"/>
        <c:smooth val="0"/>
        <c:axId val="128903303"/>
        <c:axId val="374339320"/>
      </c:lineChart>
      <c:catAx>
        <c:axId val="484399926"/>
        <c:scaling>
          <c:orientation val="minMax"/>
        </c:scaling>
        <c:delete val="0"/>
        <c:axPos val="b"/>
        <c:majorTickMark val="none"/>
        <c:minorTickMark val="none"/>
        <c:tickLblPos val="nextTo"/>
        <c:spPr>
          <a:noFill/>
          <a:ln w="9525" cap="flat" cmpd="sng" algn="ctr">
            <a:solidFill>
              <a:sysClr val="windowText" lastClr="000000">
                <a:lumMod val="15000"/>
                <a:lumOff val="85000"/>
              </a:sysClr>
            </a:solidFill>
            <a:prstDash val="solid"/>
            <a:round/>
          </a:ln>
          <a:effectLst/>
        </c:spPr>
        <c:txPr>
          <a:bodyPr rot="-5400000" spcFirstLastPara="0" vertOverflow="ellipsis" vert="horz" wrap="square" anchor="ctr" anchorCtr="1"/>
          <a:lstStyle/>
          <a:p>
            <a:pPr>
              <a:defRPr lang="zh-CN" sz="500" b="0" i="0" u="none" strike="noStrike" kern="1200" baseline="0">
                <a:solidFill>
                  <a:sysClr val="windowText" lastClr="000000">
                    <a:lumMod val="65000"/>
                    <a:lumOff val="35000"/>
                  </a:sysClr>
                </a:solidFill>
                <a:latin typeface="微软雅黑" panose="020B0503020204020204" pitchFamily="34" charset="-122"/>
                <a:ea typeface="微软雅黑" panose="020B0503020204020204" pitchFamily="34" charset="-122"/>
                <a:cs typeface="微软雅黑" panose="020B0503020204020204" pitchFamily="34" charset="-122"/>
                <a:sym typeface="微软雅黑" panose="020B0503020204020204" pitchFamily="34" charset="-122"/>
              </a:defRPr>
            </a:pPr>
          </a:p>
        </c:txPr>
        <c:crossAx val="392886642"/>
        <c:crosses val="autoZero"/>
        <c:auto val="1"/>
        <c:lblAlgn val="ctr"/>
        <c:lblOffset val="100"/>
        <c:noMultiLvlLbl val="0"/>
      </c:catAx>
      <c:valAx>
        <c:axId val="392886642"/>
        <c:scaling>
          <c:orientation val="minMax"/>
        </c:scaling>
        <c:delete val="0"/>
        <c:axPos val="l"/>
        <c:majorGridlines>
          <c:spPr>
            <a:ln w="9525" cap="flat" cmpd="sng" algn="ctr">
              <a:solidFill>
                <a:sysClr val="windowText" lastClr="000000">
                  <a:lumMod val="15000"/>
                  <a:lumOff val="85000"/>
                </a:sysClr>
              </a:solidFill>
              <a:prstDash val="solid"/>
              <a:round/>
            </a:ln>
            <a:effectLst/>
          </c:spPr>
        </c:majorGridlines>
        <c:numFmt formatCode="0_ " sourceLinked="1"/>
        <c:majorTickMark val="none"/>
        <c:minorTickMark val="none"/>
        <c:tickLblPos val="nextTo"/>
        <c:spPr>
          <a:noFill/>
          <a:ln w="6350" cap="flat" cmpd="sng" algn="ctr">
            <a:noFill/>
            <a:prstDash val="solid"/>
            <a:round/>
          </a:ln>
          <a:effectLst/>
        </c:spPr>
        <c:txPr>
          <a:bodyPr rot="-60000000" spcFirstLastPara="0" vertOverflow="ellipsis" vert="horz" wrap="square" anchor="ctr" anchorCtr="1"/>
          <a:lstStyle/>
          <a:p>
            <a:pPr>
              <a:defRPr lang="zh-CN" sz="500" b="0" i="0" u="none" strike="noStrike" kern="1200" baseline="0">
                <a:solidFill>
                  <a:sysClr val="windowText" lastClr="000000">
                    <a:lumMod val="65000"/>
                    <a:lumOff val="35000"/>
                  </a:sysClr>
                </a:solidFill>
                <a:latin typeface="微软雅黑" panose="020B0503020204020204" pitchFamily="34" charset="-122"/>
                <a:ea typeface="微软雅黑" panose="020B0503020204020204" pitchFamily="34" charset="-122"/>
                <a:cs typeface="微软雅黑" panose="020B0503020204020204" pitchFamily="34" charset="-122"/>
                <a:sym typeface="微软雅黑" panose="020B0503020204020204" pitchFamily="34" charset="-122"/>
              </a:defRPr>
            </a:pPr>
          </a:p>
        </c:txPr>
        <c:crossAx val="484399926"/>
        <c:crosses val="autoZero"/>
        <c:crossBetween val="between"/>
      </c:valAx>
      <c:catAx>
        <c:axId val="128903303"/>
        <c:scaling>
          <c:orientation val="minMax"/>
        </c:scaling>
        <c:delete val="1"/>
        <c:axPos val="b"/>
        <c:majorTickMark val="none"/>
        <c:minorTickMark val="none"/>
        <c:tickLblPos val="nextTo"/>
        <c:txPr>
          <a:bodyPr rot="-60000000" spcFirstLastPara="0" vertOverflow="ellipsis" vert="horz" wrap="square" anchor="ctr" anchorCtr="1"/>
          <a:lstStyle/>
          <a:p>
            <a:pPr>
              <a:defRPr lang="zh-CN" sz="500" b="0" i="0" u="none" strike="noStrike" kern="1200" baseline="0">
                <a:solidFill>
                  <a:srgbClr val="595959">
                    <a:alpha val="100000"/>
                  </a:srgbClr>
                </a:solidFill>
                <a:latin typeface="微软雅黑" panose="020B0503020204020204" pitchFamily="34" charset="-122"/>
                <a:ea typeface="微软雅黑" panose="020B0503020204020204" pitchFamily="34" charset="-122"/>
                <a:cs typeface="微软雅黑" panose="020B0503020204020204" pitchFamily="34" charset="-122"/>
                <a:sym typeface="微软雅黑" panose="020B0503020204020204" pitchFamily="34" charset="-122"/>
              </a:defRPr>
            </a:pPr>
          </a:p>
        </c:txPr>
        <c:crossAx val="374339320"/>
        <c:crosses val="autoZero"/>
        <c:auto val="1"/>
        <c:lblAlgn val="ctr"/>
        <c:lblOffset val="100"/>
        <c:noMultiLvlLbl val="0"/>
      </c:catAx>
      <c:valAx>
        <c:axId val="374339320"/>
        <c:scaling>
          <c:orientation val="minMax"/>
        </c:scaling>
        <c:delete val="0"/>
        <c:axPos val="r"/>
        <c:numFmt formatCode="0.00%" sourceLinked="1"/>
        <c:majorTickMark val="none"/>
        <c:minorTickMark val="none"/>
        <c:tickLblPos val="nextTo"/>
        <c:spPr>
          <a:noFill/>
          <a:ln w="6350" cap="flat" cmpd="sng" algn="ctr">
            <a:noFill/>
            <a:prstDash val="solid"/>
            <a:round/>
          </a:ln>
          <a:effectLst/>
        </c:spPr>
        <c:txPr>
          <a:bodyPr rot="-60000000" spcFirstLastPara="0" vertOverflow="ellipsis" vert="horz" wrap="square" anchor="ctr" anchorCtr="1"/>
          <a:lstStyle/>
          <a:p>
            <a:pPr>
              <a:defRPr lang="zh-CN" sz="500" b="0" i="0" u="none" strike="noStrike" kern="1200" baseline="0">
                <a:solidFill>
                  <a:sysClr val="windowText" lastClr="000000">
                    <a:lumMod val="65000"/>
                    <a:lumOff val="35000"/>
                  </a:sysClr>
                </a:solidFill>
                <a:latin typeface="微软雅黑" panose="020B0503020204020204" pitchFamily="34" charset="-122"/>
                <a:ea typeface="微软雅黑" panose="020B0503020204020204" pitchFamily="34" charset="-122"/>
                <a:cs typeface="微软雅黑" panose="020B0503020204020204" pitchFamily="34" charset="-122"/>
                <a:sym typeface="微软雅黑" panose="020B0503020204020204" pitchFamily="34" charset="-122"/>
              </a:defRPr>
            </a:pPr>
          </a:p>
        </c:txPr>
        <c:crossAx val="128903303"/>
        <c:crosses val="max"/>
        <c:crossBetween val="between"/>
      </c:valAx>
      <c:spPr>
        <a:noFill/>
        <a:ln>
          <a:noFill/>
        </a:ln>
        <a:effectLst/>
      </c:spPr>
    </c:plotArea>
    <c:legend>
      <c:legendPos val="b"/>
      <c:legendEntry>
        <c:idx val="0"/>
        <c:txPr>
          <a:bodyPr rot="0" spcFirstLastPara="0" vertOverflow="ellipsis" vert="horz" wrap="square" anchor="ctr" anchorCtr="1"/>
          <a:lstStyle/>
          <a:p>
            <a:pPr>
              <a:defRPr lang="zh-CN" sz="500" b="0" i="0" u="none" strike="noStrike" kern="1200" baseline="0">
                <a:solidFill>
                  <a:sysClr val="windowText" lastClr="000000">
                    <a:lumMod val="65000"/>
                    <a:lumOff val="35000"/>
                  </a:sysClr>
                </a:solidFill>
                <a:latin typeface="微软雅黑" panose="020B0503020204020204" pitchFamily="34" charset="-122"/>
                <a:ea typeface="微软雅黑" panose="020B0503020204020204" pitchFamily="34" charset="-122"/>
                <a:cs typeface="微软雅黑" panose="020B0503020204020204" pitchFamily="34" charset="-122"/>
                <a:sym typeface="微软雅黑" panose="020B0503020204020204" pitchFamily="34" charset="-122"/>
              </a:defRPr>
            </a:pPr>
          </a:p>
        </c:txPr>
      </c:legendEntry>
      <c:legendEntry>
        <c:idx val="1"/>
        <c:txPr>
          <a:bodyPr rot="0" spcFirstLastPara="0" vertOverflow="ellipsis" vert="horz" wrap="square" anchor="ctr" anchorCtr="1"/>
          <a:lstStyle/>
          <a:p>
            <a:pPr>
              <a:defRPr lang="zh-CN" sz="500" b="0" i="0" u="none" strike="noStrike" kern="1200" baseline="0">
                <a:solidFill>
                  <a:sysClr val="windowText" lastClr="000000">
                    <a:lumMod val="65000"/>
                    <a:lumOff val="35000"/>
                  </a:sysClr>
                </a:solidFill>
                <a:latin typeface="微软雅黑" panose="020B0503020204020204" pitchFamily="34" charset="-122"/>
                <a:ea typeface="微软雅黑" panose="020B0503020204020204" pitchFamily="34" charset="-122"/>
                <a:cs typeface="微软雅黑" panose="020B0503020204020204" pitchFamily="34" charset="-122"/>
                <a:sym typeface="微软雅黑" panose="020B0503020204020204" pitchFamily="34" charset="-122"/>
              </a:defRPr>
            </a:pPr>
          </a:p>
        </c:txPr>
      </c:legendEntry>
      <c:layout/>
      <c:overlay val="0"/>
      <c:spPr>
        <a:noFill/>
        <a:ln>
          <a:noFill/>
        </a:ln>
        <a:effectLst/>
      </c:spPr>
      <c:txPr>
        <a:bodyPr rot="0" spcFirstLastPara="0" vertOverflow="ellipsis" vert="horz" wrap="square" anchor="ctr" anchorCtr="1"/>
        <a:lstStyle/>
        <a:p>
          <a:pPr>
            <a:defRPr lang="zh-CN" sz="500" b="0" i="0" u="none" strike="noStrike" kern="1200" baseline="0">
              <a:solidFill>
                <a:sysClr val="windowText" lastClr="000000">
                  <a:lumMod val="65000"/>
                  <a:lumOff val="35000"/>
                </a:sysClr>
              </a:solidFill>
              <a:latin typeface="微软雅黑" panose="020B0503020204020204" pitchFamily="34" charset="-122"/>
              <a:ea typeface="微软雅黑" panose="020B0503020204020204" pitchFamily="34" charset="-122"/>
              <a:cs typeface="微软雅黑" panose="020B0503020204020204" pitchFamily="34" charset="-122"/>
              <a:sym typeface="微软雅黑" panose="020B0503020204020204" pitchFamily="34" charset="-122"/>
            </a:defRPr>
          </a:pPr>
        </a:p>
      </c:txPr>
    </c:legend>
    <c:plotVisOnly val="1"/>
    <c:dispBlanksAs val="gap"/>
    <c:showDLblsOverMax val="0"/>
  </c:chart>
  <c:spPr>
    <a:solidFill>
      <a:sysClr val="window" lastClr="FFFFFF"/>
    </a:solidFill>
    <a:ln w="9525" cap="flat" cmpd="sng" algn="ctr">
      <a:solidFill>
        <a:schemeClr val="tx1"/>
      </a:solidFill>
      <a:prstDash val="solid"/>
      <a:round/>
    </a:ln>
    <a:effectLst/>
  </c:spPr>
  <c:txPr>
    <a:bodyPr wrap="square"/>
    <a:lstStyle/>
    <a:p>
      <a:pPr>
        <a:defRPr lang="zh-CN" sz="500">
          <a:latin typeface="微软雅黑" panose="020B0503020204020204" pitchFamily="34" charset="-122"/>
          <a:ea typeface="微软雅黑" panose="020B0503020204020204" pitchFamily="34" charset="-122"/>
          <a:cs typeface="微软雅黑" panose="020B0503020204020204" pitchFamily="34" charset="-122"/>
          <a:sym typeface="微软雅黑" panose="020B0503020204020204" pitchFamily="34" charset="-122"/>
        </a:defRPr>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600" b="0" i="0" u="none" strike="noStrike" kern="1200" spc="0" baseline="0">
                <a:solidFill>
                  <a:sysClr val="windowText" lastClr="000000">
                    <a:lumMod val="65000"/>
                    <a:lumOff val="35000"/>
                  </a:sysClr>
                </a:solidFill>
                <a:latin typeface="微软雅黑" charset="0"/>
                <a:ea typeface="微软雅黑" charset="0"/>
                <a:cs typeface="微软雅黑" charset="0"/>
                <a:sym typeface="微软雅黑" charset="0"/>
              </a:defRPr>
            </a:pPr>
            <a:r>
              <a:rPr lang="en-US" altLang="zh-CN" sz="600">
                <a:latin typeface="微软雅黑" charset="0"/>
                <a:ea typeface="微软雅黑" charset="0"/>
                <a:cs typeface="微软雅黑" charset="0"/>
                <a:sym typeface="微软雅黑" charset="0"/>
              </a:rPr>
              <a:t>2020-2022</a:t>
            </a:r>
            <a:r>
              <a:rPr altLang="en-US" sz="600">
                <a:latin typeface="微软雅黑" charset="0"/>
                <a:ea typeface="微软雅黑" charset="0"/>
                <a:cs typeface="微软雅黑" charset="0"/>
                <a:sym typeface="微软雅黑" charset="0"/>
              </a:rPr>
              <a:t>年不同正极材料市场占比</a:t>
            </a:r>
            <a:endParaRPr lang="en-US" altLang="zh-CN" sz="600">
              <a:latin typeface="微软雅黑" charset="0"/>
              <a:ea typeface="微软雅黑" charset="0"/>
              <a:cs typeface="微软雅黑" charset="0"/>
              <a:sym typeface="微软雅黑" charset="0"/>
            </a:endParaRPr>
          </a:p>
        </c:rich>
      </c:tx>
      <c:layout/>
      <c:overlay val="0"/>
      <c:spPr>
        <a:noFill/>
        <a:ln>
          <a:noFill/>
        </a:ln>
        <a:effectLst/>
      </c:spPr>
    </c:title>
    <c:autoTitleDeleted val="0"/>
    <c:plotArea>
      <c:layout/>
      <c:barChart>
        <c:barDir val="col"/>
        <c:grouping val="percentStacked"/>
        <c:varyColors val="0"/>
        <c:ser>
          <c:idx val="0"/>
          <c:order val="0"/>
          <c:tx>
            <c:strRef>
              <c:f>[新能源汽车销量、渗透率及市场规模预测20220712.xls]正极材料出货占比!$A$2</c:f>
              <c:strCache>
                <c:ptCount val="1"/>
                <c:pt idx="0">
                  <c:v>磷酸铁锂</c:v>
                </c:pt>
              </c:strCache>
            </c:strRef>
          </c:tx>
          <c:spPr>
            <a:solidFill>
              <a:srgbClr val="1F5FA0"/>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500" b="0" i="0" u="none" strike="noStrike" kern="1200" baseline="0">
                    <a:solidFill>
                      <a:schemeClr val="bg1"/>
                    </a:solidFill>
                    <a:latin typeface="微软雅黑" charset="0"/>
                    <a:ea typeface="微软雅黑" charset="0"/>
                    <a:cs typeface="微软雅黑" charset="0"/>
                    <a:sym typeface="微软雅黑" charset="0"/>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ysClr val="windowText" lastClr="000000">
                          <a:lumMod val="35000"/>
                          <a:lumOff val="65000"/>
                        </a:sysClr>
                      </a:solidFill>
                      <a:round/>
                    </a:ln>
                    <a:effectLst/>
                  </c:spPr>
                </c15:leaderLines>
              </c:ext>
            </c:extLst>
          </c:dLbls>
          <c:cat>
            <c:numRef>
              <c:f>[新能源汽车销量、渗透率及市场规模预测20220712.xls]正极材料出货占比!$B$1:$D$1</c:f>
              <c:numCache>
                <c:formatCode>General</c:formatCode>
                <c:ptCount val="3"/>
                <c:pt idx="0">
                  <c:v>2020</c:v>
                </c:pt>
                <c:pt idx="1">
                  <c:v>2021</c:v>
                </c:pt>
                <c:pt idx="2">
                  <c:v>2022</c:v>
                </c:pt>
              </c:numCache>
            </c:numRef>
          </c:cat>
          <c:val>
            <c:numRef>
              <c:f>[新能源汽车销量、渗透率及市场规模预测20220712.xls]正极材料出货占比!$B$2:$D$2</c:f>
              <c:numCache>
                <c:formatCode>0%</c:formatCode>
                <c:ptCount val="3"/>
                <c:pt idx="0">
                  <c:v>0.46</c:v>
                </c:pt>
                <c:pt idx="1">
                  <c:v>0.43</c:v>
                </c:pt>
                <c:pt idx="2">
                  <c:v>0.59</c:v>
                </c:pt>
              </c:numCache>
            </c:numRef>
          </c:val>
        </c:ser>
        <c:ser>
          <c:idx val="1"/>
          <c:order val="1"/>
          <c:tx>
            <c:strRef>
              <c:f>[新能源汽车销量、渗透率及市场规模预测20220712.xls]正极材料出货占比!$A$3</c:f>
              <c:strCache>
                <c:ptCount val="1"/>
                <c:pt idx="0">
                  <c:v>三元锂</c:v>
                </c:pt>
              </c:strCache>
            </c:strRef>
          </c:tx>
          <c:spPr>
            <a:solidFill>
              <a:schemeClr val="bg1">
                <a:lumMod val="50000"/>
              </a:schemeClr>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500" b="0" i="0" u="none" strike="noStrike" kern="1200" baseline="0">
                    <a:solidFill>
                      <a:schemeClr val="bg1"/>
                    </a:solidFill>
                    <a:latin typeface="微软雅黑" charset="0"/>
                    <a:ea typeface="微软雅黑" charset="0"/>
                    <a:cs typeface="微软雅黑" charset="0"/>
                    <a:sym typeface="微软雅黑" charset="0"/>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ysClr val="windowText" lastClr="000000">
                          <a:lumMod val="35000"/>
                          <a:lumOff val="65000"/>
                        </a:sysClr>
                      </a:solidFill>
                      <a:round/>
                    </a:ln>
                    <a:effectLst/>
                  </c:spPr>
                </c15:leaderLines>
              </c:ext>
            </c:extLst>
          </c:dLbls>
          <c:cat>
            <c:numRef>
              <c:f>[新能源汽车销量、渗透率及市场规模预测20220712.xls]正极材料出货占比!$B$1:$D$1</c:f>
              <c:numCache>
                <c:formatCode>General</c:formatCode>
                <c:ptCount val="3"/>
                <c:pt idx="0">
                  <c:v>2020</c:v>
                </c:pt>
                <c:pt idx="1">
                  <c:v>2021</c:v>
                </c:pt>
                <c:pt idx="2">
                  <c:v>2022</c:v>
                </c:pt>
              </c:numCache>
            </c:numRef>
          </c:cat>
          <c:val>
            <c:numRef>
              <c:f>[新能源汽车销量、渗透率及市场规模预测20220712.xls]正极材料出货占比!$B$3:$D$3</c:f>
              <c:numCache>
                <c:formatCode>0%</c:formatCode>
                <c:ptCount val="3"/>
                <c:pt idx="0">
                  <c:v>0.24</c:v>
                </c:pt>
                <c:pt idx="1">
                  <c:v>0.38</c:v>
                </c:pt>
                <c:pt idx="2">
                  <c:v>0.34</c:v>
                </c:pt>
              </c:numCache>
            </c:numRef>
          </c:val>
        </c:ser>
        <c:ser>
          <c:idx val="2"/>
          <c:order val="2"/>
          <c:tx>
            <c:strRef>
              <c:f>[新能源汽车销量、渗透率及市场规模预测20220712.xls]正极材料出货占比!$A$4</c:f>
              <c:strCache>
                <c:ptCount val="1"/>
                <c:pt idx="0">
                  <c:v>其他</c:v>
                </c:pt>
              </c:strCache>
            </c:strRef>
          </c:tx>
          <c:spPr>
            <a:solidFill>
              <a:schemeClr val="bg1">
                <a:lumMod val="85000"/>
              </a:schemeClr>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500" b="0" i="0" u="none" strike="noStrike" kern="1200" baseline="0">
                    <a:solidFill>
                      <a:schemeClr val="bg1"/>
                    </a:solidFill>
                    <a:latin typeface="微软雅黑" charset="0"/>
                    <a:ea typeface="微软雅黑" charset="0"/>
                    <a:cs typeface="微软雅黑" charset="0"/>
                    <a:sym typeface="微软雅黑" charset="0"/>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ysClr val="windowText" lastClr="000000">
                          <a:lumMod val="35000"/>
                          <a:lumOff val="65000"/>
                        </a:sysClr>
                      </a:solidFill>
                      <a:round/>
                    </a:ln>
                    <a:effectLst/>
                  </c:spPr>
                </c15:leaderLines>
              </c:ext>
            </c:extLst>
          </c:dLbls>
          <c:cat>
            <c:numRef>
              <c:f>[新能源汽车销量、渗透率及市场规模预测20220712.xls]正极材料出货占比!$B$1:$D$1</c:f>
              <c:numCache>
                <c:formatCode>General</c:formatCode>
                <c:ptCount val="3"/>
                <c:pt idx="0">
                  <c:v>2020</c:v>
                </c:pt>
                <c:pt idx="1">
                  <c:v>2021</c:v>
                </c:pt>
                <c:pt idx="2">
                  <c:v>2022</c:v>
                </c:pt>
              </c:numCache>
            </c:numRef>
          </c:cat>
          <c:val>
            <c:numRef>
              <c:f>[新能源汽车销量、渗透率及市场规模预测20220712.xls]正极材料出货占比!$B$4:$D$4</c:f>
              <c:numCache>
                <c:formatCode>0%</c:formatCode>
                <c:ptCount val="3"/>
                <c:pt idx="0">
                  <c:v>0.3</c:v>
                </c:pt>
                <c:pt idx="1">
                  <c:v>0.19</c:v>
                </c:pt>
                <c:pt idx="2">
                  <c:v>0.0700000000000001</c:v>
                </c:pt>
              </c:numCache>
            </c:numRef>
          </c:val>
        </c:ser>
        <c:dLbls>
          <c:showLegendKey val="0"/>
          <c:showVal val="1"/>
          <c:showCatName val="0"/>
          <c:showSerName val="0"/>
          <c:showPercent val="0"/>
          <c:showBubbleSize val="0"/>
        </c:dLbls>
        <c:gapWidth val="150"/>
        <c:overlap val="100"/>
        <c:axId val="754340784"/>
        <c:axId val="525465113"/>
      </c:barChart>
      <c:catAx>
        <c:axId val="754340784"/>
        <c:scaling>
          <c:orientation val="minMax"/>
        </c:scaling>
        <c:delete val="0"/>
        <c:axPos val="b"/>
        <c:majorTickMark val="none"/>
        <c:minorTickMark val="none"/>
        <c:tickLblPos val="nextTo"/>
        <c:spPr>
          <a:noFill/>
          <a:ln w="9525" cap="flat" cmpd="sng" algn="ctr">
            <a:solidFill>
              <a:sysClr val="windowText" lastClr="000000">
                <a:lumMod val="15000"/>
                <a:lumOff val="85000"/>
              </a:sysClr>
            </a:solidFill>
            <a:round/>
          </a:ln>
          <a:effectLst/>
        </c:spPr>
        <c:txPr>
          <a:bodyPr rot="-60000000" spcFirstLastPara="0" vertOverflow="ellipsis" vert="horz" wrap="square" anchor="ctr" anchorCtr="1"/>
          <a:lstStyle/>
          <a:p>
            <a:pPr>
              <a:defRPr lang="zh-CN" sz="500" b="0" i="0" u="none" strike="noStrike" kern="1200" baseline="0">
                <a:solidFill>
                  <a:sysClr val="windowText" lastClr="000000">
                    <a:lumMod val="65000"/>
                    <a:lumOff val="35000"/>
                  </a:sysClr>
                </a:solidFill>
                <a:latin typeface="微软雅黑" charset="0"/>
                <a:ea typeface="微软雅黑" charset="0"/>
                <a:cs typeface="微软雅黑" charset="0"/>
                <a:sym typeface="微软雅黑" charset="0"/>
              </a:defRPr>
            </a:pPr>
          </a:p>
        </c:txPr>
        <c:crossAx val="525465113"/>
        <c:crosses val="autoZero"/>
        <c:auto val="1"/>
        <c:lblAlgn val="ctr"/>
        <c:lblOffset val="100"/>
        <c:noMultiLvlLbl val="0"/>
      </c:catAx>
      <c:valAx>
        <c:axId val="525465113"/>
        <c:scaling>
          <c:orientation val="minMax"/>
        </c:scaling>
        <c:delete val="0"/>
        <c:axPos val="l"/>
        <c:majorGridlines>
          <c:spPr>
            <a:ln w="9525" cap="flat" cmpd="sng" algn="ctr">
              <a:solidFill>
                <a:sysClr val="windowText" lastClr="000000">
                  <a:lumMod val="15000"/>
                  <a:lumOff val="85000"/>
                </a:sysClr>
              </a:solidFill>
              <a:round/>
            </a:ln>
            <a:effectLst/>
          </c:spPr>
        </c:majorGridlines>
        <c:numFmt formatCode="0%" sourceLinked="1"/>
        <c:majorTickMark val="none"/>
        <c:minorTickMark val="none"/>
        <c:tickLblPos val="nextTo"/>
        <c:spPr>
          <a:noFill/>
          <a:ln>
            <a:noFill/>
          </a:ln>
          <a:effectLst/>
        </c:spPr>
        <c:txPr>
          <a:bodyPr rot="-60000000" spcFirstLastPara="0" vertOverflow="ellipsis" vert="horz" wrap="square" anchor="ctr" anchorCtr="1"/>
          <a:lstStyle/>
          <a:p>
            <a:pPr>
              <a:defRPr lang="zh-CN" sz="500" b="0" i="0" u="none" strike="noStrike" kern="1200" baseline="0">
                <a:solidFill>
                  <a:sysClr val="windowText" lastClr="000000">
                    <a:lumMod val="65000"/>
                    <a:lumOff val="35000"/>
                  </a:sysClr>
                </a:solidFill>
                <a:latin typeface="微软雅黑" charset="0"/>
                <a:ea typeface="微软雅黑" charset="0"/>
                <a:cs typeface="微软雅黑" charset="0"/>
                <a:sym typeface="微软雅黑" charset="0"/>
              </a:defRPr>
            </a:pPr>
          </a:p>
        </c:txPr>
        <c:crossAx val="754340784"/>
        <c:crosses val="autoZero"/>
        <c:crossBetween val="between"/>
      </c:valAx>
      <c:spPr>
        <a:noFill/>
        <a:ln>
          <a:noFill/>
        </a:ln>
        <a:effectLst/>
      </c:spPr>
    </c:plotArea>
    <c:legend>
      <c:legendPos val="b"/>
      <c:legendEntry>
        <c:idx val="0"/>
        <c:txPr>
          <a:bodyPr rot="0" spcFirstLastPara="0" vertOverflow="ellipsis" vert="horz" wrap="square" anchor="ctr" anchorCtr="1"/>
          <a:lstStyle/>
          <a:p>
            <a:pPr>
              <a:defRPr lang="zh-CN" sz="500" b="0" i="0" u="none" strike="noStrike" kern="1200" baseline="0">
                <a:solidFill>
                  <a:sysClr val="windowText" lastClr="000000">
                    <a:lumMod val="65000"/>
                    <a:lumOff val="35000"/>
                  </a:sysClr>
                </a:solidFill>
                <a:latin typeface="微软雅黑" charset="0"/>
                <a:ea typeface="微软雅黑" charset="0"/>
                <a:cs typeface="微软雅黑" charset="0"/>
                <a:sym typeface="微软雅黑" charset="0"/>
              </a:defRPr>
            </a:pPr>
          </a:p>
        </c:txPr>
      </c:legendEntry>
      <c:legendEntry>
        <c:idx val="1"/>
        <c:txPr>
          <a:bodyPr rot="0" spcFirstLastPara="0" vertOverflow="ellipsis" vert="horz" wrap="square" anchor="ctr" anchorCtr="1"/>
          <a:lstStyle/>
          <a:p>
            <a:pPr>
              <a:defRPr lang="zh-CN" sz="500" b="0" i="0" u="none" strike="noStrike" kern="1200" baseline="0">
                <a:solidFill>
                  <a:sysClr val="windowText" lastClr="000000">
                    <a:lumMod val="65000"/>
                    <a:lumOff val="35000"/>
                  </a:sysClr>
                </a:solidFill>
                <a:latin typeface="微软雅黑" charset="0"/>
                <a:ea typeface="微软雅黑" charset="0"/>
                <a:cs typeface="微软雅黑" charset="0"/>
                <a:sym typeface="微软雅黑" charset="0"/>
              </a:defRPr>
            </a:pPr>
          </a:p>
        </c:txPr>
      </c:legendEntry>
      <c:legendEntry>
        <c:idx val="2"/>
        <c:txPr>
          <a:bodyPr rot="0" spcFirstLastPara="0" vertOverflow="ellipsis" vert="horz" wrap="square" anchor="ctr" anchorCtr="1"/>
          <a:lstStyle/>
          <a:p>
            <a:pPr>
              <a:defRPr lang="zh-CN" sz="500" b="0" i="0" u="none" strike="noStrike" kern="1200" baseline="0">
                <a:solidFill>
                  <a:sysClr val="windowText" lastClr="000000">
                    <a:lumMod val="65000"/>
                    <a:lumOff val="35000"/>
                  </a:sysClr>
                </a:solidFill>
                <a:latin typeface="微软雅黑" charset="0"/>
                <a:ea typeface="微软雅黑" charset="0"/>
                <a:cs typeface="微软雅黑" charset="0"/>
                <a:sym typeface="微软雅黑" charset="0"/>
              </a:defRPr>
            </a:pPr>
          </a:p>
        </c:txPr>
      </c:legendEntry>
      <c:layout/>
      <c:overlay val="0"/>
      <c:spPr>
        <a:noFill/>
        <a:ln>
          <a:noFill/>
        </a:ln>
        <a:effectLst/>
      </c:spPr>
      <c:txPr>
        <a:bodyPr rot="0" spcFirstLastPara="0" vertOverflow="ellipsis" vert="horz" wrap="square" anchor="ctr" anchorCtr="1"/>
        <a:lstStyle/>
        <a:p>
          <a:pPr>
            <a:defRPr lang="zh-CN" sz="500" b="0" i="0" u="none" strike="noStrike" kern="1200" baseline="0">
              <a:solidFill>
                <a:sysClr val="windowText" lastClr="000000">
                  <a:lumMod val="65000"/>
                  <a:lumOff val="35000"/>
                </a:sysClr>
              </a:solidFill>
              <a:latin typeface="微软雅黑" charset="0"/>
              <a:ea typeface="微软雅黑" charset="0"/>
              <a:cs typeface="微软雅黑" charset="0"/>
              <a:sym typeface="微软雅黑" charset="0"/>
            </a:defRPr>
          </a:pPr>
        </a:p>
      </c:txPr>
    </c:legend>
    <c:plotVisOnly val="1"/>
    <c:dispBlanksAs val="gap"/>
    <c:showDLblsOverMax val="0"/>
  </c:chart>
  <c:spPr>
    <a:solidFill>
      <a:sysClr val="window" lastClr="FFFFFF"/>
    </a:solidFill>
    <a:ln w="9525" cap="flat" cmpd="sng" algn="ctr">
      <a:solidFill>
        <a:schemeClr val="tx1"/>
      </a:solidFill>
      <a:round/>
    </a:ln>
    <a:effectLst/>
  </c:spPr>
  <c:txPr>
    <a:bodyPr/>
    <a:lstStyle/>
    <a:p>
      <a:pPr>
        <a:defRPr lang="zh-CN" sz="500">
          <a:latin typeface="微软雅黑" charset="0"/>
          <a:ea typeface="微软雅黑" charset="0"/>
          <a:cs typeface="微软雅黑" charset="0"/>
          <a:sym typeface="微软雅黑" charset="0"/>
        </a:defRPr>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ysClr val="windowText" lastClr="000000">
        <a:lumMod val="65000"/>
        <a:lumOff val="35000"/>
      </a:sysClr>
    </cs:fontRef>
    <cs:defRPr sz="1000" kern="1200"/>
  </cs:axisTitle>
  <cs:categoryAxis>
    <cs:lnRef idx="0"/>
    <cs:fillRef idx="0"/>
    <cs:effectRef idx="0"/>
    <cs:fontRef idx="minor">
      <a:sysClr val="windowText" lastClr="000000">
        <a:lumMod val="65000"/>
        <a:lumOff val="35000"/>
      </a:sysClr>
    </cs:fontRef>
    <cs:spPr>
      <a:ln w="9525" cap="flat" cmpd="sng" algn="ctr">
        <a:solidFill>
          <a:sysClr val="windowText" lastClr="000000">
            <a:lumMod val="15000"/>
            <a:lumOff val="85000"/>
          </a:sysClr>
        </a:solidFill>
        <a:round/>
      </a:ln>
    </cs:spPr>
    <cs:defRPr sz="900" kern="1200"/>
  </cs:categoryAxis>
  <cs:chartArea mods="allowNoFillOverride allowNoLineOverride">
    <cs:lnRef idx="0"/>
    <cs:fillRef idx="0"/>
    <cs:effectRef idx="0"/>
    <cs:fontRef idx="minor">
      <a:sysClr val="windowText" lastClr="000000"/>
    </cs:fontRef>
    <cs:spPr>
      <a:solidFill>
        <a:sysClr val="window" lastClr="FFFFFF"/>
      </a:solidFill>
      <a:ln w="9525" cap="flat" cmpd="sng" algn="ctr">
        <a:solidFill>
          <a:sysClr val="windowText" lastClr="000000">
            <a:lumMod val="15000"/>
            <a:lumOff val="85000"/>
          </a:sysClr>
        </a:solidFill>
        <a:round/>
      </a:ln>
    </cs:spPr>
    <cs:defRPr sz="1000" kern="1200"/>
  </cs:chartArea>
  <cs:dataLabel>
    <cs:lnRef idx="0"/>
    <cs:fillRef idx="0"/>
    <cs:effectRef idx="0"/>
    <cs:fontRef idx="minor">
      <a:sysClr val="windowText" lastClr="000000">
        <a:lumMod val="75000"/>
        <a:lumOff val="25000"/>
      </a:sysClr>
    </cs:fontRef>
    <cs:defRPr sz="900" kern="1200"/>
  </cs:dataLabel>
  <cs:dataLabelCallout>
    <cs:lnRef idx="0"/>
    <cs:fillRef idx="0"/>
    <cs:effectRef idx="0"/>
    <cs:fontRef idx="minor">
      <a:sysClr val="windowText" lastClr="000000">
        <a:lumMod val="65000"/>
        <a:lumOff val="35000"/>
      </a:sysClr>
    </cs:fontRef>
    <cs:spPr>
      <a:solidFill>
        <a:sysClr val="window" lastClr="FFFFFF"/>
      </a:solidFill>
      <a:ln>
        <a:solidFill>
          <a:sysClr val="windowText" lastClr="000000">
            <a:lumMod val="25000"/>
            <a:lumOff val="75000"/>
          </a:sys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ysClr val="windowText" lastClr="000000"/>
    </cs:fontRef>
  </cs:dataPoint>
  <cs:dataPoint3D>
    <cs:lnRef idx="0"/>
    <cs:fillRef idx="1">
      <cs:styleClr val="auto"/>
    </cs:fillRef>
    <cs:effectRef idx="0"/>
    <cs:fontRef idx="minor">
      <a:sysClr val="windowText" lastClr="000000"/>
    </cs:fontRef>
  </cs:dataPoint3D>
  <cs:dataPointLine>
    <cs:lnRef idx="0">
      <cs:styleClr val="auto"/>
    </cs:lnRef>
    <cs:fillRef idx="1"/>
    <cs:effectRef idx="0"/>
    <cs:fontRef idx="minor">
      <a:sysClr val="windowText" lastClr="000000"/>
    </cs:fontRef>
    <cs:spPr>
      <a:ln w="28575" cap="rnd">
        <a:solidFill>
          <a:srgbClr val="FFFFFF"/>
        </a:solidFill>
        <a:round/>
      </a:ln>
    </cs:spPr>
  </cs:dataPointLine>
  <cs:dataPointMarker>
    <cs:lnRef idx="0">
      <cs:styleClr val="auto"/>
    </cs:lnRef>
    <cs:fillRef idx="1">
      <cs:styleClr val="auto"/>
    </cs:fillRef>
    <cs:effectRef idx="0"/>
    <cs:fontRef idx="minor">
      <a:sysClr val="windowText" lastClr="000000"/>
    </cs:fontRef>
    <cs:spPr>
      <a:ln w="9525">
        <a:solidFill>
          <a:srgbClr val="FFFFFF"/>
        </a:solidFill>
      </a:ln>
    </cs:spPr>
  </cs:dataPointMarker>
  <cs:dataPointMarkerLayout symbol="circle" size="5"/>
  <cs:dataPointWireframe>
    <cs:lnRef idx="0">
      <cs:styleClr val="auto"/>
    </cs:lnRef>
    <cs:fillRef idx="1"/>
    <cs:effectRef idx="0"/>
    <cs:fontRef idx="minor">
      <a:sysClr val="windowText" lastClr="000000"/>
    </cs:fontRef>
    <cs:spPr>
      <a:ln w="9525" cap="rnd">
        <a:solidFill>
          <a:srgbClr val="FFFFFF"/>
        </a:solidFill>
        <a:round/>
      </a:ln>
    </cs:spPr>
  </cs:dataPointWireframe>
  <cs:dataTable>
    <cs:lnRef idx="0"/>
    <cs:fillRef idx="0"/>
    <cs:effectRef idx="0"/>
    <cs:fontRef idx="minor">
      <a:sysClr val="windowText" lastClr="000000">
        <a:lumMod val="65000"/>
        <a:lumOff val="35000"/>
      </a:sysClr>
    </cs:fontRef>
    <cs:spPr>
      <a:noFill/>
      <a:ln w="9525" cap="flat" cmpd="sng" algn="ctr">
        <a:solidFill>
          <a:sysClr val="windowText" lastClr="000000">
            <a:lumMod val="15000"/>
            <a:lumOff val="85000"/>
          </a:sysClr>
        </a:solidFill>
        <a:round/>
      </a:ln>
    </cs:spPr>
    <cs:defRPr sz="900" kern="1200"/>
  </cs:dataTable>
  <cs:downBar>
    <cs:lnRef idx="0"/>
    <cs:fillRef idx="0"/>
    <cs:effectRef idx="0"/>
    <cs:fontRef idx="minor">
      <a:sysClr val="windowText" lastClr="000000"/>
    </cs:fontRef>
    <cs:spPr>
      <a:solidFill>
        <a:sysClr val="windowText" lastClr="000000">
          <a:lumMod val="75000"/>
          <a:lumOff val="25000"/>
        </a:sysClr>
      </a:solidFill>
      <a:ln w="9525" cap="flat" cmpd="sng" algn="ctr">
        <a:solidFill>
          <a:sysClr val="windowText" lastClr="000000">
            <a:lumMod val="65000"/>
            <a:lumOff val="35000"/>
          </a:sysClr>
        </a:solidFill>
        <a:round/>
      </a:ln>
    </cs:spPr>
  </cs:downBar>
  <cs:dropLine>
    <cs:lnRef idx="0"/>
    <cs:fillRef idx="0"/>
    <cs:effectRef idx="0"/>
    <cs:fontRef idx="minor">
      <a:sysClr val="windowText" lastClr="000000"/>
    </cs:fontRef>
    <cs:spPr>
      <a:ln w="9525" cap="flat" cmpd="sng" algn="ctr">
        <a:solidFill>
          <a:sysClr val="windowText" lastClr="000000">
            <a:lumMod val="35000"/>
            <a:lumOff val="65000"/>
          </a:sysClr>
        </a:solidFill>
        <a:round/>
      </a:ln>
    </cs:spPr>
  </cs:dropLine>
  <cs:errorBar>
    <cs:lnRef idx="0"/>
    <cs:fillRef idx="0"/>
    <cs:effectRef idx="0"/>
    <cs:fontRef idx="minor">
      <a:sysClr val="windowText" lastClr="000000"/>
    </cs:fontRef>
    <cs:spPr>
      <a:ln w="9525" cap="flat" cmpd="sng" algn="ctr">
        <a:solidFill>
          <a:sysClr val="windowText" lastClr="000000">
            <a:lumMod val="65000"/>
            <a:lumOff val="35000"/>
          </a:sysClr>
        </a:solidFill>
        <a:round/>
      </a:ln>
    </cs:spPr>
  </cs:errorBar>
  <cs:floor>
    <cs:lnRef idx="0"/>
    <cs:fillRef idx="0"/>
    <cs:effectRef idx="0"/>
    <cs:fontRef idx="minor">
      <a:sysClr val="windowText" lastClr="000000"/>
    </cs:fontRef>
    <cs:spPr>
      <a:noFill/>
      <a:ln>
        <a:noFill/>
      </a:ln>
    </cs:spPr>
  </cs:floor>
  <cs:gridlineMajor>
    <cs:lnRef idx="0"/>
    <cs:fillRef idx="0"/>
    <cs:effectRef idx="0"/>
    <cs:fontRef idx="minor">
      <a:sysClr val="windowText" lastClr="000000"/>
    </cs:fontRef>
    <cs:spPr>
      <a:ln w="9525" cap="flat" cmpd="sng" algn="ctr">
        <a:solidFill>
          <a:sysClr val="windowText" lastClr="000000">
            <a:lumMod val="15000"/>
            <a:lumOff val="85000"/>
          </a:sysClr>
        </a:solidFill>
        <a:round/>
      </a:ln>
    </cs:spPr>
  </cs:gridlineMajor>
  <cs:gridlineMinor>
    <cs:lnRef idx="0"/>
    <cs:fillRef idx="0"/>
    <cs:effectRef idx="0"/>
    <cs:fontRef idx="minor">
      <a:sysClr val="windowText" lastClr="000000"/>
    </cs:fontRef>
    <cs:spPr>
      <a:ln w="9525" cap="flat" cmpd="sng" algn="ctr">
        <a:solidFill>
          <a:sysClr val="windowText" lastClr="000000">
            <a:lumMod val="5000"/>
            <a:lumOff val="95000"/>
          </a:sysClr>
        </a:solidFill>
        <a:round/>
      </a:ln>
    </cs:spPr>
  </cs:gridlineMinor>
  <cs:hiLoLine>
    <cs:lnRef idx="0"/>
    <cs:fillRef idx="0"/>
    <cs:effectRef idx="0"/>
    <cs:fontRef idx="minor">
      <a:sysClr val="windowText" lastClr="000000"/>
    </cs:fontRef>
    <cs:spPr>
      <a:ln w="9525" cap="flat" cmpd="sng" algn="ctr">
        <a:solidFill>
          <a:sysClr val="windowText" lastClr="000000">
            <a:lumMod val="50000"/>
            <a:lumOff val="50000"/>
          </a:sysClr>
        </a:solidFill>
        <a:round/>
      </a:ln>
    </cs:spPr>
  </cs:hiLoLine>
  <cs:leaderLine>
    <cs:lnRef idx="0"/>
    <cs:fillRef idx="0"/>
    <cs:effectRef idx="0"/>
    <cs:fontRef idx="minor">
      <a:sysClr val="windowText" lastClr="000000"/>
    </cs:fontRef>
    <cs:spPr>
      <a:ln w="9525" cap="flat" cmpd="sng" algn="ctr">
        <a:solidFill>
          <a:sysClr val="windowText" lastClr="000000">
            <a:lumMod val="35000"/>
            <a:lumOff val="65000"/>
          </a:sysClr>
        </a:solidFill>
        <a:round/>
      </a:ln>
    </cs:spPr>
  </cs:leaderLine>
  <cs:legend>
    <cs:lnRef idx="0"/>
    <cs:fillRef idx="0"/>
    <cs:effectRef idx="0"/>
    <cs:fontRef idx="minor">
      <a:sysClr val="windowText" lastClr="000000">
        <a:lumMod val="65000"/>
        <a:lumOff val="35000"/>
      </a:sysClr>
    </cs:fontRef>
    <cs:defRPr sz="900" kern="1200"/>
  </cs:legend>
  <cs:plotArea mods="allowNoFillOverride allowNoLineOverride">
    <cs:lnRef idx="0"/>
    <cs:fillRef idx="0"/>
    <cs:effectRef idx="0"/>
    <cs:fontRef idx="minor">
      <a:sysClr val="windowText" lastClr="000000"/>
    </cs:fontRef>
  </cs:plotArea>
  <cs:plotArea3D mods="allowNoFillOverride allowNoLineOverride">
    <cs:lnRef idx="0"/>
    <cs:fillRef idx="0"/>
    <cs:effectRef idx="0"/>
    <cs:fontRef idx="minor">
      <a:sysClr val="windowText" lastClr="000000"/>
    </cs:fontRef>
  </cs:plotArea3D>
  <cs:seriesAxis>
    <cs:lnRef idx="0"/>
    <cs:fillRef idx="0"/>
    <cs:effectRef idx="0"/>
    <cs:fontRef idx="minor">
      <a:sysClr val="windowText" lastClr="000000">
        <a:lumMod val="65000"/>
        <a:lumOff val="35000"/>
      </a:sysClr>
    </cs:fontRef>
    <cs:defRPr sz="900" kern="1200"/>
  </cs:seriesAxis>
  <cs:seriesLine>
    <cs:lnRef idx="0"/>
    <cs:fillRef idx="0"/>
    <cs:effectRef idx="0"/>
    <cs:fontRef idx="minor">
      <a:sysClr val="windowText" lastClr="000000"/>
    </cs:fontRef>
    <cs:spPr>
      <a:ln w="9525" cap="flat" cmpd="sng" algn="ctr">
        <a:solidFill>
          <a:sysClr val="windowText" lastClr="000000">
            <a:lumMod val="35000"/>
            <a:lumOff val="65000"/>
          </a:sysClr>
        </a:solidFill>
        <a:round/>
      </a:ln>
    </cs:spPr>
  </cs:seriesLine>
  <cs:title>
    <cs:lnRef idx="0"/>
    <cs:fillRef idx="0"/>
    <cs:effectRef idx="0"/>
    <cs:fontRef idx="minor">
      <a:sysClr val="windowText" lastClr="000000">
        <a:lumMod val="65000"/>
        <a:lumOff val="35000"/>
      </a:sysClr>
    </cs:fontRef>
    <cs:defRPr sz="1400" b="0" kern="1200" spc="0" baseline="0"/>
  </cs:title>
  <cs:trendline>
    <cs:lnRef idx="0">
      <cs:styleClr val="auto"/>
    </cs:lnRef>
    <cs:fillRef idx="0"/>
    <cs:effectRef idx="0"/>
    <cs:fontRef idx="minor">
      <a:sysClr val="windowText" lastClr="000000"/>
    </cs:fontRef>
    <cs:spPr>
      <a:ln w="19050" cap="rnd">
        <a:solidFill>
          <a:srgbClr val="FFFFFF"/>
        </a:solidFill>
        <a:prstDash val="sysDot"/>
      </a:ln>
    </cs:spPr>
  </cs:trendline>
  <cs:trendlineLabel>
    <cs:lnRef idx="0"/>
    <cs:fillRef idx="0"/>
    <cs:effectRef idx="0"/>
    <cs:fontRef idx="minor">
      <a:sysClr val="windowText" lastClr="000000">
        <a:lumMod val="65000"/>
        <a:lumOff val="35000"/>
      </a:sysClr>
    </cs:fontRef>
    <cs:defRPr sz="900" kern="1200"/>
  </cs:trendlineLabel>
  <cs:upBar>
    <cs:lnRef idx="0"/>
    <cs:fillRef idx="0"/>
    <cs:effectRef idx="0"/>
    <cs:fontRef idx="minor">
      <a:sysClr val="windowText" lastClr="000000"/>
    </cs:fontRef>
    <cs:spPr>
      <a:solidFill>
        <a:sysClr val="window" lastClr="FFFFFF"/>
      </a:solidFill>
      <a:ln w="9525" cap="flat" cmpd="sng" algn="ctr">
        <a:solidFill>
          <a:sysClr val="windowText" lastClr="000000">
            <a:lumMod val="65000"/>
            <a:lumOff val="35000"/>
          </a:sysClr>
        </a:solidFill>
        <a:round/>
      </a:ln>
    </cs:spPr>
  </cs:upBar>
  <cs:valueAxis>
    <cs:lnRef idx="0"/>
    <cs:fillRef idx="0"/>
    <cs:effectRef idx="0"/>
    <cs:fontRef idx="minor">
      <a:sysClr val="windowText" lastClr="000000">
        <a:lumMod val="65000"/>
        <a:lumOff val="35000"/>
      </a:sysClr>
    </cs:fontRef>
    <cs:defRPr sz="900" kern="1200"/>
  </cs:valueAxis>
  <cs:wall>
    <cs:lnRef idx="0"/>
    <cs:fillRef idx="0"/>
    <cs:effectRef idx="0"/>
    <cs:fontRef idx="minor">
      <a:sysClr val="windowText" lastClr="000000"/>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45</TotalTime>
  <ScaleCrop>false</ScaleCrop>
  <LinksUpToDate>false</LinksUpToDate>
  <CharactersWithSpaces>0</CharactersWithSpaces>
  <Application>WPS Office_5.1.1.7676_F1E327BC-269C-435d-A152-05C5408002CA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2023-03-02T09:50:00Z</dcterms:created>
  <dc:creator>MD樊廷浩</dc:creator>
  <cp:lastModifiedBy>MD樊廷浩</cp:lastModifiedBy>
  <dcterms:modified xsi:type="dcterms:W3CDTF">2023-03-03T11:56:24Z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2052-5.1.1.7676</vt:lpwstr>
  </property>
  <property fmtid="{D5CDD505-2E9C-101B-9397-08002B2CF9AE}" pid="3" name="ICV">
    <vt:lpwstr>D6C0D89A76BBE639000100641F38960F</vt:lpwstr>
  </property>
</Properties>
</file>