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181B1" w14:textId="3BDC087E" w:rsidR="009303D9" w:rsidRPr="000E694A" w:rsidRDefault="000E694A" w:rsidP="006347CF">
      <w:pPr>
        <w:pStyle w:val="papertitle"/>
        <w:spacing w:before="100" w:beforeAutospacing="1" w:after="100" w:afterAutospacing="1"/>
        <w:rPr>
          <w:rFonts w:eastAsiaTheme="minorEastAsia"/>
          <w:lang w:eastAsia="zh-CN"/>
        </w:rPr>
      </w:pPr>
      <w:r w:rsidRPr="000E694A">
        <w:t>Multi-Driver Interval Modeling of Demand Response under Energy Conservation Constraints</w:t>
      </w:r>
    </w:p>
    <w:p w14:paraId="1C091940" w14:textId="77777777" w:rsidR="009303D9" w:rsidRDefault="009303D9" w:rsidP="006347CF">
      <w:pPr>
        <w:pStyle w:val="Author"/>
        <w:spacing w:before="100" w:beforeAutospacing="1" w:after="100" w:afterAutospacing="1"/>
        <w:rPr>
          <w:sz w:val="16"/>
          <w:szCs w:val="16"/>
        </w:rPr>
      </w:pPr>
    </w:p>
    <w:p w14:paraId="241A7DB3" w14:textId="77777777" w:rsidR="00D7522C" w:rsidRDefault="00D7522C" w:rsidP="00CA4392">
      <w:pPr>
        <w:pStyle w:val="Author"/>
        <w:spacing w:before="100" w:beforeAutospacing="1" w:after="100" w:afterAutospacing="1" w:line="120" w:lineRule="auto"/>
        <w:rPr>
          <w:sz w:val="16"/>
          <w:szCs w:val="16"/>
        </w:rPr>
      </w:pPr>
    </w:p>
    <w:p w14:paraId="27550083"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9B5C62">
          <w:footerReference w:type="first" r:id="rId8"/>
          <w:pgSz w:w="12240" w:h="15840" w:code="1"/>
          <w:pgMar w:top="1080" w:right="893" w:bottom="1440" w:left="893" w:header="720" w:footer="720" w:gutter="0"/>
          <w:cols w:space="720"/>
          <w:titlePg/>
          <w:docGrid w:linePitch="360"/>
        </w:sectPr>
      </w:pPr>
    </w:p>
    <w:p w14:paraId="03017C2F" w14:textId="2C6102F5" w:rsidR="001A3B3D" w:rsidRPr="006347CF" w:rsidRDefault="008D332F" w:rsidP="006347CF">
      <w:pPr>
        <w:pStyle w:val="Author"/>
        <w:spacing w:before="100" w:beforeAutospacing="1"/>
        <w:rPr>
          <w:sz w:val="18"/>
          <w:szCs w:val="18"/>
        </w:rPr>
        <w:sectPr w:rsidR="001A3B3D" w:rsidRPr="006347CF" w:rsidSect="009B5C62">
          <w:type w:val="continuous"/>
          <w:pgSz w:w="12240" w:h="15840" w:code="1"/>
          <w:pgMar w:top="1080" w:right="893" w:bottom="1440" w:left="893" w:header="720" w:footer="720" w:gutter="0"/>
          <w:cols w:num="4" w:space="216"/>
          <w:docGrid w:linePitch="360"/>
        </w:sectPr>
      </w:pPr>
      <w:r>
        <w:rPr>
          <w:rFonts w:hint="eastAsia"/>
          <w:sz w:val="18"/>
          <w:szCs w:val="18"/>
          <w:lang w:eastAsia="zh-CN"/>
        </w:rPr>
        <w:t xml:space="preserve"> </w:t>
      </w:r>
      <w:r>
        <w:rPr>
          <w:sz w:val="18"/>
          <w:szCs w:val="18"/>
        </w:rPr>
        <w:t>Wei Wang</w:t>
      </w:r>
      <w:r>
        <w:rPr>
          <w:rFonts w:hint="eastAsia"/>
          <w:sz w:val="18"/>
          <w:szCs w:val="18"/>
          <w:vertAlign w:val="superscript"/>
          <w:lang w:eastAsia="zh-CN"/>
        </w:rPr>
        <w:t>st</w:t>
      </w:r>
      <w:r>
        <w:rPr>
          <w:sz w:val="18"/>
          <w:szCs w:val="18"/>
        </w:rPr>
        <w:br/>
      </w:r>
      <w:r>
        <w:rPr>
          <w:i/>
          <w:sz w:val="18"/>
          <w:szCs w:val="18"/>
        </w:rPr>
        <w:t>Coll. of Electr. and Power Eng.</w:t>
      </w:r>
      <w:r>
        <w:rPr>
          <w:sz w:val="18"/>
          <w:szCs w:val="18"/>
        </w:rPr>
        <w:br/>
      </w:r>
      <w:r>
        <w:rPr>
          <w:i/>
          <w:sz w:val="18"/>
          <w:szCs w:val="18"/>
        </w:rPr>
        <w:t>Hohai University</w:t>
      </w:r>
      <w:r>
        <w:rPr>
          <w:i/>
          <w:sz w:val="18"/>
          <w:szCs w:val="18"/>
        </w:rPr>
        <w:br/>
      </w:r>
      <w:r>
        <w:rPr>
          <w:sz w:val="18"/>
          <w:szCs w:val="18"/>
        </w:rPr>
        <w:t>Nanjing, China</w:t>
      </w:r>
      <w:r>
        <w:rPr>
          <w:sz w:val="18"/>
          <w:szCs w:val="18"/>
        </w:rPr>
        <w:br/>
      </w:r>
      <w:r w:rsidRPr="008D332F">
        <w:rPr>
          <w:sz w:val="18"/>
          <w:szCs w:val="18"/>
        </w:rPr>
        <w:t>251306030038@hhu.edu.cn</w:t>
      </w:r>
      <w:r>
        <w:rPr>
          <w:sz w:val="18"/>
          <w:szCs w:val="18"/>
        </w:rPr>
        <w:br/>
      </w:r>
      <w:r w:rsidR="009303D9">
        <w:rPr>
          <w:sz w:val="18"/>
          <w:szCs w:val="18"/>
        </w:rPr>
        <w:br/>
      </w:r>
      <w:r w:rsidR="009303D9">
        <w:rPr>
          <w:sz w:val="18"/>
          <w:szCs w:val="18"/>
        </w:rPr>
        <w:t xml:space="preserve"> </w:t>
      </w:r>
      <w:r>
        <w:rPr>
          <w:sz w:val="18"/>
          <w:szCs w:val="18"/>
        </w:rPr>
        <w:t>Tingyu Jiang</w:t>
      </w:r>
      <w:r>
        <w:rPr>
          <w:sz w:val="18"/>
          <w:szCs w:val="18"/>
          <w:vertAlign w:val="superscript"/>
        </w:rPr>
        <w:t>nd</w:t>
      </w:r>
      <w:r>
        <w:rPr>
          <w:sz w:val="18"/>
          <w:szCs w:val="18"/>
        </w:rPr>
        <w:br/>
      </w:r>
      <w:r>
        <w:rPr>
          <w:i/>
          <w:sz w:val="18"/>
          <w:szCs w:val="18"/>
        </w:rPr>
        <w:t>Coll. of Electr. and Power Eng.</w:t>
      </w:r>
      <w:r>
        <w:rPr>
          <w:sz w:val="18"/>
          <w:szCs w:val="18"/>
        </w:rPr>
        <w:br/>
      </w:r>
      <w:r>
        <w:rPr>
          <w:i/>
          <w:sz w:val="18"/>
          <w:szCs w:val="18"/>
        </w:rPr>
        <w:t>Hohai University</w:t>
      </w:r>
      <w:r>
        <w:rPr>
          <w:i/>
          <w:sz w:val="18"/>
          <w:szCs w:val="18"/>
        </w:rPr>
        <w:br/>
      </w:r>
      <w:r>
        <w:rPr>
          <w:sz w:val="18"/>
          <w:szCs w:val="18"/>
        </w:rPr>
        <w:t>Nanjing, China</w:t>
      </w:r>
      <w:r w:rsidRPr="00B7329E">
        <w:rPr>
          <w:sz w:val="18"/>
          <w:szCs w:val="18"/>
        </w:rPr>
        <w:br/>
        <w:t>tyjiang@hhu.edu.cn</w:t>
      </w:r>
      <w:r w:rsidR="009303D9">
        <w:rPr>
          <w:sz w:val="18"/>
          <w:szCs w:val="18"/>
        </w:rPr>
        <w:br/>
      </w:r>
      <w:r w:rsidR="009303D9">
        <w:rPr>
          <w:sz w:val="18"/>
          <w:szCs w:val="18"/>
        </w:rPr>
        <w:br/>
      </w:r>
      <w:r w:rsidR="009303D9">
        <w:rPr>
          <w:sz w:val="18"/>
          <w:szCs w:val="18"/>
        </w:rPr>
        <w:t xml:space="preserve"> Qianyu Zhao</w:t>
      </w:r>
      <w:r w:rsidR="009303D9">
        <w:rPr>
          <w:sz w:val="18"/>
          <w:szCs w:val="18"/>
          <w:vertAlign w:val="superscript"/>
        </w:rPr>
        <w:t>rd</w:t>
      </w:r>
      <w:r w:rsidR="009303D9">
        <w:rPr>
          <w:sz w:val="18"/>
          <w:szCs w:val="18"/>
        </w:rPr>
        <w:br/>
      </w:r>
      <w:r w:rsidR="009303D9">
        <w:rPr>
          <w:i/>
          <w:sz w:val="18"/>
          <w:szCs w:val="18"/>
        </w:rPr>
        <w:t>State Key Lab of Power Distrib.</w:t>
      </w:r>
      <w:r w:rsidR="009303D9">
        <w:rPr>
          <w:sz w:val="18"/>
          <w:szCs w:val="18"/>
        </w:rPr>
        <w:br/>
      </w:r>
      <w:r w:rsidR="009303D9">
        <w:rPr>
          <w:i/>
          <w:sz w:val="18"/>
          <w:szCs w:val="18"/>
        </w:rPr>
        <w:t>Tianjin University</w:t>
      </w:r>
      <w:r w:rsidR="009303D9">
        <w:rPr>
          <w:i/>
          <w:sz w:val="18"/>
          <w:szCs w:val="18"/>
        </w:rPr>
        <w:br/>
      </w:r>
      <w:r w:rsidR="009303D9">
        <w:rPr>
          <w:sz w:val="18"/>
          <w:szCs w:val="18"/>
        </w:rPr>
        <w:t>Tianjin, China</w:t>
      </w:r>
      <w:r w:rsidR="009303D9">
        <w:rPr>
          <w:sz w:val="18"/>
          <w:szCs w:val="18"/>
        </w:rPr>
        <w:br/>
      </w:r>
      <w:r w:rsidRPr="008D332F">
        <w:rPr>
          <w:sz w:val="18"/>
          <w:szCs w:val="18"/>
        </w:rPr>
        <w:t>zhaoqianyu@tju.edu.cn</w:t>
      </w:r>
      <w:r w:rsidR="009303D9">
        <w:rPr>
          <w:sz w:val="18"/>
          <w:szCs w:val="18"/>
        </w:rPr>
        <w:br/>
      </w:r>
      <w:r w:rsidR="009303D9">
        <w:rPr>
          <w:sz w:val="18"/>
          <w:szCs w:val="18"/>
        </w:rPr>
        <w:br/>
      </w:r>
      <w:r w:rsidR="009303D9">
        <w:rPr>
          <w:sz w:val="18"/>
          <w:szCs w:val="18"/>
        </w:rPr>
        <w:t xml:space="preserve"> Yuying H</w:t>
      </w:r>
      <w:r w:rsidR="00B7329E">
        <w:rPr>
          <w:rFonts w:hint="eastAsia"/>
          <w:sz w:val="18"/>
          <w:szCs w:val="18"/>
          <w:lang w:eastAsia="zh-CN"/>
        </w:rPr>
        <w:t>e</w:t>
      </w:r>
      <w:r w:rsidR="009303D9">
        <w:rPr>
          <w:sz w:val="18"/>
          <w:szCs w:val="18"/>
          <w:vertAlign w:val="superscript"/>
        </w:rPr>
        <w:t>th</w:t>
      </w:r>
      <w:r w:rsidR="009303D9">
        <w:rPr>
          <w:sz w:val="18"/>
          <w:szCs w:val="18"/>
        </w:rPr>
        <w:br/>
      </w:r>
      <w:r w:rsidR="009303D9">
        <w:rPr>
          <w:i/>
          <w:sz w:val="18"/>
          <w:szCs w:val="18"/>
        </w:rPr>
        <w:t>Coll. of Electr. and Power Eng.</w:t>
      </w:r>
      <w:r w:rsidR="009303D9">
        <w:rPr>
          <w:sz w:val="18"/>
          <w:szCs w:val="18"/>
        </w:rPr>
        <w:br/>
      </w:r>
      <w:r w:rsidR="009303D9">
        <w:rPr>
          <w:i/>
          <w:sz w:val="18"/>
          <w:szCs w:val="18"/>
        </w:rPr>
        <w:t>Hohai University</w:t>
      </w:r>
      <w:r w:rsidR="009303D9">
        <w:rPr>
          <w:i/>
          <w:sz w:val="18"/>
          <w:szCs w:val="18"/>
        </w:rPr>
        <w:br/>
      </w:r>
      <w:r w:rsidR="009303D9">
        <w:rPr>
          <w:sz w:val="18"/>
          <w:szCs w:val="18"/>
        </w:rPr>
        <w:t>Nanjing, China</w:t>
      </w:r>
      <w:r w:rsidR="009303D9">
        <w:rPr>
          <w:sz w:val="18"/>
          <w:szCs w:val="18"/>
        </w:rPr>
        <w:br/>
      </w:r>
      <w:r w:rsidR="00B7329E" w:rsidRPr="00B7329E">
        <w:rPr>
          <w:sz w:val="18"/>
          <w:szCs w:val="18"/>
        </w:rPr>
        <w:t>heyuying@hhu.edu.cn</w:t>
      </w:r>
    </w:p>
    <w:p w14:paraId="6B05BB56" w14:textId="77777777" w:rsidR="00D72D06" w:rsidRPr="005B520E" w:rsidRDefault="00D72D06"/>
    <w:p w14:paraId="55F0CF26" w14:textId="77777777" w:rsidR="009303D9" w:rsidRPr="005B520E" w:rsidRDefault="009303D9">
      <w:pPr>
        <w:sectPr w:rsidR="009303D9" w:rsidRPr="005B520E" w:rsidSect="009B5C62">
          <w:type w:val="continuous"/>
          <w:pgSz w:w="12240" w:h="15840" w:code="1"/>
          <w:pgMar w:top="1080" w:right="893" w:bottom="1440" w:left="893" w:header="720" w:footer="720" w:gutter="0"/>
          <w:cols w:space="720"/>
          <w:docGrid w:linePitch="360"/>
        </w:sectPr>
      </w:pPr>
    </w:p>
    <w:p w14:paraId="1247CDC8" w14:textId="77777777" w:rsidR="00715BEA" w:rsidRDefault="00715BEA" w:rsidP="00CA4392">
      <w:pPr>
        <w:pStyle w:val="Author"/>
        <w:spacing w:before="100" w:beforeAutospacing="1"/>
        <w:rPr>
          <w:sz w:val="18"/>
          <w:szCs w:val="18"/>
        </w:rPr>
      </w:pPr>
    </w:p>
    <w:p w14:paraId="67AE377D" w14:textId="77777777" w:rsidR="00715BEA" w:rsidRDefault="00715BEA" w:rsidP="00CA4392">
      <w:pPr>
        <w:pStyle w:val="Author"/>
        <w:spacing w:before="100" w:beforeAutospacing="1"/>
        <w:rPr>
          <w:sz w:val="18"/>
          <w:szCs w:val="18"/>
        </w:rPr>
      </w:pPr>
    </w:p>
    <w:p w14:paraId="36BB25C8" w14:textId="7F10D1BD" w:rsidR="00CA4392" w:rsidRDefault="00715BEA" w:rsidP="00CA4392">
      <w:pPr>
        <w:pStyle w:val="Author"/>
        <w:spacing w:before="100" w:beforeAutospacing="1"/>
        <w:contextualSpacing/>
        <w:rPr>
          <w:sz w:val="18"/>
          <w:szCs w:val="18"/>
        </w:rPr>
      </w:pPr>
      <w:r>
        <w:rPr>
          <w:sz w:val="18"/>
          <w:szCs w:val="18"/>
        </w:rPr>
        <w:t>Shouxiang Wang</w:t>
      </w:r>
      <w:r>
        <w:rPr>
          <w:sz w:val="18"/>
          <w:szCs w:val="18"/>
          <w:vertAlign w:val="superscript"/>
        </w:rPr>
        <w:t>th</w:t>
      </w:r>
      <w:r>
        <w:rPr>
          <w:sz w:val="18"/>
          <w:szCs w:val="18"/>
        </w:rPr>
        <w:br/>
      </w:r>
      <w:r>
        <w:rPr>
          <w:i/>
          <w:sz w:val="18"/>
          <w:szCs w:val="18"/>
        </w:rPr>
        <w:t>State Key Lab of Power Distrib.</w:t>
      </w:r>
      <w:r>
        <w:rPr>
          <w:sz w:val="18"/>
          <w:szCs w:val="18"/>
        </w:rPr>
        <w:br/>
      </w:r>
      <w:r>
        <w:rPr>
          <w:i/>
          <w:sz w:val="18"/>
          <w:szCs w:val="18"/>
        </w:rPr>
        <w:t>Tianjin University</w:t>
      </w:r>
      <w:r>
        <w:rPr>
          <w:i/>
          <w:sz w:val="18"/>
          <w:szCs w:val="18"/>
        </w:rPr>
        <w:br/>
      </w:r>
      <w:r>
        <w:rPr>
          <w:sz w:val="18"/>
          <w:szCs w:val="18"/>
        </w:rPr>
        <w:t>Tianjin, China</w:t>
      </w:r>
      <w:r>
        <w:rPr>
          <w:sz w:val="18"/>
          <w:szCs w:val="18"/>
        </w:rPr>
        <w:br/>
      </w:r>
      <w:r w:rsidR="008D332F" w:rsidRPr="008D332F">
        <w:rPr>
          <w:sz w:val="18"/>
          <w:szCs w:val="18"/>
        </w:rPr>
        <w:t>sxwang@tju.edu.cn</w:t>
      </w:r>
    </w:p>
    <w:p w14:paraId="44A546F1" w14:textId="55700078" w:rsidR="00CA4392" w:rsidRDefault="00CA4392" w:rsidP="00CA4392">
      <w:pPr>
        <w:pStyle w:val="Author"/>
        <w:spacing w:before="100" w:beforeAutospacing="1"/>
        <w:contextualSpacing/>
        <w:rPr>
          <w:sz w:val="18"/>
          <w:szCs w:val="18"/>
        </w:rPr>
      </w:pPr>
      <w:r>
        <w:rPr>
          <w:i/>
          <w:sz w:val="18"/>
          <w:szCs w:val="18"/>
        </w:rPr>
        <w:br/>
      </w:r>
      <w:r>
        <w:rPr>
          <w:sz w:val="18"/>
          <w:szCs w:val="18"/>
        </w:rPr>
        <w:br/>
      </w:r>
    </w:p>
    <w:p w14:paraId="139F6ADD" w14:textId="77777777" w:rsidR="00CA4392" w:rsidRDefault="00CA4392" w:rsidP="00CA4392">
      <w:pPr>
        <w:pStyle w:val="Author"/>
        <w:spacing w:before="100" w:beforeAutospacing="1"/>
        <w:contextualSpacing/>
        <w:rPr>
          <w:sz w:val="18"/>
          <w:szCs w:val="18"/>
        </w:rPr>
      </w:pPr>
    </w:p>
    <w:p w14:paraId="65D3558F" w14:textId="77777777" w:rsidR="00CA4392" w:rsidRDefault="00CA4392" w:rsidP="00CA4392">
      <w:pPr>
        <w:pStyle w:val="Author"/>
        <w:spacing w:before="100" w:beforeAutospacing="1"/>
        <w:contextualSpacing/>
        <w:rPr>
          <w:sz w:val="18"/>
          <w:szCs w:val="18"/>
        </w:rPr>
      </w:pPr>
    </w:p>
    <w:p w14:paraId="77862E68" w14:textId="77777777" w:rsidR="00CA4392" w:rsidRDefault="00CA4392" w:rsidP="00CA4392">
      <w:pPr>
        <w:pStyle w:val="Author"/>
        <w:spacing w:before="100" w:beforeAutospacing="1"/>
        <w:contextualSpacing/>
        <w:rPr>
          <w:sz w:val="18"/>
          <w:szCs w:val="18"/>
        </w:rPr>
      </w:pPr>
    </w:p>
    <w:p w14:paraId="71AF355A" w14:textId="77777777" w:rsidR="00CA4392" w:rsidRDefault="00CA4392" w:rsidP="00CA4392">
      <w:pPr>
        <w:pStyle w:val="Author"/>
        <w:spacing w:before="100" w:beforeAutospacing="1"/>
        <w:contextualSpacing/>
        <w:rPr>
          <w:sz w:val="18"/>
          <w:szCs w:val="18"/>
        </w:rPr>
      </w:pPr>
    </w:p>
    <w:p w14:paraId="699EBB59" w14:textId="77777777" w:rsidR="00CA4392" w:rsidRDefault="00CA4392" w:rsidP="00CA4392">
      <w:pPr>
        <w:pStyle w:val="Author"/>
        <w:spacing w:before="100" w:beforeAutospacing="1"/>
        <w:contextualSpacing/>
        <w:rPr>
          <w:sz w:val="18"/>
          <w:szCs w:val="18"/>
        </w:rPr>
      </w:pPr>
    </w:p>
    <w:p w14:paraId="098636B4" w14:textId="77777777" w:rsidR="00CA4392" w:rsidRPr="00F847A6" w:rsidRDefault="00CA4392" w:rsidP="00CA4392">
      <w:pPr>
        <w:pStyle w:val="Author"/>
        <w:spacing w:before="100" w:beforeAutospacing="1"/>
        <w:rPr>
          <w:sz w:val="16"/>
          <w:szCs w:val="16"/>
        </w:rPr>
        <w:sectPr w:rsidR="00CA4392" w:rsidRPr="00F847A6" w:rsidSect="009B5C62">
          <w:type w:val="continuous"/>
          <w:pgSz w:w="12240" w:h="15840" w:code="1"/>
          <w:pgMar w:top="1080" w:right="893" w:bottom="1440" w:left="893" w:header="720" w:footer="720" w:gutter="0"/>
          <w:cols w:num="4" w:space="216"/>
          <w:docGrid w:linePitch="360"/>
        </w:sectPr>
      </w:pPr>
    </w:p>
    <w:p w14:paraId="7CED440B" w14:textId="77777777" w:rsidR="006347CF" w:rsidRDefault="006347CF" w:rsidP="00CA4392">
      <w:pPr>
        <w:pStyle w:val="Author"/>
        <w:spacing w:before="100" w:beforeAutospacing="1"/>
        <w:jc w:val="both"/>
        <w:rPr>
          <w:sz w:val="16"/>
          <w:szCs w:val="16"/>
        </w:rPr>
      </w:pPr>
    </w:p>
    <w:p w14:paraId="35586417" w14:textId="77777777" w:rsidR="006347CF" w:rsidRPr="00F847A6" w:rsidRDefault="006347CF" w:rsidP="00CA4392">
      <w:pPr>
        <w:pStyle w:val="Author"/>
        <w:spacing w:before="100" w:beforeAutospacing="1"/>
        <w:jc w:val="both"/>
        <w:rPr>
          <w:sz w:val="16"/>
          <w:szCs w:val="16"/>
        </w:rPr>
        <w:sectPr w:rsidR="006347CF" w:rsidRPr="00F847A6" w:rsidSect="009B5C62">
          <w:type w:val="continuous"/>
          <w:pgSz w:w="12240" w:h="15840" w:code="1"/>
          <w:pgMar w:top="1080" w:right="893" w:bottom="1440" w:left="893" w:header="720" w:footer="720" w:gutter="0"/>
          <w:cols w:num="4" w:space="216"/>
          <w:docGrid w:linePitch="360"/>
        </w:sectPr>
      </w:pPr>
    </w:p>
    <w:p w14:paraId="1B049735" w14:textId="57527728" w:rsidR="00551D25" w:rsidRDefault="00000000">
      <w:pPr>
        <w:pStyle w:val="Abstract"/>
      </w:pPr>
      <w:r>
        <w:rPr>
          <w:i/>
          <w:iCs/>
        </w:rPr>
        <w:t>Abstract</w:t>
      </w:r>
      <w:r>
        <w:t>—</w:t>
      </w:r>
      <w:r w:rsidR="008B5A8E" w:rsidRPr="008B5A8E">
        <w:t>Price-based demand response (DR) is an important flexibility resource for active distribution networks. However, its realized response magnitude is affected by two poorly characterized factors that are seldom considered simultaneously in conventional elasticity-matrix models: the fraction of users that actually respond to a tariff signal and the day-ahead uncertainty band of the real-time tariff. Treating either factor as deterministic may compress the response into an overly narrow range and overlook the difference between peak and off-peak tariff uncertainty. This paper develops a multi-driver interval model for DR, in which the user participation rate and the real-time tariff are jointly represented as interval inputs. The resulting response trajectories are further filtered by a single-period magnitude limit and a whole-cycle energy conservation constraint. Seasonal typical-day scenarios are introduced so that participation bounds and tariff fluctuation coefficients can vary with operating conditions rather than being collapsed into a single static interval. A case study on a modified IEEE 33-bus system shows that the proposed model contracts the raw unconstrained band, preserves the seasonal ordering of DR response magnitudes, and provides a tunable response band for subsequent scheduling or tariff-design studies</w:t>
      </w:r>
      <w:r>
        <w:t>.</w:t>
      </w:r>
    </w:p>
    <w:p w14:paraId="1A297F5C" w14:textId="77777777" w:rsidR="00551D25" w:rsidRDefault="00000000">
      <w:pPr>
        <w:pStyle w:val="Keywords"/>
      </w:pPr>
      <w:r>
        <w:rPr>
          <w:iCs/>
        </w:rPr>
        <w:t>Keywords</w:t>
      </w:r>
      <w:r>
        <w:t>—demand response; interval modeling; participation rate; price elasticity; energy conservation; active distribution network</w:t>
      </w:r>
    </w:p>
    <w:p w14:paraId="45079B41" w14:textId="77777777" w:rsidR="00551D25" w:rsidRDefault="00000000">
      <w:pPr>
        <w:pStyle w:val="1"/>
      </w:pPr>
      <w:r>
        <w:t>Introduction</w:t>
      </w:r>
    </w:p>
    <w:p w14:paraId="4FDBD43E" w14:textId="2ABC4E30" w:rsidR="00551D25" w:rsidRDefault="008B5A8E">
      <w:pPr>
        <w:pStyle w:val="a3"/>
      </w:pPr>
      <w:r w:rsidRPr="008B5A8E">
        <w:rPr>
          <w:lang w:val="en-US"/>
        </w:rPr>
        <w:t>Price-based demand response (DR) has become a widely deployed user-side flexibility resource in modern distribution networks. By shifting part of electricity consumption from peak periods to valley periods through time-varying tariffs, DR can alleviate congestion, smooth the net load, and improve the hosting capacity of distribution networks for distributed renewable generation [1], [2]. The price elasticity matrix is a widely used analytical tool for describing this behavior, as it captures both the self-elastic effect within the current period and the cross-elastic transfer between adjacent periods [3]</w:t>
      </w:r>
      <w:r>
        <w:t>.</w:t>
      </w:r>
    </w:p>
    <w:p w14:paraId="3F6A413D" w14:textId="735D79DF" w:rsidR="00551D25" w:rsidRDefault="008B5A8E">
      <w:pPr>
        <w:pStyle w:val="a3"/>
      </w:pPr>
      <w:r w:rsidRPr="008B5A8E">
        <w:rPr>
          <w:lang w:val="en-US"/>
        </w:rPr>
        <w:t>In practice, however, two factors that determine the realized DR response are seldom known precisely at the day-ahead stage. The first is the participation rate, namely the fraction of users that actually respond to a tariff signal. This rate is affected by policy outreach, user awareness, and ambient conditions, and only a coarse range can usually be inferred from historical surveys. The second is the real-time tariff, which is settled close to delivery and is only known in advance to lie within a band around a reference price. Since the tariff band is usually wider during peak periods than during off-peak periods, treating the tariff as deterministic may underestimate the response spread and mask the peak/off-peak asymmetry in tariff settlement</w:t>
      </w:r>
      <w:r>
        <w:t>.</w:t>
      </w:r>
    </w:p>
    <w:p w14:paraId="6A559E85" w14:textId="4EBBED76" w:rsidR="00551D25" w:rsidRDefault="008B5A8E">
      <w:pPr>
        <w:pStyle w:val="a3"/>
      </w:pPr>
      <w:r w:rsidRPr="008B5A8E">
        <w:rPr>
          <w:lang w:val="en-US"/>
        </w:rPr>
        <w:t>Interval modeling is a suitable tool for these two factors because they mainly reflect epistemic rather than aleatory uncertainty. However, most existing interval DR formulations allow only one factor to vary while fixing the other, assume a symmetric tariff band, or generate candidate response trajectories without imposing a physical energy-balance condition over the scheduling cycle. As a result, the resulting interval may be either too narrow to capture the joint epistemic spread or too wide to be useful in operation. More importantly, the load-shifting nature of DR, namely shifting energy across periods rather than creating or eliminating it, is not explicitly enforced</w:t>
      </w:r>
      <w:r>
        <w:t>.</w:t>
      </w:r>
    </w:p>
    <w:p w14:paraId="71AF3A97" w14:textId="358B27A7" w:rsidR="00551D25" w:rsidRDefault="008B5A8E">
      <w:pPr>
        <w:pStyle w:val="a3"/>
      </w:pPr>
      <w:r w:rsidRPr="008B5A8E">
        <w:rPr>
          <w:lang w:val="en-US"/>
        </w:rPr>
        <w:t xml:space="preserve">Motivated by these observations, this paper proposes a multi-driver interval model for DR, </w:t>
      </w:r>
      <w:r w:rsidR="00FC05CD">
        <w:rPr>
          <w:lang w:val="en-US"/>
        </w:rPr>
        <w:t>in which</w:t>
      </w:r>
      <w:r w:rsidRPr="008B5A8E">
        <w:rPr>
          <w:lang w:val="en-US"/>
        </w:rPr>
        <w:t xml:space="preserve"> the participation rate and the real-time tariff are treated as simultaneous interval inputs and the resulting response trajectories are filtered by both a single-period magnitude limit and a whole-cycle energy conservation constraint. The main contributions are as follows: (</w:t>
      </w:r>
      <w:proofErr w:type="spellStart"/>
      <w:r w:rsidRPr="008B5A8E">
        <w:rPr>
          <w:lang w:val="en-US"/>
        </w:rPr>
        <w:t>i</w:t>
      </w:r>
      <w:proofErr w:type="spellEnd"/>
      <w:r w:rsidRPr="008B5A8E">
        <w:rPr>
          <w:lang w:val="en-US"/>
        </w:rPr>
        <w:t xml:space="preserve">) a two-driver interval formulation of price-elasticity-based DR considering participation and tariff uncertainty; (ii) a constraint-filtering procedure that incorporates the 24-hour energy-balance requirement into interval generation; (iii) a typical-day scenario partition that allows the interval bounds to vary across seasons; </w:t>
      </w:r>
      <w:r w:rsidRPr="008B5A8E">
        <w:rPr>
          <w:lang w:val="en-US"/>
        </w:rPr>
        <w:lastRenderedPageBreak/>
        <w:t>and (iv) a case study on a modified IEEE 33-bus system that compares the proposed interval with fixed-parameter, unconstrained, and probabilistic baselines</w:t>
      </w:r>
      <w:r>
        <w:t>.</w:t>
      </w:r>
    </w:p>
    <w:p w14:paraId="6A67B0BC" w14:textId="77777777" w:rsidR="00551D25" w:rsidRDefault="00000000">
      <w:pPr>
        <w:pStyle w:val="1"/>
      </w:pPr>
      <w:r>
        <w:t>Related Work</w:t>
      </w:r>
    </w:p>
    <w:p w14:paraId="26F3FC22" w14:textId="17746D61" w:rsidR="00551D25" w:rsidRDefault="008B5A8E">
      <w:pPr>
        <w:pStyle w:val="a3"/>
      </w:pPr>
      <w:r w:rsidRPr="008B5A8E">
        <w:rPr>
          <w:lang w:val="en-US"/>
        </w:rPr>
        <w:t>Recent advances in DR uncertainty modeling can be grouped into three streams according to how user behavior and uncertain response parameters are represented</w:t>
      </w:r>
      <w:r>
        <w:t>.</w:t>
      </w:r>
    </w:p>
    <w:p w14:paraId="791C640A" w14:textId="2B283615" w:rsidR="00551D25" w:rsidRDefault="008B5A8E">
      <w:pPr>
        <w:pStyle w:val="a3"/>
      </w:pPr>
      <w:r w:rsidRPr="008B5A8E">
        <w:rPr>
          <w:lang w:val="en-US"/>
        </w:rPr>
        <w:t xml:space="preserve">The first stream uses probabilistic descriptions of the response. </w:t>
      </w:r>
      <w:proofErr w:type="spellStart"/>
      <w:r w:rsidRPr="008B5A8E">
        <w:rPr>
          <w:lang w:val="en-US"/>
        </w:rPr>
        <w:t>Aien</w:t>
      </w:r>
      <w:proofErr w:type="spellEnd"/>
      <w:r w:rsidRPr="008B5A8E">
        <w:rPr>
          <w:lang w:val="en-US"/>
        </w:rPr>
        <w:t xml:space="preserve"> et al. [5] develop a probabilistic load flow method under correlated input uncertainty using the unscented transformation, and recent studies have extended this idea to distributionally robust formulations for active distribution networks with both photovoltaic uncertainty and load-side DR [6]. Probabilistic modeling is powerful when sufficient observations are available, but it requires distributional assumptions for quantities such as the participation rate, whose empirical distribution is often difficult to identify reliably in early-stage DR programs</w:t>
      </w:r>
      <w:r>
        <w:t>.</w:t>
      </w:r>
    </w:p>
    <w:p w14:paraId="5136BC9B" w14:textId="16B2E8EE" w:rsidR="00551D25" w:rsidRDefault="008B5A8E">
      <w:pPr>
        <w:pStyle w:val="a3"/>
      </w:pPr>
      <w:r w:rsidRPr="008B5A8E">
        <w:rPr>
          <w:lang w:val="en-US"/>
        </w:rPr>
        <w:t>The second stream adopts interval or robust set-based descriptions, which are suitable for epistemic uncertainty. Zhang et al. [7] propose a central-limit-theorem-based method for power flow analysis under interval renewable generation, Mamani et al. [8] formulate energy price uncertainty as an interval optimization problem, and Li et al. [9] introduce a two-stage robust scheduling scheme in which price-based DR loads are bounded by a budget uncertainty set. However, most of these formulations vary only one input quantity at a time, and the daily energy-balance requirement is either absent or handled only as a post-processing step</w:t>
      </w:r>
      <w:r>
        <w:t>.</w:t>
      </w:r>
    </w:p>
    <w:p w14:paraId="3BEE7295" w14:textId="73552CBF" w:rsidR="00551D25" w:rsidRDefault="008B5A8E">
      <w:pPr>
        <w:pStyle w:val="a3"/>
      </w:pPr>
      <w:r w:rsidRPr="008B5A8E">
        <w:rPr>
          <w:lang w:val="en-US"/>
        </w:rPr>
        <w:t xml:space="preserve">The third stream focuses on decision-dependent or behavior-driven uncertainty, </w:t>
      </w:r>
      <w:r w:rsidR="00FC05CD">
        <w:rPr>
          <w:lang w:val="en-US"/>
        </w:rPr>
        <w:t>in which</w:t>
      </w:r>
      <w:r w:rsidRPr="008B5A8E">
        <w:rPr>
          <w:lang w:val="en-US"/>
        </w:rPr>
        <w:t xml:space="preserve"> the uncertainty set itself responds to the operator's decisions. Datta [10] develops a bi-level hybrid optimization method for multi-microgrids in which price-elastic DR is treated as a decision-dependent quantity, and Tan et al. [11] review adjustable robust optimization with decision-dependent uncertainty in power-system applications. Interval-based nested frameworks have also been used to derive flexibility from smart buildings and electric vehicle fleets in TSO-DSO coordination [12]. These methods capture richer behavioral interactions, but they usually lead to more complex optimization problems</w:t>
      </w:r>
      <w:r>
        <w:t>.</w:t>
      </w:r>
    </w:p>
    <w:p w14:paraId="45AE83AA" w14:textId="2D21EA03" w:rsidR="00551D25" w:rsidRDefault="008B5A8E">
      <w:pPr>
        <w:pStyle w:val="a3"/>
      </w:pPr>
      <w:r w:rsidRPr="008B5A8E">
        <w:rPr>
          <w:lang w:val="en-US"/>
        </w:rPr>
        <w:t>The present work belongs to the interval-methods stream and addresses two specific gaps: existing models typically vary only one uncertainty driver at a time, and physical energy conservation is rarely embedded in the interval-generation process. Compared with the broader DR modeling literature [13] and budgeted robust formulations [15], the proposed method jointly varies the participation rate and the real-time tariff while incorporating a 24-hour energy-balance filter. Compared with decision-dependent formulations, it sacrifices some behavioral detail in exchange for a lighter assumption burden and simpler downstream computation, making it suitable for early-stage feasibility studies and data-scarce DR applications</w:t>
      </w:r>
      <w:r>
        <w:t>.</w:t>
      </w:r>
    </w:p>
    <w:p w14:paraId="52FDD9D0" w14:textId="08E0917B" w:rsidR="00551D25" w:rsidRDefault="000E694A">
      <w:pPr>
        <w:pStyle w:val="a3"/>
      </w:pPr>
      <w:r w:rsidRPr="000E694A">
        <w:rPr>
          <w:lang w:val="en-US"/>
        </w:rPr>
        <w:t xml:space="preserve">Overall, the proposed method occupies an intermediate position between conventional interval models and more complex probabilistic or decision-dependent formulations. It jointly varies two uncertainty drivers while embedding the daily </w:t>
      </w:r>
      <w:r w:rsidRPr="000E694A">
        <w:rPr>
          <w:lang w:val="en-US"/>
        </w:rPr>
        <w:t>energy-balance check into the interval-generation process, thereby improving physical consistency without requiring extensive historical data or a high-dimensional optimization model</w:t>
      </w:r>
      <w:r>
        <w:t>.</w:t>
      </w:r>
    </w:p>
    <w:p w14:paraId="5ED8682A" w14:textId="77777777" w:rsidR="00551D25" w:rsidRDefault="00000000">
      <w:pPr>
        <w:pStyle w:val="1"/>
      </w:pPr>
      <w:r>
        <w:t>Multi-Driver Interval Model for Demand Response</w:t>
      </w:r>
    </w:p>
    <w:p w14:paraId="2F20EAB3" w14:textId="77777777" w:rsidR="00551D25" w:rsidRDefault="00000000">
      <w:pPr>
        <w:pStyle w:val="2"/>
      </w:pPr>
      <w:r>
        <w:t>Price Elasticity-Based DR Response</w:t>
      </w:r>
    </w:p>
    <w:p w14:paraId="1CD8ADE5" w14:textId="77777777" w:rsidR="00551D25" w:rsidRDefault="00000000">
      <w:pPr>
        <w:pStyle w:val="a3"/>
      </w:pPr>
      <w:r>
        <w:t xml:space="preserve">Within one scheduling cycle of length T (here T = 24 hours), the price-elasticity DR response of node </w:t>
      </w:r>
      <w:proofErr w:type="spellStart"/>
      <w:r>
        <w:t>i</w:t>
      </w:r>
      <w:proofErr w:type="spellEnd"/>
      <w:r>
        <w:t xml:space="preserve"> is described by a T-by-T elasticity matrix in which the diagonal entries represent self-elasticity and the off-diagonal entries represent cross-elasticity between two periods [4]. Because most household appliances cannot defer consumption across an arbitrarily long horizon, only entries within a window of three periods on each side of the current period are kept non-zero, and the magnitude of the cross-elasticity decays exponentially with the time gap and is asymmetric across the diagonal, so that households defer load more readily than they advance it. Writing the per-unit tariff change as r and the base load as P, the response vector takes the matrix-vector form of (1).</w:t>
      </w:r>
    </w:p>
    <w:p w14:paraId="3F93EE00" w14:textId="77777777" w:rsidR="00551D25" w:rsidRDefault="00000000">
      <w:pPr>
        <w:pStyle w:val="equation"/>
        <w:rPr>
          <w:rFonts w:hint="eastAsia"/>
        </w:rPr>
      </w:pPr>
      <w:r>
        <w:rPr>
          <w:rFonts w:ascii="Times New Roman" w:hAnsi="Times New Roman" w:cs="Times New Roman"/>
        </w:rPr>
        <w:tab/>
      </w:r>
      <w:r>
        <w:rPr>
          <w:rFonts w:ascii="Times New Roman" w:hAnsi="Times New Roman" w:cs="Times New Roman"/>
          <w:i/>
          <w:iCs/>
        </w:rPr>
        <w:t>ΔP</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rPr>
        <w:t xml:space="preserve"> · </w:t>
      </w:r>
      <w:proofErr w:type="spellStart"/>
      <w:r>
        <w:rPr>
          <w:rFonts w:ascii="Times New Roman" w:hAnsi="Times New Roman" w:cs="Times New Roman"/>
        </w:rPr>
        <w:t>diag</w:t>
      </w:r>
      <w:proofErr w:type="spellEnd"/>
      <w:r>
        <w:rPr>
          <w:rFonts w:ascii="Times New Roman" w:hAnsi="Times New Roman" w:cs="Times New Roman"/>
        </w:rPr>
        <w:t>(</w:t>
      </w:r>
      <w:r>
        <w:rPr>
          <w:rFonts w:ascii="Times New Roman" w:hAnsi="Times New Roman" w:cs="Times New Roman"/>
          <w:i/>
          <w:iCs/>
        </w:rPr>
        <w:t>P</w:t>
      </w:r>
      <w:r>
        <w:rPr>
          <w:rFonts w:ascii="Times New Roman" w:hAnsi="Times New Roman" w:cs="Times New Roman"/>
        </w:rPr>
        <w:t xml:space="preserve">) · </w:t>
      </w:r>
      <w:r>
        <w:rPr>
          <w:rFonts w:ascii="Times New Roman" w:hAnsi="Times New Roman" w:cs="Times New Roman"/>
          <w:i/>
          <w:iCs/>
        </w:rPr>
        <w:t>E</w:t>
      </w:r>
      <w:r>
        <w:rPr>
          <w:rFonts w:ascii="Times New Roman" w:hAnsi="Times New Roman" w:cs="Times New Roman"/>
          <w:vertAlign w:val="subscript"/>
        </w:rPr>
        <w:t>DR</w:t>
      </w:r>
      <w:r>
        <w:rPr>
          <w:rFonts w:ascii="Times New Roman" w:hAnsi="Times New Roman" w:cs="Times New Roman"/>
        </w:rPr>
        <w:t xml:space="preserve"> · </w:t>
      </w:r>
      <w:r>
        <w:rPr>
          <w:rFonts w:ascii="Times New Roman" w:hAnsi="Times New Roman" w:cs="Times New Roman"/>
          <w:i/>
          <w:iCs/>
        </w:rPr>
        <w:t>r</w:t>
      </w:r>
      <w:r>
        <w:rPr>
          <w:rFonts w:ascii="Times New Roman" w:hAnsi="Times New Roman" w:cs="Times New Roman"/>
        </w:rPr>
        <w:tab/>
        <w:t>(1)</w:t>
      </w:r>
    </w:p>
    <w:p w14:paraId="3947B296" w14:textId="10BF1C04" w:rsidR="00321DC9" w:rsidRDefault="00FC05CD">
      <w:pPr>
        <w:pStyle w:val="a3"/>
      </w:pPr>
      <w:r>
        <w:t>In the equation,</w:t>
      </w:r>
      <w:r w:rsidR="00321DC9">
        <w:t xml:space="preserve"> </w:t>
      </w:r>
      <m:oMath>
        <m:r>
          <m:rPr>
            <m:sty m:val="p"/>
          </m:rPr>
          <w:rPr>
            <w:rFonts w:ascii="Cambria Math" w:hAnsi="Cambria Math"/>
          </w:rPr>
          <m:t>Δ</m:t>
        </m:r>
        <m:r>
          <w:rPr>
            <w:rFonts w:ascii="Cambria Math" w:hAnsi="Cambria Math"/>
          </w:rPr>
          <m:t>P</m:t>
        </m:r>
      </m:oMath>
      <w:r w:rsidR="00321DC9">
        <w:t xml:space="preserve">is the signed DR response vector over the scheduling cycle, </w:t>
      </w:r>
      <m:oMath>
        <m:r>
          <w:rPr>
            <w:rFonts w:ascii="Cambria Math" w:hAnsi="Cambria Math"/>
          </w:rPr>
          <m:t>τ</m:t>
        </m:r>
      </m:oMath>
      <w:r w:rsidR="00321DC9">
        <w:rPr>
          <w:rFonts w:hint="eastAsia"/>
          <w:lang w:eastAsia="zh-CN"/>
        </w:rPr>
        <w:t xml:space="preserve"> </w:t>
      </w:r>
      <w:r w:rsidR="00321DC9">
        <w:t xml:space="preserve">is the participation rate, </w:t>
      </w:r>
      <m:oMath>
        <m:r>
          <w:rPr>
            <w:rFonts w:ascii="Cambria Math" w:hAnsi="Cambria Math"/>
          </w:rPr>
          <m:t>P</m:t>
        </m:r>
      </m:oMath>
      <w:r w:rsidR="00321DC9">
        <w:t xml:space="preserve">is the base-load vector, </w:t>
      </w:r>
      <w:r w:rsidR="00321DC9">
        <w:rPr>
          <w:i/>
          <w:iCs/>
        </w:rPr>
        <w:t>E</w:t>
      </w:r>
      <w:r w:rsidR="00321DC9">
        <w:rPr>
          <w:vertAlign w:val="subscript"/>
        </w:rPr>
        <w:t>DR</w:t>
      </w:r>
      <w:r w:rsidR="00321DC9">
        <w:rPr>
          <w:rFonts w:hint="eastAsia"/>
          <w:vertAlign w:val="subscript"/>
          <w:lang w:eastAsia="zh-CN"/>
        </w:rPr>
        <w:t xml:space="preserve"> </w:t>
      </w:r>
      <w:r w:rsidR="00321DC9">
        <w:t xml:space="preserve">is the price-elasticity matrix, and </w:t>
      </w:r>
      <m:oMath>
        <m:r>
          <w:rPr>
            <w:rFonts w:ascii="Cambria Math" w:hAnsi="Cambria Math"/>
          </w:rPr>
          <m:t>r</m:t>
        </m:r>
      </m:oMath>
      <w:r w:rsidR="00321DC9">
        <w:t xml:space="preserve">is the per-unit tariff deviation vector. A negative value of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t</m:t>
            </m:r>
          </m:sub>
        </m:sSub>
      </m:oMath>
      <w:r w:rsidR="00321DC9">
        <w:rPr>
          <w:rFonts w:hint="eastAsia"/>
          <w:lang w:eastAsia="zh-CN"/>
        </w:rPr>
        <w:t xml:space="preserve"> </w:t>
      </w:r>
      <w:r w:rsidR="00321DC9">
        <w:t xml:space="preserve">denotes load reduction at period </w:t>
      </w:r>
      <m:oMath>
        <m:r>
          <w:rPr>
            <w:rFonts w:ascii="Cambria Math" w:hAnsi="Cambria Math"/>
          </w:rPr>
          <m:t>t</m:t>
        </m:r>
      </m:oMath>
      <w:r w:rsidR="00321DC9">
        <w:t xml:space="preserve">, </w:t>
      </w:r>
      <w:r>
        <w:t xml:space="preserve">whereas</w:t>
      </w:r>
      <w:r w:rsidR="00321DC9">
        <w:t xml:space="preserve"> a positive value denotes load rebound or shifted consumption.</w:t>
      </w:r>
    </w:p>
    <w:p w14:paraId="291E5E9A" w14:textId="5D18C4DB" w:rsidR="00551D25" w:rsidRDefault="00000000">
      <w:pPr>
        <w:pStyle w:val="a3"/>
      </w:pPr>
      <w:r>
        <w:t>The window length L (set to 3 hours) is consistent with empirical studies on residential appliance flexibility, and the exponential decay coefficient is calibrated such that the cross-elasticity at the farthest period in the window is roughly one quarter of the immediate neighbor. Both parameters can be adjusted to reflect different end-user populations without altering the rest of the framework.</w:t>
      </w:r>
    </w:p>
    <w:p w14:paraId="0D20034E" w14:textId="77777777" w:rsidR="00551D25" w:rsidRDefault="00000000">
      <w:pPr>
        <w:pStyle w:val="2"/>
      </w:pPr>
      <w:r>
        <w:t>Participation Rate and Tariff as Joint Interval Drivers</w:t>
      </w:r>
    </w:p>
    <w:p w14:paraId="202B7425" w14:textId="77777777" w:rsidR="00551D25" w:rsidRDefault="00000000">
      <w:pPr>
        <w:pStyle w:val="a3"/>
      </w:pPr>
      <w:r>
        <w:t>Two driving quantities are treated as interval inputs rather than constants. The first is the participation rate, which describes the fraction of users that actually react to the tariff signal. This rate is bounded by a lower and an upper limit that vary with policy outreach, user awareness, and ambient conditions. The second is the real-time tariff itself, which during the day-ahead stage is only known to lie within a band around a reference price. The bandwidth at peak periods is allowed to be wider than at off-peak periods, reflecting the asymmetry of tariff settlement.</w:t>
      </w:r>
    </w:p>
    <w:p w14:paraId="3E137ABF" w14:textId="59CFB52D" w:rsidR="00551D25" w:rsidRDefault="00000000">
      <w:pPr>
        <w:pStyle w:val="a3"/>
      </w:pPr>
      <w:r>
        <w:t>Combining the two-driver formulation with the elasticity matrix yields an interval expression for the response amount whose width is jointly determined by the participation interval and the tariff interval. Compared with a single-driver formulation, the present model decouples policy-side uncertainty from market-side uncertainty, so that a designer can examine how widening either bound alone reshapes the response band.</w:t>
      </w:r>
    </w:p>
    <w:p w14:paraId="0C58B9EC" w14:textId="02E27C21" w:rsidR="00551D25" w:rsidRDefault="00000000">
      <w:pPr>
        <w:pStyle w:val="equation"/>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vertAlign w:val="superscript"/>
        </w:rPr>
        <w:t>L</w:t>
      </w:r>
      <w:proofErr w:type="spellEnd"/>
      <w:r>
        <w:rPr>
          <w:rFonts w:ascii="Times New Roman" w:hAnsi="Times New Roman" w:cs="Times New Roman"/>
        </w:rPr>
        <w:t xml:space="preserve"> ≤ </w:t>
      </w:r>
      <w:proofErr w:type="spellStart"/>
      <w:r>
        <w:rPr>
          <w:rFonts w:ascii="Times New Roman" w:hAnsi="Times New Roman" w:cs="Times New Roman"/>
          <w:i/>
          <w:iCs/>
        </w:rPr>
        <w:t>Δ</w:t>
      </w:r>
      <w:proofErr w:type="gramStart"/>
      <w:r>
        <w:rPr>
          <w:rFonts w:ascii="Times New Roman" w:hAnsi="Times New Roman" w:cs="Times New Roman"/>
          <w:i/>
          <w:iCs/>
        </w:rPr>
        <w:t>P</w:t>
      </w:r>
      <w:r>
        <w:rPr>
          <w:rFonts w:ascii="Times New Roman" w:hAnsi="Times New Roman" w:cs="Times New Roman"/>
          <w:i/>
          <w:iCs/>
          <w:vertAlign w:val="subscript"/>
        </w:rPr>
        <w:t>t</w:t>
      </w:r>
      <w:proofErr w:type="spellEnd"/>
      <w:r>
        <w:rPr>
          <w:rFonts w:ascii="Times New Roman" w:hAnsi="Times New Roman" w:cs="Times New Roman"/>
        </w:rPr>
        <w:t>(</w:t>
      </w:r>
      <w:proofErr w:type="gramEnd"/>
      <w:r>
        <w:rPr>
          <w:rFonts w:ascii="Times New Roman" w:hAnsi="Times New Roman" w:cs="Times New Roman"/>
          <w:i/>
          <w:iCs/>
        </w:rPr>
        <w:t>τ</w:t>
      </w:r>
      <w:r>
        <w:rPr>
          <w:rFonts w:ascii="Times New Roman" w:hAnsi="Times New Roman" w:cs="Times New Roman"/>
        </w:rPr>
        <w:t xml:space="preserve">, </w:t>
      </w:r>
      <w:r>
        <w:rPr>
          <w:rFonts w:ascii="Times New Roman" w:hAnsi="Times New Roman" w:cs="Times New Roman"/>
          <w:i/>
          <w:iCs/>
        </w:rPr>
        <w:t>c</w:t>
      </w:r>
      <w:r>
        <w:rPr>
          <w:rFonts w:ascii="Times New Roman" w:hAnsi="Times New Roman" w:cs="Times New Roman"/>
        </w:rPr>
        <w:t xml:space="preserve">) ≤ </w:t>
      </w:r>
      <w:proofErr w:type="spellStart"/>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vertAlign w:val="superscript"/>
        </w:rPr>
        <w:t>U</w:t>
      </w:r>
      <w:proofErr w:type="spellEnd"/>
      <w:r w:rsidR="00520192">
        <w:rPr>
          <w:rFonts w:ascii="Times New Roman" w:hAnsi="Times New Roman" w:cs="Times New Roman" w:hint="eastAsia"/>
          <w:lang w:eastAsia="zh-CN"/>
        </w:rPr>
        <w:t>,</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rPr>
        <w:t xml:space="preserve"> ∈ [</w:t>
      </w:r>
      <w:proofErr w:type="spellStart"/>
      <w:r>
        <w:rPr>
          <w:rFonts w:ascii="Times New Roman" w:hAnsi="Times New Roman" w:cs="Times New Roman"/>
          <w:i/>
          <w:iCs/>
        </w:rPr>
        <w:t>τ</w:t>
      </w:r>
      <w:r>
        <w:rPr>
          <w:rFonts w:ascii="Times New Roman" w:hAnsi="Times New Roman" w:cs="Times New Roman"/>
          <w:vertAlign w:val="subscript"/>
        </w:rPr>
        <w:t>min</w:t>
      </w:r>
      <w:proofErr w:type="spellEnd"/>
      <w:r>
        <w:rPr>
          <w:rFonts w:ascii="Times New Roman" w:hAnsi="Times New Roman" w:cs="Times New Roman"/>
        </w:rPr>
        <w:t xml:space="preserve">, </w:t>
      </w:r>
      <w:proofErr w:type="spellStart"/>
      <w:r>
        <w:rPr>
          <w:rFonts w:ascii="Times New Roman" w:hAnsi="Times New Roman" w:cs="Times New Roman"/>
          <w:i/>
          <w:iCs/>
        </w:rPr>
        <w:t>τ</w:t>
      </w:r>
      <w:r>
        <w:rPr>
          <w:rFonts w:ascii="Times New Roman" w:hAnsi="Times New Roman" w:cs="Times New Roman"/>
          <w:vertAlign w:val="subscript"/>
        </w:rPr>
        <w:t>max</w:t>
      </w:r>
      <w:proofErr w:type="spellEnd"/>
      <w:r>
        <w:rPr>
          <w:rFonts w:ascii="Times New Roman" w:hAnsi="Times New Roman" w:cs="Times New Roman"/>
        </w:rPr>
        <w:t xml:space="preserve">], </w:t>
      </w:r>
      <w:proofErr w:type="spellStart"/>
      <w:r>
        <w:rPr>
          <w:rFonts w:ascii="Times New Roman" w:hAnsi="Times New Roman" w:cs="Times New Roman"/>
          <w:i/>
          <w:iCs/>
        </w:rPr>
        <w:t>c</w:t>
      </w:r>
      <w:r>
        <w:rPr>
          <w:rFonts w:ascii="Times New Roman" w:hAnsi="Times New Roman" w:cs="Times New Roman"/>
          <w:i/>
          <w:iCs/>
          <w:vertAlign w:val="subscript"/>
        </w:rPr>
        <w:t>t</w:t>
      </w:r>
      <w:proofErr w:type="spellEnd"/>
      <w:r>
        <w:rPr>
          <w:rFonts w:ascii="Times New Roman" w:hAnsi="Times New Roman" w:cs="Times New Roman"/>
        </w:rPr>
        <w:t xml:space="preserve"> ∈ [</w:t>
      </w:r>
      <w:proofErr w:type="spellStart"/>
      <w:r>
        <w:rPr>
          <w:rFonts w:ascii="Times New Roman" w:hAnsi="Times New Roman" w:cs="Times New Roman"/>
          <w:i/>
          <w:iCs/>
        </w:rPr>
        <w:t>c̲</w:t>
      </w:r>
      <w:r>
        <w:rPr>
          <w:rFonts w:ascii="Times New Roman" w:hAnsi="Times New Roman" w:cs="Times New Roman"/>
          <w:i/>
          <w:iCs/>
          <w:vertAlign w:val="subscript"/>
        </w:rPr>
        <w:t>t</w:t>
      </w:r>
      <w:proofErr w:type="spellEnd"/>
      <w:r>
        <w:rPr>
          <w:rFonts w:ascii="Times New Roman" w:hAnsi="Times New Roman" w:cs="Times New Roman"/>
        </w:rPr>
        <w:t xml:space="preserve">, </w:t>
      </w:r>
      <w:proofErr w:type="spellStart"/>
      <w:r>
        <w:rPr>
          <w:rFonts w:ascii="Times New Roman" w:hAnsi="Times New Roman" w:cs="Times New Roman"/>
          <w:i/>
          <w:iCs/>
        </w:rPr>
        <w:t>c̄</w:t>
      </w:r>
      <w:r>
        <w:rPr>
          <w:rFonts w:ascii="Times New Roman" w:hAnsi="Times New Roman" w:cs="Times New Roman"/>
          <w:i/>
          <w:iCs/>
          <w:vertAlign w:val="subscript"/>
        </w:rPr>
        <w:t>t</w:t>
      </w:r>
      <w:proofErr w:type="spellEnd"/>
      <w:r>
        <w:rPr>
          <w:rFonts w:ascii="Times New Roman" w:hAnsi="Times New Roman" w:cs="Times New Roman"/>
        </w:rPr>
        <w:t>]</w:t>
      </w:r>
      <w:r>
        <w:rPr>
          <w:rFonts w:ascii="Times New Roman" w:hAnsi="Times New Roman" w:cs="Times New Roman"/>
        </w:rPr>
        <w:tab/>
        <w:t>(2)</w:t>
      </w:r>
    </w:p>
    <w:p w14:paraId="7A1D93E9" w14:textId="08D281F9" w:rsidR="00321DC9" w:rsidRDefault="00FC05CD" w:rsidP="00321DC9">
      <w:pPr>
        <w:pStyle w:val="a3"/>
        <w:ind w:firstLine="289"/>
        <w:rPr>
          <w:lang w:eastAsia="zh-CN"/>
        </w:rPr>
      </w:pPr>
      <w:r>
        <w:rPr>
          <w:lang w:val="en-US" w:eastAsia="zh-CN"/>
        </w:rPr>
        <w:t>In the equation,</w:t>
      </w:r>
      <w:r w:rsidR="00321DC9" w:rsidRPr="00321DC9">
        <w:rPr>
          <w:lang w:val="en-US" w:eastAsia="zh-CN"/>
        </w:rPr>
        <w:t xml:space="preserve"> </w:t>
      </w:r>
      <m:oMath>
        <m:r>
          <m:rPr>
            <m:sty m:val="p"/>
          </m:rPr>
          <w:rPr>
            <w:rFonts w:ascii="Cambria Math" w:hAnsi="Cambria Math"/>
            <w:lang w:val="en-US" w:eastAsia="zh-CN"/>
          </w:rPr>
          <m:t>Δ</m:t>
        </m:r>
        <m:sSubSup>
          <m:sSubSupPr>
            <m:ctrlPr>
              <w:rPr>
                <w:rFonts w:ascii="Cambria Math" w:hAnsi="Cambria Math"/>
                <w:lang w:val="en-US" w:eastAsia="zh-CN"/>
              </w:rPr>
            </m:ctrlPr>
          </m:sSubSupPr>
          <m:e>
            <m:r>
              <w:rPr>
                <w:rFonts w:ascii="Cambria Math" w:hAnsi="Cambria Math"/>
                <w:lang w:val="en-US" w:eastAsia="zh-CN"/>
              </w:rPr>
              <m:t>P</m:t>
            </m:r>
          </m:e>
          <m:sub>
            <m:r>
              <w:rPr>
                <w:rFonts w:ascii="Cambria Math" w:hAnsi="Cambria Math"/>
                <w:lang w:val="en-US" w:eastAsia="zh-CN"/>
              </w:rPr>
              <m:t>t</m:t>
            </m:r>
          </m:sub>
          <m:sup>
            <m:r>
              <w:rPr>
                <w:rFonts w:ascii="Cambria Math" w:hAnsi="Cambria Math"/>
                <w:lang w:val="en-US" w:eastAsia="zh-CN"/>
              </w:rPr>
              <m:t>L</m:t>
            </m:r>
          </m:sup>
        </m:sSubSup>
      </m:oMath>
      <w:r w:rsidR="00321DC9">
        <w:rPr>
          <w:rFonts w:hint="eastAsia"/>
          <w:lang w:val="en-US" w:eastAsia="zh-CN"/>
        </w:rPr>
        <w:t xml:space="preserve"> </w:t>
      </w:r>
      <w:r w:rsidR="00321DC9" w:rsidRPr="00321DC9">
        <w:rPr>
          <w:lang w:val="en-US" w:eastAsia="zh-CN"/>
        </w:rPr>
        <w:t xml:space="preserve">and </w:t>
      </w:r>
      <m:oMath>
        <m:r>
          <m:rPr>
            <m:sty m:val="p"/>
          </m:rPr>
          <w:rPr>
            <w:rFonts w:ascii="Cambria Math" w:hAnsi="Cambria Math"/>
            <w:lang w:val="en-US" w:eastAsia="zh-CN"/>
          </w:rPr>
          <m:t>Δ</m:t>
        </m:r>
        <m:sSubSup>
          <m:sSubSupPr>
            <m:ctrlPr>
              <w:rPr>
                <w:rFonts w:ascii="Cambria Math" w:hAnsi="Cambria Math"/>
                <w:lang w:val="en-US" w:eastAsia="zh-CN"/>
              </w:rPr>
            </m:ctrlPr>
          </m:sSubSupPr>
          <m:e>
            <m:r>
              <w:rPr>
                <w:rFonts w:ascii="Cambria Math" w:hAnsi="Cambria Math"/>
                <w:lang w:val="en-US" w:eastAsia="zh-CN"/>
              </w:rPr>
              <m:t>P</m:t>
            </m:r>
          </m:e>
          <m:sub>
            <m:r>
              <w:rPr>
                <w:rFonts w:ascii="Cambria Math" w:hAnsi="Cambria Math"/>
                <w:lang w:val="en-US" w:eastAsia="zh-CN"/>
              </w:rPr>
              <m:t>t</m:t>
            </m:r>
          </m:sub>
          <m:sup>
            <m:r>
              <w:rPr>
                <w:rFonts w:ascii="Cambria Math" w:hAnsi="Cambria Math"/>
                <w:lang w:val="en-US" w:eastAsia="zh-CN"/>
              </w:rPr>
              <m:t>U</m:t>
            </m:r>
          </m:sup>
        </m:sSubSup>
      </m:oMath>
      <w:r w:rsidR="00321DC9">
        <w:rPr>
          <w:rFonts w:hint="eastAsia"/>
          <w:lang w:val="en-US" w:eastAsia="zh-CN"/>
        </w:rPr>
        <w:t xml:space="preserve"> </w:t>
      </w:r>
      <w:r w:rsidR="00321DC9" w:rsidRPr="00321DC9">
        <w:rPr>
          <w:lang w:val="en-US" w:eastAsia="zh-CN"/>
        </w:rPr>
        <w:t xml:space="preserve">are the lower and upper bounds of the signed DR response at period </w:t>
      </w:r>
      <m:oMath>
        <m:r>
          <w:rPr>
            <w:rFonts w:ascii="Cambria Math" w:hAnsi="Cambria Math"/>
            <w:lang w:val="en-US" w:eastAsia="zh-CN"/>
          </w:rPr>
          <m:t>t</m:t>
        </m:r>
      </m:oMath>
      <w:r w:rsidR="00321DC9" w:rsidRPr="00321DC9">
        <w:rPr>
          <w:lang w:val="en-US" w:eastAsia="zh-CN"/>
        </w:rPr>
        <w:t xml:space="preserve">, respectively; </w:t>
      </w:r>
      <m:oMath>
        <m:sSub>
          <m:sSubPr>
            <m:ctrlPr>
              <w:rPr>
                <w:rFonts w:ascii="Cambria Math" w:hAnsi="Cambria Math"/>
                <w:lang w:val="en-US" w:eastAsia="zh-CN"/>
              </w:rPr>
            </m:ctrlPr>
          </m:sSubPr>
          <m:e>
            <m:r>
              <w:rPr>
                <w:rFonts w:ascii="Cambria Math" w:hAnsi="Cambria Math"/>
                <w:lang w:val="en-US" w:eastAsia="zh-CN"/>
              </w:rPr>
              <m:t>τ</m:t>
            </m:r>
          </m:e>
          <m:sub>
            <m:r>
              <m:rPr>
                <m:sty m:val="p"/>
              </m:rPr>
              <w:rPr>
                <w:rFonts w:ascii="Cambria Math" w:hAnsi="Cambria Math"/>
                <w:lang w:val="en-US" w:eastAsia="zh-CN"/>
              </w:rPr>
              <m:t>min</m:t>
            </m:r>
          </m:sub>
        </m:sSub>
      </m:oMath>
      <w:r w:rsidR="00321DC9">
        <w:rPr>
          <w:rFonts w:hint="eastAsia"/>
          <w:lang w:val="en-US" w:eastAsia="zh-CN"/>
        </w:rPr>
        <w:t xml:space="preserve"> </w:t>
      </w:r>
      <w:r w:rsidR="00321DC9" w:rsidRPr="00321DC9">
        <w:rPr>
          <w:lang w:val="en-US" w:eastAsia="zh-CN"/>
        </w:rPr>
        <w:lastRenderedPageBreak/>
        <w:t xml:space="preserve">and </w:t>
      </w:r>
      <m:oMath>
        <m:sSub>
          <m:sSubPr>
            <m:ctrlPr>
              <w:rPr>
                <w:rFonts w:ascii="Cambria Math" w:hAnsi="Cambria Math"/>
                <w:lang w:val="en-US" w:eastAsia="zh-CN"/>
              </w:rPr>
            </m:ctrlPr>
          </m:sSubPr>
          <m:e>
            <m:r>
              <w:rPr>
                <w:rFonts w:ascii="Cambria Math" w:hAnsi="Cambria Math"/>
                <w:lang w:val="en-US" w:eastAsia="zh-CN"/>
              </w:rPr>
              <m:t>τ</m:t>
            </m:r>
          </m:e>
          <m:sub>
            <m:r>
              <m:rPr>
                <m:sty m:val="p"/>
              </m:rPr>
              <w:rPr>
                <w:rFonts w:ascii="Cambria Math" w:hAnsi="Cambria Math"/>
                <w:lang w:val="en-US" w:eastAsia="zh-CN"/>
              </w:rPr>
              <m:t>max</m:t>
            </m:r>
          </m:sub>
        </m:sSub>
      </m:oMath>
      <w:r w:rsidR="00321DC9">
        <w:rPr>
          <w:rFonts w:hint="eastAsia"/>
          <w:lang w:val="en-US" w:eastAsia="zh-CN"/>
        </w:rPr>
        <w:t xml:space="preserve"> </w:t>
      </w:r>
      <w:r w:rsidR="00321DC9" w:rsidRPr="00321DC9">
        <w:rPr>
          <w:lang w:val="en-US" w:eastAsia="zh-CN"/>
        </w:rPr>
        <w:t xml:space="preserve">are the lower and upper bounds of the participation rate; and </w:t>
      </w:r>
      <m:oMath>
        <m:sSub>
          <m:sSubPr>
            <m:ctrlPr>
              <w:rPr>
                <w:rFonts w:ascii="Cambria Math" w:hAnsi="Cambria Math"/>
                <w:lang w:val="en-US" w:eastAsia="zh-CN"/>
              </w:rPr>
            </m:ctrlPr>
          </m:sSubPr>
          <m:e>
            <m:limLow>
              <m:limLowPr>
                <m:ctrlPr>
                  <w:rPr>
                    <w:rFonts w:ascii="Cambria Math" w:hAnsi="Cambria Math"/>
                    <w:lang w:val="en-US" w:eastAsia="zh-CN"/>
                  </w:rPr>
                </m:ctrlPr>
              </m:limLowPr>
              <m:e>
                <m:r>
                  <w:rPr>
                    <w:rFonts w:ascii="Cambria Math" w:hAnsi="Cambria Math"/>
                    <w:lang w:val="en-US" w:eastAsia="zh-CN"/>
                  </w:rPr>
                  <m:t>c</m:t>
                </m:r>
              </m:e>
              <m:lim>
                <m:r>
                  <w:rPr>
                    <w:rFonts w:ascii="Cambria Math" w:hAnsi="Cambria Math"/>
                    <w:lang w:val="en-US" w:eastAsia="zh-CN"/>
                  </w:rPr>
                  <m:t>‾</m:t>
                </m:r>
              </m:lim>
            </m:limLow>
          </m:e>
          <m:sub>
            <m:r>
              <w:rPr>
                <w:rFonts w:ascii="Cambria Math" w:hAnsi="Cambria Math"/>
                <w:lang w:val="en-US" w:eastAsia="zh-CN"/>
              </w:rPr>
              <m:t>t</m:t>
            </m:r>
          </m:sub>
        </m:sSub>
      </m:oMath>
      <w:r w:rsidR="00321DC9">
        <w:rPr>
          <w:rFonts w:hint="eastAsia"/>
          <w:lang w:val="en-US" w:eastAsia="zh-CN"/>
        </w:rPr>
        <w:t xml:space="preserve"> </w:t>
      </w:r>
      <w:r w:rsidR="00321DC9" w:rsidRPr="00321DC9">
        <w:rPr>
          <w:lang w:val="en-US" w:eastAsia="zh-CN"/>
        </w:rPr>
        <w:t xml:space="preserve">and </w:t>
      </w:r>
      <m:oMath>
        <m:sSub>
          <m:sSubPr>
            <m:ctrlPr>
              <w:rPr>
                <w:rFonts w:ascii="Cambria Math" w:hAnsi="Cambria Math"/>
                <w:lang w:val="en-US" w:eastAsia="zh-CN"/>
              </w:rPr>
            </m:ctrlPr>
          </m:sSubPr>
          <m:e>
            <m:acc>
              <m:accPr>
                <m:chr m:val="‾"/>
                <m:ctrlPr>
                  <w:rPr>
                    <w:rFonts w:ascii="Cambria Math" w:hAnsi="Cambria Math"/>
                    <w:lang w:val="en-US" w:eastAsia="zh-CN"/>
                  </w:rPr>
                </m:ctrlPr>
              </m:accPr>
              <m:e>
                <m:r>
                  <w:rPr>
                    <w:rFonts w:ascii="Cambria Math" w:hAnsi="Cambria Math"/>
                    <w:lang w:val="en-US" w:eastAsia="zh-CN"/>
                  </w:rPr>
                  <m:t>c</m:t>
                </m:r>
              </m:e>
            </m:acc>
          </m:e>
          <m:sub>
            <m:r>
              <w:rPr>
                <w:rFonts w:ascii="Cambria Math" w:hAnsi="Cambria Math"/>
                <w:lang w:val="en-US" w:eastAsia="zh-CN"/>
              </w:rPr>
              <m:t>t</m:t>
            </m:r>
          </m:sub>
        </m:sSub>
      </m:oMath>
      <w:r w:rsidR="00321DC9">
        <w:rPr>
          <w:rFonts w:hint="eastAsia"/>
          <w:lang w:val="en-US" w:eastAsia="zh-CN"/>
        </w:rPr>
        <w:t xml:space="preserve"> </w:t>
      </w:r>
      <w:r w:rsidR="00321DC9" w:rsidRPr="00321DC9">
        <w:rPr>
          <w:lang w:val="en-US" w:eastAsia="zh-CN"/>
        </w:rPr>
        <w:t xml:space="preserve">are the lower and upper bounds of the real-time tariff at period </w:t>
      </w:r>
      <m:oMath>
        <m:r>
          <w:rPr>
            <w:rFonts w:ascii="Cambria Math" w:hAnsi="Cambria Math"/>
            <w:lang w:val="en-US" w:eastAsia="zh-CN"/>
          </w:rPr>
          <m:t>t</m:t>
        </m:r>
      </m:oMath>
      <w:r w:rsidR="00321DC9" w:rsidRPr="00321DC9">
        <w:rPr>
          <w:lang w:val="en-US" w:eastAsia="zh-CN"/>
        </w:rPr>
        <w:t>. Therefore, the response interval reflects the combined effect of participation uncertainty and tariff uncertainty.</w:t>
      </w:r>
    </w:p>
    <w:p w14:paraId="42E13F9E" w14:textId="77777777" w:rsidR="00551D25" w:rsidRDefault="00000000">
      <w:pPr>
        <w:pStyle w:val="2"/>
      </w:pPr>
      <w:r>
        <w:t>Magnitude Limit and Energy Conservation Filter</w:t>
      </w:r>
    </w:p>
    <w:p w14:paraId="565262AB" w14:textId="77777777" w:rsidR="00551D25" w:rsidRDefault="00000000">
      <w:pPr>
        <w:pStyle w:val="a3"/>
      </w:pPr>
      <w:r>
        <w:t>Two physical constraints are imposed on the candidate response trajectories that emerge from the two-driver sampling. The first is a single-period magnitude limit that caps the absolute response of any single hour at 30 percent of the base load of that hour. This prevents a small number of extreme samples from dominating the interval bounds. The second is a whole-cycle energy conservation requirement that the signed sum of the 24-hour response stays within a small tolerance of zero. This requirement encodes the load-shifting nature of DR: energy is moved across the day but is not created or destroyed. Samples that violate either constraint are discarded before the interval envelope is taken.</w:t>
      </w:r>
    </w:p>
    <w:p w14:paraId="31A024E5" w14:textId="77777777" w:rsidR="00551D25" w:rsidRDefault="00000000">
      <w:pPr>
        <w:pStyle w:val="equation"/>
        <w:rPr>
          <w:rFonts w:ascii="Times New Roman" w:hAnsi="Times New Roman" w:cs="Times New Roman"/>
        </w:rPr>
      </w:pPr>
      <w:r>
        <w:rPr>
          <w:rFonts w:ascii="Times New Roman" w:hAnsi="Times New Roman" w:cs="Times New Roman"/>
        </w:rPr>
        <w:tab/>
        <w:t>|</w:t>
      </w:r>
      <w:proofErr w:type="spellStart"/>
      <w:r>
        <w:rPr>
          <w:rFonts w:ascii="Times New Roman" w:hAnsi="Times New Roman" w:cs="Times New Roman"/>
          <w:i/>
          <w:iCs/>
        </w:rPr>
        <w:t>ΔP</w:t>
      </w:r>
      <w:r>
        <w:rPr>
          <w:rFonts w:ascii="Times New Roman" w:hAnsi="Times New Roman" w:cs="Times New Roman"/>
          <w:i/>
          <w:iCs/>
          <w:vertAlign w:val="subscript"/>
        </w:rPr>
        <w:t>t</w:t>
      </w:r>
      <w:proofErr w:type="spellEnd"/>
      <w:r>
        <w:rPr>
          <w:rFonts w:ascii="Times New Roman" w:hAnsi="Times New Roman" w:cs="Times New Roman"/>
        </w:rPr>
        <w:t xml:space="preserve">| ≤ </w:t>
      </w:r>
      <w:proofErr w:type="spellStart"/>
      <w:r>
        <w:rPr>
          <w:rFonts w:ascii="Times New Roman" w:hAnsi="Times New Roman" w:cs="Times New Roman"/>
          <w:i/>
          <w:iCs/>
        </w:rPr>
        <w:t>δ</w:t>
      </w:r>
      <w:r>
        <w:rPr>
          <w:rFonts w:ascii="Times New Roman" w:hAnsi="Times New Roman" w:cs="Times New Roman"/>
          <w:vertAlign w:val="subscript"/>
        </w:rPr>
        <w:t>max</w:t>
      </w:r>
      <w:proofErr w:type="spellEnd"/>
      <w:r>
        <w:rPr>
          <w:rFonts w:ascii="Times New Roman" w:hAnsi="Times New Roman" w:cs="Times New Roman"/>
        </w:rPr>
        <w:t xml:space="preserve"> · </w:t>
      </w:r>
      <w:r>
        <w:rPr>
          <w:rFonts w:ascii="Times New Roman" w:hAnsi="Times New Roman" w:cs="Times New Roman"/>
          <w:i/>
          <w:iCs/>
        </w:rPr>
        <w:t>P</w:t>
      </w:r>
      <w:r>
        <w:rPr>
          <w:rFonts w:ascii="Times New Roman" w:hAnsi="Times New Roman" w:cs="Times New Roman"/>
          <w:i/>
          <w:iCs/>
          <w:vertAlign w:val="subscript"/>
        </w:rPr>
        <w:t>t</w:t>
      </w:r>
      <w:r>
        <w:rPr>
          <w:rFonts w:ascii="Times New Roman" w:hAnsi="Times New Roman" w:cs="Times New Roman"/>
        </w:rPr>
        <w:t xml:space="preserve">, ∀ </w:t>
      </w:r>
      <w:r>
        <w:rPr>
          <w:rFonts w:ascii="Times New Roman" w:hAnsi="Times New Roman" w:cs="Times New Roman"/>
          <w:i/>
          <w:iCs/>
        </w:rPr>
        <w:t>t</w:t>
      </w:r>
      <w:r>
        <w:rPr>
          <w:rFonts w:ascii="Times New Roman" w:hAnsi="Times New Roman" w:cs="Times New Roman"/>
        </w:rPr>
        <w:t xml:space="preserve"> = 1, …, </w:t>
      </w:r>
      <w:r>
        <w:rPr>
          <w:rFonts w:ascii="Times New Roman" w:hAnsi="Times New Roman" w:cs="Times New Roman"/>
          <w:i/>
          <w:iCs/>
        </w:rPr>
        <w:t>T</w:t>
      </w:r>
      <w:r>
        <w:rPr>
          <w:rFonts w:ascii="Times New Roman" w:hAnsi="Times New Roman" w:cs="Times New Roman"/>
        </w:rPr>
        <w:tab/>
        <w:t>(3)</w:t>
      </w:r>
    </w:p>
    <w:p w14:paraId="05586438" w14:textId="52F1358F" w:rsidR="00321DC9" w:rsidRDefault="00FC05CD" w:rsidP="00321DC9">
      <w:pPr>
        <w:pStyle w:val="a3"/>
      </w:pPr>
      <w:r>
        <w:t>In the equation,</w:t>
      </w:r>
      <w:r w:rsidR="00321DC9">
        <w:t xml:space="preserve"> </w:t>
      </w:r>
      <m:oMath>
        <m:sSub>
          <m:sSubPr>
            <m:ctrlPr>
              <w:rPr>
                <w:rFonts w:ascii="Cambria Math" w:hAnsi="Cambria Math"/>
              </w:rPr>
            </m:ctrlPr>
          </m:sSubPr>
          <m:e>
            <m:r>
              <m:rPr>
                <m:nor/>
              </m:rPr>
              <w:rPr>
                <w:i/>
                <w:iCs/>
              </w:rPr>
              <m:t>δ</m:t>
            </m:r>
          </m:e>
          <m:sub>
            <m:r>
              <m:rPr>
                <m:nor/>
              </m:rPr>
              <m:t>max</m:t>
            </m:r>
          </m:sub>
        </m:sSub>
      </m:oMath>
      <w:r w:rsidR="00321DC9">
        <w:rPr>
          <w:rFonts w:hint="eastAsia"/>
          <w:lang w:eastAsia="zh-CN"/>
        </w:rPr>
        <w:t xml:space="preserve"> </w:t>
      </w:r>
      <w:r w:rsidR="00321DC9">
        <w:t xml:space="preserve">is the maximum allowable response ratio in a single period, and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00321DC9">
        <w:rPr>
          <w:rFonts w:hint="eastAsia"/>
          <w:lang w:eastAsia="zh-CN"/>
        </w:rPr>
        <w:t xml:space="preserve"> </w:t>
      </w:r>
      <w:r w:rsidR="00321DC9">
        <w:t xml:space="preserve">is the base load at period </w:t>
      </w:r>
      <m:oMath>
        <m:r>
          <w:rPr>
            <w:rFonts w:ascii="Cambria Math" w:hAnsi="Cambria Math"/>
          </w:rPr>
          <m:t>t</m:t>
        </m:r>
      </m:oMath>
      <w:r w:rsidR="00321DC9">
        <w:t xml:space="preserve">. In the case study, </w:t>
      </w:r>
      <m:oMath>
        <m:sSub>
          <m:sSubPr>
            <m:ctrlPr>
              <w:rPr>
                <w:rFonts w:ascii="Cambria Math" w:hAnsi="Cambria Math"/>
              </w:rPr>
            </m:ctrlPr>
          </m:sSubPr>
          <m:e>
            <m:r>
              <m:rPr>
                <m:nor/>
              </m:rPr>
              <w:rPr>
                <w:i/>
                <w:iCs/>
              </w:rPr>
              <m:t>δ</m:t>
            </m:r>
          </m:e>
          <m:sub>
            <m:r>
              <m:rPr>
                <m:nor/>
              </m:rPr>
              <m:t>max</m:t>
            </m:r>
          </m:sub>
        </m:sSub>
      </m:oMath>
      <w:r w:rsidR="00321DC9">
        <w:rPr>
          <w:rFonts w:hint="eastAsia"/>
          <w:lang w:eastAsia="zh-CN"/>
        </w:rPr>
        <w:t xml:space="preserve"> </w:t>
      </w:r>
      <w:r w:rsidR="00321DC9">
        <w:t>is set to 0.30.</w:t>
      </w:r>
    </w:p>
    <w:p w14:paraId="67B438CF" w14:textId="77777777" w:rsidR="00551D25" w:rsidRDefault="00000000">
      <w:pPr>
        <w:pStyle w:val="equation"/>
        <w:rPr>
          <w:rFonts w:ascii="Times New Roman" w:hAnsi="Times New Roman" w:cs="Times New Roman"/>
        </w:rPr>
      </w:pPr>
      <w:r>
        <w:rPr>
          <w:rFonts w:ascii="Times New Roman" w:hAnsi="Times New Roman" w:cs="Times New Roman"/>
        </w:rPr>
        <w:tab/>
        <w:t>|∑</w:t>
      </w:r>
      <w:r>
        <w:rPr>
          <w:rFonts w:ascii="Times New Roman" w:hAnsi="Times New Roman" w:cs="Times New Roman"/>
          <w:vertAlign w:val="subscript"/>
        </w:rPr>
        <w:t>t=1</w:t>
      </w:r>
      <w:r>
        <w:rPr>
          <w:rFonts w:ascii="Times New Roman" w:hAnsi="Times New Roman" w:cs="Times New Roman"/>
          <w:vertAlign w:val="superscript"/>
        </w:rPr>
        <w:t>T</w:t>
      </w:r>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rPr>
        <w:t xml:space="preserve">| ≤ </w:t>
      </w:r>
      <w:r>
        <w:rPr>
          <w:rFonts w:ascii="Times New Roman" w:hAnsi="Times New Roman" w:cs="Times New Roman"/>
          <w:i/>
          <w:iCs/>
        </w:rPr>
        <w:t>ξ</w:t>
      </w:r>
      <w:r>
        <w:rPr>
          <w:rFonts w:ascii="Times New Roman" w:hAnsi="Times New Roman" w:cs="Times New Roman"/>
        </w:rPr>
        <w:t xml:space="preserve"> · ∑</w:t>
      </w:r>
      <w:r>
        <w:rPr>
          <w:rFonts w:ascii="Times New Roman" w:hAnsi="Times New Roman" w:cs="Times New Roman"/>
          <w:vertAlign w:val="subscript"/>
        </w:rPr>
        <w:t>t=1</w:t>
      </w:r>
      <w:r>
        <w:rPr>
          <w:rFonts w:ascii="Times New Roman" w:hAnsi="Times New Roman" w:cs="Times New Roman"/>
          <w:vertAlign w:val="superscript"/>
        </w:rPr>
        <w:t>T</w:t>
      </w:r>
      <w:r>
        <w:rPr>
          <w:rFonts w:ascii="Times New Roman" w:hAnsi="Times New Roman" w:cs="Times New Roman"/>
        </w:rPr>
        <w:t>|</w:t>
      </w:r>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rPr>
        <w:t>|</w:t>
      </w:r>
      <w:r>
        <w:rPr>
          <w:rFonts w:ascii="Times New Roman" w:hAnsi="Times New Roman" w:cs="Times New Roman"/>
        </w:rPr>
        <w:tab/>
        <w:t>(4)</w:t>
      </w:r>
    </w:p>
    <w:p w14:paraId="5D00D836" w14:textId="6BA07F9D" w:rsidR="00321DC9" w:rsidRDefault="00FC05CD" w:rsidP="00321DC9">
      <w:pPr>
        <w:pStyle w:val="a3"/>
      </w:pPr>
      <w:r>
        <w:t>In the equation,</w:t>
      </w:r>
      <w:r w:rsidR="00321DC9">
        <w:t xml:space="preserve"> </w:t>
      </w:r>
      <m:oMath>
        <m:r>
          <m:rPr>
            <m:nor/>
          </m:rPr>
          <w:rPr>
            <w:i/>
            <w:iCs/>
          </w:rPr>
          <m:t>ξ</m:t>
        </m:r>
      </m:oMath>
      <w:r w:rsidR="00321DC9">
        <w:rPr>
          <w:rFonts w:hint="eastAsia"/>
          <w:lang w:eastAsia="zh-CN"/>
        </w:rPr>
        <w:t xml:space="preserve"> </w:t>
      </w:r>
      <w:r w:rsidR="00321DC9">
        <w:t>is the tolerance coefficient for whole-cycle energy conservation. Since an hourly resolution is used in the case study, the summation in (4) is equivalent to the net shifted energy over the scheduling cycle. This constraint requires the net signed response to remain close to zero relative to the total absolute response, thereby preserving the load-shifting nature of price-based DR. In the case study, the tolerance coefficient is set to 0.05.</w:t>
      </w:r>
    </w:p>
    <w:p w14:paraId="07F45251" w14:textId="77777777" w:rsidR="00551D25" w:rsidRDefault="00000000">
      <w:pPr>
        <w:pStyle w:val="a3"/>
      </w:pPr>
      <w:r>
        <w:t>The two constraints play complementary roles. The magnitude limit is a local guard against physically implausible single-hour response peaks; the energy conservation requirement is a global guard against trajectories that would silently create or destroy energy over the cycle. Without the latter, the interval can drift upward or downward as the sampling proceeds, inflating the band in a way that has no operational meaning.</w:t>
      </w:r>
    </w:p>
    <w:p w14:paraId="11D25F72" w14:textId="77777777" w:rsidR="00321DC9" w:rsidRDefault="00321DC9">
      <w:pPr>
        <w:pStyle w:val="a3"/>
      </w:pPr>
    </w:p>
    <w:p w14:paraId="43069D3B" w14:textId="77777777" w:rsidR="00551D25" w:rsidRDefault="00000000">
      <w:pPr>
        <w:pStyle w:val="2"/>
      </w:pPr>
      <w:r>
        <w:t>Typical-Day Scenario Partition</w:t>
      </w:r>
    </w:p>
    <w:p w14:paraId="55E8CCFA" w14:textId="508B8F89" w:rsidR="00321DC9" w:rsidRDefault="00000000" w:rsidP="00321DC9">
      <w:pPr>
        <w:pStyle w:val="a3"/>
        <w:rPr>
          <w:lang w:eastAsia="zh-CN"/>
        </w:rPr>
      </w:pPr>
      <w:r>
        <w:t>The annual horizon is partitioned into a finite set of typical-day scenarios indexed by season and weighted by the number of days each scenario represents. For each scenario, the participation bounds and the tariff fluctuation coefficients are set independently rather than shared across the year. Under this partition the DR interval becomes scenario-dependent: it is wider in scenarios with strong peak-valley tariff contrast and narrower in scenarios with mild load profiles. A scenario-weighted aggregation then yields an annual descriptor without forcing the year-long uncertainty into a single static interval.</w:t>
      </w:r>
    </w:p>
    <w:p w14:paraId="4EB2289A" w14:textId="77777777" w:rsidR="00551D25" w:rsidRDefault="00000000">
      <w:pPr>
        <w:pStyle w:val="equation"/>
        <w:rPr>
          <w:rFonts w:ascii="Times New Roman" w:hAnsi="Times New Roman" w:cs="Times New Roman"/>
        </w:rPr>
      </w:pPr>
      <w:r>
        <w:rPr>
          <w:rFonts w:ascii="Times New Roman" w:hAnsi="Times New Roman" w:cs="Times New Roman"/>
        </w:rPr>
        <w:tab/>
      </w:r>
      <w:proofErr w:type="spellStart"/>
      <w:r>
        <w:rPr>
          <w:rFonts w:ascii="Times New Roman" w:hAnsi="Times New Roman" w:cs="Times New Roman"/>
          <w:i/>
          <w:iCs/>
        </w:rPr>
        <w:t>ΔP</w:t>
      </w:r>
      <w:r>
        <w:rPr>
          <w:rFonts w:ascii="Times New Roman" w:hAnsi="Times New Roman" w:cs="Times New Roman"/>
          <w:i/>
          <w:iCs/>
          <w:vertAlign w:val="subscript"/>
        </w:rPr>
        <w:t>t</w:t>
      </w:r>
      <w:r>
        <w:rPr>
          <w:rFonts w:ascii="Times New Roman" w:hAnsi="Times New Roman" w:cs="Times New Roman"/>
          <w:vertAlign w:val="superscript"/>
        </w:rPr>
        <w:t>ann</w:t>
      </w:r>
      <w:proofErr w:type="spellEnd"/>
      <w:r>
        <w:rPr>
          <w:rFonts w:ascii="Times New Roman" w:hAnsi="Times New Roman" w:cs="Times New Roman"/>
        </w:rPr>
        <w:t xml:space="preserve"> = ∑</w:t>
      </w:r>
      <w:proofErr w:type="spellStart"/>
      <w:r>
        <w:rPr>
          <w:rFonts w:ascii="Times New Roman" w:hAnsi="Times New Roman" w:cs="Times New Roman"/>
          <w:i/>
          <w:iCs/>
          <w:vertAlign w:val="subscript"/>
        </w:rPr>
        <w:t>s</w:t>
      </w:r>
      <w:r>
        <w:rPr>
          <w:rFonts w:ascii="Times New Roman" w:hAnsi="Times New Roman" w:cs="Times New Roman"/>
          <w:i/>
          <w:iCs/>
        </w:rPr>
        <w:t>w</w:t>
      </w:r>
      <w:r>
        <w:rPr>
          <w:rFonts w:ascii="Times New Roman" w:hAnsi="Times New Roman" w:cs="Times New Roman"/>
          <w:i/>
          <w:iCs/>
          <w:vertAlign w:val="subscript"/>
        </w:rPr>
        <w:t>s</w:t>
      </w:r>
      <w:proofErr w:type="spellEnd"/>
      <w:r>
        <w:rPr>
          <w:rFonts w:ascii="Times New Roman" w:hAnsi="Times New Roman" w:cs="Times New Roman"/>
        </w:rPr>
        <w:t xml:space="preserve"> · </w:t>
      </w:r>
      <w:proofErr w:type="spellStart"/>
      <w:r>
        <w:rPr>
          <w:rFonts w:ascii="Times New Roman" w:hAnsi="Times New Roman" w:cs="Times New Roman"/>
          <w:i/>
          <w:iCs/>
        </w:rPr>
        <w:t>Δ</w:t>
      </w:r>
      <w:proofErr w:type="gramStart"/>
      <w:r>
        <w:rPr>
          <w:rFonts w:ascii="Times New Roman" w:hAnsi="Times New Roman" w:cs="Times New Roman"/>
          <w:i/>
          <w:iCs/>
        </w:rPr>
        <w:t>P</w:t>
      </w:r>
      <w:r>
        <w:rPr>
          <w:rFonts w:ascii="Times New Roman" w:hAnsi="Times New Roman" w:cs="Times New Roman"/>
          <w:i/>
          <w:iCs/>
          <w:vertAlign w:val="subscript"/>
        </w:rPr>
        <w:t>t</w:t>
      </w:r>
      <w:r>
        <w:rPr>
          <w:rFonts w:ascii="Times New Roman" w:hAnsi="Times New Roman" w:cs="Times New Roman"/>
          <w:i/>
          <w:iCs/>
          <w:vertAlign w:val="superscript"/>
        </w:rPr>
        <w:t>s</w:t>
      </w:r>
      <w:proofErr w:type="spellEnd"/>
      <w:r>
        <w:rPr>
          <w:rFonts w:ascii="Times New Roman" w:hAnsi="Times New Roman" w:cs="Times New Roman"/>
        </w:rPr>
        <w:t xml:space="preserve">,  </w:t>
      </w:r>
      <w:proofErr w:type="spellStart"/>
      <w:r>
        <w:rPr>
          <w:rFonts w:ascii="Times New Roman" w:hAnsi="Times New Roman" w:cs="Times New Roman"/>
          <w:i/>
          <w:iCs/>
        </w:rPr>
        <w:t>w</w:t>
      </w:r>
      <w:r>
        <w:rPr>
          <w:rFonts w:ascii="Times New Roman" w:hAnsi="Times New Roman" w:cs="Times New Roman"/>
          <w:i/>
          <w:iCs/>
          <w:vertAlign w:val="subscript"/>
        </w:rPr>
        <w:t>s</w:t>
      </w:r>
      <w:proofErr w:type="spellEnd"/>
      <w:proofErr w:type="gramEnd"/>
      <w:r>
        <w:rPr>
          <w:rFonts w:ascii="Times New Roman" w:hAnsi="Times New Roman" w:cs="Times New Roman"/>
        </w:rPr>
        <w:t xml:space="preserve"> = </w:t>
      </w:r>
      <w:r>
        <w:rPr>
          <w:rFonts w:ascii="Times New Roman" w:hAnsi="Times New Roman" w:cs="Times New Roman"/>
          <w:i/>
          <w:iCs/>
        </w:rPr>
        <w:t>N</w:t>
      </w:r>
      <w:r>
        <w:rPr>
          <w:rFonts w:ascii="Times New Roman" w:hAnsi="Times New Roman" w:cs="Times New Roman"/>
          <w:i/>
          <w:iCs/>
          <w:vertAlign w:val="subscript"/>
        </w:rPr>
        <w:t>s</w:t>
      </w:r>
      <w:r>
        <w:rPr>
          <w:rFonts w:ascii="Times New Roman" w:hAnsi="Times New Roman" w:cs="Times New Roman"/>
        </w:rPr>
        <w:t xml:space="preserve"> / </w:t>
      </w:r>
      <w:proofErr w:type="spellStart"/>
      <w:r>
        <w:rPr>
          <w:rFonts w:ascii="Times New Roman" w:hAnsi="Times New Roman" w:cs="Times New Roman"/>
          <w:i/>
          <w:iCs/>
        </w:rPr>
        <w:t>N</w:t>
      </w:r>
      <w:r>
        <w:rPr>
          <w:rFonts w:ascii="Times New Roman" w:hAnsi="Times New Roman" w:cs="Times New Roman"/>
          <w:vertAlign w:val="subscript"/>
        </w:rPr>
        <w:t>total</w:t>
      </w:r>
      <w:proofErr w:type="spellEnd"/>
      <w:r>
        <w:rPr>
          <w:rFonts w:ascii="Times New Roman" w:hAnsi="Times New Roman" w:cs="Times New Roman"/>
        </w:rPr>
        <w:tab/>
        <w:t>(5)</w:t>
      </w:r>
    </w:p>
    <w:p w14:paraId="4043EBB7" w14:textId="021AEFF6" w:rsidR="00321DC9" w:rsidRDefault="00FC05CD" w:rsidP="00321DC9">
      <w:pPr>
        <w:pStyle w:val="a3"/>
      </w:pPr>
      <w:r>
        <w:t>In the equation,</w:t>
      </w:r>
      <w:r w:rsidR="00321DC9">
        <w:t xml:space="preserve"> </w:t>
      </w:r>
      <m:oMath>
        <m:r>
          <m:rPr>
            <m:nor/>
          </m:rPr>
          <w:rPr>
            <w:i/>
            <w:iCs/>
          </w:rPr>
          <m:t>Δ</m:t>
        </m:r>
        <m:sSubSup>
          <m:sSubSupPr>
            <m:ctrlPr>
              <w:rPr>
                <w:rFonts w:ascii="Cambria Math" w:hAnsi="Cambria Math"/>
              </w:rPr>
            </m:ctrlPr>
          </m:sSubSupPr>
          <m:e>
            <m:r>
              <m:rPr>
                <m:nor/>
              </m:rPr>
              <w:rPr>
                <w:i/>
                <w:iCs/>
              </w:rPr>
              <m:t>P</m:t>
            </m:r>
          </m:e>
          <m:sub>
            <m:r>
              <m:rPr>
                <m:nor/>
              </m:rPr>
              <w:rPr>
                <w:i/>
                <w:iCs/>
              </w:rPr>
              <m:t>t</m:t>
            </m:r>
          </m:sub>
          <m:sup>
            <w:proofErr w:type="spellStart"/>
            <m:r>
              <m:rPr>
                <m:nor/>
              </m:rPr>
              <m:t>ann</m:t>
            </m:r>
            <w:proofErr w:type="spellEnd"/>
          </m:sup>
        </m:sSubSup>
      </m:oMath>
      <w:r w:rsidR="00321DC9">
        <w:rPr>
          <w:rFonts w:hint="eastAsia"/>
          <w:lang w:eastAsia="zh-CN"/>
        </w:rPr>
        <w:t xml:space="preserve"> </w:t>
      </w:r>
      <w:r w:rsidR="00321DC9">
        <w:t xml:space="preserve">is the annual scenario-weighted DR descriptor at period </w:t>
      </w:r>
      <m:oMath>
        <m:r>
          <w:rPr>
            <w:rFonts w:ascii="Cambria Math" w:hAnsi="Cambria Math"/>
          </w:rPr>
          <m:t>t</m:t>
        </m:r>
      </m:oMath>
      <w:r w:rsidR="00321DC9">
        <w:t xml:space="preserve">, </w:t>
      </w:r>
      <m:oMath>
        <m:r>
          <m:rPr>
            <m:nor/>
          </m:rPr>
          <w:rPr>
            <w:i/>
            <w:iCs/>
          </w:rPr>
          <m:t>Δ</m:t>
        </m:r>
        <m:sSubSup>
          <m:sSubSupPr>
            <m:ctrlPr>
              <w:rPr>
                <w:rFonts w:ascii="Cambria Math" w:hAnsi="Cambria Math"/>
                <w:i/>
                <w:iCs/>
              </w:rPr>
            </m:ctrlPr>
          </m:sSubSupPr>
          <m:e>
            <m:r>
              <m:rPr>
                <m:nor/>
              </m:rPr>
              <w:rPr>
                <w:i/>
                <w:iCs/>
              </w:rPr>
              <m:t>P</m:t>
            </m:r>
          </m:e>
          <m:sub>
            <m:r>
              <m:rPr>
                <m:nor/>
              </m:rPr>
              <w:rPr>
                <w:i/>
                <w:iCs/>
              </w:rPr>
              <m:t>t</m:t>
            </m:r>
          </m:sub>
          <m:sup>
            <m:r>
              <m:rPr>
                <m:nor/>
              </m:rPr>
              <w:rPr>
                <w:i/>
                <w:iCs/>
              </w:rPr>
              <m:t>s</m:t>
            </m:r>
          </m:sup>
        </m:sSubSup>
      </m:oMath>
      <w:r w:rsidR="00321DC9">
        <w:rPr>
          <w:rFonts w:hint="eastAsia"/>
          <w:lang w:eastAsia="zh-CN"/>
        </w:rPr>
        <w:t xml:space="preserve"> </w:t>
      </w:r>
      <w:r w:rsidR="00321DC9">
        <w:t xml:space="preserve">is the response under typical-day scenario </w:t>
      </w:r>
      <m:oMath>
        <m:r>
          <m:rPr>
            <m:nor/>
          </m:rPr>
          <w:rPr>
            <w:i/>
            <w:iCs/>
          </w:rPr>
          <m:t>s</m:t>
        </m:r>
      </m:oMath>
      <w:r w:rsidR="00321DC9">
        <w:t xml:space="preserve">, </w:t>
      </w:r>
      <m:oMath>
        <m:sSub>
          <m:sSubPr>
            <m:ctrlPr>
              <w:rPr>
                <w:rFonts w:ascii="Cambria Math" w:hAnsi="Cambria Math"/>
                <w:i/>
                <w:iCs/>
              </w:rPr>
            </m:ctrlPr>
          </m:sSubPr>
          <m:e>
            <m:r>
              <m:rPr>
                <m:nor/>
              </m:rPr>
              <w:rPr>
                <w:i/>
                <w:iCs/>
              </w:rPr>
              <m:t>w</m:t>
            </m:r>
          </m:e>
          <m:sub>
            <m:r>
              <m:rPr>
                <m:nor/>
              </m:rPr>
              <w:rPr>
                <w:i/>
                <w:iCs/>
              </w:rPr>
              <m:t>s</m:t>
            </m:r>
          </m:sub>
        </m:sSub>
      </m:oMath>
      <w:r w:rsidR="00321DC9">
        <w:rPr>
          <w:rFonts w:hint="eastAsia"/>
          <w:lang w:eastAsia="zh-CN"/>
        </w:rPr>
        <w:t xml:space="preserve"> </w:t>
      </w:r>
      <w:r w:rsidR="00321DC9">
        <w:t xml:space="preserve">is the annual weight of scenario </w:t>
      </w:r>
      <m:oMath>
        <m:r>
          <m:rPr>
            <m:nor/>
          </m:rPr>
          <w:rPr>
            <w:i/>
            <w:iCs/>
          </w:rPr>
          <m:t>s</m:t>
        </m:r>
      </m:oMath>
      <w:r w:rsidR="00321DC9">
        <w:t xml:space="preserve">, </w:t>
      </w:r>
      <m:oMath>
        <m:sSub>
          <m:sSubPr>
            <m:ctrlPr>
              <w:rPr>
                <w:rFonts w:ascii="Cambria Math" w:hAnsi="Cambria Math"/>
                <w:i/>
                <w:iCs/>
              </w:rPr>
            </m:ctrlPr>
          </m:sSubPr>
          <m:e>
            <m:r>
              <m:rPr>
                <m:nor/>
              </m:rPr>
              <w:rPr>
                <w:i/>
                <w:iCs/>
              </w:rPr>
              <m:t>N</m:t>
            </m:r>
          </m:e>
          <m:sub>
            <m:r>
              <m:rPr>
                <m:nor/>
              </m:rPr>
              <w:rPr>
                <w:i/>
                <w:iCs/>
              </w:rPr>
              <m:t>s</m:t>
            </m:r>
          </m:sub>
        </m:sSub>
      </m:oMath>
      <w:r w:rsidR="00321DC9">
        <w:rPr>
          <w:rFonts w:hint="eastAsia"/>
          <w:lang w:eastAsia="zh-CN"/>
        </w:rPr>
        <w:t xml:space="preserve"> </w:t>
      </w:r>
      <w:r w:rsidR="00321DC9">
        <w:t xml:space="preserve">is the number of days represented by scenario </w:t>
      </w:r>
      <m:oMath>
        <m:r>
          <m:rPr>
            <m:nor/>
          </m:rPr>
          <w:rPr>
            <w:i/>
            <w:iCs/>
          </w:rPr>
          <m:t>s</m:t>
        </m:r>
      </m:oMath>
      <w:r w:rsidR="00321DC9">
        <w:t xml:space="preserve">, and </w:t>
      </w:r>
      <m:oMath>
        <m:sSub>
          <m:sSubPr>
            <m:ctrlPr>
              <w:rPr>
                <w:rFonts w:ascii="Cambria Math" w:hAnsi="Cambria Math"/>
                <w:i/>
              </w:rPr>
            </m:ctrlPr>
          </m:sSubPr>
          <m:e>
            <m:r>
              <m:rPr>
                <m:nor/>
              </m:rPr>
              <w:rPr>
                <w:i/>
              </w:rPr>
              <m:t>N</m:t>
            </m:r>
          </m:e>
          <m:sub>
            <m:r>
              <m:rPr>
                <m:nor/>
              </m:rPr>
              <w:rPr>
                <w:i/>
              </w:rPr>
              <m:t>total</m:t>
            </m:r>
          </m:sub>
        </m:sSub>
      </m:oMath>
      <w:r w:rsidR="00F45D16">
        <w:rPr>
          <w:rFonts w:hint="eastAsia"/>
          <w:lang w:eastAsia="zh-CN"/>
        </w:rPr>
        <w:t xml:space="preserve"> </w:t>
      </w:r>
      <w:r w:rsidR="00321DC9">
        <w:t>is the total number of days in the year.</w:t>
      </w:r>
    </w:p>
    <w:p w14:paraId="23CC7E2E" w14:textId="77777777" w:rsidR="00551D25" w:rsidRDefault="00000000">
      <w:pPr>
        <w:pStyle w:val="2"/>
      </w:pPr>
      <w:r>
        <w:t>Implementation Procedure and Complexity</w:t>
      </w:r>
    </w:p>
    <w:p w14:paraId="10F064CB" w14:textId="2DB5ADEA" w:rsidR="004E54E6" w:rsidRDefault="00F45D16" w:rsidP="004E54E6">
      <w:pPr>
        <w:pStyle w:val="a3"/>
        <w:rPr>
          <w:lang w:val="en-US"/>
        </w:rPr>
      </w:pPr>
      <w:r>
        <w:t xml:space="preserve">The full procedure for generating the DR response interval under a typical-day scenario can be summarized as follows. First, for each typical-day scenario </w:t>
      </w:r>
      <m:oMath>
        <m:r>
          <m:rPr>
            <m:nor/>
          </m:rPr>
          <w:rPr>
            <w:i/>
            <w:iCs/>
          </w:rPr>
          <m:t>q</m:t>
        </m:r>
      </m:oMath>
      <w:r>
        <w:t xml:space="preserve">, </w:t>
      </w:r>
      <m:oMath>
        <m:r>
          <m:rPr>
            <m:nor/>
          </m:rPr>
          <w:rPr>
            <w:i/>
            <w:iCs/>
          </w:rPr>
          <m:t>N</m:t>
        </m:r>
      </m:oMath>
      <w:r>
        <w:rPr>
          <w:rFonts w:hint="eastAsia"/>
          <w:lang w:eastAsia="zh-CN"/>
        </w:rPr>
        <w:t xml:space="preserve"> </w:t>
      </w:r>
      <w:r>
        <w:t xml:space="preserve">samples are generated over the participation-tariff input space by Latin Hypercube sampling. Let </w:t>
      </w:r>
      <m:oMath>
        <m:sSub>
          <m:sSubPr>
            <m:ctrlPr>
              <w:rPr>
                <w:rFonts w:ascii="Cambria Math" w:hAnsi="Cambria Math"/>
                <w:i/>
                <w:iCs/>
              </w:rPr>
            </m:ctrlPr>
          </m:sSubPr>
          <m:e>
            <m:r>
              <m:rPr>
                <m:nor/>
              </m:rPr>
              <w:rPr>
                <w:i/>
                <w:iCs/>
              </w:rPr>
              <m:t>u</m:t>
            </m:r>
          </m:e>
          <m:sub>
            <m:r>
              <m:rPr>
                <m:nor/>
              </m:rPr>
              <w:rPr>
                <w:i/>
                <w:iCs/>
              </w:rPr>
              <m:t>n,k</m:t>
            </m:r>
          </m:sub>
        </m:sSub>
        <m:r>
          <m:rPr>
            <m:nor/>
          </m:rPr>
          <w:rPr>
            <w:rFonts w:ascii="Cambria Math" w:hAnsi="Cambria Math" w:cs="Cambria Math"/>
          </w:rPr>
          <m:t>∈</m:t>
        </m:r>
        <m:r>
          <m:rPr>
            <m:nor/>
          </m:rPr>
          <m:t>[0,1]</m:t>
        </m:r>
      </m:oMath>
      <w:r w:rsidR="000E694A">
        <w:rPr>
          <w:rFonts w:hint="eastAsia"/>
          <w:lang w:eastAsia="zh-CN"/>
        </w:rPr>
        <w:t xml:space="preserve"> </w:t>
      </w:r>
      <w:r>
        <w:t xml:space="preserve">denote the normalized sampling variable, </w:t>
      </w:r>
      <w:r w:rsidR="00FC05CD">
        <w:t xml:space="preserve">where </w:t>
      </w:r>
      <m:oMath>
        <m:r>
          <m:rPr>
            <m:nor/>
          </m:rPr>
          <w:rPr>
            <w:i/>
            <w:iCs/>
          </w:rPr>
          <m:t>n</m:t>
        </m:r>
        <m:r>
          <m:rPr>
            <m:nor/>
          </m:rPr>
          <w:rPr>
            <w:rFonts w:ascii="Symbol" w:hAnsi="Symbol"/>
          </w:rPr>
          <m:t>=</m:t>
        </m:r>
        <m:r>
          <m:rPr>
            <m:nor/>
          </m:rPr>
          <m:t>1,…,</m:t>
        </m:r>
        <m:r>
          <m:rPr>
            <m:nor/>
          </m:rPr>
          <w:rPr>
            <w:i/>
            <w:iCs/>
          </w:rPr>
          <m:t>N</m:t>
        </m:r>
      </m:oMath>
      <w:r w:rsidR="00FC05CD">
        <w:rPr>
          <w:rFonts w:hint="eastAsia"/>
          <w:lang w:eastAsia="zh-CN"/>
        </w:rPr>
        <w:t xml:space="preserve"> </w:t>
      </w:r>
      <w:r>
        <w:t xml:space="preserve">is the sample index. The </w:t>
      </w:r>
      <m:oMath>
        <m:r>
          <m:rPr>
            <m:nor/>
          </m:rPr>
          <w:rPr>
            <w:i/>
            <w:iCs/>
          </w:rPr>
          <m:t>n</m:t>
        </m:r>
      </m:oMath>
      <w:r>
        <w:t>-</w:t>
      </w:r>
      <w:proofErr w:type="spellStart"/>
      <w:r>
        <w:t>th</w:t>
      </w:r>
      <w:proofErr w:type="spellEnd"/>
      <w:r>
        <w:t xml:space="preserve"> sample is mapped to the participation rate </w:t>
      </w:r>
      <m:oMath>
        <m:sSub>
          <m:sSubPr>
            <m:ctrlPr>
              <w:rPr>
                <w:rFonts w:ascii="Cambria Math" w:hAnsi="Cambria Math"/>
              </w:rPr>
            </m:ctrlPr>
          </m:sSubPr>
          <m:e>
            <m:r>
              <w:rPr>
                <w:rFonts w:ascii="Cambria Math" w:hAnsi="Cambria Math"/>
              </w:rPr>
              <m:t>τ</m:t>
            </m:r>
          </m:e>
          <m:sub>
            <m:r>
              <w:rPr>
                <w:rFonts w:ascii="Cambria Math" w:hAnsi="Cambria Math"/>
              </w:rPr>
              <m:t>q,n</m:t>
            </m:r>
          </m:sub>
        </m:sSub>
      </m:oMath>
      <w:r>
        <w:t xml:space="preserve">and the real-time tariff </w:t>
      </w:r>
      <m:oMath>
        <m:sSub>
          <m:sSubPr>
            <m:ctrlPr>
              <w:rPr>
                <w:rFonts w:ascii="Cambria Math" w:hAnsi="Cambria Math"/>
                <w:i/>
                <w:iCs/>
              </w:rPr>
            </m:ctrlPr>
          </m:sSubPr>
          <m:e>
            <m:r>
              <m:rPr>
                <m:nor/>
              </m:rPr>
              <w:rPr>
                <w:i/>
                <w:iCs/>
              </w:rPr>
              <m:t>c</m:t>
            </m:r>
          </m:e>
          <m:sub>
            <w:proofErr w:type="spellStart"/>
            <m:r>
              <m:rPr>
                <m:nor/>
              </m:rPr>
              <w:rPr>
                <w:i/>
                <w:iCs/>
              </w:rPr>
              <m:t>q,n,t</m:t>
            </m:r>
            <w:proofErr w:type="spellEnd"/>
          </m:sub>
        </m:sSub>
      </m:oMath>
      <w:r>
        <w:rPr>
          <w:rFonts w:hint="eastAsia"/>
          <w:lang w:eastAsia="zh-CN"/>
        </w:rPr>
        <w:t xml:space="preserve"> </w:t>
      </w:r>
      <w:r>
        <w:t>according to (6)</w:t>
      </w:r>
      <w:r w:rsidR="004E54E6" w:rsidRPr="004E54E6">
        <w:rPr>
          <w:lang w:val="en-US"/>
        </w:rPr>
        <w:t>.</w:t>
      </w:r>
    </w:p>
    <w:p w14:paraId="6EEE0001" w14:textId="77777777" w:rsidR="00551D25" w:rsidRDefault="00000000">
      <w:pPr>
        <w:pStyle w:val="equation"/>
        <w:rPr>
          <w:rFonts w:ascii="Times New Roman" w:hAnsi="Times New Roman" w:cs="Times New Roman"/>
        </w:rPr>
      </w:pPr>
      <w:r>
        <w:rPr>
          <w:rFonts w:ascii="Times New Roman" w:hAnsi="Times New Roman" w:cs="Times New Roman"/>
        </w:rPr>
        <w:tab/>
      </w:r>
      <w:r>
        <w:rPr>
          <w:rFonts w:ascii="Times New Roman" w:hAnsi="Times New Roman" w:cs="Times New Roman"/>
          <w:i/>
          <w:iCs/>
        </w:rPr>
        <w:t>τ</w:t>
      </w:r>
      <w:r>
        <w:rPr>
          <w:rFonts w:ascii="Times New Roman" w:hAnsi="Times New Roman" w:cs="Times New Roman"/>
          <w:i/>
          <w:iCs/>
          <w:vertAlign w:val="subscript"/>
        </w:rPr>
        <w:t>q,n</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i/>
          <w:iCs/>
          <w:vertAlign w:val="subscript"/>
        </w:rPr>
        <w:t>q,</w:t>
      </w:r>
      <w:r>
        <w:rPr>
          <w:rFonts w:ascii="Times New Roman" w:hAnsi="Times New Roman" w:cs="Times New Roman"/>
          <w:vertAlign w:val="subscript"/>
        </w:rPr>
        <w:t>min</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i/>
          <w:iCs/>
          <w:vertAlign w:val="subscript"/>
        </w:rPr>
        <w:t>q,</w:t>
      </w:r>
      <w:r>
        <w:rPr>
          <w:rFonts w:ascii="Times New Roman" w:hAnsi="Times New Roman" w:cs="Times New Roman"/>
          <w:vertAlign w:val="subscript"/>
        </w:rPr>
        <w:t>max</w:t>
      </w:r>
      <w:r>
        <w:rPr>
          <w:rFonts w:ascii="Times New Roman" w:hAnsi="Times New Roman" w:cs="Times New Roman"/>
        </w:rPr>
        <w:t xml:space="preserve"> − </w:t>
      </w:r>
      <w:r>
        <w:rPr>
          <w:rFonts w:ascii="Times New Roman" w:hAnsi="Times New Roman" w:cs="Times New Roman"/>
          <w:i/>
          <w:iCs/>
        </w:rPr>
        <w:t>τ</w:t>
      </w:r>
      <w:r>
        <w:rPr>
          <w:rFonts w:ascii="Times New Roman" w:hAnsi="Times New Roman" w:cs="Times New Roman"/>
          <w:i/>
          <w:iCs/>
          <w:vertAlign w:val="subscript"/>
        </w:rPr>
        <w:t>q,</w:t>
      </w:r>
      <w:r>
        <w:rPr>
          <w:rFonts w:ascii="Times New Roman" w:hAnsi="Times New Roman" w:cs="Times New Roman"/>
          <w:vertAlign w:val="subscript"/>
        </w:rPr>
        <w:t>min</w:t>
      </w:r>
      <w:r>
        <w:rPr>
          <w:rFonts w:ascii="Times New Roman" w:hAnsi="Times New Roman" w:cs="Times New Roman"/>
        </w:rPr>
        <w:t xml:space="preserve">) · </w:t>
      </w:r>
      <w:r>
        <w:rPr>
          <w:rFonts w:ascii="Times New Roman" w:hAnsi="Times New Roman" w:cs="Times New Roman"/>
          <w:i/>
          <w:iCs/>
        </w:rPr>
        <w:t>u</w:t>
      </w:r>
      <w:r>
        <w:rPr>
          <w:rFonts w:ascii="Times New Roman" w:hAnsi="Times New Roman" w:cs="Times New Roman"/>
          <w:i/>
          <w:iCs/>
          <w:vertAlign w:val="subscript"/>
        </w:rPr>
        <w:t>n,</w:t>
      </w:r>
      <w:r>
        <w:rPr>
          <w:rFonts w:ascii="Times New Roman" w:hAnsi="Times New Roman" w:cs="Times New Roman"/>
          <w:vertAlign w:val="subscript"/>
        </w:rPr>
        <w:t>0</w:t>
      </w:r>
      <w:r>
        <w:rPr>
          <w:rFonts w:ascii="Times New Roman" w:hAnsi="Times New Roman" w:cs="Times New Roman"/>
        </w:rPr>
        <w:t>,</w:t>
      </w:r>
      <w:r>
        <w:rPr>
          <w:rFonts w:ascii="Times New Roman" w:hAnsi="Times New Roman" w:cs="Times New Roman"/>
        </w:rPr>
        <w:br/>
      </w:r>
      <w:r>
        <w:rPr>
          <w:rFonts w:ascii="Times New Roman" w:hAnsi="Times New Roman" w:cs="Times New Roman"/>
        </w:rPr>
        <w:tab/>
      </w:r>
      <w:r>
        <w:rPr>
          <w:rFonts w:ascii="Times New Roman" w:hAnsi="Times New Roman" w:cs="Times New Roman"/>
          <w:i/>
          <w:iCs/>
        </w:rPr>
        <w:t>c</w:t>
      </w:r>
      <w:r>
        <w:rPr>
          <w:rFonts w:ascii="Times New Roman" w:hAnsi="Times New Roman" w:cs="Times New Roman"/>
          <w:i/>
          <w:iCs/>
          <w:vertAlign w:val="subscript"/>
        </w:rPr>
        <w:t>q,n,t</w:t>
      </w:r>
      <w:r>
        <w:rPr>
          <w:rFonts w:ascii="Times New Roman" w:hAnsi="Times New Roman" w:cs="Times New Roman"/>
        </w:rPr>
        <w:t xml:space="preserve"> = </w:t>
      </w:r>
      <w:r>
        <w:rPr>
          <w:rFonts w:ascii="Times New Roman" w:hAnsi="Times New Roman" w:cs="Times New Roman"/>
          <w:i/>
          <w:iCs/>
        </w:rPr>
        <w:t>c</w:t>
      </w:r>
      <w:r>
        <w:rPr>
          <w:rFonts w:ascii="Times New Roman" w:hAnsi="Times New Roman" w:cs="Times New Roman"/>
          <w:i/>
          <w:iCs/>
          <w:vertAlign w:val="subscript"/>
        </w:rPr>
        <w:t>q,t</w:t>
      </w:r>
      <w:r>
        <w:rPr>
          <w:rFonts w:ascii="Times New Roman" w:hAnsi="Times New Roman" w:cs="Times New Roman"/>
          <w:vertAlign w:val="superscript"/>
        </w:rPr>
        <w:t>ref</w:t>
      </w:r>
      <w:r>
        <w:rPr>
          <w:rFonts w:ascii="Times New Roman" w:hAnsi="Times New Roman" w:cs="Times New Roman"/>
        </w:rPr>
        <w:t xml:space="preserve"> · (1 − </w:t>
      </w:r>
      <w:r>
        <w:rPr>
          <w:rFonts w:ascii="Times New Roman" w:hAnsi="Times New Roman" w:cs="Times New Roman"/>
          <w:i/>
          <w:iCs/>
        </w:rPr>
        <w:t>η</w:t>
      </w:r>
      <w:r>
        <w:rPr>
          <w:rFonts w:ascii="Times New Roman" w:hAnsi="Times New Roman" w:cs="Times New Roman"/>
          <w:i/>
          <w:iCs/>
          <w:vertAlign w:val="subscript"/>
        </w:rPr>
        <w:t>q,t</w:t>
      </w:r>
      <w:r>
        <w:rPr>
          <w:rFonts w:ascii="Times New Roman" w:hAnsi="Times New Roman" w:cs="Times New Roman"/>
        </w:rPr>
        <w:t xml:space="preserve"> + 2</w:t>
      </w:r>
      <w:r>
        <w:rPr>
          <w:rFonts w:ascii="Times New Roman" w:hAnsi="Times New Roman" w:cs="Times New Roman"/>
          <w:i/>
          <w:iCs/>
        </w:rPr>
        <w:t>η</w:t>
      </w:r>
      <w:r>
        <w:rPr>
          <w:rFonts w:ascii="Times New Roman" w:hAnsi="Times New Roman" w:cs="Times New Roman"/>
          <w:i/>
          <w:iCs/>
          <w:vertAlign w:val="subscript"/>
        </w:rPr>
        <w:t>q,t</w:t>
      </w:r>
      <w:r>
        <w:rPr>
          <w:rFonts w:ascii="Times New Roman" w:hAnsi="Times New Roman" w:cs="Times New Roman"/>
        </w:rPr>
        <w:t xml:space="preserve"> · </w:t>
      </w:r>
      <w:r>
        <w:rPr>
          <w:rFonts w:ascii="Times New Roman" w:hAnsi="Times New Roman" w:cs="Times New Roman"/>
          <w:i/>
          <w:iCs/>
        </w:rPr>
        <w:t>u</w:t>
      </w:r>
      <w:r>
        <w:rPr>
          <w:rFonts w:ascii="Times New Roman" w:hAnsi="Times New Roman" w:cs="Times New Roman"/>
          <w:i/>
          <w:iCs/>
          <w:vertAlign w:val="subscript"/>
        </w:rPr>
        <w:t>n,t</w:t>
      </w:r>
      <w:r>
        <w:rPr>
          <w:rFonts w:ascii="Times New Roman" w:hAnsi="Times New Roman" w:cs="Times New Roman"/>
        </w:rPr>
        <w:t>)</w:t>
      </w:r>
      <w:r>
        <w:rPr>
          <w:rFonts w:ascii="Times New Roman" w:hAnsi="Times New Roman" w:cs="Times New Roman"/>
        </w:rPr>
        <w:tab/>
        <w:t>(6)</w:t>
      </w:r>
    </w:p>
    <w:p w14:paraId="448730E3" w14:textId="26F1ECC2" w:rsidR="004E54E6" w:rsidRPr="004E54E6" w:rsidRDefault="00FC05CD" w:rsidP="004E54E6">
      <w:pPr>
        <w:pStyle w:val="a3"/>
        <w:rPr>
          <w:lang w:val="en-US"/>
        </w:rPr>
      </w:pPr>
      <w:r>
        <w:rPr>
          <w:lang w:val="en-US"/>
        </w:rPr>
        <w:t>In the equation,</w:t>
      </w:r>
      <w:r w:rsidR="004E54E6" w:rsidRPr="004E54E6">
        <w:rPr>
          <w:lang w:val="en-US"/>
        </w:rPr>
        <w:t xml:space="preserve"> </w:t>
      </w:r>
      <m:oMath>
        <m:r>
          <w:rPr>
            <w:rFonts w:ascii="Cambria Math" w:hAnsi="Cambria Math"/>
            <w:lang w:val="en-US"/>
          </w:rPr>
          <m:t>q</m:t>
        </m:r>
      </m:oMath>
      <w:r w:rsidR="000F1145">
        <w:rPr>
          <w:rFonts w:hint="eastAsia"/>
          <w:lang w:val="en-US" w:eastAsia="zh-CN"/>
        </w:rPr>
        <w:t xml:space="preserve"> </w:t>
      </w:r>
      <w:r w:rsidR="004E54E6" w:rsidRPr="004E54E6">
        <w:rPr>
          <w:lang w:val="en-US"/>
        </w:rPr>
        <w:t xml:space="preserve">denotes the typical-day scenario, </w:t>
      </w:r>
      <m:oMath>
        <m:r>
          <w:rPr>
            <w:rFonts w:ascii="Cambria Math" w:hAnsi="Cambria Math"/>
            <w:lang w:val="en-US"/>
          </w:rPr>
          <m:t>n</m:t>
        </m:r>
      </m:oMath>
      <w:r w:rsidR="000F1145">
        <w:rPr>
          <w:rFonts w:hint="eastAsia"/>
          <w:lang w:val="en-US" w:eastAsia="zh-CN"/>
        </w:rPr>
        <w:t xml:space="preserve"> </w:t>
      </w:r>
      <w:r w:rsidR="004E54E6" w:rsidRPr="004E54E6">
        <w:rPr>
          <w:lang w:val="en-US"/>
        </w:rPr>
        <w:t xml:space="preserve">denotes the Latin Hypercube sample, and </w:t>
      </w:r>
      <m:oMath>
        <m:r>
          <w:rPr>
            <w:rFonts w:ascii="Cambria Math" w:hAnsi="Cambria Math"/>
            <w:lang w:val="en-US"/>
          </w:rPr>
          <m:t>t</m:t>
        </m:r>
      </m:oMath>
      <w:r w:rsidR="000F1145">
        <w:rPr>
          <w:rFonts w:hint="eastAsia"/>
          <w:lang w:val="en-US" w:eastAsia="zh-CN"/>
        </w:rPr>
        <w:t xml:space="preserve"> </w:t>
      </w:r>
      <w:r w:rsidR="004E54E6" w:rsidRPr="004E54E6">
        <w:rPr>
          <w:lang w:val="en-US"/>
        </w:rPr>
        <w:t xml:space="preserve">denotes the time period. </w:t>
      </w:r>
      <m:oMath>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q,</m:t>
            </m:r>
            <m:r>
              <m:rPr>
                <m:sty m:val="p"/>
              </m:rPr>
              <w:rPr>
                <w:rFonts w:ascii="Cambria Math" w:hAnsi="Cambria Math"/>
                <w:lang w:val="en-US"/>
              </w:rPr>
              <m:t>min</m:t>
            </m:r>
            <m:r>
              <w:rPr>
                <w:rFonts w:ascii="Cambria Math" w:hAnsi="Cambria Math"/>
                <w:lang w:val="en-US"/>
              </w:rPr>
              <m:t>⁡</m:t>
            </m:r>
          </m:sub>
        </m:sSub>
      </m:oMath>
      <w:r w:rsidR="000F1145">
        <w:rPr>
          <w:rFonts w:hint="eastAsia"/>
          <w:lang w:val="en-US" w:eastAsia="zh-CN"/>
        </w:rPr>
        <w:t xml:space="preserve"> </w:t>
      </w:r>
      <w:r w:rsidR="004E54E6" w:rsidRPr="004E54E6">
        <w:rPr>
          <w:lang w:val="en-US"/>
        </w:rPr>
        <w:t xml:space="preserve">and </w:t>
      </w:r>
      <m:oMath>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q,</m:t>
            </m:r>
            <m:r>
              <m:rPr>
                <m:sty m:val="p"/>
              </m:rPr>
              <w:rPr>
                <w:rFonts w:ascii="Cambria Math" w:hAnsi="Cambria Math"/>
                <w:lang w:val="en-US"/>
              </w:rPr>
              <m:t>max</m:t>
            </m:r>
            <m:r>
              <w:rPr>
                <w:rFonts w:ascii="Cambria Math" w:hAnsi="Cambria Math"/>
                <w:lang w:val="en-US"/>
              </w:rPr>
              <m:t>⁡</m:t>
            </m:r>
          </m:sub>
        </m:sSub>
      </m:oMath>
      <w:r w:rsidR="000F1145">
        <w:rPr>
          <w:rFonts w:hint="eastAsia"/>
          <w:lang w:val="en-US" w:eastAsia="zh-CN"/>
        </w:rPr>
        <w:t xml:space="preserve"> </w:t>
      </w:r>
      <w:r w:rsidR="004E54E6" w:rsidRPr="004E54E6">
        <w:rPr>
          <w:lang w:val="en-US"/>
        </w:rPr>
        <w:t xml:space="preserve">are the lower and upper participation bounds under scenario </w:t>
      </w:r>
      <m:oMath>
        <m:r>
          <w:rPr>
            <w:rFonts w:ascii="Cambria Math" w:hAnsi="Cambria Math"/>
            <w:lang w:val="en-US"/>
          </w:rPr>
          <m:t>q</m:t>
        </m:r>
      </m:oMath>
      <w:r w:rsidR="004E54E6" w:rsidRPr="004E54E6">
        <w:rPr>
          <w:lang w:val="en-US"/>
        </w:rPr>
        <w:t xml:space="preserve">, </w:t>
      </w:r>
      <m:oMath>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q,t</m:t>
            </m:r>
          </m:sub>
          <m:sup>
            <m:r>
              <m:rPr>
                <m:sty m:val="p"/>
              </m:rPr>
              <w:rPr>
                <w:rFonts w:ascii="Cambria Math" w:hAnsi="Cambria Math"/>
                <w:lang w:val="en-US"/>
              </w:rPr>
              <m:t>ref</m:t>
            </m:r>
          </m:sup>
        </m:sSubSup>
      </m:oMath>
      <w:r w:rsidR="000F1145">
        <w:rPr>
          <w:rFonts w:hint="eastAsia"/>
          <w:lang w:val="en-US" w:eastAsia="zh-CN"/>
        </w:rPr>
        <w:t xml:space="preserve"> </w:t>
      </w:r>
      <w:r w:rsidR="004E54E6" w:rsidRPr="004E54E6">
        <w:rPr>
          <w:lang w:val="en-US"/>
        </w:rPr>
        <w:t xml:space="preserve">is the reference tariff, and </w:t>
      </w:r>
      <m:oMath>
        <m:sSub>
          <m:sSubPr>
            <m:ctrlPr>
              <w:rPr>
                <w:rFonts w:ascii="Cambria Math" w:hAnsi="Cambria Math"/>
                <w:lang w:val="en-US"/>
              </w:rPr>
            </m:ctrlPr>
          </m:sSubPr>
          <m:e>
            <m:r>
              <w:rPr>
                <w:rFonts w:ascii="Cambria Math" w:hAnsi="Cambria Math"/>
                <w:lang w:val="en-US"/>
              </w:rPr>
              <m:t>η</m:t>
            </m:r>
          </m:e>
          <m:sub>
            <m:r>
              <w:rPr>
                <w:rFonts w:ascii="Cambria Math" w:hAnsi="Cambria Math"/>
                <w:lang w:val="en-US"/>
              </w:rPr>
              <m:t>q,t</m:t>
            </m:r>
          </m:sub>
        </m:sSub>
      </m:oMath>
      <w:r w:rsidR="000F1145">
        <w:rPr>
          <w:rFonts w:hint="eastAsia"/>
          <w:lang w:val="en-US" w:eastAsia="zh-CN"/>
        </w:rPr>
        <w:t xml:space="preserve"> </w:t>
      </w:r>
      <w:r w:rsidR="004E54E6" w:rsidRPr="004E54E6">
        <w:rPr>
          <w:lang w:val="en-US"/>
        </w:rPr>
        <w:t xml:space="preserve">is the tariff fluctuation coefficient. The expression for </w:t>
      </w:r>
      <m:oMath>
        <m:sSub>
          <m:sSubPr>
            <m:ctrlPr>
              <w:rPr>
                <w:rFonts w:ascii="Cambria Math" w:hAnsi="Cambria Math"/>
                <w:lang w:val="en-US"/>
              </w:rPr>
            </m:ctrlPr>
          </m:sSubPr>
          <m:e>
            <m:r>
              <w:rPr>
                <w:rFonts w:ascii="Cambria Math" w:hAnsi="Cambria Math"/>
                <w:lang w:val="en-US"/>
              </w:rPr>
              <m:t>c</m:t>
            </m:r>
          </m:e>
          <m:sub>
            <m:r>
              <w:rPr>
                <w:rFonts w:ascii="Cambria Math" w:hAnsi="Cambria Math"/>
                <w:lang w:val="en-US"/>
              </w:rPr>
              <m:t>q,n,t</m:t>
            </m:r>
          </m:sub>
        </m:sSub>
      </m:oMath>
      <w:r w:rsidR="000F1145">
        <w:rPr>
          <w:rFonts w:hint="eastAsia"/>
          <w:lang w:val="en-US" w:eastAsia="zh-CN"/>
        </w:rPr>
        <w:t xml:space="preserve"> </w:t>
      </w:r>
      <w:r w:rsidR="004E54E6" w:rsidRPr="004E54E6">
        <w:rPr>
          <w:lang w:val="en-US"/>
        </w:rPr>
        <w:t>allows the real-time tariff to vary within an asymmetric scenario-dependent band around the reference tariff.</w:t>
      </w:r>
    </w:p>
    <w:p w14:paraId="116B4012" w14:textId="66E8AFFA" w:rsidR="004E54E6" w:rsidRPr="004E54E6" w:rsidRDefault="004E54E6" w:rsidP="004E54E6">
      <w:pPr>
        <w:pStyle w:val="a3"/>
        <w:rPr>
          <w:lang w:val="en-US"/>
        </w:rPr>
      </w:pPr>
      <w:r w:rsidRPr="004E54E6">
        <w:rPr>
          <w:lang w:val="en-US"/>
        </w:rPr>
        <w:t xml:space="preserve">Second, for each sample </w:t>
      </w:r>
      <m:oMath>
        <m:r>
          <w:rPr>
            <w:rFonts w:ascii="Cambria Math" w:hAnsi="Cambria Math"/>
            <w:lang w:val="en-US"/>
          </w:rPr>
          <m:t>n</m:t>
        </m:r>
      </m:oMath>
      <w:r w:rsidRPr="004E54E6">
        <w:rPr>
          <w:lang w:val="en-US"/>
        </w:rPr>
        <w:t>, the per-unit tariff deviation is calculated as</w:t>
      </w:r>
    </w:p>
    <w:p w14:paraId="6EEE0002" w14:textId="77777777" w:rsidR="00551D25" w:rsidRDefault="00000000">
      <w:pPr>
        <w:pStyle w:val="equation"/>
        <w:rPr>
          <w:rFonts w:ascii="Times New Roman" w:hAnsi="Times New Roman" w:cs="Times New Roman"/>
        </w:rPr>
      </w:pPr>
      <w:r>
        <w:rPr>
          <w:rFonts w:ascii="Times New Roman" w:hAnsi="Times New Roman" w:cs="Times New Roman"/>
        </w:rPr>
        <w:tab/>
      </w:r>
      <w:r>
        <w:rPr>
          <w:rFonts w:ascii="Times New Roman" w:hAnsi="Times New Roman" w:cs="Times New Roman"/>
          <w:i/>
          <w:iCs/>
        </w:rPr>
        <w:t>r</w:t>
      </w:r>
      <w:r>
        <w:rPr>
          <w:rFonts w:ascii="Times New Roman" w:hAnsi="Times New Roman" w:cs="Times New Roman"/>
          <w:i/>
          <w:iCs/>
          <w:vertAlign w:val="subscript"/>
        </w:rPr>
        <w:t>q,n,t</w:t>
      </w:r>
      <w:r>
        <w:rPr>
          <w:rFonts w:ascii="Times New Roman" w:hAnsi="Times New Roman" w:cs="Times New Roman"/>
        </w:rPr>
        <w:t xml:space="preserve"> = (</w:t>
      </w:r>
      <w:r>
        <w:rPr>
          <w:rFonts w:ascii="Times New Roman" w:hAnsi="Times New Roman" w:cs="Times New Roman"/>
          <w:i/>
          <w:iCs/>
        </w:rPr>
        <w:t>c</w:t>
      </w:r>
      <w:r>
        <w:rPr>
          <w:rFonts w:ascii="Times New Roman" w:hAnsi="Times New Roman" w:cs="Times New Roman"/>
          <w:i/>
          <w:iCs/>
          <w:vertAlign w:val="subscript"/>
        </w:rPr>
        <w:t>q,n,t</w:t>
      </w:r>
      <w:r>
        <w:rPr>
          <w:rFonts w:ascii="Times New Roman" w:hAnsi="Times New Roman" w:cs="Times New Roman"/>
        </w:rPr>
        <w:t xml:space="preserve"> − </w:t>
      </w:r>
      <w:r>
        <w:rPr>
          <w:rFonts w:ascii="Times New Roman" w:hAnsi="Times New Roman" w:cs="Times New Roman"/>
          <w:i/>
          <w:iCs/>
        </w:rPr>
        <w:t>c</w:t>
      </w:r>
      <w:r>
        <w:rPr>
          <w:rFonts w:ascii="Times New Roman" w:hAnsi="Times New Roman" w:cs="Times New Roman"/>
          <w:i/>
          <w:iCs/>
          <w:vertAlign w:val="subscript"/>
        </w:rPr>
        <w:t>q,t</w:t>
      </w:r>
      <w:r>
        <w:rPr>
          <w:rFonts w:ascii="Times New Roman" w:hAnsi="Times New Roman" w:cs="Times New Roman"/>
          <w:vertAlign w:val="superscript"/>
        </w:rPr>
        <w:t>0</w:t>
      </w:r>
      <w:r>
        <w:rPr>
          <w:rFonts w:ascii="Times New Roman" w:hAnsi="Times New Roman" w:cs="Times New Roman"/>
        </w:rPr>
        <w:t xml:space="preserve">) / </w:t>
      </w:r>
      <w:r>
        <w:rPr>
          <w:rFonts w:ascii="Times New Roman" w:hAnsi="Times New Roman" w:cs="Times New Roman"/>
          <w:i/>
          <w:iCs/>
        </w:rPr>
        <w:t>c</w:t>
      </w:r>
      <w:r>
        <w:rPr>
          <w:rFonts w:ascii="Times New Roman" w:hAnsi="Times New Roman" w:cs="Times New Roman"/>
          <w:i/>
          <w:iCs/>
          <w:vertAlign w:val="subscript"/>
        </w:rPr>
        <w:t>q,t</w:t>
      </w:r>
      <w:r>
        <w:rPr>
          <w:rFonts w:ascii="Times New Roman" w:hAnsi="Times New Roman" w:cs="Times New Roman"/>
          <w:vertAlign w:val="superscript"/>
        </w:rPr>
        <w:t>0</w:t>
      </w:r>
    </w:p>
    <w:p w14:paraId="55D406E4" w14:textId="60255FDD" w:rsidR="004E54E6" w:rsidRPr="004E54E6" w:rsidRDefault="00FC05CD" w:rsidP="00FC05CD">
      <w:pPr>
        <w:pStyle w:val="a3"/>
        <w:ind w:firstLine="289"/>
        <w:rPr>
          <w:lang w:val="en-US"/>
        </w:rPr>
      </w:pPr>
      <w:r>
        <w:rPr>
          <w:lang w:val="en-US"/>
        </w:rPr>
        <w:t>In the equation,</w:t>
      </w:r>
      <w:r w:rsidR="004E54E6" w:rsidRPr="004E54E6">
        <w:rPr>
          <w:lang w:val="en-US"/>
        </w:rPr>
        <w:t xml:space="preserve"> </w:t>
      </w:r>
      <m:oMath>
        <m:sSubSup>
          <m:sSubSupPr>
            <m:ctrlPr>
              <w:rPr>
                <w:rFonts w:ascii="Cambria Math" w:hAnsi="Cambria Math"/>
                <w:lang w:val="en-US"/>
              </w:rPr>
            </m:ctrlPr>
          </m:sSubSupPr>
          <m:e>
            <m:r>
              <w:rPr>
                <w:rFonts w:ascii="Cambria Math" w:hAnsi="Cambria Math"/>
                <w:lang w:val="en-US"/>
              </w:rPr>
              <m:t>c</m:t>
            </m:r>
          </m:e>
          <m:sub>
            <m:r>
              <w:rPr>
                <w:rFonts w:ascii="Cambria Math" w:hAnsi="Cambria Math"/>
                <w:lang w:val="en-US"/>
              </w:rPr>
              <m:t>q,t</m:t>
            </m:r>
          </m:sub>
          <m:sup>
            <m:r>
              <w:rPr>
                <w:rFonts w:ascii="Cambria Math" w:hAnsi="Cambria Math"/>
                <w:lang w:val="en-US"/>
              </w:rPr>
              <m:t>0</m:t>
            </m:r>
          </m:sup>
        </m:sSubSup>
      </m:oMath>
      <w:r w:rsidR="000F1145">
        <w:rPr>
          <w:rFonts w:hint="eastAsia"/>
          <w:lang w:val="en-US" w:eastAsia="zh-CN"/>
        </w:rPr>
        <w:t xml:space="preserve"> </w:t>
      </w:r>
      <w:r w:rsidR="004E54E6" w:rsidRPr="004E54E6">
        <w:rPr>
          <w:lang w:val="en-US"/>
        </w:rPr>
        <w:t xml:space="preserve">is the baseline tariff used to define the tariff deviation. Substituting </w:t>
      </w:r>
      <m:oMath>
        <m:sSub>
          <m:sSubPr>
            <m:ctrlPr>
              <w:rPr>
                <w:rFonts w:ascii="Cambria Math" w:hAnsi="Cambria Math"/>
                <w:lang w:val="en-US"/>
              </w:rPr>
            </m:ctrlPr>
          </m:sSubPr>
          <m:e>
            <m:r>
              <w:rPr>
                <w:rFonts w:ascii="Cambria Math" w:hAnsi="Cambria Math"/>
                <w:lang w:val="en-US"/>
              </w:rPr>
              <m:t>τ</m:t>
            </m:r>
          </m:e>
          <m:sub>
            <m:r>
              <w:rPr>
                <w:rFonts w:ascii="Cambria Math" w:hAnsi="Cambria Math"/>
                <w:lang w:val="en-US"/>
              </w:rPr>
              <m:t>q,n</m:t>
            </m:r>
          </m:sub>
        </m:sSub>
      </m:oMath>
      <w:r w:rsidR="000F1145">
        <w:rPr>
          <w:rFonts w:hint="eastAsia"/>
          <w:lang w:val="en-US" w:eastAsia="zh-CN"/>
        </w:rPr>
        <w:t xml:space="preserve"> </w:t>
      </w:r>
      <w:r w:rsidR="004E54E6" w:rsidRPr="004E54E6">
        <w:rPr>
          <w:lang w:val="en-US"/>
        </w:rPr>
        <w:t xml:space="preserve">and </w:t>
      </w:r>
      <m:oMath>
        <m:sSub>
          <m:sSubPr>
            <m:ctrlPr>
              <w:rPr>
                <w:rFonts w:ascii="Cambria Math" w:hAnsi="Cambria Math"/>
                <w:lang w:val="en-US"/>
              </w:rPr>
            </m:ctrlPr>
          </m:sSubPr>
          <m:e>
            <m:r>
              <m:rPr>
                <m:sty m:val="p"/>
              </m:rPr>
              <w:rPr>
                <w:rFonts w:ascii="Cambria Math" w:hAnsi="Cambria Math"/>
                <w:lang w:val="en-US"/>
              </w:rPr>
              <m:t>r</m:t>
            </m:r>
          </m:e>
          <m:sub>
            <m:r>
              <w:rPr>
                <w:rFonts w:ascii="Cambria Math" w:hAnsi="Cambria Math"/>
                <w:lang w:val="en-US"/>
              </w:rPr>
              <m:t>q,n</m:t>
            </m:r>
          </m:sub>
        </m:sSub>
      </m:oMath>
      <w:r w:rsidR="000F1145">
        <w:rPr>
          <w:rFonts w:hint="eastAsia"/>
          <w:lang w:val="en-US" w:eastAsia="zh-CN"/>
        </w:rPr>
        <w:t xml:space="preserve"> </w:t>
      </w:r>
      <w:r w:rsidR="004E54E6" w:rsidRPr="004E54E6">
        <w:rPr>
          <w:lang w:val="en-US"/>
        </w:rPr>
        <w:t xml:space="preserve">into (1) gives the candidate response </w:t>
      </w:r>
      <m:oMath>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P</m:t>
            </m:r>
          </m:e>
          <m:sub>
            <m:r>
              <w:rPr>
                <w:rFonts w:ascii="Cambria Math" w:hAnsi="Cambria Math"/>
                <w:lang w:val="en-US"/>
              </w:rPr>
              <m:t>q,n,t</m:t>
            </m:r>
          </m:sub>
        </m:sSub>
      </m:oMath>
      <w:r w:rsidR="004E54E6" w:rsidRPr="004E54E6">
        <w:rPr>
          <w:lang w:val="en-US"/>
        </w:rPr>
        <w:t xml:space="preserve">. The physical constraints in (3) and (4) are then evaluated for each candidate trajectory. Samples that satisfy both constraints form the kept set </w:t>
      </w:r>
      <m:oMath>
        <m:sSub>
          <m:sSubPr>
            <m:ctrlPr>
              <w:rPr>
                <w:rFonts w:ascii="Cambria Math" w:hAnsi="Cambria Math"/>
                <w:lang w:val="en-US"/>
              </w:rPr>
            </m:ctrlPr>
          </m:sSubPr>
          <m:e>
            <m:r>
              <m:rPr>
                <m:scr m:val="script"/>
              </m:rPr>
              <w:rPr>
                <w:rFonts w:ascii="Cambria Math" w:hAnsi="Cambria Math"/>
                <w:lang w:val="en-US"/>
              </w:rPr>
              <m:t>K</m:t>
            </m:r>
          </m:e>
          <m:sub>
            <m:r>
              <w:rPr>
                <w:rFonts w:ascii="Cambria Math" w:hAnsi="Cambria Math"/>
                <w:lang w:val="en-US"/>
              </w:rPr>
              <m:t>q</m:t>
            </m:r>
          </m:sub>
        </m:sSub>
      </m:oMath>
      <w:r w:rsidR="004E54E6" w:rsidRPr="004E54E6">
        <w:rPr>
          <w:lang w:val="en-US"/>
        </w:rPr>
        <w:t>.</w:t>
      </w:r>
    </w:p>
    <w:p w14:paraId="42192C99" w14:textId="77777777" w:rsidR="004E54E6" w:rsidRPr="004E54E6" w:rsidRDefault="004E54E6" w:rsidP="004E54E6">
      <w:pPr>
        <w:pStyle w:val="a3"/>
        <w:rPr>
          <w:lang w:val="en-US"/>
        </w:rPr>
      </w:pPr>
      <w:r w:rsidRPr="004E54E6">
        <w:rPr>
          <w:lang w:val="en-US"/>
        </w:rPr>
        <w:t>Third, the lower and upper response envelopes are obtained by taking the extrema over the kept samples:</w:t>
      </w:r>
    </w:p>
    <w:p w14:paraId="6EEE0003" w14:textId="77777777" w:rsidR="00551D25" w:rsidRDefault="00000000">
      <w:pPr>
        <w:pStyle w:val="equation"/>
        <w:rPr>
          <w:rFonts w:ascii="Times New Roman" w:hAnsi="Times New Roman" w:cs="Times New Roman"/>
        </w:rPr>
      </w:pPr>
      <w:r>
        <w:rPr>
          <w:rFonts w:ascii="Times New Roman" w:hAnsi="Times New Roman" w:cs="Times New Roman"/>
        </w:rPr>
        <w:tab/>
      </w:r>
      <w:r>
        <w:rPr>
          <w:rFonts w:ascii="Times New Roman" w:hAnsi="Times New Roman" w:cs="Times New Roman"/>
          <w:i/>
          <w:iCs/>
        </w:rPr>
        <w:t>ΔP</w:t>
      </w:r>
      <w:r>
        <w:rPr>
          <w:rFonts w:ascii="Times New Roman" w:hAnsi="Times New Roman" w:cs="Times New Roman"/>
          <w:i/>
          <w:iCs/>
          <w:vertAlign w:val="subscript"/>
        </w:rPr>
        <w:t>q</w:t>
      </w:r>
      <w:r>
        <w:rPr>
          <w:rFonts w:ascii="Times New Roman" w:hAnsi="Times New Roman" w:cs="Times New Roman"/>
          <w:vertAlign w:val="superscript"/>
        </w:rPr>
        <w:t>L</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rPr>
        <w:t>min</w:t>
      </w:r>
      <w:r>
        <w:rPr>
          <w:rFonts w:ascii="Times New Roman" w:hAnsi="Times New Roman" w:cs="Times New Roman"/>
          <w:i/>
          <w:iCs/>
          <w:vertAlign w:val="subscript"/>
        </w:rPr>
        <w:t>n∈</w:t>
      </w:r>
      <w:r>
        <w:rPr>
          <w:rFonts w:ascii="Times New Roman" w:hAnsi="Times New Roman" w:cs="Times New Roman"/>
          <w:i/>
          <w:iCs/>
          <w:vertAlign w:val="subscript"/>
        </w:rPr>
        <w:t>K</w:t>
      </w:r>
      <w:r>
        <w:rPr>
          <w:rFonts w:ascii="Times New Roman" w:hAnsi="Times New Roman" w:cs="Times New Roman"/>
          <w:i/>
          <w:iCs/>
          <w:vertAlign w:val="subscript"/>
        </w:rPr>
        <w:t>q</w:t>
      </w:r>
      <w:r>
        <w:rPr>
          <w:rFonts w:ascii="Times New Roman" w:hAnsi="Times New Roman" w:cs="Times New Roman"/>
        </w:rPr>
        <w:t xml:space="preserve"> </w:t>
      </w:r>
      <w:r>
        <w:rPr>
          <w:rFonts w:ascii="Times New Roman" w:hAnsi="Times New Roman" w:cs="Times New Roman"/>
          <w:i/>
          <w:iCs/>
        </w:rPr>
        <w:t>ΔP</w:t>
      </w:r>
      <w:r>
        <w:rPr>
          <w:rFonts w:ascii="Times New Roman" w:hAnsi="Times New Roman" w:cs="Times New Roman"/>
          <w:i/>
          <w:iCs/>
          <w:vertAlign w:val="subscript"/>
        </w:rPr>
        <w:t>q,n,t</w:t>
      </w:r>
      <w:r>
        <w:rPr>
          <w:rFonts w:ascii="Times New Roman" w:hAnsi="Times New Roman" w:cs="Times New Roman"/>
        </w:rPr>
        <w:t xml:space="preserve">,  </w:t>
      </w:r>
      <w:r>
        <w:rPr>
          <w:rFonts w:ascii="Times New Roman" w:hAnsi="Times New Roman" w:cs="Times New Roman"/>
          <w:i/>
          <w:iCs/>
        </w:rPr>
        <w:t>ΔP</w:t>
      </w:r>
      <w:r>
        <w:rPr>
          <w:rFonts w:ascii="Times New Roman" w:hAnsi="Times New Roman" w:cs="Times New Roman"/>
          <w:i/>
          <w:iCs/>
          <w:vertAlign w:val="subscript"/>
        </w:rPr>
        <w:t>q</w:t>
      </w:r>
      <w:r>
        <w:rPr>
          <w:rFonts w:ascii="Times New Roman" w:hAnsi="Times New Roman" w:cs="Times New Roman"/>
          <w:vertAlign w:val="superscript"/>
        </w:rPr>
        <w:t>U</w:t>
      </w:r>
      <w:r>
        <w:rPr>
          <w:rFonts w:ascii="Times New Roman" w:hAnsi="Times New Roman" w:cs="Times New Roman"/>
        </w:rPr>
        <w:t>(</w:t>
      </w:r>
      <w:r>
        <w:rPr>
          <w:rFonts w:ascii="Times New Roman" w:hAnsi="Times New Roman" w:cs="Times New Roman"/>
          <w:i/>
          <w:iCs/>
        </w:rPr>
        <w:t>t</w:t>
      </w:r>
      <w:r>
        <w:rPr>
          <w:rFonts w:ascii="Times New Roman" w:hAnsi="Times New Roman" w:cs="Times New Roman"/>
        </w:rPr>
        <w:t xml:space="preserve">) = </w:t>
      </w:r>
      <w:r>
        <w:rPr>
          <w:rFonts w:ascii="Times New Roman" w:hAnsi="Times New Roman" w:cs="Times New Roman"/>
        </w:rPr>
        <w:t>max</w:t>
      </w:r>
      <w:r>
        <w:rPr>
          <w:rFonts w:ascii="Times New Roman" w:hAnsi="Times New Roman" w:cs="Times New Roman"/>
          <w:i/>
          <w:iCs/>
          <w:vertAlign w:val="subscript"/>
        </w:rPr>
        <w:t>n∈</w:t>
      </w:r>
      <w:r>
        <w:rPr>
          <w:rFonts w:ascii="Times New Roman" w:hAnsi="Times New Roman" w:cs="Times New Roman"/>
          <w:i/>
          <w:iCs/>
          <w:vertAlign w:val="subscript"/>
        </w:rPr>
        <w:t>K</w:t>
      </w:r>
      <w:r>
        <w:rPr>
          <w:rFonts w:ascii="Times New Roman" w:hAnsi="Times New Roman" w:cs="Times New Roman"/>
          <w:i/>
          <w:iCs/>
          <w:vertAlign w:val="subscript"/>
        </w:rPr>
        <w:t>q</w:t>
      </w:r>
      <w:r>
        <w:rPr>
          <w:rFonts w:ascii="Times New Roman" w:hAnsi="Times New Roman" w:cs="Times New Roman"/>
        </w:rPr>
        <w:t xml:space="preserve"> </w:t>
      </w:r>
      <w:r>
        <w:rPr>
          <w:rFonts w:ascii="Times New Roman" w:hAnsi="Times New Roman" w:cs="Times New Roman"/>
          <w:i/>
          <w:iCs/>
        </w:rPr>
        <w:t>ΔP</w:t>
      </w:r>
      <w:r>
        <w:rPr>
          <w:rFonts w:ascii="Times New Roman" w:hAnsi="Times New Roman" w:cs="Times New Roman"/>
          <w:i/>
          <w:iCs/>
          <w:vertAlign w:val="subscript"/>
        </w:rPr>
        <w:t>q,n,t</w:t>
      </w:r>
      <w:r>
        <w:rPr>
          <w:rFonts w:ascii="Times New Roman" w:hAnsi="Times New Roman" w:cs="Times New Roman"/>
        </w:rPr>
        <w:tab/>
        <w:t>(7)</w:t>
      </w:r>
    </w:p>
    <w:p w14:paraId="165312FF" w14:textId="429691BB" w:rsidR="004E54E6" w:rsidRPr="004E54E6" w:rsidRDefault="00FC05CD" w:rsidP="00FC05CD">
      <w:pPr>
        <w:pStyle w:val="a3"/>
        <w:ind w:firstLine="289"/>
        <w:rPr>
          <w:lang w:val="en-US"/>
        </w:rPr>
      </w:pPr>
      <w:r>
        <w:rPr>
          <w:lang w:val="en-US"/>
        </w:rPr>
        <w:t>In the equation,</w:t>
      </w:r>
      <w:r w:rsidR="004E54E6" w:rsidRPr="004E54E6">
        <w:rPr>
          <w:lang w:val="en-US"/>
        </w:rPr>
        <w:t xml:space="preserve"> </w:t>
      </w:r>
      <m:oMath>
        <m:r>
          <m:rPr>
            <m:sty m:val="p"/>
          </m:rPr>
          <w:rPr>
            <w:rFonts w:ascii="Cambria Math" w:hAnsi="Cambria Math"/>
            <w:lang w:val="en-US"/>
          </w:rPr>
          <m:t>Δ</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q</m:t>
            </m:r>
          </m:sub>
          <m:sup>
            <m:r>
              <w:rPr>
                <w:rFonts w:ascii="Cambria Math" w:hAnsi="Cambria Math"/>
                <w:lang w:val="en-US"/>
              </w:rPr>
              <m:t>L</m:t>
            </m:r>
          </m:sup>
        </m:sSubSup>
        <m:r>
          <w:rPr>
            <w:rFonts w:ascii="Cambria Math" w:hAnsi="Cambria Math"/>
            <w:lang w:val="en-US"/>
          </w:rPr>
          <m:t>(t)</m:t>
        </m:r>
      </m:oMath>
      <w:r w:rsidR="004E54E6" w:rsidRPr="004E54E6">
        <w:rPr>
          <w:lang w:val="en-US"/>
        </w:rPr>
        <w:t xml:space="preserve">and </w:t>
      </w:r>
      <m:oMath>
        <m:r>
          <m:rPr>
            <m:sty m:val="p"/>
          </m:rPr>
          <w:rPr>
            <w:rFonts w:ascii="Cambria Math" w:hAnsi="Cambria Math"/>
            <w:lang w:val="en-US"/>
          </w:rPr>
          <m:t>Δ</m:t>
        </m:r>
        <m:sSubSup>
          <m:sSubSupPr>
            <m:ctrlPr>
              <w:rPr>
                <w:rFonts w:ascii="Cambria Math" w:hAnsi="Cambria Math"/>
                <w:lang w:val="en-US"/>
              </w:rPr>
            </m:ctrlPr>
          </m:sSubSupPr>
          <m:e>
            <m:r>
              <w:rPr>
                <w:rFonts w:ascii="Cambria Math" w:hAnsi="Cambria Math"/>
                <w:lang w:val="en-US"/>
              </w:rPr>
              <m:t>P</m:t>
            </m:r>
          </m:e>
          <m:sub>
            <m:r>
              <w:rPr>
                <w:rFonts w:ascii="Cambria Math" w:hAnsi="Cambria Math"/>
                <w:lang w:val="en-US"/>
              </w:rPr>
              <m:t>q</m:t>
            </m:r>
          </m:sub>
          <m:sup>
            <m:r>
              <w:rPr>
                <w:rFonts w:ascii="Cambria Math" w:hAnsi="Cambria Math"/>
                <w:lang w:val="en-US"/>
              </w:rPr>
              <m:t>U</m:t>
            </m:r>
          </m:sup>
        </m:sSubSup>
        <m:r>
          <w:rPr>
            <w:rFonts w:ascii="Cambria Math" w:hAnsi="Cambria Math"/>
            <w:lang w:val="en-US"/>
          </w:rPr>
          <m:t>(t)</m:t>
        </m:r>
      </m:oMath>
      <w:r w:rsidR="004E54E6" w:rsidRPr="004E54E6">
        <w:rPr>
          <w:lang w:val="en-US"/>
        </w:rPr>
        <w:t xml:space="preserve">are the lower and upper bounds of the DR response at period </w:t>
      </w:r>
      <m:oMath>
        <m:r>
          <w:rPr>
            <w:rFonts w:ascii="Cambria Math" w:hAnsi="Cambria Math"/>
            <w:lang w:val="en-US"/>
          </w:rPr>
          <m:t>t</m:t>
        </m:r>
      </m:oMath>
      <w:r w:rsidR="004E54E6" w:rsidRPr="004E54E6">
        <w:rPr>
          <w:lang w:val="en-US"/>
        </w:rPr>
        <w:t xml:space="preserve">under scenario </w:t>
      </w:r>
      <m:oMath>
        <m:r>
          <w:rPr>
            <w:rFonts w:ascii="Cambria Math" w:hAnsi="Cambria Math"/>
            <w:lang w:val="en-US"/>
          </w:rPr>
          <m:t>q</m:t>
        </m:r>
      </m:oMath>
      <w:r w:rsidR="004E54E6" w:rsidRPr="004E54E6">
        <w:rPr>
          <w:lang w:val="en-US"/>
        </w:rPr>
        <w:t>, respectively. The rejection rate is finally calculated as</w:t>
      </w:r>
    </w:p>
    <w:p w14:paraId="6EEE0004" w14:textId="77777777" w:rsidR="00551D25" w:rsidRDefault="00000000">
      <w:pPr>
        <w:pStyle w:val="equation"/>
        <w:rPr>
          <w:rFonts w:ascii="Times New Roman" w:hAnsi="Times New Roman" w:cs="Times New Roman"/>
        </w:rPr>
      </w:pPr>
      <w:r>
        <w:rPr>
          <w:rFonts w:ascii="Times New Roman" w:hAnsi="Times New Roman" w:cs="Times New Roman"/>
        </w:rPr>
        <w:tab/>
      </w:r>
      <w:r>
        <w:rPr>
          <w:rFonts w:ascii="Times New Roman" w:hAnsi="Times New Roman" w:cs="Times New Roman"/>
          <w:i/>
          <w:iCs/>
        </w:rPr>
        <w:t>ρ</w:t>
      </w:r>
      <w:r>
        <w:rPr>
          <w:rFonts w:ascii="Times New Roman" w:hAnsi="Times New Roman" w:cs="Times New Roman"/>
          <w:i/>
          <w:iCs/>
          <w:vertAlign w:val="subscript"/>
        </w:rPr>
        <w:t>q</w:t>
      </w:r>
      <w:r>
        <w:rPr>
          <w:rFonts w:ascii="Times New Roman" w:hAnsi="Times New Roman" w:cs="Times New Roman"/>
        </w:rPr>
        <w:t xml:space="preserve"> = 1 − |</w:t>
      </w:r>
      <w:r>
        <w:rPr>
          <w:rFonts w:ascii="Times New Roman" w:hAnsi="Times New Roman" w:cs="Times New Roman"/>
          <w:i/>
          <w:iCs/>
        </w:rPr>
        <w:t>K</w:t>
      </w:r>
      <w:r>
        <w:rPr>
          <w:rFonts w:ascii="Times New Roman" w:hAnsi="Times New Roman" w:cs="Times New Roman"/>
          <w:i/>
          <w:iCs/>
          <w:vertAlign w:val="subscript"/>
        </w:rPr>
        <w:t>q</w:t>
      </w:r>
      <w:r>
        <w:rPr>
          <w:rFonts w:ascii="Times New Roman" w:hAnsi="Times New Roman" w:cs="Times New Roman"/>
        </w:rPr>
        <w:t xml:space="preserve">| / </w:t>
      </w:r>
      <w:r>
        <w:rPr>
          <w:rFonts w:ascii="Times New Roman" w:hAnsi="Times New Roman" w:cs="Times New Roman"/>
          <w:i/>
          <w:iCs/>
        </w:rPr>
        <w:t>N</w:t>
      </w:r>
      <w:r>
        <w:rPr>
          <w:rFonts w:ascii="Times New Roman" w:hAnsi="Times New Roman" w:cs="Times New Roman"/>
        </w:rPr>
        <w:tab/>
        <w:t>(8)</w:t>
      </w:r>
    </w:p>
    <w:p w14:paraId="5857ACDA" w14:textId="27827AB6" w:rsidR="00551D25" w:rsidRPr="004E54E6" w:rsidRDefault="00FC05CD" w:rsidP="00FC05CD">
      <w:pPr>
        <w:pStyle w:val="a3"/>
        <w:ind w:firstLine="289"/>
        <w:rPr>
          <w:lang w:val="en-US" w:eastAsia="zh-CN"/>
        </w:rPr>
      </w:pPr>
      <w:r>
        <w:rPr>
          <w:lang w:val="en-US"/>
        </w:rPr>
        <w:t>In the equation,</w:t>
      </w:r>
      <w:r w:rsidR="004E54E6" w:rsidRPr="004E54E6">
        <w:rPr>
          <w:lang w:val="en-US"/>
        </w:rPr>
        <w:t xml:space="preserve"> </w:t>
      </w: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q</m:t>
            </m:r>
          </m:sub>
        </m:sSub>
      </m:oMath>
      <w:r w:rsidR="000E694A">
        <w:rPr>
          <w:rFonts w:hint="eastAsia"/>
          <w:lang w:val="en-US" w:eastAsia="zh-CN"/>
        </w:rPr>
        <w:t xml:space="preserve"> </w:t>
      </w:r>
      <w:r w:rsidR="004E54E6" w:rsidRPr="004E54E6">
        <w:rPr>
          <w:lang w:val="en-US"/>
        </w:rPr>
        <w:t xml:space="preserve">measures the proportion of sampled trajectories that are removed by the magnitude limit and energy conservation filter. A higher value of </w:t>
      </w:r>
      <m:oMath>
        <m:sSub>
          <m:sSubPr>
            <m:ctrlPr>
              <w:rPr>
                <w:rFonts w:ascii="Cambria Math" w:hAnsi="Cambria Math"/>
                <w:lang w:val="en-US"/>
              </w:rPr>
            </m:ctrlPr>
          </m:sSubPr>
          <m:e>
            <m:r>
              <w:rPr>
                <w:rFonts w:ascii="Cambria Math" w:hAnsi="Cambria Math"/>
                <w:lang w:val="en-US"/>
              </w:rPr>
              <m:t>ρ</m:t>
            </m:r>
          </m:e>
          <m:sub>
            <m:r>
              <w:rPr>
                <w:rFonts w:ascii="Cambria Math" w:hAnsi="Cambria Math"/>
                <w:lang w:val="en-US"/>
              </w:rPr>
              <m:t>q</m:t>
            </m:r>
          </m:sub>
        </m:sSub>
      </m:oMath>
      <w:r w:rsidR="004E54E6" w:rsidRPr="004E54E6">
        <w:rPr>
          <w:lang w:val="en-US"/>
        </w:rPr>
        <w:t>indicates that the initial participation-tariff bounds generate more physically infeasible response trajectories.</w:t>
      </w:r>
    </w:p>
    <w:p w14:paraId="368F139E" w14:textId="77777777" w:rsidR="00551D25" w:rsidRDefault="00000000">
      <w:pPr>
        <w:pStyle w:val="1"/>
      </w:pPr>
      <w:r>
        <w:t>Case Study</w:t>
      </w:r>
    </w:p>
    <w:p w14:paraId="29F067DF" w14:textId="77777777" w:rsidR="00551D25" w:rsidRDefault="00000000">
      <w:pPr>
        <w:pStyle w:val="2"/>
      </w:pPr>
      <w:r>
        <w:t>Test System and Parameter Setting</w:t>
      </w:r>
    </w:p>
    <w:p w14:paraId="06CD96D4" w14:textId="49F1778F" w:rsidR="00551D25" w:rsidRDefault="00000000">
      <w:pPr>
        <w:pStyle w:val="a3"/>
      </w:pPr>
      <w:r>
        <w:t xml:space="preserve">The proposed model is evaluated on a modified IEEE 33-bus distribution system in which four tie lines have been added so </w:t>
      </w:r>
      <w:r>
        <w:lastRenderedPageBreak/>
        <w:t xml:space="preserve">that the network supports both radial and meshed operation; the network topology is preserved for follow-up power-flow studies and is not exercised in the present interval model. The system base voltage is 12.66 kV and the base power is 10 MVA. The DR resource is attached at node 30, </w:t>
      </w:r>
      <w:r w:rsidR="00FC05CD">
        <w:t xml:space="preserve">where the base load profile is a synthesi</w:t>
      </w:r>
      <w:r w:rsidR="00663D48">
        <w:rPr>
          <w:rFonts w:hint="eastAsia"/>
          <w:lang w:eastAsia="zh-CN"/>
        </w:rPr>
        <w:t>z</w:t>
      </w:r>
      <w:r>
        <w:t xml:space="preserve">ed residential daily curve that captures the morning shoulder around 07:00-09:00, a midday plateau driven by air-conditioning in summer, a sharp evening peak with asymmetric ramp-on/ramp-off, and a small post-peak rebound; the summer peak demand is approximately 0.85 MW. Three typical-day scenarios are defined to represent summer peak, winter peak, and shoulder-season conditions, each with its own base load profile, reference tariff curve, and participation/tariff bounds. The annual day-count weights are 90, 90, and 185, respectively. The single-period magnitude cap is set to 30 percent of the base load and the cycle-energy tolerance is 5 percent of the cumulative absolute </w:t>
      </w:r>
      <w:proofErr w:type="spellStart"/>
      <w:r>
        <w:t>response.</w:t>
      </w:r>
      <w:r w:rsidR="00F45D16">
        <w:t>The</w:t>
      </w:r>
      <w:proofErr w:type="spellEnd"/>
      <w:r w:rsidR="00F45D16">
        <w:t xml:space="preserve"> Latin Hypercube sample size [14] is </w:t>
      </w:r>
      <m:oMath>
        <m:r>
          <w:rPr>
            <w:rFonts w:ascii="Cambria Math" w:hAnsi="Cambria Math"/>
          </w:rPr>
          <m:t>N=2000</m:t>
        </m:r>
      </m:oMath>
      <w:r w:rsidR="00F45D16">
        <w:t xml:space="preserve">, and the participation rate is sampled within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τ</m:t>
                </m:r>
              </m:e>
              <m:sub>
                <m:r>
                  <m:rPr>
                    <m:sty m:val="p"/>
                  </m:rPr>
                  <w:rPr>
                    <w:rFonts w:ascii="Cambria Math" w:hAnsi="Cambria Math"/>
                  </w:rPr>
                  <m:t>min</m:t>
                </m:r>
              </m:sub>
            </m:sSub>
          </m:e>
          <m:e>
            <m:sSub>
              <m:sSubPr>
                <m:ctrlPr>
                  <w:rPr>
                    <w:rFonts w:ascii="Cambria Math" w:hAnsi="Cambria Math"/>
                  </w:rPr>
                </m:ctrlPr>
              </m:sSubPr>
              <m:e>
                <m:r>
                  <w:rPr>
                    <w:rFonts w:ascii="Cambria Math" w:hAnsi="Cambria Math"/>
                  </w:rPr>
                  <m:t>τ</m:t>
                </m:r>
              </m:e>
              <m:sub>
                <m:r>
                  <m:rPr>
                    <m:sty m:val="p"/>
                  </m:rPr>
                  <w:rPr>
                    <w:rFonts w:ascii="Cambria Math" w:hAnsi="Cambria Math"/>
                  </w:rPr>
                  <m:t>max</m:t>
                </m:r>
              </m:sub>
            </m:sSub>
          </m:e>
        </m:d>
      </m:oMath>
      <w:r w:rsidR="00F45D16">
        <w:t>according to the interval mapping in (6). The cross-elasticity matrix uses a forward-asymmetric exponential decay to represent the tendency of households to defer load rather than to advance it.</w:t>
      </w:r>
    </w:p>
    <w:p w14:paraId="04B15723" w14:textId="2A5DC843" w:rsidR="00551D25" w:rsidRDefault="00000000">
      <w:pPr>
        <w:pStyle w:val="a3"/>
      </w:pPr>
      <w:r>
        <w:t xml:space="preserve">Table I lists the scenario-dependent parameters. The participation bounds sit lowest in the shoulder season, </w:t>
      </w:r>
      <w:r w:rsidR="00FC05CD">
        <w:t xml:space="preserve">where users have lower incentives</w:t>
      </w:r>
      <w:r>
        <w:t xml:space="preserve">, to respond, and are widest in the summer when peak-valley tariff differentials are largest. The tariff fluctuation coefficient η is asymmetric, with the peak-period value 2 to 3 times the off-peak value, reflecting the wider settlement uncertainty during peak hours.</w:t>
      </w:r>
    </w:p>
    <w:p w14:paraId="2268986F" w14:textId="4CE8B719" w:rsidR="00551D25" w:rsidRDefault="00000000">
      <w:pPr>
        <w:pStyle w:val="tablehead"/>
      </w:pPr>
      <w:r>
        <w:t>Scenario Parameters for the Three Typical Days</w:t>
      </w:r>
    </w:p>
    <w:tbl>
      <w:tblPr>
        <w:tblW w:w="5000" w:type="pct"/>
        <w:jc w:val="center"/>
        <w:tblLook w:val="04A0" w:firstRow="1" w:lastRow="0" w:firstColumn="1" w:lastColumn="0" w:noHBand="0" w:noVBand="1"/>
      </w:tblPr>
      <w:tblGrid>
        <w:gridCol w:w="2154"/>
        <w:gridCol w:w="973"/>
        <w:gridCol w:w="871"/>
        <w:gridCol w:w="1025"/>
      </w:tblGrid>
      <w:tr w:rsidR="00551D25" w14:paraId="54159B13"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1AC8F13" w14:textId="77777777" w:rsidR="00551D25" w:rsidRDefault="00000000">
            <w:pPr>
              <w:pStyle w:val="tablecolhead"/>
            </w:pPr>
            <w:r>
              <w:t>Parameter</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F9A0F1" w14:textId="77777777" w:rsidR="00551D25" w:rsidRDefault="00000000">
            <w:pPr>
              <w:pStyle w:val="tablecolhead"/>
            </w:pPr>
            <w:r>
              <w:t>Summer</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A043F9" w14:textId="77777777" w:rsidR="00551D25" w:rsidRDefault="00000000">
            <w:pPr>
              <w:pStyle w:val="tablecolhead"/>
            </w:pPr>
            <w:r>
              <w:t>Winter</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15C7C35" w14:textId="77777777" w:rsidR="00551D25" w:rsidRDefault="00000000">
            <w:pPr>
              <w:pStyle w:val="tablecolhead"/>
            </w:pPr>
            <w:r>
              <w:t>Shoulder</w:t>
            </w:r>
          </w:p>
        </w:tc>
      </w:tr>
      <w:tr w:rsidR="00551D25" w14:paraId="7A7E4D2F"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BEB0CFB" w14:textId="77777777" w:rsidR="00551D25" w:rsidRDefault="00000000">
            <w:pPr>
              <w:pStyle w:val="tablecopy"/>
              <w:jc w:val="left"/>
            </w:pPr>
            <w:r>
              <w:t>Days / year</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35DDFC2" w14:textId="77777777" w:rsidR="00551D25" w:rsidRDefault="00000000">
            <w:pPr>
              <w:pStyle w:val="tablecopy"/>
              <w:jc w:val="center"/>
            </w:pPr>
            <w:r>
              <w:t>90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35E08DE" w14:textId="77777777" w:rsidR="00551D25" w:rsidRDefault="00000000">
            <w:pPr>
              <w:pStyle w:val="tablecopy"/>
              <w:jc w:val="center"/>
            </w:pPr>
            <w:r>
              <w:t>90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986FBFF" w14:textId="77777777" w:rsidR="00551D25" w:rsidRDefault="00000000">
            <w:pPr>
              <w:pStyle w:val="tablecopy"/>
              <w:jc w:val="center"/>
            </w:pPr>
            <w:r>
              <w:t>185</w:t>
            </w:r>
          </w:p>
        </w:tc>
      </w:tr>
      <w:tr w:rsidR="00551D25" w14:paraId="5E2C7508"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A640553" w14:textId="77777777" w:rsidR="00551D25" w:rsidRDefault="00000000">
            <w:pPr>
              <w:pStyle w:val="tablecopy"/>
              <w:jc w:val="left"/>
            </w:pPr>
            <w:r>
              <w:t>Peak base load (MW)</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2D27BB" w14:textId="77777777" w:rsidR="00551D25" w:rsidRDefault="00000000">
            <w:pPr>
              <w:pStyle w:val="tablecopy"/>
              <w:jc w:val="center"/>
            </w:pPr>
            <w:r>
              <w:t>0.85</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159FDF6" w14:textId="77777777" w:rsidR="00551D25" w:rsidRDefault="00000000">
            <w:pPr>
              <w:pStyle w:val="tablecopy"/>
              <w:jc w:val="center"/>
            </w:pPr>
            <w:r>
              <w:t>0.72</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47095B8" w14:textId="77777777" w:rsidR="00551D25" w:rsidRDefault="00000000">
            <w:pPr>
              <w:pStyle w:val="tablecopy"/>
              <w:jc w:val="center"/>
            </w:pPr>
            <w:r>
              <w:t>0.48</w:t>
            </w:r>
          </w:p>
        </w:tc>
      </w:tr>
      <w:tr w:rsidR="00551D25" w14:paraId="752DA7CB"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A928ECB" w14:textId="77777777" w:rsidR="00551D25" w:rsidRDefault="00000000">
            <w:pPr>
              <w:pStyle w:val="tablecopy"/>
              <w:jc w:val="left"/>
            </w:pPr>
            <w:r>
              <w:t>Peak hour</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37CE840" w14:textId="77777777" w:rsidR="00551D25" w:rsidRDefault="00000000">
            <w:pPr>
              <w:pStyle w:val="tablecopy"/>
              <w:jc w:val="center"/>
            </w:pPr>
            <w:r>
              <w:t>19:00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E6A54F" w14:textId="77777777" w:rsidR="00551D25" w:rsidRDefault="00000000">
            <w:pPr>
              <w:pStyle w:val="tablecopy"/>
              <w:jc w:val="center"/>
            </w:pPr>
            <w:r>
              <w:t>18:00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0609B2B" w14:textId="77777777" w:rsidR="00551D25" w:rsidRDefault="00000000">
            <w:pPr>
              <w:pStyle w:val="tablecopy"/>
              <w:jc w:val="center"/>
            </w:pPr>
            <w:r>
              <w:t>12:00</w:t>
            </w:r>
          </w:p>
        </w:tc>
      </w:tr>
      <w:tr w:rsidR="00551D25" w14:paraId="0D978B7D"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8B1B84" w14:textId="18DE7D5E" w:rsidR="00551D25" w:rsidRPr="008D4671" w:rsidRDefault="008D4671">
            <w:pPr>
              <w:pStyle w:val="tablecopy"/>
              <w:jc w:val="left"/>
              <w:rPr>
                <w:sz w:val="20"/>
                <w:szCs w:val="20"/>
              </w:rPr>
            </w:pPr>
            <w:r w:rsidRPr="008D4671">
              <w:rPr>
                <w:i/>
                <w:iCs/>
                <w:sz w:val="20"/>
                <w:szCs w:val="20"/>
              </w:rPr>
              <w:t>τ</w:t>
            </w:r>
            <w:r w:rsidRPr="008D4671">
              <w:rPr>
                <w:sz w:val="20"/>
                <w:szCs w:val="20"/>
                <w:vertAlign w:val="subscript"/>
              </w:rPr>
              <w:t>min</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AAB9210" w14:textId="77777777" w:rsidR="00551D25" w:rsidRDefault="00000000">
            <w:pPr>
              <w:pStyle w:val="tablecopy"/>
              <w:jc w:val="center"/>
            </w:pPr>
            <w:r>
              <w:t>0.40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30F3412" w14:textId="77777777" w:rsidR="00551D25" w:rsidRDefault="00000000">
            <w:pPr>
              <w:pStyle w:val="tablecopy"/>
              <w:jc w:val="center"/>
            </w:pPr>
            <w:r>
              <w:t>0.30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94D8296" w14:textId="77777777" w:rsidR="00551D25" w:rsidRDefault="00000000">
            <w:pPr>
              <w:pStyle w:val="tablecopy"/>
              <w:jc w:val="center"/>
            </w:pPr>
            <w:r>
              <w:t>0.20</w:t>
            </w:r>
          </w:p>
        </w:tc>
      </w:tr>
      <w:tr w:rsidR="00551D25" w14:paraId="52C93740"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9CEE978" w14:textId="6A859271" w:rsidR="00551D25" w:rsidRPr="008D4671" w:rsidRDefault="008D4671">
            <w:pPr>
              <w:pStyle w:val="tablecopy"/>
              <w:jc w:val="left"/>
              <w:rPr>
                <w:sz w:val="20"/>
                <w:szCs w:val="20"/>
              </w:rPr>
            </w:pPr>
            <w:r w:rsidRPr="008D4671">
              <w:rPr>
                <w:i/>
                <w:iCs/>
                <w:sz w:val="20"/>
                <w:szCs w:val="20"/>
              </w:rPr>
              <w:t>τ</w:t>
            </w:r>
            <w:r w:rsidRPr="008D4671">
              <w:rPr>
                <w:sz w:val="20"/>
                <w:szCs w:val="20"/>
                <w:vertAlign w:val="subscript"/>
              </w:rPr>
              <w:t>max</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1DF56C4" w14:textId="77777777" w:rsidR="00551D25" w:rsidRDefault="00000000">
            <w:pPr>
              <w:pStyle w:val="tablecopy"/>
              <w:jc w:val="center"/>
            </w:pPr>
            <w:r>
              <w:t>0.70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010838E" w14:textId="77777777" w:rsidR="00551D25" w:rsidRDefault="00000000">
            <w:pPr>
              <w:pStyle w:val="tablecopy"/>
              <w:jc w:val="center"/>
            </w:pPr>
            <w:r>
              <w:t>0.50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493BD13" w14:textId="77777777" w:rsidR="00551D25" w:rsidRDefault="00000000">
            <w:pPr>
              <w:pStyle w:val="tablecopy"/>
              <w:jc w:val="center"/>
            </w:pPr>
            <w:r>
              <w:t>0.40</w:t>
            </w:r>
          </w:p>
        </w:tc>
      </w:tr>
      <w:tr w:rsidR="00551D25" w14:paraId="3FC02478"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C5978AE" w14:textId="77777777" w:rsidR="00551D25" w:rsidRDefault="00000000">
            <w:pPr>
              <w:pStyle w:val="tablecopy"/>
              <w:jc w:val="left"/>
            </w:pPr>
            <w:r w:rsidRPr="00516ABF">
              <w:rPr>
                <w:i/>
                <w:iCs/>
              </w:rPr>
              <w:t>η</w:t>
            </w:r>
            <w:r>
              <w:t xml:space="preserve"> (peak)</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776A4D" w14:textId="77777777" w:rsidR="00551D25" w:rsidRDefault="00000000">
            <w:pPr>
              <w:pStyle w:val="tablecopy"/>
              <w:jc w:val="center"/>
            </w:pPr>
            <w:r>
              <w:t>0.25</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335E391" w14:textId="77777777" w:rsidR="00551D25" w:rsidRDefault="00000000">
            <w:pPr>
              <w:pStyle w:val="tablecopy"/>
              <w:jc w:val="center"/>
            </w:pPr>
            <w:r>
              <w:t>0.20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567F21D" w14:textId="77777777" w:rsidR="00551D25" w:rsidRDefault="00000000">
            <w:pPr>
              <w:pStyle w:val="tablecopy"/>
              <w:jc w:val="center"/>
            </w:pPr>
            <w:r>
              <w:t>0.10</w:t>
            </w:r>
          </w:p>
        </w:tc>
      </w:tr>
      <w:tr w:rsidR="00551D25" w14:paraId="1E533A0F"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943E995" w14:textId="77777777" w:rsidR="00551D25" w:rsidRDefault="00000000">
            <w:pPr>
              <w:pStyle w:val="tablecopy"/>
              <w:jc w:val="left"/>
            </w:pPr>
            <w:r w:rsidRPr="00516ABF">
              <w:rPr>
                <w:i/>
                <w:iCs/>
              </w:rPr>
              <w:t>η</w:t>
            </w:r>
            <w:r>
              <w:t xml:space="preserve"> (off-peak)</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D64D8BD" w14:textId="77777777" w:rsidR="00551D25" w:rsidRDefault="00000000">
            <w:pPr>
              <w:pStyle w:val="tablecopy"/>
              <w:jc w:val="center"/>
            </w:pPr>
            <w:r>
              <w:t>0.10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DB9BCF" w14:textId="77777777" w:rsidR="00551D25" w:rsidRDefault="00000000">
            <w:pPr>
              <w:pStyle w:val="tablecopy"/>
              <w:jc w:val="center"/>
            </w:pPr>
            <w:r>
              <w:t>0.08</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3F5232C" w14:textId="77777777" w:rsidR="00551D25" w:rsidRDefault="00000000">
            <w:pPr>
              <w:pStyle w:val="tablecopy"/>
              <w:jc w:val="center"/>
            </w:pPr>
            <w:r>
              <w:t>0.05</w:t>
            </w:r>
          </w:p>
        </w:tc>
      </w:tr>
      <w:tr w:rsidR="00551D25" w14:paraId="673EA831" w14:textId="77777777" w:rsidTr="00C31465">
        <w:trPr>
          <w:jc w:val="center"/>
        </w:trPr>
        <w:tc>
          <w:tcPr>
            <w:tcW w:w="21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9E71AA7" w14:textId="77777777" w:rsidR="00551D25" w:rsidRDefault="00000000">
            <w:pPr>
              <w:pStyle w:val="tablecopy"/>
              <w:jc w:val="left"/>
            </w:pPr>
            <w:r>
              <w:t>Self-elasticity</w:t>
            </w:r>
          </w:p>
        </w:tc>
        <w:tc>
          <w:tcPr>
            <w:tcW w:w="9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1F66444" w14:textId="77777777" w:rsidR="00551D25" w:rsidRDefault="00000000">
            <w:pPr>
              <w:pStyle w:val="tablecopy"/>
              <w:jc w:val="center"/>
            </w:pPr>
            <w:r>
              <w:t>-0.30</w:t>
            </w:r>
          </w:p>
        </w:tc>
        <w:tc>
          <w:tcPr>
            <w:tcW w:w="85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471583F" w14:textId="77777777" w:rsidR="00551D25" w:rsidRDefault="00000000">
            <w:pPr>
              <w:pStyle w:val="tablecopy"/>
              <w:jc w:val="center"/>
            </w:pPr>
            <w:r>
              <w:t>-0.30</w:t>
            </w:r>
          </w:p>
        </w:tc>
        <w:tc>
          <w:tcPr>
            <w:tcW w:w="1000"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B535709" w14:textId="77777777" w:rsidR="00551D25" w:rsidRDefault="00000000">
            <w:pPr>
              <w:pStyle w:val="tablecopy"/>
              <w:jc w:val="center"/>
            </w:pPr>
            <w:r>
              <w:t>-0.30</w:t>
            </w:r>
          </w:p>
        </w:tc>
      </w:tr>
    </w:tbl>
    <w:p w14:paraId="2005C02F" w14:textId="77777777" w:rsidR="00551D25" w:rsidRDefault="00000000">
      <w:pPr>
        <w:pStyle w:val="2"/>
      </w:pPr>
      <w:r>
        <w:t>Baseline Comparison</w:t>
      </w:r>
    </w:p>
    <w:p w14:paraId="17AA9B8D" w14:textId="52C0404B" w:rsidR="00551D25" w:rsidRDefault="00F45D16">
      <w:pPr>
        <w:pStyle w:val="a3"/>
      </w:pPr>
      <w:r>
        <w:t>Three formulations are compared on the same three typical days: (a) the proposed two-driver interval with magnitude and energy conservation filters; (b) a fixed-parameter baseline in which the participation rate and tariff are set to their midpoints; and (c) an unconstrained two-driver baseline that retains the joint interval sampling but omits the energy conservation filter. For each formulation and each typical day, the response interval at the peak hour is computed, and its width is reported in Table II. Figure 1 illustrates the corresponding 24-hour interval envelopes. The probabilistic baseline is also included in Fig. 1 for visual reference and is discussed separately in Section IV-D.</w:t>
      </w:r>
    </w:p>
    <w:p w14:paraId="071E26D9" w14:textId="77777777" w:rsidR="00551D25" w:rsidRDefault="00000000">
      <w:pPr>
        <w:pStyle w:val="tablehead"/>
      </w:pPr>
      <w:r>
        <w:t>Peak-Hour DR Interval Width Comparison (MW)</w:t>
      </w:r>
    </w:p>
    <w:tbl>
      <w:tblPr>
        <w:tblW w:w="4400" w:type="dxa"/>
        <w:jc w:val="center"/>
        <w:tblLayout w:type="fixed"/>
        <w:tblLook w:val="04A0" w:firstRow="1" w:lastRow="0" w:firstColumn="1" w:lastColumn="0" w:noHBand="0" w:noVBand="1"/>
      </w:tblPr>
      <w:tblGrid>
        <w:gridCol w:w="1300"/>
        <w:gridCol w:w="1000"/>
        <w:gridCol w:w="1000"/>
        <w:gridCol w:w="1100"/>
      </w:tblGrid>
      <w:tr w:rsidR="00551D25" w14:paraId="2DEB6FCB"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AC51645" w14:textId="77777777" w:rsidR="00551D25" w:rsidRDefault="00000000">
            <w:pPr>
              <w:pStyle w:val="tablecolhead"/>
            </w:pPr>
            <w:r>
              <w:t>Scenario</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5F41AD3" w14:textId="77777777" w:rsidR="00551D25" w:rsidRDefault="00000000">
            <w:pPr>
              <w:pStyle w:val="tablecolhead"/>
            </w:pPr>
            <w:r>
              <w:t>Proposed</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0B5EE9C" w14:textId="77777777" w:rsidR="00551D25" w:rsidRDefault="00000000">
            <w:pPr>
              <w:pStyle w:val="tablecolhead"/>
            </w:pPr>
            <w:r>
              <w:t>Fixed</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E8FCE55" w14:textId="77777777" w:rsidR="00551D25" w:rsidRDefault="00000000">
            <w:pPr>
              <w:pStyle w:val="tablecolhead"/>
            </w:pPr>
            <w:r>
              <w:t>Unconstrained</w:t>
            </w:r>
          </w:p>
        </w:tc>
      </w:tr>
      <w:tr w:rsidR="00551D25" w14:paraId="79977282"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C2C7B37" w14:textId="77777777" w:rsidR="00551D25" w:rsidRDefault="00000000">
            <w:pPr>
              <w:pStyle w:val="tablecopy"/>
              <w:jc w:val="left"/>
            </w:pPr>
            <w:r>
              <w:t>Summer</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17FB6DD" w14:textId="77777777" w:rsidR="00551D25" w:rsidRDefault="00000000">
            <w:pPr>
              <w:pStyle w:val="tablecopy"/>
              <w:jc w:val="center"/>
            </w:pPr>
            <w:r>
              <w:t>0.197</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B96F381" w14:textId="77777777" w:rsidR="00551D25" w:rsidRDefault="00000000">
            <w:pPr>
              <w:pStyle w:val="tablecopy"/>
              <w:jc w:val="center"/>
            </w:pPr>
            <w:r>
              <w:t>0.027</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908970C" w14:textId="77777777" w:rsidR="00551D25" w:rsidRDefault="00000000">
            <w:pPr>
              <w:pStyle w:val="tablecopy"/>
              <w:jc w:val="center"/>
            </w:pPr>
            <w:r>
              <w:t>0.232</w:t>
            </w:r>
          </w:p>
        </w:tc>
      </w:tr>
      <w:tr w:rsidR="00551D25" w14:paraId="0D776C0A"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210EC8C" w14:textId="77777777" w:rsidR="00551D25" w:rsidRDefault="00000000">
            <w:pPr>
              <w:pStyle w:val="tablecopy"/>
              <w:jc w:val="left"/>
            </w:pPr>
            <w:r>
              <w:t>Winter</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1E4F9280" w14:textId="77777777" w:rsidR="00551D25" w:rsidRDefault="00000000">
            <w:pPr>
              <w:pStyle w:val="tablecopy"/>
              <w:jc w:val="center"/>
            </w:pPr>
            <w:r>
              <w:t>0.095</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DB3F198" w14:textId="77777777" w:rsidR="00551D25" w:rsidRDefault="00000000">
            <w:pPr>
              <w:pStyle w:val="tablecopy"/>
              <w:jc w:val="center"/>
            </w:pPr>
            <w:r>
              <w:t>0.013</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B483DCB" w14:textId="77777777" w:rsidR="00551D25" w:rsidRDefault="00000000">
            <w:pPr>
              <w:pStyle w:val="tablecopy"/>
              <w:jc w:val="center"/>
            </w:pPr>
            <w:r>
              <w:t>0.098</w:t>
            </w:r>
          </w:p>
        </w:tc>
      </w:tr>
      <w:tr w:rsidR="00551D25" w14:paraId="2C829B0E" w14:textId="77777777">
        <w:trPr>
          <w:jc w:val="center"/>
        </w:trPr>
        <w:tc>
          <w:tcPr>
            <w:tcW w:w="13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9788690" w14:textId="77777777" w:rsidR="00551D25" w:rsidRDefault="00000000">
            <w:pPr>
              <w:pStyle w:val="tablecopy"/>
              <w:jc w:val="left"/>
            </w:pPr>
            <w:r>
              <w:t>Shoulder</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CF0E5D" w14:textId="77777777" w:rsidR="00551D25" w:rsidRDefault="00000000">
            <w:pPr>
              <w:pStyle w:val="tablecopy"/>
              <w:jc w:val="center"/>
            </w:pPr>
            <w:r>
              <w:t>0.022</w:t>
            </w:r>
          </w:p>
        </w:tc>
        <w:tc>
          <w:tcPr>
            <w:tcW w:w="10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2566EDA3" w14:textId="77777777" w:rsidR="00551D25" w:rsidRDefault="00000000">
            <w:pPr>
              <w:pStyle w:val="tablecopy"/>
              <w:jc w:val="center"/>
            </w:pPr>
            <w:r>
              <w:t>0.004</w:t>
            </w:r>
          </w:p>
        </w:tc>
        <w:tc>
          <w:tcPr>
            <w:tcW w:w="1100" w:type="dxa"/>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8B7569C" w14:textId="77777777" w:rsidR="00551D25" w:rsidRDefault="00000000">
            <w:pPr>
              <w:pStyle w:val="tablecopy"/>
              <w:jc w:val="center"/>
            </w:pPr>
            <w:r>
              <w:t>0.022</w:t>
            </w:r>
          </w:p>
        </w:tc>
      </w:tr>
    </w:tbl>
    <w:p w14:paraId="28C79254" w14:textId="7BCD6B5F" w:rsidR="00551D25" w:rsidRDefault="00F45D16">
      <w:pPr>
        <w:pStyle w:val="a3"/>
      </w:pPr>
      <w:r w:rsidRPr="00F45D16">
        <w:rPr>
          <w:lang w:val="en-US"/>
        </w:rPr>
        <w:t>First,</w:t>
      </w:r>
      <w:r>
        <w:rPr>
          <w:rFonts w:hint="eastAsia"/>
          <w:lang w:val="en-US" w:eastAsia="zh-CN"/>
        </w:rPr>
        <w:t xml:space="preserve"> </w:t>
      </w:r>
      <w:r w:rsidRPr="00F45D16">
        <w:rPr>
          <w:lang w:val="en-US"/>
        </w:rPr>
        <w:t>the proposed model produces an interval that is consistently narrower than the unconstrained baseline but wider than the fixed-parameter baseline. In the summer scenario, the proposed interval is 0.197 MW, about 15 percent lower than the unconstrained value of 0.232 MW and roughly 7.3 times the fixed-parameter value of 0.027 MW. This contraction relative to the unconstrained band results from the energy conservation filter, which removes trajectories that would shift net energy out of the cycle. The expansion relative to the fixed-parameter baseline results from the joint interval drivers, which recover the epistemic spread collapsed by the midpoint formulation</w:t>
      </w:r>
      <w:r>
        <w:t>.</w:t>
      </w:r>
    </w:p>
    <w:p w14:paraId="0B455BA3" w14:textId="16EFA82C" w:rsidR="00551D25" w:rsidRDefault="00000000">
      <w:pPr>
        <w:pStyle w:val="a3"/>
      </w:pPr>
      <w:r>
        <w:t>Second, the seasonal ordering of the interval widths (summer wider than winter wider than shoulder) is preserved by the proposed model. The ordering follows directly from the participation and tariff bounds in Table I, and it matches the operational intuition that DR flexibility is largest when peak-valley contrasts are sharpest. The fixed-parameter baseline preserves the ordering but compresses it: the gap between summer and shoulder shrinks from 0.175 MW under the proposed model to 0.023 MW under the fixed-parameter model, masking much of the seasonal differentiation that downstream scheduling could exploit.</w:t>
      </w:r>
    </w:p>
    <w:p w14:paraId="7ED93BC0" w14:textId="18EF7445" w:rsidR="00551D25" w:rsidRDefault="00000000">
      <w:pPr>
        <w:pStyle w:val="a3"/>
      </w:pPr>
      <w:r>
        <w:t>Third, the rejection rate of the energy conservation filter is monitored across the three scenarios. In the summer scenario, approximately 62 percent of the Latin Hypercube samples are discarded for violating the cycle-energy tolerance; the rate drops to 46 percent in winter and to nearly zero in the shoulder season. The rate is moderate in all three cases, suggesting that the bounds in Table I are physically plausible and that the filter actively reshapes the band without dominating the sampling.</w:t>
      </w:r>
    </w:p>
    <w:p w14:paraId="6ED63626" w14:textId="59548951" w:rsidR="00551D25" w:rsidRDefault="00663D48" w:rsidP="00E1043C">
      <w:pPr>
        <w:pStyle w:val="a3"/>
        <w:ind w:firstLine="0"/>
        <w:jc w:val="left"/>
      </w:pPr>
      <w:r>
        <w:rPr>
          <w:rFonts w:hint="eastAsia"/>
        </w:rPr>
        <w:object w:dxaOrig="18060" w:dyaOrig="11911" w14:anchorId="098C4D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0.95pt;height:172.7pt" o:ole="">
            <v:imagedata r:id="rId9" o:title=""/>
          </v:shape>
          <o:OLEObject Type="Embed" ProgID="Visio.Drawing.15" ShapeID="_x0000_i1025" DrawAspect="Content" ObjectID="_1841136102" r:id="rId10"/>
        </w:object>
      </w:r>
    </w:p>
    <w:p w14:paraId="2AE84452" w14:textId="2B0704B1" w:rsidR="00551D25" w:rsidRDefault="00000000">
      <w:pPr>
        <w:pStyle w:val="figurecaption"/>
      </w:pPr>
      <w:r>
        <w:t>Comparison of 24-hour DR response interval envelopes.</w:t>
      </w:r>
    </w:p>
    <w:p w14:paraId="2B91C2A6" w14:textId="1B753028" w:rsidR="00551D25" w:rsidRDefault="00000000">
      <w:pPr>
        <w:pStyle w:val="2"/>
      </w:pPr>
      <w:r>
        <w:t>Sensitivity Analysis</w:t>
      </w:r>
    </w:p>
    <w:p w14:paraId="11E53160" w14:textId="513799EC" w:rsidR="00551D25" w:rsidRDefault="00000000">
      <w:pPr>
        <w:pStyle w:val="a3"/>
      </w:pPr>
      <w:r>
        <w:t>The interval width at the summer peak hour is taken as the baseline (0.197 MW). The participation bounds and the tariff fluctuation coefficient at the peak hour are then varied one at a time around this baseline; the results are summari</w:t>
      </w:r>
      <w:r w:rsidR="00663D48">
        <w:rPr>
          <w:rFonts w:hint="eastAsia"/>
          <w:lang w:eastAsia="zh-CN"/>
        </w:rPr>
        <w:t>z</w:t>
      </w:r>
      <w:r>
        <w:t>ed in Table I</w:t>
      </w:r>
      <w:r w:rsidR="00CE12B6">
        <w:t>II</w:t>
      </w:r>
      <w:r>
        <w:t xml:space="preserve">. The two design dials produce responses of different magnitudes: narrowing the participation interval from [0.40, 0.70] to [0.50, 0.60] contracts the band by 5 percent, while </w:t>
      </w:r>
      <w:r>
        <w:lastRenderedPageBreak/>
        <w:t>widening it to [0.30, 0.80] expands the band by 12 percent. Reducing the peak tariff fluctuation coefficient from 0.25 to 0.15 contracts the band by 41 percent; raising it to 0.35 expands it by 57 percent. The response is close to linear in both drivers within these ranges, which is consistent with the bilinear structure of the underlying elasticity formulation, while the tariff coefficient acts as the more powerful lever because it scales the per-unit price deviation directly.</w:t>
      </w:r>
    </w:p>
    <w:p w14:paraId="20A3E5E7" w14:textId="222DF52C" w:rsidR="00551D25" w:rsidRDefault="00000000">
      <w:pPr>
        <w:pStyle w:val="tablehead"/>
      </w:pPr>
      <w:r>
        <w:t>Sensitivity of Peak-Hour Interval Width to Design Drivers</w:t>
      </w:r>
    </w:p>
    <w:tbl>
      <w:tblPr>
        <w:tblW w:w="5000" w:type="pct"/>
        <w:jc w:val="center"/>
        <w:tblLook w:val="04A0" w:firstRow="1" w:lastRow="0" w:firstColumn="1" w:lastColumn="0" w:noHBand="0" w:noVBand="1"/>
      </w:tblPr>
      <w:tblGrid>
        <w:gridCol w:w="3128"/>
        <w:gridCol w:w="1179"/>
        <w:gridCol w:w="716"/>
      </w:tblGrid>
      <w:tr w:rsidR="00551D25" w14:paraId="2036BBDF"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AB780F8" w14:textId="77777777" w:rsidR="00551D25" w:rsidRDefault="00000000">
            <w:pPr>
              <w:pStyle w:val="tablecolhead"/>
            </w:pPr>
            <w:r>
              <w:t>Variation</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7CDB90D1" w14:textId="77777777" w:rsidR="00551D25" w:rsidRDefault="00000000">
            <w:pPr>
              <w:pStyle w:val="tablecolhead"/>
            </w:pPr>
            <w:r>
              <w:t>Width (MW)</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E4FA341" w14:textId="77777777" w:rsidR="00551D25" w:rsidRDefault="00000000">
            <w:pPr>
              <w:pStyle w:val="tablecolhead"/>
            </w:pPr>
            <w:r>
              <w:t>Change</w:t>
            </w:r>
          </w:p>
        </w:tc>
      </w:tr>
      <w:tr w:rsidR="00551D25" w14:paraId="76D5C3C2"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ED229E2" w14:textId="77777777" w:rsidR="00551D25" w:rsidRDefault="00000000">
            <w:pPr>
              <w:pStyle w:val="tablecopy"/>
              <w:jc w:val="left"/>
            </w:pPr>
            <w:r>
              <w:t>Baseline (τ ∈ [0.40, 0.70], η = 0.25)</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F9DB512" w14:textId="77777777" w:rsidR="00551D25" w:rsidRDefault="00000000">
            <w:pPr>
              <w:pStyle w:val="tablecopy"/>
              <w:jc w:val="center"/>
            </w:pPr>
            <w:r>
              <w:t>0.197</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3831A8" w14:textId="77777777" w:rsidR="00551D25" w:rsidRDefault="00000000">
            <w:pPr>
              <w:pStyle w:val="tablecopy"/>
              <w:jc w:val="center"/>
            </w:pPr>
            <w:r>
              <w:t>--</w:t>
            </w:r>
          </w:p>
        </w:tc>
      </w:tr>
      <w:tr w:rsidR="00551D25" w14:paraId="5DB6A151"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1C3DF7E" w14:textId="77777777" w:rsidR="00551D25" w:rsidRDefault="00000000">
            <w:pPr>
              <w:pStyle w:val="tablecopy"/>
              <w:jc w:val="left"/>
            </w:pPr>
            <w:r w:rsidRPr="00516ABF">
              <w:rPr>
                <w:i/>
                <w:iCs/>
              </w:rPr>
              <w:t>τ</w:t>
            </w:r>
            <w:r>
              <w:t xml:space="preserve"> ∈ [0.50, 0.60] (narrower)</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2619B8C" w14:textId="77777777" w:rsidR="00551D25" w:rsidRDefault="00000000">
            <w:pPr>
              <w:pStyle w:val="tablecopy"/>
              <w:jc w:val="center"/>
            </w:pPr>
            <w:r>
              <w:t>0.187</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5991B3D" w14:textId="77777777" w:rsidR="00551D25" w:rsidRDefault="00000000">
            <w:pPr>
              <w:pStyle w:val="tablecopy"/>
              <w:jc w:val="center"/>
            </w:pPr>
            <w:r>
              <w:t>-5%</w:t>
            </w:r>
          </w:p>
        </w:tc>
      </w:tr>
      <w:tr w:rsidR="00551D25" w14:paraId="36C23393"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2577612" w14:textId="77777777" w:rsidR="00551D25" w:rsidRDefault="00000000">
            <w:pPr>
              <w:pStyle w:val="tablecopy"/>
              <w:jc w:val="left"/>
            </w:pPr>
            <w:r w:rsidRPr="00516ABF">
              <w:rPr>
                <w:i/>
                <w:iCs/>
              </w:rPr>
              <w:t>τ</w:t>
            </w:r>
            <w:r>
              <w:t xml:space="preserve"> ∈ [0.30, 0.80] (wider)</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30595B9E" w14:textId="77777777" w:rsidR="00551D25" w:rsidRDefault="00000000">
            <w:pPr>
              <w:pStyle w:val="tablecopy"/>
              <w:jc w:val="center"/>
            </w:pPr>
            <w:r>
              <w:t>0.220</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6F1C9663" w14:textId="77777777" w:rsidR="00551D25" w:rsidRDefault="00000000">
            <w:pPr>
              <w:pStyle w:val="tablecopy"/>
              <w:jc w:val="center"/>
            </w:pPr>
            <w:r>
              <w:t>+12%</w:t>
            </w:r>
          </w:p>
        </w:tc>
      </w:tr>
      <w:tr w:rsidR="00551D25" w14:paraId="646A5D4A"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3415F8D" w14:textId="77777777" w:rsidR="00551D25" w:rsidRDefault="00000000">
            <w:pPr>
              <w:pStyle w:val="tablecopy"/>
              <w:jc w:val="left"/>
            </w:pPr>
            <w:r w:rsidRPr="00516ABF">
              <w:rPr>
                <w:i/>
                <w:iCs/>
              </w:rPr>
              <w:t>η</w:t>
            </w:r>
            <w:r>
              <w:t xml:space="preserve"> = 0.15 (peak)</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DFB7333" w14:textId="77777777" w:rsidR="00551D25" w:rsidRDefault="00000000">
            <w:pPr>
              <w:pStyle w:val="tablecopy"/>
              <w:jc w:val="center"/>
            </w:pPr>
            <w:r>
              <w:t>0.116</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027F303E" w14:textId="77777777" w:rsidR="00551D25" w:rsidRDefault="00000000">
            <w:pPr>
              <w:pStyle w:val="tablecopy"/>
              <w:jc w:val="center"/>
            </w:pPr>
            <w:r>
              <w:t>-41%</w:t>
            </w:r>
          </w:p>
        </w:tc>
      </w:tr>
      <w:tr w:rsidR="00551D25" w14:paraId="25CF7DD9" w14:textId="77777777" w:rsidTr="00F45D16">
        <w:trPr>
          <w:jc w:val="center"/>
        </w:trPr>
        <w:tc>
          <w:tcPr>
            <w:tcW w:w="3113"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5F89C483" w14:textId="77777777" w:rsidR="00551D25" w:rsidRDefault="00000000">
            <w:pPr>
              <w:pStyle w:val="tablecopy"/>
              <w:jc w:val="left"/>
            </w:pPr>
            <w:r w:rsidRPr="00516ABF">
              <w:rPr>
                <w:i/>
                <w:iCs/>
              </w:rPr>
              <w:t>η</w:t>
            </w:r>
            <w:r>
              <w:t xml:space="preserve"> = 0.35 (peak)</w:t>
            </w:r>
          </w:p>
        </w:tc>
        <w:tc>
          <w:tcPr>
            <w:tcW w:w="117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344C442" w14:textId="77777777" w:rsidR="00551D25" w:rsidRDefault="00000000">
            <w:pPr>
              <w:pStyle w:val="tablecopy"/>
              <w:jc w:val="center"/>
            </w:pPr>
            <w:r>
              <w:t>0.310</w:t>
            </w:r>
          </w:p>
        </w:tc>
        <w:tc>
          <w:tcPr>
            <w:tcW w:w="714" w:type="pct"/>
            <w:tcBorders>
              <w:top w:val="single" w:sz="4" w:space="0" w:color="000000"/>
              <w:left w:val="single" w:sz="4" w:space="0" w:color="000000"/>
              <w:bottom w:val="single" w:sz="4" w:space="0" w:color="000000"/>
              <w:right w:val="single" w:sz="4" w:space="0" w:color="000000"/>
            </w:tcBorders>
            <w:tcMar>
              <w:top w:w="40" w:type="dxa"/>
              <w:left w:w="60" w:type="dxa"/>
              <w:bottom w:w="40" w:type="dxa"/>
              <w:right w:w="60" w:type="dxa"/>
            </w:tcMar>
          </w:tcPr>
          <w:p w14:paraId="4029FCAE" w14:textId="77777777" w:rsidR="00551D25" w:rsidRDefault="00000000">
            <w:pPr>
              <w:pStyle w:val="tablecopy"/>
              <w:jc w:val="center"/>
            </w:pPr>
            <w:r>
              <w:t>+57%</w:t>
            </w:r>
          </w:p>
        </w:tc>
      </w:tr>
    </w:tbl>
    <w:p w14:paraId="5566AA15" w14:textId="505C9F81" w:rsidR="00551D25" w:rsidRDefault="00F45D16">
      <w:pPr>
        <w:pStyle w:val="a3"/>
      </w:pPr>
      <w:r w:rsidRPr="00F45D16">
        <w:rPr>
          <w:lang w:val="en-US"/>
        </w:rPr>
        <w:t>The participation rate and the tariff coefficient therefore act as complementary but unequal design dials. From a system operator's perspective, improving the participation-rate estimate narrows the response band, but its effect is weaker than that of tightening the peak-period tariff band. Reporting the two sensitivities side by side helps identify which uncertainty source should be prioritized when reducing the width of the DR response interval. In the studied case, the tariff fluctuation coefficient provides the larger marginal influence on the peak-hour interval width</w:t>
      </w:r>
      <w:r>
        <w:t>.</w:t>
      </w:r>
    </w:p>
    <w:p w14:paraId="68BB4C0D" w14:textId="66AF5DBC" w:rsidR="00551D25" w:rsidRDefault="00000000">
      <w:pPr>
        <w:pStyle w:val="2"/>
      </w:pPr>
      <w:r>
        <w:t>Comparison Against a Probabilistic Baseline</w:t>
      </w:r>
    </w:p>
    <w:p w14:paraId="74617466" w14:textId="046F959C" w:rsidR="00551D25" w:rsidRDefault="008B5A8E">
      <w:pPr>
        <w:pStyle w:val="a3"/>
      </w:pPr>
      <w:r w:rsidRPr="008B5A8E">
        <w:rPr>
          <w:lang w:val="en-US"/>
        </w:rPr>
        <w:t xml:space="preserve">To position the proposed interval model against a probabilistic baseline, an additional benchmark is constructed in which the participation rate is modeled as a Beta random variable with support </w:t>
      </w:r>
      <m:oMath>
        <m:d>
          <m:dPr>
            <m:begChr m:val="["/>
            <m:sepChr m:val=","/>
            <m:endChr m:val="]"/>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τ</m:t>
                </m:r>
              </m:e>
              <m:sub>
                <m:r>
                  <m:rPr>
                    <m:sty m:val="p"/>
                  </m:rPr>
                  <w:rPr>
                    <w:rFonts w:ascii="Cambria Math" w:hAnsi="Cambria Math"/>
                    <w:lang w:val="en-US"/>
                  </w:rPr>
                  <m:t>min</m:t>
                </m:r>
              </m:sub>
            </m:sSub>
          </m:e>
          <m:e>
            <m:sSub>
              <m:sSubPr>
                <m:ctrlPr>
                  <w:rPr>
                    <w:rFonts w:ascii="Cambria Math" w:hAnsi="Cambria Math"/>
                    <w:lang w:val="en-US"/>
                  </w:rPr>
                </m:ctrlPr>
              </m:sSubPr>
              <m:e>
                <m:r>
                  <w:rPr>
                    <w:rFonts w:ascii="Cambria Math" w:hAnsi="Cambria Math"/>
                    <w:lang w:val="en-US"/>
                  </w:rPr>
                  <m:t>τ</m:t>
                </m:r>
              </m:e>
              <m:sub>
                <m:r>
                  <m:rPr>
                    <m:sty m:val="p"/>
                  </m:rPr>
                  <w:rPr>
                    <w:rFonts w:ascii="Cambria Math" w:hAnsi="Cambria Math"/>
                    <w:lang w:val="en-US"/>
                  </w:rPr>
                  <m:t>max</m:t>
                </m:r>
              </m:sub>
            </m:sSub>
          </m:e>
        </m:d>
      </m:oMath>
      <w:r w:rsidRPr="008B5A8E">
        <w:rPr>
          <w:lang w:val="en-US"/>
        </w:rPr>
        <w:t xml:space="preserve">and mode at the midpoint of the interval. The real-time tariff is modeled as a truncated Gaussian variable centered at the reference price, with three standard deviations equal to </w:t>
      </w:r>
      <m:oMath>
        <m:r>
          <w:rPr>
            <w:rFonts w:ascii="Cambria Math" w:hAnsi="Cambria Math"/>
            <w:lang w:val="en-US"/>
          </w:rPr>
          <m:t>η(t)</m:t>
        </m:r>
      </m:oMath>
      <w:r w:rsidRPr="008B5A8E">
        <w:rPr>
          <w:lang w:val="en-US"/>
        </w:rPr>
        <w:t>times the reference value. Ten thousand Monte Carlo samples are generated, the hourly response is computed for each sample, and the empirical 5th and 95th percentiles are used as the lower and upper envelopes. The resulting 90 percent confidence band is then compared with the proposed interval at the summer peak hour</w:t>
      </w:r>
      <w:r>
        <w:t>.</w:t>
      </w:r>
    </w:p>
    <w:p w14:paraId="59BB6503" w14:textId="0EB4E756" w:rsidR="00551D25" w:rsidRDefault="008B5A8E">
      <w:pPr>
        <w:pStyle w:val="a3"/>
      </w:pPr>
      <w:r w:rsidRPr="008B5A8E">
        <w:rPr>
          <w:lang w:val="en-US"/>
        </w:rPr>
        <w:t xml:space="preserve">The probabilistic baseline yields an envelope of 0.063 MW, which lies between the proposed interval (0.197 MW) and the fixed-parameter baseline (0.027 MW). This contrast is informative. The probabilistic baseline gives a tighter envelope because the percentile cut-off removes tail samples by construction, even when those samples are physically admissible under the assumed distributions. By contrast, the proposed interval retains tail responses as long as they satisfy the magnitude and energy conservation filters, and is therefore more conservative by design. This conservatism is useful for robust scheduling and worst-case studies, </w:t>
      </w:r>
      <w:r w:rsidR="00FC05CD">
        <w:rPr>
          <w:lang w:val="en-US"/>
        </w:rPr>
        <w:t xml:space="preserve">whereas</w:t>
      </w:r>
      <w:r w:rsidRPr="008B5A8E">
        <w:rPr>
          <w:lang w:val="en-US"/>
        </w:rPr>
        <w:t xml:space="preserve"> expected-value analysis and stochastic optimization are better supported by the probabilistic baseline</w:t>
      </w:r>
      <w:r>
        <w:t>.</w:t>
      </w:r>
    </w:p>
    <w:p w14:paraId="051F1CF4" w14:textId="73EBCDD3" w:rsidR="00551D25" w:rsidRDefault="008B5A8E">
      <w:pPr>
        <w:pStyle w:val="a3"/>
      </w:pPr>
      <w:r w:rsidRPr="008B5A8E">
        <w:rPr>
          <w:lang w:val="en-US"/>
        </w:rPr>
        <w:t xml:space="preserve">The two baselines also differ in their distributional assumption burden. The probabilistic baseline requires assumptions on both the Beta distribution of the participation rate and the truncation level of the Gaussian tariff distribution. </w:t>
      </w:r>
      <w:r w:rsidRPr="008B5A8E">
        <w:rPr>
          <w:lang w:val="en-US"/>
        </w:rPr>
        <w:t>These assumptions may be difficult to justify when historical observations are limited. The proposed interval model requires only the bounds and the two filter parameters, which is advantageous for residential DR programs in their early operating stages</w:t>
      </w:r>
      <w:r>
        <w:t>.</w:t>
      </w:r>
    </w:p>
    <w:p w14:paraId="15A66F98" w14:textId="34F0CD96" w:rsidR="00551D25" w:rsidRDefault="00000000">
      <w:pPr>
        <w:pStyle w:val="2"/>
      </w:pPr>
      <w:r>
        <w:t>Sampling Convergence and Rejection Behavior</w:t>
      </w:r>
    </w:p>
    <w:p w14:paraId="2D13E17A" w14:textId="3F86DEC1" w:rsidR="00551D25" w:rsidRDefault="008B5A8E">
      <w:pPr>
        <w:pStyle w:val="a3"/>
      </w:pPr>
      <w:r w:rsidRPr="008B5A8E">
        <w:rPr>
          <w:lang w:val="en-US"/>
        </w:rPr>
        <w:t xml:space="preserve">The envelope is determined by extreme samples and is therefore more sensitive to sample size than mean-based estimators. To assess convergence, the sample size </w:t>
      </w:r>
      <m:oMath>
        <m:r>
          <w:rPr>
            <w:rFonts w:ascii="Cambria Math" w:hAnsi="Cambria Math"/>
            <w:lang w:val="en-US"/>
          </w:rPr>
          <m:t>N</m:t>
        </m:r>
      </m:oMath>
      <w:r w:rsidRPr="008B5A8E">
        <w:rPr>
          <w:lang w:val="en-US"/>
        </w:rPr>
        <w:t xml:space="preserve">is increased geometrically from 50 to 5000 using the summer typical-day parameters, and the resulting peak-hour interval width is recorded across eight random seeds. The width settles within 11 percent of its </w:t>
      </w:r>
      <m:oMath>
        <m:r>
          <w:rPr>
            <w:rFonts w:ascii="Cambria Math" w:hAnsi="Cambria Math"/>
            <w:lang w:val="en-US"/>
          </w:rPr>
          <m:t>N=5000</m:t>
        </m:r>
      </m:oMath>
      <w:r w:rsidRPr="008B5A8E">
        <w:rPr>
          <w:lang w:val="en-US"/>
        </w:rPr>
        <w:t xml:space="preserve">reference value once </w:t>
      </w:r>
      <m:oMath>
        <m:r>
          <w:rPr>
            <w:rFonts w:ascii="Cambria Math" w:hAnsi="Cambria Math"/>
            <w:lang w:val="en-US"/>
          </w:rPr>
          <m:t>N</m:t>
        </m:r>
      </m:oMath>
      <w:r w:rsidRPr="008B5A8E">
        <w:rPr>
          <w:lang w:val="en-US"/>
        </w:rPr>
        <w:t xml:space="preserve">reaches 2000, and within 20 percent once </w:t>
      </w:r>
      <m:oMath>
        <m:r>
          <w:rPr>
            <w:rFonts w:ascii="Cambria Math" w:hAnsi="Cambria Math"/>
            <w:lang w:val="en-US"/>
          </w:rPr>
          <m:t>N</m:t>
        </m:r>
      </m:oMath>
      <w:r w:rsidRPr="008B5A8E">
        <w:rPr>
          <w:lang w:val="en-US"/>
        </w:rPr>
        <w:t xml:space="preserve">reaches 500. Therefore, the </w:t>
      </w:r>
      <m:oMath>
        <m:r>
          <w:rPr>
            <w:rFonts w:ascii="Cambria Math" w:hAnsi="Cambria Math"/>
            <w:lang w:val="en-US"/>
          </w:rPr>
          <m:t>N=2000</m:t>
        </m:r>
      </m:oMath>
      <w:r w:rsidRPr="008B5A8E">
        <w:rPr>
          <w:lang w:val="en-US"/>
        </w:rPr>
        <w:t>setting used in the case study provides a reasonable compromise between fidelity and runtime</w:t>
      </w:r>
      <w:r>
        <w:t>.</w:t>
      </w:r>
    </w:p>
    <w:p w14:paraId="6EBDD531" w14:textId="2DE1FB4B" w:rsidR="00551D25" w:rsidRDefault="008B5A8E">
      <w:pPr>
        <w:pStyle w:val="a3"/>
      </w:pPr>
      <w:r w:rsidRPr="008B5A8E">
        <w:rPr>
          <w:lang w:val="en-US"/>
        </w:rPr>
        <w:t>The rejection rate of the energy conservation filter is also informative. Across the three typical-day scenarios, the rate is 62 percent for summer, 46 percent for winter, and nearly zero for the shoulder season. The rate would increase sharply if the participation or tariff bounds were widened beyond physically plausible ranges. Therefore, the rejection rate can also serve as a diagnostic indicator: a high rejection rate in a mild-tariff-fluctuation scenario suggests that the chosen bounds may be inconsistent with the base-load profile and should be revisited</w:t>
      </w:r>
      <w:r>
        <w:t>.</w:t>
      </w:r>
    </w:p>
    <w:p w14:paraId="03A8AAC5" w14:textId="0FF552C8" w:rsidR="00551D25" w:rsidRDefault="00F202AE" w:rsidP="00F202AE">
      <w:pPr>
        <w:pStyle w:val="a3"/>
        <w:ind w:firstLine="0"/>
        <w:jc w:val="center"/>
      </w:pPr>
      <w:r>
        <w:rPr>
          <w:rFonts w:hint="eastAsia"/>
        </w:rPr>
        <w:object w:dxaOrig="9375" w:dyaOrig="6811" w14:anchorId="70ABD367">
          <v:shape id="_x0000_i1026" type="#_x0000_t75" style="width:249.7pt;height:180.2pt" o:ole="">
            <v:imagedata r:id="rId11" o:title=""/>
          </v:shape>
          <o:OLEObject Type="Embed" ProgID="Visio.Drawing.15" ShapeID="_x0000_i1026" DrawAspect="Content" ObjectID="_1841136103" r:id="rId12"/>
        </w:object>
      </w:r>
    </w:p>
    <w:p w14:paraId="78AC05AE" w14:textId="474BB292" w:rsidR="00551D25" w:rsidRDefault="00000000">
      <w:pPr>
        <w:pStyle w:val="figurecaption"/>
      </w:pPr>
      <w:r>
        <w:t>Sample-size convergence of the peak-hour DR response interval width.</w:t>
      </w:r>
    </w:p>
    <w:p w14:paraId="208271E2" w14:textId="77777777" w:rsidR="00551D25" w:rsidRDefault="00000000">
      <w:pPr>
        <w:pStyle w:val="2"/>
      </w:pPr>
      <w:r>
        <w:t>Design-Dial Surface as a Lookup Chart</w:t>
      </w:r>
    </w:p>
    <w:p w14:paraId="4757A1B9" w14:textId="3F7A0B09" w:rsidR="00551D25" w:rsidRDefault="008B5A8E">
      <w:pPr>
        <w:pStyle w:val="a3"/>
      </w:pPr>
      <w:r w:rsidRPr="008B5A8E">
        <w:rPr>
          <w:lang w:val="en-US"/>
        </w:rPr>
        <w:t>Section IV-C examined the two design dials, namely the participation interval and the tariff fluctuation coefficient, one at a time. To further support operational interpretation, the peak-hour interval width is plotted as a two-dimensional surface in the space of participation-interval width and peak-period tariff fluctuation coefficient. For each grid point, the proposed method is rerun with the summer typical-day load and tariff structure, and the resulting peak-hour interval width is recorded. The surface therefore shows how the response band changes when the two bounds are adjusted jointly</w:t>
      </w:r>
      <w:r>
        <w:t>.</w:t>
      </w:r>
    </w:p>
    <w:p w14:paraId="07E42002" w14:textId="3CD4509E" w:rsidR="00551D25" w:rsidRDefault="008B5A8E">
      <w:pPr>
        <w:pStyle w:val="a3"/>
      </w:pPr>
      <w:r w:rsidRPr="008B5A8E">
        <w:rPr>
          <w:lang w:val="en-US"/>
        </w:rPr>
        <w:t xml:space="preserve">Figure 3 shows the resulting heat map together with iso-width contour curves at 100, 150, 200, 250, and 300 kW. Two observations can be made. First, the contours are nearly </w:t>
      </w:r>
      <w:r w:rsidRPr="008B5A8E">
        <w:rPr>
          <w:lang w:val="en-US"/>
        </w:rPr>
        <w:lastRenderedPageBreak/>
        <w:t xml:space="preserve">horizontal at low values of </w:t>
      </w:r>
      <m:oMath>
        <m:r>
          <w:rPr>
            <w:rFonts w:ascii="Cambria Math" w:hAnsi="Cambria Math"/>
            <w:lang w:val="en-US"/>
          </w:rPr>
          <m:t>η</m:t>
        </m:r>
      </m:oMath>
      <w:r w:rsidRPr="008B5A8E">
        <w:rPr>
          <w:lang w:val="en-US"/>
        </w:rPr>
        <w:t xml:space="preserve">and bend upward at higher values, confirming the sensitivity ranking in Table III: the tariff fluctuation coefficient is the dominant driver, while the participation interval becomes more influential when </w:t>
      </w:r>
      <m:oMath>
        <m:r>
          <w:rPr>
            <w:rFonts w:ascii="Cambria Math" w:hAnsi="Cambria Math"/>
            <w:lang w:val="en-US"/>
          </w:rPr>
          <m:t>η</m:t>
        </m:r>
      </m:oMath>
      <w:r w:rsidRPr="008B5A8E">
        <w:rPr>
          <w:lang w:val="en-US"/>
        </w:rPr>
        <w:t xml:space="preserve">is already large. Second, the labeled Summer, Winter, and Shoulder operating points are more separated along the </w:t>
      </w:r>
      <m:oMath>
        <m:r>
          <w:rPr>
            <w:rFonts w:ascii="Cambria Math" w:hAnsi="Cambria Math"/>
            <w:lang w:val="en-US"/>
          </w:rPr>
          <m:t>η</m:t>
        </m:r>
      </m:oMath>
      <w:r w:rsidRPr="008B5A8E">
        <w:rPr>
          <w:lang w:val="en-US"/>
        </w:rPr>
        <w:t>direction than along the participation-width direction, again indicating the dominant role of tariff uncertainty. The surface can therefore be used as a design lookup chart: for a target interval width, the corresponding contour gives the feasible combinations of participation-interval width and tariff fluctuation coefficient</w:t>
      </w:r>
      <w:r>
        <w:t>.</w:t>
      </w:r>
    </w:p>
    <w:p w14:paraId="55ACB27C" w14:textId="1246726F" w:rsidR="00551D25" w:rsidRDefault="009B5C62" w:rsidP="001D0D6D">
      <w:pPr>
        <w:pStyle w:val="a3"/>
        <w:ind w:firstLine="0"/>
      </w:pPr>
      <w:r>
        <w:rPr>
          <w:rFonts w:hint="eastAsia"/>
        </w:rPr>
        <w:object w:dxaOrig="13935" w:dyaOrig="8550" w14:anchorId="7EDA0D8A">
          <v:shape id="_x0000_i1027" type="#_x0000_t75" style="width:258.45pt;height:159pt" o:ole="">
            <v:imagedata r:id="rId13" o:title=""/>
          </v:shape>
          <o:OLEObject Type="Embed" ProgID="Visio.Drawing.15" ShapeID="_x0000_i1027" DrawAspect="Content" ObjectID="_1841136104" r:id="rId14"/>
        </w:object>
      </w:r>
    </w:p>
    <w:p w14:paraId="5D481D01" w14:textId="7CC06491" w:rsidR="00551D25" w:rsidRDefault="00000000">
      <w:pPr>
        <w:pStyle w:val="figurecaption"/>
      </w:pPr>
      <w:r>
        <w:t>Peak-hour interval width (kW) as a function of the two design dials</w:t>
      </w:r>
      <w:r w:rsidR="009B5C62">
        <w:t>.</w:t>
      </w:r>
    </w:p>
    <w:p w14:paraId="7A62D44D" w14:textId="77777777" w:rsidR="00551D25" w:rsidRDefault="00000000">
      <w:pPr>
        <w:pStyle w:val="1"/>
      </w:pPr>
      <w:r>
        <w:t>Conclusion</w:t>
      </w:r>
    </w:p>
    <w:p w14:paraId="0BB8BB3E" w14:textId="77777777" w:rsidR="00663D48" w:rsidRPr="00663D48" w:rsidRDefault="00663D48" w:rsidP="00663D48">
      <w:pPr>
        <w:pStyle w:val="a3"/>
        <w:rPr>
          <w:lang w:val="en-US"/>
        </w:rPr>
      </w:pPr>
      <w:r w:rsidRPr="00663D48">
        <w:rPr>
          <w:lang w:val="en-US"/>
        </w:rPr>
        <w:t>This paper has presented a multi-driver interval model for price-based DR in active distribution networks. By treating the user participation rate and the real-time tariff as joint interval inputs and filtering the resulting candidate responses through a single-period magnitude limit and a whole-cycle energy conservation constraint, the proposed model produces a physically consistent and scenario-aware response band. The typical-day partition allows the band to vary with season-specific participation and tariff bounds rather than being represented by a single static interval. The case study on a modified IEEE 33-bus system shows that the proposed interval contracts the raw unconstrained band by roughly 15 percent, expands the fixed-parameter band by a factor of about seven, preserves the seasonal ordering of response magnitudes, and exhibits an approximately linear response to the two design dials, with the tariff fluctuation coefficient acting as the dominant driver.</w:t>
      </w:r>
    </w:p>
    <w:p w14:paraId="500F37AF" w14:textId="27CD87B9" w:rsidR="00551D25" w:rsidRPr="00663D48" w:rsidRDefault="00663D48" w:rsidP="00663D48">
      <w:pPr>
        <w:pStyle w:val="a3"/>
        <w:rPr>
          <w:lang w:val="en-US" w:eastAsia="zh-CN"/>
        </w:rPr>
      </w:pPr>
      <w:r w:rsidRPr="00663D48">
        <w:rPr>
          <w:lang w:val="en-US"/>
        </w:rPr>
        <w:t>Future work will focus on three aspects. First, the participation and tariff bounds can be updated in a rolling horizon to reflect real-time price clearing and newly observed response behavior. Second, when DR coexists with other price-driven flexibility resources such as electric vehicles and thermostatically controlled loads (TCLs), correlations among different response intervals should be explicitly modeled. Third, the proposed interval-generation method can be further integrated with tariff-design or incentive-mechanism studies, so that the response band becomes part of market design rather than only a downstream scheduling descriptor.</w:t>
      </w:r>
    </w:p>
    <w:p w14:paraId="72D805F2" w14:textId="77777777" w:rsidR="00551D25" w:rsidRDefault="00000000">
      <w:pPr>
        <w:pStyle w:val="5"/>
      </w:pPr>
      <w:r>
        <w:t>References</w:t>
      </w:r>
    </w:p>
    <w:p w14:paraId="6468F8CB" w14:textId="77777777" w:rsidR="00551D25" w:rsidRDefault="00000000">
      <w:pPr>
        <w:pStyle w:val="references"/>
      </w:pPr>
      <w:r>
        <w:t>M. H. Albadi and E. F. El-Saadany, "A summary of demand response in electricity markets," Electric Power Systems Research, vol. 78, no. 11, pp. 1989–1996, 2008.</w:t>
      </w:r>
    </w:p>
    <w:p w14:paraId="2A1D6288" w14:textId="77777777" w:rsidR="00551D25" w:rsidRDefault="00000000">
      <w:pPr>
        <w:pStyle w:val="references"/>
      </w:pPr>
      <w:r>
        <w:t>P. Siano, "Demand response and smart grids—A survey," Renewable and Sustainable Energy Reviews, vol. 30, pp. 461–478, 2014.</w:t>
      </w:r>
    </w:p>
    <w:p w14:paraId="4459CCA1" w14:textId="77777777" w:rsidR="00551D25" w:rsidRDefault="00000000">
      <w:pPr>
        <w:pStyle w:val="references"/>
      </w:pPr>
      <w:r>
        <w:t>G. Kansal and R. Tiwari, "Elasticity modelling of price-based demand response programs considering customer's different behavioural patterns," Sustainable Energy, Grids and Networks, vol. 36, p. 101244, 2023.</w:t>
      </w:r>
    </w:p>
    <w:p w14:paraId="440C126E" w14:textId="77777777" w:rsidR="00551D25" w:rsidRDefault="00000000">
      <w:pPr>
        <w:pStyle w:val="references"/>
      </w:pPr>
      <w:r>
        <w:t>H. Aalami, M. Parsa Moghaddam, and G. R. Yousefi, "Demand response modeling considering interruptible/curtailable loads and capacity market programs," Applied Energy, vol. 87, no. 1, pp. 243–250, 2010.</w:t>
      </w:r>
    </w:p>
    <w:p w14:paraId="1E2BECEA" w14:textId="77777777" w:rsidR="00551D25" w:rsidRDefault="00000000">
      <w:pPr>
        <w:pStyle w:val="references"/>
      </w:pPr>
      <w:r>
        <w:t>M. Aien, M. Fotuhi-Firuzabad, and F. Aminifar, "Probabilistic load flow in correlated uncertain environment using unscented transformation," IEEE Trans. Power Systems, vol. 27, no. 4, pp. 2233–2241, 2012.</w:t>
      </w:r>
    </w:p>
    <w:p w14:paraId="162C9684" w14:textId="77777777" w:rsidR="00551D25" w:rsidRDefault="00000000">
      <w:pPr>
        <w:pStyle w:val="references"/>
      </w:pPr>
      <w:r>
        <w:t>R. Wu and S. Liu, "Robust optimization of active distribution networks considering source-side uncertainty and load-side demand response," Energies, vol. 18, no. 13, p. 3531, 2025.</w:t>
      </w:r>
    </w:p>
    <w:p w14:paraId="479700B2" w14:textId="4BAFF148" w:rsidR="00551D25" w:rsidRDefault="00000000">
      <w:pPr>
        <w:pStyle w:val="references"/>
      </w:pPr>
      <w:r>
        <w:t>C. Zhang, Q. Liu, B. Zhou et al., "A central limit theorem-based method for DC and AC power flow analysis under interval uncertainty of renewable power generation," IEEE Trans. Sustainable Energy, vol. 14, no. 1, pp. 563–575, 2023.</w:t>
      </w:r>
    </w:p>
    <w:p w14:paraId="07029618" w14:textId="77777777" w:rsidR="00551D25" w:rsidRDefault="00000000">
      <w:pPr>
        <w:pStyle w:val="references"/>
      </w:pPr>
      <w:r>
        <w:t>J. C. M. Mamani, F. Carrasco-Choque, E. F. Paredes-Calatayud et al., "Modeling uncertainty energy price based on interval optimization and energy management in the electrical grid," Operations Research Forum, vol. 5, no. 1, p. 4, 2024.</w:t>
      </w:r>
    </w:p>
    <w:p w14:paraId="0944B9A4" w14:textId="77777777" w:rsidR="00551D25" w:rsidRDefault="00000000">
      <w:pPr>
        <w:pStyle w:val="references"/>
      </w:pPr>
      <w:r>
        <w:t>J. Li, P. Dong, M. Liu, S. Ke, C. Wang, M. Ma, and S. Huang, "Two-stage robust optimal scheduling with price-based demand response," Electric Power Systems Research, vol. 232, p. 110326, 2024.</w:t>
      </w:r>
    </w:p>
    <w:p w14:paraId="2C926E6B" w14:textId="77777777" w:rsidR="00551D25" w:rsidRDefault="00000000">
      <w:pPr>
        <w:pStyle w:val="references"/>
      </w:pPr>
      <w:r>
        <w:t>J. Datta, "Energy management of multi-microgrids with renewables and electric vehicles considering price-elasticity based demand response: a bi-level hybrid optimization approach," Sustainable Cities and Society, vol. 99, p. 104908, 2023.</w:t>
      </w:r>
    </w:p>
    <w:p w14:paraId="08A2CE4C" w14:textId="77777777" w:rsidR="00551D25" w:rsidRDefault="00000000">
      <w:pPr>
        <w:pStyle w:val="references"/>
      </w:pPr>
      <w:r>
        <w:t>T. Tan, M. Yang, R. Xie, Y. Cao, and Y. Chen, "Adjustable robust optimization with decision-dependent uncertainty for power system problems: A review," Energy Conversion and Economics, 2025, doi: 10.1049/enc2.70010.</w:t>
      </w:r>
    </w:p>
    <w:p w14:paraId="68D101C3" w14:textId="77777777" w:rsidR="00551D25" w:rsidRDefault="00000000">
      <w:pPr>
        <w:pStyle w:val="references"/>
      </w:pPr>
      <w:r>
        <w:t>S. A. Mansouri, E. Nematbakhsh, A. Rezaee Jordehi, M. Marzband, M. Tostado-Véliz, and F. Jurado, "An interval-based nested optimization framework for deriving flexibility from smart buildings and electric vehicle fleets in the TSO-DSO coordination," Applied Energy, vol. 341, p. 121062, 2023.</w:t>
      </w:r>
    </w:p>
    <w:p w14:paraId="353D92F9" w14:textId="77777777" w:rsidR="00551D25" w:rsidRDefault="00000000">
      <w:pPr>
        <w:pStyle w:val="references"/>
      </w:pPr>
      <w:r>
        <w:t>T. Soares, F. Fernandes, H. Morais, and Z. Vale, "Demand response in active distribution networks: A literature review of methods, modelling and applications," IET Renewable Power Generation, vol. 14, no. 16, pp. 3140–3156, 2020.</w:t>
      </w:r>
    </w:p>
    <w:p w14:paraId="163C1AF9" w14:textId="77777777" w:rsidR="00551D25" w:rsidRDefault="00000000">
      <w:pPr>
        <w:pStyle w:val="references"/>
      </w:pPr>
      <w:r>
        <w:t>M. D. McKay, R. J. Beckman, and W. J. Conover, "A comparison of three methods for selecting values of input variables in the analysis of output from a computer code," Technometrics, vol. 21, no. 2, pp. 239–245, 1979.</w:t>
      </w:r>
    </w:p>
    <w:p w14:paraId="2571E981" w14:textId="2B9CBACE" w:rsidR="00551D25" w:rsidRDefault="00000000" w:rsidP="009C7EB5">
      <w:pPr>
        <w:pStyle w:val="references"/>
      </w:pPr>
      <w:r>
        <w:t>D. Bertsimas and M. Sim, "The price of robustness," Operations Research, vol. 52, no. 1, pp. 35–53, 2004.</w:t>
      </w:r>
    </w:p>
    <w:sectPr w:rsidR="00551D25" w:rsidSect="009B5C62">
      <w:type w:val="continuous"/>
      <w:pgSz w:w="12240" w:h="15840" w:code="1"/>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2F476" w14:textId="77777777" w:rsidR="00AE3699" w:rsidRDefault="00AE3699" w:rsidP="001A3B3D">
      <w:r>
        <w:separator/>
      </w:r>
    </w:p>
  </w:endnote>
  <w:endnote w:type="continuationSeparator" w:id="0">
    <w:p w14:paraId="11CB8F39" w14:textId="77777777" w:rsidR="00AE3699" w:rsidRDefault="00AE3699"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FBBEA" w14:textId="77777777" w:rsidR="001A3B3D" w:rsidRPr="006F6D3D" w:rsidRDefault="001A3B3D" w:rsidP="0056610F">
    <w:pPr>
      <w:pStyle w:val="a7"/>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ABDF0" w14:textId="77777777" w:rsidR="00AE3699" w:rsidRDefault="00AE3699" w:rsidP="001A3B3D">
      <w:r>
        <w:separator/>
      </w:r>
    </w:p>
  </w:footnote>
  <w:footnote w:type="continuationSeparator" w:id="0">
    <w:p w14:paraId="387CAFA4" w14:textId="77777777" w:rsidR="00AE3699" w:rsidRDefault="00AE3699"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58797424">
    <w:abstractNumId w:val="14"/>
  </w:num>
  <w:num w:numId="2" w16cid:durableId="1318537140">
    <w:abstractNumId w:val="19"/>
  </w:num>
  <w:num w:numId="3" w16cid:durableId="1295940850">
    <w:abstractNumId w:val="13"/>
  </w:num>
  <w:num w:numId="4" w16cid:durableId="474303225">
    <w:abstractNumId w:val="16"/>
  </w:num>
  <w:num w:numId="5" w16cid:durableId="1965652517">
    <w:abstractNumId w:val="16"/>
  </w:num>
  <w:num w:numId="6" w16cid:durableId="134446794">
    <w:abstractNumId w:val="16"/>
  </w:num>
  <w:num w:numId="7" w16cid:durableId="1809084191">
    <w:abstractNumId w:val="16"/>
  </w:num>
  <w:num w:numId="8" w16cid:durableId="1538345962">
    <w:abstractNumId w:val="18"/>
  </w:num>
  <w:num w:numId="9" w16cid:durableId="1992977903">
    <w:abstractNumId w:val="20"/>
  </w:num>
  <w:num w:numId="10" w16cid:durableId="1404598131">
    <w:abstractNumId w:val="15"/>
  </w:num>
  <w:num w:numId="11" w16cid:durableId="493493668">
    <w:abstractNumId w:val="12"/>
  </w:num>
  <w:num w:numId="12" w16cid:durableId="1816483250">
    <w:abstractNumId w:val="11"/>
  </w:num>
  <w:num w:numId="13" w16cid:durableId="729622243">
    <w:abstractNumId w:val="0"/>
  </w:num>
  <w:num w:numId="14" w16cid:durableId="613054559">
    <w:abstractNumId w:val="10"/>
  </w:num>
  <w:num w:numId="15" w16cid:durableId="402947833">
    <w:abstractNumId w:val="8"/>
  </w:num>
  <w:num w:numId="16" w16cid:durableId="2071345409">
    <w:abstractNumId w:val="7"/>
  </w:num>
  <w:num w:numId="17" w16cid:durableId="2027516581">
    <w:abstractNumId w:val="6"/>
  </w:num>
  <w:num w:numId="18" w16cid:durableId="746654561">
    <w:abstractNumId w:val="5"/>
  </w:num>
  <w:num w:numId="19" w16cid:durableId="1120148513">
    <w:abstractNumId w:val="9"/>
  </w:num>
  <w:num w:numId="20" w16cid:durableId="1116948034">
    <w:abstractNumId w:val="4"/>
  </w:num>
  <w:num w:numId="21" w16cid:durableId="292175790">
    <w:abstractNumId w:val="3"/>
  </w:num>
  <w:num w:numId="22" w16cid:durableId="622419573">
    <w:abstractNumId w:val="2"/>
  </w:num>
  <w:num w:numId="23" w16cid:durableId="335572743">
    <w:abstractNumId w:val="1"/>
  </w:num>
  <w:num w:numId="24" w16cid:durableId="20980903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65763"/>
    <w:rsid w:val="0008758A"/>
    <w:rsid w:val="000C1E68"/>
    <w:rsid w:val="000E694A"/>
    <w:rsid w:val="000F1145"/>
    <w:rsid w:val="0011101C"/>
    <w:rsid w:val="0012503B"/>
    <w:rsid w:val="0015079E"/>
    <w:rsid w:val="0018056F"/>
    <w:rsid w:val="0018654A"/>
    <w:rsid w:val="001A2EFD"/>
    <w:rsid w:val="001A3B3D"/>
    <w:rsid w:val="001A42EA"/>
    <w:rsid w:val="001B67DC"/>
    <w:rsid w:val="001D0D6D"/>
    <w:rsid w:val="001D7BCF"/>
    <w:rsid w:val="002254A9"/>
    <w:rsid w:val="00233D97"/>
    <w:rsid w:val="0025717C"/>
    <w:rsid w:val="002850E3"/>
    <w:rsid w:val="002C40A9"/>
    <w:rsid w:val="00321DC9"/>
    <w:rsid w:val="00354FCF"/>
    <w:rsid w:val="003A19E2"/>
    <w:rsid w:val="003F4D7B"/>
    <w:rsid w:val="00421EC6"/>
    <w:rsid w:val="004325FB"/>
    <w:rsid w:val="004432BA"/>
    <w:rsid w:val="0044407E"/>
    <w:rsid w:val="004A55B4"/>
    <w:rsid w:val="004A6C74"/>
    <w:rsid w:val="004D72B5"/>
    <w:rsid w:val="004E54E6"/>
    <w:rsid w:val="00516ABF"/>
    <w:rsid w:val="00520192"/>
    <w:rsid w:val="00547E73"/>
    <w:rsid w:val="00551B7F"/>
    <w:rsid w:val="00551D25"/>
    <w:rsid w:val="0056610F"/>
    <w:rsid w:val="00575BCA"/>
    <w:rsid w:val="005B0344"/>
    <w:rsid w:val="005B520E"/>
    <w:rsid w:val="005E2800"/>
    <w:rsid w:val="005F4BBF"/>
    <w:rsid w:val="006347CF"/>
    <w:rsid w:val="00645D22"/>
    <w:rsid w:val="00651A08"/>
    <w:rsid w:val="00654204"/>
    <w:rsid w:val="00663D48"/>
    <w:rsid w:val="00670434"/>
    <w:rsid w:val="006B6B66"/>
    <w:rsid w:val="006D70BF"/>
    <w:rsid w:val="006F48B3"/>
    <w:rsid w:val="006F6D3D"/>
    <w:rsid w:val="00704134"/>
    <w:rsid w:val="00715BEA"/>
    <w:rsid w:val="00740EEA"/>
    <w:rsid w:val="007807B1"/>
    <w:rsid w:val="00794804"/>
    <w:rsid w:val="007B33F1"/>
    <w:rsid w:val="007C0308"/>
    <w:rsid w:val="007C2FF2"/>
    <w:rsid w:val="007D6232"/>
    <w:rsid w:val="007F1F99"/>
    <w:rsid w:val="007F768F"/>
    <w:rsid w:val="00803969"/>
    <w:rsid w:val="0080791D"/>
    <w:rsid w:val="00873603"/>
    <w:rsid w:val="008A2C7D"/>
    <w:rsid w:val="008B43B6"/>
    <w:rsid w:val="008B5A8E"/>
    <w:rsid w:val="008C4400"/>
    <w:rsid w:val="008C4B23"/>
    <w:rsid w:val="008D332F"/>
    <w:rsid w:val="008D4671"/>
    <w:rsid w:val="008F6E2C"/>
    <w:rsid w:val="009303D9"/>
    <w:rsid w:val="00933C64"/>
    <w:rsid w:val="00972203"/>
    <w:rsid w:val="009B5C62"/>
    <w:rsid w:val="009C7EB5"/>
    <w:rsid w:val="00A059B3"/>
    <w:rsid w:val="00A83751"/>
    <w:rsid w:val="00AA5D4D"/>
    <w:rsid w:val="00AC654C"/>
    <w:rsid w:val="00AE3409"/>
    <w:rsid w:val="00AE3699"/>
    <w:rsid w:val="00AF49F5"/>
    <w:rsid w:val="00B11A60"/>
    <w:rsid w:val="00B1312B"/>
    <w:rsid w:val="00B22613"/>
    <w:rsid w:val="00B7329E"/>
    <w:rsid w:val="00BA1025"/>
    <w:rsid w:val="00BC3420"/>
    <w:rsid w:val="00BE7D3C"/>
    <w:rsid w:val="00BF5FF6"/>
    <w:rsid w:val="00C0207F"/>
    <w:rsid w:val="00C0672F"/>
    <w:rsid w:val="00C16117"/>
    <w:rsid w:val="00C3075A"/>
    <w:rsid w:val="00C31465"/>
    <w:rsid w:val="00C331B4"/>
    <w:rsid w:val="00C706E4"/>
    <w:rsid w:val="00C76FFC"/>
    <w:rsid w:val="00C919A4"/>
    <w:rsid w:val="00CA4392"/>
    <w:rsid w:val="00CC393F"/>
    <w:rsid w:val="00CE12B6"/>
    <w:rsid w:val="00D0261B"/>
    <w:rsid w:val="00D13749"/>
    <w:rsid w:val="00D2176E"/>
    <w:rsid w:val="00D632BE"/>
    <w:rsid w:val="00D72D06"/>
    <w:rsid w:val="00D7522C"/>
    <w:rsid w:val="00D7536F"/>
    <w:rsid w:val="00D76668"/>
    <w:rsid w:val="00DF1527"/>
    <w:rsid w:val="00E1043C"/>
    <w:rsid w:val="00E61E12"/>
    <w:rsid w:val="00E7596C"/>
    <w:rsid w:val="00E878F2"/>
    <w:rsid w:val="00ED0149"/>
    <w:rsid w:val="00EF7DE3"/>
    <w:rsid w:val="00F03103"/>
    <w:rsid w:val="00F202AE"/>
    <w:rsid w:val="00F271DE"/>
    <w:rsid w:val="00F31699"/>
    <w:rsid w:val="00F45D16"/>
    <w:rsid w:val="00F627DA"/>
    <w:rsid w:val="00F7288F"/>
    <w:rsid w:val="00F847A6"/>
    <w:rsid w:val="00F9441B"/>
    <w:rsid w:val="00F96569"/>
    <w:rsid w:val="00FA4C32"/>
    <w:rsid w:val="00FC05CD"/>
    <w:rsid w:val="00FC297E"/>
    <w:rsid w:val="00FD502E"/>
    <w:rsid w:val="00FE71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D74880"/>
  <w15:chartTrackingRefBased/>
  <w15:docId w15:val="{F70393F7-BE71-4745-A4B2-AE3F69CD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left" w:pos="216"/>
      </w:tabs>
      <w:spacing w:before="160" w:after="80"/>
      <w:ind w:firstLine="0"/>
      <w:outlineLvl w:val="0"/>
    </w:pPr>
    <w:rPr>
      <w:smallCaps/>
      <w:noProof/>
    </w:rPr>
  </w:style>
  <w:style w:type="paragraph" w:styleId="2">
    <w:name w:val="heading 2"/>
    <w:basedOn w:val="a"/>
    <w:next w:val="a"/>
    <w:qFormat/>
    <w:rsid w:val="00ED0149"/>
    <w:pPr>
      <w:keepNext/>
      <w:keepLines/>
      <w:numPr>
        <w:ilvl w:val="1"/>
        <w:numId w:val="4"/>
      </w:numPr>
      <w:tabs>
        <w:tab w:val="clear" w:pos="360"/>
        <w:tab w:val="num" w:pos="288"/>
      </w:tabs>
      <w:spacing w:before="120" w:after="60"/>
      <w:jc w:val="left"/>
      <w:outlineLvl w:val="1"/>
    </w:pPr>
    <w:rPr>
      <w:i/>
      <w:iCs/>
      <w:noProof/>
    </w:rPr>
  </w:style>
  <w:style w:type="paragraph" w:styleId="3">
    <w:name w:val="heading 3"/>
    <w:basedOn w:val="a"/>
    <w:next w:val="a"/>
    <w:qFormat/>
    <w:rsid w:val="00794804"/>
    <w:pPr>
      <w:numPr>
        <w:ilvl w:val="2"/>
        <w:numId w:val="4"/>
      </w:numPr>
      <w:spacing w:line="240" w:lineRule="exact"/>
      <w:ind w:firstLine="288"/>
      <w:jc w:val="both"/>
      <w:outlineLvl w:val="2"/>
    </w:pPr>
    <w:rPr>
      <w:i/>
      <w:iCs/>
      <w:noProof/>
    </w:rPr>
  </w:style>
  <w:style w:type="paragraph" w:styleId="4">
    <w:name w:val="heading 4"/>
    <w:basedOn w:val="a"/>
    <w:next w:val="a"/>
    <w:qFormat/>
    <w:rsid w:val="00794804"/>
    <w:pPr>
      <w:numPr>
        <w:ilvl w:val="3"/>
        <w:numId w:val="4"/>
      </w:numPr>
      <w:tabs>
        <w:tab w:val="clear" w:pos="630"/>
        <w:tab w:val="left" w:pos="720"/>
      </w:tabs>
      <w:spacing w:before="40" w:after="40"/>
      <w:ind w:firstLine="504"/>
      <w:jc w:val="both"/>
      <w:outlineLvl w:val="3"/>
    </w:pPr>
    <w:rPr>
      <w:i/>
      <w:iCs/>
      <w:noProof/>
    </w:rPr>
  </w:style>
  <w:style w:type="paragraph" w:styleId="5">
    <w:name w:val="heading 5"/>
    <w:basedOn w:val="a"/>
    <w:next w:val="a"/>
    <w:link w:val="50"/>
    <w:qFormat/>
    <w:pPr>
      <w:tabs>
        <w:tab w:val="left" w:pos="360"/>
      </w:tabs>
      <w:spacing w:before="160" w:after="80"/>
      <w:outlineLvl w:val="4"/>
    </w:pPr>
    <w:rPr>
      <w:smallCaps/>
      <w:noProo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a3">
    <w:name w:val="Body Text"/>
    <w:basedOn w:val="a"/>
    <w:link w:val="a4"/>
    <w:rsid w:val="00E7596C"/>
    <w:pPr>
      <w:tabs>
        <w:tab w:val="left" w:pos="288"/>
      </w:tabs>
      <w:spacing w:after="120" w:line="228" w:lineRule="auto"/>
      <w:ind w:firstLine="288"/>
      <w:jc w:val="both"/>
    </w:pPr>
    <w:rPr>
      <w:spacing w:val="-1"/>
      <w:lang w:val="x-none" w:eastAsia="x-none"/>
    </w:rPr>
  </w:style>
  <w:style w:type="character" w:customStyle="1" w:styleId="a4">
    <w:name w:val="正文文本 字符"/>
    <w:link w:val="a3"/>
    <w:rsid w:val="00E7596C"/>
    <w:rPr>
      <w:spacing w:val="-1"/>
      <w:lang w:val="x-none" w:eastAsia="x-none"/>
    </w:rPr>
  </w:style>
  <w:style w:type="paragraph" w:customStyle="1" w:styleId="bulletlist">
    <w:name w:val="bullet list"/>
    <w:basedOn w:val="a3"/>
    <w:rsid w:val="001B67DC"/>
    <w:pPr>
      <w:numPr>
        <w:numId w:val="1"/>
      </w:numPr>
      <w:tabs>
        <w:tab w:val="clear" w:pos="648"/>
      </w:tabs>
      <w:ind w:left="576" w:hanging="288"/>
    </w:pPr>
  </w:style>
  <w:style w:type="paragraph" w:customStyle="1" w:styleId="equation">
    <w:name w:val="equation"/>
    <w:basedOn w:val="a"/>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a5">
    <w:name w:val="header"/>
    <w:basedOn w:val="a"/>
    <w:link w:val="a6"/>
    <w:rsid w:val="001A3B3D"/>
    <w:pPr>
      <w:tabs>
        <w:tab w:val="center" w:pos="4680"/>
        <w:tab w:val="right" w:pos="9360"/>
      </w:tabs>
    </w:pPr>
  </w:style>
  <w:style w:type="character" w:customStyle="1" w:styleId="a6">
    <w:name w:val="页眉 字符"/>
    <w:basedOn w:val="a0"/>
    <w:link w:val="a5"/>
    <w:rsid w:val="001A3B3D"/>
  </w:style>
  <w:style w:type="paragraph" w:styleId="a7">
    <w:name w:val="footer"/>
    <w:basedOn w:val="a"/>
    <w:link w:val="a8"/>
    <w:rsid w:val="001A3B3D"/>
    <w:pPr>
      <w:tabs>
        <w:tab w:val="center" w:pos="4680"/>
        <w:tab w:val="right" w:pos="9360"/>
      </w:tabs>
    </w:pPr>
  </w:style>
  <w:style w:type="character" w:customStyle="1" w:styleId="a8">
    <w:name w:val="页脚 字符"/>
    <w:basedOn w:val="a0"/>
    <w:link w:val="a7"/>
    <w:rsid w:val="001A3B3D"/>
  </w:style>
  <w:style w:type="character" w:customStyle="1" w:styleId="50">
    <w:name w:val="标题 5 字符"/>
    <w:basedOn w:val="a0"/>
    <w:link w:val="5"/>
    <w:rsid w:val="00AC654C"/>
    <w:rPr>
      <w:smallCaps/>
      <w:noProof/>
    </w:rPr>
  </w:style>
  <w:style w:type="paragraph" w:styleId="a9">
    <w:name w:val="Normal (Web)"/>
    <w:basedOn w:val="a"/>
    <w:rsid w:val="004E54E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package" Target="embeddings/Microsoft_Visio_Drawing1.vsdx"/><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package" Target="embeddings/Microsoft_Visio_Drawing.vsdx"/><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package" Target="embeddings/Microsoft_Visio_Drawing2.vsd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6</Pages>
  <Words>4861</Words>
  <Characters>27903</Characters>
  <Application>Microsoft Office Word</Application>
  <DocSecurity>0</DocSecurity>
  <Lines>680</Lines>
  <Paragraphs>199</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wan well</cp:lastModifiedBy>
  <cp:revision>7</cp:revision>
  <cp:lastPrinted>2026-05-24T05:27:00Z</cp:lastPrinted>
  <dcterms:created xsi:type="dcterms:W3CDTF">2026-05-24T04:28:00Z</dcterms:created>
  <dcterms:modified xsi:type="dcterms:W3CDTF">2026-05-24T05:55:00Z</dcterms:modified>
</cp:coreProperties>
</file>