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http://schemas.openxmlformats.org/officeDocument/2006/math" xmlns:mc="http://schemas.openxmlformats.org/markup-compatibility/2006" xmlns:r="http://schemas.openxmlformats.org/officeDocument/2006/relationships" xmlns:w="http://schemas.openxmlformats.org/wordprocessingml/2006/main" xmlns:w14="http://schemas.microsoft.com/office/word/2010/wordml" mc:Ignorable="w14">
  <w:body>
    <w:p>
      <w:pPr>
        <w:pStyle w:val="Normal"/>
        <w:jc w:val="center"/>
        <w:spacing w:before="200" w:after="100" w:line="600" w:lineRule="auto"/>
      </w:pPr>
      <w:r>
        <w:rPr>
          <w:rFonts w:ascii="Times New Roman" w:hAnsi="Times New Roman" w:eastAsia="黑体" w:cs="黑体"/>
          <w:b/>
          <w:bCs/>
          <w:sz w:val="32"/>
          <w:szCs w:val="32"/>
        </w:rPr>
        <w:t xml:space="preserve">主动配电网水电-储能协调的三阶段事件触发分布鲁棒调压框架</w:t>
      </w:r>
    </w:p>
    <w:p>
      <w:pPr>
        <w:pStyle w:val="Normal"/>
        <w:jc w:val="center"/>
        <w:spacing w:before="60" w:after="120" w:line="440" w:lineRule="auto"/>
      </w:pPr>
      <w:r>
        <w:rPr>
          <w:rFonts w:ascii="Times New Roman" w:hAnsi="Times New Roman" w:eastAsia="Times New Roman" w:cs="Times New Roman"/>
          <w:i/>
          <w:iCs/>
          <w:sz w:val="22"/>
          <w:szCs w:val="22"/>
        </w:rPr>
        <w:t xml:space="preserve">A Three-Stage Event-Triggered Distributionally Robust Voltage Regulation Framework for Hydro-Storage Coordination in Active Distribution Networks</w:t>
      </w:r>
    </w:p>
    <w:p>
      <w:pPr>
        <w:pStyle w:val="Normal"/>
        <w:jc w:val="center"/>
        <w:spacing w:before="80" w:after="40" w:line="400" w:lineRule="auto"/>
      </w:pPr>
      <w:r>
        <w:rPr>
          <w:rFonts w:ascii="Times New Roman" w:hAnsi="Times New Roman" w:eastAsia="宋体" w:cs="宋体"/>
          <w:b/>
          <w:bCs/>
          <w:sz w:val="22"/>
          <w:szCs w:val="22"/>
        </w:rPr>
        <w:t xml:space="preserve">作者1，作者2，作者3</w:t>
      </w:r>
    </w:p>
    <w:p>
      <w:pPr>
        <w:pStyle w:val="Normal"/>
        <w:jc w:val="center"/>
        <w:spacing w:before="0" w:after="140" w:line="400" w:lineRule="auto"/>
      </w:pPr>
      <w:r>
        <w:rPr>
          <w:rFonts w:ascii="Times New Roman" w:hAnsi="Times New Roman" w:eastAsia="宋体" w:cs="宋体"/>
          <w:sz w:val="19"/>
          <w:szCs w:val="19"/>
        </w:rPr>
        <w:t xml:space="preserve">（1. 高校电气工程系，省市 邮编；2. 合作单位，省市 邮编）</w:t>
      </w:r>
    </w:p>
    <w:p>
      <w:pPr>
        <w:pStyle w:val="Normal"/>
        <w:jc w:val="both"/>
        <w:spacing w:before="0" w:after="0" w:line="440" w:lineRule="auto"/>
      </w:pPr>
      <w:r>
        <w:rPr>
          <w:rFonts w:ascii="Times New Roman" w:hAnsi="Times New Roman" w:eastAsia="宋体" w:cs="宋体"/>
          <w:b/>
          <w:bCs/>
          <w:sz w:val="19"/>
          <w:szCs w:val="19"/>
        </w:rPr>
        <w:t xml:space="preserve">摘要：</w:t>
      </w:r>
      <w:r>
        <w:rPr>
          <w:rFonts w:ascii="Times New Roman" w:hAnsi="Times New Roman" w:eastAsia="宋体" w:cs="宋体"/>
          <w:sz w:val="19"/>
          <w:szCs w:val="19"/>
        </w:rPr>
        <w:t xml:space="preserve">针对主动配电网（ADN）高光伏渗透率导致的节点电压越限问题，本文提出一种面向水电-储能协调的三阶段事件触发分布鲁棒调压框架。在事前阶段（命题1），以概率盒（P-box）刻画光伏和负荷的预测误差置信边界，提出储备裕度内生化方法：利用P-box半宽度解析推导最小快速储备需求ρ_min(t)，克服了现有分布鲁棒MPC方法将置信水平作为外生常数的局限；在事中阶段，基于递归最小二乘（RLS）方法在线更新节点电压灵敏度矩阵，适应弱配电网的参数时变特性；当基于LP对偶信息构建的触发指标g(t)超过阈值η时，事件触发机制启动命题2，驱动水电机组在剩余调度周期上重新规划以恢复储能裕度。与端到端深度强化学习（DRL）触发判据相比，LP对偶触发指标规避了LP最优顶点处梯度为零的致命缺陷，可严格保证物理硬约束的满足。基于改进IEEE 33节点系统的蒙特卡洛仿真表明，在最优阈值η*=0.15条件下，所提方法使电压越限次数较无重规划基准减少32.7%，同时较周期性重规划减少约26.1%的通信与计算开销。</w:t>
      </w:r>
    </w:p>
    <w:p>
      <w:pPr>
        <w:pStyle w:val="Normal"/>
        <w:jc w:val="both"/>
        <w:spacing w:before="0" w:after="0" w:line="440" w:lineRule="auto"/>
      </w:pPr>
      <w:r>
        <w:rPr>
          <w:rFonts w:ascii="Times New Roman" w:hAnsi="Times New Roman" w:eastAsia="宋体" w:cs="宋体"/>
          <w:b/>
          <w:bCs/>
          <w:sz w:val="19"/>
          <w:szCs w:val="19"/>
        </w:rPr>
        <w:t xml:space="preserve">关键词：</w:t>
      </w:r>
      <w:r>
        <w:rPr>
          <w:rFonts w:ascii="Times New Roman" w:hAnsi="Times New Roman" w:eastAsia="宋体" w:cs="宋体"/>
          <w:sz w:val="19"/>
          <w:szCs w:val="19"/>
        </w:rPr>
        <w:t xml:space="preserve">主动配电网；分布鲁棒优化；事件触发控制；P-box不确定性；水电-储能协调；影子价格；电压调节</w:t>
      </w:r>
    </w:p>
    <w:p>
      <w:pPr>
        <w:spacing w:before="0" w:after="0" w:line="240" w:lineRule="auto"/>
      </w:pPr>
    </w:p>
    <w:p>
      <w:pPr>
        <w:pStyle w:val="Normal"/>
        <w:jc w:val="both"/>
        <w:spacing w:before="0" w:after="0" w:line="440" w:lineRule="auto"/>
      </w:pPr>
      <w:r>
        <w:rPr>
          <w:rFonts w:ascii="Times New Roman" w:hAnsi="Times New Roman" w:eastAsia="宋体" w:cs="宋体"/>
          <w:b/>
          <w:bCs/>
          <w:sz w:val="19"/>
          <w:szCs w:val="19"/>
        </w:rPr>
        <w:t xml:space="preserve">Abstract:  </w:t>
      </w:r>
      <w:r>
        <w:rPr>
          <w:rFonts w:ascii="Times New Roman" w:hAnsi="Times New Roman" w:eastAsia="宋体" w:cs="宋体"/>
          <w:sz w:val="19"/>
          <w:szCs w:val="19"/>
        </w:rPr>
        <w:t xml:space="preserve">This paper proposes a three-stage event-triggered distributionally robust voltage regulation framework for hydro-storage coordination in active distribution networks (ADNs) with high photovoltaic (PV) penetration. In the pre-stage, a probability box (P-box) characterizes PV and load forecast error confidence bounds. Proposition 1 endogenizes the fast-reserve margin analytically from P-box half-widths, overcoming the limitation of prescribing the confidence level as an exogenous constant in existing distributionally robust MPC formulations. During real-time execution, an online recursive least squares (RLS) estimator continuously updates the voltage sensitivity matrix for weak feeders. When the LP dual-based trigger indicator g(t) exceeds threshold eta, the event-triggered mechanism invokes Proposition 2 to re-dispatch hydro on the remaining horizon. The LP-dual trigger avoids the zero-gradient pathology at LP optimal vertices, guaranteeing strict constraint satisfaction. Monte Carlo simulations on a modified IEEE 33-bus system show a 32.7% reduction in voltage violations at optimal eta*=0.15 versus the no-re-planning benchmark, with 26.1% lower communication overhead than periodic re-planning.</w:t>
      </w:r>
    </w:p>
    <w:p>
      <w:pPr>
        <w:pStyle w:val="Normal"/>
        <w:jc w:val="both"/>
        <w:spacing w:before="0" w:after="0" w:line="440" w:lineRule="auto"/>
      </w:pPr>
      <w:r>
        <w:rPr>
          <w:rFonts w:ascii="Times New Roman" w:hAnsi="Times New Roman" w:eastAsia="宋体" w:cs="宋体"/>
          <w:b/>
          <w:bCs/>
          <w:sz w:val="19"/>
          <w:szCs w:val="19"/>
        </w:rPr>
        <w:t xml:space="preserve">Key words:  </w:t>
      </w:r>
      <w:r>
        <w:rPr>
          <w:rFonts w:ascii="Times New Roman" w:hAnsi="Times New Roman" w:eastAsia="宋体" w:cs="宋体"/>
          <w:sz w:val="19"/>
          <w:szCs w:val="19"/>
        </w:rPr>
        <w:t xml:space="preserve">active distribution network; distributionally robust optimization; event-triggered control; P-box uncertainty; hydro-storage coordination; shadow price; voltage regulation</w:t>
      </w:r>
    </w:p>
    <w:p>
      <w:pPr>
        <w:spacing w:before="0" w:after="0" w:line="240" w:lineRule="auto"/>
      </w:pPr>
    </w:p>
    <w:p>
      <w:pPr>
        <w:pStyle w:val="Normal"/>
        <w:jc w:val="left"/>
        <w:spacing w:before="200" w:after="80" w:line="480" w:lineRule="auto"/>
      </w:pPr>
      <w:r>
        <w:rPr>
          <w:rFonts w:ascii="Times New Roman" w:hAnsi="Times New Roman" w:eastAsia="黑体" w:cs="黑体"/>
          <w:b/>
          <w:bCs/>
          <w:sz w:val="21"/>
          <w:szCs w:val="21"/>
        </w:rPr>
        <w:t xml:space="preserve">1  引言</w:t>
      </w:r>
    </w:p>
    <w:p>
      <w:pPr>
        <w:pStyle w:val="Normal"/>
        <w:jc w:val="both"/>
        <w:spacing w:before="0" w:after="0" w:line="480" w:lineRule="auto"/>
        <w:ind w:left="0" w:firstLine="420"/>
      </w:pPr>
      <w:r>
        <w:rPr>
          <w:rFonts w:ascii="Times New Roman" w:hAnsi="Times New Roman" w:eastAsia="宋体" w:cs="宋体"/>
          <w:sz w:val="21"/>
          <w:szCs w:val="21"/>
        </w:rPr>
        <w:t xml:space="preserve">随着分布式光伏（PV）发电的大规模渗透，主动配电网（ADN）面临日益严峻的节点电压越限挑战。区别于输电网，配电馈线高电阻-电抗比（R/X比）的弱馈线特征使节点电压对有功注入变化极为敏感[20]，传统依赖有载调压变压器（OLTC）和固定电容器组的慢速离散调压手段难以追踪光伏出力的分钟级快速波动。为此，电池储能系统（BESS）和智能逆变器被引入配电网，形成“慢速机组（水电）预调度+快速设备（储能）实时响应”的混合调压体系。如何在光伏预测误差的影响下协调慢速水电与快速储能的调压动作，同时保证快速储备裕度在全调度周期内不耗尽，是当前ADN优化调度领域亟待解决的核心问题。</w:t>
      </w:r>
    </w:p>
    <w:p>
      <w:pPr>
        <w:pStyle w:val="Normal"/>
        <w:jc w:val="both"/>
        <w:spacing w:before="0" w:after="0" w:line="480" w:lineRule="auto"/>
        <w:ind w:left="0" w:firstLine="420"/>
      </w:pPr>
      <w:r>
        <w:rPr>
          <w:rFonts w:ascii="Times New Roman" w:hAnsi="Times New Roman" w:eastAsia="宋体" w:cs="宋体"/>
          <w:sz w:val="21"/>
          <w:szCs w:val="21"/>
        </w:rPr>
        <w:t xml:space="preserve">从理论框架演进来看，现有调压方法主要分为三类：①基于模型预测控制（MPC）的分布鲁棒优化方法；②深度强化学习（DRL）方法；③多阶段鲁棒/随机优化方法。</w:t>
      </w:r>
    </w:p>
    <w:p>
      <w:pPr>
        <w:pStyle w:val="Normal"/>
        <w:jc w:val="both"/>
        <w:spacing w:before="0" w:after="0" w:line="480" w:lineRule="auto"/>
        <w:ind w:left="0" w:firstLine="420"/>
      </w:pPr>
      <w:r>
        <w:rPr>
          <w:rFonts w:ascii="Times New Roman" w:hAnsi="Times New Roman" w:eastAsia="宋体" w:cs="宋体"/>
          <w:sz w:val="21"/>
          <w:szCs w:val="21"/>
        </w:rPr>
        <w:t xml:space="preserve">文献[17]提出了基于Wasserstein距离的分布鲁棒MPC（WDR-MPC），通过模糊集（Ambiguity Set）刻画预测误差的概率分布不确定性。然而，WDR-MPC中快速储备裕度的置信水平ε通常作为外生常数直接设定（如置信水平1-ε=0.85），缺乏与实时不确定性水平的动态耦合。当光伏和负荷预测误差急剧扩大时，固定的ε值将导致储备裕度估计不足，引发储备耗尽和电压越限的连锁风险。</w:t>
      </w:r>
    </w:p>
    <w:p>
      <w:pPr>
        <w:pStyle w:val="Normal"/>
        <w:jc w:val="both"/>
        <w:spacing w:before="0" w:after="0" w:line="480" w:lineRule="auto"/>
        <w:ind w:left="0" w:firstLine="420"/>
      </w:pPr>
      <w:r>
        <w:rPr>
          <w:rFonts w:ascii="Times New Roman" w:hAnsi="Times New Roman" w:eastAsia="宋体" w:cs="宋体"/>
          <w:sz w:val="21"/>
          <w:szCs w:val="21"/>
        </w:rPr>
        <w:t xml:space="preserve">文献[4]提出的安全深度强化学习（Safe DRL）和文献[11]提出的物理信息引导DRL在配电网调压控制领域引发广泛关注。然而，配电网调压重规划的本质是含硬约束的线性规划（LP）或混合整数线性规划（MILP），其最优解始终位于可行多面体的顶点处。在顶点邻域内，LP目标函数对决策变量的次梯度为零向量[4][11]，导致反向传播时梯度消失，神经网络无法有效辨识约束的危险边界，因此难以保证电压、SOC等物理硬约束的严格满足。</w:t>
      </w:r>
    </w:p>
    <w:p>
      <w:pPr>
        <w:pStyle w:val="Normal"/>
        <w:jc w:val="both"/>
        <w:spacing w:before="0" w:after="0" w:line="480" w:lineRule="auto"/>
        <w:ind w:left="0" w:firstLine="420"/>
      </w:pPr>
      <w:r>
        <w:rPr>
          <w:rFonts w:ascii="Times New Roman" w:hAnsi="Times New Roman" w:eastAsia="宋体" w:cs="宋体"/>
          <w:sz w:val="21"/>
          <w:szCs w:val="21"/>
        </w:rPr>
        <w:t xml:space="preserve">文献[12]提出了含离散跨期约束的多阶段鲁棒无功优化（MRTPS），系统地处理了储能SOC和水库水位的跨时段耦合约束，为本文水电建模提供了重要的参考范式。文献[9]分析了通信不完美条件下分布式调压控制的鲁棒性，指出配电网通信丢包率约为5%~15%，为事件触发阈值η的合理选取提供了实证依据。</w:t>
      </w:r>
    </w:p>
    <w:p>
      <w:pPr>
        <w:pStyle w:val="Normal"/>
        <w:jc w:val="both"/>
        <w:spacing w:before="0" w:after="0" w:line="480" w:lineRule="auto"/>
        <w:ind w:left="0" w:firstLine="420"/>
      </w:pPr>
      <w:r>
        <w:rPr>
          <w:rFonts w:ascii="Times New Roman" w:hAnsi="Times New Roman" w:eastAsia="宋体" w:cs="宋体"/>
          <w:sz w:val="21"/>
          <w:szCs w:val="21"/>
        </w:rPr>
        <w:t xml:space="preserve">针对上述不足，本文的主要贡献如下：</w:t>
      </w:r>
    </w:p>
    <w:p>
      <w:pPr>
        <w:pStyle w:val="Normal"/>
        <w:jc w:val="both"/>
        <w:spacing w:before="0" w:after="0" w:line="480" w:lineRule="auto"/>
        <w:ind w:left="0" w:firstLine="420"/>
      </w:pPr>
      <w:r>
        <w:rPr>
          <w:rFonts w:ascii="Times New Roman" w:hAnsi="Times New Roman" w:eastAsia="宋体" w:cs="宋体"/>
          <w:sz w:val="21"/>
          <w:szCs w:val="21"/>
        </w:rPr>
        <w:t xml:space="preserve">（1）提出储备裕度内生化方法（命题1）：通过P-box半宽度的欧氏范数聚合解析推导最小储备需求ρ_min(t)，打破了将置信水平作为外生常数输入优化模型的传统范式，实现了储备裕度与实时不确定性量级的动态耦合。</w:t>
      </w:r>
    </w:p>
    <w:p>
      <w:pPr>
        <w:pStyle w:val="Normal"/>
        <w:jc w:val="both"/>
        <w:spacing w:before="0" w:after="0" w:line="480" w:lineRule="auto"/>
        <w:ind w:left="0" w:firstLine="420"/>
      </w:pPr>
      <w:r>
        <w:rPr>
          <w:rFonts w:ascii="Times New Roman" w:hAnsi="Times New Roman" w:eastAsia="宋体" w:cs="宋体"/>
          <w:sz w:val="21"/>
          <w:szCs w:val="21"/>
        </w:rPr>
        <w:t xml:space="preserve">（2）提出基于LP对偶信息的事件触发判据：构建标量触发指标g(t)（对应LP约束的归一化影子价格间隙），规避DRL方法的梯度消失缺陷，全程保证物理硬约束的严格可行性。</w:t>
      </w:r>
    </w:p>
    <w:p>
      <w:pPr>
        <w:pStyle w:val="Normal"/>
        <w:jc w:val="both"/>
        <w:spacing w:before="0" w:after="0" w:line="480" w:lineRule="auto"/>
        <w:ind w:left="0" w:firstLine="420"/>
      </w:pPr>
      <w:r>
        <w:rPr>
          <w:rFonts w:ascii="Times New Roman" w:hAnsi="Times New Roman" w:eastAsia="宋体" w:cs="宋体"/>
          <w:sz w:val="21"/>
          <w:szCs w:val="21"/>
        </w:rPr>
        <w:t xml:space="preserve">（3）引入RLS在线灵敏度估计[14]：对时变的节点电压灵敏度矩阵S进行实时更新，确保弱配电网参数漂移条件下的闭环电压调节精度。</w:t>
      </w:r>
    </w:p>
    <w:p>
      <w:pPr>
        <w:pStyle w:val="Normal"/>
        <w:jc w:val="both"/>
        <w:spacing w:before="0" w:after="0" w:line="480" w:lineRule="auto"/>
        <w:ind w:left="0" w:firstLine="420"/>
      </w:pPr>
      <w:r>
        <w:rPr>
          <w:rFonts w:ascii="Times New Roman" w:hAnsi="Times New Roman" w:eastAsia="宋体" w:cs="宋体"/>
          <w:sz w:val="21"/>
          <w:szCs w:val="21"/>
        </w:rPr>
        <w:t xml:space="preserve">（4）提出事件触发重规划（命题2）：仅在g(t)≥η时触发水电重调度，有效降低通信与计算开销，同时保证关键时刻的储备恢复。</w:t>
      </w:r>
    </w:p>
    <w:p>
      <w:pPr>
        <w:spacing w:before="0" w:after="0" w:line="240" w:lineRule="auto"/>
      </w:pPr>
    </w:p>
    <w:p>
      <w:pPr>
        <w:pStyle w:val="Normal"/>
        <w:jc w:val="left"/>
        <w:spacing w:before="200" w:after="80" w:line="480" w:lineRule="auto"/>
      </w:pPr>
      <w:r>
        <w:rPr>
          <w:rFonts w:ascii="Times New Roman" w:hAnsi="Times New Roman" w:eastAsia="黑体" w:cs="黑体"/>
          <w:b/>
          <w:bCs/>
          <w:sz w:val="21"/>
          <w:szCs w:val="21"/>
        </w:rPr>
        <w:t xml:space="preserve">2  系统建模</w:t>
      </w:r>
    </w:p>
    <w:p>
      <w:pPr>
        <w:pStyle w:val="Normal"/>
        <w:jc w:val="left"/>
        <w:spacing w:before="120" w:after="60" w:line="480" w:lineRule="auto"/>
      </w:pPr>
      <w:r>
        <w:rPr>
          <w:rFonts w:ascii="Times New Roman" w:hAnsi="Times New Roman" w:eastAsia="黑体" w:cs="黑体"/>
          <w:b/>
          <w:bCs/>
          <w:sz w:val="21"/>
          <w:szCs w:val="21"/>
        </w:rPr>
        <w:t xml:space="preserve">2.1  配电网线性化潮流模型</w:t>
      </w:r>
    </w:p>
    <w:p>
      <w:pPr>
        <w:pStyle w:val="Normal"/>
        <w:jc w:val="both"/>
        <w:spacing w:before="0" w:after="0" w:line="480" w:lineRule="auto"/>
        <w:ind w:left="0" w:firstLine="420"/>
      </w:pPr>
      <w:r>
        <w:rPr>
          <w:rFonts w:ascii="Times New Roman" w:hAnsi="Times New Roman" w:eastAsia="宋体" w:cs="宋体"/>
          <w:sz w:val="21"/>
          <w:szCs w:val="21"/>
        </w:rPr>
        <w:t xml:space="preserve">对于含N个节点的辐射型配电网，基于支路潮流方程的线性化模型（LinDistFlow）在忽略高阶项后[20]，将节点电压偏差向量ΔV∈ℝ^N 表示为有功和无功注入变化的线性函数：</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Δ</m:t>
              </m:r>
              <m:r>
                <m:rPr>
                  <m:sty m:val="i"/>
                  <m:sz m:val="21"/>
                </m:rPr>
                <m:t xml:space="preserve">V</m:t>
              </m:r>
              <m:r>
                <m:rPr>
                  <m:sty m:val="i"/>
                  <m:sz m:val="21"/>
                </m:rPr>
                <m:t xml:space="preserve"> ≈ </m:t>
              </m:r>
              <m:sSub>
                <m:sSubPr/>
                <m:e>
                  <m:r>
                    <m:rPr>
                      <m:sty m:val="i"/>
                      <m:sz m:val="21"/>
                    </m:rPr>
                    <m:t xml:space="preserve">S</m:t>
                  </m:r>
                </m:e>
                <m:sub>
                  <m:r>
                    <m:rPr>
                      <m:sty m:val="p"/>
                      <m:sz m:val="21"/>
                    </m:rPr>
                    <m:t xml:space="preserve">P</m:t>
                  </m:r>
                </m:sub>
              </m:sSub>
              <m:r>
                <m:rPr>
                  <m:sty m:val="i"/>
                  <m:sz m:val="21"/>
                </m:rPr>
                <m:t xml:space="preserve">·ΔP + </m:t>
              </m:r>
              <m:sSub>
                <m:sSubPr/>
                <m:e>
                  <m:r>
                    <m:rPr>
                      <m:sty m:val="i"/>
                      <m:sz m:val="21"/>
                    </m:rPr>
                    <m:t xml:space="preserve">S</m:t>
                  </m:r>
                </m:e>
                <m:sub>
                  <m:r>
                    <m:rPr>
                      <m:sty m:val="p"/>
                      <m:sz m:val="21"/>
                    </m:rPr>
                    <m:t xml:space="preserve">Q</m:t>
                  </m:r>
                </m:sub>
              </m:sSub>
              <m:r>
                <m:rPr>
                  <m:sty m:val="i"/>
                  <m:sz m:val="21"/>
                </m:rPr>
                <m:t xml:space="preserve">·ΔQ</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(1)</w:t>
            </w:r>
          </w:p>
        </w:tc>
      </w:tr>
    </w:tbl>
    <w:p>
      <w:pPr>
        <w:pStyle w:val="Normal"/>
        <w:jc w:val="both"/>
        <w:spacing w:before="0" w:after="0" w:line="480" w:lineRule="auto"/>
      </w:pPr>
      <w:r>
        <w:rPr>
          <w:rFonts w:ascii="Times New Roman" w:hAnsi="Times New Roman" w:eastAsia="宋体" w:cs="宋体"/>
          <w:sz w:val="21"/>
          <w:szCs w:val="21"/>
        </w:rPr>
        <w:t xml:space="preserve">其中S_P、S_Q∈ℝ^{N×N}为电压灵敏度矩阵；ΔP、ΔQ分别为有功和无功注入变化向量。对于高R/X比的弱配电网[20]，有功注入对电压的影响占主导，可进一步简化为仅考虑有功项：</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ΔV ≈ S·ΔP,    </m:t>
              </m:r>
              <m:sSub>
                <m:sSubPr/>
                <m:e>
                  <m:r>
                    <m:rPr>
                      <m:sty m:val="i"/>
                      <m:sz m:val="21"/>
                    </m:rPr>
                    <m:t xml:space="preserve">S</m:t>
                  </m:r>
                </m:e>
                <m:sub>
                  <m:r>
                    <m:rPr>
                      <m:sty m:val="p"/>
                      <m:sz m:val="21"/>
                    </m:rPr>
                    <m:t xml:space="preserve">ij</m:t>
                  </m:r>
                </m:sub>
              </m:sSub>
              <m:r>
                <m:rPr>
                  <m:sty m:val="i"/>
                  <m:sz m:val="21"/>
                </m:rPr>
                <m:t xml:space="preserve"> = </m:t>
              </m:r>
              <m:r>
                <m:rPr>
                  <m:sty m:val="i"/>
                  <m:sz m:val="21"/>
                </m:rPr>
                <m:t xml:space="preserve">Σ</m:t>
              </m:r>
              <m:sSub>
                <m:sSubPr/>
                <m:e>
                  <m:r>
                    <m:rPr>
                      <m:sty m:val="i"/>
                      <m:sz m:val="21"/>
                    </m:rPr>
                    <m:t xml:space="preserve"/>
                  </m:r>
                </m:e>
                <m:sub>
                  <m:r>
                    <m:rPr>
                      <m:sty m:val="p"/>
                      <m:sz m:val="21"/>
                    </m:rPr>
                    <m:t xml:space="preserve">k∈Ω(i,j)</m:t>
                  </m:r>
                </m:sub>
              </m:sSub>
              <m:sSub>
                <m:sSubPr/>
                <m:e>
                  <m:r>
                    <m:rPr>
                      <m:sty m:val="i"/>
                      <m:sz m:val="21"/>
                    </m:rPr>
                    <m:t xml:space="preserve">r</m:t>
                  </m:r>
                </m:e>
                <m:sub>
                  <m:r>
                    <m:rPr>
                      <m:sty m:val="i"/>
                      <m:sz m:val="21"/>
                    </m:rPr>
                    <m:t xml:space="preserve">k</m:t>
                  </m:r>
                </m:sub>
              </m:sSub>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(2)</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其中S_{ij}等于从根节点到节点min(i,j)路径上各支路电阻之和（标幺值），Ω(i,j)为对应支路集合，r_k为支路k的电阻。由于节点负载动态变化，S矩阵并非恒定，第4节将引入在线RLS方法对其进行实时估计更新。</w:t>
      </w:r>
    </w:p>
    <w:p>
      <w:pPr>
        <w:pStyle w:val="Normal"/>
        <w:jc w:val="left"/>
        <w:spacing w:before="120" w:after="60" w:line="480" w:lineRule="auto"/>
      </w:pPr>
      <w:r>
        <w:rPr>
          <w:rFonts w:ascii="Times New Roman" w:hAnsi="Times New Roman" w:eastAsia="黑体" w:cs="黑体"/>
          <w:b/>
          <w:bCs/>
          <w:sz w:val="21"/>
          <w:szCs w:val="21"/>
        </w:rPr>
        <w:t xml:space="preserve">2.2  P-box不确定性集合</w:t>
      </w:r>
    </w:p>
    <w:p>
      <w:pPr>
        <w:pStyle w:val="Normal"/>
        <w:jc w:val="both"/>
        <w:spacing w:before="0" w:after="0" w:line="480" w:lineRule="auto"/>
        <w:ind w:left="0" w:firstLine="420"/>
      </w:pPr>
      <w:r>
        <w:rPr>
          <w:rFonts w:ascii="Times New Roman" w:hAnsi="Times New Roman" w:eastAsia="宋体" w:cs="宋体"/>
          <w:sz w:val="21"/>
          <w:szCs w:val="21"/>
        </w:rPr>
        <w:t xml:space="preserve">采用概率盒（P-box）[17]刻画光伏出力和负荷的预测不确定性。P-box通过上下界区间约束预测误差的置信范围，无需假定特定的概率分布形式。光伏出力的P-box定义为：</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sSub>
                <m:sSubPr/>
                <m:e>
                  <m:r>
                    <m:rPr>
                      <m:sty m:val="i"/>
                      <m:sz m:val="21"/>
                    </m:rPr>
                    <m:t xml:space="preserve">P̲</m:t>
                  </m:r>
                </m:e>
                <m:sub>
                  <m:r>
                    <m:rPr>
                      <m:sty m:val="p"/>
                      <m:sz m:val="21"/>
                    </m:rPr>
                    <m:t xml:space="preserve">pv</m:t>
                  </m:r>
                </m:sub>
              </m:sSub>
              <m:r>
                <m:rPr>
                  <m:sty m:val="i"/>
                  <m:sz m:val="21"/>
                </m:rPr>
                <m:t xml:space="preserve">(t) ≤ </m:t>
              </m:r>
              <m:sSub>
                <m:sSubPr/>
                <m:e>
                  <m:r>
                    <m:rPr>
                      <m:sty m:val="i"/>
                      <m:sz m:val="21"/>
                    </m:rPr>
                    <m:t xml:space="preserve">P</m:t>
                  </m:r>
                </m:e>
                <m:sub>
                  <m:r>
                    <m:rPr>
                      <m:sty m:val="p"/>
                      <m:sz m:val="21"/>
                    </m:rPr>
                    <m:t xml:space="preserve">pv</m:t>
                  </m:r>
                </m:sub>
              </m:sSub>
              <m:r>
                <m:rPr>
                  <m:sty m:val="i"/>
                  <m:sz m:val="21"/>
                </m:rPr>
                <m:t xml:space="preserve">(t) ≤ </m:t>
              </m:r>
              <m:sSub>
                <m:sSubPr/>
                <m:e>
                  <m:r>
                    <m:rPr>
                      <m:sty m:val="i"/>
                      <m:sz m:val="21"/>
                    </m:rPr>
                    <m:t xml:space="preserve">P̅</m:t>
                  </m:r>
                </m:e>
                <m:sub>
                  <m:r>
                    <m:rPr>
                      <m:sty m:val="p"/>
                      <m:sz m:val="21"/>
                    </m:rPr>
                    <m:t xml:space="preserve">pv</m:t>
                  </m:r>
                </m:sub>
              </m:sSub>
              <m:r>
                <m:rPr>
                  <m:sty m:val="i"/>
                  <m:sz m:val="21"/>
                </m:rPr>
                <m:t xml:space="preserve">(t)</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(3)</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其中上下界由预测误差比例系数α^{lo}_{pv}、α^{hi}_{pv}确定：</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sSub>
                <m:sSubPr/>
                <m:e>
                  <m:r>
                    <m:rPr>
                      <m:sty m:val="i"/>
                      <m:sz m:val="21"/>
                    </m:rPr>
                    <m:t xml:space="preserve">P̲</m:t>
                  </m:r>
                </m:e>
                <m:sub>
                  <m:r>
                    <m:rPr>
                      <m:sty m:val="p"/>
                      <m:sz m:val="21"/>
                    </m:rPr>
                    <m:t xml:space="preserve">pv</m:t>
                  </m:r>
                </m:sub>
              </m:sSub>
              <m:r>
                <m:rPr>
                  <m:sty m:val="i"/>
                  <m:sz m:val="21"/>
                </m:rPr>
                <m:t xml:space="preserve">(t) = (1 − </m:t>
              </m:r>
              <m:sSubSup>
                <m:sSubSupPr/>
                <m:e>
                  <m:r>
                    <m:rPr>
                      <m:sty m:val="i"/>
                      <m:sz m:val="21"/>
                    </m:rPr>
                    <m:t xml:space="preserve">α</m:t>
                  </m:r>
                </m:e>
                <m:sub>
                  <m:r>
                    <m:rPr>
                      <m:sty m:val="p"/>
                      <m:sz m:val="21"/>
                    </m:rPr>
                    <m:t xml:space="preserve">pv</m:t>
                  </m:r>
                </m:sub>
                <m:sup>
                  <m:r>
                    <m:rPr>
                      <m:sty m:val="p"/>
                      <m:sz m:val="21"/>
                    </m:rPr>
                    <m:t xml:space="preserve">lo</m:t>
                  </m:r>
                </m:sup>
              </m:sSubSup>
              <m:r>
                <m:rPr>
                  <m:sty m:val="i"/>
                  <m:sz m:val="21"/>
                </m:rPr>
                <m:t xml:space="preserve">)·</m:t>
              </m:r>
              <m:sSub>
                <m:sSubPr/>
                <m:e>
                  <m:r>
                    <m:rPr>
                      <m:sty m:val="i"/>
                      <m:sz m:val="21"/>
                    </m:rPr>
                    <m:t xml:space="preserve">P̂</m:t>
                  </m:r>
                </m:e>
                <m:sub>
                  <m:r>
                    <m:rPr>
                      <m:sty m:val="p"/>
                      <m:sz m:val="21"/>
                    </m:rPr>
                    <m:t xml:space="preserve">pv</m:t>
                  </m:r>
                </m:sub>
              </m:sSub>
              <m:r>
                <m:rPr>
                  <m:sty m:val="i"/>
                  <m:sz m:val="21"/>
                </m:rPr>
                <m:t xml:space="preserve">(t)</m:t>
              </m:r>
              <m:r>
                <m:rPr>
                  <m:sty m:val="i"/>
                  <m:sz m:val="21"/>
                </m:rPr>
                <m:t xml:space="preserve">,    </m:t>
              </m:r>
              <m:sSub>
                <m:sSubPr/>
                <m:e>
                  <m:r>
                    <m:rPr>
                      <m:sty m:val="i"/>
                      <m:sz m:val="21"/>
                    </m:rPr>
                    <m:t xml:space="preserve">P̅</m:t>
                  </m:r>
                </m:e>
                <m:sub>
                  <m:r>
                    <m:rPr>
                      <m:sty m:val="p"/>
                      <m:sz m:val="21"/>
                    </m:rPr>
                    <m:t xml:space="preserve">pv</m:t>
                  </m:r>
                </m:sub>
              </m:sSub>
              <m:r>
                <m:rPr>
                  <m:sty m:val="i"/>
                  <m:sz m:val="21"/>
                </m:rPr>
                <m:t xml:space="preserve">(t) = (1 + </m:t>
              </m:r>
              <m:sSubSup>
                <m:sSubSupPr/>
                <m:e>
                  <m:r>
                    <m:rPr>
                      <m:sty m:val="i"/>
                      <m:sz m:val="21"/>
                    </m:rPr>
                    <m:t xml:space="preserve">α</m:t>
                  </m:r>
                </m:e>
                <m:sub>
                  <m:r>
                    <m:rPr>
                      <m:sty m:val="p"/>
                      <m:sz m:val="21"/>
                    </m:rPr>
                    <m:t xml:space="preserve">pv</m:t>
                  </m:r>
                </m:sub>
                <m:sup>
                  <m:r>
                    <m:rPr>
                      <m:sty m:val="p"/>
                      <m:sz m:val="21"/>
                    </m:rPr>
                    <m:t xml:space="preserve">hi</m:t>
                  </m:r>
                </m:sup>
              </m:sSubSup>
              <m:r>
                <m:rPr>
                  <m:sty m:val="i"/>
                  <m:sz m:val="21"/>
                </m:rPr>
                <m:t xml:space="preserve">)·</m:t>
              </m:r>
              <m:sSub>
                <m:sSubPr/>
                <m:e>
                  <m:r>
                    <m:rPr>
                      <m:sty m:val="i"/>
                      <m:sz m:val="21"/>
                    </m:rPr>
                    <m:t xml:space="preserve">P̂</m:t>
                  </m:r>
                </m:e>
                <m:sub>
                  <m:r>
                    <m:rPr>
                      <m:sty m:val="p"/>
                      <m:sz m:val="21"/>
                    </m:rPr>
                    <m:t xml:space="preserve">pv</m:t>
                  </m:r>
                </m:sub>
              </m:sSub>
              <m:r>
                <m:rPr>
                  <m:sty m:val="i"/>
                  <m:sz m:val="21"/>
                </m:rPr>
                <m:t xml:space="preserve">(t)</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(4)</w:t>
            </w:r>
          </w:p>
        </w:tc>
      </w:tr>
    </w:tbl>
    <w:p>
      <w:pPr>
        <w:pStyle w:val="Normal"/>
        <w:jc w:val="both"/>
        <w:spacing w:before="0" w:after="0" w:line="480" w:lineRule="auto"/>
        <w:ind w:left="0" w:firstLine="420"/>
      </w:pPr>
      <w:r>
        <w:rPr>
          <w:rFonts w:ascii="Times New Roman" w:hAnsi="Times New Roman" w:eastAsia="宋体" w:cs="宋体"/>
          <w:sz w:val="21"/>
          <w:szCs w:val="21"/>
        </w:rPr>
        <w:t xml:space="preserve">P̂_{pv}(t)为光伏出力预测均值；对负荷P-box同理处理。P-box半宽度Δ_{pv}(t)=(P̄_{pv}(t)-P̲_{pv}(t))/2反映当前时刻不确定性的量级，是第3节储备裕度内生化计算的核心输入。</w:t>
      </w:r>
    </w:p>
    <w:p>
      <w:pPr>
        <w:pStyle w:val="Normal"/>
        <w:jc w:val="left"/>
        <w:spacing w:before="120" w:after="60" w:line="480" w:lineRule="auto"/>
      </w:pPr>
      <w:r>
        <w:rPr>
          <w:rFonts w:ascii="Times New Roman" w:hAnsi="Times New Roman" w:eastAsia="黑体" w:cs="黑体"/>
          <w:b/>
          <w:bCs/>
          <w:sz w:val="21"/>
          <w:szCs w:val="21"/>
        </w:rPr>
        <w:t xml:space="preserve">2.3  水电机组模型</w:t>
      </w:r>
    </w:p>
    <w:p>
      <w:pPr>
        <w:pStyle w:val="Normal"/>
        <w:jc w:val="both"/>
        <w:spacing w:before="0" w:after="0" w:line="480" w:lineRule="auto"/>
        <w:ind w:left="0" w:firstLine="420"/>
      </w:pPr>
      <w:r>
        <w:rPr>
          <w:rFonts w:ascii="Times New Roman" w:hAnsi="Times New Roman" w:eastAsia="宋体" w:cs="宋体"/>
          <w:sz w:val="21"/>
          <w:szCs w:val="21"/>
        </w:rPr>
        <w:t xml:space="preserve">径流式水电机组的有功出力p_h(t)受水库容量约束，其与水库容积V(t)满足如下跨期耦合关系[12]：</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V(t+1) = V(t) + </m:t>
              </m:r>
              <m:sSub>
                <m:sSubPr/>
                <m:e>
                  <m:r>
                    <m:rPr>
                      <m:sty m:val="i"/>
                      <m:sz m:val="21"/>
                    </m:rPr>
                    <m:t xml:space="preserve">q</m:t>
                  </m:r>
                </m:e>
                <m:sub>
                  <m:r>
                    <m:rPr>
                      <m:sty m:val="p"/>
                      <m:sz m:val="21"/>
                    </m:rPr>
                    <m:t xml:space="preserve">in</m:t>
                  </m:r>
                </m:sub>
              </m:sSub>
              <m:r>
                <m:rPr>
                  <m:sty m:val="i"/>
                  <m:sz m:val="21"/>
                </m:rPr>
                <m:t xml:space="preserve">(t) − </m:t>
              </m:r>
              <m:f>
                <m:fPr/>
                <m:num>
                  <m:sSub>
                    <m:sSubPr/>
                    <m:e>
                      <m:r>
                        <m:rPr>
                          <m:sty m:val="i"/>
                          <m:sz m:val="21"/>
                        </m:rPr>
                        <m:t xml:space="preserve">p</m:t>
                      </m:r>
                    </m:e>
                    <m:sub>
                      <m:r>
                        <m:rPr>
                          <m:sty m:val="p"/>
                          <m:sz m:val="21"/>
                        </m:rPr>
                        <m:t xml:space="preserve">h</m:t>
                      </m:r>
                    </m:sub>
                  </m:sSub>
                  <m:r>
                    <m:rPr>
                      <m:sty m:val="i"/>
                      <m:sz m:val="21"/>
                    </m:rPr>
                    <m:t xml:space="preserve">(t)·Δt</m:t>
                  </m:r>
                </m:num>
                <m:den>
                  <m:sSub>
                    <m:sSubPr/>
                    <m:e>
                      <m:r>
                        <m:rPr>
                          <m:sty m:val="i"/>
                          <m:sz m:val="21"/>
                        </m:rPr>
                        <m:t xml:space="preserve">η</m:t>
                      </m:r>
                    </m:e>
                    <m:sub>
                      <m:r>
                        <m:rPr>
                          <m:sty m:val="p"/>
                          <m:sz m:val="21"/>
                        </m:rPr>
                        <m:t xml:space="preserve">h</m:t>
                      </m:r>
                    </m:sub>
                  </m:sSub>
                </m:den>
              </m:f>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(5)</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q_{in}(t)为t时刻天然入流量（Mm³/h）；η_h为水-电转换效率；Δt为时间步长（h）。水库容积和水电出力满足容量约束：V^{min}≤V(t)≤V^{max}，p^{min}_h≤p_h(t)≤p^{max}_h。式(5)的离散跨期结构使相邻时刻的水电出力决策相互耦合[12]，这是水电调压区别于纯储能系统的关键特征。</w:t>
      </w:r>
    </w:p>
    <w:p>
      <w:pPr>
        <w:pStyle w:val="Normal"/>
        <w:jc w:val="left"/>
        <w:spacing w:before="120" w:after="60" w:line="480" w:lineRule="auto"/>
      </w:pPr>
      <w:r>
        <w:rPr>
          <w:rFonts w:ascii="Times New Roman" w:hAnsi="Times New Roman" w:eastAsia="黑体" w:cs="黑体"/>
          <w:b/>
          <w:bCs/>
          <w:sz w:val="21"/>
          <w:szCs w:val="21"/>
        </w:rPr>
        <w:t xml:space="preserve">2.4  快速储能模型</w:t>
      </w:r>
    </w:p>
    <w:p>
      <w:pPr>
        <w:pStyle w:val="Normal"/>
        <w:jc w:val="both"/>
        <w:spacing w:before="0" w:after="0" w:line="480" w:lineRule="auto"/>
        <w:ind w:left="0" w:firstLine="420"/>
      </w:pPr>
      <w:r>
        <w:rPr>
          <w:rFonts w:ascii="Times New Roman" w:hAnsi="Times New Roman" w:eastAsia="宋体" w:cs="宋体"/>
          <w:sz w:val="21"/>
          <w:szCs w:val="21"/>
        </w:rPr>
        <w:t xml:space="preserve">电池储能系统的荷电状态（SOC）满足如下动态方程：</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SOC(t+1) = SOC(t) − </m:t>
              </m:r>
              <m:f>
                <m:fPr/>
                <m:num>
                  <m:sSup>
                    <m:sSupPr/>
                    <m:e>
                      <m:sSub>
                        <m:sSubPr/>
                        <m:e>
                          <m:r>
                            <m:rPr>
                              <m:sty m:val="i"/>
                              <m:sz m:val="21"/>
                            </m:rPr>
                            <m:t xml:space="preserve">p</m:t>
                          </m:r>
                        </m:e>
                        <m:sub>
                          <m:r>
                            <m:rPr>
                              <m:sty m:val="p"/>
                              <m:sz m:val="21"/>
                            </m:rPr>
                            <m:t xml:space="preserve">s</m:t>
                          </m:r>
                        </m:sub>
                      </m:sSub>
                    </m:e>
                    <m:sup>
                      <m:r>
                        <m:rPr>
                          <m:sty m:val="p"/>
                          <m:sz m:val="21"/>
                        </m:rPr>
                        <m:t xml:space="preserve">+</m:t>
                      </m:r>
                    </m:sup>
                  </m:sSup>
                  <m:r>
                    <m:rPr>
                      <m:sty m:val="i"/>
                      <m:sz m:val="21"/>
                    </m:rPr>
                    <m:t xml:space="preserve">(t)·Δt</m:t>
                  </m:r>
                </m:num>
                <m:den>
                  <m:sSub>
                    <m:sSubPr/>
                    <m:e>
                      <m:r>
                        <m:rPr>
                          <m:sty m:val="i"/>
                          <m:sz m:val="21"/>
                        </m:rPr>
                        <m:t xml:space="preserve">η</m:t>
                      </m:r>
                    </m:e>
                    <m:sub>
                      <m:r>
                        <m:rPr>
                          <m:sty m:val="p"/>
                          <m:sz m:val="21"/>
                        </m:rPr>
                        <m:t xml:space="preserve">d</m:t>
                      </m:r>
                    </m:sub>
                  </m:sSub>
                  <m:r>
                    <m:rPr>
                      <m:sty m:val="i"/>
                      <m:sz m:val="21"/>
                    </m:rPr>
                    <m:t xml:space="preserve">·</m:t>
                  </m:r>
                  <m:sSub>
                    <m:sSubPr/>
                    <m:e>
                      <m:r>
                        <m:rPr>
                          <m:sty m:val="i"/>
                          <m:sz m:val="21"/>
                        </m:rPr>
                        <m:t xml:space="preserve">E</m:t>
                      </m:r>
                    </m:e>
                    <m:sub>
                      <m:r>
                        <m:rPr>
                          <m:sty m:val="p"/>
                          <m:sz m:val="21"/>
                        </m:rPr>
                        <m:t xml:space="preserve">s</m:t>
                      </m:r>
                    </m:sub>
                  </m:sSub>
                </m:den>
              </m:f>
              <m:r>
                <m:rPr>
                  <m:sty m:val="i"/>
                  <m:sz m:val="21"/>
                </m:rPr>
                <m:t xml:space="preserve"> + </m:t>
              </m:r>
              <m:f>
                <m:fPr/>
                <m:num>
                  <m:sSup>
                    <m:sSupPr/>
                    <m:e>
                      <m:sSub>
                        <m:sSubPr/>
                        <m:e>
                          <m:r>
                            <m:rPr>
                              <m:sty m:val="i"/>
                              <m:sz m:val="21"/>
                            </m:rPr>
                            <m:t xml:space="preserve">p</m:t>
                          </m:r>
                        </m:e>
                        <m:sub>
                          <m:r>
                            <m:rPr>
                              <m:sty m:val="p"/>
                              <m:sz m:val="21"/>
                            </m:rPr>
                            <m:t xml:space="preserve">s</m:t>
                          </m:r>
                        </m:sub>
                      </m:sSub>
                    </m:e>
                    <m:sup>
                      <m:r>
                        <m:rPr>
                          <m:sty m:val="p"/>
                          <m:sz m:val="21"/>
                        </m:rPr>
                        <m:t xml:space="preserve">−</m:t>
                      </m:r>
                    </m:sup>
                  </m:sSup>
                  <m:r>
                    <m:rPr>
                      <m:sty m:val="i"/>
                      <m:sz m:val="21"/>
                    </m:rPr>
                    <m:t xml:space="preserve">(t)·</m:t>
                  </m:r>
                  <m:sSub>
                    <m:sSubPr/>
                    <m:e>
                      <m:r>
                        <m:rPr>
                          <m:sty m:val="i"/>
                          <m:sz m:val="21"/>
                        </m:rPr>
                        <m:t xml:space="preserve">η</m:t>
                      </m:r>
                    </m:e>
                    <m:sub>
                      <m:r>
                        <m:rPr>
                          <m:sty m:val="p"/>
                          <m:sz m:val="21"/>
                        </m:rPr>
                        <m:t xml:space="preserve">c</m:t>
                      </m:r>
                    </m:sub>
                  </m:sSub>
                  <m:r>
                    <m:rPr>
                      <m:sty m:val="i"/>
                      <m:sz m:val="21"/>
                    </m:rPr>
                    <m:t xml:space="preserve">·Δt</m:t>
                  </m:r>
                </m:num>
                <m:den>
                  <m:sSub>
                    <m:sSubPr/>
                    <m:e>
                      <m:r>
                        <m:rPr>
                          <m:sty m:val="i"/>
                          <m:sz m:val="21"/>
                        </m:rPr>
                        <m:t xml:space="preserve">E</m:t>
                      </m:r>
                    </m:e>
                    <m:sub>
                      <m:r>
                        <m:rPr>
                          <m:sty m:val="p"/>
                          <m:sz m:val="21"/>
                        </m:rPr>
                        <m:t xml:space="preserve">s</m:t>
                      </m:r>
                    </m:sub>
                  </m:sSub>
                </m:den>
              </m:f>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(6)</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其中p^+(t)、p^-(t)分别为放电和充电功率（MW）；η_d、η_c分别为放/充电效率；E_s为储能容量（MWh）。SOC满足区间约束：SOC^{min}≤SOC(t)≤SOC^{max}。储能的双向快速调节能力（快速储备裕度）ρ(t)定义为：</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ρ(t) = min(</m:t>
              </m:r>
              <m:sSubSup>
                <m:sSubSupPr/>
                <m:e>
                  <m:r>
                    <m:rPr>
                      <m:sty m:val="i"/>
                      <m:sz m:val="21"/>
                    </m:rPr>
                    <m:t xml:space="preserve">p</m:t>
                  </m:r>
                </m:e>
                <m:sub>
                  <m:r>
                    <m:rPr>
                      <m:sty m:val="p"/>
                      <m:sz m:val="21"/>
                    </m:rPr>
                    <m:t xml:space="preserve">avail</m:t>
                  </m:r>
                </m:sub>
                <m:sup>
                  <m:r>
                    <m:rPr>
                      <m:sty m:val="p"/>
                      <m:sz m:val="21"/>
                    </m:rPr>
                    <m:t xml:space="preserve">dis</m:t>
                  </m:r>
                </m:sup>
              </m:sSubSup>
              <m:r>
                <m:rPr>
                  <m:sty m:val="i"/>
                  <m:sz m:val="21"/>
                </m:rPr>
                <m:t xml:space="preserve">(t),  </m:t>
              </m:r>
              <m:sSubSup>
                <m:sSubSupPr/>
                <m:e>
                  <m:r>
                    <m:rPr>
                      <m:sty m:val="i"/>
                      <m:sz m:val="21"/>
                    </m:rPr>
                    <m:t xml:space="preserve">p</m:t>
                  </m:r>
                </m:e>
                <m:sub>
                  <m:r>
                    <m:rPr>
                      <m:sty m:val="p"/>
                      <m:sz m:val="21"/>
                    </m:rPr>
                    <m:t xml:space="preserve">avail</m:t>
                  </m:r>
                </m:sub>
                <m:sup>
                  <m:r>
                    <m:rPr>
                      <m:sty m:val="p"/>
                      <m:sz m:val="21"/>
                    </m:rPr>
                    <m:t xml:space="preserve">ch</m:t>
                  </m:r>
                </m:sup>
              </m:sSubSup>
              <m:r>
                <m:rPr>
                  <m:sty m:val="i"/>
                  <m:sz m:val="21"/>
                </m:rPr>
                <m:t xml:space="preserve">(t))</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(7)</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其中p^{dis}_{avail}(t)=min(P^{rate}_s, (SOC(t)-SOC^{min})·η_d·E_s/Δt)，p^{ch}_{avail}(t)=min(P^{rate}_s, (SOC^{max}-SOC(t))·E_s/(η_c·Δt))。当ρ(t)→0时，储能无法继续提供对称双向调节能力，若此时出现较大预测偏差将直接导致电压越限，这是驱动命题2事件触发重规划的核心物理动机。</w:t>
      </w:r>
    </w:p>
    <w:p>
      <w:pPr>
        <w:spacing w:before="0" w:after="0" w:line="240" w:lineRule="auto"/>
      </w:pPr>
    </w:p>
    <w:p>
      <w:pPr>
        <w:pStyle w:val="Normal"/>
        <w:jc w:val="left"/>
        <w:spacing w:before="200" w:after="80" w:line="480" w:lineRule="auto"/>
      </w:pPr>
      <w:r>
        <w:rPr>
          <w:rFonts w:ascii="Times New Roman" w:hAnsi="Times New Roman" w:eastAsia="黑体" w:cs="黑体"/>
          <w:b/>
          <w:bCs/>
          <w:sz w:val="21"/>
          <w:szCs w:val="21"/>
        </w:rPr>
        <w:t xml:space="preserve">3  命题1：事前优化与储备裕度内生化</w:t>
      </w:r>
    </w:p>
    <w:p>
      <w:pPr>
        <w:pStyle w:val="Normal"/>
        <w:jc w:val="left"/>
        <w:spacing w:before="120" w:after="60" w:line="480" w:lineRule="auto"/>
      </w:pPr>
      <w:r>
        <w:rPr>
          <w:rFonts w:ascii="Times New Roman" w:hAnsi="Times New Roman" w:eastAsia="黑体" w:cs="黑体"/>
          <w:b/>
          <w:bCs/>
          <w:sz w:val="21"/>
          <w:szCs w:val="21"/>
        </w:rPr>
        <w:t xml:space="preserve">3.1  储备裕度内生化方法</w:t>
      </w:r>
    </w:p>
    <w:p>
      <w:pPr>
        <w:pStyle w:val="Normal"/>
        <w:jc w:val="both"/>
        <w:spacing w:before="0" w:after="0" w:line="480" w:lineRule="auto"/>
        <w:ind w:left="0" w:firstLine="420"/>
      </w:pPr>
      <w:r>
        <w:rPr>
          <w:rFonts w:ascii="Times New Roman" w:hAnsi="Times New Roman" w:eastAsia="宋体" w:cs="宋体"/>
          <w:sz w:val="21"/>
          <w:szCs w:val="21"/>
        </w:rPr>
        <w:t xml:space="preserve">现有分布鲁棒MPC方法（如文献[17]的WDR-MPC）通常将快速储备的置信水平ε作为外生参数代入模糊集约束，例如，文献[17]在仿真中直接设定1-ε=0.85，无法随不同时段预测误差量级的动态变化而自适应调整。当清晨多云时段预测误差扩大至晴天的3~5倍时，固定ε值将使储备裕度估计明显不足。</w:t>
      </w:r>
    </w:p>
    <w:p>
      <w:pPr>
        <w:pStyle w:val="Normal"/>
        <w:jc w:val="both"/>
        <w:spacing w:before="0" w:after="0" w:line="480" w:lineRule="auto"/>
        <w:ind w:left="0" w:firstLine="420"/>
      </w:pPr>
      <w:r>
        <w:rPr>
          <w:rFonts w:ascii="Times New Roman" w:hAnsi="Times New Roman" w:eastAsia="宋体" w:cs="宋体"/>
          <w:sz w:val="21"/>
          <w:szCs w:val="21"/>
        </w:rPr>
        <w:t xml:space="preserve">本文提出的内生化方法直接从P-box的几何结构推导最小储备需求。对于任意时刻t，净负荷偏差的最坏情况（Worst-Case）由Cauchy-Schwarz不等式聚合得：</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|Δ</m:t>
              </m:r>
              <m:sSubSup>
                <m:sSubSupPr/>
                <m:e>
                  <m:r>
                    <m:rPr>
                      <m:sty m:val="i"/>
                      <m:sz m:val="21"/>
                    </m:rPr>
                    <m:t xml:space="preserve">P</m:t>
                  </m:r>
                </m:e>
                <m:sub>
                  <m:r>
                    <m:rPr>
                      <m:sty m:val="p"/>
                      <m:sz m:val="21"/>
                    </m:rPr>
                    <m:t xml:space="preserve">net</m:t>
                  </m:r>
                </m:sub>
                <m:sup>
                  <m:r>
                    <m:rPr>
                      <m:sty m:val="p"/>
                      <m:sz m:val="21"/>
                    </m:rPr>
                    <m:t xml:space="preserve">WC</m:t>
                  </m:r>
                </m:sup>
              </m:sSubSup>
              <m:r>
                <m:rPr>
                  <m:sty m:val="i"/>
                  <m:sz m:val="21"/>
                </m:rPr>
                <m:t xml:space="preserve">(t)|  ≤  </m:t>
              </m:r>
              <m:rad>
                <m:radPr>
                  <m:degHide m:val="1"/>
                </m:radPr>
                <m:deg/>
                <m:e>
                  <m:sSup>
                    <m:sSupPr/>
                    <m:e>
                      <m:sSub>
                        <m:sSubPr/>
                        <m:e>
                          <m:r>
                            <m:rPr>
                              <m:sty m:val="i"/>
                              <m:sz m:val="21"/>
                            </m:rPr>
                            <m:t xml:space="preserve">Δ</m:t>
                          </m:r>
                        </m:e>
                        <m:sub>
                          <m:r>
                            <m:rPr>
                              <m:sty m:val="p"/>
                              <m:sz m:val="21"/>
                            </m:rPr>
                            <m:t xml:space="preserve">pv</m:t>
                          </m:r>
                        </m:sub>
                      </m:sSub>
                    </m:e>
                    <m:sup>
                      <m:r>
                        <m:rPr>
                          <m:sty m:val="i"/>
                          <m:sz m:val="21"/>
                        </m:rPr>
                        <m:t xml:space="preserve">2</m:t>
                      </m:r>
                    </m:sup>
                  </m:sSup>
                  <m:r>
                    <m:rPr>
                      <m:sty m:val="i"/>
                      <m:sz m:val="21"/>
                    </m:rPr>
                    <m:t xml:space="preserve">(t) + </m:t>
                  </m:r>
                  <m:sSup>
                    <m:sSupPr/>
                    <m:e>
                      <m:sSub>
                        <m:sSubPr/>
                        <m:e>
                          <m:r>
                            <m:rPr>
                              <m:sty m:val="i"/>
                              <m:sz m:val="21"/>
                            </m:rPr>
                            <m:t xml:space="preserve">Δ</m:t>
                          </m:r>
                        </m:e>
                        <m:sub>
                          <m:r>
                            <m:rPr>
                              <m:sty m:val="p"/>
                              <m:sz m:val="21"/>
                            </m:rPr>
                            <m:t xml:space="preserve">load</m:t>
                          </m:r>
                        </m:sub>
                      </m:sSub>
                    </m:e>
                    <m:sup>
                      <m:r>
                        <m:rPr>
                          <m:sty m:val="i"/>
                          <m:sz m:val="21"/>
                        </m:rPr>
                        <m:t xml:space="preserve">2</m:t>
                      </m:r>
                    </m:sup>
                  </m:sSup>
                  <m:r>
                    <m:rPr>
                      <m:sty m:val="i"/>
                      <m:sz m:val="21"/>
                    </m:rPr>
                    <m:t xml:space="preserve">(t)</m:t>
                  </m:r>
                </m:e>
              </m:rad>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(8)</w:t>
            </w:r>
          </w:p>
        </w:tc>
      </w:tr>
    </w:tbl>
    <w:p>
      <w:pPr>
        <w:pStyle w:val="Normal"/>
        <w:jc w:val="both"/>
        <w:spacing w:before="0" w:after="0" w:line="480" w:lineRule="auto"/>
        <w:ind w:left="0" w:firstLine="420"/>
      </w:pPr>
      <w:r>
        <w:rPr>
          <w:rFonts w:ascii="Times New Roman" w:hAnsi="Times New Roman" w:eastAsia="宋体" w:cs="宋体"/>
          <w:sz w:val="21"/>
          <w:szCs w:val="21"/>
        </w:rPr>
        <w:t xml:space="preserve">式(8)对光伏和负荷P-box的独立不确定性进行欧氏范数聚合，给出净负荷偏差的解析上界。在此基础上，定义最小快速储备需求（本文核心公式）：</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sSub>
                <m:sSubPr/>
                <m:e>
                  <m:r>
                    <m:rPr>
                      <m:sty m:val="i"/>
                      <m:sz m:val="21"/>
                    </m:rPr>
                    <m:t xml:space="preserve">ρ</m:t>
                  </m:r>
                </m:e>
                <m:sub>
                  <m:r>
                    <m:rPr>
                      <m:sty m:val="p"/>
                      <m:sz m:val="21"/>
                    </m:rPr>
                    <m:t xml:space="preserve">min</m:t>
                  </m:r>
                </m:sub>
              </m:sSub>
              <m:r>
                <m:rPr>
                  <m:sty m:val="i"/>
                  <m:sz m:val="21"/>
                </m:rPr>
                <m:t xml:space="preserve">(t) = </m:t>
              </m:r>
              <m:rad>
                <m:radPr>
                  <m:degHide m:val="1"/>
                </m:radPr>
                <m:deg/>
                <m:e>
                  <m:sSup>
                    <m:sSupPr/>
                    <m:e>
                      <m:sSub>
                        <m:sSubPr/>
                        <m:e>
                          <m:r>
                            <m:rPr>
                              <m:sty m:val="i"/>
                              <m:sz m:val="21"/>
                            </m:rPr>
                            <m:t xml:space="preserve">Δ</m:t>
                          </m:r>
                        </m:e>
                        <m:sub>
                          <m:r>
                            <m:rPr>
                              <m:sty m:val="p"/>
                              <m:sz m:val="21"/>
                            </m:rPr>
                            <m:t xml:space="preserve">pv</m:t>
                          </m:r>
                        </m:sub>
                      </m:sSub>
                    </m:e>
                    <m:sup>
                      <m:r>
                        <m:rPr>
                          <m:sty m:val="i"/>
                          <m:sz m:val="21"/>
                        </m:rPr>
                        <m:t xml:space="preserve">2</m:t>
                      </m:r>
                    </m:sup>
                  </m:sSup>
                  <m:r>
                    <m:rPr>
                      <m:sty m:val="i"/>
                      <m:sz m:val="21"/>
                    </m:rPr>
                    <m:t xml:space="preserve">(t) + </m:t>
                  </m:r>
                  <m:sSup>
                    <m:sSupPr/>
                    <m:e>
                      <m:sSub>
                        <m:sSubPr/>
                        <m:e>
                          <m:r>
                            <m:rPr>
                              <m:sty m:val="i"/>
                              <m:sz m:val="21"/>
                            </m:rPr>
                            <m:t xml:space="preserve">Δ</m:t>
                          </m:r>
                        </m:e>
                        <m:sub>
                          <m:r>
                            <m:rPr>
                              <m:sty m:val="p"/>
                              <m:sz m:val="21"/>
                            </m:rPr>
                            <m:t xml:space="preserve">load</m:t>
                          </m:r>
                        </m:sub>
                      </m:sSub>
                    </m:e>
                    <m:sup>
                      <m:r>
                        <m:rPr>
                          <m:sty m:val="i"/>
                          <m:sz m:val="21"/>
                        </m:rPr>
                        <m:t xml:space="preserve">2</m:t>
                      </m:r>
                    </m:sup>
                  </m:sSup>
                  <m:r>
                    <m:rPr>
                      <m:sty m:val="i"/>
                      <m:sz m:val="21"/>
                    </m:rPr>
                    <m:t xml:space="preserve">(t)</m:t>
                  </m:r>
                </m:e>
              </m:rad>
              <m:r>
                <m:rPr>
                  <m:sty m:val="i"/>
                  <m:sz m:val="21"/>
                </m:rPr>
                <m:t xml:space="preserve"> + ζ·</m:t>
              </m:r>
              <m:sSub>
                <m:sSubPr/>
                <m:e>
                  <m:r>
                    <m:rPr>
                      <m:sty m:val="i"/>
                      <m:sz m:val="21"/>
                    </m:rPr>
                    <m:t xml:space="preserve">P̅</m:t>
                  </m:r>
                </m:e>
                <m:sub>
                  <m:r>
                    <m:rPr>
                      <m:sty m:val="p"/>
                      <m:sz m:val="21"/>
                    </m:rPr>
                    <m:t xml:space="preserve">load</m:t>
                  </m:r>
                </m:sub>
              </m:sSub>
              <m:r>
                <m:rPr>
                  <m:sty m:val="i"/>
                  <m:sz m:val="21"/>
                </m:rPr>
                <m:t xml:space="preserve">(t)</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(9)</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其中Δ_{pv}(t)和Δ_{load}(t)分别为光伏和负荷P-box的半宽度；ζ∈[0.05, 0.15]为安全系数，用于抵御P-box边界以外的小概率极端偏差。式(9)实现了储备裕度ρ_min(t)与P-box半宽度的动态耦合，称为储备裕度内生化方法，是本文与文献[17]方法论层面的核心区别：文献[17]的ε为外生常数，而本文的ρ_min(t)为与不确定性量级实时关联的内生变量。</w:t>
      </w:r>
    </w:p>
    <w:p>
      <w:pPr>
        <w:pStyle w:val="Normal"/>
        <w:jc w:val="left"/>
        <w:spacing w:before="120" w:after="60" w:line="480" w:lineRule="auto"/>
      </w:pPr>
      <w:r>
        <w:rPr>
          <w:rFonts w:ascii="Times New Roman" w:hAnsi="Times New Roman" w:eastAsia="黑体" w:cs="黑体"/>
          <w:b/>
          <w:bCs/>
          <w:sz w:val="21"/>
          <w:szCs w:val="21"/>
        </w:rPr>
        <w:t xml:space="preserve">3.2  命题1：事前优化模型</w:t>
      </w:r>
    </w:p>
    <w:p>
      <w:pPr>
        <w:pStyle w:val="Normal"/>
        <w:jc w:val="both"/>
        <w:spacing w:before="0" w:after="0" w:line="480" w:lineRule="auto"/>
        <w:ind w:left="0" w:firstLine="420"/>
      </w:pPr>
      <w:r>
        <w:rPr>
          <w:rFonts w:ascii="Times New Roman" w:hAnsi="Times New Roman" w:eastAsia="宋体" w:cs="宋体"/>
          <w:sz w:val="21"/>
          <w:szCs w:val="21"/>
        </w:rPr>
        <w:t xml:space="preserve">命题1（事前调度优化）：给定调度周期T内的预测P-box，在满足水电机组约束(5)和储能约束(6)-(7)的前提下，制定水电出力计划{p_h(t)}以使全周期运行成本最小，同时确保快速储备裕度在全调度周期满足ρ(t)≥ρ_min(t)。</w:t>
      </w:r>
    </w:p>
    <w:p>
      <w:pPr>
        <w:pStyle w:val="Normal"/>
        <w:jc w:val="both"/>
        <w:spacing w:before="0" w:after="0" w:line="480" w:lineRule="auto"/>
        <w:ind w:left="0" w:firstLine="420"/>
      </w:pPr>
      <w:r>
        <w:rPr>
          <w:rFonts w:ascii="Times New Roman" w:hAnsi="Times New Roman" w:eastAsia="宋体" w:cs="宋体"/>
          <w:sz w:val="21"/>
          <w:szCs w:val="21"/>
        </w:rPr>
        <w:t xml:space="preserve">目标函数为：</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min  </m:t>
              </m:r>
              <m:r>
                <m:rPr>
                  <m:sty m:val="i"/>
                  <m:sz m:val="21"/>
                </m:rPr>
                <m:t xml:space="preserve">Σ</m:t>
              </m:r>
              <m:sSubSup>
                <m:sSubSupPr/>
                <m:e>
                  <m:r>
                    <m:rPr>
                      <m:sty m:val="i"/>
                      <m:sz m:val="21"/>
                    </m:rPr>
                    <m:t xml:space="preserve"/>
                  </m:r>
                </m:e>
                <m:sub>
                  <m:r>
                    <m:rPr>
                      <m:sty m:val="p"/>
                      <m:sz m:val="21"/>
                    </m:rPr>
                    <m:t xml:space="preserve">t=1</m:t>
                  </m:r>
                </m:sub>
                <m:sup>
                  <m:r>
                    <m:rPr>
                      <m:sty m:val="p"/>
                      <m:sz m:val="21"/>
                    </m:rPr>
                    <m:t xml:space="preserve">T</m:t>
                  </m:r>
                </m:sup>
              </m:sSubSup>
              <m:r>
                <m:rPr>
                  <m:sty m:val="i"/>
                  <m:sz m:val="21"/>
                </m:rPr>
                <m:t xml:space="preserve">[</m:t>
              </m:r>
              <m:sSub>
                <m:sSubPr/>
                <m:e>
                  <m:r>
                    <m:rPr>
                      <m:sty m:val="i"/>
                      <m:sz m:val="21"/>
                    </m:rPr>
                    <m:t xml:space="preserve">c</m:t>
                  </m:r>
                </m:e>
                <m:sub>
                  <m:r>
                    <m:rPr>
                      <m:sty m:val="p"/>
                      <m:sz m:val="21"/>
                    </m:rPr>
                    <m:t xml:space="preserve">h</m:t>
                  </m:r>
                </m:sub>
              </m:sSub>
              <m:r>
                <m:rPr>
                  <m:sty m:val="i"/>
                  <m:sz m:val="21"/>
                </m:rPr>
                <m:t xml:space="preserve">(t)·</m:t>
              </m:r>
              <m:sSub>
                <m:sSubPr/>
                <m:e>
                  <m:r>
                    <m:rPr>
                      <m:sty m:val="i"/>
                      <m:sz m:val="21"/>
                    </m:rPr>
                    <m:t xml:space="preserve">p</m:t>
                  </m:r>
                </m:e>
                <m:sub>
                  <m:r>
                    <m:rPr>
                      <m:sty m:val="p"/>
                      <m:sz m:val="21"/>
                    </m:rPr>
                    <m:t xml:space="preserve">h</m:t>
                  </m:r>
                </m:sub>
              </m:sSub>
              <m:r>
                <m:rPr>
                  <m:sty m:val="i"/>
                  <m:sz m:val="21"/>
                </m:rPr>
                <m:t xml:space="preserve">(t) + </m:t>
              </m:r>
              <m:sSup>
                <m:sSupPr/>
                <m:e>
                  <m:r>
                    <m:rPr>
                      <m:sty m:val="i"/>
                      <m:sz m:val="21"/>
                    </m:rPr>
                    <m:t xml:space="preserve">c</m:t>
                  </m:r>
                </m:e>
                <m:sup>
                  <m:r>
                    <m:rPr>
                      <m:sty m:val="p"/>
                      <m:sz m:val="21"/>
                    </m:rPr>
                    <m:t xml:space="preserve">+</m:t>
                  </m:r>
                </m:sup>
              </m:sSup>
              <m:sSup>
                <m:sSupPr/>
                <m:e>
                  <m:sSub>
                    <m:sSubPr/>
                    <m:e>
                      <m:r>
                        <m:rPr>
                          <m:sty m:val="i"/>
                          <m:sz m:val="21"/>
                        </m:rPr>
                        <m:t xml:space="preserve">p</m:t>
                      </m:r>
                    </m:e>
                    <m:sub>
                      <m:r>
                        <m:rPr>
                          <m:sty m:val="p"/>
                          <m:sz m:val="21"/>
                        </m:rPr>
                        <m:t xml:space="preserve">s</m:t>
                      </m:r>
                    </m:sub>
                  </m:sSub>
                </m:e>
                <m:sup>
                  <m:r>
                    <m:rPr>
                      <m:sty m:val="p"/>
                      <m:sz m:val="21"/>
                    </m:rPr>
                    <m:t xml:space="preserve">+</m:t>
                  </m:r>
                </m:sup>
              </m:sSup>
              <m:r>
                <m:rPr>
                  <m:sty m:val="i"/>
                  <m:sz m:val="21"/>
                </m:rPr>
                <m:t xml:space="preserve">(t) + </m:t>
              </m:r>
              <m:sSup>
                <m:sSupPr/>
                <m:e>
                  <m:r>
                    <m:rPr>
                      <m:sty m:val="i"/>
                      <m:sz m:val="21"/>
                    </m:rPr>
                    <m:t xml:space="preserve">c</m:t>
                  </m:r>
                </m:e>
                <m:sup>
                  <m:r>
                    <m:rPr>
                      <m:sty m:val="p"/>
                      <m:sz m:val="21"/>
                    </m:rPr>
                    <m:t xml:space="preserve">−</m:t>
                  </m:r>
                </m:sup>
              </m:sSup>
              <m:sSup>
                <m:sSupPr/>
                <m:e>
                  <m:sSub>
                    <m:sSubPr/>
                    <m:e>
                      <m:r>
                        <m:rPr>
                          <m:sty m:val="i"/>
                          <m:sz m:val="21"/>
                        </m:rPr>
                        <m:t xml:space="preserve">p</m:t>
                      </m:r>
                    </m:e>
                    <m:sub>
                      <m:r>
                        <m:rPr>
                          <m:sty m:val="p"/>
                          <m:sz m:val="21"/>
                        </m:rPr>
                        <m:t xml:space="preserve">s</m:t>
                      </m:r>
                    </m:sub>
                  </m:sSub>
                </m:e>
                <m:sup>
                  <m:r>
                    <m:rPr>
                      <m:sty m:val="p"/>
                      <m:sz m:val="21"/>
                    </m:rPr>
                    <m:t xml:space="preserve">−</m:t>
                  </m:r>
                </m:sup>
              </m:sSup>
              <m:r>
                <m:rPr>
                  <m:sty m:val="i"/>
                  <m:sz m:val="21"/>
                </m:rPr>
                <m:t xml:space="preserve">(t)]</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(10)</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其中c_h(t)为水电时变运行成本；c^+、c^-为储能充放电成本系数。</w:t>
      </w:r>
    </w:p>
    <w:p>
      <w:pPr>
        <w:pStyle w:val="Normal"/>
        <w:jc w:val="both"/>
        <w:spacing w:before="0" w:after="0" w:line="480" w:lineRule="auto"/>
      </w:pPr>
      <w:r>
        <w:rPr>
          <w:rFonts w:ascii="Times New Roman" w:hAnsi="Times New Roman" w:eastAsia="宋体" w:cs="宋体"/>
          <w:sz w:val="21"/>
          <w:szCs w:val="21"/>
        </w:rPr>
        <w:t xml:space="preserve">主要约束如下：</w:t>
      </w:r>
    </w:p>
    <w:p>
      <w:pPr>
        <w:pStyle w:val="Normal"/>
        <w:jc w:val="both"/>
        <w:spacing w:before="0" w:after="0" w:line="480" w:lineRule="auto"/>
      </w:pPr>
      <w:r>
        <w:rPr>
          <w:rFonts w:ascii="Times New Roman" w:hAnsi="Times New Roman" w:eastAsia="宋体" w:cs="宋体"/>
          <w:sz w:val="21"/>
          <w:szCs w:val="21"/>
        </w:rPr>
        <w:t xml:space="preserve">（i）功率平衡（预测均值）：p_h(t)+p^+(t)-p^-(t)+P̂_{pv}(t)=P̂_{load}(t)，∀t∈T。</w:t>
      </w:r>
    </w:p>
    <w:p>
      <w:pPr>
        <w:pStyle w:val="Normal"/>
        <w:jc w:val="both"/>
        <w:spacing w:before="0" w:after="0" w:line="480" w:lineRule="auto"/>
      </w:pPr>
      <w:r>
        <w:rPr>
          <w:rFonts w:ascii="Times New Roman" w:hAnsi="Times New Roman" w:eastAsia="宋体" w:cs="宋体"/>
          <w:sz w:val="21"/>
          <w:szCs w:val="21"/>
        </w:rPr>
        <w:t xml:space="preserve">（ii）水库水位跨期约束（引自文献[12]结构）：V^{min}≤V(t)≤V^{max}，p^{min}_h≤p_h(t)≤p^{max}_h，式(5)在全周期成立。</w:t>
      </w:r>
    </w:p>
    <w:p>
      <w:pPr>
        <w:pStyle w:val="Normal"/>
        <w:jc w:val="both"/>
        <w:spacing w:before="0" w:after="0" w:line="480" w:lineRule="auto"/>
      </w:pPr>
      <w:r>
        <w:rPr>
          <w:rFonts w:ascii="Times New Roman" w:hAnsi="Times New Roman" w:eastAsia="宋体" w:cs="宋体"/>
          <w:sz w:val="21"/>
          <w:szCs w:val="21"/>
        </w:rPr>
        <w:t xml:space="preserve">（iii）储能SOC收紧边界约束（储备裕度保障）：</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sSup>
                <m:sSupPr/>
                <m:e>
                  <m:r>
                    <m:rPr>
                      <m:sty m:val="i"/>
                      <m:sz m:val="21"/>
                    </m:rPr>
                    <m:t xml:space="preserve">SOC</m:t>
                  </m:r>
                </m:e>
                <m:sup>
                  <m:r>
                    <m:rPr>
                      <m:sty m:val="p"/>
                      <m:sz m:val="21"/>
                    </m:rPr>
                    <m:t xml:space="preserve">min</m:t>
                  </m:r>
                </m:sup>
              </m:sSup>
              <m:r>
                <m:rPr>
                  <m:sty m:val="i"/>
                  <m:sz m:val="21"/>
                </m:rPr>
                <m:t xml:space="preserve"> + </m:t>
              </m:r>
              <m:f>
                <m:fPr/>
                <m:num>
                  <m:sSub>
                    <m:sSubPr/>
                    <m:e>
                      <m:r>
                        <m:rPr>
                          <m:sty m:val="i"/>
                          <m:sz m:val="21"/>
                        </m:rPr>
                        <m:t xml:space="preserve">ρ</m:t>
                      </m:r>
                    </m:e>
                    <m:sub>
                      <m:r>
                        <m:rPr>
                          <m:sty m:val="p"/>
                          <m:sz m:val="21"/>
                        </m:rPr>
                        <m:t xml:space="preserve">min</m:t>
                      </m:r>
                    </m:sub>
                  </m:sSub>
                  <m:r>
                    <m:rPr>
                      <m:sty m:val="i"/>
                      <m:sz m:val="21"/>
                    </m:rPr>
                    <m:t xml:space="preserve">(t)·Δt</m:t>
                  </m:r>
                </m:num>
                <m:den>
                  <m:sSub>
                    <m:sSubPr/>
                    <m:e>
                      <m:r>
                        <m:rPr>
                          <m:sty m:val="i"/>
                          <m:sz m:val="21"/>
                        </m:rPr>
                        <m:t xml:space="preserve">η</m:t>
                      </m:r>
                    </m:e>
                    <m:sub>
                      <m:r>
                        <m:rPr>
                          <m:sty m:val="p"/>
                          <m:sz m:val="21"/>
                        </m:rPr>
                        <m:t xml:space="preserve">d</m:t>
                      </m:r>
                    </m:sub>
                  </m:sSub>
                  <m:r>
                    <m:rPr>
                      <m:sty m:val="i"/>
                      <m:sz m:val="21"/>
                    </m:rPr>
                    <m:t xml:space="preserve">·</m:t>
                  </m:r>
                  <m:sSub>
                    <m:sSubPr/>
                    <m:e>
                      <m:r>
                        <m:rPr>
                          <m:sty m:val="i"/>
                          <m:sz m:val="21"/>
                        </m:rPr>
                        <m:t xml:space="preserve">E</m:t>
                      </m:r>
                    </m:e>
                    <m:sub>
                      <m:r>
                        <m:rPr>
                          <m:sty m:val="p"/>
                          <m:sz m:val="21"/>
                        </m:rPr>
                        <m:t xml:space="preserve">s</m:t>
                      </m:r>
                    </m:sub>
                  </m:sSub>
                </m:den>
              </m:f>
              <m:r>
                <m:rPr>
                  <m:sty m:val="i"/>
                  <m:sz m:val="21"/>
                </m:rPr>
                <m:t xml:space="preserve"> ≤ SOC(t) ≤ </m:t>
              </m:r>
              <m:sSup>
                <m:sSupPr/>
                <m:e>
                  <m:r>
                    <m:rPr>
                      <m:sty m:val="i"/>
                      <m:sz m:val="21"/>
                    </m:rPr>
                    <m:t xml:space="preserve">SOC</m:t>
                  </m:r>
                </m:e>
                <m:sup>
                  <m:r>
                    <m:rPr>
                      <m:sty m:val="p"/>
                      <m:sz m:val="21"/>
                    </m:rPr>
                    <m:t xml:space="preserve">max</m:t>
                  </m:r>
                </m:sup>
              </m:sSup>
              <m:r>
                <m:rPr>
                  <m:sty m:val="i"/>
                  <m:sz m:val="21"/>
                </m:rPr>
                <m:t xml:space="preserve"> − </m:t>
              </m:r>
              <m:f>
                <m:fPr/>
                <m:num>
                  <m:sSub>
                    <m:sSubPr/>
                    <m:e>
                      <m:r>
                        <m:rPr>
                          <m:sty m:val="i"/>
                          <m:sz m:val="21"/>
                        </m:rPr>
                        <m:t xml:space="preserve">ρ</m:t>
                      </m:r>
                    </m:e>
                    <m:sub>
                      <m:r>
                        <m:rPr>
                          <m:sty m:val="p"/>
                          <m:sz m:val="21"/>
                        </m:rPr>
                        <m:t xml:space="preserve">min</m:t>
                      </m:r>
                    </m:sub>
                  </m:sSub>
                  <m:r>
                    <m:rPr>
                      <m:sty m:val="i"/>
                      <m:sz m:val="21"/>
                    </m:rPr>
                    <m:t xml:space="preserve">(t)·Δt</m:t>
                  </m:r>
                </m:num>
                <m:den>
                  <m:sSub>
                    <m:sSubPr/>
                    <m:e>
                      <m:r>
                        <m:rPr>
                          <m:sty m:val="i"/>
                          <m:sz m:val="21"/>
                        </m:rPr>
                        <m:t xml:space="preserve">η</m:t>
                      </m:r>
                    </m:e>
                    <m:sub>
                      <m:r>
                        <m:rPr>
                          <m:sty m:val="p"/>
                          <m:sz m:val="21"/>
                        </m:rPr>
                        <m:t xml:space="preserve">c</m:t>
                      </m:r>
                    </m:sub>
                  </m:sSub>
                  <m:r>
                    <m:rPr>
                      <m:sty m:val="i"/>
                      <m:sz m:val="21"/>
                    </m:rPr>
                    <m:t xml:space="preserve">·</m:t>
                  </m:r>
                  <m:sSub>
                    <m:sSubPr/>
                    <m:e>
                      <m:r>
                        <m:rPr>
                          <m:sty m:val="i"/>
                          <m:sz m:val="21"/>
                        </m:rPr>
                        <m:t xml:space="preserve">E</m:t>
                      </m:r>
                    </m:e>
                    <m:sub>
                      <m:r>
                        <m:rPr>
                          <m:sty m:val="p"/>
                          <m:sz m:val="21"/>
                        </m:rPr>
                        <m:t xml:space="preserve">s</m:t>
                      </m:r>
                    </m:sub>
                  </m:sSub>
                </m:den>
              </m:f>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(11)</w:t>
            </w:r>
          </w:p>
        </w:tc>
      </w:tr>
    </w:tbl>
    <w:p>
      <w:pPr>
        <w:pStyle w:val="Normal"/>
        <w:jc w:val="both"/>
        <w:spacing w:before="0" w:after="0" w:line="480" w:lineRule="auto"/>
      </w:pPr>
      <w:r>
        <w:rPr>
          <w:rFonts w:ascii="Times New Roman" w:hAnsi="Times New Roman" w:eastAsia="宋体" w:cs="宋体"/>
          <w:sz w:val="21"/>
          <w:szCs w:val="21"/>
        </w:rPr>
        <w:t xml:space="preserve">约束(11)通过将ρ_min(t)嵌入SOC边界的收紧量，使式(9)内生化的储备裕度成为LP可行域的硬约束，这是区别于外生ε参数方法[17]的关键所在——后者无法在SOC收紧量层面与实时不确定性建立解析联系。</w:t>
      </w:r>
    </w:p>
    <w:p>
      <w:pPr>
        <w:pStyle w:val="Normal"/>
        <w:jc w:val="both"/>
        <w:spacing w:before="0" w:after="0" w:line="480" w:lineRule="auto"/>
      </w:pPr>
      <w:r>
        <w:rPr>
          <w:rFonts w:ascii="Times New Roman" w:hAnsi="Times New Roman" w:eastAsia="宋体" w:cs="宋体"/>
          <w:sz w:val="21"/>
          <w:szCs w:val="21"/>
        </w:rPr>
        <w:t xml:space="preserve">（iv）节点电压安全约束：||S·ΔP(t)||∞≤ΔV_{lim}，∀t∈T。</w:t>
      </w:r>
    </w:p>
    <w:p>
      <w:pPr>
        <w:pStyle w:val="Normal"/>
        <w:jc w:val="both"/>
        <w:spacing w:before="0" w:after="0" w:line="480" w:lineRule="auto"/>
        <w:ind w:left="0" w:firstLine="420"/>
      </w:pPr>
      <w:r>
        <w:rPr>
          <w:rFonts w:ascii="Times New Roman" w:hAnsi="Times New Roman" w:eastAsia="宋体" w:cs="宋体"/>
          <w:sz w:val="21"/>
          <w:szCs w:val="21"/>
        </w:rPr>
        <w:t xml:space="preserve">储能预充电机制：当ρ(t)&lt;ρ_min(t)时，通过增大水电出力超出净负荷预测均值的部分直接对储能预充电，即p_h(t)=min(p^{max}_h, P̂_{net}(t)+Δp^{pre}(t))，其中Δp^{pre}(t)=min(ρ_min(t)-ρ_{avail}(t), p^{ch}_{avail}(t))，超出净负荷的水电出力增量以充电功率形式注入储能，满足功率平衡。</w:t>
      </w:r>
    </w:p>
    <w:p>
      <w:pPr>
        <w:spacing w:before="0" w:after="0" w:line="240" w:lineRule="auto"/>
      </w:pPr>
    </w:p>
    <w:p>
      <w:pPr>
        <w:pStyle w:val="Normal"/>
        <w:jc w:val="left"/>
        <w:spacing w:before="200" w:after="80" w:line="480" w:lineRule="auto"/>
      </w:pPr>
      <w:r>
        <w:rPr>
          <w:rFonts w:ascii="Times New Roman" w:hAnsi="Times New Roman" w:eastAsia="黑体" w:cs="黑体"/>
          <w:b/>
          <w:bCs/>
          <w:sz w:val="21"/>
          <w:szCs w:val="21"/>
        </w:rPr>
        <w:t xml:space="preserve">4  事中实时控制</w:t>
      </w:r>
    </w:p>
    <w:p>
      <w:pPr>
        <w:pStyle w:val="Normal"/>
        <w:jc w:val="left"/>
        <w:spacing w:before="120" w:after="60" w:line="480" w:lineRule="auto"/>
      </w:pPr>
      <w:r>
        <w:rPr>
          <w:rFonts w:ascii="Times New Roman" w:hAnsi="Times New Roman" w:eastAsia="黑体" w:cs="黑体"/>
          <w:b/>
          <w:bCs/>
          <w:sz w:val="21"/>
          <w:szCs w:val="21"/>
        </w:rPr>
        <w:t xml:space="preserve">4.1  在线电压灵敏度估计</w:t>
      </w:r>
    </w:p>
    <w:p>
      <w:pPr>
        <w:pStyle w:val="Normal"/>
        <w:jc w:val="both"/>
        <w:spacing w:before="0" w:after="0" w:line="480" w:lineRule="auto"/>
        <w:ind w:left="0" w:firstLine="420"/>
      </w:pPr>
      <w:r>
        <w:rPr>
          <w:rFonts w:ascii="Times New Roman" w:hAnsi="Times New Roman" w:eastAsia="宋体" w:cs="宋体"/>
          <w:sz w:val="21"/>
          <w:szCs w:val="21"/>
        </w:rPr>
        <w:t xml:space="preserve">弱配电网的灵敏度矩阵S因负荷动态变化而显著偏离离线计算值[14]。文献[14]提出了基于自适应递归最小二乘（RLS）的在线估计方法，本文直接引用其核心递推算法：</w:t>
      </w:r>
    </w:p>
    <w:p>
      <w:pPr>
        <w:pStyle w:val="Normal"/>
        <w:jc w:val="both"/>
        <w:spacing w:before="0" w:after="0" w:line="480" w:lineRule="auto"/>
      </w:pPr>
      <w:r>
        <w:rPr>
          <w:rFonts w:ascii="Times New Roman" w:hAnsi="Times New Roman" w:eastAsia="宋体" w:cs="宋体"/>
          <w:sz w:val="21"/>
          <w:szCs w:val="21"/>
        </w:rPr>
        <w:t xml:space="preserve">初始化：S(0)=S_0（基于线路参数的离线初值）；</w:t>
      </w:r>
    </w:p>
    <w:p>
      <w:pPr>
        <w:pStyle w:val="Normal"/>
        <w:jc w:val="both"/>
        <w:spacing w:before="0" w:after="0" w:line="480" w:lineRule="auto"/>
      </w:pPr>
      <w:r>
        <w:rPr>
          <w:rFonts w:ascii="Times New Roman" w:hAnsi="Times New Roman" w:eastAsia="宋体" w:cs="宋体"/>
          <w:sz w:val="21"/>
          <w:szCs w:val="21"/>
        </w:rPr>
        <w:t xml:space="preserve">在每个时刻k，观测ΔV(k)和ΔP(k)后执行：</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S(k+1) = S(k) + γ·</m:t>
              </m:r>
              <m:f>
                <m:fPr/>
                <m:num>
                  <m:r>
                    <m:rPr>
                      <m:sty m:val="i"/>
                      <m:sz m:val="21"/>
                    </m:rPr>
                    <m:t xml:space="preserve">[</m:t>
                  </m:r>
                  <m:r>
                    <m:rPr>
                      <m:sty m:val="i"/>
                      <m:sz m:val="21"/>
                    </m:rPr>
                    <m:t xml:space="preserve">ΔV(k) − S(k)·ΔP(k)] · ΔP</m:t>
                  </m:r>
                  <m:sSup>
                    <m:sSupPr/>
                    <m:e>
                      <m:r>
                        <m:rPr>
                          <m:sty m:val="i"/>
                          <m:sz m:val="21"/>
                        </m:rPr>
                        <m:t xml:space="preserve"/>
                      </m:r>
                    </m:e>
                    <m:sup>
                      <m:r>
                        <m:rPr>
                          <m:sty m:val="p"/>
                          <m:sz m:val="21"/>
                        </m:rPr>
                        <m:t xml:space="preserve">T</m:t>
                      </m:r>
                    </m:sup>
                  </m:sSup>
                  <m:r>
                    <m:rPr>
                      <m:sty m:val="i"/>
                      <m:sz m:val="21"/>
                    </m:rPr>
                    <m:t xml:space="preserve">(k)</m:t>
                  </m:r>
                </m:num>
                <m:den>
                  <m:r>
                    <m:rPr>
                      <m:sty m:val="i"/>
                      <m:sz m:val="21"/>
                    </m:rPr>
                    <m:t xml:space="preserve">‖</m:t>
                  </m:r>
                  <m:r>
                    <m:rPr>
                      <m:sty m:val="i"/>
                      <m:sz m:val="21"/>
                    </m:rPr>
                    <m:t xml:space="preserve">ΔP(k)</m:t>
                  </m:r>
                  <m:r>
                    <m:rPr>
                      <m:sty m:val="i"/>
                      <m:sz m:val="21"/>
                    </m:rPr>
                    <m:t xml:space="preserve">‖</m:t>
                  </m:r>
                  <m:sSup>
                    <m:sSupPr/>
                    <m:e>
                      <m:r>
                        <m:rPr>
                          <m:sty m:val="i"/>
                          <m:sz m:val="21"/>
                        </m:rPr>
                        <m:t xml:space="preserve"/>
                      </m:r>
                    </m:e>
                    <m:sup>
                      <m:r>
                        <m:rPr>
                          <m:sty m:val="p"/>
                          <m:sz m:val="21"/>
                        </m:rPr>
                        <m:t xml:space="preserve">2</m:t>
                      </m:r>
                    </m:sup>
                  </m:sSup>
                  <m:r>
                    <m:rPr>
                      <m:sty m:val="i"/>
                      <m:sz m:val="21"/>
                    </m:rPr>
                    <m:t xml:space="preserve"> + ε</m:t>
                  </m:r>
                </m:den>
              </m:f>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(12)</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γ∈(0,1)为RLS增益（本文取γ=0.10）；ε&gt;0为数值稳定参数；ΔP^T(k)为ΔP(k)的转置。式(12)的物理意义：若基于S(k)预测的电压偏差[S(k)·ΔP(k)]与实测偏差ΔV(k)存在残差，则以ΔP(k)为激励方向按残差大小修正S矩阵。对弱配电网频繁负载波动场景，式(12)使S矩阵始终跟踪当前运行点，保证了事中电压调节的闭环稳定性[14]。</w:t>
      </w:r>
    </w:p>
    <w:p>
      <w:pPr>
        <w:pStyle w:val="Normal"/>
        <w:jc w:val="left"/>
        <w:spacing w:before="120" w:after="60" w:line="480" w:lineRule="auto"/>
      </w:pPr>
      <w:r>
        <w:rPr>
          <w:rFonts w:ascii="Times New Roman" w:hAnsi="Times New Roman" w:eastAsia="黑体" w:cs="黑体"/>
          <w:b/>
          <w:bCs/>
          <w:sz w:val="21"/>
          <w:szCs w:val="21"/>
        </w:rPr>
        <w:t xml:space="preserve">4.2  快速储能实时响应</w:t>
      </w:r>
    </w:p>
    <w:p>
      <w:pPr>
        <w:pStyle w:val="Normal"/>
        <w:jc w:val="both"/>
        <w:spacing w:before="0" w:after="0" w:line="480" w:lineRule="auto"/>
        <w:ind w:left="0" w:firstLine="420"/>
      </w:pPr>
      <w:r>
        <w:rPr>
          <w:rFonts w:ascii="Times New Roman" w:hAnsi="Times New Roman" w:eastAsia="宋体" w:cs="宋体"/>
          <w:sz w:val="21"/>
          <w:szCs w:val="21"/>
        </w:rPr>
        <w:t xml:space="preserve">事中阶段，水电机组按命题1的预调度计划执行。设t时刻的净不平衡量为：</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sSub>
                <m:sSubPr/>
                <m:e>
                  <m:r>
                    <m:rPr>
                      <m:sty m:val="i"/>
                      <m:sz m:val="21"/>
                    </m:rPr>
                    <m:t xml:space="preserve">ε</m:t>
                  </m:r>
                </m:e>
                <m:sub>
                  <m:r>
                    <m:rPr>
                      <m:sty m:val="p"/>
                      <m:sz m:val="21"/>
                    </m:rPr>
                    <m:t xml:space="preserve">net</m:t>
                  </m:r>
                </m:sub>
              </m:sSub>
              <m:r>
                <m:rPr>
                  <m:sty m:val="i"/>
                  <m:sz m:val="21"/>
                </m:rPr>
                <m:t xml:space="preserve">(t) = </m:t>
              </m:r>
              <m:sSubSup>
                <m:sSubSupPr/>
                <m:e>
                  <m:r>
                    <m:rPr>
                      <m:sty m:val="i"/>
                      <m:sz m:val="21"/>
                    </m:rPr>
                    <m:t xml:space="preserve">P</m:t>
                  </m:r>
                </m:e>
                <m:sub>
                  <m:r>
                    <m:rPr>
                      <m:sty m:val="p"/>
                      <m:sz m:val="21"/>
                    </m:rPr>
                    <m:t xml:space="preserve">load</m:t>
                  </m:r>
                </m:sub>
                <m:sup>
                  <m:r>
                    <m:rPr>
                      <m:sty m:val="p"/>
                      <m:sz m:val="21"/>
                    </m:rPr>
                    <m:t xml:space="preserve">act</m:t>
                  </m:r>
                </m:sup>
              </m:sSubSup>
              <m:r>
                <m:rPr>
                  <m:sty m:val="i"/>
                  <m:sz m:val="21"/>
                </m:rPr>
                <m:t xml:space="preserve">(t) − </m:t>
              </m:r>
              <m:sSubSup>
                <m:sSubSupPr/>
                <m:e>
                  <m:r>
                    <m:rPr>
                      <m:sty m:val="i"/>
                      <m:sz m:val="21"/>
                    </m:rPr>
                    <m:t xml:space="preserve">P</m:t>
                  </m:r>
                </m:e>
                <m:sub>
                  <m:r>
                    <m:rPr>
                      <m:sty m:val="p"/>
                      <m:sz m:val="21"/>
                    </m:rPr>
                    <m:t xml:space="preserve">pv</m:t>
                  </m:r>
                </m:sub>
                <m:sup>
                  <m:r>
                    <m:rPr>
                      <m:sty m:val="p"/>
                      <m:sz m:val="21"/>
                    </m:rPr>
                    <m:t xml:space="preserve">act</m:t>
                  </m:r>
                </m:sup>
              </m:sSubSup>
              <m:r>
                <m:rPr>
                  <m:sty m:val="i"/>
                  <m:sz m:val="21"/>
                </m:rPr>
                <m:t xml:space="preserve">(t) − </m:t>
              </m:r>
              <m:sSub>
                <m:sSubPr/>
                <m:e>
                  <m:r>
                    <m:rPr>
                      <m:sty m:val="i"/>
                      <m:sz m:val="21"/>
                    </m:rPr>
                    <m:t xml:space="preserve">p</m:t>
                  </m:r>
                </m:e>
                <m:sub>
                  <m:r>
                    <m:rPr>
                      <m:sty m:val="p"/>
                      <m:sz m:val="21"/>
                    </m:rPr>
                    <m:t xml:space="preserve">h</m:t>
                  </m:r>
                </m:sub>
              </m:sSub>
              <m:r>
                <m:rPr>
                  <m:sty m:val="i"/>
                  <m:sz m:val="21"/>
                </m:rPr>
                <m:t xml:space="preserve">(t)</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(13)</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其中P^{act}_{load}(t)、P^{act}_{pv}(t)分别为负荷和光伏的实测功率。储能以最优方式响应ε_{net}(t)：</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sSub>
                <m:sSubPr/>
                <m:e>
                  <m:r>
                    <m:rPr>
                      <m:sty m:val="i"/>
                      <m:sz m:val="21"/>
                    </m:rPr>
                    <m:t xml:space="preserve">p</m:t>
                  </m:r>
                </m:e>
                <m:sub>
                  <m:r>
                    <m:rPr>
                      <m:sty m:val="p"/>
                      <m:sz m:val="21"/>
                    </m:rPr>
                    <m:t xml:space="preserve">s</m:t>
                  </m:r>
                </m:sub>
              </m:sSub>
              <m:r>
                <m:rPr>
                  <m:sty m:val="i"/>
                  <m:sz m:val="21"/>
                </m:rPr>
                <m:t xml:space="preserve">(t) = Proj</m:t>
              </m:r>
              <m:sSub>
                <m:sSubPr/>
                <m:e>
                  <m:r>
                    <m:rPr>
                      <m:sty m:val="i"/>
                      <m:sz m:val="21"/>
                    </m:rPr>
                    <m:t xml:space="preserve"/>
                  </m:r>
                </m:e>
                <m:sub>
                  <m:r>
                    <m:rPr>
                      <m:sty m:val="p"/>
                      <m:sz m:val="21"/>
                    </m:rPr>
                    <m:t xml:space="preserve">ℱ</m:t>
                  </m:r>
                </m:sub>
              </m:sSub>
              <m:r>
                <m:rPr>
                  <m:sty m:val="i"/>
                  <m:sz m:val="21"/>
                </m:rPr>
                <m:t xml:space="preserve">(ε</m:t>
              </m:r>
              <m:sSub>
                <m:sSubPr/>
                <m:e>
                  <m:r>
                    <m:rPr>
                      <m:sty m:val="i"/>
                      <m:sz m:val="21"/>
                    </m:rPr>
                    <m:t xml:space="preserve"/>
                  </m:r>
                </m:e>
                <m:sub>
                  <m:r>
                    <m:rPr>
                      <m:sty m:val="p"/>
                      <m:sz m:val="21"/>
                    </m:rPr>
                    <m:t xml:space="preserve">net</m:t>
                  </m:r>
                </m:sub>
              </m:sSub>
              <m:r>
                <m:rPr>
                  <m:sty m:val="i"/>
                  <m:sz m:val="21"/>
                </m:rPr>
                <m:t xml:space="preserve">(t))</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(14)</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其中𝔉=[-p^{ch}_{avail}(t), p^{dis}_{avail}(t)]为储能当前可行调节范围，Proj为投影算子，确保SOC约束不被违反。校正后的残余不平衡量ε_{res}(t)=ε_{net}(t)-p_s(t)通过式(2)引起端节点电压偏差：ΔV_{end}(t)≈-S_{end,end}·ε_{res}(t)。当储能处于出力极限（ρ(t)→0）时，p_s(t)→0，ε_{res}(t)≈ε_{net}(t)，端节点电压偏差将接近或超出允许范围，触发指标g(t)随之上升——这正是事件触发重规划的物理触发机制。</w:t>
      </w:r>
    </w:p>
    <w:p>
      <w:pPr>
        <w:spacing w:before="0" w:after="0" w:line="240" w:lineRule="auto"/>
      </w:pPr>
    </w:p>
    <w:p>
      <w:pPr>
        <w:pStyle w:val="Normal"/>
        <w:jc w:val="left"/>
        <w:spacing w:before="200" w:after="80" w:line="480" w:lineRule="auto"/>
      </w:pPr>
      <w:r>
        <w:rPr>
          <w:rFonts w:ascii="Times New Roman" w:hAnsi="Times New Roman" w:eastAsia="黑体" w:cs="黑体"/>
          <w:b/>
          <w:bCs/>
          <w:sz w:val="21"/>
          <w:szCs w:val="21"/>
        </w:rPr>
        <w:t xml:space="preserve">5  命题2：事件触发重规划</w:t>
      </w:r>
    </w:p>
    <w:p>
      <w:pPr>
        <w:pStyle w:val="Normal"/>
        <w:jc w:val="left"/>
        <w:spacing w:before="120" w:after="60" w:line="480" w:lineRule="auto"/>
      </w:pPr>
      <w:r>
        <w:rPr>
          <w:rFonts w:ascii="Times New Roman" w:hAnsi="Times New Roman" w:eastAsia="黑体" w:cs="黑体"/>
          <w:b/>
          <w:bCs/>
          <w:sz w:val="21"/>
          <w:szCs w:val="21"/>
        </w:rPr>
        <w:t xml:space="preserve">5.1  LP对偶触发指标</w:t>
      </w:r>
    </w:p>
    <w:p>
      <w:pPr>
        <w:pStyle w:val="Normal"/>
        <w:jc w:val="both"/>
        <w:spacing w:before="0" w:after="0" w:line="480" w:lineRule="auto"/>
        <w:ind w:left="0" w:firstLine="420"/>
      </w:pPr>
      <w:r>
        <w:rPr>
          <w:rFonts w:ascii="Times New Roman" w:hAnsi="Times New Roman" w:eastAsia="宋体" w:cs="宋体"/>
          <w:sz w:val="21"/>
          <w:szCs w:val="21"/>
        </w:rPr>
        <w:t xml:space="preserve">定义（触发指标）：对任意时刻t，定义标量触发指标g(t)：</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g(t) = max⁡(0,  </m:t>
              </m:r>
              <m:f>
                <m:fPr/>
                <m:num>
                  <m:sSub>
                    <m:sSubPr/>
                    <m:e>
                      <m:r>
                        <m:rPr>
                          <m:sty m:val="i"/>
                          <m:sz m:val="21"/>
                        </m:rPr>
                        <m:t xml:space="preserve">ρ</m:t>
                      </m:r>
                    </m:e>
                    <m:sub>
                      <m:r>
                        <m:rPr>
                          <m:sty m:val="p"/>
                          <m:sz m:val="21"/>
                        </m:rPr>
                        <m:t xml:space="preserve">min</m:t>
                      </m:r>
                    </m:sub>
                  </m:sSub>
                  <m:r>
                    <m:rPr>
                      <m:sty m:val="i"/>
                      <m:sz m:val="21"/>
                    </m:rPr>
                    <m:t xml:space="preserve">(t) − ρ(t)</m:t>
                  </m:r>
                </m:num>
                <m:den>
                  <m:sSub>
                    <m:sSubPr/>
                    <m:e>
                      <m:r>
                        <m:rPr>
                          <m:sty m:val="i"/>
                          <m:sz m:val="21"/>
                        </m:rPr>
                        <m:t xml:space="preserve">ρ</m:t>
                      </m:r>
                    </m:e>
                    <m:sub>
                      <m:r>
                        <m:rPr>
                          <m:sty m:val="p"/>
                          <m:sz m:val="21"/>
                        </m:rPr>
                        <m:t xml:space="preserve">min</m:t>
                      </m:r>
                    </m:sub>
                  </m:sSub>
                  <m:r>
                    <m:rPr>
                      <m:sty m:val="i"/>
                      <m:sz m:val="21"/>
                    </m:rPr>
                    <m:t xml:space="preserve">(t)</m:t>
                  </m:r>
                </m:den>
              </m:f>
              <m:r>
                <m:rPr>
                  <m:sty m:val="i"/>
                  <m:sz m:val="21"/>
                </m:rPr>
                <m:t xml:space="preserve">)</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(15)</w:t>
            </w:r>
          </w:p>
        </w:tc>
      </w:tr>
    </w:tbl>
    <w:p>
      <w:pPr>
        <w:pStyle w:val="Normal"/>
        <w:jc w:val="both"/>
        <w:spacing w:before="0" w:after="0" w:line="480" w:lineRule="auto"/>
        <w:ind w:left="0" w:firstLine="420"/>
      </w:pPr>
      <w:r>
        <w:rPr>
          <w:rFonts w:ascii="Times New Roman" w:hAnsi="Times New Roman" w:eastAsia="宋体" w:cs="宋体"/>
          <w:sz w:val="21"/>
          <w:szCs w:val="21"/>
        </w:rPr>
        <w:t xml:space="preserve">其中ρ(t)为当前实际储备裕度（由式(7)实时计算）；ρ_min(t)为命题1解析计算的最小储备需求。当ρ(t)&gt;ρ_min(t)时g(t)=0（约束非紧，无需重规划）；当ρ(t)&lt;ρ_min(t)时g(t)=(ρ_min(t)-ρ(t))/ρ_min(t)∈(0,1]（约束趋紧）。</w:t>
      </w:r>
    </w:p>
    <w:p>
      <w:pPr>
        <w:pStyle w:val="Normal"/>
        <w:jc w:val="both"/>
        <w:spacing w:before="0" w:after="0" w:line="480" w:lineRule="auto"/>
        <w:ind w:left="0" w:firstLine="420"/>
      </w:pPr>
      <w:r>
        <w:rPr>
          <w:rFonts w:ascii="Times New Roman" w:hAnsi="Times New Roman" w:eastAsia="宋体" w:cs="宋体"/>
          <w:sz w:val="21"/>
          <w:szCs w:val="21"/>
        </w:rPr>
        <w:t xml:space="preserve">LP对偶解释：将命题1中储备约束ρ(t)≥ρ_min(t)视为LP可行域中的线性约束，其拉格朗日乘子（影子价格）λ*(t)在约束非紧时为零，约束趋紧时迅速上升。式(15)的g(t)是对归一化影子价格间隙的有效近似——约束松弛时g=0，约束趋紧时g线性上升至1。这是一个纯运筹学（LP对偶）指标，无需任何梯度计算。</w:t>
      </w:r>
    </w:p>
    <w:p>
      <w:pPr>
        <w:pStyle w:val="Normal"/>
        <w:jc w:val="both"/>
        <w:spacing w:before="0" w:after="0" w:line="480" w:lineRule="auto"/>
        <w:ind w:left="0" w:firstLine="420"/>
      </w:pPr>
      <w:r>
        <w:rPr>
          <w:rFonts w:ascii="Times New Roman" w:hAnsi="Times New Roman" w:eastAsia="宋体" w:cs="宋体"/>
          <w:sz w:val="21"/>
          <w:szCs w:val="21"/>
        </w:rPr>
        <w:t xml:space="preserve">为何不使用DRL触发判据：端到端DRL（文献[4][11]）试图用神经网络直接拟合最优触发映射。然而，调压重规划的核心是LP问题，其最优解位于可行多面体顶点处，顶点邻域内目标函数的次梯度为零向量[4][11]，导致梯度消失，神经网络无法正确学习约束危险边界，难以保证SOC和电压硬约束的严格满足。相比之下，式(15)直接利用LP对偶信息，物理意义清晰且对全部硬约束提供严格的可行性保证。</w:t>
      </w:r>
    </w:p>
    <w:p>
      <w:pPr>
        <w:pStyle w:val="Normal"/>
        <w:jc w:val="left"/>
        <w:spacing w:before="120" w:after="60" w:line="480" w:lineRule="auto"/>
      </w:pPr>
      <w:r>
        <w:rPr>
          <w:rFonts w:ascii="Times New Roman" w:hAnsi="Times New Roman" w:eastAsia="黑体" w:cs="黑体"/>
          <w:b/>
          <w:bCs/>
          <w:sz w:val="21"/>
          <w:szCs w:val="21"/>
        </w:rPr>
        <w:t xml:space="preserve">5.2  触发条件与命题2</w:t>
      </w:r>
    </w:p>
    <w:p>
      <w:pPr>
        <w:pStyle w:val="Normal"/>
        <w:jc w:val="both"/>
        <w:spacing w:before="0" w:after="0" w:line="480" w:lineRule="auto"/>
        <w:ind w:left="0" w:firstLine="420"/>
      </w:pPr>
      <w:r>
        <w:rPr>
          <w:rFonts w:ascii="Times New Roman" w:hAnsi="Times New Roman" w:eastAsia="宋体" w:cs="宋体"/>
          <w:sz w:val="21"/>
          <w:szCs w:val="21"/>
        </w:rPr>
        <w:t xml:space="preserve">事件触发条件为：</w:t>
      </w:r>
    </w:p>
    <w:tbl>
      <w:tblPr>
        <w:tblStyle w:val="TableNormal"/>
        <w:tblW w:w="9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400"/>
        <w:gridCol w:w="600"/>
      </w:tblGrid>
      <w:tr>
        <w:tc>
          <w:tcPr>
            <w:tcW w:w="8400" w:type="dxa"/>
            <w:vAlign w:val="center"/>
            <w:tcBorders>
              <w:top w:val="none" w:sz="0"/>
              <w:left w:val="none" w:sz="0"/>
              <w:bottom w:val="none" w:sz="0"/>
              <w:right w:val="none" w:sz="0"/>
            </w:tcBorders>
          </w:tcPr>
          <w:p>
            <w:pPr>
              <w:jc w:val="center"/>
              <w:spacing w:before="0" w:after="0" w:line="240" w:lineRule="auto"/>
            </w:pPr>
            <m:oMath xmlns:m="http://schemas.openxmlformats.org/officeDocument/2006/math">
              <m:r>
                <m:rPr>
                  <m:sty m:val="i"/>
                  <m:sz m:val="21"/>
                </m:rPr>
                <m:t xml:space="preserve">g(t) ≥ η</m:t>
              </m:r>
              <m:r>
                <m:rPr>
                  <m:sty m:val="i"/>
                  <m:sz m:val="21"/>
                </m:rPr>
                <m:t xml:space="preserve">  ⟹  Proposition 2 triggered</m:t>
              </m:r>
            </m:oMath>
          </w:p>
        </w:tc>
        <w:tc>
          <w:tcPr>
            <w:tcW w:w="600" w:type="dxa"/>
            <w:vAlign w:val="center"/>
            <w:tcBorders>
              <w:top w:val="none" w:sz="0"/>
              <w:left w:val="none" w:sz="0"/>
              <w:bottom w:val="none" w:sz="0"/>
              <w:right w:val="none" w:sz="0"/>
            </w:tcBorders>
          </w:tcPr>
          <w:p>
            <w:pPr>
              <w:jc w:val="right"/>
              <w:spacing w:before="0" w:after="0" w:line="240" w:lineRule="auto"/>
            </w:pPr>
            <w:r>
              <w:rPr>
                <w:rFonts w:ascii="Times New Roman" w:hAnsi="Times New Roman" w:eastAsia="宋体" w:cs="宋体"/>
                <w:sz w:val="21"/>
                <w:szCs w:val="21"/>
              </w:rPr>
              <w:t xml:space="preserve">(16)</w:t>
            </w:r>
          </w:p>
        </w:tc>
      </w:tr>
    </w:tbl>
    <w:p>
      <w:pPr>
        <w:pStyle w:val="Normal"/>
        <w:jc w:val="both"/>
        <w:spacing w:before="0" w:after="0" w:line="480" w:lineRule="auto"/>
        <w:ind w:left="0" w:firstLine="420"/>
      </w:pPr>
      <w:r>
        <w:rPr>
          <w:rFonts w:ascii="Times New Roman" w:hAnsi="Times New Roman" w:eastAsia="宋体" w:cs="宋体"/>
          <w:sz w:val="21"/>
          <w:szCs w:val="21"/>
        </w:rPr>
        <w:t xml:space="preserve">命题2（事件触发重规划）：设t*时刻满足g(t*)≥η，以(t*+1, T]为剩余调度周期，以V(t*)和SOC(t*)为初始状态，重新求解命题1，具体步骤如下：</w:t>
      </w:r>
    </w:p>
    <w:p>
      <w:pPr>
        <w:pStyle w:val="Normal"/>
        <w:jc w:val="both"/>
        <w:spacing w:before="0" w:after="0" w:line="480" w:lineRule="auto"/>
      </w:pPr>
      <w:r>
        <w:rPr>
          <w:rFonts w:ascii="Times New Roman" w:hAnsi="Times New Roman" w:eastAsia="宋体" w:cs="宋体"/>
          <w:sz w:val="21"/>
          <w:szCs w:val="21"/>
        </w:rPr>
        <w:t xml:space="preserve">步骤1（触发检测）：实时计算g(t)；若g(t)≥η则令t*=t，转步骤2；否则水电按现有计划执行。</w:t>
      </w:r>
    </w:p>
    <w:p>
      <w:pPr>
        <w:pStyle w:val="Normal"/>
        <w:jc w:val="both"/>
        <w:spacing w:before="0" w:after="0" w:line="480" w:lineRule="auto"/>
      </w:pPr>
      <w:r>
        <w:rPr>
          <w:rFonts w:ascii="Times New Roman" w:hAnsi="Times New Roman" w:eastAsia="宋体" w:cs="宋体"/>
          <w:sz w:val="21"/>
          <w:szCs w:val="21"/>
        </w:rPr>
        <w:t xml:space="preserve">步骤2（状态读取）：读取当前V_{cur}=V(t*)，SOC_{cur}=SOC(t*)。</w:t>
      </w:r>
    </w:p>
    <w:p>
      <w:pPr>
        <w:pStyle w:val="Normal"/>
        <w:jc w:val="both"/>
        <w:spacing w:before="0" w:after="0" w:line="480" w:lineRule="auto"/>
      </w:pPr>
      <w:r>
        <w:rPr>
          <w:rFonts w:ascii="Times New Roman" w:hAnsi="Times New Roman" w:eastAsia="宋体" w:cs="宋体"/>
          <w:sz w:val="21"/>
          <w:szCs w:val="21"/>
        </w:rPr>
        <w:t xml:space="preserve">步骤3（P-box截取）：截取剩余时段[t*+1, T]的P-box：{P̲(τ),P̄(τ)}_{τ&gt;t*}。</w:t>
      </w:r>
    </w:p>
    <w:p>
      <w:pPr>
        <w:pStyle w:val="Normal"/>
        <w:jc w:val="both"/>
        <w:spacing w:before="0" w:after="0" w:line="480" w:lineRule="auto"/>
      </w:pPr>
      <w:r>
        <w:rPr>
          <w:rFonts w:ascii="Times New Roman" w:hAnsi="Times New Roman" w:eastAsia="宋体" w:cs="宋体"/>
          <w:sz w:val="21"/>
          <w:szCs w:val="21"/>
        </w:rPr>
        <w:t xml:space="preserve">步骤4（求解命题1）：以步骤2的初始状态和步骤3的P-box，在[t*+1, T]上重新求解式(10)~(11)，得到新的水电调度计划{p_h(τ)}_{τ&gt;t*}和新的{ρ_min(τ)}_{τ&gt;t*}。</w:t>
      </w:r>
    </w:p>
    <w:p>
      <w:pPr>
        <w:pStyle w:val="Normal"/>
        <w:jc w:val="both"/>
        <w:spacing w:before="0" w:after="0" w:line="480" w:lineRule="auto"/>
      </w:pPr>
      <w:r>
        <w:rPr>
          <w:rFonts w:ascii="Times New Roman" w:hAnsi="Times New Roman" w:eastAsia="宋体" w:cs="宋体"/>
          <w:sz w:val="21"/>
          <w:szCs w:val="21"/>
        </w:rPr>
        <w:t xml:space="preserve">步骤5（计划替换）：将[t*+1, T]时段的现有调度计划替换为步骤4的结果。</w:t>
      </w:r>
    </w:p>
    <w:p>
      <w:pPr>
        <w:pStyle w:val="Normal"/>
        <w:jc w:val="both"/>
        <w:spacing w:before="0" w:after="0" w:line="480" w:lineRule="auto"/>
        <w:ind w:left="0" w:firstLine="420"/>
      </w:pPr>
      <w:r>
        <w:rPr>
          <w:rFonts w:ascii="Times New Roman" w:hAnsi="Times New Roman" w:eastAsia="宋体" w:cs="宋体"/>
          <w:sz w:val="21"/>
          <w:szCs w:val="21"/>
        </w:rPr>
        <w:t xml:space="preserve">阈值η的物理含义：η决定触发灵敏度。η→0导致每时刻均触发，退化为周期性重规划，增加不必要开销；η过大则可能错过关键储备恢复时机，引发越限。文献[9]指出配电网通信丢包率约5%~15%，η应大于通信噪声引起的虚假g(t)波动幅度。本文通过参数扫描确定最优值η*=0.15（详见第6.4节）。</w:t>
      </w:r>
    </w:p>
    <w:p>
      <w:pPr>
        <w:spacing w:before="0" w:after="0" w:line="240" w:lineRule="auto"/>
      </w:pPr>
    </w:p>
    <w:p>
      <w:pPr>
        <w:pStyle w:val="Normal"/>
        <w:jc w:val="left"/>
        <w:spacing w:before="200" w:after="80" w:line="480" w:lineRule="auto"/>
      </w:pPr>
      <w:r>
        <w:rPr>
          <w:rFonts w:ascii="Times New Roman" w:hAnsi="Times New Roman" w:eastAsia="黑体" w:cs="黑体"/>
          <w:b/>
          <w:bCs/>
          <w:sz w:val="21"/>
          <w:szCs w:val="21"/>
        </w:rPr>
        <w:t xml:space="preserve">6  算例分析</w:t>
      </w:r>
    </w:p>
    <w:p>
      <w:pPr>
        <w:pStyle w:val="Normal"/>
        <w:jc w:val="left"/>
        <w:spacing w:before="120" w:after="60" w:line="480" w:lineRule="auto"/>
      </w:pPr>
      <w:r>
        <w:rPr>
          <w:rFonts w:ascii="Times New Roman" w:hAnsi="Times New Roman" w:eastAsia="黑体" w:cs="黑体"/>
          <w:b/>
          <w:bCs/>
          <w:sz w:val="21"/>
          <w:szCs w:val="21"/>
        </w:rPr>
        <w:t xml:space="preserve">6.1  仿真参数设置</w:t>
      </w:r>
    </w:p>
    <w:p>
      <w:pPr>
        <w:pStyle w:val="Normal"/>
        <w:jc w:val="both"/>
        <w:spacing w:before="0" w:after="0" w:line="480" w:lineRule="auto"/>
        <w:ind w:left="0" w:firstLine="420"/>
      </w:pPr>
      <w:r>
        <w:rPr>
          <w:rFonts w:ascii="Times New Roman" w:hAnsi="Times New Roman" w:eastAsia="宋体" w:cs="宋体"/>
          <w:sz w:val="21"/>
          <w:szCs w:val="21"/>
        </w:rPr>
        <w:t xml:space="preserve">以改进IEEE 33节点辐射型配电网为测试系统[20]。网络基准参数：额定电压10.5 kV，支路平均电阻r_pu=0.004 p.u./节点，高R/X比（×1.5系数）模拟弱配电网特征，端节点电压灵敏度S_{end,end}≈0.072 p.u./MW。接入水电机组：p^{max}_h=2.0 MW，p^{min}_h=0.1 MW，水库容量V^{max}=50 Mm³，V^{min}=10 Mm³，入流量q_{in}=0.5 Mm³/h，效率η_h=0.90；电池储能：E_s=1.0 MWh，P^{rate}_s=0.5 MW，SOC^{min}=0.10，SOC^{max}=0.90，SOC_0=0.60，η_d=η_c=0.95。光伏装机峰值出力2.0 MW，负荷峰值3.5 MW（标准24小时居民负荷曲线）。</w:t>
      </w:r>
    </w:p>
    <w:p>
      <w:pPr>
        <w:pStyle w:val="Normal"/>
        <w:jc w:val="both"/>
        <w:spacing w:before="0" w:after="0" w:line="480" w:lineRule="auto"/>
        <w:ind w:left="0" w:firstLine="420"/>
      </w:pPr>
      <w:r>
        <w:rPr>
          <w:rFonts w:ascii="Times New Roman" w:hAnsi="Times New Roman" w:eastAsia="宋体" w:cs="宋体"/>
          <w:sz w:val="21"/>
          <w:szCs w:val="21"/>
        </w:rPr>
        <w:t xml:space="preserve">P-box参数：α^{lo}_{pv}=0.25，α^{hi}_{pv}=0.05（光伏下偏倾向强，模拟多云持续欠发场景）；α^{lo}_{load}=0.02，α^{hi}_{load}=0.18（负荷上偏倾向强）。安全系数ζ=0.08，RLS增益γ=0.10，数值稳定参数ε=10^{-8}。电压安全约束：V_{min}=0.95 p.u.，V_{max}=1.05 p.u.。对比方案：①方案A（所提方法，命题1+命题2，η*=0.15）；②方案B（无重规划，仅命题1，全天固定调度）；③方案C（周期重规划，η=0，每时刻均触发）。仿真进行40组蒙特卡洛实验（不同随机种子），从P-box内均匀采样。</w:t>
      </w:r>
    </w:p>
    <w:p>
      <w:pPr>
        <w:pStyle w:val="Normal"/>
        <w:jc w:val="left"/>
        <w:spacing w:before="120" w:after="60" w:line="480" w:lineRule="auto"/>
      </w:pPr>
      <w:r>
        <w:rPr>
          <w:rFonts w:ascii="Times New Roman" w:hAnsi="Times New Roman" w:eastAsia="黑体" w:cs="黑体"/>
          <w:b/>
          <w:bCs/>
          <w:sz w:val="21"/>
          <w:szCs w:val="21"/>
        </w:rPr>
        <w:t xml:space="preserve">6.2  单日运行分析</w:t>
      </w:r>
    </w:p>
    <w:p>
      <w:pPr>
        <w:pStyle w:val="Normal"/>
        <w:jc w:val="both"/>
        <w:spacing w:before="0" w:after="0" w:line="480" w:lineRule="auto"/>
        <w:ind w:left="0" w:firstLine="420"/>
      </w:pPr>
      <w:r>
        <w:rPr>
          <w:rFonts w:ascii="Times New Roman" w:hAnsi="Times New Roman" w:eastAsia="宋体" w:cs="宋体"/>
          <w:sz w:val="21"/>
          <w:szCs w:val="21"/>
        </w:rPr>
        <w:t xml:space="preserve">图1给出了典型日（seed=0）24小时的运行时序结果（η*=0.15），包含：(a)光伏P-box区间及实际出力；(b)水电预调度计划及实际出力；(c)储能SOC与储备裕度ρ(t)；(d)触发指标g(t)及触发事件标记；(e)端节点电压。</w:t>
      </w:r>
    </w:p>
    <w:p>
      <w:pPr>
        <w:pStyle w:val="Normal"/>
        <w:jc w:val="both"/>
        <w:spacing w:before="0" w:after="0" w:line="480" w:lineRule="auto"/>
        <w:ind w:left="0" w:firstLine="420"/>
      </w:pPr>
      <w:r>
        <w:rPr>
          <w:rFonts w:ascii="Times New Roman" w:hAnsi="Times New Roman" w:eastAsia="宋体" w:cs="宋体"/>
          <w:sz w:val="21"/>
          <w:szCs w:val="21"/>
        </w:rPr>
        <w:t xml:space="preserve">分析可知：①事前阶段（命题1）为水电安排了基于预测均值的基础调度计划，并通过储能预充电机制将初始SOC维持在0.60，确保ρ(t)≥ρ_min(t)在预测场景下成立。②事中阶段（8:00-22:00），由于光伏实际出力持续低于P-box中点值（下偏约25%），净负荷持续超出预期，储能持续放电，ρ(t)快速下降。③t*=7 h时g(7)=0.18≥0.15首次触发命题2，重规划后水电出力增大约0.35 MW，储能放电压力减轻，ρ(t)得到部分恢复。④全天共触发16次重规划事件，集中于7~22时（高不确定性时段）。⑤端节点最大电压偏差|ΔV|_{max}=0.035 p.u.&lt;0.05 p.u.，全天仅1次轻微越限（主因t=9 h附近通信一步延迟），验证了η阈值对通信不完美场景[9]的容错能力。</w:t>
      </w:r>
    </w:p>
    <w:p>
      <w:pPr>
        <w:pStyle w:val="Normal"/>
        <w:jc w:val="left"/>
        <w:spacing w:before="120" w:after="60" w:line="480" w:lineRule="auto"/>
      </w:pPr>
      <w:r>
        <w:rPr>
          <w:rFonts w:ascii="Times New Roman" w:hAnsi="Times New Roman" w:eastAsia="黑体" w:cs="黑体"/>
          <w:b/>
          <w:bCs/>
          <w:sz w:val="21"/>
          <w:szCs w:val="21"/>
        </w:rPr>
        <w:t xml:space="preserve">6.3  蒙特卡洛对比分析</w:t>
      </w:r>
    </w:p>
    <w:p>
      <w:pPr>
        <w:pStyle w:val="Normal"/>
        <w:jc w:val="both"/>
        <w:spacing w:before="0" w:after="0" w:line="480" w:lineRule="auto"/>
        <w:ind w:left="0" w:firstLine="420"/>
      </w:pPr>
      <w:r>
        <w:rPr>
          <w:rFonts w:ascii="Times New Roman" w:hAnsi="Times New Roman" w:eastAsia="宋体" w:cs="宋体"/>
          <w:sz w:val="21"/>
          <w:szCs w:val="21"/>
        </w:rPr>
        <w:t xml:space="preserve">表1给出了40组蒙特卡洛仿真的统计对比结果。</w:t>
      </w:r>
    </w:p>
    <w:p>
      <w:pPr>
        <w:pStyle w:val="Normal"/>
        <w:jc w:val="center"/>
        <w:spacing w:before="80" w:after="40" w:line="400" w:lineRule="auto"/>
      </w:pPr>
      <w:r>
        <w:rPr>
          <w:rFonts w:ascii="Times New Roman" w:hAnsi="Times New Roman" w:eastAsia="黑体" w:cs="黑体"/>
          <w:b/>
          <w:bCs/>
          <w:sz w:val="19"/>
          <w:szCs w:val="19"/>
        </w:rPr>
        <w:t xml:space="preserve">表1  三种方案蒙特卡洛仿真对比结果（40组随机种子，η*=0.15）</w:t>
      </w:r>
    </w:p>
    <w:tbl>
      <w:tblPr>
        <w:tblStyle w:val="TableNormal"/>
        <w:tblW w:w="9000" w:type="dxa"/>
        <w:tblBorders>
          <w:top w:val="none" w:sz="0"/>
          <w:left w:val="none" w:sz="0"/>
          <w:bottom w:val="none" w:sz="0"/>
          <w:right w:val="none" w:sz="0"/>
          <w:insideH w:val="none" w:sz="0"/>
          <w:insideV w:val="none" w:sz="0"/>
        </w:tblBorders>
      </w:tblPr>
      <w:tblGrid>
        <w:gridCol w:w="2700"/>
        <w:gridCol w:w="1900"/>
        <w:gridCol w:w="2000"/>
        <w:gridCol w:w="2400"/>
      </w:tblGrid>
      <w:tr>
        <w:tc>
          <w:tcPr>
            <w:tcW w:w="2700" w:type="dxa"/>
            <w:tcBorders>
              <w:top w:val="single" w:sz="4" w:space="0" w:color="000000"/>
              <w:bottom w:val="single" w:sz="4" w:space="0" w:color="000000"/>
              <w:left w:val="none" w:sz="0"/>
              <w:right w:val="none" w:sz="0"/>
            </w:tcBorders>
          </w:tcPr>
          <w:p>
            <w:pPr>
              <w:jc w:val="center"/>
              <w:spacing w:before="60" w:after="60" w:line="240" w:lineRule="auto"/>
            </w:pPr>
            <w:r>
              <w:rPr>
                <w:rFonts w:ascii="Times New Roman" w:hAnsi="Times New Roman" w:eastAsia="宋体" w:cs="宋体"/>
                <w:b/>
                <w:bCs/>
                <w:sz w:val="19"/>
                <w:szCs w:val="19"/>
              </w:rPr>
              <w:t xml:space="preserve">评价指标</w:t>
            </w:r>
          </w:p>
        </w:tc>
        <w:tc>
          <w:tcPr>
            <w:tcW w:w="1900" w:type="dxa"/>
            <w:tcBorders>
              <w:top w:val="single" w:sz="4" w:space="0" w:color="000000"/>
              <w:bottom w:val="single" w:sz="4" w:space="0" w:color="000000"/>
              <w:left w:val="none" w:sz="0"/>
              <w:right w:val="none" w:sz="0"/>
            </w:tcBorders>
          </w:tcPr>
          <w:p>
            <w:pPr>
              <w:jc w:val="center"/>
              <w:spacing w:before="60" w:after="60" w:line="240" w:lineRule="auto"/>
            </w:pPr>
            <w:r>
              <w:rPr>
                <w:rFonts w:ascii="Times New Roman" w:hAnsi="Times New Roman" w:eastAsia="宋体" w:cs="宋体"/>
                <w:b/>
                <w:bCs/>
                <w:sz w:val="19"/>
                <w:szCs w:val="19"/>
              </w:rPr>
              <w:t xml:space="preserve">方案A（所提）</w:t>
            </w:r>
          </w:p>
        </w:tc>
        <w:tc>
          <w:tcPr>
            <w:tcW w:w="2000" w:type="dxa"/>
            <w:tcBorders>
              <w:top w:val="single" w:sz="4" w:space="0" w:color="000000"/>
              <w:bottom w:val="single" w:sz="4" w:space="0" w:color="000000"/>
              <w:left w:val="none" w:sz="0"/>
              <w:right w:val="none" w:sz="0"/>
            </w:tcBorders>
          </w:tcPr>
          <w:p>
            <w:pPr>
              <w:jc w:val="center"/>
              <w:spacing w:before="60" w:after="60" w:line="240" w:lineRule="auto"/>
            </w:pPr>
            <w:r>
              <w:rPr>
                <w:rFonts w:ascii="Times New Roman" w:hAnsi="Times New Roman" w:eastAsia="宋体" w:cs="宋体"/>
                <w:b/>
                <w:bCs/>
                <w:sz w:val="19"/>
                <w:szCs w:val="19"/>
              </w:rPr>
              <w:t xml:space="preserve">方案B（无重规划）</w:t>
            </w:r>
          </w:p>
        </w:tc>
        <w:tc>
          <w:tcPr>
            <w:tcW w:w="2400" w:type="dxa"/>
            <w:tcBorders>
              <w:top w:val="single" w:sz="4" w:space="0" w:color="000000"/>
              <w:bottom w:val="single" w:sz="4" w:space="0" w:color="000000"/>
              <w:left w:val="none" w:sz="0"/>
              <w:right w:val="none" w:sz="0"/>
            </w:tcBorders>
          </w:tcPr>
          <w:p>
            <w:pPr>
              <w:jc w:val="center"/>
              <w:spacing w:before="60" w:after="60" w:line="240" w:lineRule="auto"/>
            </w:pPr>
            <w:r>
              <w:rPr>
                <w:rFonts w:ascii="Times New Roman" w:hAnsi="Times New Roman" w:eastAsia="宋体" w:cs="宋体"/>
                <w:b/>
                <w:bCs/>
                <w:sz w:val="19"/>
                <w:szCs w:val="19"/>
              </w:rPr>
              <w:t xml:space="preserve">方案C（周期重规划）</w:t>
            </w:r>
          </w:p>
        </w:tc>
      </w:tr>
      <w:tr>
        <w:tc>
          <w:tcPr>
            <w:tcW w:w="27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日均电压越限次数</w:t>
            </w:r>
          </w:p>
        </w:tc>
        <w:tc>
          <w:tcPr>
            <w:tcW w:w="19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0.72</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1.07</w:t>
            </w:r>
          </w:p>
        </w:tc>
        <w:tc>
          <w:tcPr>
            <w:tcW w:w="24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0.95</w:t>
            </w:r>
          </w:p>
        </w:tc>
      </w:tr>
      <w:tr>
        <w:tc>
          <w:tcPr>
            <w:tcW w:w="27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最大电压偏差(p.u.)</w:t>
            </w:r>
          </w:p>
        </w:tc>
        <w:tc>
          <w:tcPr>
            <w:tcW w:w="19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0.0355</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0.0431</w:t>
            </w:r>
          </w:p>
        </w:tc>
        <w:tc>
          <w:tcPr>
            <w:tcW w:w="24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0.0410</w:t>
            </w:r>
          </w:p>
        </w:tc>
      </w:tr>
      <w:tr>
        <w:tc>
          <w:tcPr>
            <w:tcW w:w="27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日均重规划次数</w:t>
            </w:r>
          </w:p>
        </w:tc>
        <w:tc>
          <w:tcPr>
            <w:tcW w:w="19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17.0</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w:t>
            </w:r>
          </w:p>
        </w:tc>
        <w:tc>
          <w:tcPr>
            <w:tcW w:w="24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23.0</w:t>
            </w:r>
          </w:p>
        </w:tc>
      </w:tr>
      <w:tr>
        <w:tc>
          <w:tcPr>
            <w:tcW w:w="27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较方案B越限减少率(%)</w:t>
            </w:r>
          </w:p>
        </w:tc>
        <w:tc>
          <w:tcPr>
            <w:tcW w:w="19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32.7</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w:t>
            </w:r>
          </w:p>
        </w:tc>
        <w:tc>
          <w:tcPr>
            <w:tcW w:w="24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11.2</w:t>
            </w:r>
          </w:p>
        </w:tc>
      </w:tr>
      <w:tr>
        <w:tc>
          <w:tcPr>
            <w:tcW w:w="2700" w:type="dxa"/>
            <w:tcBorders>
              <w:top w:val="none" w:sz="0"/>
              <w:bottom w:val="single" w:sz="4" w:space="0" w:color="000000"/>
              <w:left w:val="none" w:sz="0"/>
              <w:right w:val="none" w:sz="0"/>
            </w:tcBorders>
          </w:tcPr>
          <w:p>
            <w:pPr>
              <w:jc w:val="center"/>
              <w:spacing w:before="60" w:after="60" w:line="240" w:lineRule="auto"/>
            </w:pPr>
            <w:r>
              <w:rPr>
                <w:rFonts w:ascii="Times New Roman" w:hAnsi="Times New Roman" w:eastAsia="宋体" w:cs="宋体"/>
                <w:sz w:val="19"/>
                <w:szCs w:val="19"/>
              </w:rPr>
              <w:t xml:space="preserve">较方案C重规划节省率(%)</w:t>
            </w:r>
          </w:p>
        </w:tc>
        <w:tc>
          <w:tcPr>
            <w:tcW w:w="1900" w:type="dxa"/>
            <w:tcBorders>
              <w:top w:val="none" w:sz="0"/>
              <w:bottom w:val="single" w:sz="4" w:space="0" w:color="000000"/>
              <w:left w:val="none" w:sz="0"/>
              <w:right w:val="none" w:sz="0"/>
            </w:tcBorders>
          </w:tcPr>
          <w:p>
            <w:pPr>
              <w:jc w:val="center"/>
              <w:spacing w:before="60" w:after="60" w:line="240" w:lineRule="auto"/>
            </w:pPr>
            <w:r>
              <w:rPr>
                <w:rFonts w:ascii="Times New Roman" w:hAnsi="Times New Roman" w:eastAsia="宋体" w:cs="宋体"/>
                <w:sz w:val="19"/>
                <w:szCs w:val="19"/>
              </w:rPr>
              <w:t xml:space="preserve">26.1</w:t>
            </w:r>
          </w:p>
        </w:tc>
        <w:tc>
          <w:tcPr>
            <w:tcW w:w="2000" w:type="dxa"/>
            <w:tcBorders>
              <w:top w:val="none" w:sz="0"/>
              <w:bottom w:val="single" w:sz="4" w:space="0" w:color="000000"/>
              <w:left w:val="none" w:sz="0"/>
              <w:right w:val="none" w:sz="0"/>
            </w:tcBorders>
          </w:tcPr>
          <w:p>
            <w:pPr>
              <w:jc w:val="center"/>
              <w:spacing w:before="60" w:after="60" w:line="240" w:lineRule="auto"/>
            </w:pPr>
            <w:r>
              <w:rPr>
                <w:rFonts w:ascii="Times New Roman" w:hAnsi="Times New Roman" w:eastAsia="宋体" w:cs="宋体"/>
                <w:sz w:val="19"/>
                <w:szCs w:val="19"/>
              </w:rPr>
              <w:t xml:space="preserve">—</w:t>
            </w:r>
          </w:p>
        </w:tc>
        <w:tc>
          <w:tcPr>
            <w:tcW w:w="2400" w:type="dxa"/>
            <w:tcBorders>
              <w:top w:val="none" w:sz="0"/>
              <w:bottom w:val="single" w:sz="4" w:space="0" w:color="000000"/>
              <w:left w:val="none" w:sz="0"/>
              <w:right w:val="none" w:sz="0"/>
            </w:tcBorders>
          </w:tcPr>
          <w:p>
            <w:pPr>
              <w:jc w:val="center"/>
              <w:spacing w:before="60" w:after="60" w:line="240" w:lineRule="auto"/>
            </w:pPr>
            <w:r>
              <w:rPr>
                <w:rFonts w:ascii="Times New Roman" w:hAnsi="Times New Roman" w:eastAsia="宋体" w:cs="宋体"/>
                <w:sz w:val="19"/>
                <w:szCs w:val="19"/>
              </w:rPr>
              <w:t xml:space="preserve">—</w:t>
            </w:r>
          </w:p>
        </w:tc>
      </w:tr>
    </w:tbl>
    <w:p>
      <w:pPr>
        <w:spacing w:before="0" w:after="0" w:line="240" w:lineRule="auto"/>
      </w:pPr>
    </w:p>
    <w:p>
      <w:pPr>
        <w:pStyle w:val="Normal"/>
        <w:jc w:val="both"/>
        <w:spacing w:before="0" w:after="0" w:line="480" w:lineRule="auto"/>
        <w:ind w:left="0" w:firstLine="420"/>
      </w:pPr>
      <w:r>
        <w:rPr>
          <w:rFonts w:ascii="Times New Roman" w:hAnsi="Times New Roman" w:eastAsia="宋体" w:cs="宋体"/>
          <w:sz w:val="21"/>
          <w:szCs w:val="21"/>
        </w:rPr>
        <w:t xml:space="preserve">由表1可见，方案A在电压越限次数（0.72次/天）方面显著优于无重规划基准B（1.07次/天，减少32.7%）和周期重规划方案C（0.95次/天，减少24.2%）。同时方案A的日均重规划次数（17.0）较方案C（23.0）减少26.1%，有效降低了通信与计算开销。方案B虽完全避免了重规划计算，但越限性能最差。上述结果表明所提三阶段框架在调压性能与运行开销间实现了帕累托最优权衡。</w:t>
      </w:r>
    </w:p>
    <w:p>
      <w:pPr>
        <w:pStyle w:val="Normal"/>
        <w:jc w:val="left"/>
        <w:spacing w:before="120" w:after="60" w:line="480" w:lineRule="auto"/>
      </w:pPr>
      <w:r>
        <w:rPr>
          <w:rFonts w:ascii="Times New Roman" w:hAnsi="Times New Roman" w:eastAsia="黑体" w:cs="黑体"/>
          <w:b/>
          <w:bCs/>
          <w:sz w:val="21"/>
          <w:szCs w:val="21"/>
        </w:rPr>
        <w:t xml:space="preserve">6.4  触发阈值η灵敏度分析</w:t>
      </w:r>
    </w:p>
    <w:p>
      <w:pPr>
        <w:pStyle w:val="Normal"/>
        <w:jc w:val="both"/>
        <w:spacing w:before="0" w:after="0" w:line="480" w:lineRule="auto"/>
        <w:ind w:left="0" w:firstLine="420"/>
      </w:pPr>
      <w:r>
        <w:rPr>
          <w:rFonts w:ascii="Times New Roman" w:hAnsi="Times New Roman" w:eastAsia="宋体" w:cs="宋体"/>
          <w:sz w:val="21"/>
          <w:szCs w:val="21"/>
        </w:rPr>
        <w:t xml:space="preserve">表2给出了触发阈值η从0.05至1.0时的越限次数与重规划频次权衡结果。</w:t>
      </w:r>
    </w:p>
    <w:p>
      <w:pPr>
        <w:pStyle w:val="Normal"/>
        <w:jc w:val="center"/>
        <w:spacing w:before="80" w:after="40" w:line="400" w:lineRule="auto"/>
      </w:pPr>
      <w:r>
        <w:rPr>
          <w:rFonts w:ascii="Times New Roman" w:hAnsi="Times New Roman" w:eastAsia="黑体" w:cs="黑体"/>
          <w:b/>
          <w:bCs/>
          <w:sz w:val="19"/>
          <w:szCs w:val="19"/>
        </w:rPr>
        <w:t xml:space="preserve">表2  触发阈值η灵敏度分析（40组蒙特卡洛仿真）</w:t>
      </w:r>
    </w:p>
    <w:tbl>
      <w:tblPr>
        <w:tblStyle w:val="TableNormal"/>
        <w:tblW w:w="9000" w:type="dxa"/>
        <w:tblBorders>
          <w:top w:val="none" w:sz="0"/>
          <w:left w:val="none" w:sz="0"/>
          <w:bottom w:val="none" w:sz="0"/>
          <w:right w:val="none" w:sz="0"/>
          <w:insideH w:val="none" w:sz="0"/>
          <w:insideV w:val="none" w:sz="0"/>
        </w:tblBorders>
      </w:tblPr>
      <w:tblGrid>
        <w:gridCol w:w="1500"/>
        <w:gridCol w:w="2000"/>
        <w:gridCol w:w="2200"/>
        <w:gridCol w:w="3300"/>
      </w:tblGrid>
      <w:tr>
        <w:tc>
          <w:tcPr>
            <w:tcW w:w="1500" w:type="dxa"/>
            <w:tcBorders>
              <w:top w:val="single" w:sz="4" w:space="0" w:color="000000"/>
              <w:bottom w:val="single" w:sz="4" w:space="0" w:color="000000"/>
              <w:left w:val="none" w:sz="0"/>
              <w:right w:val="none" w:sz="0"/>
            </w:tcBorders>
          </w:tcPr>
          <w:p>
            <w:pPr>
              <w:jc w:val="center"/>
              <w:spacing w:before="60" w:after="60" w:line="240" w:lineRule="auto"/>
            </w:pPr>
            <w:r>
              <w:rPr>
                <w:rFonts w:ascii="Times New Roman" w:hAnsi="Times New Roman" w:eastAsia="宋体" w:cs="宋体"/>
                <w:b/>
                <w:bCs/>
                <w:sz w:val="19"/>
                <w:szCs w:val="19"/>
              </w:rPr>
              <w:t xml:space="preserve">η</w:t>
            </w:r>
          </w:p>
        </w:tc>
        <w:tc>
          <w:tcPr>
            <w:tcW w:w="2000" w:type="dxa"/>
            <w:tcBorders>
              <w:top w:val="single" w:sz="4" w:space="0" w:color="000000"/>
              <w:bottom w:val="single" w:sz="4" w:space="0" w:color="000000"/>
              <w:left w:val="none" w:sz="0"/>
              <w:right w:val="none" w:sz="0"/>
            </w:tcBorders>
          </w:tcPr>
          <w:p>
            <w:pPr>
              <w:jc w:val="center"/>
              <w:spacing w:before="60" w:after="60" w:line="240" w:lineRule="auto"/>
            </w:pPr>
            <w:r>
              <w:rPr>
                <w:rFonts w:ascii="Times New Roman" w:hAnsi="Times New Roman" w:eastAsia="宋体" w:cs="宋体"/>
                <w:b/>
                <w:bCs/>
                <w:sz w:val="19"/>
                <w:szCs w:val="19"/>
              </w:rPr>
              <w:t xml:space="preserve">日均越限次数</w:t>
            </w:r>
          </w:p>
        </w:tc>
        <w:tc>
          <w:tcPr>
            <w:tcW w:w="2200" w:type="dxa"/>
            <w:tcBorders>
              <w:top w:val="single" w:sz="4" w:space="0" w:color="000000"/>
              <w:bottom w:val="single" w:sz="4" w:space="0" w:color="000000"/>
              <w:left w:val="none" w:sz="0"/>
              <w:right w:val="none" w:sz="0"/>
            </w:tcBorders>
          </w:tcPr>
          <w:p>
            <w:pPr>
              <w:jc w:val="center"/>
              <w:spacing w:before="60" w:after="60" w:line="240" w:lineRule="auto"/>
            </w:pPr>
            <w:r>
              <w:rPr>
                <w:rFonts w:ascii="Times New Roman" w:hAnsi="Times New Roman" w:eastAsia="宋体" w:cs="宋体"/>
                <w:b/>
                <w:bCs/>
                <w:sz w:val="19"/>
                <w:szCs w:val="19"/>
              </w:rPr>
              <w:t xml:space="preserve">日均重规划次数</w:t>
            </w:r>
          </w:p>
        </w:tc>
        <w:tc>
          <w:tcPr>
            <w:tcW w:w="3300" w:type="dxa"/>
            <w:tcBorders>
              <w:top w:val="single" w:sz="4" w:space="0" w:color="000000"/>
              <w:bottom w:val="single" w:sz="4" w:space="0" w:color="000000"/>
              <w:left w:val="none" w:sz="0"/>
              <w:right w:val="none" w:sz="0"/>
            </w:tcBorders>
          </w:tcPr>
          <w:p>
            <w:pPr>
              <w:jc w:val="center"/>
              <w:spacing w:before="60" w:after="60" w:line="240" w:lineRule="auto"/>
            </w:pPr>
            <w:r>
              <w:rPr>
                <w:rFonts w:ascii="Times New Roman" w:hAnsi="Times New Roman" w:eastAsia="宋体" w:cs="宋体"/>
                <w:b/>
                <w:bCs/>
                <w:sz w:val="19"/>
                <w:szCs w:val="19"/>
              </w:rPr>
              <w:t xml:space="preserve">备注</w:t>
            </w:r>
          </w:p>
        </w:tc>
      </w:tr>
      <w:tr>
        <w:tc>
          <w:tcPr>
            <w:tcW w:w="15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0.05</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1.07</w:t>
            </w:r>
          </w:p>
        </w:tc>
        <w:tc>
          <w:tcPr>
            <w:tcW w:w="22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17.80</w:t>
            </w:r>
          </w:p>
        </w:tc>
        <w:tc>
          <w:tcPr>
            <w:tcW w:w="33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触发过频</w:t>
            </w:r>
          </w:p>
        </w:tc>
      </w:tr>
      <w:tr>
        <w:tc>
          <w:tcPr>
            <w:tcW w:w="15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0.10</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0.75</w:t>
            </w:r>
          </w:p>
        </w:tc>
        <w:tc>
          <w:tcPr>
            <w:tcW w:w="22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17.52</w:t>
            </w:r>
          </w:p>
        </w:tc>
        <w:tc>
          <w:tcPr>
            <w:tcW w:w="33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接近最优</w:t>
            </w:r>
          </w:p>
        </w:tc>
      </w:tr>
      <w:tr>
        <w:tc>
          <w:tcPr>
            <w:tcW w:w="15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0.15</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0.72</w:t>
            </w:r>
          </w:p>
        </w:tc>
        <w:tc>
          <w:tcPr>
            <w:tcW w:w="22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17.02</w:t>
            </w:r>
          </w:p>
        </w:tc>
        <w:tc>
          <w:tcPr>
            <w:tcW w:w="33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最优 η*</w:t>
            </w:r>
          </w:p>
        </w:tc>
      </w:tr>
      <w:tr>
        <w:tc>
          <w:tcPr>
            <w:tcW w:w="15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0.20</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0.75</w:t>
            </w:r>
          </w:p>
        </w:tc>
        <w:tc>
          <w:tcPr>
            <w:tcW w:w="22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16.62</w:t>
            </w:r>
          </w:p>
        </w:tc>
        <w:tc>
          <w:tcPr>
            <w:tcW w:w="33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次优</w:t>
            </w:r>
          </w:p>
        </w:tc>
      </w:tr>
      <w:tr>
        <w:tc>
          <w:tcPr>
            <w:tcW w:w="15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0.30</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1.10</w:t>
            </w:r>
          </w:p>
        </w:tc>
        <w:tc>
          <w:tcPr>
            <w:tcW w:w="22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15.72</w:t>
            </w:r>
          </w:p>
        </w:tc>
        <w:tc>
          <w:tcPr>
            <w:tcW w:w="33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触发稀疏</w:t>
            </w:r>
          </w:p>
        </w:tc>
      </w:tr>
      <w:tr>
        <w:tc>
          <w:tcPr>
            <w:tcW w:w="15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0.50</w:t>
            </w:r>
          </w:p>
        </w:tc>
        <w:tc>
          <w:tcPr>
            <w:tcW w:w="20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1.32</w:t>
            </w:r>
          </w:p>
        </w:tc>
        <w:tc>
          <w:tcPr>
            <w:tcW w:w="22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14.18</w:t>
            </w:r>
          </w:p>
        </w:tc>
        <w:tc>
          <w:tcPr>
            <w:tcW w:w="3300" w:type="dxa"/>
            <w:tcBorders>
              <w:top w:val="none" w:sz="0"/>
              <w:bottom w:val="none" w:sz="0"/>
              <w:left w:val="none" w:sz="0"/>
              <w:right w:val="none" w:sz="0"/>
            </w:tcBorders>
          </w:tcPr>
          <w:p>
            <w:pPr>
              <w:jc w:val="center"/>
              <w:spacing w:before="60" w:after="60" w:line="240" w:lineRule="auto"/>
            </w:pPr>
            <w:r>
              <w:rPr>
                <w:rFonts w:ascii="Times New Roman" w:hAnsi="Times New Roman" w:eastAsia="宋体" w:cs="宋体"/>
                <w:sz w:val="19"/>
                <w:szCs w:val="19"/>
              </w:rPr>
              <w:t xml:space="preserve">储备耗尽增加</w:t>
            </w:r>
          </w:p>
        </w:tc>
      </w:tr>
      <w:tr>
        <w:tc>
          <w:tcPr>
            <w:tcW w:w="1500" w:type="dxa"/>
            <w:tcBorders>
              <w:top w:val="none" w:sz="0"/>
              <w:bottom w:val="single" w:sz="4" w:space="0" w:color="000000"/>
              <w:left w:val="none" w:sz="0"/>
              <w:right w:val="none" w:sz="0"/>
            </w:tcBorders>
          </w:tcPr>
          <w:p>
            <w:pPr>
              <w:jc w:val="center"/>
              <w:spacing w:before="60" w:after="60" w:line="240" w:lineRule="auto"/>
            </w:pPr>
            <w:r>
              <w:rPr>
                <w:rFonts w:ascii="Times New Roman" w:hAnsi="Times New Roman" w:eastAsia="宋体" w:cs="宋体"/>
                <w:sz w:val="19"/>
                <w:szCs w:val="19"/>
              </w:rPr>
              <w:t xml:space="preserve">1.00</w:t>
            </w:r>
          </w:p>
        </w:tc>
        <w:tc>
          <w:tcPr>
            <w:tcW w:w="2000" w:type="dxa"/>
            <w:tcBorders>
              <w:top w:val="none" w:sz="0"/>
              <w:bottom w:val="single" w:sz="4" w:space="0" w:color="000000"/>
              <w:left w:val="none" w:sz="0"/>
              <w:right w:val="none" w:sz="0"/>
            </w:tcBorders>
          </w:tcPr>
          <w:p>
            <w:pPr>
              <w:jc w:val="center"/>
              <w:spacing w:before="60" w:after="60" w:line="240" w:lineRule="auto"/>
            </w:pPr>
            <w:r>
              <w:rPr>
                <w:rFonts w:ascii="Times New Roman" w:hAnsi="Times New Roman" w:eastAsia="宋体" w:cs="宋体"/>
                <w:sz w:val="19"/>
                <w:szCs w:val="19"/>
              </w:rPr>
              <w:t xml:space="preserve">1.25</w:t>
            </w:r>
          </w:p>
        </w:tc>
        <w:tc>
          <w:tcPr>
            <w:tcW w:w="2200" w:type="dxa"/>
            <w:tcBorders>
              <w:top w:val="none" w:sz="0"/>
              <w:bottom w:val="single" w:sz="4" w:space="0" w:color="000000"/>
              <w:left w:val="none" w:sz="0"/>
              <w:right w:val="none" w:sz="0"/>
            </w:tcBorders>
          </w:tcPr>
          <w:p>
            <w:pPr>
              <w:jc w:val="center"/>
              <w:spacing w:before="60" w:after="60" w:line="240" w:lineRule="auto"/>
            </w:pPr>
            <w:r>
              <w:rPr>
                <w:rFonts w:ascii="Times New Roman" w:hAnsi="Times New Roman" w:eastAsia="宋体" w:cs="宋体"/>
                <w:sz w:val="19"/>
                <w:szCs w:val="19"/>
              </w:rPr>
              <w:t xml:space="preserve">9.78</w:t>
            </w:r>
          </w:p>
        </w:tc>
        <w:tc>
          <w:tcPr>
            <w:tcW w:w="3300" w:type="dxa"/>
            <w:tcBorders>
              <w:top w:val="none" w:sz="0"/>
              <w:bottom w:val="single" w:sz="4" w:space="0" w:color="000000"/>
              <w:left w:val="none" w:sz="0"/>
              <w:right w:val="none" w:sz="0"/>
            </w:tcBorders>
          </w:tcPr>
          <w:p>
            <w:pPr>
              <w:jc w:val="center"/>
              <w:spacing w:before="60" w:after="60" w:line="240" w:lineRule="auto"/>
            </w:pPr>
            <w:r>
              <w:rPr>
                <w:rFonts w:ascii="Times New Roman" w:hAnsi="Times New Roman" w:eastAsia="宋体" w:cs="宋体"/>
                <w:sz w:val="19"/>
                <w:szCs w:val="19"/>
              </w:rPr>
              <w:t xml:space="preserve">近于无重规划</w:t>
            </w:r>
          </w:p>
        </w:tc>
      </w:tr>
    </w:tbl>
    <w:p>
      <w:pPr>
        <w:spacing w:before="0" w:after="0" w:line="240" w:lineRule="auto"/>
      </w:pPr>
    </w:p>
    <w:p>
      <w:pPr>
        <w:pStyle w:val="Normal"/>
        <w:jc w:val="both"/>
        <w:spacing w:before="0" w:after="0" w:line="480" w:lineRule="auto"/>
        <w:ind w:left="0" w:firstLine="420"/>
      </w:pPr>
      <w:r>
        <w:rPr>
          <w:rFonts w:ascii="Times New Roman" w:hAnsi="Times New Roman" w:eastAsia="宋体" w:cs="宋体"/>
          <w:sz w:val="21"/>
          <w:szCs w:val="21"/>
        </w:rPr>
        <w:t xml:space="preserve">由表2可见：①η∈[0.10, 0.20]时越限次数处于最低区间（0.72~0.75次/天），最优值η*=0.15；②η&lt;0.10时触发过频（近似周期重规划），越限次数不降反升；③η&gt;0.50时触发稀疏，储备耗尽概率增大，越限次数升至1.25~1.32次/天。η*=0.15的最优性与文献[9]关于“阈值应大于通信噪声引起的虚假波动”的建议吻合，也与式(15)的LP对偶物理含义一致：η=0.15对应储备裕度比最小需求低15%时触发重规划，恰好在约束成为有效约束之前完成预防性调整。</w:t>
      </w:r>
    </w:p>
    <w:p>
      <w:pPr>
        <w:spacing w:before="0" w:after="0" w:line="240" w:lineRule="auto"/>
      </w:pPr>
    </w:p>
    <w:p>
      <w:pPr>
        <w:pStyle w:val="Normal"/>
        <w:jc w:val="left"/>
        <w:spacing w:before="200" w:after="80" w:line="480" w:lineRule="auto"/>
      </w:pPr>
      <w:r>
        <w:rPr>
          <w:rFonts w:ascii="Times New Roman" w:hAnsi="Times New Roman" w:eastAsia="黑体" w:cs="黑体"/>
          <w:b/>
          <w:bCs/>
          <w:sz w:val="21"/>
          <w:szCs w:val="21"/>
        </w:rPr>
        <w:t xml:space="preserve">7  结论</w:t>
      </w:r>
    </w:p>
    <w:p>
      <w:pPr>
        <w:pStyle w:val="Normal"/>
        <w:jc w:val="both"/>
        <w:spacing w:before="0" w:after="0" w:line="480" w:lineRule="auto"/>
        <w:ind w:left="0" w:firstLine="420"/>
      </w:pPr>
      <w:r>
        <w:rPr>
          <w:rFonts w:ascii="Times New Roman" w:hAnsi="Times New Roman" w:eastAsia="宋体" w:cs="宋体"/>
          <w:sz w:val="21"/>
          <w:szCs w:val="21"/>
        </w:rPr>
        <w:t xml:space="preserve">本文针对高光伏渗透率ADN的调压挑战，提出了基于P-box不确定性集合的三阶段事件触发分布鲁棒调压框架，主要结论如下：</w:t>
      </w:r>
    </w:p>
    <w:p>
      <w:pPr>
        <w:pStyle w:val="Normal"/>
        <w:jc w:val="both"/>
        <w:spacing w:before="0" w:after="0" w:line="480" w:lineRule="auto"/>
        <w:ind w:left="0" w:firstLine="420"/>
      </w:pPr>
      <w:r>
        <w:rPr>
          <w:rFonts w:ascii="Times New Roman" w:hAnsi="Times New Roman" w:eastAsia="宋体" w:cs="宋体"/>
          <w:sz w:val="21"/>
          <w:szCs w:val="21"/>
        </w:rPr>
        <w:t xml:space="preserve">（1）储备裕度内生化（命题1）：通过P-box半宽度解析推导最小储备需求ρ_min(t)，实现储备裕度与实时不确定性量级的动态耦合，优于文献[17]固定置信参数方法。</w:t>
      </w:r>
    </w:p>
    <w:p>
      <w:pPr>
        <w:pStyle w:val="Normal"/>
        <w:jc w:val="both"/>
        <w:spacing w:before="0" w:after="0" w:line="480" w:lineRule="auto"/>
        <w:ind w:left="0" w:firstLine="420"/>
      </w:pPr>
      <w:r>
        <w:rPr>
          <w:rFonts w:ascii="Times New Roman" w:hAnsi="Times New Roman" w:eastAsia="宋体" w:cs="宋体"/>
          <w:sz w:val="21"/>
          <w:szCs w:val="21"/>
        </w:rPr>
        <w:t xml:space="preserve">（2）LP对偶触发判据：基于储备裕度松弛量构建触发指标g(t)，规避了DRL[4][11]在LP顶点处梯度消失的缺陷，全程保证SOC和电压硬约束的严格可行性。</w:t>
      </w:r>
    </w:p>
    <w:p>
      <w:pPr>
        <w:pStyle w:val="Normal"/>
        <w:jc w:val="both"/>
        <w:spacing w:before="0" w:after="0" w:line="480" w:lineRule="auto"/>
        <w:ind w:left="0" w:firstLine="420"/>
      </w:pPr>
      <w:r>
        <w:rPr>
          <w:rFonts w:ascii="Times New Roman" w:hAnsi="Times New Roman" w:eastAsia="宋体" w:cs="宋体"/>
          <w:sz w:val="21"/>
          <w:szCs w:val="21"/>
        </w:rPr>
        <w:t xml:space="preserve">（3）在线灵敏度自适应：RLS方法[14]实时更新灵敏度矩阵，保证弱配电网参数时变条件下的闭环稳定性。</w:t>
      </w:r>
    </w:p>
    <w:p>
      <w:pPr>
        <w:pStyle w:val="Normal"/>
        <w:jc w:val="both"/>
        <w:spacing w:before="0" w:after="0" w:line="480" w:lineRule="auto"/>
        <w:ind w:left="0" w:firstLine="420"/>
      </w:pPr>
      <w:r>
        <w:rPr>
          <w:rFonts w:ascii="Times New Roman" w:hAnsi="Times New Roman" w:eastAsia="宋体" w:cs="宋体"/>
          <w:sz w:val="21"/>
          <w:szCs w:val="21"/>
        </w:rPr>
        <w:t xml:space="preserve">（4）仿真验证：在最优η*=0.15条件下，较无重规划基准减少32.7%越限次数，同时较周期重规划节省26.1%通信开销，实现了调压性能与运行代价的帕累托最优权衡。</w:t>
      </w:r>
    </w:p>
    <w:p>
      <w:pPr>
        <w:pStyle w:val="Normal"/>
        <w:jc w:val="both"/>
        <w:spacing w:before="0" w:after="0" w:line="480" w:lineRule="auto"/>
        <w:ind w:left="0" w:firstLine="420"/>
      </w:pPr>
      <w:r>
        <w:rPr>
          <w:rFonts w:ascii="Times New Roman" w:hAnsi="Times New Roman" w:eastAsia="宋体" w:cs="宋体"/>
          <w:sz w:val="21"/>
          <w:szCs w:val="21"/>
        </w:rPr>
        <w:t xml:space="preserve">下一步工作将研究：多水电机组场景的分布式分解算法；考虑拓扑切换的灵敏度矩阵在线估计鲁棒性；以及P-box边界的数据驱动在线校准方法。</w:t>
      </w:r>
    </w:p>
    <w:p>
      <w:pPr>
        <w:spacing w:before="0" w:after="0" w:line="240" w:lineRule="auto"/>
      </w:pPr>
    </w:p>
    <w:p>
      <w:pPr>
        <w:pStyle w:val="Normal"/>
        <w:jc w:val="left"/>
        <w:spacing w:before="200" w:after="80" w:line="480" w:lineRule="auto"/>
      </w:pPr>
      <w:r>
        <w:rPr>
          <w:rFonts w:ascii="Times New Roman" w:hAnsi="Times New Roman" w:eastAsia="黑体" w:cs="黑体"/>
          <w:b/>
          <w:bCs/>
          <w:sz w:val="21"/>
          <w:szCs w:val="21"/>
        </w:rPr>
        <w:t xml:space="preserve">参考文献</w:t>
      </w:r>
    </w:p>
    <w:p>
      <w:pPr>
        <w:pStyle w:val="Normal"/>
        <w:jc w:val="both"/>
        <w:spacing w:before="0" w:after="0" w:line="440" w:lineRule="auto"/>
        <w:ind w:left="360" w:firstLine="-360"/>
      </w:pPr>
      <w:r>
        <w:rPr>
          <w:rFonts w:ascii="Times New Roman" w:hAnsi="Times New Roman" w:eastAsia="宋体" w:cs="宋体"/>
          <w:sz w:val="18"/>
          <w:szCs w:val="18"/>
        </w:rPr>
        <w:t xml:space="preserve">[1]  LAVAEI J, LOW S H. Zero duality gap in optimal power flow problem [J]. IEEE Transactions on Power Systems, 2012, 27(1): 92-107.</w:t>
      </w:r>
    </w:p>
    <w:p>
      <w:pPr>
        <w:pStyle w:val="Normal"/>
        <w:jc w:val="both"/>
        <w:spacing w:before="0" w:after="0" w:line="440" w:lineRule="auto"/>
        <w:ind w:left="360" w:firstLine="-360"/>
      </w:pPr>
      <w:r>
        <w:rPr>
          <w:rFonts w:ascii="Times New Roman" w:hAnsi="Times New Roman" w:eastAsia="宋体" w:cs="宋体"/>
          <w:sz w:val="18"/>
          <w:szCs w:val="18"/>
        </w:rPr>
        <w:t xml:space="preserve">[2]  FARIVAR M, LOW S H. Branch flow model: relaxations and convexification [J]. IEEE Transactions on Power Systems, 2013, 28(3): 2554-2572.</w:t>
      </w:r>
    </w:p>
    <w:p>
      <w:pPr>
        <w:pStyle w:val="Normal"/>
        <w:jc w:val="both"/>
        <w:spacing w:before="0" w:after="0" w:line="440" w:lineRule="auto"/>
        <w:ind w:left="360" w:firstLine="-360"/>
      </w:pPr>
      <w:r>
        <w:rPr>
          <w:rFonts w:ascii="Times New Roman" w:hAnsi="Times New Roman" w:eastAsia="宋体" w:cs="宋体"/>
          <w:sz w:val="18"/>
          <w:szCs w:val="18"/>
        </w:rPr>
        <w:t xml:space="preserve">[3]  BARAN M E, WU F F. Optimal capacitor placement on radial distribution systems [J]. IEEE Transactions on Power Delivery, 1989, 4(1): 725-734.</w:t>
      </w:r>
    </w:p>
    <w:p>
      <w:pPr>
        <w:pStyle w:val="Normal"/>
        <w:jc w:val="both"/>
        <w:spacing w:before="0" w:after="0" w:line="440" w:lineRule="auto"/>
        <w:ind w:left="360" w:firstLine="-360"/>
      </w:pPr>
      <w:r>
        <w:rPr>
          <w:rFonts w:ascii="Times New Roman" w:hAnsi="Times New Roman" w:eastAsia="宋体" w:cs="宋体"/>
          <w:sz w:val="18"/>
          <w:szCs w:val="18"/>
        </w:rPr>
        <w:t xml:space="preserve">[4]  WANG W, YU N. Safe off-policy deep reinforcement learning algorithm for Volt-VAR control in power distribution systems [J]. IEEE Transactions on Smart Grid, 2020, 11(4): 3008-3018.</w:t>
      </w:r>
    </w:p>
    <w:p>
      <w:pPr>
        <w:pStyle w:val="Normal"/>
        <w:jc w:val="both"/>
        <w:spacing w:before="0" w:after="0" w:line="440" w:lineRule="auto"/>
        <w:ind w:left="360" w:firstLine="-360"/>
      </w:pPr>
      <w:r>
        <w:rPr>
          <w:rFonts w:ascii="Times New Roman" w:hAnsi="Times New Roman" w:eastAsia="宋体" w:cs="宋体"/>
          <w:sz w:val="18"/>
          <w:szCs w:val="18"/>
        </w:rPr>
        <w:t xml:space="preserve">[5]  DALL'ANESE E, SIMONETTO A. Optimal power flow pursuit [J]. IEEE Transactions on Smart Grid, 2018, 9(2): 942-952.</w:t>
      </w:r>
    </w:p>
    <w:p>
      <w:pPr>
        <w:pStyle w:val="Normal"/>
        <w:jc w:val="both"/>
        <w:spacing w:before="0" w:after="0" w:line="440" w:lineRule="auto"/>
        <w:ind w:left="360" w:firstLine="-360"/>
      </w:pPr>
      <w:r>
        <w:rPr>
          <w:rFonts w:ascii="Times New Roman" w:hAnsi="Times New Roman" w:eastAsia="宋体" w:cs="宋体"/>
          <w:sz w:val="18"/>
          <w:szCs w:val="18"/>
        </w:rPr>
        <w:t xml:space="preserve">[6]  CAPITANESCU F, BILIBIN I, ROMERO RAMOS E. A comprehensive centralized approach for voltage constraints management in active distribution grid [J]. IEEE Transactions on Power Systems, 2014, 29(2): 933-942.</w:t>
      </w:r>
    </w:p>
    <w:p>
      <w:pPr>
        <w:pStyle w:val="Normal"/>
        <w:jc w:val="both"/>
        <w:spacing w:before="0" w:after="0" w:line="440" w:lineRule="auto"/>
        <w:ind w:left="360" w:firstLine="-360"/>
      </w:pPr>
      <w:r>
        <w:rPr>
          <w:rFonts w:ascii="Times New Roman" w:hAnsi="Times New Roman" w:eastAsia="宋体" w:cs="宋体"/>
          <w:sz w:val="18"/>
          <w:szCs w:val="18"/>
        </w:rPr>
        <w:t xml:space="preserve">[7]  HUANG S, WU Q, WANG J, et al. A sufficient condition on convex relaxation of AC optimal power flow in distribution networks [J]. IEEE Transactions on Power Systems, 2017, 32(2): 1359-1368.</w:t>
      </w:r>
    </w:p>
    <w:p>
      <w:pPr>
        <w:pStyle w:val="Normal"/>
        <w:jc w:val="both"/>
        <w:spacing w:before="0" w:after="0" w:line="440" w:lineRule="auto"/>
        <w:ind w:left="360" w:firstLine="-360"/>
      </w:pPr>
      <w:r>
        <w:rPr>
          <w:rFonts w:ascii="Times New Roman" w:hAnsi="Times New Roman" w:eastAsia="宋体" w:cs="宋体"/>
          <w:sz w:val="18"/>
          <w:szCs w:val="18"/>
        </w:rPr>
        <w:t xml:space="preserve">[8]  JIN X, MU Y, JIA H, et al. Dynamic economic dispatch of a hybrid energy microgrid considering building based virtual energy storage system [J]. Applied Energy, 2017, 194: 386-398.</w:t>
      </w:r>
    </w:p>
    <w:p>
      <w:pPr>
        <w:pStyle w:val="Normal"/>
        <w:jc w:val="both"/>
        <w:spacing w:before="0" w:after="0" w:line="440" w:lineRule="auto"/>
        <w:ind w:left="360" w:firstLine="-360"/>
      </w:pPr>
      <w:r>
        <w:rPr>
          <w:rFonts w:ascii="Times New Roman" w:hAnsi="Times New Roman" w:eastAsia="宋体" w:cs="宋体"/>
          <w:sz w:val="18"/>
          <w:szCs w:val="18"/>
        </w:rPr>
        <w:t xml:space="preserve">[9]  WANG Y, ZHANG N, LI H, et al. Distributed online voltage control with fast PV power fluctuations and imperfect communication [J]. IEEE Transactions on Smart Grid, 2023, 14(1): 353-364.</w:t>
      </w:r>
    </w:p>
    <w:p>
      <w:pPr>
        <w:pStyle w:val="Normal"/>
        <w:jc w:val="both"/>
        <w:spacing w:before="0" w:after="0" w:line="440" w:lineRule="auto"/>
        <w:ind w:left="360" w:firstLine="-360"/>
      </w:pPr>
      <w:r>
        <w:rPr>
          <w:rFonts w:ascii="Times New Roman" w:hAnsi="Times New Roman" w:eastAsia="宋体" w:cs="宋体"/>
          <w:sz w:val="18"/>
          <w:szCs w:val="18"/>
        </w:rPr>
        <w:t xml:space="preserve">[10] SHEN H, CHEN Y, JIANG Y. Chance-constrained optimal power flow with non-Gaussian uncertainties [J]. IEEE Transactions on Smart Grid, 2021, 12(4): 2982-2994.</w:t>
      </w:r>
    </w:p>
    <w:p>
      <w:pPr>
        <w:pStyle w:val="Normal"/>
        <w:jc w:val="both"/>
        <w:spacing w:before="0" w:after="0" w:line="440" w:lineRule="auto"/>
        <w:ind w:left="360" w:firstLine="-360"/>
      </w:pPr>
      <w:r>
        <w:rPr>
          <w:rFonts w:ascii="Times New Roman" w:hAnsi="Times New Roman" w:eastAsia="宋体" w:cs="宋体"/>
          <w:sz w:val="18"/>
          <w:szCs w:val="18"/>
        </w:rPr>
        <w:t xml:space="preserve">[11] CAO D, HU W, ZHAO J, et al. Reinforcement learning and its applications in modern power and energy systems: a review [J]. Journal of Modern Power Systems and Clean Energy, 2020, 8(6): 1029-1042.</w:t>
      </w:r>
    </w:p>
    <w:p>
      <w:pPr>
        <w:pStyle w:val="Normal"/>
        <w:jc w:val="both"/>
        <w:spacing w:before="0" w:after="0" w:line="440" w:lineRule="auto"/>
        <w:ind w:left="360" w:firstLine="-360"/>
      </w:pPr>
      <w:r>
        <w:rPr>
          <w:rFonts w:ascii="Times New Roman" w:hAnsi="Times New Roman" w:eastAsia="宋体" w:cs="宋体"/>
          <w:sz w:val="18"/>
          <w:szCs w:val="18"/>
        </w:rPr>
        <w:t xml:space="preserve">[12] GUO Y, CHEN Q, XIA Q. Multi-stage robust reactive power optimization of active distribution network considering discrete intertemporal constraints [J]. IEEE Transactions on Power Systems, 2025, 40(1): 234-246.</w:t>
      </w:r>
    </w:p>
    <w:p>
      <w:pPr>
        <w:pStyle w:val="Normal"/>
        <w:jc w:val="both"/>
        <w:spacing w:before="0" w:after="0" w:line="440" w:lineRule="auto"/>
        <w:ind w:left="360" w:firstLine="-360"/>
      </w:pPr>
      <w:r>
        <w:rPr>
          <w:rFonts w:ascii="Times New Roman" w:hAnsi="Times New Roman" w:eastAsia="宋体" w:cs="宋体"/>
          <w:sz w:val="18"/>
          <w:szCs w:val="18"/>
        </w:rPr>
        <w:t xml:space="preserve">[13] MOLZAHN D K, HISKENS I A. A survey of relaxations and approximations of the power flow equations [J]. Foundations and Trends in Electric Energy Systems, 2019, 4(1-2): 1-221.</w:t>
      </w:r>
    </w:p>
    <w:p>
      <w:pPr>
        <w:pStyle w:val="Normal"/>
        <w:jc w:val="both"/>
        <w:spacing w:before="0" w:after="0" w:line="440" w:lineRule="auto"/>
        <w:ind w:left="360" w:firstLine="-360"/>
      </w:pPr>
      <w:r>
        <w:rPr>
          <w:rFonts w:ascii="Times New Roman" w:hAnsi="Times New Roman" w:eastAsia="宋体" w:cs="宋体"/>
          <w:sz w:val="18"/>
          <w:szCs w:val="18"/>
        </w:rPr>
        <w:t xml:space="preserve">[14] WANG Z, ZHOU Y, ZHAO C, et al. Online model-free DER dispatch via adaptive voltage sensitivity estimation and chance constrained programming [J]. IEEE Transactions on Power Systems, 2024, 39(3): 4521-4533.</w:t>
      </w:r>
    </w:p>
    <w:p>
      <w:pPr>
        <w:pStyle w:val="Normal"/>
        <w:jc w:val="both"/>
        <w:spacing w:before="0" w:after="0" w:line="440" w:lineRule="auto"/>
        <w:ind w:left="360" w:firstLine="-360"/>
      </w:pPr>
      <w:r>
        <w:rPr>
          <w:rFonts w:ascii="Times New Roman" w:hAnsi="Times New Roman" w:eastAsia="宋体" w:cs="宋体"/>
          <w:sz w:val="18"/>
          <w:szCs w:val="18"/>
        </w:rPr>
        <w:t xml:space="preserve">[15] WAN C, WANG J, LIN J, et al. Probabilistic forecasting of wind power generation using extreme learning machine [J]. IEEE Transactions on Power Systems, 2014, 29(3): 1033-1044.</w:t>
      </w:r>
    </w:p>
    <w:p>
      <w:pPr>
        <w:pStyle w:val="Normal"/>
        <w:jc w:val="both"/>
        <w:spacing w:before="0" w:after="0" w:line="440" w:lineRule="auto"/>
        <w:ind w:left="360" w:firstLine="-360"/>
      </w:pPr>
      <w:r>
        <w:rPr>
          <w:rFonts w:ascii="Times New Roman" w:hAnsi="Times New Roman" w:eastAsia="宋体" w:cs="宋体"/>
          <w:sz w:val="18"/>
          <w:szCs w:val="18"/>
        </w:rPr>
        <w:t xml:space="preserve">[16] CHEN Z, WU L, FU Y. Real-time price-based demand response management for residential appliances via stochastic optimization and robust optimization [J]. IEEE Transactions on Smart Grid, 2012, 3(4): 1822-1831.</w:t>
      </w:r>
    </w:p>
    <w:p>
      <w:pPr>
        <w:pStyle w:val="Normal"/>
        <w:jc w:val="both"/>
        <w:spacing w:before="0" w:after="0" w:line="440" w:lineRule="auto"/>
        <w:ind w:left="360" w:firstLine="-360"/>
      </w:pPr>
      <w:r>
        <w:rPr>
          <w:rFonts w:ascii="Times New Roman" w:hAnsi="Times New Roman" w:eastAsia="宋体" w:cs="宋体"/>
          <w:sz w:val="18"/>
          <w:szCs w:val="18"/>
        </w:rPr>
        <w:t xml:space="preserve">[17] LI Y, ZHAO J, DUAN J, et al. A distributionally robust model predictive control for static and dynamic uncertainties in smart grids [J]. IEEE Transactions on Smart Grid, 2024, 15(2): 1695-1707.</w:t>
      </w:r>
    </w:p>
    <w:p>
      <w:pPr>
        <w:pStyle w:val="Normal"/>
        <w:jc w:val="both"/>
        <w:spacing w:before="0" w:after="0" w:line="440" w:lineRule="auto"/>
        <w:ind w:left="360" w:firstLine="-360"/>
      </w:pPr>
      <w:r>
        <w:rPr>
          <w:rFonts w:ascii="Times New Roman" w:hAnsi="Times New Roman" w:eastAsia="宋体" w:cs="宋体"/>
          <w:sz w:val="18"/>
          <w:szCs w:val="18"/>
        </w:rPr>
        <w:t xml:space="preserve">[18] YANG J, ZHANG N, KANG C, et al. Effect of natural gas flow dynamics in robust generation scheduling under wind uncertainty [J]. IEEE Transactions on Power Systems, 2018, 33(2): 2087-2097.</w:t>
      </w:r>
    </w:p>
    <w:p>
      <w:pPr>
        <w:pStyle w:val="Normal"/>
        <w:jc w:val="both"/>
        <w:spacing w:before="0" w:after="0" w:line="440" w:lineRule="auto"/>
        <w:ind w:left="360" w:firstLine="-360"/>
      </w:pPr>
      <w:r>
        <w:rPr>
          <w:rFonts w:ascii="Times New Roman" w:hAnsi="Times New Roman" w:eastAsia="宋体" w:cs="宋体"/>
          <w:sz w:val="18"/>
          <w:szCs w:val="18"/>
        </w:rPr>
        <w:t xml:space="preserve">[19] ZHONG H, XU J, XIA Q, et al. Heterogeneous vehicle scheduling in distribution networks considering battery degradation and load forecast uncertainty [J]. IEEE Transactions on Smart Grid, 2021, 12(5): 4337-4350.</w:t>
      </w:r>
    </w:p>
    <w:p>
      <w:pPr>
        <w:pStyle w:val="Normal"/>
        <w:jc w:val="both"/>
        <w:spacing w:before="0" w:after="0" w:line="440" w:lineRule="auto"/>
        <w:ind w:left="360" w:firstLine="-360"/>
      </w:pPr>
      <w:r>
        <w:rPr>
          <w:rFonts w:ascii="Times New Roman" w:hAnsi="Times New Roman" w:eastAsia="宋体" w:cs="宋体"/>
          <w:sz w:val="18"/>
          <w:szCs w:val="18"/>
        </w:rPr>
        <w:t xml:space="preserve">[20] WANG C, CHEN H, WAN C, et al. Voltage stability enhancement for weak distribution feeders with high R/X ratio under high renewable penetration [J]. IEEE Transactions on Power Systems, 2025, 40(2): 1820-1832.</w:t>
      </w:r>
    </w:p>
    <w:sectPr>
      <w:pgSz w:w="11906" w:h="16838"/>
      <w:pgMar w:top="1418" w:right="1134" w:bottom="1418" w:left="1134" w:header="709" w:footer="709" w:gutter="0"/>
      <w:cols w:num="2" w:space="567"/>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Times New Roman" w:hAnsi="Times New Roman" w:eastAsia="宋体" w:cs="宋体"/>
        <w:sz w:val="21"/>
        <w:szCs w:val="21"/>
        <w:lang w:val="en-US" w:eastAsia="zh-CN"/>
      </w:rPr>
    </w:rPrDefault>
    <w:pPrDefault>
      <w:pPr>
        <w:jc w:val="both"/>
        <w:spacing w:line="480" w:lineRule="auto" w:before="0" w:after="0"/>
      </w:pPr>
    </w:pPrDefault>
  </w:docDefaults>
  <w:style w:type="paragraph" w:styleId="Normal">
    <w:name w:val="Normal"/>
  </w:style>
  <w:style w:type="table" w:styleId="TableNormal">
    <w:name w:val="Normal Table"/>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Three-Stage Event-Triggered Voltage Regulation</dc:title>
  <dc:language>zh-CN</dc:language>
</cp:coreProperties>
</file>