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urn:schemas-microsoft-com:vml" xmlns:ns5="urn:schemas-microsoft-com:office:office" xmlns:w="http://schemas.openxmlformats.org/wordprocessingml/2006/main" ns1:Ignorable="w14 w15 w16se w16cid w16 w16cex w16sdtdh w16sdtfl w16du wp14">
  <w:body>
    <w:p ns2:paraId="10F181B1" ns2:textId="77777777" w:rsidR="009303D9" w:rsidRDefault="009303D9" w:rsidP="006347CF">
      <w:pPr>
        <w:pStyle w:val="papertitle"/>
        <w:spacing w:before="100" w:beforeAutospacing="1" w:after="100" w:afterAutospacing="1"/>
      </w:pPr>
      <w:r>
        <w:t>Multi-Driver Interval Modeling of Demand Response with Energy Conservation Constraint</w:t>
      </w:r>
    </w:p>
    <w:p ns2:paraId="1C091940" ns2:textId="77777777" w:rsidR="009303D9" w:rsidRDefault="009303D9" w:rsidP="006347CF">
      <w:pPr>
        <w:pStyle w:val="Author"/>
        <w:spacing w:before="100" w:beforeAutospacing="1" w:after="100" w:afterAutospacing="1"/>
        <w:rPr>
          <w:sz w:val="16"/>
          <w:szCs w:val="16"/>
        </w:rPr>
      </w:pPr>
    </w:p>
    <w:p ns2:paraId="241A7DB3" ns2:textId="77777777" w:rsidR="00D7522C" w:rsidRDefault="00D7522C" w:rsidP="00CA4392">
      <w:pPr>
        <w:pStyle w:val="Author"/>
        <w:spacing w:before="100" w:beforeAutospacing="1" w:after="100" w:afterAutospacing="1" w:line="120" w:lineRule="auto"/>
        <w:rPr>
          <w:sz w:val="16"/>
          <w:szCs w:val="16"/>
        </w:rPr>
      </w:pPr>
    </w:p>
    <w:p ns2:paraId="27550083" ns2: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1A3B3D">
          <w:footerReference w:type="first" ns3:id="rId8"/>
          <w:pgSz w:w="12240" w:h="15840" w:code="1"/>
          <w:pgMar w:top="1080" w:right="893" w:bottom="1440" w:left="893" w:header="720" w:footer="720" w:gutter="0"/>
          <w:cols w:space="720"/>
          <w:titlePg/>
          <w:docGrid w:linePitch="360"/>
        </w:sectPr>
      </w:pPr>
    </w:p>
    <w:p ns2:paraId="03017C2F" ns2:textId="2C6102F5" w:rsidR="001A3B3D" w:rsidRPr="006347CF" w:rsidRDefault="008D332F" w:rsidP="006347CF">
      <w:pPr>
        <w:pStyle w:val="Author"/>
        <w:spacing w:before="100" w:beforeAutospacing="1"/>
        <w:rPr>
          <w:sz w:val="18"/>
          <w:szCs w:val="18"/>
        </w:rPr>
        <w:sectPr w:rsidR="001A3B3D" w:rsidRPr="006347CF" w:rsidSect="00F847A6">
          <w:type w:val="continuous"/>
          <w:pgSz w:w="12240" w:h="15840" w:code="1"/>
          <w:pgMar w:top="1080" w:right="893" w:bottom="1440" w:left="893" w:header="720" w:footer="720" w:gutter="0"/>
          <w:cols w:num="4" w:space="216"/>
          <w:docGrid w:linePitch="360"/>
        </w:sectPr>
      </w:pPr>
      <w:r>
        <w:rPr>
          <w:rFonts w:hint="eastAsia"/>
          <w:sz w:val="18"/>
          <w:szCs w:val="18"/>
          <w:lang w:eastAsia="zh-CN"/>
        </w:rPr>
        <w:t xml:space="preserve"> </w:t>
      </w:r>
      <w:r>
        <w:rPr>
          <w:sz w:val="18"/>
          <w:szCs w:val="18"/>
        </w:rPr>
        <w:t>Wei Wang</w:t>
      </w:r>
      <w:r>
        <w:rPr>
          <w:rFonts w:hint="eastAsia"/>
          <w:sz w:val="18"/>
          <w:szCs w:val="18"/>
          <w:vertAlign w:val="superscript"/>
          <w:lang w:eastAsia="zh-CN"/>
        </w:rPr>
        <w:t>st</w:t>
      </w:r>
      <w:r>
        <w:rPr>
          <w:sz w:val="18"/>
          <w:szCs w:val="18"/>
        </w:rPr>
        <w:br/>
      </w:r>
      <w:r>
        <w:rPr>
          <w:i/>
          <w:sz w:val="18"/>
          <w:szCs w:val="18"/>
        </w:rPr>
        <w:t>Coll. of Electr. and Power Eng.</w:t>
      </w:r>
      <w:r>
        <w:rPr>
          <w:sz w:val="18"/>
          <w:szCs w:val="18"/>
        </w:rPr>
        <w:br/>
      </w:r>
      <w:r>
        <w:rPr>
          <w:i/>
          <w:sz w:val="18"/>
          <w:szCs w:val="18"/>
        </w:rPr>
        <w:t>Hohai University</w:t>
      </w:r>
      <w:r>
        <w:rPr>
          <w:i/>
          <w:sz w:val="18"/>
          <w:szCs w:val="18"/>
        </w:rPr>
        <w:br/>
      </w:r>
      <w:r>
        <w:rPr>
          <w:sz w:val="18"/>
          <w:szCs w:val="18"/>
        </w:rPr>
        <w:t>Nanjing, China</w:t>
      </w:r>
      <w:r>
        <w:rPr>
          <w:sz w:val="18"/>
          <w:szCs w:val="18"/>
        </w:rPr>
        <w:br/>
      </w:r>
      <w:r w:rsidRPr="008D332F">
        <w:rPr>
          <w:sz w:val="18"/>
          <w:szCs w:val="18"/>
        </w:rPr>
        <w:t>251306030038@hhu.edu.cn</w:t>
      </w:r>
      <w:r>
        <w:rPr>
          <w:sz w:val="18"/>
          <w:szCs w:val="18"/>
        </w:rPr>
        <w:br/>
      </w:r>
      <w:r w:rsidR="009303D9">
        <w:rPr>
          <w:sz w:val="18"/>
          <w:szCs w:val="18"/>
        </w:rPr>
        <w:br/>
      </w:r>
      <w:r w:rsidR="009303D9">
        <w:rPr>
          <w:sz w:val="18"/>
          <w:szCs w:val="18"/>
        </w:rPr>
        <w:t xml:space="preserve"> </w:t>
      </w:r>
      <w:r>
        <w:rPr>
          <w:sz w:val="18"/>
          <w:szCs w:val="18"/>
        </w:rPr>
        <w:t>Tingyu Jiang</w:t>
      </w:r>
      <w:r>
        <w:rPr>
          <w:sz w:val="18"/>
          <w:szCs w:val="18"/>
          <w:vertAlign w:val="superscript"/>
        </w:rPr>
        <w:t>nd</w:t>
      </w:r>
      <w:r>
        <w:rPr>
          <w:sz w:val="18"/>
          <w:szCs w:val="18"/>
        </w:rPr>
        <w:br/>
      </w:r>
      <w:r>
        <w:rPr>
          <w:i/>
          <w:sz w:val="18"/>
          <w:szCs w:val="18"/>
        </w:rPr>
        <w:t>Coll. of Electr. and Power Eng.</w:t>
      </w:r>
      <w:r>
        <w:rPr>
          <w:sz w:val="18"/>
          <w:szCs w:val="18"/>
        </w:rPr>
        <w:br/>
      </w:r>
      <w:r>
        <w:rPr>
          <w:i/>
          <w:sz w:val="18"/>
          <w:szCs w:val="18"/>
        </w:rPr>
        <w:t>Hohai University</w:t>
      </w:r>
      <w:r>
        <w:rPr>
          <w:i/>
          <w:sz w:val="18"/>
          <w:szCs w:val="18"/>
        </w:rPr>
        <w:br/>
      </w:r>
      <w:r>
        <w:rPr>
          <w:sz w:val="18"/>
          <w:szCs w:val="18"/>
        </w:rPr>
        <w:t>Nanjing, China</w:t>
      </w:r>
      <w:r w:rsidRPr="00B7329E">
        <w:rPr>
          <w:sz w:val="18"/>
          <w:szCs w:val="18"/>
        </w:rPr>
        <w:br/>
        <w:t>tyjiang@hhu.edu.cn</w:t>
      </w:r>
      <w:r w:rsidR="009303D9">
        <w:rPr>
          <w:sz w:val="18"/>
          <w:szCs w:val="18"/>
        </w:rPr>
        <w:br/>
      </w:r>
      <w:r w:rsidR="009303D9">
        <w:rPr>
          <w:sz w:val="18"/>
          <w:szCs w:val="18"/>
        </w:rPr>
        <w:br/>
      </w:r>
      <w:r w:rsidR="009303D9">
        <w:rPr>
          <w:sz w:val="18"/>
          <w:szCs w:val="18"/>
        </w:rPr>
        <w:t xml:space="preserve"> Qianyu Zhao</w:t>
      </w:r>
      <w:r w:rsidR="009303D9">
        <w:rPr>
          <w:sz w:val="18"/>
          <w:szCs w:val="18"/>
          <w:vertAlign w:val="superscript"/>
        </w:rPr>
        <w:t>rd</w:t>
      </w:r>
      <w:r w:rsidR="009303D9">
        <w:rPr>
          <w:sz w:val="18"/>
          <w:szCs w:val="18"/>
        </w:rPr>
        <w:br/>
      </w:r>
      <w:r w:rsidR="009303D9">
        <w:rPr>
          <w:i/>
          <w:sz w:val="18"/>
          <w:szCs w:val="18"/>
        </w:rPr>
        <w:t>State Key Lab of Power Distrib.</w:t>
      </w:r>
      <w:r w:rsidR="009303D9">
        <w:rPr>
          <w:sz w:val="18"/>
          <w:szCs w:val="18"/>
        </w:rPr>
        <w:br/>
      </w:r>
      <w:r w:rsidR="009303D9">
        <w:rPr>
          <w:i/>
          <w:sz w:val="18"/>
          <w:szCs w:val="18"/>
        </w:rPr>
        <w:t>Tianjin University</w:t>
      </w:r>
      <w:r w:rsidR="009303D9">
        <w:rPr>
          <w:i/>
          <w:sz w:val="18"/>
          <w:szCs w:val="18"/>
        </w:rPr>
        <w:br/>
      </w:r>
      <w:r w:rsidR="009303D9">
        <w:rPr>
          <w:sz w:val="18"/>
          <w:szCs w:val="18"/>
        </w:rPr>
        <w:t>Tianjin, China</w:t>
      </w:r>
      <w:r w:rsidR="009303D9">
        <w:rPr>
          <w:sz w:val="18"/>
          <w:szCs w:val="18"/>
        </w:rPr>
        <w:br/>
      </w:r>
      <w:r w:rsidRPr="008D332F">
        <w:rPr>
          <w:sz w:val="18"/>
          <w:szCs w:val="18"/>
        </w:rPr>
        <w:t>zhaoqianyu@tju.edu.cn</w:t>
      </w:r>
      <w:r w:rsidR="009303D9">
        <w:rPr>
          <w:sz w:val="18"/>
          <w:szCs w:val="18"/>
        </w:rPr>
        <w:br/>
      </w:r>
      <w:r w:rsidR="009303D9">
        <w:rPr>
          <w:sz w:val="18"/>
          <w:szCs w:val="18"/>
        </w:rPr>
        <w:br/>
      </w:r>
      <w:r w:rsidR="009303D9">
        <w:rPr>
          <w:sz w:val="18"/>
          <w:szCs w:val="18"/>
        </w:rPr>
        <w:t xml:space="preserve"> Yuying H</w:t>
      </w:r>
      <w:r w:rsidR="00B7329E">
        <w:rPr>
          <w:rFonts w:hint="eastAsia"/>
          <w:sz w:val="18"/>
          <w:szCs w:val="18"/>
          <w:lang w:eastAsia="zh-CN"/>
        </w:rPr>
        <w:t>e</w:t>
      </w:r>
      <w:r w:rsidR="009303D9">
        <w:rPr>
          <w:sz w:val="18"/>
          <w:szCs w:val="18"/>
          <w:vertAlign w:val="superscript"/>
        </w:rPr>
        <w:t>th</w:t>
      </w:r>
      <w:r w:rsidR="009303D9">
        <w:rPr>
          <w:sz w:val="18"/>
          <w:szCs w:val="18"/>
        </w:rPr>
        <w:br/>
      </w:r>
      <w:r w:rsidR="009303D9">
        <w:rPr>
          <w:i/>
          <w:sz w:val="18"/>
          <w:szCs w:val="18"/>
        </w:rPr>
        <w:t>Coll. of Electr. and Power Eng.</w:t>
      </w:r>
      <w:r w:rsidR="009303D9">
        <w:rPr>
          <w:sz w:val="18"/>
          <w:szCs w:val="18"/>
        </w:rPr>
        <w:br/>
      </w:r>
      <w:r w:rsidR="009303D9">
        <w:rPr>
          <w:i/>
          <w:sz w:val="18"/>
          <w:szCs w:val="18"/>
        </w:rPr>
        <w:t>Hohai University</w:t>
      </w:r>
      <w:r w:rsidR="009303D9">
        <w:rPr>
          <w:i/>
          <w:sz w:val="18"/>
          <w:szCs w:val="18"/>
        </w:rPr>
        <w:br/>
      </w:r>
      <w:r w:rsidR="009303D9">
        <w:rPr>
          <w:sz w:val="18"/>
          <w:szCs w:val="18"/>
        </w:rPr>
        <w:t>Nanjing, China</w:t>
      </w:r>
      <w:r w:rsidR="009303D9">
        <w:rPr>
          <w:sz w:val="18"/>
          <w:szCs w:val="18"/>
        </w:rPr>
        <w:br/>
      </w:r>
      <w:r w:rsidR="00B7329E" w:rsidRPr="00B7329E">
        <w:rPr>
          <w:sz w:val="18"/>
          <w:szCs w:val="18"/>
        </w:rPr>
        <w:t>heyuying@hhu.edu.cn</w:t>
      </w:r>
    </w:p>
    <w:p ns2:paraId="6B05BB56" ns2:textId="77777777" w:rsidR="00D72D06" w:rsidRPr="005B520E" w:rsidRDefault="00D72D06"/>
    <w:p ns2:paraId="55F0CF26" ns2:textId="77777777" w:rsidR="009303D9" w:rsidRPr="005B520E" w:rsidRDefault="009303D9">
      <w:pPr>
        <w:sectPr w:rsidR="009303D9" w:rsidRPr="005B520E">
          <w:type w:val="continuous"/>
          <w:pgSz w:w="12240" w:h="15840" w:code="1"/>
          <w:pgMar w:top="1080" w:right="893" w:bottom="1440" w:left="893" w:header="720" w:footer="720" w:gutter="0"/>
          <w:cols w:space="720"/>
          <w:docGrid w:linePitch="360"/>
        </w:sectPr>
      </w:pPr>
    </w:p>
    <w:p ns2:paraId="1247CDC8" ns2:textId="77777777" w:rsidR="00715BEA" w:rsidRDefault="00715BEA" w:rsidP="00CA4392">
      <w:pPr>
        <w:pStyle w:val="Author"/>
        <w:spacing w:before="100" w:beforeAutospacing="1"/>
        <w:rPr>
          <w:sz w:val="18"/>
          <w:szCs w:val="18"/>
        </w:rPr>
      </w:pPr>
    </w:p>
    <w:p ns2:paraId="67AE377D" ns2:textId="77777777" w:rsidR="00715BEA" w:rsidRDefault="00715BEA" w:rsidP="00CA4392">
      <w:pPr>
        <w:pStyle w:val="Author"/>
        <w:spacing w:before="100" w:beforeAutospacing="1"/>
        <w:rPr>
          <w:sz w:val="18"/>
          <w:szCs w:val="18"/>
        </w:rPr>
      </w:pPr>
    </w:p>
    <w:p ns2:paraId="36BB25C8" ns2:textId="7F10D1BD" w:rsidR="00CA4392" w:rsidRDefault="00715BEA" w:rsidP="00CA4392">
      <w:pPr>
        <w:pStyle w:val="Author"/>
        <w:spacing w:before="100" w:beforeAutospacing="1"/>
        <w:contextualSpacing/>
        <w:rPr>
          <w:sz w:val="18"/>
          <w:szCs w:val="18"/>
        </w:rPr>
      </w:pPr>
      <w:r>
        <w:rPr>
          <w:sz w:val="18"/>
          <w:szCs w:val="18"/>
        </w:rPr>
        <w:t>Shouxiang Wang</w:t>
      </w:r>
      <w:r>
        <w:rPr>
          <w:sz w:val="18"/>
          <w:szCs w:val="18"/>
          <w:vertAlign w:val="superscript"/>
        </w:rPr>
        <w:t>th</w:t>
      </w:r>
      <w:r>
        <w:rPr>
          <w:sz w:val="18"/>
          <w:szCs w:val="18"/>
        </w:rPr>
        <w:br/>
      </w:r>
      <w:r>
        <w:rPr>
          <w:i/>
          <w:sz w:val="18"/>
          <w:szCs w:val="18"/>
        </w:rPr>
        <w:t>State Key Lab of Power Distrib.</w:t>
      </w:r>
      <w:r>
        <w:rPr>
          <w:sz w:val="18"/>
          <w:szCs w:val="18"/>
        </w:rPr>
        <w:br/>
      </w:r>
      <w:r>
        <w:rPr>
          <w:i/>
          <w:sz w:val="18"/>
          <w:szCs w:val="18"/>
        </w:rPr>
        <w:t>Tianjin University</w:t>
      </w:r>
      <w:r>
        <w:rPr>
          <w:i/>
          <w:sz w:val="18"/>
          <w:szCs w:val="18"/>
        </w:rPr>
        <w:br/>
      </w:r>
      <w:r>
        <w:rPr>
          <w:sz w:val="18"/>
          <w:szCs w:val="18"/>
        </w:rPr>
        <w:t>Tianjin, China</w:t>
      </w:r>
      <w:r>
        <w:rPr>
          <w:sz w:val="18"/>
          <w:szCs w:val="18"/>
        </w:rPr>
        <w:br/>
      </w:r>
      <w:r w:rsidR="008D332F" w:rsidRPr="008D332F">
        <w:rPr>
          <w:sz w:val="18"/>
          <w:szCs w:val="18"/>
        </w:rPr>
        <w:t>sxwang@tju.edu.cn</w:t>
      </w:r>
    </w:p>
    <w:p ns2:paraId="44A546F1" ns2:textId="55700078" w:rsidR="00CA4392" w:rsidRDefault="00CA4392" w:rsidP="00CA4392">
      <w:pPr>
        <w:pStyle w:val="Author"/>
        <w:spacing w:before="100" w:beforeAutospacing="1"/>
        <w:contextualSpacing/>
        <w:rPr>
          <w:sz w:val="18"/>
          <w:szCs w:val="18"/>
        </w:rPr>
      </w:pPr>
      <w:r>
        <w:rPr>
          <w:i/>
          <w:sz w:val="18"/>
          <w:szCs w:val="18"/>
        </w:rPr>
        <w:br/>
      </w:r>
      <w:r>
        <w:rPr>
          <w:sz w:val="18"/>
          <w:szCs w:val="18"/>
        </w:rPr>
        <w:br/>
      </w:r>
    </w:p>
    <w:p ns2:paraId="139F6ADD" ns2:textId="77777777" w:rsidR="00CA4392" w:rsidRDefault="00CA4392" w:rsidP="00CA4392">
      <w:pPr>
        <w:pStyle w:val="Author"/>
        <w:spacing w:before="100" w:beforeAutospacing="1"/>
        <w:contextualSpacing/>
        <w:rPr>
          <w:sz w:val="18"/>
          <w:szCs w:val="18"/>
        </w:rPr>
      </w:pPr>
    </w:p>
    <w:p ns2:paraId="65D3558F" ns2:textId="77777777" w:rsidR="00CA4392" w:rsidRDefault="00CA4392" w:rsidP="00CA4392">
      <w:pPr>
        <w:pStyle w:val="Author"/>
        <w:spacing w:before="100" w:beforeAutospacing="1"/>
        <w:contextualSpacing/>
        <w:rPr>
          <w:sz w:val="18"/>
          <w:szCs w:val="18"/>
        </w:rPr>
      </w:pPr>
    </w:p>
    <w:p ns2:paraId="77862E68" ns2:textId="77777777" w:rsidR="00CA4392" w:rsidRDefault="00CA4392" w:rsidP="00CA4392">
      <w:pPr>
        <w:pStyle w:val="Author"/>
        <w:spacing w:before="100" w:beforeAutospacing="1"/>
        <w:contextualSpacing/>
        <w:rPr>
          <w:sz w:val="18"/>
          <w:szCs w:val="18"/>
        </w:rPr>
      </w:pPr>
    </w:p>
    <w:p ns2:paraId="71AF355A" ns2:textId="77777777" w:rsidR="00CA4392" w:rsidRDefault="00CA4392" w:rsidP="00CA4392">
      <w:pPr>
        <w:pStyle w:val="Author"/>
        <w:spacing w:before="100" w:beforeAutospacing="1"/>
        <w:contextualSpacing/>
        <w:rPr>
          <w:sz w:val="18"/>
          <w:szCs w:val="18"/>
        </w:rPr>
      </w:pPr>
    </w:p>
    <w:p ns2:paraId="699EBB59" ns2:textId="77777777" w:rsidR="00CA4392" w:rsidRDefault="00CA4392" w:rsidP="00CA4392">
      <w:pPr>
        <w:pStyle w:val="Author"/>
        <w:spacing w:before="100" w:beforeAutospacing="1"/>
        <w:contextualSpacing/>
        <w:rPr>
          <w:sz w:val="18"/>
          <w:szCs w:val="18"/>
        </w:rPr>
      </w:pPr>
    </w:p>
    <w:p ns2:paraId="098636B4" ns2:textId="77777777" w:rsidR="00CA4392" w:rsidRPr="00F847A6" w:rsidRDefault="00CA4392" w:rsidP="00CA4392">
      <w:pPr>
        <w:pStyle w:val="Author"/>
        <w:spacing w:before="100" w:beforeAutospacing="1"/>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ns2:paraId="7CED440B" ns2:textId="77777777" w:rsidR="006347CF" w:rsidRDefault="006347CF" w:rsidP="00CA4392">
      <w:pPr>
        <w:pStyle w:val="Author"/>
        <w:spacing w:before="100" w:beforeAutospacing="1"/>
        <w:jc w:val="both"/>
        <w:rPr>
          <w:sz w:val="16"/>
          <w:szCs w:val="16"/>
        </w:rPr>
      </w:pPr>
    </w:p>
    <w:p ns2:paraId="35586417" ns2: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ns2:paraId="1B049735" ns2:textId="77777777" w:rsidR="00551D25" w:rsidRDefault="00000000">
      <w:pPr>
        <w:pStyle w:val="Abstract"/>
      </w:pPr>
      <w:r>
        <w:rPr>
          <w:i/>
          <w:iCs/>
        </w:rPr>
        <w:t>Abstract</w:t>
      </w:r>
      <w:r>
        <w:t>—Price-based demand response (DR) is a key flexibility resource for active distribution networks, yet its actual response amount is shaped by two ill-known factors that conventional elastic-matrix models seldom address simultaneously: the fraction of users that actually react to a tariff signal, and the day-ahead band within which the real-time price will be settled. Treating either factor as a deterministic value tends to compress the response into an overly narrow range and to ignore the asymmetric character of peak versus off-peak tariff bands. This paper develops an interval model for the DR amount that is jointly driven by the user participation rate and the real-time price, and that is shaped by a single-period magnitude limit together with a whole-cycle energy conservation requirement. Seasonal scenarios are introduced so that participation bounds and tariff fluctuation coefficients can vary with operating conditions instead of being collapsed into one static interval. A case study on a modified IEEE 33-bus system illustrates how the proposed model contracts the raw unconstrained band, reproduces the seasonal ordering of DR amplitudes, and exposes the band as a tunable design quantity rather than a fixed input.</w:t>
      </w:r>
    </w:p>
    <w:p ns2:paraId="1A297F5C" ns2:textId="77777777" w:rsidR="00551D25" w:rsidRDefault="00000000">
      <w:pPr>
        <w:pStyle w:val="Keywords"/>
      </w:pPr>
      <w:r>
        <w:rPr>
          <w:iCs/>
        </w:rPr>
        <w:t>Keywords</w:t>
      </w:r>
      <w:r>
        <w:t>—demand response; interval modeling; participation rate; price elasticity; energy conservation; active distribution network</w:t>
      </w:r>
    </w:p>
    <w:p ns2:paraId="45079B41" ns2:textId="77777777" w:rsidR="00551D25" w:rsidRDefault="00000000">
      <w:pPr>
        <w:pStyle w:val="1"/>
      </w:pPr>
      <w:r>
        <w:t>Introduction</w:t>
      </w:r>
    </w:p>
    <w:p ns2:paraId="4FDBD43E" ns2:textId="77777777" w:rsidR="00551D25" w:rsidRDefault="00000000">
      <w:pPr>
        <w:pStyle w:val="a3"/>
      </w:pPr>
      <w:r>
        <w:t>Price-based demand response (DR) has become one of the most widely deployed user-side flexibility resources in modern distribution networks. By shifting a portion of the consumption from peak hours to valley hours through time-varying tariffs, DR alleviates congestion, smooths the net load, and improves the hosting capacity of distributed renewables [1], [2]. The price elasticity matrix is still the most common analytical tool for representing this behavior, as it captures both the self-elastic effect of the present period and the cross-elastic transfer between adjacent periods [3].</w:t>
      </w:r>
    </w:p>
    <w:p ns2:paraId="3F6A413D" ns2:textId="77777777" w:rsidR="00551D25" w:rsidRDefault="00000000">
      <w:pPr>
        <w:pStyle w:val="a3"/>
      </w:pPr>
      <w:r>
        <w:t>In practice, however, two factors that decide the actual response amount are seldom known with precision at the day-ahead stage. The first is the participation rate, namely the fraction of users that actually react to a tariff signal; this rate is shaped by policy outreach, awareness, and ambient conditions, and only a coarse range can be inferred from historical surveys. The second is the real-time tariff itself, which is settled close to delivery and is only known a priori to lie within a band around a reference price, with the bandwidth at peak periods typically wider than at off-peak periods. Treating either factor as a deterministic value tends to underestimate the spread of the response and to mask the asymmetry of tariff settlement.</w:t>
      </w:r>
    </w:p>
    <w:p ns2:paraId="6A559E85" ns2:textId="77777777" w:rsidR="00551D25" w:rsidRDefault="00000000">
      <w:pPr>
        <w:pStyle w:val="a3"/>
      </w:pPr>
      <w:r>
        <w:t>Interval modeling has become a natural tool for these two factors, since both reflect epistemic rather than aleatory uncertainty. Yet most existing interval DR formulations let only one factor vary while the other remains fixed, assume a symmetric tariff band, and sample candidate response trajectories without imposing a physical energy balance over the cycle. As a result, the produced interval is either too narrow to capture the joint epistemic spread or too wide to be of practical use, and the time-shift nature of DR -- shifting energy across the day rather than creating or destroying it -- is not enforced.</w:t>
      </w:r>
    </w:p>
    <w:p ns2:paraId="71AF3A97" ns2:textId="77777777" w:rsidR="00551D25" w:rsidRDefault="00000000">
      <w:pPr>
        <w:pStyle w:val="a3"/>
      </w:pPr>
      <w:r>
        <w:t>Motivated by these observations, this paper develops a multi-driver interval model for DR in which the participation rate and the real-time tariff are treated as simultaneously varying interval inputs, and the resulting response is filtered by both a single-period magnitude limit and a whole-cycle energy conservation constraint. The contributions are: (i) a two-driver interval formulation of the price-elasticity DR response, with asymmetric peak/valley tariff bands; (ii) a constraint-filtering procedure based on a 24-hour energy balance that prevents the interval from inflating beyond what is physically meaningful; (iii) a typical-day scenario partition that lets the bounds vary across seasons, exposing the band itself as a tunable design quantity; and (iv) a case study on a modified IEEE 33-bus system that benchmarks the proposed interval against fixed-</w:t>
      </w:r>
      <w:r>
        <w:lastRenderedPageBreak/>
        <w:t>parameter, unconstrained, and probabilistic baselines and exposes the role of the two design dials through a sensitivity analysis.</w:t>
      </w:r>
    </w:p>
    <w:p ns2:paraId="6A67B0BC" ns2:textId="77777777" w:rsidR="00551D25" w:rsidRDefault="00000000">
      <w:pPr>
        <w:pStyle w:val="1"/>
      </w:pPr>
      <w:r>
        <w:t>Related Work</w:t>
      </w:r>
    </w:p>
    <w:p ns2:paraId="26F3FC22" ns2:textId="77777777" w:rsidR="00551D25" w:rsidRDefault="00000000">
      <w:pPr>
        <w:pStyle w:val="a3"/>
      </w:pPr>
      <w:r>
        <w:t>Recent advances in DR uncertainty modeling fall into three streams that differ in what they treat as known and what they treat as unknown about user behaviour.</w:t>
      </w:r>
    </w:p>
    <w:p ns2:paraId="791C640A" ns2:textId="77777777" w:rsidR="00551D25" w:rsidRDefault="00000000">
      <w:pPr>
        <w:pStyle w:val="a3"/>
      </w:pPr>
      <w:r>
        <w:t>The first stream uses probabilistic descriptions of the response. Aien et al. [5] develop a probabilistic load flow under correlated input uncertainty via unscented transformation, and more recent work continues in this direction with two-stage distributionally robust formulations for active distribution networks that handle source-side photovoltaic output and load-side DR jointly [6]. The probabilistic framing is powerful when historical observations are abundant, but it requires committing to a distributional family for quantities such as participation rate that are not naturally stochastic.</w:t>
      </w:r>
    </w:p>
    <w:p ns2:paraId="5136BC9B" ns2:textId="77777777" w:rsidR="00551D25" w:rsidRDefault="00000000">
      <w:pPr>
        <w:pStyle w:val="a3"/>
      </w:pPr>
      <w:r>
        <w:t>The second stream uses interval or robust set-based descriptions, which match the epistemic rather than aleatory character of the underlying uncertainty. Zhang et al. [7] propose a central-limit-theorem-based method for power flow analysis under interval renewable generation, Mamani et al. [8] formulate energy price uncertainty as an interval optimisation problem, and Li et al. [9] introduce a two-stage robust optimisation scheme in which price-based DR loads are bounded by a budget uncertainty set. Yet most of these formulations let only one input quantity vary, and a physical energy-balance constraint over the daily cycle is either absent or imposed only after sampling.</w:t>
      </w:r>
    </w:p>
    <w:p ns2:paraId="3BEE7295" ns2:textId="77777777" w:rsidR="00551D25" w:rsidRDefault="00000000">
      <w:pPr>
        <w:pStyle w:val="a3"/>
      </w:pPr>
      <w:r>
        <w:t>The third stream is concerned with decision-dependent or behaviour-driven uncertainty, where the uncertainty set itself responds to the operator's choices. Datta [10] develops a bi-level hybrid optimisation for multi-microgrids in which the price-elasticity DR is treated as a decision-dependent quantity, and Tan et al. [11] survey adjustable robust optimisation with decision-dependent uncertainty for power-system problems more broadly. Interval-based nested frameworks have also been used to derive flexibility from smart buildings and electric vehicle fleets in the TSO-DSO coordination [12]. These methods capture an important phenomenon at the cost of a substantially more complex optimisation problem.</w:t>
      </w:r>
    </w:p>
    <w:p ns2:paraId="45AE83AA" ns2:textId="77777777" w:rsidR="00551D25" w:rsidRDefault="00000000">
      <w:pPr>
        <w:pStyle w:val="a3"/>
      </w:pPr>
      <w:r>
        <w:t>The present work positions itself in the interval-methods stream and addresses two gaps: only one driver is typically varied at a time, and physical energy conservation is rarely an integral part of the interval. Compared with the broader DR landscape surveyed in [13] and the budgeted-robust formulation of [15], the participation rate and the real-time tariff are varied jointly with possibly asymmetric peak/valley bands, and a 24-hour energy balance is woven into the candidate-trajectory filter, contracting the raw band to a physically meaningful interval. Compared with decision-dependent formulations, the proposed approach trades a richer description of behaviour for a much simpler downstream optimisation, and is therefore better suited to early-stage feasibility studies and to settings where DR data is scarce.</w:t>
      </w:r>
    </w:p>
    <w:p ns2:paraId="52FDD9D0" ns2:textId="77777777" w:rsidR="00551D25" w:rsidRDefault="00000000">
      <w:pPr>
        <w:pStyle w:val="a3"/>
      </w:pPr>
      <w:r>
        <w:t xml:space="preserve">These streams differ on several fronts that matter for active distribution networks: how the response is mathematically represented (probability density, membership function, parameter set, or bounds), whether more than one driver is varied at a time, whether a daily energy balance is enforced, the optimisation cost they impose downstream, and the data they require. Probabilistic descriptions need many observations and enforce balance only implicitly through the chosen distribution; conventional interval and fuzzy methods need only bounds or an expert-supplied membership function but typically skip the balance check; decision-dependent formulations are the most expressive but the most expensive. The proposed multi-driver interval approach occupies an intermediate position: it varies two drivers jointly, so it is more expressive than the fixed-parameter and single-driver baselines, yet it is lighter in assumption load and computation than probabilistic or decision-dependent approaches, and the daily energy balance is built into the candidate-trajectory filter rather than added as a downstream check.</w:t>
      </w:r>
    </w:p>
    <w:p ns2:paraId="5ED8682A" ns2:textId="77777777" w:rsidR="00551D25" w:rsidRDefault="00000000">
      <w:pPr>
        <w:pStyle w:val="1"/>
      </w:pPr>
      <w:r>
        <w:t>Multi-Driver Interval Model for Demand Response</w:t>
      </w:r>
    </w:p>
    <w:p ns2:paraId="2F20EAB3" ns2:textId="77777777" w:rsidR="00551D25" w:rsidRDefault="00000000">
      <w:pPr>
        <w:pStyle w:val="2"/>
      </w:pPr>
      <w:r>
        <w:t>Price Elasticity-Based DR Response</w:t>
      </w:r>
    </w:p>
    <w:p ns2:paraId="1CD8ADE5" ns2:textId="77777777" w:rsidR="00551D25" w:rsidRDefault="00000000">
      <w:pPr>
        <w:pStyle w:val="a3"/>
      </w:pPr>
      <w:r>
        <w:t>Within one scheduling cycle of length T (here T = 24 hours), the price-elasticity DR response of node i is described by a T-by-T elasticity matrix in which the diagonal entries represent self-elasticity and the off-diagonal entries represent cross-elasticity between two periods [4]. Because most household appliances cannot defer consumption across an arbitrarily long horizon, only entries within a window of three periods on each side of the current period are kept non-zero, and the magnitude of the cross-elasticity decays exponentially with the time gap. Writing the per-unit tariff change as r and the base load as P, the response vector takes the matrix-vector form of (1).</w:t>
      </w:r>
    </w:p>
    <w:p ns2:paraId="3F93EE00" ns2:textId="77777777" w:rsidR="00551D25" w:rsidRDefault="00000000">
      <w:pPr>
        <w:pStyle w:val="equation"/>
        <w:rPr>
          <w:rFonts w:hint="eastAsia"/>
        </w:rPr>
      </w:pPr>
      <w:r>
        <w:rPr>
          <w:rFonts w:ascii="Times New Roman" w:hAnsi="Times New Roman" w:cs="Times New Roman"/>
        </w:rPr>
        <w:tab/>
      </w:r>
      <w:r>
        <w:rPr>
          <w:rFonts w:ascii="Times New Roman" w:hAnsi="Times New Roman" w:cs="Times New Roman"/>
          <w:i/>
          <w:iCs/>
        </w:rPr>
        <w:t>ΔP</w:t>
      </w:r>
      <w:r>
        <w:rPr>
          <w:rFonts w:ascii="Times New Roman" w:hAnsi="Times New Roman" w:cs="Times New Roman"/>
        </w:rPr>
        <w:t xml:space="preserve"> = </w:t>
      </w:r>
      <w:r>
        <w:rPr>
          <w:rFonts w:ascii="Times New Roman" w:hAnsi="Times New Roman" w:cs="Times New Roman"/>
          <w:i/>
          <w:iCs/>
        </w:rPr>
        <w:t>τ</w:t>
      </w:r>
      <w:r>
        <w:rPr>
          <w:rFonts w:ascii="Times New Roman" w:hAnsi="Times New Roman" w:cs="Times New Roman"/>
        </w:rPr>
        <w:t xml:space="preserve"> · </w:t>
      </w:r>
      <w:proofErr w:type="spellStart"/>
      <w:r>
        <w:rPr>
          <w:rFonts w:ascii="Times New Roman" w:hAnsi="Times New Roman" w:cs="Times New Roman"/>
        </w:rPr>
        <w:t>diag</w:t>
      </w:r>
      <w:proofErr w:type="spellEnd"/>
      <w:r>
        <w:rPr>
          <w:rFonts w:ascii="Times New Roman" w:hAnsi="Times New Roman" w:cs="Times New Roman"/>
        </w:rPr>
        <w:t>(</w:t>
      </w:r>
      <w:r>
        <w:rPr>
          <w:rFonts w:ascii="Times New Roman" w:hAnsi="Times New Roman" w:cs="Times New Roman"/>
          <w:i/>
          <w:iCs/>
        </w:rPr>
        <w:t>P</w:t>
      </w:r>
      <w:r>
        <w:rPr>
          <w:rFonts w:ascii="Times New Roman" w:hAnsi="Times New Roman" w:cs="Times New Roman"/>
        </w:rPr>
        <w:t xml:space="preserve">) · </w:t>
      </w:r>
      <w:r>
        <w:rPr>
          <w:rFonts w:ascii="Times New Roman" w:hAnsi="Times New Roman" w:cs="Times New Roman"/>
          <w:i/>
          <w:iCs/>
        </w:rPr>
        <w:t>E</w:t>
      </w:r>
      <w:r>
        <w:rPr>
          <w:rFonts w:ascii="Times New Roman" w:hAnsi="Times New Roman" w:cs="Times New Roman"/>
          <w:vertAlign w:val="subscript"/>
        </w:rPr>
        <w:t>DR</w:t>
      </w:r>
      <w:r>
        <w:rPr>
          <w:rFonts w:ascii="Times New Roman" w:hAnsi="Times New Roman" w:cs="Times New Roman"/>
        </w:rPr>
        <w:t xml:space="preserve"> · </w:t>
      </w:r>
      <w:r>
        <w:rPr>
          <w:rFonts w:ascii="Times New Roman" w:hAnsi="Times New Roman" w:cs="Times New Roman"/>
          <w:i/>
          <w:iCs/>
        </w:rPr>
        <w:t>r</w:t>
      </w:r>
      <w:r>
        <w:rPr>
          <w:rFonts w:ascii="Times New Roman" w:hAnsi="Times New Roman" w:cs="Times New Roman"/>
        </w:rPr>
        <w:tab/>
        <w:t>(1)</w:t>
      </w:r>
    </w:p>
    <w:p ns2:paraId="291E5E9A" ns2:textId="77777777" w:rsidR="00551D25" w:rsidRDefault="00000000">
      <w:pPr>
        <w:pStyle w:val="a3"/>
      </w:pPr>
      <w:r>
        <w:t>The window length L (set to 3 hours) is consistent with empirical studies on residential appliance flexibility, and the exponential decay coefficient is calibrated such that the cross-elasticity at the farthest period in the window is roughly one quarter of the immediate neighbour. Both parameters can be adjusted to reflect different end-user populations without altering the rest of the framework.</w:t>
      </w:r>
    </w:p>
    <w:p ns2:paraId="0D20034E" ns2:textId="77777777" w:rsidR="00551D25" w:rsidRDefault="00000000">
      <w:pPr>
        <w:pStyle w:val="2"/>
      </w:pPr>
      <w:r>
        <w:t>Participation Rate and Tariff as Joint Interval Drivers</w:t>
      </w:r>
    </w:p>
    <w:p ns2:paraId="202B7425" ns2:textId="77777777" w:rsidR="00551D25" w:rsidRDefault="00000000">
      <w:pPr>
        <w:pStyle w:val="a3"/>
      </w:pPr>
      <w:r>
        <w:t>Two driving quantities are treated as interval inputs rather than constants. The first is the participation rate, which describes the fraction of users that actually react to the tariff signal. This rate is bounded by a lower and an upper limit that vary with policy outreach, user awareness, and ambient conditions. The second is the real-time tariff itself, which during the day-ahead stage is only known to lie within a band around a reference price. The bandwidth at peak periods is allowed to be wider than at off-peak periods, reflecting the asymmetry of tariff settlement.</w:t>
      </w:r>
    </w:p>
    <w:p ns2:paraId="3E137ABF" ns2:textId="77777777" w:rsidR="00551D25" w:rsidRDefault="00000000">
      <w:pPr>
        <w:pStyle w:val="a3"/>
      </w:pPr>
      <w:r>
        <w:t xml:space="preserve">Combining the two-driver formulation with the elasticity matrix yields an interval expression for the response amount whose width is jointly determined by the participation interval and the tariff interval. Compared with a single-driver formulation, the present model decouples policy-side </w:t>
      </w:r>
      <w:r>
        <w:lastRenderedPageBreak/>
        <w:t>uncertainty from market-side uncertainty, so that a designer can examine how widening either bound alone reshapes the response band.</w:t>
      </w:r>
    </w:p>
    <w:p ns2:paraId="0C58B9EC" ns2:textId="77777777" w:rsidR="00551D25" w:rsidRDefault="00000000">
      <w:pPr>
        <w:pStyle w:val="equation"/>
        <w:rPr>
          <w:rFonts w:hint="eastAsia"/>
        </w:rPr>
      </w:pPr>
      <w:r>
        <w:rPr>
          <w:rFonts w:ascii="Times New Roman" w:hAnsi="Times New Roman" w:cs="Times New Roman"/>
        </w:rPr>
        <w:tab/>
      </w:r>
      <w:proofErr w:type="spellStart"/>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vertAlign w:val="superscript"/>
        </w:rPr>
        <w:t>L</w:t>
      </w:r>
      <w:proofErr w:type="spellEnd"/>
      <w:r>
        <w:rPr>
          <w:rFonts w:ascii="Times New Roman" w:hAnsi="Times New Roman" w:cs="Times New Roman"/>
        </w:rPr>
        <w:t xml:space="preserve"> ≤ </w:t>
      </w:r>
      <w:proofErr w:type="spellStart"/>
      <w:r>
        <w:rPr>
          <w:rFonts w:ascii="Times New Roman" w:hAnsi="Times New Roman" w:cs="Times New Roman"/>
          <w:i/>
          <w:iCs/>
        </w:rPr>
        <w:t>Δ</w:t>
      </w:r>
      <w:proofErr w:type="gramStart"/>
      <w:r>
        <w:rPr>
          <w:rFonts w:ascii="Times New Roman" w:hAnsi="Times New Roman" w:cs="Times New Roman"/>
          <w:i/>
          <w:iCs/>
        </w:rPr>
        <w:t>P</w:t>
      </w:r>
      <w:r>
        <w:rPr>
          <w:rFonts w:ascii="Times New Roman" w:hAnsi="Times New Roman" w:cs="Times New Roman"/>
          <w:i/>
          <w:iCs/>
          <w:vertAlign w:val="subscript"/>
        </w:rPr>
        <w:t>t</w:t>
      </w:r>
      <w:proofErr w:type="spellEnd"/>
      <w:r>
        <w:rPr>
          <w:rFonts w:ascii="Times New Roman" w:hAnsi="Times New Roman" w:cs="Times New Roman"/>
        </w:rPr>
        <w:t>(</w:t>
      </w:r>
      <w:proofErr w:type="gramEnd"/>
      <w:r>
        <w:rPr>
          <w:rFonts w:ascii="Times New Roman" w:hAnsi="Times New Roman" w:cs="Times New Roman"/>
          <w:i/>
          <w:iCs/>
        </w:rPr>
        <w:t>τ</w:t>
      </w:r>
      <w:r>
        <w:rPr>
          <w:rFonts w:ascii="Times New Roman" w:hAnsi="Times New Roman" w:cs="Times New Roman"/>
        </w:rPr>
        <w:t xml:space="preserve">, </w:t>
      </w:r>
      <w:r>
        <w:rPr>
          <w:rFonts w:ascii="Times New Roman" w:hAnsi="Times New Roman" w:cs="Times New Roman"/>
          <w:i/>
          <w:iCs/>
        </w:rPr>
        <w:t>c</w:t>
      </w:r>
      <w:r>
        <w:rPr>
          <w:rFonts w:ascii="Times New Roman" w:hAnsi="Times New Roman" w:cs="Times New Roman"/>
        </w:rPr>
        <w:t xml:space="preserve">) ≤ </w:t>
      </w:r>
      <w:proofErr w:type="spellStart"/>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vertAlign w:val="superscript"/>
        </w:rPr>
        <w:t>U</w:t>
      </w:r>
      <w:proofErr w:type="spellEnd"/>
      <w:r>
        <w:rPr>
          <w:rFonts w:ascii="Times New Roman" w:hAnsi="Times New Roman" w:cs="Times New Roman"/>
        </w:rPr>
        <w:t xml:space="preserve">, ∀ </w:t>
      </w:r>
      <w:r>
        <w:rPr>
          <w:rFonts w:ascii="Times New Roman" w:hAnsi="Times New Roman" w:cs="Times New Roman"/>
          <w:i/>
          <w:iCs/>
        </w:rPr>
        <w:t>τ</w:t>
      </w:r>
      <w:r>
        <w:rPr>
          <w:rFonts w:ascii="Times New Roman" w:hAnsi="Times New Roman" w:cs="Times New Roman"/>
        </w:rPr>
        <w:t xml:space="preserve"> ∈ [</w:t>
      </w:r>
      <w:proofErr w:type="spellStart"/>
      <w:r>
        <w:rPr>
          <w:rFonts w:ascii="Times New Roman" w:hAnsi="Times New Roman" w:cs="Times New Roman"/>
          <w:i/>
          <w:iCs/>
        </w:rPr>
        <w:t>τ</w:t>
      </w:r>
      <w:r>
        <w:rPr>
          <w:rFonts w:ascii="Times New Roman" w:hAnsi="Times New Roman" w:cs="Times New Roman"/>
          <w:vertAlign w:val="subscript"/>
        </w:rPr>
        <w:t>min</w:t>
      </w:r>
      <w:proofErr w:type="spellEnd"/>
      <w:r>
        <w:rPr>
          <w:rFonts w:ascii="Times New Roman" w:hAnsi="Times New Roman" w:cs="Times New Roman"/>
        </w:rPr>
        <w:t xml:space="preserve">, </w:t>
      </w:r>
      <w:proofErr w:type="spellStart"/>
      <w:r>
        <w:rPr>
          <w:rFonts w:ascii="Times New Roman" w:hAnsi="Times New Roman" w:cs="Times New Roman"/>
          <w:i/>
          <w:iCs/>
        </w:rPr>
        <w:t>τ</w:t>
      </w:r>
      <w:r>
        <w:rPr>
          <w:rFonts w:ascii="Times New Roman" w:hAnsi="Times New Roman" w:cs="Times New Roman"/>
          <w:vertAlign w:val="subscript"/>
        </w:rPr>
        <w:t>max</w:t>
      </w:r>
      <w:proofErr w:type="spellEnd"/>
      <w:r>
        <w:rPr>
          <w:rFonts w:ascii="Times New Roman" w:hAnsi="Times New Roman" w:cs="Times New Roman"/>
        </w:rPr>
        <w:t xml:space="preserve">], </w:t>
      </w:r>
      <w:proofErr w:type="spellStart"/>
      <w:r>
        <w:rPr>
          <w:rFonts w:ascii="Times New Roman" w:hAnsi="Times New Roman" w:cs="Times New Roman"/>
          <w:i/>
          <w:iCs/>
        </w:rPr>
        <w:t>c</w:t>
      </w:r>
      <w:r>
        <w:rPr>
          <w:rFonts w:ascii="Times New Roman" w:hAnsi="Times New Roman" w:cs="Times New Roman"/>
          <w:i/>
          <w:iCs/>
          <w:vertAlign w:val="subscript"/>
        </w:rPr>
        <w:t>t</w:t>
      </w:r>
      <w:proofErr w:type="spellEnd"/>
      <w:r>
        <w:rPr>
          <w:rFonts w:ascii="Times New Roman" w:hAnsi="Times New Roman" w:cs="Times New Roman"/>
        </w:rPr>
        <w:t xml:space="preserve"> ∈ [</w:t>
      </w:r>
      <w:proofErr w:type="spellStart"/>
      <w:r>
        <w:rPr>
          <w:rFonts w:ascii="Times New Roman" w:hAnsi="Times New Roman" w:cs="Times New Roman"/>
          <w:i/>
          <w:iCs/>
        </w:rPr>
        <w:t>c̲</w:t>
      </w:r>
      <w:r>
        <w:rPr>
          <w:rFonts w:ascii="Times New Roman" w:hAnsi="Times New Roman" w:cs="Times New Roman"/>
          <w:i/>
          <w:iCs/>
          <w:vertAlign w:val="subscript"/>
        </w:rPr>
        <w:t>t</w:t>
      </w:r>
      <w:proofErr w:type="spellEnd"/>
      <w:r>
        <w:rPr>
          <w:rFonts w:ascii="Times New Roman" w:hAnsi="Times New Roman" w:cs="Times New Roman"/>
        </w:rPr>
        <w:t xml:space="preserve">, </w:t>
      </w:r>
      <w:proofErr w:type="spellStart"/>
      <w:r>
        <w:rPr>
          <w:rFonts w:ascii="Times New Roman" w:hAnsi="Times New Roman" w:cs="Times New Roman"/>
          <w:i/>
          <w:iCs/>
        </w:rPr>
        <w:t>c̄</w:t>
      </w:r>
      <w:r>
        <w:rPr>
          <w:rFonts w:ascii="Times New Roman" w:hAnsi="Times New Roman" w:cs="Times New Roman"/>
          <w:i/>
          <w:iCs/>
          <w:vertAlign w:val="subscript"/>
        </w:rPr>
        <w:t>t</w:t>
      </w:r>
      <w:proofErr w:type="spellEnd"/>
      <w:r>
        <w:rPr>
          <w:rFonts w:ascii="Times New Roman" w:hAnsi="Times New Roman" w:cs="Times New Roman"/>
        </w:rPr>
        <w:t>]</w:t>
      </w:r>
      <w:r>
        <w:rPr>
          <w:rFonts w:ascii="Times New Roman" w:hAnsi="Times New Roman" w:cs="Times New Roman"/>
        </w:rPr>
        <w:tab/>
        <w:t>(2)</w:t>
      </w:r>
    </w:p>
    <w:p ns2:paraId="42E13F9E" ns2:textId="77777777" w:rsidR="00551D25" w:rsidRDefault="00000000">
      <w:pPr>
        <w:pStyle w:val="2"/>
      </w:pPr>
      <w:r>
        <w:t>Magnitude Limit and Energy Conservation Filter</w:t>
      </w:r>
    </w:p>
    <w:p ns2:paraId="565262AB" ns2:textId="77777777" w:rsidR="00551D25" w:rsidRDefault="00000000">
      <w:pPr>
        <w:pStyle w:val="a3"/>
      </w:pPr>
      <w:r>
        <w:t>Two physical constraints are imposed on the candidate response trajectories that emerge from the two-driver sampling. The first is a single-period magnitude limit that caps the absolute response of any single hour at 30 percent of the base load of that hour. This prevents a small number of extreme samples from dominating the interval bounds. The second is a whole-cycle energy conservation requirement that the signed sum of the 24-hour response stays within a small tolerance of zero. This requirement encodes the load-shifting nature of DR: energy is moved across the day but is not created or destroyed. Samples that violate either constraint are discarded before the interval envelope is taken.</w:t>
      </w:r>
    </w:p>
    <w:p ns2:paraId="31A024E5" ns2:textId="77777777" w:rsidR="00551D25" w:rsidRDefault="00000000">
      <w:pPr>
        <w:pStyle w:val="equation"/>
        <w:rPr>
          <w:rFonts w:hint="eastAsia"/>
        </w:rPr>
      </w:pPr>
      <w:r>
        <w:rPr>
          <w:rFonts w:ascii="Times New Roman" w:hAnsi="Times New Roman" w:cs="Times New Roman"/>
        </w:rPr>
        <w:tab/>
        <w:t>|</w:t>
      </w:r>
      <w:proofErr w:type="spellStart"/>
      <w:r>
        <w:rPr>
          <w:rFonts w:ascii="Times New Roman" w:hAnsi="Times New Roman" w:cs="Times New Roman"/>
          <w:i/>
          <w:iCs/>
        </w:rPr>
        <w:t>ΔP</w:t>
      </w:r>
      <w:r>
        <w:rPr>
          <w:rFonts w:ascii="Times New Roman" w:hAnsi="Times New Roman" w:cs="Times New Roman"/>
          <w:i/>
          <w:iCs/>
          <w:vertAlign w:val="subscript"/>
        </w:rPr>
        <w:t>t</w:t>
      </w:r>
      <w:proofErr w:type="spellEnd"/>
      <w:r>
        <w:rPr>
          <w:rFonts w:ascii="Times New Roman" w:hAnsi="Times New Roman" w:cs="Times New Roman"/>
        </w:rPr>
        <w:t xml:space="preserve">| ≤ </w:t>
      </w:r>
      <w:proofErr w:type="spellStart"/>
      <w:r>
        <w:rPr>
          <w:rFonts w:ascii="Times New Roman" w:hAnsi="Times New Roman" w:cs="Times New Roman"/>
          <w:i/>
          <w:iCs/>
        </w:rPr>
        <w:t>δ</w:t>
      </w:r>
      <w:r>
        <w:rPr>
          <w:rFonts w:ascii="Times New Roman" w:hAnsi="Times New Roman" w:cs="Times New Roman"/>
          <w:vertAlign w:val="subscript"/>
        </w:rPr>
        <w:t>max</w:t>
      </w:r>
      <w:proofErr w:type="spellEnd"/>
      <w:r>
        <w:rPr>
          <w:rFonts w:ascii="Times New Roman" w:hAnsi="Times New Roman" w:cs="Times New Roman"/>
        </w:rPr>
        <w:t xml:space="preserve"> · </w:t>
      </w:r>
      <w:r>
        <w:rPr>
          <w:rFonts w:ascii="Times New Roman" w:hAnsi="Times New Roman" w:cs="Times New Roman"/>
          <w:i/>
          <w:iCs/>
        </w:rPr>
        <w:t>P</w:t>
      </w:r>
      <w:r>
        <w:rPr>
          <w:rFonts w:ascii="Times New Roman" w:hAnsi="Times New Roman" w:cs="Times New Roman"/>
          <w:i/>
          <w:iCs/>
          <w:vertAlign w:val="subscript"/>
        </w:rPr>
        <w:t>t</w:t>
      </w:r>
      <w:r>
        <w:rPr>
          <w:rFonts w:ascii="Times New Roman" w:hAnsi="Times New Roman" w:cs="Times New Roman"/>
        </w:rPr>
        <w:t xml:space="preserve">, ∀ </w:t>
      </w:r>
      <w:r>
        <w:rPr>
          <w:rFonts w:ascii="Times New Roman" w:hAnsi="Times New Roman" w:cs="Times New Roman"/>
          <w:i/>
          <w:iCs/>
        </w:rPr>
        <w:t>t</w:t>
      </w:r>
      <w:r>
        <w:rPr>
          <w:rFonts w:ascii="Times New Roman" w:hAnsi="Times New Roman" w:cs="Times New Roman"/>
        </w:rPr>
        <w:t xml:space="preserve"> = 1, …, </w:t>
      </w:r>
      <w:r>
        <w:rPr>
          <w:rFonts w:ascii="Times New Roman" w:hAnsi="Times New Roman" w:cs="Times New Roman"/>
          <w:i/>
          <w:iCs/>
        </w:rPr>
        <w:t>T</w:t>
      </w:r>
      <w:r>
        <w:rPr>
          <w:rFonts w:ascii="Times New Roman" w:hAnsi="Times New Roman" w:cs="Times New Roman"/>
        </w:rPr>
        <w:tab/>
        <w:t>(3)</w:t>
      </w:r>
    </w:p>
    <w:p ns2:paraId="67B438CF" ns2:textId="77777777" w:rsidR="00551D25" w:rsidRDefault="00000000">
      <w:pPr>
        <w:pStyle w:val="equation"/>
        <w:rPr>
          <w:rFonts w:hint="eastAsia"/>
        </w:rPr>
      </w:pPr>
      <w:r>
        <w:rPr>
          <w:rFonts w:ascii="Times New Roman" w:hAnsi="Times New Roman" w:cs="Times New Roman"/>
        </w:rPr>
        <w:tab/>
        <w:t>|∑</w:t>
      </w:r>
      <w:r>
        <w:rPr>
          <w:rFonts w:ascii="Times New Roman" w:hAnsi="Times New Roman" w:cs="Times New Roman"/>
          <w:vertAlign w:val="subscript"/>
        </w:rPr>
        <w:t>t=1</w:t>
      </w:r>
      <w:r>
        <w:rPr>
          <w:rFonts w:ascii="Times New Roman" w:hAnsi="Times New Roman" w:cs="Times New Roman"/>
          <w:vertAlign w:val="superscript"/>
        </w:rPr>
        <w:t>T</w:t>
      </w:r>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rPr>
        <w:t xml:space="preserve">| ≤ </w:t>
      </w:r>
      <w:r>
        <w:rPr>
          <w:rFonts w:ascii="Times New Roman" w:hAnsi="Times New Roman" w:cs="Times New Roman"/>
          <w:i/>
          <w:iCs/>
        </w:rPr>
        <w:t>ξ</w:t>
      </w:r>
      <w:r>
        <w:rPr>
          <w:rFonts w:ascii="Times New Roman" w:hAnsi="Times New Roman" w:cs="Times New Roman"/>
        </w:rPr>
        <w:t xml:space="preserve"> · ∑</w:t>
      </w:r>
      <w:r>
        <w:rPr>
          <w:rFonts w:ascii="Times New Roman" w:hAnsi="Times New Roman" w:cs="Times New Roman"/>
          <w:vertAlign w:val="subscript"/>
        </w:rPr>
        <w:t>t=1</w:t>
      </w:r>
      <w:r>
        <w:rPr>
          <w:rFonts w:ascii="Times New Roman" w:hAnsi="Times New Roman" w:cs="Times New Roman"/>
          <w:vertAlign w:val="superscript"/>
        </w:rPr>
        <w:t>T</w:t>
      </w:r>
      <w:r>
        <w:rPr>
          <w:rFonts w:ascii="Times New Roman" w:hAnsi="Times New Roman" w:cs="Times New Roman"/>
        </w:rPr>
        <w:t>|</w:t>
      </w:r>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rPr>
        <w:t>|</w:t>
      </w:r>
      <w:r>
        <w:rPr>
          <w:rFonts w:ascii="Times New Roman" w:hAnsi="Times New Roman" w:cs="Times New Roman"/>
        </w:rPr>
        <w:tab/>
        <w:t>(4)</w:t>
      </w:r>
    </w:p>
    <w:p ns2:paraId="07F45251" ns2:textId="77777777" w:rsidR="00551D25" w:rsidRDefault="00000000">
      <w:pPr>
        <w:pStyle w:val="a3"/>
      </w:pPr>
      <w:r>
        <w:t>The two constraints play complementary roles. The magnitude limit is a local guard against physically implausible single-hour response peaks; the energy conservation requirement is a global guard against trajectories that would silently create or destroy energy over the cycle. Without the latter, the interval can drift upward or downward as the sampling proceeds, inflating the band in a way that has no operational meaning.</w:t>
      </w:r>
    </w:p>
    <w:p ns2:paraId="43069D3B" ns2:textId="77777777" w:rsidR="00551D25" w:rsidRDefault="00000000">
      <w:pPr>
        <w:pStyle w:val="2"/>
      </w:pPr>
      <w:r>
        <w:t>Typical-Day Scenario Partition</w:t>
      </w:r>
    </w:p>
    <w:p ns2:paraId="6FCAB5ED" ns2:textId="77777777" w:rsidR="00551D25" w:rsidRDefault="00000000">
      <w:pPr>
        <w:pStyle w:val="a3"/>
      </w:pPr>
      <w:r>
        <w:t>The annual horizon is partitioned into a finite set of typical-day scenarios indexed by season and weighted by the number of days each scenario represents. For each scenario, the participation bounds and the tariff fluctuation coefficients are set independently rather than shared across the year. Under this partition the DR interval becomes scenario-dependent: it is wider in scenarios with strong peak-valley tariff contrast and narrower in scenarios with mild load profiles. A scenario-weighted aggregation then yields an annual descriptor without forcing the year-long uncertainty into a single static interval.</w:t>
      </w:r>
    </w:p>
    <w:p ns2:paraId="4EB2289A" ns2:textId="77777777" w:rsidR="00551D25" w:rsidRDefault="00000000">
      <w:pPr>
        <w:pStyle w:val="equation"/>
        <w:rPr>
          <w:rFonts w:hint="eastAsia"/>
        </w:rPr>
      </w:pPr>
      <w:r>
        <w:rPr>
          <w:rFonts w:ascii="Times New Roman" w:hAnsi="Times New Roman" w:cs="Times New Roman"/>
        </w:rPr>
        <w:tab/>
      </w:r>
      <w:proofErr w:type="spellStart"/>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vertAlign w:val="superscript"/>
        </w:rPr>
        <w:t>ann</w:t>
      </w:r>
      <w:proofErr w:type="spellEnd"/>
      <w:r>
        <w:rPr>
          <w:rFonts w:ascii="Times New Roman" w:hAnsi="Times New Roman" w:cs="Times New Roman"/>
        </w:rPr>
        <w:t xml:space="preserve"> = ∑</w:t>
      </w:r>
      <w:proofErr w:type="spellStart"/>
      <w:r>
        <w:rPr>
          <w:rFonts w:ascii="Times New Roman" w:hAnsi="Times New Roman" w:cs="Times New Roman"/>
          <w:i/>
          <w:iCs/>
          <w:vertAlign w:val="subscript"/>
        </w:rPr>
        <w:t>s</w:t>
      </w:r>
      <w:r>
        <w:rPr>
          <w:rFonts w:ascii="Times New Roman" w:hAnsi="Times New Roman" w:cs="Times New Roman"/>
          <w:i/>
          <w:iCs/>
        </w:rPr>
        <w:t>w</w:t>
      </w:r>
      <w:r>
        <w:rPr>
          <w:rFonts w:ascii="Times New Roman" w:hAnsi="Times New Roman" w:cs="Times New Roman"/>
          <w:i/>
          <w:iCs/>
          <w:vertAlign w:val="subscript"/>
        </w:rPr>
        <w:t>s</w:t>
      </w:r>
      <w:proofErr w:type="spellEnd"/>
      <w:r>
        <w:rPr>
          <w:rFonts w:ascii="Times New Roman" w:hAnsi="Times New Roman" w:cs="Times New Roman"/>
        </w:rPr>
        <w:t xml:space="preserve"> · </w:t>
      </w:r>
      <w:proofErr w:type="spellStart"/>
      <w:r>
        <w:rPr>
          <w:rFonts w:ascii="Times New Roman" w:hAnsi="Times New Roman" w:cs="Times New Roman"/>
          <w:i/>
          <w:iCs/>
        </w:rPr>
        <w:t>Δ</w:t>
      </w:r>
      <w:proofErr w:type="gramStart"/>
      <w:r>
        <w:rPr>
          <w:rFonts w:ascii="Times New Roman" w:hAnsi="Times New Roman" w:cs="Times New Roman"/>
          <w:i/>
          <w:iCs/>
        </w:rPr>
        <w:t>P</w:t>
      </w:r>
      <w:r>
        <w:rPr>
          <w:rFonts w:ascii="Times New Roman" w:hAnsi="Times New Roman" w:cs="Times New Roman"/>
          <w:i/>
          <w:iCs/>
          <w:vertAlign w:val="subscript"/>
        </w:rPr>
        <w:t>t</w:t>
      </w:r>
      <w:r>
        <w:rPr>
          <w:rFonts w:ascii="Times New Roman" w:hAnsi="Times New Roman" w:cs="Times New Roman"/>
          <w:i/>
          <w:iCs/>
          <w:vertAlign w:val="superscript"/>
        </w:rPr>
        <w:t>s</w:t>
      </w:r>
      <w:proofErr w:type="spellEnd"/>
      <w:r>
        <w:rPr>
          <w:rFonts w:ascii="Times New Roman" w:hAnsi="Times New Roman" w:cs="Times New Roman"/>
        </w:rPr>
        <w:t xml:space="preserve">,  </w:t>
      </w:r>
      <w:proofErr w:type="spellStart"/>
      <w:r>
        <w:rPr>
          <w:rFonts w:ascii="Times New Roman" w:hAnsi="Times New Roman" w:cs="Times New Roman"/>
          <w:i/>
          <w:iCs/>
        </w:rPr>
        <w:t>w</w:t>
      </w:r>
      <w:r>
        <w:rPr>
          <w:rFonts w:ascii="Times New Roman" w:hAnsi="Times New Roman" w:cs="Times New Roman"/>
          <w:i/>
          <w:iCs/>
          <w:vertAlign w:val="subscript"/>
        </w:rPr>
        <w:t>s</w:t>
      </w:r>
      <w:proofErr w:type="spellEnd"/>
      <w:proofErr w:type="gramEnd"/>
      <w:r>
        <w:rPr>
          <w:rFonts w:ascii="Times New Roman" w:hAnsi="Times New Roman" w:cs="Times New Roman"/>
        </w:rPr>
        <w:t xml:space="preserve"> = </w:t>
      </w:r>
      <w:r>
        <w:rPr>
          <w:rFonts w:ascii="Times New Roman" w:hAnsi="Times New Roman" w:cs="Times New Roman"/>
          <w:i/>
          <w:iCs/>
        </w:rPr>
        <w:t>N</w:t>
      </w:r>
      <w:r>
        <w:rPr>
          <w:rFonts w:ascii="Times New Roman" w:hAnsi="Times New Roman" w:cs="Times New Roman"/>
          <w:i/>
          <w:iCs/>
          <w:vertAlign w:val="subscript"/>
        </w:rPr>
        <w:t>s</w:t>
      </w:r>
      <w:r>
        <w:rPr>
          <w:rFonts w:ascii="Times New Roman" w:hAnsi="Times New Roman" w:cs="Times New Roman"/>
        </w:rPr>
        <w:t xml:space="preserve"> / </w:t>
      </w:r>
      <w:proofErr w:type="spellStart"/>
      <w:r>
        <w:rPr>
          <w:rFonts w:ascii="Times New Roman" w:hAnsi="Times New Roman" w:cs="Times New Roman"/>
          <w:i/>
          <w:iCs/>
        </w:rPr>
        <w:t>N</w:t>
      </w:r>
      <w:r>
        <w:rPr>
          <w:rFonts w:ascii="Times New Roman" w:hAnsi="Times New Roman" w:cs="Times New Roman"/>
          <w:vertAlign w:val="subscript"/>
        </w:rPr>
        <w:t>total</w:t>
      </w:r>
      <w:proofErr w:type="spellEnd"/>
      <w:r>
        <w:rPr>
          <w:rFonts w:ascii="Times New Roman" w:hAnsi="Times New Roman" w:cs="Times New Roman"/>
        </w:rPr>
        <w:tab/>
        <w:t>(5)</w:t>
      </w:r>
    </w:p>
    <w:p ns2:paraId="23CC7E2E" ns2:textId="77777777" w:rsidR="00551D25" w:rsidRDefault="00000000">
      <w:pPr>
        <w:pStyle w:val="2"/>
      </w:pPr>
      <w:r>
        <w:t>Implementation Procedure and Complexity</w:t>
      </w:r>
    </w:p>
    <w:p ns2:paraId="77116334" ns2:textId="77777777" w:rsidR="00551D25" w:rsidRDefault="00000000">
      <w:pPr>
        <w:pStyle w:val="a3"/>
      </w:pPr>
      <w:r>
        <w:t>The full procedure that generates the DR response interval under one typical-day scenario can be expressed as a short sequence of formulas. First, N samples are drawn jointly over the (participation, tariff) input space by Latin Hypercube sampling, with uniform variates u_{s,k} ~ U[0,1]; each sample index s ∈ {1, …, N} is mapped to a participation rate τ_s and a tariff profile c_s(t) via (6).</w:t>
      </w:r>
    </w:p>
    <w:p ns2:paraId="7117C071" ns2:textId="77777777" w:rsidR="00551D25" w:rsidRDefault="00000000">
      <w:pPr>
        <w:pStyle w:val="equation"/>
        <w:rPr>
          <w:rFonts w:hint="eastAsia"/>
        </w:rPr>
      </w:pPr>
      <w:r>
        <w:rPr>
          <w:rFonts w:ascii="Times New Roman" w:hAnsi="Times New Roman" w:cs="Times New Roman"/>
        </w:rPr>
        <w:tab/>
      </w:r>
      <w:proofErr w:type="spellStart"/>
      <w:r>
        <w:rPr>
          <w:rFonts w:ascii="Times New Roman" w:hAnsi="Times New Roman" w:cs="Times New Roman"/>
          <w:i/>
          <w:iCs/>
        </w:rPr>
        <w:t>τ</w:t>
      </w:r>
      <w:r>
        <w:rPr>
          <w:rFonts w:ascii="Times New Roman" w:hAnsi="Times New Roman" w:cs="Times New Roman"/>
          <w:i/>
          <w:iCs/>
          <w:vertAlign w:val="subscript"/>
        </w:rPr>
        <w:t>s</w:t>
      </w:r>
      <w:proofErr w:type="spellEnd"/>
      <w:r>
        <w:rPr>
          <w:rFonts w:ascii="Times New Roman" w:hAnsi="Times New Roman" w:cs="Times New Roman"/>
        </w:rPr>
        <w:t xml:space="preserve"> = </w:t>
      </w:r>
      <w:proofErr w:type="spellStart"/>
      <w:r>
        <w:rPr>
          <w:rFonts w:ascii="Times New Roman" w:hAnsi="Times New Roman" w:cs="Times New Roman"/>
          <w:i/>
          <w:iCs/>
        </w:rPr>
        <w:t>τ</w:t>
      </w:r>
      <w:r>
        <w:rPr>
          <w:rFonts w:ascii="Times New Roman" w:hAnsi="Times New Roman" w:cs="Times New Roman"/>
          <w:vertAlign w:val="subscript"/>
        </w:rPr>
        <w:t>min</w:t>
      </w:r>
      <w:proofErr w:type="spellEnd"/>
      <w:r>
        <w:rPr>
          <w:rFonts w:ascii="Times New Roman" w:hAnsi="Times New Roman" w:cs="Times New Roman"/>
        </w:rPr>
        <w:t xml:space="preserve"> + (</w:t>
      </w:r>
      <w:proofErr w:type="spellStart"/>
      <w:r>
        <w:rPr>
          <w:rFonts w:ascii="Times New Roman" w:hAnsi="Times New Roman" w:cs="Times New Roman"/>
          <w:i/>
          <w:iCs/>
        </w:rPr>
        <w:t>τ</w:t>
      </w:r>
      <w:r>
        <w:rPr>
          <w:rFonts w:ascii="Times New Roman" w:hAnsi="Times New Roman" w:cs="Times New Roman"/>
          <w:vertAlign w:val="subscript"/>
        </w:rPr>
        <w:t>max</w:t>
      </w:r>
      <w:proofErr w:type="spellEnd"/>
      <w:r>
        <w:rPr>
          <w:rFonts w:ascii="Times New Roman" w:hAnsi="Times New Roman" w:cs="Times New Roman"/>
        </w:rPr>
        <w:t xml:space="preserve"> − </w:t>
      </w:r>
      <w:proofErr w:type="spellStart"/>
      <w:r>
        <w:rPr>
          <w:rFonts w:ascii="Times New Roman" w:hAnsi="Times New Roman" w:cs="Times New Roman"/>
          <w:i/>
          <w:iCs/>
        </w:rPr>
        <w:t>τ</w:t>
      </w:r>
      <w:r>
        <w:rPr>
          <w:rFonts w:ascii="Times New Roman" w:hAnsi="Times New Roman" w:cs="Times New Roman"/>
          <w:vertAlign w:val="subscript"/>
        </w:rPr>
        <w:t>min</w:t>
      </w:r>
      <w:proofErr w:type="spellEnd"/>
      <w:r>
        <w:rPr>
          <w:rFonts w:ascii="Times New Roman" w:hAnsi="Times New Roman" w:cs="Times New Roman"/>
        </w:rPr>
        <w:t xml:space="preserve">) · </w:t>
      </w:r>
      <w:r>
        <w:rPr>
          <w:rFonts w:ascii="Times New Roman" w:hAnsi="Times New Roman" w:cs="Times New Roman"/>
          <w:i/>
          <w:iCs/>
        </w:rPr>
        <w:t>u</w:t>
      </w:r>
      <w:r>
        <w:rPr>
          <w:rFonts w:ascii="Times New Roman" w:hAnsi="Times New Roman" w:cs="Times New Roman"/>
          <w:i/>
          <w:iCs/>
          <w:vertAlign w:val="subscript"/>
        </w:rPr>
        <w:t>s,</w:t>
      </w:r>
      <w:proofErr w:type="gramStart"/>
      <w:r>
        <w:rPr>
          <w:rFonts w:ascii="Times New Roman" w:hAnsi="Times New Roman" w:cs="Times New Roman"/>
          <w:i/>
          <w:iCs/>
          <w:vertAlign w:val="subscript"/>
        </w:rPr>
        <w:t>0</w:t>
      </w:r>
      <w:r>
        <w:rPr>
          <w:rFonts w:ascii="Times New Roman" w:hAnsi="Times New Roman" w:cs="Times New Roman"/>
        </w:rPr>
        <w:t xml:space="preserve">,   </w:t>
      </w:r>
      <w:proofErr w:type="gramEnd"/>
      <w:r>
        <w:rPr>
          <w:rFonts w:ascii="Times New Roman" w:hAnsi="Times New Roman" w:cs="Times New Roman"/>
          <w:i/>
          <w:iCs/>
        </w:rPr>
        <w:t>c</w:t>
      </w:r>
      <w:r>
        <w:rPr>
          <w:rFonts w:ascii="Times New Roman" w:hAnsi="Times New Roman" w:cs="Times New Roman"/>
          <w:i/>
          <w:iCs/>
          <w:vertAlign w:val="subscript"/>
        </w:rPr>
        <w:t>s</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w:t>
      </w:r>
      <w:proofErr w:type="spellStart"/>
      <w:r>
        <w:rPr>
          <w:rFonts w:ascii="Times New Roman" w:hAnsi="Times New Roman" w:cs="Times New Roman"/>
          <w:i/>
          <w:iCs/>
        </w:rPr>
        <w:t>c</w:t>
      </w:r>
      <w:r>
        <w:rPr>
          <w:rFonts w:ascii="Times New Roman" w:hAnsi="Times New Roman" w:cs="Times New Roman"/>
          <w:vertAlign w:val="subscript"/>
        </w:rPr>
        <w:t>ref</w:t>
      </w:r>
      <w:proofErr w:type="spellEnd"/>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[1 − </w:t>
      </w:r>
      <w:r>
        <w:rPr>
          <w:rFonts w:ascii="Times New Roman" w:hAnsi="Times New Roman" w:cs="Times New Roman"/>
          <w:i/>
          <w:iCs/>
        </w:rPr>
        <w:t>η</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+ 2</w:t>
      </w:r>
      <w:r>
        <w:rPr>
          <w:rFonts w:ascii="Times New Roman" w:hAnsi="Times New Roman" w:cs="Times New Roman"/>
          <w:i/>
          <w:iCs/>
        </w:rPr>
        <w:t>η</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w:t>
      </w:r>
      <w:proofErr w:type="spellStart"/>
      <w:proofErr w:type="gramStart"/>
      <w:r>
        <w:rPr>
          <w:rFonts w:ascii="Times New Roman" w:hAnsi="Times New Roman" w:cs="Times New Roman"/>
          <w:i/>
          <w:iCs/>
        </w:rPr>
        <w:t>u</w:t>
      </w:r>
      <w:r>
        <w:rPr>
          <w:rFonts w:ascii="Times New Roman" w:hAnsi="Times New Roman" w:cs="Times New Roman"/>
          <w:i/>
          <w:iCs/>
          <w:vertAlign w:val="subscript"/>
        </w:rPr>
        <w:t>s,t</w:t>
      </w:r>
      <w:proofErr w:type="spellEnd"/>
      <w:proofErr w:type="gramEnd"/>
      <w:r>
        <w:rPr>
          <w:rFonts w:ascii="Times New Roman" w:hAnsi="Times New Roman" w:cs="Times New Roman"/>
        </w:rPr>
        <w:t>]</w:t>
      </w:r>
      <w:r>
        <w:rPr>
          <w:rFonts w:ascii="Times New Roman" w:hAnsi="Times New Roman" w:cs="Times New Roman"/>
        </w:rPr>
        <w:tab/>
        <w:t>(6)</w:t>
      </w:r>
    </w:p>
    <w:p ns2:paraId="373EA750" ns2:textId="77777777" w:rsidR="00551D25" w:rsidRDefault="00000000">
      <w:pPr>
        <w:pStyle w:val="a3"/>
      </w:pPr>
      <w:r>
        <w:t>Second, for each sample s, the per-unit tariff deviation r_s = (c_s − c_flat)/c_flat is computed and inserted into (1) to obtain the candidate response ΔP_s. The two physical constraints (3) and (4) are evaluated on ΔP_s; samples that violate either are discarded, leaving a kept set 𝒮 of size n_keep ≤ N.</w:t>
      </w:r>
    </w:p>
    <w:p ns2:paraId="79A57011" ns2:textId="77777777" w:rsidR="00551D25" w:rsidRDefault="00000000">
      <w:pPr>
        <w:pStyle w:val="a3"/>
      </w:pPr>
      <w:r>
        <w:t>Third, hour-by-hour upper and lower envelopes are taken as the extrema over 𝒮 in (7), and the rejection rate is reported in (8).</w:t>
      </w:r>
    </w:p>
    <w:p ns2:paraId="5AC92B5E" ns2:textId="77777777" w:rsidR="00551D25" w:rsidRDefault="00000000">
      <w:pPr>
        <w:pStyle w:val="equation"/>
        <w:rPr>
          <w:rFonts w:hint="eastAsia"/>
        </w:rPr>
      </w:pPr>
      <w:r>
        <w:rPr>
          <w:rFonts w:ascii="Times New Roman" w:hAnsi="Times New Roman" w:cs="Times New Roman"/>
        </w:rPr>
        <w:tab/>
      </w:r>
      <w:r>
        <w:rPr>
          <w:rFonts w:ascii="Times New Roman" w:hAnsi="Times New Roman" w:cs="Times New Roman"/>
          <w:i/>
          <w:iCs/>
        </w:rPr>
        <w:t>ΔP</w:t>
      </w:r>
      <w:r>
        <w:rPr>
          <w:rFonts w:ascii="Times New Roman" w:hAnsi="Times New Roman" w:cs="Times New Roman"/>
          <w:vertAlign w:val="subscript"/>
        </w:rPr>
        <w:t>L</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min over </w:t>
      </w:r>
      <w:r>
        <w:rPr>
          <w:rFonts w:ascii="Times New Roman" w:hAnsi="Times New Roman" w:cs="Times New Roman"/>
          <w:i/>
          <w:iCs/>
        </w:rPr>
        <w:t>s</w:t>
      </w:r>
      <w:r>
        <w:rPr>
          <w:rFonts w:ascii="Times New Roman" w:hAnsi="Times New Roman" w:cs="Times New Roman"/>
        </w:rPr>
        <w:t xml:space="preserve"> ∈ 𝒮 of </w:t>
      </w:r>
      <w:r>
        <w:rPr>
          <w:rFonts w:ascii="Times New Roman" w:hAnsi="Times New Roman" w:cs="Times New Roman"/>
          <w:i/>
          <w:iCs/>
        </w:rPr>
        <w:t>ΔP</w:t>
      </w:r>
      <w:r>
        <w:rPr>
          <w:rFonts w:ascii="Times New Roman" w:hAnsi="Times New Roman" w:cs="Times New Roman"/>
          <w:i/>
          <w:iCs/>
          <w:vertAlign w:val="subscript"/>
        </w:rPr>
        <w:t>s</w:t>
      </w:r>
      <w:r>
        <w:rPr>
          <w:rFonts w:ascii="Times New Roman" w:hAnsi="Times New Roman" w:cs="Times New Roman"/>
        </w:rPr>
        <w:t>(</w:t>
      </w:r>
      <w:r>
        <w:rPr>
          <w:rFonts w:ascii="Times New Roman" w:hAnsi="Times New Roman" w:cs="Times New Roman"/>
          <w:i/>
          <w:iCs/>
        </w:rPr>
        <w:t>t</w:t>
      </w:r>
      <w:proofErr w:type="gramStart"/>
      <w:r>
        <w:rPr>
          <w:rFonts w:ascii="Times New Roman" w:hAnsi="Times New Roman" w:cs="Times New Roman"/>
        </w:rPr>
        <w:t xml:space="preserve">),   </w:t>
      </w:r>
      <w:proofErr w:type="gramEnd"/>
      <w:r>
        <w:rPr>
          <w:rFonts w:ascii="Times New Roman" w:hAnsi="Times New Roman" w:cs="Times New Roman"/>
          <w:i/>
          <w:iCs/>
        </w:rPr>
        <w:t>ΔP</w:t>
      </w:r>
      <w:r>
        <w:rPr>
          <w:rFonts w:ascii="Times New Roman" w:hAnsi="Times New Roman" w:cs="Times New Roman"/>
          <w:vertAlign w:val="subscript"/>
        </w:rPr>
        <w:t>U</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max over </w:t>
      </w:r>
      <w:r>
        <w:rPr>
          <w:rFonts w:ascii="Times New Roman" w:hAnsi="Times New Roman" w:cs="Times New Roman"/>
          <w:i/>
          <w:iCs/>
        </w:rPr>
        <w:t>s</w:t>
      </w:r>
      <w:r>
        <w:rPr>
          <w:rFonts w:ascii="Times New Roman" w:hAnsi="Times New Roman" w:cs="Times New Roman"/>
        </w:rPr>
        <w:t xml:space="preserve"> ∈ 𝒮 of </w:t>
      </w:r>
      <w:r>
        <w:rPr>
          <w:rFonts w:ascii="Times New Roman" w:hAnsi="Times New Roman" w:cs="Times New Roman"/>
          <w:i/>
          <w:iCs/>
        </w:rPr>
        <w:t>ΔP</w:t>
      </w:r>
      <w:r>
        <w:rPr>
          <w:rFonts w:ascii="Times New Roman" w:hAnsi="Times New Roman" w:cs="Times New Roman"/>
          <w:i/>
          <w:iCs/>
          <w:vertAlign w:val="subscript"/>
        </w:rPr>
        <w:t>s</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w:t>
      </w:r>
      <w:r>
        <w:rPr>
          <w:rFonts w:ascii="Times New Roman" w:hAnsi="Times New Roman" w:cs="Times New Roman"/>
        </w:rPr>
        <w:tab/>
        <w:t>(7)</w:t>
      </w:r>
    </w:p>
    <w:p ns2:paraId="7291A444" ns2:textId="77777777" w:rsidR="00551D25" w:rsidRDefault="00000000">
      <w:pPr>
        <w:pStyle w:val="equation"/>
        <w:rPr>
          <w:rFonts w:hint="eastAsia"/>
        </w:rPr>
      </w:pPr>
      <w:r>
        <w:rPr>
          <w:rFonts w:ascii="Times New Roman" w:hAnsi="Times New Roman" w:cs="Times New Roman"/>
        </w:rPr>
        <w:tab/>
      </w:r>
      <w:r>
        <w:rPr>
          <w:rFonts w:ascii="Times New Roman" w:hAnsi="Times New Roman" w:cs="Times New Roman"/>
          <w:i/>
          <w:iCs/>
        </w:rPr>
        <w:t>ρ</w:t>
      </w:r>
      <w:r>
        <w:rPr>
          <w:rFonts w:ascii="Times New Roman" w:hAnsi="Times New Roman" w:cs="Times New Roman"/>
        </w:rPr>
        <w:t xml:space="preserve"> = 1 − |𝒮| / </w:t>
      </w:r>
      <w:r>
        <w:rPr>
          <w:rFonts w:ascii="Times New Roman" w:hAnsi="Times New Roman" w:cs="Times New Roman"/>
          <w:i/>
          <w:iCs/>
        </w:rPr>
        <w:t>N</w:t>
      </w:r>
      <w:r>
        <w:rPr>
          <w:rFonts w:ascii="Times New Roman" w:hAnsi="Times New Roman" w:cs="Times New Roman"/>
        </w:rPr>
        <w:tab/>
        <w:t>(8)</w:t>
      </w:r>
    </w:p>
    <w:p ns2:paraId="5857ACDA" ns2:textId="77777777" w:rsidR="00551D25" w:rsidRDefault="00000000">
      <w:pPr>
        <w:pStyle w:val="a3"/>
      </w:pPr>
      <w:r>
        <w:t>The complexity of this procedure is O(NTL) per scenario, where L is the half-width of the elasticity window (L = 3 here, so the dense matrix-vector product in (1) reduces to a banded one), and O(SNTL) across S typical-day scenarios. With the settings used in this paper (S = 3, N = 2000, T = 24) the runtime is below ten seconds on a contemporary laptop, and the procedure is well suited to embedding inside a robust-scheduling outer loop or a tariff-design search.</w:t>
      </w:r>
    </w:p>
    <w:p ns2:paraId="368F139E" ns2:textId="77777777" w:rsidR="00551D25" w:rsidRDefault="00000000">
      <w:pPr>
        <w:pStyle w:val="1"/>
      </w:pPr>
      <w:r>
        <w:t>Case Study</w:t>
      </w:r>
    </w:p>
    <w:p ns2:paraId="29F067DF" ns2:textId="77777777" w:rsidR="00551D25" w:rsidRDefault="00000000">
      <w:pPr>
        <w:pStyle w:val="2"/>
      </w:pPr>
      <w:r>
        <w:t>Test System and Parameter Setting</w:t>
      </w:r>
    </w:p>
    <w:p ns2:paraId="06CD96D4" ns2:textId="77777777" w:rsidR="00551D25" w:rsidRDefault="00000000">
      <w:pPr>
        <w:pStyle w:val="a3"/>
      </w:pPr>
      <w:r>
        <w:t>The proposed model is evaluated on a modified IEEE 33-bus distribution system in which four tie lines have been added so that the network supports both radial and meshed operation. The system base voltage is 12.66 kV and the base power is 10 MVA. Fig. 1 shows the topology of the test system; the DR resource is attached at node 30, where the base load profile is a synthesised residential daily curve that captures the morning shoulder around 07:00-09:00, a midday plateau driven by air-conditioning in summer, a sharp evening peak with asymmetric ramp-on/ramp-off, and a small post-peak rebound; the summer peak demand is approximately 0.85 MW. Three typical-day scenarios are defined to represent summer peak, winter peak, and shoulder-season conditions, each with its own base load profile, reference tariff curve, and participation/tariff bounds. The annual day-count weights are 90, 90, and 185, respectively. The single-period magnitude cap is set to 30 percent of the base load and the cycle-energy tolerance is 5 percent of the cumulative absolute response. The Latin Hypercube sample size [14] is N = 2000, and the participation rate within [tau_min, tau_max] is drawn from a Beta(2, 2) shape so that few households sit at the extremes of the interval; the cross-elasticity matrix uses a forward-asymmetric exponential decay that models the real-world tendency of households to defer load rather than to pre-empt it.</w:t>
      </w:r>
    </w:p>
    <w:p ns2:paraId="04B15723" ns2:textId="77777777" w:rsidR="00551D25" w:rsidRDefault="00000000">
      <w:pPr>
        <w:pStyle w:val="a3"/>
      </w:pPr>
      <w:r>
        <w:t>Table II lists the scenario-dependent parameters. The participation bounds are tightest in the shoulder season, where users have lower incentives to respond, and widest in the summer when peak-valley tariff differentials are largest. The tariff fluctuation coefficient eta is asymmetric, with the peak-period value 2 to 3 times the off-peak value, reflecting the wider settlement uncertainty during peak hours.</w:t>
      </w:r>
    </w:p>
    <w:p ns2:paraId="2268986F" ns2:textId="4CE8B719" w:rsidR="00551D25" w:rsidRDefault="00000000">
      <w:pPr>
        <w:pStyle w:val="tablehead"/>
      </w:pPr>
      <w:r>
        <w:t>Scenario Parameters for the Three Typical Days</w:t>
      </w:r>
    </w:p>
    <w:tbl>
      <w:tblPr>
        <w:tblW w:w="5000" w:type="pct"/>
        <w:jc w:val="center"/>
        <w:tblLook w:val="04A0" w:firstRow="1" w:lastRow="0" w:firstColumn="1" w:lastColumn="0" w:noHBand="0" w:noVBand="1"/>
      </w:tblPr>
      <w:tblGrid>
        <w:gridCol w:w="2154"/>
        <w:gridCol w:w="973"/>
        <w:gridCol w:w="871"/>
        <w:gridCol w:w="1025"/>
      </w:tblGrid>
      <w:tr w:rsidR="00551D25" ns2:paraId="54159B13" ns2: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21AC8F13" ns2:textId="77777777" w:rsidR="00551D25" w:rsidRDefault="00000000">
            <w:pPr>
              <w:pStyle w:val="tablecolhead"/>
            </w:pPr>
            <w:r>
              <w:t>Parameter</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73F9A0F1" ns2:textId="77777777" w:rsidR="00551D25" w:rsidRDefault="00000000">
            <w:pPr>
              <w:pStyle w:val="tablecolhead"/>
            </w:pPr>
            <w:r>
              <w:t>Summer</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4AA043F9" ns2:textId="77777777" w:rsidR="00551D25" w:rsidRDefault="00000000">
            <w:pPr>
              <w:pStyle w:val="tablecolhead"/>
            </w:pPr>
            <w:r>
              <w:t>Winter</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015C7C35" ns2:textId="77777777" w:rsidR="00551D25" w:rsidRDefault="00000000">
            <w:pPr>
              <w:pStyle w:val="tablecolhead"/>
            </w:pPr>
            <w:r>
              <w:t>Shoulder</w:t>
            </w:r>
          </w:p>
        </w:tc>
      </w:tr>
      <w:tr w:rsidR="00551D25" ns2:paraId="7A7E4D2F" ns2: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5BEB0CFB" ns2:textId="77777777" w:rsidR="00551D25" w:rsidRDefault="00000000">
            <w:pPr>
              <w:pStyle w:val="tablecopy"/>
              <w:jc w:val="left"/>
            </w:pPr>
            <w:r>
              <w:lastRenderedPageBreak/>
              <w:t>Days / year</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635DDFC2" ns2:textId="77777777" w:rsidR="00551D25" w:rsidRDefault="00000000">
            <w:pPr>
              <w:pStyle w:val="tablecopy"/>
              <w:jc w:val="center"/>
            </w:pPr>
            <w:r>
              <w:t>90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235E08DE" ns2:textId="77777777" w:rsidR="00551D25" w:rsidRDefault="00000000">
            <w:pPr>
              <w:pStyle w:val="tablecopy"/>
              <w:jc w:val="center"/>
            </w:pPr>
            <w:r>
              <w:t>90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6986FBFF" ns2:textId="77777777" w:rsidR="00551D25" w:rsidRDefault="00000000">
            <w:pPr>
              <w:pStyle w:val="tablecopy"/>
              <w:jc w:val="center"/>
            </w:pPr>
            <w:r>
              <w:t>185</w:t>
            </w:r>
          </w:p>
        </w:tc>
      </w:tr>
      <w:tr w:rsidR="00551D25" ns2:paraId="5E2C7508" ns2: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5A640553" ns2:textId="77777777" w:rsidR="00551D25" w:rsidRDefault="00000000">
            <w:pPr>
              <w:pStyle w:val="tablecopy"/>
              <w:jc w:val="left"/>
            </w:pPr>
            <w:r>
              <w:t>Peak base load (MW)</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4A2D27BB" ns2:textId="77777777" w:rsidR="00551D25" w:rsidRDefault="00000000">
            <w:pPr>
              <w:pStyle w:val="tablecopy"/>
              <w:jc w:val="center"/>
            </w:pPr>
            <w:r>
              <w:t>0.85</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4159FDF6" ns2:textId="77777777" w:rsidR="00551D25" w:rsidRDefault="00000000">
            <w:pPr>
              <w:pStyle w:val="tablecopy"/>
              <w:jc w:val="center"/>
            </w:pPr>
            <w:r>
              <w:t>0.72</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347095B8" ns2:textId="77777777" w:rsidR="00551D25" w:rsidRDefault="00000000">
            <w:pPr>
              <w:pStyle w:val="tablecopy"/>
              <w:jc w:val="center"/>
            </w:pPr>
            <w:r>
              <w:t>0.48</w:t>
            </w:r>
          </w:p>
        </w:tc>
      </w:tr>
      <w:tr w:rsidR="00551D25" ns2:paraId="752DA7CB" ns2: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6A928ECB" ns2:textId="77777777" w:rsidR="00551D25" w:rsidRDefault="00000000">
            <w:pPr>
              <w:pStyle w:val="tablecopy"/>
              <w:jc w:val="left"/>
            </w:pPr>
            <w:r>
              <w:t>Peak hour</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137CE840" ns2:textId="77777777" w:rsidR="00551D25" w:rsidRDefault="00000000">
            <w:pPr>
              <w:pStyle w:val="tablecopy"/>
              <w:jc w:val="center"/>
            </w:pPr>
            <w:r>
              <w:t>19:00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39E6A54F" ns2:textId="77777777" w:rsidR="00551D25" w:rsidRDefault="00000000">
            <w:pPr>
              <w:pStyle w:val="tablecopy"/>
              <w:jc w:val="center"/>
            </w:pPr>
            <w:r>
              <w:t>18:00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60609B2B" ns2:textId="77777777" w:rsidR="00551D25" w:rsidRDefault="00000000">
            <w:pPr>
              <w:pStyle w:val="tablecopy"/>
              <w:jc w:val="center"/>
            </w:pPr>
            <w:r>
              <w:t>12:00</w:t>
            </w:r>
          </w:p>
        </w:tc>
      </w:tr>
      <w:tr w:rsidR="00551D25" ns2:paraId="0D978B7D" ns2: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738B1B84" ns2:textId="18DE7D5E" w:rsidR="00551D25" w:rsidRPr="008D4671" w:rsidRDefault="008D4671">
            <w:pPr>
              <w:pStyle w:val="tablecopy"/>
              <w:jc w:val="left"/>
              <w:rPr>
                <w:sz w:val="20"/>
                <w:szCs w:val="20"/>
              </w:rPr>
            </w:pPr>
            <w:r w:rsidRPr="008D4671">
              <w:rPr>
                <w:i/>
                <w:iCs/>
                <w:sz w:val="20"/>
                <w:szCs w:val="20"/>
              </w:rPr>
              <w:t>τ</w:t>
            </w:r>
            <w:r w:rsidR="00000000" w:rsidRPr="008D4671">
              <w:rPr>
                <w:sz w:val="20"/>
                <w:szCs w:val="20"/>
                <w:vertAlign w:val="subscript"/>
              </w:rPr>
              <w:t>min</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3AAB9210" ns2:textId="77777777" w:rsidR="00551D25" w:rsidRDefault="00000000">
            <w:pPr>
              <w:pStyle w:val="tablecopy"/>
              <w:jc w:val="center"/>
            </w:pPr>
            <w:r>
              <w:t>0.40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630F3412" ns2:textId="77777777" w:rsidR="00551D25" w:rsidRDefault="00000000">
            <w:pPr>
              <w:pStyle w:val="tablecopy"/>
              <w:jc w:val="center"/>
            </w:pPr>
            <w:r>
              <w:t>0.30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594D8296" ns2:textId="77777777" w:rsidR="00551D25" w:rsidRDefault="00000000">
            <w:pPr>
              <w:pStyle w:val="tablecopy"/>
              <w:jc w:val="center"/>
            </w:pPr>
            <w:r>
              <w:t>0.20</w:t>
            </w:r>
          </w:p>
        </w:tc>
      </w:tr>
      <w:tr w:rsidR="00551D25" ns2:paraId="52C93740" ns2: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09CEE978" ns2:textId="6A859271" w:rsidR="00551D25" w:rsidRPr="008D4671" w:rsidRDefault="008D4671">
            <w:pPr>
              <w:pStyle w:val="tablecopy"/>
              <w:jc w:val="left"/>
              <w:rPr>
                <w:sz w:val="20"/>
                <w:szCs w:val="20"/>
              </w:rPr>
            </w:pPr>
            <w:r w:rsidRPr="008D4671">
              <w:rPr>
                <w:i/>
                <w:iCs/>
                <w:sz w:val="20"/>
                <w:szCs w:val="20"/>
              </w:rPr>
              <w:t>τ</w:t>
            </w:r>
            <w:r w:rsidR="00000000" w:rsidRPr="008D4671">
              <w:rPr>
                <w:sz w:val="20"/>
                <w:szCs w:val="20"/>
                <w:vertAlign w:val="subscript"/>
              </w:rPr>
              <w:t>max</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61DF56C4" ns2:textId="77777777" w:rsidR="00551D25" w:rsidRDefault="00000000">
            <w:pPr>
              <w:pStyle w:val="tablecopy"/>
              <w:jc w:val="center"/>
            </w:pPr>
            <w:r>
              <w:t>0.70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5010838E" ns2:textId="77777777" w:rsidR="00551D25" w:rsidRDefault="00000000">
            <w:pPr>
              <w:pStyle w:val="tablecopy"/>
              <w:jc w:val="center"/>
            </w:pPr>
            <w:r>
              <w:t>0.50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2493BD13" ns2:textId="77777777" w:rsidR="00551D25" w:rsidRDefault="00000000">
            <w:pPr>
              <w:pStyle w:val="tablecopy"/>
              <w:jc w:val="center"/>
            </w:pPr>
            <w:r>
              <w:t>0.40</w:t>
            </w:r>
          </w:p>
        </w:tc>
      </w:tr>
      <w:tr w:rsidR="00551D25" ns2:paraId="3FC02478" ns2: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0C5978AE" ns2:textId="77777777" w:rsidR="00551D25" w:rsidRDefault="00000000">
            <w:pPr>
              <w:pStyle w:val="tablecopy"/>
              <w:jc w:val="left"/>
            </w:pPr>
            <w:r>
              <w:t>eta (peak)</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5F776A4D" ns2:textId="77777777" w:rsidR="00551D25" w:rsidRDefault="00000000">
            <w:pPr>
              <w:pStyle w:val="tablecopy"/>
              <w:jc w:val="center"/>
            </w:pPr>
            <w:r>
              <w:t>0.25</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0335E391" ns2:textId="77777777" w:rsidR="00551D25" w:rsidRDefault="00000000">
            <w:pPr>
              <w:pStyle w:val="tablecopy"/>
              <w:jc w:val="center"/>
            </w:pPr>
            <w:r>
              <w:t>0.20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4567F21D" ns2:textId="77777777" w:rsidR="00551D25" w:rsidRDefault="00000000">
            <w:pPr>
              <w:pStyle w:val="tablecopy"/>
              <w:jc w:val="center"/>
            </w:pPr>
            <w:r>
              <w:t>0.10</w:t>
            </w:r>
          </w:p>
        </w:tc>
      </w:tr>
      <w:tr w:rsidR="00551D25" ns2:paraId="1E533A0F" ns2: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4943E995" ns2:textId="77777777" w:rsidR="00551D25" w:rsidRDefault="00000000">
            <w:pPr>
              <w:pStyle w:val="tablecopy"/>
              <w:jc w:val="left"/>
            </w:pPr>
            <w:r>
              <w:t>eta (off-peak)</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4D64D8BD" ns2:textId="77777777" w:rsidR="00551D25" w:rsidRDefault="00000000">
            <w:pPr>
              <w:pStyle w:val="tablecopy"/>
              <w:jc w:val="center"/>
            </w:pPr>
            <w:r>
              <w:t>0.10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30DB9BCF" ns2:textId="77777777" w:rsidR="00551D25" w:rsidRDefault="00000000">
            <w:pPr>
              <w:pStyle w:val="tablecopy"/>
              <w:jc w:val="center"/>
            </w:pPr>
            <w:r>
              <w:t>0.08</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73F5232C" ns2:textId="77777777" w:rsidR="00551D25" w:rsidRDefault="00000000">
            <w:pPr>
              <w:pStyle w:val="tablecopy"/>
              <w:jc w:val="center"/>
            </w:pPr>
            <w:r>
              <w:t>0.05</w:t>
            </w:r>
          </w:p>
        </w:tc>
      </w:tr>
      <w:tr w:rsidR="00551D25" ns2:paraId="673EA831" ns2: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79E71AA7" ns2:textId="77777777" w:rsidR="00551D25" w:rsidRDefault="00000000">
            <w:pPr>
              <w:pStyle w:val="tablecopy"/>
              <w:jc w:val="left"/>
            </w:pPr>
            <w:r>
              <w:t>Self-elasticity</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31F66444" ns2:textId="77777777" w:rsidR="00551D25" w:rsidRDefault="00000000">
            <w:pPr>
              <w:pStyle w:val="tablecopy"/>
              <w:jc w:val="center"/>
            </w:pPr>
            <w:r>
              <w:t>-0.30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5471583F" ns2:textId="77777777" w:rsidR="00551D25" w:rsidRDefault="00000000">
            <w:pPr>
              <w:pStyle w:val="tablecopy"/>
              <w:jc w:val="center"/>
            </w:pPr>
            <w:r>
              <w:t>-0.30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1B535709" ns2:textId="77777777" w:rsidR="00551D25" w:rsidRDefault="00000000">
            <w:pPr>
              <w:pStyle w:val="tablecopy"/>
              <w:jc w:val="center"/>
            </w:pPr>
            <w:r>
              <w:t>-0.30</w:t>
            </w:r>
          </w:p>
        </w:tc>
      </w:tr>
    </w:tbl>
    <w:p ns2:paraId="69C75B48" ns2:textId="77777777" w:rsidR="00551D25" w:rsidRDefault="00551D25">
      <w:pPr>
        <w:pStyle w:val="a3"/>
      </w:pPr>
    </w:p>
    <w:p ns2:paraId="2005C02F" ns2:textId="77777777" w:rsidR="00551D25" w:rsidRDefault="00000000">
      <w:pPr>
        <w:pStyle w:val="2"/>
      </w:pPr>
      <w:r>
        <w:t>Baseline Comparison</w:t>
      </w:r>
    </w:p>
    <w:p ns2:paraId="17AA9B8D" ns2:textId="77777777" w:rsidR="00551D25" w:rsidRDefault="00000000">
      <w:pPr>
        <w:pStyle w:val="a3"/>
      </w:pPr>
      <w:r>
        <w:t>Three formulations are compared on the same three typical days: (a) the proposed two-driver interval with magnitude and energy conservation filters; (b) a fixed-parameter baseline in which participation rate and tariff are set to their midpoints; and (c) an unconstrained two-driver baseline that retains the joint interval sampling but omits the energy conservation filter. For each formulation and each typical day, the response interval at the peak hour is computed and its width is reported in Table III. Figure 2 illustrates the corresponding 24-hour interval envelopes.</w:t>
      </w:r>
    </w:p>
    <w:p ns2:paraId="071E26D9" ns2:textId="77777777" w:rsidR="00551D25" w:rsidRDefault="00000000">
      <w:pPr>
        <w:pStyle w:val="tablehead"/>
      </w:pPr>
      <w:r>
        <w:t>Peak-Hour DR Interval Width Comparison (MW)</w:t>
      </w:r>
    </w:p>
    <w:tbl>
      <w:tblPr>
        <w:tblW w:w="4400" w:type="dxa"/>
        <w:jc w:val="center"/>
        <w:tblLayout w:type="fixed"/>
        <w:tblLook w:val="04A0" w:firstRow="1" w:lastRow="0" w:firstColumn="1" w:lastColumn="0" w:noHBand="0" w:noVBand="1"/>
      </w:tblPr>
      <w:tblGrid>
        <w:gridCol w:w="1300"/>
        <w:gridCol w:w="1000"/>
        <w:gridCol w:w="1000"/>
        <w:gridCol w:w="1100"/>
      </w:tblGrid>
      <w:tr w:rsidR="00551D25" ns2:paraId="2DEB6FCB" ns2: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2AC51645" ns2:textId="77777777" w:rsidR="00551D25" w:rsidRDefault="00000000">
            <w:pPr>
              <w:pStyle w:val="tablecolhead"/>
            </w:pPr>
            <w:r>
              <w:t>Scenario</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65F41AD3" ns2:textId="77777777" w:rsidR="00551D25" w:rsidRDefault="00000000">
            <w:pPr>
              <w:pStyle w:val="tablecolhead"/>
            </w:pPr>
            <w:r>
              <w:t>Proposed</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60B5EE9C" ns2:textId="77777777" w:rsidR="00551D25" w:rsidRDefault="00000000">
            <w:pPr>
              <w:pStyle w:val="tablecolhead"/>
            </w:pPr>
            <w:r>
              <w:t>Fixed</w:t>
            </w:r>
          </w:p>
        </w:tc>
        <w:tc>
          <w:tcPr>
            <w:tcW w:w="1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3E8FCE55" ns2:textId="77777777" w:rsidR="00551D25" w:rsidRDefault="00000000">
            <w:pPr>
              <w:pStyle w:val="tablecolhead"/>
            </w:pPr>
            <w:r>
              <w:t>Unconstr.</w:t>
            </w:r>
          </w:p>
        </w:tc>
      </w:tr>
      <w:tr w:rsidR="00551D25" ns2:paraId="79977282" ns2: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3C2C7B37" ns2:textId="77777777" w:rsidR="00551D25" w:rsidRDefault="00000000">
            <w:pPr>
              <w:pStyle w:val="tablecopy"/>
              <w:jc w:val="left"/>
            </w:pPr>
            <w:r>
              <w:t>Summer</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117FB6DD" ns2:textId="77777777" w:rsidR="00551D25" w:rsidRDefault="00000000">
            <w:pPr>
              <w:pStyle w:val="tablecopy"/>
              <w:jc w:val="center"/>
            </w:pPr>
            <w:r>
              <w:t>0.197</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6B96F381" ns2:textId="77777777" w:rsidR="00551D25" w:rsidRDefault="00000000">
            <w:pPr>
              <w:pStyle w:val="tablecopy"/>
              <w:jc w:val="center"/>
            </w:pPr>
            <w:r>
              <w:t>0.027</w:t>
            </w:r>
          </w:p>
        </w:tc>
        <w:tc>
          <w:tcPr>
            <w:tcW w:w="1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1908970C" ns2:textId="77777777" w:rsidR="00551D25" w:rsidRDefault="00000000">
            <w:pPr>
              <w:pStyle w:val="tablecopy"/>
              <w:jc w:val="center"/>
            </w:pPr>
            <w:r>
              <w:t>0.232</w:t>
            </w:r>
          </w:p>
        </w:tc>
      </w:tr>
      <w:tr w:rsidR="00551D25" ns2:paraId="0D776C0A" ns2: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4210EC8C" ns2:textId="77777777" w:rsidR="00551D25" w:rsidRDefault="00000000">
            <w:pPr>
              <w:pStyle w:val="tablecopy"/>
              <w:jc w:val="left"/>
            </w:pPr>
            <w:r>
              <w:t>Winter</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1E4F9280" ns2:textId="77777777" w:rsidR="00551D25" w:rsidRDefault="00000000">
            <w:pPr>
              <w:pStyle w:val="tablecopy"/>
              <w:jc w:val="center"/>
            </w:pPr>
            <w:r>
              <w:t>0.095</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6DB3F198" ns2:textId="77777777" w:rsidR="00551D25" w:rsidRDefault="00000000">
            <w:pPr>
              <w:pStyle w:val="tablecopy"/>
              <w:jc w:val="center"/>
            </w:pPr>
            <w:r>
              <w:t>0.013</w:t>
            </w:r>
          </w:p>
        </w:tc>
        <w:tc>
          <w:tcPr>
            <w:tcW w:w="1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2B483DCB" ns2:textId="77777777" w:rsidR="00551D25" w:rsidRDefault="00000000">
            <w:pPr>
              <w:pStyle w:val="tablecopy"/>
              <w:jc w:val="center"/>
            </w:pPr>
            <w:r>
              <w:t>0.098</w:t>
            </w:r>
          </w:p>
        </w:tc>
      </w:tr>
      <w:tr w:rsidR="00551D25" ns2:paraId="2C829B0E" ns2: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39788690" ns2:textId="77777777" w:rsidR="00551D25" w:rsidRDefault="00000000">
            <w:pPr>
              <w:pStyle w:val="tablecopy"/>
              <w:jc w:val="left"/>
            </w:pPr>
            <w:r>
              <w:t>Shoulder</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5FCF0E5D" ns2:textId="77777777" w:rsidR="00551D25" w:rsidRDefault="00000000">
            <w:pPr>
              <w:pStyle w:val="tablecopy"/>
              <w:jc w:val="center"/>
            </w:pPr>
            <w:r>
              <w:t>0.022</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2566EDA3" ns2:textId="77777777" w:rsidR="00551D25" w:rsidRDefault="00000000">
            <w:pPr>
              <w:pStyle w:val="tablecopy"/>
              <w:jc w:val="center"/>
            </w:pPr>
            <w:r>
              <w:t>0.004</w:t>
            </w:r>
          </w:p>
        </w:tc>
        <w:tc>
          <w:tcPr>
            <w:tcW w:w="1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78B7569C" ns2:textId="77777777" w:rsidR="00551D25" w:rsidRDefault="00000000">
            <w:pPr>
              <w:pStyle w:val="tablecopy"/>
              <w:jc w:val="center"/>
            </w:pPr>
            <w:r>
              <w:t>0.022</w:t>
            </w:r>
          </w:p>
        </w:tc>
      </w:tr>
    </w:tbl>
    <w:p ns2:paraId="29832FA5" ns2:textId="77777777" w:rsidR="00551D25" w:rsidRDefault="00551D25">
      <w:pPr>
        <w:pStyle w:val="a3"/>
      </w:pPr>
    </w:p>
    <w:p ns2:paraId="28C79254" ns2:textId="77777777" w:rsidR="00551D25" w:rsidRDefault="00000000">
      <w:pPr>
        <w:pStyle w:val="a3"/>
      </w:pPr>
      <w:r>
        <w:t>Three observations follow from Table III. First, the proposed model produces an interval that is consistently narrower than the unconstrained baseline but visibly wider than the fixed-parameter baseline. In the summer scenario, the proposed interval is 0.197 MW, which is about 15 percent below the unconstrained 0.232 MW and roughly 7.4 times the fixed-parameter 0.027 MW. The contraction relative to the unconstrained band is the contribution of the energy conservation filter, which discards trajectories that would silently shift energy out of the cycle; the expansion relative to the fixed-parameter band is the contribution of the joint interval drivers, which recover the epistemic spread that the midpoint formulation collapses.</w:t>
      </w:r>
    </w:p>
    <w:p ns2:paraId="0B455BA3" ns2:textId="77777777" w:rsidR="00551D25" w:rsidRDefault="00000000">
      <w:pPr>
        <w:pStyle w:val="a3"/>
      </w:pPr>
      <w:r>
        <w:t>Second, the seasonal ordering of the interval widths (summer wider than winter wider than shoulder) is preserved by the proposed model. The ordering follows directly from the participation and tariff bounds in Table II, and it matches the operational intuition that DR flexibility is largest when peak-valley contrasts are sharpest. The fixed-parameter baseline preserves the ordering but compresses it: the gap between summer and shoulder shrinks from 0.175 MW under the proposed model to 0.023 MW under the fixed-parameter model, masking much of the seasonal differentiation that downstream scheduling could exploit.</w:t>
      </w:r>
    </w:p>
    <w:p ns2:paraId="7ED93BC0" ns2:textId="77777777" w:rsidR="00551D25" w:rsidRDefault="00000000">
      <w:pPr>
        <w:pStyle w:val="a3"/>
      </w:pPr>
      <w:r>
        <w:t xml:space="preserve">Third, the rejection rate of the energy conservation filter is monitored across the three scenarios. In the summer scenario, approximately 62 percent of the Latin Hypercube samples are discarded for violating the cycle-energy tolerance; the rate drops </w:t>
      </w:r>
      <w:r>
        <w:t>to 46 percent in winter and to nearly zero in the shoulder season. The rate is moderate in all three cases, suggesting that the bounds in Table II are physically plausible and that the filter actively reshapes the band without dominating the sampling.</w:t>
      </w:r>
    </w:p>
    <w:p ns2:paraId="6ED63626" ns2:textId="2F6A0D41" w:rsidR="00551D25" w:rsidRDefault="008D4671" w:rsidP="00E1043C">
      <w:pPr>
        <w:pStyle w:val="a3"/>
        <w:ind w:firstLine="0"/>
        <w:jc w:val="left"/>
      </w:pPr>
      <w:r>
        <w:rPr>
          <w:rFonts w:hint="eastAsia"/>
        </w:rPr>
        <w:object w:dxaOrig="18060" w:dyaOrig="11911" ns2:anchorId="098C4D7F">
          <ns4:shapetype id="_x0000_t75" coordsize="21600,21600" ns5:spt="75" ns5:preferrelative="t" path="m@4@5l@4@11@9@11@9@5xe" filled="f" stroked="f">
            <ns4:stroke joinstyle="miter"/>
            <ns4:formulas>
              <ns4:f eqn="if lineDrawn pixelLineWidth 0"/>
              <ns4:f eqn="sum @0 1 0"/>
              <ns4:f eqn="sum 0 0 @1"/>
              <ns4:f eqn="prod @2 1 2"/>
              <ns4:f eqn="prod @3 21600 pixelWidth"/>
              <ns4:f eqn="prod @3 21600 pixelHeight"/>
              <ns4:f eqn="sum @0 0 1"/>
              <ns4:f eqn="prod @6 1 2"/>
              <ns4:f eqn="prod @7 21600 pixelWidth"/>
              <ns4:f eqn="sum @8 21600 0"/>
              <ns4:f eqn="prod @7 21600 pixelHeight"/>
              <ns4:f eqn="sum @10 21600 0"/>
            </ns4:formulas>
            <ns4:path ns5:extrusionok="f" gradientshapeok="t" ns5:connecttype="rect"/>
            <ns5:lock ns4:ext="edit" aspectratio="t"/>
          </ns4:shapetype>
          <ns4:shape id="_x0000_i1062" type="#_x0000_t75" style="width:255.55pt;height:168.55pt" ns5:ole="">
            <ns4:imagedata ns3:id="rId9" ns5:title=""/>
          </ns4:shape>
          <ns5:OLEObject Type="Embed" ProgID="Visio.Drawing.15" ShapeID="_x0000_i1062" DrawAspect="Content" ObjectID="_1841123132" ns3:id="rId10"/>
        </w:object>
      </w:r>
    </w:p>
    <w:p ns2:paraId="2AE84452" ns2:textId="77777777" w:rsidR="00551D25" w:rsidRDefault="00000000">
      <w:pPr>
        <w:pStyle w:val="figurecaption"/>
      </w:pPr>
      <w:r>
        <w:t xml:space="preserve">Comparison of 24-hour DR response interval envelopes at node 30 for the three typical days under the proposed, unconstrained, fixed-parameter, and probabilistic formulations; the right inset compares peak-hour interval widths across the four methods.</w:t>
      </w:r>
    </w:p>
    <w:p ns2:paraId="2B91C2A6" ns2:textId="1B753028" w:rsidR="00551D25" w:rsidRDefault="00000000">
      <w:pPr>
        <w:pStyle w:val="2"/>
      </w:pPr>
      <w:r>
        <w:t>Sensitivity Analysis</w:t>
      </w:r>
    </w:p>
    <w:p ns2:paraId="11E53160" ns2:textId="36D85A57" w:rsidR="00551D25" w:rsidRDefault="00000000">
      <w:pPr>
        <w:pStyle w:val="a3"/>
      </w:pPr>
      <w:r>
        <w:t>The interval width at the summer peak hour is taken as the baseline (0.197 MW). The participation bounds and the tariff fluctuation coefficient at the peak hour are then varied one at a time around this baseline; the results are summarised in Table IV. The two design dials produce responses of different magnitudes: narrowing the participation interval from [0.40, 0.70] to [0.50, 0.60] contracts the band by 5 percent, while widening it to [0.30, 0.80] expands the band by 12 percent. Reducing the peak tariff fluctuation coefficient from 0.25 to 0.15 contracts the band by 41 percent; raising it to 0.35 expands it by 57 percent. The response is close to linear in both drivers within these ranges, which is consistent with the bilinear structure of the underlying elasticity formulation, while the tariff coefficient acts as the more powerful lever because it scales the per-unit price deviation directly.</w:t>
      </w:r>
    </w:p>
    <w:p ns2:paraId="20A3E5E7" ns2:textId="222DF52C" w:rsidR="00551D25" w:rsidRDefault="00000000">
      <w:pPr>
        <w:pStyle w:val="tablehead"/>
      </w:pPr>
      <w:r>
        <w:t>Sensitivity of Peak-Hour Interval Width to Design Drivers</w:t>
      </w:r>
    </w:p>
    <w:tbl>
      <w:tblPr>
        <w:tblW w:w="5000" w:type="pct"/>
        <w:jc w:val="center"/>
        <w:tblLook w:val="04A0" w:firstRow="1" w:lastRow="0" w:firstColumn="1" w:lastColumn="0" w:noHBand="0" w:noVBand="1"/>
      </w:tblPr>
      <w:tblGrid>
        <w:gridCol w:w="3127"/>
        <w:gridCol w:w="1179"/>
        <w:gridCol w:w="717"/>
      </w:tblGrid>
      <w:tr w:rsidR="00551D25" ns2:paraId="2036BBDF" ns2:textId="77777777" w:rsidTr="00C31465">
        <w:trPr>
          <w:jc w:val="center"/>
        </w:trPr>
        <w:tc>
          <w:tcPr>
            <w:tcW w:w="30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4AB780F8" ns2:textId="77777777" w:rsidR="00551D25" w:rsidRDefault="00000000">
            <w:pPr>
              <w:pStyle w:val="tablecolhead"/>
            </w:pPr>
            <w:r>
              <w:t>Variation</w:t>
            </w:r>
          </w:p>
        </w:tc>
        <w:tc>
          <w:tcPr>
            <w:tcW w:w="11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7CDB90D1" ns2:textId="77777777" w:rsidR="00551D25" w:rsidRDefault="00000000">
            <w:pPr>
              <w:pStyle w:val="tablecolhead"/>
            </w:pPr>
            <w:r>
              <w:t>Width (MW)</w:t>
            </w:r>
          </w:p>
        </w:tc>
        <w:tc>
          <w:tcPr>
            <w:tcW w:w="7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0E4FA341" ns2:textId="77777777" w:rsidR="00551D25" w:rsidRDefault="00000000">
            <w:pPr>
              <w:pStyle w:val="tablecolhead"/>
            </w:pPr>
            <w:r>
              <w:t>Change</w:t>
            </w:r>
          </w:p>
        </w:tc>
      </w:tr>
      <w:tr w:rsidR="00551D25" ns2:paraId="76D5C3C2" ns2:textId="77777777" w:rsidTr="00C31465">
        <w:trPr>
          <w:jc w:val="center"/>
        </w:trPr>
        <w:tc>
          <w:tcPr>
            <w:tcW w:w="30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6ED229E2" ns2:textId="77777777" w:rsidR="00551D25" w:rsidRDefault="00000000">
            <w:pPr>
              <w:pStyle w:val="tablecopy"/>
              <w:jc w:val="left"/>
            </w:pPr>
            <w:r>
              <w:t>Baseline (tau in [0.40, 0.70], eta = 0.25)</w:t>
            </w:r>
          </w:p>
        </w:tc>
        <w:tc>
          <w:tcPr>
            <w:tcW w:w="11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0F9DB512" ns2:textId="77777777" w:rsidR="00551D25" w:rsidRDefault="00000000">
            <w:pPr>
              <w:pStyle w:val="tablecopy"/>
              <w:jc w:val="center"/>
            </w:pPr>
            <w:r>
              <w:t>0.197</w:t>
            </w:r>
          </w:p>
        </w:tc>
        <w:tc>
          <w:tcPr>
            <w:tcW w:w="7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303831A8" ns2:textId="77777777" w:rsidR="00551D25" w:rsidRDefault="00000000">
            <w:pPr>
              <w:pStyle w:val="tablecopy"/>
              <w:jc w:val="center"/>
            </w:pPr>
            <w:r>
              <w:t>--</w:t>
            </w:r>
          </w:p>
        </w:tc>
      </w:tr>
      <w:tr w:rsidR="00551D25" ns2:paraId="5DB6A151" ns2:textId="77777777" w:rsidTr="00C31465">
        <w:trPr>
          <w:jc w:val="center"/>
        </w:trPr>
        <w:tc>
          <w:tcPr>
            <w:tcW w:w="30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01C3DF7E" ns2:textId="77777777" w:rsidR="00551D25" w:rsidRDefault="00000000">
            <w:pPr>
              <w:pStyle w:val="tablecopy"/>
              <w:jc w:val="left"/>
            </w:pPr>
            <w:r>
              <w:t>tau in [0.50, 0.60] (narrower)</w:t>
            </w:r>
          </w:p>
        </w:tc>
        <w:tc>
          <w:tcPr>
            <w:tcW w:w="11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52619B8C" ns2:textId="77777777" w:rsidR="00551D25" w:rsidRDefault="00000000">
            <w:pPr>
              <w:pStyle w:val="tablecopy"/>
              <w:jc w:val="center"/>
            </w:pPr>
            <w:r>
              <w:t>0.187</w:t>
            </w:r>
          </w:p>
        </w:tc>
        <w:tc>
          <w:tcPr>
            <w:tcW w:w="7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05991B3D" ns2:textId="77777777" w:rsidR="00551D25" w:rsidRDefault="00000000">
            <w:pPr>
              <w:pStyle w:val="tablecopy"/>
              <w:jc w:val="center"/>
            </w:pPr>
            <w:r>
              <w:t>-5%</w:t>
            </w:r>
          </w:p>
        </w:tc>
      </w:tr>
      <w:tr w:rsidR="00551D25" ns2:paraId="36C23393" ns2:textId="77777777" w:rsidTr="00C31465">
        <w:trPr>
          <w:jc w:val="center"/>
        </w:trPr>
        <w:tc>
          <w:tcPr>
            <w:tcW w:w="30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42577612" ns2:textId="77777777" w:rsidR="00551D25" w:rsidRDefault="00000000">
            <w:pPr>
              <w:pStyle w:val="tablecopy"/>
              <w:jc w:val="left"/>
            </w:pPr>
            <w:r>
              <w:t>tau in [0.30, 0.80] (wider)</w:t>
            </w:r>
          </w:p>
        </w:tc>
        <w:tc>
          <w:tcPr>
            <w:tcW w:w="11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30595B9E" ns2:textId="77777777" w:rsidR="00551D25" w:rsidRDefault="00000000">
            <w:pPr>
              <w:pStyle w:val="tablecopy"/>
              <w:jc w:val="center"/>
            </w:pPr>
            <w:r>
              <w:t>0.220</w:t>
            </w:r>
          </w:p>
        </w:tc>
        <w:tc>
          <w:tcPr>
            <w:tcW w:w="7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6F1C9663" ns2:textId="77777777" w:rsidR="00551D25" w:rsidRDefault="00000000">
            <w:pPr>
              <w:pStyle w:val="tablecopy"/>
              <w:jc w:val="center"/>
            </w:pPr>
            <w:r>
              <w:t>+12%</w:t>
            </w:r>
          </w:p>
        </w:tc>
      </w:tr>
      <w:tr w:rsidR="00551D25" ns2:paraId="646A5D4A" ns2:textId="77777777" w:rsidTr="00C31465">
        <w:trPr>
          <w:jc w:val="center"/>
        </w:trPr>
        <w:tc>
          <w:tcPr>
            <w:tcW w:w="30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53415F8D" ns2:textId="77777777" w:rsidR="00551D25" w:rsidRDefault="00000000">
            <w:pPr>
              <w:pStyle w:val="tablecopy"/>
              <w:jc w:val="left"/>
            </w:pPr>
            <w:r>
              <w:t>eta = 0.15 (peak)</w:t>
            </w:r>
          </w:p>
        </w:tc>
        <w:tc>
          <w:tcPr>
            <w:tcW w:w="11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0DFB7333" ns2:textId="77777777" w:rsidR="00551D25" w:rsidRDefault="00000000">
            <w:pPr>
              <w:pStyle w:val="tablecopy"/>
              <w:jc w:val="center"/>
            </w:pPr>
            <w:r>
              <w:t>0.116</w:t>
            </w:r>
          </w:p>
        </w:tc>
        <w:tc>
          <w:tcPr>
            <w:tcW w:w="7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027F303E" ns2:textId="77777777" w:rsidR="00551D25" w:rsidRDefault="00000000">
            <w:pPr>
              <w:pStyle w:val="tablecopy"/>
              <w:jc w:val="center"/>
            </w:pPr>
            <w:r>
              <w:t>-41%</w:t>
            </w:r>
          </w:p>
        </w:tc>
      </w:tr>
      <w:tr w:rsidR="00551D25" ns2:paraId="25CF7DD9" ns2:textId="77777777" w:rsidTr="00C31465">
        <w:trPr>
          <w:jc w:val="center"/>
        </w:trPr>
        <w:tc>
          <w:tcPr>
            <w:tcW w:w="30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5F89C483" ns2:textId="77777777" w:rsidR="00551D25" w:rsidRDefault="00000000">
            <w:pPr>
              <w:pStyle w:val="tablecopy"/>
              <w:jc w:val="left"/>
            </w:pPr>
            <w:r>
              <w:t>eta = 0.35 (peak)</w:t>
            </w:r>
          </w:p>
        </w:tc>
        <w:tc>
          <w:tcPr>
            <w:tcW w:w="11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4344C442" ns2:textId="77777777" w:rsidR="00551D25" w:rsidRDefault="00000000">
            <w:pPr>
              <w:pStyle w:val="tablecopy"/>
              <w:jc w:val="center"/>
            </w:pPr>
            <w:r>
              <w:t>0.310</w:t>
            </w:r>
          </w:p>
        </w:tc>
        <w:tc>
          <w:tcPr>
            <w:tcW w:w="7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ns2:paraId="4029FCAE" ns2:textId="77777777" w:rsidR="00551D25" w:rsidRDefault="00000000">
            <w:pPr>
              <w:pStyle w:val="tablecopy"/>
              <w:jc w:val="center"/>
            </w:pPr>
            <w:r>
              <w:t>+57%</w:t>
            </w:r>
          </w:p>
        </w:tc>
      </w:tr>
    </w:tbl>
    <w:p ns2:paraId="241BB11F" ns2:textId="77777777" w:rsidR="00551D25" w:rsidRDefault="00551D25">
      <w:pPr>
        <w:pStyle w:val="a3"/>
      </w:pPr>
    </w:p>
    <w:p ns2:paraId="5566AA15" ns2:textId="77777777" w:rsidR="00551D25" w:rsidRDefault="00000000">
      <w:pPr>
        <w:pStyle w:val="a3"/>
      </w:pPr>
      <w:r>
        <w:t xml:space="preserve">The participation rate and the tariff coefficient therefore act as complementary but unequal design dials. From a system operator's perspective, narrowing the participation interval by improving forecast quality contracts the response band by only about a third as much as narrowing the tariff fluctuation coefficient by the same proportion through tighter day-ahead price discovery. Reporting the two sensitivities side by side helps quantify which lever is cheaper to actuate in a given </w:t>
      </w:r>
      <w:r>
        <w:lastRenderedPageBreak/>
        <w:t>regulatory environment, and the ratio suggests that, when both levers are accessible, tightening the tariff band offers the larger marginal reduction per unit of administrative cost.</w:t>
      </w:r>
    </w:p>
    <w:p ns2:paraId="68BB4C0D" ns2:textId="66AF5DBC" w:rsidR="00551D25" w:rsidRDefault="00000000">
      <w:pPr>
        <w:pStyle w:val="2"/>
      </w:pPr>
      <w:r>
        <w:t>Comparison Against a Probabilistic Baseline</w:t>
      </w:r>
    </w:p>
    <w:p ns2:paraId="74617466" ns2:textId="77044A74" w:rsidR="00551D25" w:rsidRDefault="00000000">
      <w:pPr>
        <w:pStyle w:val="a3"/>
      </w:pPr>
      <w:r>
        <w:t>To position the proposed interval against the probabilistic family, an additional baseline is constructed in which the participation rate is modelled as a Beta random variable with support [tau_min, tau_max] and mode at the midpoint of the interval, and the real-time tariff as a truncated Gaussian centred at the reference price with three-sigma equal to eta(t) times the reference. Ten thousand Monte Carlo draws are taken, the per-hour response is computed for each draw, and the empirical 5th and 95th percentiles are used as the lower and upper envelopes. This 90 percent confidence band is then compared with the proposed interval at the summer peak hour.</w:t>
      </w:r>
    </w:p>
    <w:p ns2:paraId="59BB6503" ns2:textId="77777777" w:rsidR="00551D25" w:rsidRDefault="00000000">
      <w:pPr>
        <w:pStyle w:val="a3"/>
      </w:pPr>
      <w:r>
        <w:t>The probabilistic baseline yields an envelope of 0.063 MW, which sits between the proposed interval (0.197 MW) and the fixed-parameter baseline (0.027 MW). The contrast is informative. The probabilistic baseline produces a tighter envelope because the percentile cut-off discards the tails by construction, even though those tails correspond to physically admissible responses under the chosen distributions. The proposed interval retains the tails as long as they pass the magnitude and energy conservation filters, and is therefore more conservative by design. Whether this conservatism is desirable depends on the downstream use case: robust scheduling and worst-case studies favour the proposed interval, while expected-value studies and stochastic optimisation are better served by the probabilistic baseline.</w:t>
      </w:r>
    </w:p>
    <w:p ns2:paraId="051F1CF4" ns2:textId="45633245" w:rsidR="00551D25" w:rsidRDefault="00000000">
      <w:pPr>
        <w:pStyle w:val="a3"/>
      </w:pPr>
      <w:r>
        <w:t>A second observation concerns assumption load. The probabilistic baseline requires two distributional commitments (the shape of the Beta and the truncation level of the Gaussian) that are not implied by the data. The proposed interval requires only the bounds and the two filter parameters. When historical observations of participation behaviour are scarce -- which is typical for residential DR programmes in their first operating years -- the lighter assumption load is a practical advantage.</w:t>
      </w:r>
    </w:p>
    <w:p ns2:paraId="15A66F98" ns2:textId="77777777" w:rsidR="00551D25" w:rsidRDefault="00000000">
      <w:pPr>
        <w:pStyle w:val="2"/>
      </w:pPr>
      <w:r>
        <w:t>Sampling Convergence and Rejection Behaviour</w:t>
      </w:r>
    </w:p>
    <w:p ns2:paraId="2D13E17A" ns2:textId="77777777" w:rsidR="00551D25" w:rsidRDefault="00000000">
      <w:pPr>
        <w:pStyle w:val="a3"/>
      </w:pPr>
      <w:r>
        <w:t>The envelope is decided by extreme samples and is therefore more sensitive to sample size than mean-statistics estimators. To assess convergence, the sample size N is increased geometrically from 50 to 5000 with the summer typical-day parameters, and the resulting interval width at the peak hour is recorded across eight random seeds. The width settles to within 11 percent of its N = 5000 reference value once N reaches 2000, and to within 20 percent once N reaches 500. The N = 2000 setting used elsewhere in this case study is therefore a reasonable compromise between fidelity and runtime.</w:t>
      </w:r>
    </w:p>
    <w:p ns2:paraId="6EBDD531" ns2:textId="5F3C93B7" w:rsidR="00551D25" w:rsidRDefault="00000000">
      <w:pPr>
        <w:pStyle w:val="a3"/>
      </w:pPr>
      <w:r>
        <w:t xml:space="preserve">The rejection rate of the energy conservation filter is also informative. Across the three typical-day scenarios, the rate stays in a moderate band: it is 62 percent for the summer scenario, 46 percent for winter, and near zero for the shoulder season. The rate would rise sharply if the participation or tariff bounds were widened beyond their physically plausible ranges, providing a useful diagnostic: a rejection rate above roughly one quarter of the samples in a low-eta scenario is a signal that the </w:t>
      </w:r>
      <w:r>
        <w:t>chosen bounds are inconsistent with the base load profile and should be revisited.</w:t>
      </w:r>
    </w:p>
    <w:p ns2:paraId="03A8AAC5" ns2:textId="0FF552C8" w:rsidR="00551D25" w:rsidRDefault="00F202AE" w:rsidP="00F202AE">
      <w:pPr>
        <w:pStyle w:val="a3"/>
        <w:ind w:firstLine="0"/>
        <w:jc w:val="center"/>
      </w:pPr>
      <w:r>
        <w:rPr>
          <w:rFonts w:hint="eastAsia"/>
        </w:rPr>
        <w:object w:dxaOrig="9375" w:dyaOrig="6811" ns2:anchorId="70ABD367">
          <ns4:shape id="_x0000_i1026" type="#_x0000_t75" style="width:250pt;height:180pt" ns5:ole="">
            <ns4:imagedata ns3:id="rId11" ns5:title=""/>
          </ns4:shape>
          <ns5:OLEObject Type="Embed" ProgID="Visio.Drawing.15" ShapeID="_x0000_i1026" DrawAspect="Content" ObjectID="_1841123133" ns3:id="rId12"/>
        </w:object>
      </w:r>
    </w:p>
    <w:p ns2:paraId="78AC05AE" ns2:textId="77777777" w:rsidR="00551D25" w:rsidRDefault="00000000">
      <w:pPr>
        <w:pStyle w:val="figurecaption"/>
      </w:pPr>
      <w:r>
        <w:t>Sample-size convergence of the peak-hour DR response interval width for the Summer typical day: mean across eight random seeds (solid line), inter-quartile spread (dark band), and full min-max envelope (light band), as a function of the Latin Hypercube sample size N.</w:t>
      </w:r>
    </w:p>
    <w:p ns2:paraId="208271E2" ns2:textId="77777777" w:rsidR="00551D25" w:rsidRDefault="00000000">
      <w:pPr>
        <w:pStyle w:val="2"/>
      </w:pPr>
      <w:r>
        <w:t>Design-Dial Surface as a Lookup Chart</w:t>
      </w:r>
    </w:p>
    <w:p ns2:paraId="4757A1B9" ns2:textId="77777777" w:rsidR="00551D25" w:rsidRDefault="00000000">
      <w:pPr>
        <w:pStyle w:val="a3"/>
      </w:pPr>
      <w:r>
        <w:t>Section IV-B examined the two design dials -- participation interval and tariff fluctuation coefficient -- one at a time. To turn those findings into an operational tool, the peak-hour interval width is now plotted as a two-dimensional surface in (participation-interval width, peak-period tariff fluctuation) space. For each grid point the proposed method is rerun with the Summer-typical-day base load and tariff structure, and the resulting peak-hour interval width is recorded. The surface therefore represents what an operator would observe if both bounds were dialled jointly, including any coupling that the one-at-a-time view cannot capture.</w:t>
      </w:r>
    </w:p>
    <w:p ns2:paraId="07E42002" ns2:textId="77777777" w:rsidR="00551D25" w:rsidRDefault="00000000">
      <w:pPr>
        <w:pStyle w:val="a3"/>
      </w:pPr>
      <w:r>
        <w:t>Fig. 4 shows the resulting heat map together with five iso-width contour curves at 100, 150, 200, 250, and 300 kW. Two observations stand out. First, the contours are almost horizontal at low values of eta and bend upward at high values, which provides a graphical confirmation of the sensitivity ranking in Table IV: the tariff fluctuation coefficient is the dominant driver, and the participation rate becomes a relevant lever only after eta is already large. Second, the three labelled circles show where the Summer, Winter, and Shoulder operating points sit on the surface; their vertical separation is much larger than their horizontal separation, again reflecting the eta-dominated structure. The surface is therefore usable as a design lookup chart: for any target interval width, the corresponding contour traces the locus of (tau-width, eta) pairs that achieve it, and the operator can pick the pair that is cheapest to actuate in the local regulatory environment.</w:t>
      </w:r>
    </w:p>
    <w:p ns2:paraId="55ACB27C" ns2:textId="6B01B5C6" w:rsidR="00551D25" w:rsidRDefault="001D0D6D" w:rsidP="001D0D6D">
      <w:pPr>
        <w:pStyle w:val="a3"/>
        <w:ind w:firstLine="0"/>
      </w:pPr>
      <w:r>
        <w:rPr>
          <w:rFonts w:hint="eastAsia"/>
        </w:rPr>
        <w:object w:dxaOrig="13935" w:dyaOrig="8550" ns2:anchorId="7EDA0D8A">
          <ns4:shape id="_x0000_i1027" type="#_x0000_t75" style="width:249.65pt;height:153.1pt" ns5:ole="">
            <ns4:imagedata ns3:id="rId13" ns5:title=""/>
          </ns4:shape>
          <ns5:OLEObject Type="Embed" ProgID="Visio.Drawing.15" ShapeID="_x0000_i1027" DrawAspect="Content" ObjectID="_1841123134" ns3:id="rId14"/>
        </w:object>
      </w:r>
    </w:p>
    <w:p ns2:paraId="5D481D01" ns2:textId="77777777" w:rsidR="00551D25" w:rsidRDefault="00000000">
      <w:pPr>
        <w:pStyle w:val="figurecaption"/>
      </w:pPr>
      <w:r>
        <w:t>Peak-hour interval width (kW) at the Summer typical-day peak hour as a joint function of the participation-interval width and the peak-period tariff fluctuation coefficient eta; iso-width contours overlaid and the three typical-day operating points marked.</w:t>
      </w:r>
    </w:p>
    <w:p ns2:paraId="7A62D44D" ns2:textId="77777777" w:rsidR="00551D25" w:rsidRDefault="00000000">
      <w:pPr>
        <w:pStyle w:val="1"/>
      </w:pPr>
      <w:r>
        <w:t>Conclusion</w:t>
      </w:r>
    </w:p>
    <w:p ns2:paraId="3C7783FC" ns2:textId="77777777" w:rsidR="00551D25" w:rsidRDefault="00000000">
      <w:pPr>
        <w:pStyle w:val="a3"/>
      </w:pPr>
      <w:r>
        <w:t>This paper has presented a multi-driver interval model for price-based demand response in active distribution networks. By treating the user participation rate and the real-time tariff as joint interval inputs and by filtering the resulting candidate responses through a single-period magnitude limit and a whole-cycle energy conservation requirement, the model produces a response band that is physically consistent and scenario-aware. The typical-day partition exposes the band as a function of season-specific bounds rather than as a static year-long quantity, so that the band can be tuned by adjusting policy-side or market-side drivers independently. A case study on a modified IEEE 33-bus system shows that the proposed interval contracts the raw unconstrained band by roughly 15 percent while expanding the fixed-parameter band by a factor of about seven, preserves the seasonal ordering of the response amplitudes, and exhibits an approximately linear response to either of the two design dials within the studied ranges, with the tariff fluctuation coefficient acting as the dominant lever.</w:t>
      </w:r>
    </w:p>
    <w:p ns2:paraId="500F37AF" ns2:textId="77777777" w:rsidR="00551D25" w:rsidRDefault="00000000">
      <w:pPr>
        <w:pStyle w:val="a3"/>
      </w:pPr>
      <w:r>
        <w:t>Three directions are left for further work. First, the present participation and tariff bounds are quasi-static within each typical day; updating them in a rolling horizon to reflect real-time price clearing would extend the model to online operation. Second, in systems where DR coexists with other price-driven flexibility resources such as electric vehicles and thermal-electric loads, an explicit correlation structure between the response intervals would be needed. Third, integration with explicit tariff design or incentive mechanism studies would let the band itself become a market-design lever rather than a downstream descriptor.</w:t>
      </w:r>
    </w:p>
    <w:p ns2:paraId="72D805F2" ns2:textId="77777777" w:rsidR="00551D25" w:rsidRDefault="00000000">
      <w:pPr>
        <w:pStyle w:val="5"/>
      </w:pPr>
      <w:r>
        <w:t>References</w:t>
      </w:r>
    </w:p>
    <w:p ns2:paraId="6468F8CB" ns2:textId="77777777" w:rsidR="00551D25" w:rsidRDefault="00000000">
      <w:pPr>
        <w:pStyle w:val="references"/>
      </w:pPr>
      <w:r>
        <w:t>M. H. Albadi and E. F. El-Saadany, "A summary of demand response in electricity markets," Electric Power Systems Research, vol. 78, no. 11, pp. 1989–1996, 2008.</w:t>
      </w:r>
    </w:p>
    <w:p ns2:paraId="2A1D6288" ns2:textId="77777777" w:rsidR="00551D25" w:rsidRDefault="00000000">
      <w:pPr>
        <w:pStyle w:val="references"/>
      </w:pPr>
      <w:r>
        <w:t>P. Siano, "Demand response and smart grids—A survey," Renewable and Sustainable Energy Reviews, vol. 30, pp. 461–478, 2014.</w:t>
      </w:r>
    </w:p>
    <w:p ns2:paraId="4459CCA1" ns2:textId="77777777" w:rsidR="00551D25" w:rsidRDefault="00000000">
      <w:pPr>
        <w:pStyle w:val="references"/>
      </w:pPr>
      <w:r>
        <w:t>G. Kansal and R. Tiwari, "Elasticity modelling of price-based demand response programs considering customer's different behavioural patterns," Sustainable Energy, Grids and Networks, vol. 36, p. 101244, 2023.</w:t>
      </w:r>
    </w:p>
    <w:p ns2:paraId="440C126E" ns2:textId="77777777" w:rsidR="00551D25" w:rsidRDefault="00000000">
      <w:pPr>
        <w:pStyle w:val="references"/>
      </w:pPr>
      <w:r>
        <w:t>H. Aalami, M. Parsa Moghaddam, and G. R. Yousefi, "Demand response modeling considering interruptible/curtailable loads and capacity market programs," Applied Energy, vol. 87, no. 1, pp. 243–250, 2010.</w:t>
      </w:r>
    </w:p>
    <w:p ns2:paraId="1E2BECEA" ns2:textId="77777777" w:rsidR="00551D25" w:rsidRDefault="00000000">
      <w:pPr>
        <w:pStyle w:val="references"/>
      </w:pPr>
      <w:r>
        <w:t>M. Aien, M. Fotuhi-Firuzabad, and F. Aminifar, "Probabilistic load flow in correlated uncertain environment using unscented transformation," IEEE Trans. Power Systems, vol. 27, no. 4, pp. 2233–2241, 2012.</w:t>
      </w:r>
    </w:p>
    <w:p ns2:paraId="162C9684" ns2:textId="77777777" w:rsidR="00551D25" w:rsidRDefault="00000000">
      <w:pPr>
        <w:pStyle w:val="references"/>
      </w:pPr>
      <w:r>
        <w:t>R. Wu and S. Liu, "Robust optimization of active distribution networks considering source-side uncertainty and load-side demand response," Energies, vol. 18, no. 13, p. 3531, 2025.</w:t>
      </w:r>
    </w:p>
    <w:p ns2:paraId="479700B2" ns2:textId="4BAFF148" w:rsidR="00551D25" w:rsidRDefault="00000000">
      <w:pPr>
        <w:pStyle w:val="references"/>
      </w:pPr>
      <w:r>
        <w:t>C. Zhang, Q. Liu, B. Zhou et al., "A central limit theorem-based method for DC and AC power flow analysis under interval uncertainty of renewable power generation," IEEE Trans. Sustainable Energy, vol. 14, no. 1, pp. 563–575, 2023.</w:t>
      </w:r>
    </w:p>
    <w:p ns2:paraId="07029618" ns2:textId="77777777" w:rsidR="00551D25" w:rsidRDefault="00000000">
      <w:pPr>
        <w:pStyle w:val="references"/>
      </w:pPr>
      <w:r>
        <w:t>J. C. M. Mamani, F. Carrasco-Choque, E. F. Paredes-Calatayud et al., "Modeling uncertainty energy price based on interval optimization and energy management in the electrical grid," Operations Research Forum, vol. 5, no. 1, p. 4, 2024.</w:t>
      </w:r>
    </w:p>
    <w:p ns2:paraId="0944B9A4" ns2:textId="77777777" w:rsidR="00551D25" w:rsidRDefault="00000000">
      <w:pPr>
        <w:pStyle w:val="references"/>
      </w:pPr>
      <w:r>
        <w:t>J. Li, P. Dong, M. Liu, S. Ke, C. Wang, M. Ma, and S. Huang, "Two-stage robust optimal scheduling with price-based demand response," Electric Power Systems Research, vol. 232, p. 110326, 2024.</w:t>
      </w:r>
    </w:p>
    <w:p ns2:paraId="2C926E6B" ns2:textId="77777777" w:rsidR="00551D25" w:rsidRDefault="00000000">
      <w:pPr>
        <w:pStyle w:val="references"/>
      </w:pPr>
      <w:r>
        <w:t>J. Datta, "Energy management of multi-microgrids with renewables and electric vehicles considering price-elasticity based demand response: a bi-level hybrid optimization approach," Sustainable Cities and Society, vol. 99, p. 104908, 2023.</w:t>
      </w:r>
    </w:p>
    <w:p ns2:paraId="08A2CE4C" ns2:textId="77777777" w:rsidR="00551D25" w:rsidRDefault="00000000">
      <w:pPr>
        <w:pStyle w:val="references"/>
      </w:pPr>
      <w:r>
        <w:t>T. Tan, M. Yang, R. Xie, Y. Cao, and Y. Chen, "Adjustable robust optimization with decision-dependent uncertainty for power system problems: A review," Energy Conversion and Economics, 2025, doi: 10.1049/enc2.70010.</w:t>
      </w:r>
    </w:p>
    <w:p ns2:paraId="68D101C3" ns2:textId="77777777" w:rsidR="00551D25" w:rsidRDefault="00000000">
      <w:pPr>
        <w:pStyle w:val="references"/>
      </w:pPr>
      <w:r>
        <w:t>S. A. Mansouri, E. Nematbakhsh, A. Rezaee Jordehi, M. Marzband, M. Tostado-Véliz, and F. Jurado, "An interval-based nested optimization framework for deriving flexibility from smart buildings and electric vehicle fleets in the TSO-DSO coordination," Applied Energy, vol. 341, p. 121062, 2023.</w:t>
      </w:r>
    </w:p>
    <w:p ns2:paraId="353D92F9" ns2:textId="77777777" w:rsidR="00551D25" w:rsidRDefault="00000000">
      <w:pPr>
        <w:pStyle w:val="references"/>
      </w:pPr>
      <w:r>
        <w:t>T. Soares, F. Fernandes, H. Morais, and Z. Vale, "Demand response in active distribution networks: A literature review of methods, modelling and applications," IET Renewable Power Generation, vol. 14, no. 16, pp. 3140–3156, 2020.</w:t>
      </w:r>
    </w:p>
    <w:p ns2:paraId="163C1AF9" ns2:textId="77777777" w:rsidR="00551D25" w:rsidRDefault="00000000">
      <w:pPr>
        <w:pStyle w:val="references"/>
      </w:pPr>
      <w:r>
        <w:t>M. D. McKay, R. J. Beckman, and W. J. Conover, "A comparison of three methods for selecting values of input variables in the analysis of output from a computer code," Technometrics, vol. 21, no. 2, pp. 239–245, 1979.</w:t>
      </w:r>
    </w:p>
    <w:p ns2:paraId="2571E981" ns2:textId="2B9CBACE" w:rsidR="00551D25" w:rsidRDefault="00000000" w:rsidP="009C7EB5">
      <w:pPr>
        <w:pStyle w:val="references"/>
        <w:sectPr w:rsidR="00551D25" w:rsidSect="00C919A4">
          <w:type w:val="continuous"/>
          <w:pgSz w:w="12240" w:h="15840" w:code="1"/>
          <w:pgMar w:top="1080" w:right="907" w:bottom="1440" w:left="907" w:header="720" w:footer="720" w:gutter="0"/>
          <w:cols w:num="2" w:space="360"/>
          <w:docGrid w:linePitch="360"/>
        </w:sectPr>
      </w:pPr>
      <w:r>
        <w:t>D. Bertsimas and M. Sim, "The price of robustness," Operations Research, vol. 52, no. 1, pp. 35–53, 2004</w:t>
      </w:r>
    </w:p>
    <w:p ns2:paraId="6B45D104" ns2:textId="4254004F" w:rsidR="009C7EB5" w:rsidRPr="009C7EB5" w:rsidRDefault="009C7EB5" w:rsidP="009C7EB5">
      <w:pPr>
        <w:tabs>
          <w:tab w:val="left" w:pos="253"/>
          <w:tab w:val="center" w:pos="4153"/>
        </w:tabs>
        <w:jc w:val="left"/>
        <w:rPr>
          <w:lang w:eastAsia="zh-CN"/>
        </w:rPr>
      </w:pPr>
    </w:p>
    <w:sectPr w:rsidR="009C7EB5" w:rsidRPr="009C7E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34B1" w14:textId="77777777" w:rsidR="00C331B4" w:rsidRDefault="00C331B4" w:rsidP="001A3B3D">
      <w:r>
        <w:separator/>
      </w:r>
    </w:p>
  </w:endnote>
  <w:endnote w:type="continuationSeparator" w:id="0">
    <w:p w14:paraId="36CB7DD6" w14:textId="77777777" w:rsidR="00C331B4" w:rsidRDefault="00C331B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BBEA"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62572" w14:textId="77777777" w:rsidR="00C331B4" w:rsidRDefault="00C331B4" w:rsidP="001A3B3D">
      <w:r>
        <w:separator/>
      </w:r>
    </w:p>
  </w:footnote>
  <w:footnote w:type="continuationSeparator" w:id="0">
    <w:p w14:paraId="3AEA5EF0" w14:textId="77777777" w:rsidR="00C331B4" w:rsidRDefault="00C331B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58797424">
    <w:abstractNumId w:val="14"/>
  </w:num>
  <w:num w:numId="2" w16cid:durableId="1318537140">
    <w:abstractNumId w:val="19"/>
  </w:num>
  <w:num w:numId="3" w16cid:durableId="1295940850">
    <w:abstractNumId w:val="13"/>
  </w:num>
  <w:num w:numId="4" w16cid:durableId="474303225">
    <w:abstractNumId w:val="16"/>
  </w:num>
  <w:num w:numId="5" w16cid:durableId="1965652517">
    <w:abstractNumId w:val="16"/>
  </w:num>
  <w:num w:numId="6" w16cid:durableId="134446794">
    <w:abstractNumId w:val="16"/>
  </w:num>
  <w:num w:numId="7" w16cid:durableId="1809084191">
    <w:abstractNumId w:val="16"/>
  </w:num>
  <w:num w:numId="8" w16cid:durableId="1538345962">
    <w:abstractNumId w:val="18"/>
  </w:num>
  <w:num w:numId="9" w16cid:durableId="1992977903">
    <w:abstractNumId w:val="20"/>
  </w:num>
  <w:num w:numId="10" w16cid:durableId="1404598131">
    <w:abstractNumId w:val="15"/>
  </w:num>
  <w:num w:numId="11" w16cid:durableId="493493668">
    <w:abstractNumId w:val="12"/>
  </w:num>
  <w:num w:numId="12" w16cid:durableId="1816483250">
    <w:abstractNumId w:val="11"/>
  </w:num>
  <w:num w:numId="13" w16cid:durableId="729622243">
    <w:abstractNumId w:val="0"/>
  </w:num>
  <w:num w:numId="14" w16cid:durableId="613054559">
    <w:abstractNumId w:val="10"/>
  </w:num>
  <w:num w:numId="15" w16cid:durableId="402947833">
    <w:abstractNumId w:val="8"/>
  </w:num>
  <w:num w:numId="16" w16cid:durableId="2071345409">
    <w:abstractNumId w:val="7"/>
  </w:num>
  <w:num w:numId="17" w16cid:durableId="2027516581">
    <w:abstractNumId w:val="6"/>
  </w:num>
  <w:num w:numId="18" w16cid:durableId="746654561">
    <w:abstractNumId w:val="5"/>
  </w:num>
  <w:num w:numId="19" w16cid:durableId="1120148513">
    <w:abstractNumId w:val="9"/>
  </w:num>
  <w:num w:numId="20" w16cid:durableId="1116948034">
    <w:abstractNumId w:val="4"/>
  </w:num>
  <w:num w:numId="21" w16cid:durableId="292175790">
    <w:abstractNumId w:val="3"/>
  </w:num>
  <w:num w:numId="22" w16cid:durableId="622419573">
    <w:abstractNumId w:val="2"/>
  </w:num>
  <w:num w:numId="23" w16cid:durableId="335572743">
    <w:abstractNumId w:val="1"/>
  </w:num>
  <w:num w:numId="24" w16cid:durableId="20980903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bordersDoNotSurroundHeader/>
  <w:bordersDoNotSurroundFooter/>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101C"/>
    <w:rsid w:val="0012503B"/>
    <w:rsid w:val="0015079E"/>
    <w:rsid w:val="0018056F"/>
    <w:rsid w:val="0018654A"/>
    <w:rsid w:val="001A2EFD"/>
    <w:rsid w:val="001A3B3D"/>
    <w:rsid w:val="001A42EA"/>
    <w:rsid w:val="001B67DC"/>
    <w:rsid w:val="001D0D6D"/>
    <w:rsid w:val="001D7BCF"/>
    <w:rsid w:val="002254A9"/>
    <w:rsid w:val="00233D97"/>
    <w:rsid w:val="0025717C"/>
    <w:rsid w:val="002850E3"/>
    <w:rsid w:val="00354FCF"/>
    <w:rsid w:val="003A19E2"/>
    <w:rsid w:val="003F4D7B"/>
    <w:rsid w:val="00421EC6"/>
    <w:rsid w:val="004325FB"/>
    <w:rsid w:val="004432BA"/>
    <w:rsid w:val="0044407E"/>
    <w:rsid w:val="004D72B5"/>
    <w:rsid w:val="00547E73"/>
    <w:rsid w:val="00551B7F"/>
    <w:rsid w:val="00551D25"/>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807B1"/>
    <w:rsid w:val="00794804"/>
    <w:rsid w:val="007B33F1"/>
    <w:rsid w:val="007C0308"/>
    <w:rsid w:val="007C2FF2"/>
    <w:rsid w:val="007D6232"/>
    <w:rsid w:val="007F1F99"/>
    <w:rsid w:val="007F768F"/>
    <w:rsid w:val="00803969"/>
    <w:rsid w:val="0080791D"/>
    <w:rsid w:val="00873603"/>
    <w:rsid w:val="008A2C7D"/>
    <w:rsid w:val="008C4B23"/>
    <w:rsid w:val="008D332F"/>
    <w:rsid w:val="008D4671"/>
    <w:rsid w:val="008F6E2C"/>
    <w:rsid w:val="009303D9"/>
    <w:rsid w:val="00933C64"/>
    <w:rsid w:val="00972203"/>
    <w:rsid w:val="009C7EB5"/>
    <w:rsid w:val="00A059B3"/>
    <w:rsid w:val="00A83751"/>
    <w:rsid w:val="00AA5D4D"/>
    <w:rsid w:val="00AC654C"/>
    <w:rsid w:val="00AE3409"/>
    <w:rsid w:val="00B11A60"/>
    <w:rsid w:val="00B1312B"/>
    <w:rsid w:val="00B22613"/>
    <w:rsid w:val="00B7329E"/>
    <w:rsid w:val="00BA1025"/>
    <w:rsid w:val="00BC3420"/>
    <w:rsid w:val="00BE7D3C"/>
    <w:rsid w:val="00BF5FF6"/>
    <w:rsid w:val="00C0207F"/>
    <w:rsid w:val="00C0672F"/>
    <w:rsid w:val="00C16117"/>
    <w:rsid w:val="00C3075A"/>
    <w:rsid w:val="00C31465"/>
    <w:rsid w:val="00C331B4"/>
    <w:rsid w:val="00C76FFC"/>
    <w:rsid w:val="00C919A4"/>
    <w:rsid w:val="00CA4392"/>
    <w:rsid w:val="00CC393F"/>
    <w:rsid w:val="00D0261B"/>
    <w:rsid w:val="00D13749"/>
    <w:rsid w:val="00D2176E"/>
    <w:rsid w:val="00D632BE"/>
    <w:rsid w:val="00D72D06"/>
    <w:rsid w:val="00D7522C"/>
    <w:rsid w:val="00D7536F"/>
    <w:rsid w:val="00D76668"/>
    <w:rsid w:val="00E1043C"/>
    <w:rsid w:val="00E61E12"/>
    <w:rsid w:val="00E7596C"/>
    <w:rsid w:val="00E878F2"/>
    <w:rsid w:val="00ED0149"/>
    <w:rsid w:val="00EF7DE3"/>
    <w:rsid w:val="00F03103"/>
    <w:rsid w:val="00F202AE"/>
    <w:rsid w:val="00F271DE"/>
    <w:rsid w:val="00F31699"/>
    <w:rsid w:val="00F627DA"/>
    <w:rsid w:val="00F7288F"/>
    <w:rsid w:val="00F847A6"/>
    <w:rsid w:val="00F9441B"/>
    <w:rsid w:val="00F96569"/>
    <w:rsid w:val="00FA4C32"/>
    <w:rsid w:val="00FD502E"/>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D74880"/>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link w:val="50"/>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页眉 字符"/>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页脚 字符"/>
    <w:basedOn w:val="a0"/>
    <w:link w:val="a7"/>
    <w:rsid w:val="001A3B3D"/>
  </w:style>
  <w:style w:type="character" w:customStyle="1" w:styleId="50">
    <w:name w:val="标题 5 字符"/>
    <w:basedOn w:val="a0"/>
    <w:link w:val="5"/>
    <w:rsid w:val="00AC654C"/>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1.vsdx"/><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package" Target="embeddings/Microsoft_Visio_Drawing2.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Pages>
  <Words>4854</Words>
  <Characters>26945</Characters>
  <Application>Microsoft Office Word</Application>
  <DocSecurity>0</DocSecurity>
  <Lines>690</Lines>
  <Paragraphs>223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wan well</cp:lastModifiedBy>
  <cp:revision>3</cp:revision>
  <dcterms:created xsi:type="dcterms:W3CDTF">2026-05-18T07:56:00Z</dcterms:created>
  <dcterms:modified xsi:type="dcterms:W3CDTF">2026-05-24T02:19:00Z</dcterms:modified>
</cp:coreProperties>
</file>