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華康少女" w:hAnsi="華康少女"/>
          <w:color w:val="FF0000"/>
          <w:sz w:val="24"/>
        </w:rPr>
        <w:t>××市 2026 年度智慧园区信息化建设项目</w:t>
      </w:r>
    </w:p>
    <w:p/>
    <w:p>
      <w:r>
        <w:rPr>
          <w:rFonts w:ascii="楷体" w:hAnsi="楷体"/>
          <w:color w:val="0000FF"/>
          <w:sz w:val="22"/>
        </w:rPr>
        <w:t>第一章 招标公告</w:t>
      </w:r>
    </w:p>
    <w:p>
      <w:pPr>
        <w:spacing w:after="0" w:line="240" w:lineRule="auto"/>
      </w:pPr>
      <w:r>
        <w:rPr>
          <w:rFonts w:ascii="Calibri" w:hAnsi="Calibri"/>
          <w:color w:val="333333"/>
          <w:sz w:val="18"/>
        </w:rPr>
        <w:t>本招标项目××市智慧园区信息化建设项目已由××市发展和改革委员会以×发改投〔2026〕18号文批准建设，资金来源为财政拨款与自筹资金，招标人为××市产业园区管理委员会。项目已具备招标条件，现对该项目的施工进行公开招标。</w:t>
      </w:r>
    </w:p>
    <w:p>
      <w:pPr>
        <w:spacing w:after="0" w:line="240" w:lineRule="auto"/>
      </w:pPr>
      <w:r>
        <w:rPr>
          <w:rFonts w:ascii="Calibri" w:hAnsi="Calibri"/>
          <w:color w:val="333333"/>
          <w:sz w:val="18"/>
        </w:rPr>
        <w:t>项目概况与招标范围：本项目总建筑面积约 98000 平方米，主要包括综合布线、安防监控、能耗管理、数据中心机房、园区运营管理平台等软硬件系统集成。计划工期 180 个日历天。招标范围包含深化设计、设备采购、安装调试、验收及质保服务。</w:t>
      </w:r>
    </w:p>
    <w:p>
      <w:r>
        <w:rPr>
          <w:rFonts w:ascii="Calibri" w:hAnsi="Calibri"/>
          <w:sz w:val="20"/>
        </w:rPr>
        <w:t>1.1 投标人资格要求</w:t>
      </w:r>
    </w:p>
    <w:p>
      <w:pPr>
        <w:spacing w:after="0" w:line="240" w:lineRule="auto"/>
      </w:pPr>
      <w:r>
        <w:rPr>
          <w:rFonts w:ascii="Calibri" w:hAnsi="Calibri"/>
          <w:color w:val="333333"/>
          <w:sz w:val="18"/>
        </w:rPr>
        <w:t>1.1.1 具有独立法人资格，具备电子与智能化工程专业承包二级及以上资质；</w:t>
      </w:r>
    </w:p>
    <w:p>
      <w:pPr>
        <w:spacing w:after="0" w:line="240" w:lineRule="auto"/>
      </w:pPr>
      <w:r>
        <w:rPr>
          <w:rFonts w:ascii="Calibri" w:hAnsi="Calibri"/>
          <w:color w:val="333333"/>
          <w:sz w:val="18"/>
        </w:rPr>
        <w:t>1.1.2 近三年（2023 年至今）承担过单个合同金额不低于 3000 万元的同类项目业绩不少于 2 项；</w:t>
      </w:r>
    </w:p>
    <w:p>
      <w:pPr>
        <w:spacing w:after="0" w:line="240" w:lineRule="auto"/>
      </w:pPr>
      <w:r>
        <w:rPr>
          <w:rFonts w:ascii="Calibri" w:hAnsi="Calibri"/>
          <w:color w:val="333333"/>
          <w:sz w:val="18"/>
        </w:rPr>
        <w:t>1.1.3 具有良好的商业信誉和健全的财务会计制度，未被列入失信被执行人名单。</w:t>
      </w:r>
    </w:p>
    <w:p>
      <w:r>
        <w:rPr>
          <w:rFonts w:ascii="仿宋" w:hAnsi="仿宋"/>
          <w:color w:val="800080"/>
          <w:sz w:val="22"/>
        </w:rPr>
        <w:t>第二章 评标办法</w:t>
      </w:r>
    </w:p>
    <w:p>
      <w:pPr>
        <w:spacing w:after="0" w:line="240" w:lineRule="auto"/>
      </w:pPr>
      <w:r>
        <w:rPr>
          <w:rFonts w:ascii="Calibri" w:hAnsi="Calibri"/>
          <w:color w:val="333333"/>
          <w:sz w:val="18"/>
        </w:rPr>
        <w:t>本次评标采用综合评估法，满分 100 分，其中技术分 50 分、商务分 20 分、价格分 30 分。</w:t>
      </w:r>
    </w:p>
    <w:p>
      <w:pPr>
        <w:spacing w:after="0" w:line="240" w:lineRule="auto"/>
      </w:pPr>
      <w:r>
        <w:rPr>
          <w:rFonts w:ascii="Calibri" w:hAnsi="Calibri"/>
          <w:color w:val="333333"/>
          <w:sz w:val="18"/>
        </w:rPr>
        <w:t>评标委员会依照评分细则逐项打分，去掉一个最高分和一个最低分后取平均值为最终得分。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评分项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分值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评分标准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技术方案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方案完整性、先进性、可实施性评价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项目团队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项目经理资质、团队人员配置与经历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实施计划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工期安排合理性、里程碑设置、风险应对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售后服务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响应时效、驻场安排、备品备件保障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投标报价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满足招标文件要求且最低价为基准价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企业业绩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同类项目数量与合同金额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体系认证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6"/>
              </w:rPr>
              <w:t>ISO9001 / ISO27001 / CMMI3 及以上</w:t>
            </w:r>
          </w:p>
        </w:tc>
      </w:tr>
    </w:tbl>
    <w:p>
      <w:r>
        <w:rPr>
          <w:rFonts w:ascii="Calibri" w:hAnsi="Calibri"/>
          <w:sz w:val="22"/>
        </w:rPr>
        <w:t>第三章 投标文件编制要求</w:t>
      </w:r>
    </w:p>
    <w:p>
      <w:pPr>
        <w:spacing w:after="0" w:line="240" w:lineRule="auto"/>
      </w:pPr>
      <w:r>
        <w:rPr>
          <w:rFonts w:ascii="Calibri" w:hAnsi="Calibri"/>
          <w:color w:val="333333"/>
          <w:sz w:val="18"/>
        </w:rPr>
        <w:t>投标文件应使用 A4 纸张双面打印，正本一份，副本四份，电子版一份（U 盘存储）。投标文件应编制目录及页码，装订成册并加盖骑缝章。</w:t>
      </w:r>
    </w:p>
    <w:p>
      <w:pPr>
        <w:spacing w:after="0" w:line="240" w:lineRule="auto"/>
      </w:pPr>
      <w:r>
        <w:rPr>
          <w:rFonts w:ascii="Calibri" w:hAnsi="Calibri"/>
          <w:color w:val="333333"/>
          <w:sz w:val="18"/>
        </w:rPr>
        <w:t>投标文件正本与副本必须一致，如出现不一致以正本为准。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