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91a82ee38c1e89a581d9e608247a6ebb7731409"/>
    <w:p>
      <w:pPr>
        <w:pStyle w:val="Heading1"/>
      </w:pPr>
      <w:r>
        <w:t xml:space="preserve">Prismax User Management System — Operations Guide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Operations, Support, and QA teams.</w:t>
      </w:r>
      <w:r>
        <w:t xml:space="preserve"> </w:t>
      </w:r>
      <w:r>
        <w:t xml:space="preserve">This document describes the system’s features and behaviors from an end-user and operational perspective. Internal implementation details are intentionally omitted.</w:t>
      </w:r>
    </w:p>
    <w:p>
      <w:pPr>
        <w:pStyle w:val="BlockText"/>
      </w:pPr>
      <w:r>
        <w:t xml:space="preserve">Last updated: 2026-05-15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d59970b3645e2c09493060e324c80d17a49bf6">
        <w:r>
          <w:rPr>
            <w:rStyle w:val="Hyperlink"/>
          </w:rPr>
          <w:t xml:space="preserve">User Identity &amp; Login</w:t>
        </w:r>
      </w:hyperlink>
    </w:p>
    <w:p>
      <w:pPr>
        <w:pStyle w:val="Compact"/>
        <w:numPr>
          <w:ilvl w:val="0"/>
          <w:numId w:val="1001"/>
        </w:numPr>
      </w:pPr>
      <w:hyperlink w:anchor="Xa1e872f00a84ea63a1b8e44cc2e83c8ce001bb0">
        <w:r>
          <w:rPr>
            <w:rStyle w:val="Hyperlink"/>
          </w:rPr>
          <w:t xml:space="preserve">Membership Tiers</w:t>
        </w:r>
      </w:hyperlink>
    </w:p>
    <w:p>
      <w:pPr>
        <w:pStyle w:val="Compact"/>
        <w:numPr>
          <w:ilvl w:val="0"/>
          <w:numId w:val="1001"/>
        </w:numPr>
      </w:pPr>
      <w:hyperlink w:anchor="X06c035d675b7d18d527e0c670077e76f8535679">
        <w:r>
          <w:rPr>
            <w:rStyle w:val="Hyperlink"/>
          </w:rPr>
          <w:t xml:space="preserve">User Roles</w:t>
        </w:r>
      </w:hyperlink>
    </w:p>
    <w:p>
      <w:pPr>
        <w:pStyle w:val="Compact"/>
        <w:numPr>
          <w:ilvl w:val="0"/>
          <w:numId w:val="1001"/>
        </w:numPr>
      </w:pPr>
      <w:hyperlink w:anchor="X3e546c0c4a2017943997fc21962344004f03de7">
        <w:r>
          <w:rPr>
            <w:rStyle w:val="Hyperlink"/>
          </w:rPr>
          <w:t xml:space="preserve">Account Linking (Email ↔ Wallet)</w:t>
        </w:r>
      </w:hyperlink>
    </w:p>
    <w:p>
      <w:pPr>
        <w:pStyle w:val="Compact"/>
        <w:numPr>
          <w:ilvl w:val="0"/>
          <w:numId w:val="1001"/>
        </w:numPr>
      </w:pPr>
      <w:hyperlink w:anchor="X1a7bfbc2534e73fd473ff13c06ef68b18c2ced6">
        <w:r>
          <w:rPr>
            <w:rStyle w:val="Hyperlink"/>
          </w:rPr>
          <w:t xml:space="preserve">User Profile Management</w:t>
        </w:r>
      </w:hyperlink>
    </w:p>
    <w:p>
      <w:pPr>
        <w:pStyle w:val="Compact"/>
        <w:numPr>
          <w:ilvl w:val="0"/>
          <w:numId w:val="1001"/>
        </w:numPr>
      </w:pPr>
      <w:hyperlink w:anchor="X4527ea7fd042dc8040216269a958a4df8c18da6">
        <w:r>
          <w:rPr>
            <w:rStyle w:val="Hyperlink"/>
          </w:rPr>
          <w:t xml:space="preserve">Third-Party Account Binding</w:t>
        </w:r>
      </w:hyperlink>
    </w:p>
    <w:p>
      <w:pPr>
        <w:pStyle w:val="Compact"/>
        <w:numPr>
          <w:ilvl w:val="0"/>
          <w:numId w:val="1001"/>
        </w:numPr>
      </w:pPr>
      <w:hyperlink w:anchor="Xe38f2de930e8c8afb04aaae6d5ed73cfe17b745">
        <w:r>
          <w:rPr>
            <w:rStyle w:val="Hyperlink"/>
          </w:rPr>
          <w:t xml:space="preserve">Payment &amp; Membership Upgrade</w:t>
        </w:r>
      </w:hyperlink>
    </w:p>
    <w:p>
      <w:pPr>
        <w:pStyle w:val="Compact"/>
        <w:numPr>
          <w:ilvl w:val="0"/>
          <w:numId w:val="1001"/>
        </w:numPr>
      </w:pPr>
      <w:hyperlink w:anchor="X5ad9dde02f4d7d1732eb74134cc5f0564ea8854">
        <w:r>
          <w:rPr>
            <w:rStyle w:val="Hyperlink"/>
          </w:rPr>
          <w:t xml:space="preserve">Points System</w:t>
        </w:r>
      </w:hyperlink>
    </w:p>
    <w:p>
      <w:pPr>
        <w:pStyle w:val="Compact"/>
        <w:numPr>
          <w:ilvl w:val="0"/>
          <w:numId w:val="1001"/>
        </w:numPr>
      </w:pPr>
      <w:hyperlink w:anchor="X83b5c8ff4035e9136f181a8721259ac48aef00d">
        <w:r>
          <w:rPr>
            <w:rStyle w:val="Hyperlink"/>
          </w:rPr>
          <w:t xml:space="preserve">TeleOp Robot Access</w:t>
        </w:r>
      </w:hyperlink>
    </w:p>
    <w:p>
      <w:pPr>
        <w:pStyle w:val="Compact"/>
        <w:numPr>
          <w:ilvl w:val="0"/>
          <w:numId w:val="1001"/>
        </w:numPr>
      </w:pPr>
      <w:hyperlink w:anchor="X26c34dc3daaa8eb93081a0eb033e06156dd382e">
        <w:r>
          <w:rPr>
            <w:rStyle w:val="Hyperlink"/>
          </w:rPr>
          <w:t xml:space="preserve">Robot Reservation</w:t>
        </w:r>
      </w:hyperlink>
    </w:p>
    <w:p>
      <w:pPr>
        <w:pStyle w:val="Compact"/>
        <w:numPr>
          <w:ilvl w:val="0"/>
          <w:numId w:val="1001"/>
        </w:numPr>
      </w:pPr>
      <w:hyperlink w:anchor="X157d8e55bd60a6d0efff7482f53e3245a940457">
        <w:r>
          <w:rPr>
            <w:rStyle w:val="Hyperlink"/>
          </w:rPr>
          <w:t xml:space="preserve">Operator System</w:t>
        </w:r>
      </w:hyperlink>
    </w:p>
    <w:p>
      <w:pPr>
        <w:pStyle w:val="Compact"/>
        <w:numPr>
          <w:ilvl w:val="0"/>
          <w:numId w:val="1001"/>
        </w:numPr>
      </w:pPr>
      <w:hyperlink w:anchor="Xf9f33035b93dd1b5377134fbfc6f0bfeda5194e">
        <w:r>
          <w:rPr>
            <w:rStyle w:val="Hyperlink"/>
          </w:rPr>
          <w:t xml:space="preserve">Referral Program — End-to-End Flow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Prismax User Management handles all aspects of identity, access, and membership for the Prismax platform. It sits at the center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you are</w:t>
      </w:r>
      <w:r>
        <w:t xml:space="preserve"> </w:t>
      </w:r>
      <w:r>
        <w:t xml:space="preserve">— login via email or blockchain wallet (Solana, Ethereum, Base, Monad, Aptos).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you can do</w:t>
      </w:r>
      <w:r>
        <w:t xml:space="preserve"> </w:t>
      </w:r>
      <w:r>
        <w:t xml:space="preserve">— determined by membership tier and functional role.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you earn</w:t>
      </w:r>
      <w:r>
        <w:t xml:space="preserve"> </w:t>
      </w:r>
      <w:r>
        <w:t xml:space="preserve">— a points system tied to engagement and membership.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production</w:t>
      </w:r>
      <w:r>
        <w:t xml:space="preserve"> </w:t>
      </w:r>
      <w:r>
        <w:t xml:space="preserve">— an Operator program allowing robot owners to upload training data.</w:t>
      </w:r>
    </w:p>
    <w:p>
      <w:r>
        <w:pict>
          <v:rect style="width:0;height:1.5pt" o:hralign="center" o:hrstd="t" o:hr="t"/>
        </w:pict>
      </w:r>
    </w:p>
    <w:bookmarkEnd w:id="10"/>
    <w:bookmarkStart w:id="15" w:name="user-identity-login"/>
    <w:p>
      <w:pPr>
        <w:pStyle w:val="Heading2"/>
      </w:pPr>
      <w:r>
        <w:t xml:space="preserve">2. User Identity &amp; Login</w:t>
      </w:r>
    </w:p>
    <w:bookmarkStart w:id="11" w:name="login-methods"/>
    <w:p>
      <w:pPr>
        <w:pStyle w:val="Heading3"/>
      </w:pPr>
      <w:r>
        <w:t xml:space="preserve">Login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(passwordless)</w:t>
            </w:r>
          </w:p>
        </w:tc>
        <w:tc>
          <w:tcPr/>
          <w:p>
            <w:pPr>
              <w:pStyle w:val="Compact"/>
            </w:pPr>
            <w:r>
              <w:t xml:space="preserve">User enters email → receives a 6-digit verification code (valid 10 min) → enters code to authenticate.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Apple OAuth</w:t>
            </w:r>
          </w:p>
        </w:tc>
        <w:tc>
          <w:tcPr/>
          <w:p>
            <w:pPr>
              <w:pStyle w:val="Compact"/>
            </w:pPr>
            <w:r>
              <w:t xml:space="preserve">Standard third-party OAuth redirect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Blockchain Wallet</w:t>
            </w:r>
          </w:p>
        </w:tc>
        <w:tc>
          <w:tcPr/>
          <w:p>
            <w:pPr>
              <w:pStyle w:val="Compact"/>
            </w:pPr>
            <w:r>
              <w:t xml:space="preserve">User connects a supported wallet. The system checks for an on-chain balance; if found, a user record is created automatically.</w:t>
            </w:r>
          </w:p>
        </w:tc>
      </w:tr>
    </w:tbl>
    <w:bookmarkEnd w:id="11"/>
    <w:bookmarkStart w:id="12" w:name="supported-wallet-chains"/>
    <w:p>
      <w:pPr>
        <w:pStyle w:val="Heading3"/>
      </w:pPr>
      <w:r>
        <w:t xml:space="preserve">Supported Wallet Chains</w:t>
      </w:r>
    </w:p>
    <w:p>
      <w:pPr>
        <w:pStyle w:val="FirstParagraph"/>
      </w:pPr>
      <w:r>
        <w:t xml:space="preserve">Solana · Ethereum · Base · Monad · Aptos</w:t>
      </w:r>
    </w:p>
    <w:bookmarkEnd w:id="12"/>
    <w:bookmarkStart w:id="13" w:name="session-token"/>
    <w:p>
      <w:pPr>
        <w:pStyle w:val="Heading3"/>
      </w:pPr>
      <w:r>
        <w:t xml:space="preserve">Session Token</w:t>
      </w:r>
    </w:p>
    <w:p>
      <w:pPr>
        <w:pStyle w:val="FirstParagraph"/>
      </w:pPr>
      <w:r>
        <w:t xml:space="preserve">After login, the server issues a long-lived</w:t>
      </w:r>
      <w:r>
        <w:t xml:space="preserve"> </w:t>
      </w:r>
      <w:r>
        <w:rPr>
          <w:rStyle w:val="VerbatimChar"/>
        </w:rPr>
        <w:t xml:space="preserve">hash_code</w:t>
      </w:r>
      <w:r>
        <w:t xml:space="preserve"> </w:t>
      </w:r>
      <w:r>
        <w:t xml:space="preserve">token. All subsequent authenticated requests carry this token via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 On logout, the server invalidates the token by rotating it.</w:t>
      </w:r>
    </w:p>
    <w:bookmarkEnd w:id="13"/>
    <w:bookmarkStart w:id="14" w:name="anti-bot-protections"/>
    <w:p>
      <w:pPr>
        <w:pStyle w:val="Heading3"/>
      </w:pPr>
      <w:r>
        <w:t xml:space="preserve">Anti-Bot Protections</w:t>
      </w:r>
    </w:p>
    <w:p>
      <w:pPr>
        <w:pStyle w:val="Compact"/>
        <w:numPr>
          <w:ilvl w:val="0"/>
          <w:numId w:val="1003"/>
        </w:numPr>
      </w:pPr>
      <w:r>
        <w:t xml:space="preserve">Email login requires passing</w:t>
      </w:r>
      <w:r>
        <w:t xml:space="preserve"> </w:t>
      </w:r>
      <w:r>
        <w:rPr>
          <w:b/>
          <w:bCs/>
        </w:rPr>
        <w:t xml:space="preserve">reCAPTCHA v3 and v2</w:t>
      </w:r>
      <w:r>
        <w:t xml:space="preserve"> </w:t>
      </w:r>
      <w:r>
        <w:t xml:space="preserve">checks.</w:t>
      </w:r>
    </w:p>
    <w:p>
      <w:pPr>
        <w:pStyle w:val="Compact"/>
        <w:numPr>
          <w:ilvl w:val="0"/>
          <w:numId w:val="1003"/>
        </w:numPr>
      </w:pPr>
      <w:r>
        <w:t xml:space="preserve">Emails from known bot-pattern addresses are silently dropped without sending a real email.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30-second cooldown</w:t>
      </w:r>
      <w:r>
        <w:t xml:space="preserve"> </w:t>
      </w:r>
      <w:r>
        <w:t xml:space="preserve">prevents rapid re-sending of verification codes to the same address.</w:t>
      </w:r>
    </w:p>
    <w:p>
      <w:pPr>
        <w:pStyle w:val="Compact"/>
        <w:numPr>
          <w:ilvl w:val="0"/>
          <w:numId w:val="1003"/>
        </w:numPr>
      </w:pPr>
      <w:r>
        <w:t xml:space="preserve">Login attempts with a low reCAPTCHA score are rejected outright.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embership-tiers"/>
    <w:p>
      <w:pPr>
        <w:pStyle w:val="Heading2"/>
      </w:pPr>
      <w:r>
        <w:t xml:space="preserve">3. Membership Tiers</w:t>
      </w:r>
    </w:p>
    <w:p>
      <w:pPr>
        <w:pStyle w:val="FirstParagraph"/>
      </w:pPr>
      <w:r>
        <w:t xml:space="preserve">All users have a</w:t>
      </w:r>
      <w:r>
        <w:t xml:space="preserve"> </w:t>
      </w:r>
      <w:r>
        <w:rPr>
          <w:rStyle w:val="VerbatimChar"/>
        </w:rPr>
        <w:t xml:space="preserve">user_class</w:t>
      </w:r>
      <w:r>
        <w:t xml:space="preserve"> </w:t>
      </w:r>
      <w:r>
        <w:t xml:space="preserve">that controls access to premium features and points multipliers.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Key Entitlements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Explorer Member</w:t>
            </w:r>
          </w:p>
        </w:tc>
        <w:tc>
          <w:tcPr/>
          <w:p>
            <w:pPr>
              <w:pStyle w:val="Compact"/>
            </w:pPr>
            <w:r>
              <w:t xml:space="preserve">Free (default)</w:t>
            </w:r>
          </w:p>
        </w:tc>
        <w:tc>
          <w:tcPr/>
          <w:p>
            <w:pPr>
              <w:pStyle w:val="Compact"/>
            </w:pPr>
            <w:r>
              <w:t xml:space="preserve">Basic platform access; TeleOp blocked; 10 pts/day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 Member</w:t>
            </w:r>
          </w:p>
        </w:tc>
        <w:tc>
          <w:tcPr/>
          <w:p>
            <w:pPr>
              <w:pStyle w:val="Compact"/>
            </w:pPr>
            <w:r>
              <w:t xml:space="preserve">$99 one-time</w:t>
            </w:r>
          </w:p>
        </w:tc>
        <w:tc>
          <w:tcPr/>
          <w:p>
            <w:pPr>
              <w:pStyle w:val="Compact"/>
            </w:pPr>
            <w:r>
              <w:t xml:space="preserve">Limited TeleOp access (see §10); 30 pts/day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Innovator Member</w:t>
            </w:r>
          </w:p>
        </w:tc>
        <w:tc>
          <w:tcPr/>
          <w:p>
            <w:pPr>
              <w:pStyle w:val="Compact"/>
            </w:pPr>
            <w:r>
              <w:t xml:space="preserve">$399 one-time</w:t>
            </w:r>
          </w:p>
        </w:tc>
        <w:tc>
          <w:tcPr/>
          <w:p>
            <w:pPr>
              <w:pStyle w:val="Compact"/>
            </w:pPr>
            <w:r>
              <w:t xml:space="preserve">Full TeleOp + Fast Track; robot reservations; 50 pts/day login</w:t>
            </w:r>
          </w:p>
        </w:tc>
      </w:tr>
    </w:tbl>
    <w:p>
      <w:pPr>
        <w:pStyle w:val="BodyText"/>
      </w:pPr>
      <w:r>
        <w:t xml:space="preserve">Upgrades follow a one-directional path:</w:t>
      </w:r>
      <w:r>
        <w:t xml:space="preserve"> </w:t>
      </w:r>
      <w:r>
        <w:rPr>
          <w:b/>
          <w:bCs/>
        </w:rPr>
        <w:t xml:space="preserve">Explorer → Amplifier → Innovator</w:t>
      </w:r>
      <w:r>
        <w:t xml:space="preserve">. There is no downgrade path. Buying a lower-tier product when already at a higher tier has no effect.</w:t>
      </w:r>
    </w:p>
    <w:p>
      <w:r>
        <w:pict>
          <v:rect style="width:0;height:1.5pt" o:hralign="center" o:hrstd="t" o:hr="t"/>
        </w:pict>
      </w:r>
    </w:p>
    <w:bookmarkEnd w:id="16"/>
    <w:bookmarkStart w:id="17" w:name="user-roles"/>
    <w:p>
      <w:pPr>
        <w:pStyle w:val="Heading2"/>
      </w:pPr>
      <w:r>
        <w:t xml:space="preserve">4. User Roles</w:t>
      </w:r>
    </w:p>
    <w:p>
      <w:pPr>
        <w:pStyle w:val="FirstParagraph"/>
      </w:pPr>
      <w:r>
        <w:t xml:space="preserve">In addition to membership tier, users may hold a</w:t>
      </w:r>
      <w:r>
        <w:t xml:space="preserve"> </w:t>
      </w:r>
      <w:r>
        <w:rPr>
          <w:b/>
          <w:bCs/>
        </w:rPr>
        <w:t xml:space="preserve">functional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user_role</w:t>
      </w:r>
      <w:r>
        <w:t xml:space="preserve">) that grants platform-specific capabilities. Roles are independent of membership tier.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How Assigned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 approval after application</w:t>
            </w:r>
          </w:p>
        </w:tc>
        <w:tc>
          <w:tcPr/>
          <w:p>
            <w:pPr>
              <w:pStyle w:val="Compact"/>
            </w:pPr>
            <w:r>
              <w:t xml:space="preserve">Register robots, upload VLA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Admin grants directly</w:t>
            </w:r>
          </w:p>
        </w:tc>
        <w:tc>
          <w:tcPr/>
          <w:p>
            <w:pPr>
              <w:pStyle w:val="Compact"/>
            </w:pPr>
            <w:r>
              <w:t xml:space="preserve">QA data review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senior qa</w:t>
            </w:r>
          </w:p>
        </w:tc>
        <w:tc>
          <w:tcPr/>
          <w:p>
            <w:pPr>
              <w:pStyle w:val="Compact"/>
            </w:pPr>
            <w:r>
              <w:t xml:space="preserve">Admin grants directly</w:t>
            </w:r>
          </w:p>
        </w:tc>
        <w:tc>
          <w:tcPr/>
          <w:p>
            <w:pPr>
              <w:pStyle w:val="Compact"/>
            </w:pPr>
            <w:r>
              <w:t xml:space="preserve">QA data review tasks (higher seniority)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 qa</w:t>
            </w:r>
          </w:p>
        </w:tc>
        <w:tc>
          <w:tcPr/>
          <w:p>
            <w:pPr>
              <w:pStyle w:val="Compact"/>
            </w:pPr>
            <w:r>
              <w:t xml:space="preserve">Admin grants directly</w:t>
            </w:r>
          </w:p>
        </w:tc>
        <w:tc>
          <w:tcPr/>
          <w:p>
            <w:pPr>
              <w:pStyle w:val="Compact"/>
            </w:pPr>
            <w:r>
              <w:t xml:space="preserve">QA data review tasks (top seniority)</w:t>
            </w:r>
          </w:p>
        </w:tc>
      </w:tr>
    </w:tbl>
    <w:p>
      <w:pPr>
        <w:pStyle w:val="BodyText"/>
      </w:pPr>
      <w:r>
        <w:t xml:space="preserve">A user may hold a membership tier and a role simultaneously (e.g., an Explorer-tier user can still be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20" w:name="account-linking-email-wallet"/>
    <w:p>
      <w:pPr>
        <w:pStyle w:val="Heading2"/>
      </w:pPr>
      <w:r>
        <w:t xml:space="preserve">5. Account Linking (Email ↔ Wallet)</w:t>
      </w:r>
    </w:p>
    <w:p>
      <w:pPr>
        <w:pStyle w:val="FirstParagraph"/>
      </w:pPr>
      <w:r>
        <w:t xml:space="preserve">A user may have both an email account and a wallet account. The system treats them as a</w:t>
      </w:r>
      <w:r>
        <w:t xml:space="preserve"> </w:t>
      </w:r>
      <w:r>
        <w:rPr>
          <w:b/>
          <w:bCs/>
        </w:rPr>
        <w:t xml:space="preserve">single identity</w:t>
      </w:r>
      <w:r>
        <w:t xml:space="preserve"> </w:t>
      </w:r>
      <w:r>
        <w:t xml:space="preserve">once linked.</w:t>
      </w:r>
    </w:p>
    <w:bookmarkStart w:id="18" w:name="linking-behavior"/>
    <w:p>
      <w:pPr>
        <w:pStyle w:val="Heading3"/>
      </w:pPr>
      <w:r>
        <w:t xml:space="preserve">Linking behavior</w:t>
      </w:r>
    </w:p>
    <w:p>
      <w:pPr>
        <w:pStyle w:val="Compact"/>
        <w:numPr>
          <w:ilvl w:val="0"/>
          <w:numId w:val="1004"/>
        </w:numPr>
      </w:pPr>
      <w:r>
        <w:t xml:space="preserve">When a user accesses the platform with both an email and a wallet address, the system automatically creates a bidirectional link between the two accounts.</w:t>
      </w:r>
    </w:p>
    <w:p>
      <w:pPr>
        <w:pStyle w:val="Compact"/>
        <w:numPr>
          <w:ilvl w:val="0"/>
          <w:numId w:val="1004"/>
        </w:numPr>
      </w:pPr>
      <w:r>
        <w:t xml:space="preserve">After linking, the</w:t>
      </w:r>
      <w:r>
        <w:t xml:space="preserve"> </w:t>
      </w:r>
      <w:r>
        <w:rPr>
          <w:b/>
          <w:bCs/>
        </w:rPr>
        <w:t xml:space="preserve">email account is treated as the primary identity</w:t>
      </w:r>
      <w:r>
        <w:t xml:space="preserve"> </w:t>
      </w:r>
      <w:r>
        <w:t xml:space="preserve">and its profile data is returned.</w:t>
      </w:r>
    </w:p>
    <w:p>
      <w:pPr>
        <w:pStyle w:val="Compact"/>
        <w:numPr>
          <w:ilvl w:val="0"/>
          <w:numId w:val="1004"/>
        </w:numPr>
      </w:pPr>
      <w:r>
        <w:t xml:space="preserve">A high-tier wallet account (</w:t>
      </w:r>
      <w:r>
        <w:rPr>
          <w:rStyle w:val="VerbatimChar"/>
        </w:rPr>
        <w:t xml:space="preserve">Amplifier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Innovator</w:t>
      </w:r>
      <w:r>
        <w:t xml:space="preserve">)</w:t>
      </w:r>
      <w:r>
        <w:t xml:space="preserve"> </w:t>
      </w:r>
      <w:r>
        <w:rPr>
          <w:b/>
          <w:bCs/>
        </w:rPr>
        <w:t xml:space="preserve">cannot be linked to a different email account</w:t>
      </w:r>
      <w:r>
        <w:t xml:space="preserve"> </w:t>
      </w:r>
      <w:r>
        <w:t xml:space="preserve">— this prevents tier-sharing abuse.</w:t>
      </w:r>
    </w:p>
    <w:bookmarkEnd w:id="18"/>
    <w:bookmarkStart w:id="19" w:name="unlinking"/>
    <w:p>
      <w:pPr>
        <w:pStyle w:val="Heading3"/>
      </w:pPr>
      <w:r>
        <w:t xml:space="preserve">Unlinking</w:t>
      </w:r>
    </w:p>
    <w:p>
      <w:pPr>
        <w:pStyle w:val="FirstParagraph"/>
      </w:pPr>
      <w:r>
        <w:t xml:space="preserve">Users can unlink their wallet from their email via the platform. Both sides of the link are cleared.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user-profile-management"/>
    <w:p>
      <w:pPr>
        <w:pStyle w:val="Heading2"/>
      </w:pPr>
      <w:r>
        <w:t xml:space="preserve">6. User Profile Management</w:t>
      </w:r>
    </w:p>
    <w:p>
      <w:pPr>
        <w:pStyle w:val="FirstParagraph"/>
      </w:pPr>
      <w:r>
        <w:t xml:space="preserve">Users can update their profile information from the account settings page. Editable fields include:</w:t>
      </w:r>
    </w:p>
    <w:p>
      <w:pPr>
        <w:pStyle w:val="Compact"/>
        <w:numPr>
          <w:ilvl w:val="0"/>
          <w:numId w:val="1005"/>
        </w:numPr>
      </w:pPr>
      <w:r>
        <w:t xml:space="preserve">Display name (nickname)</w:t>
      </w:r>
    </w:p>
    <w:p>
      <w:pPr>
        <w:pStyle w:val="Compact"/>
        <w:numPr>
          <w:ilvl w:val="0"/>
          <w:numId w:val="1005"/>
        </w:numPr>
      </w:pPr>
      <w:r>
        <w:t xml:space="preserve">Public / contact email address</w:t>
      </w:r>
      <w:r>
        <w:t xml:space="preserve"> </w:t>
      </w:r>
      <w:r>
        <w:rPr>
          <w:i/>
          <w:iCs/>
        </w:rPr>
        <w:t xml:space="preserve">(requires email verification code confirmation)</w:t>
      </w:r>
    </w:p>
    <w:p>
      <w:pPr>
        <w:pStyle w:val="Compact"/>
        <w:numPr>
          <w:ilvl w:val="0"/>
          <w:numId w:val="1005"/>
        </w:numPr>
      </w:pPr>
      <w:r>
        <w:t xml:space="preserve">Telegram ID</w:t>
      </w:r>
    </w:p>
    <w:p>
      <w:pPr>
        <w:pStyle w:val="Compact"/>
        <w:numPr>
          <w:ilvl w:val="0"/>
          <w:numId w:val="1005"/>
        </w:numPr>
      </w:pPr>
      <w:r>
        <w:t xml:space="preserve">Phone number</w:t>
      </w:r>
    </w:p>
    <w:p>
      <w:pPr>
        <w:pStyle w:val="Compact"/>
        <w:numPr>
          <w:ilvl w:val="0"/>
          <w:numId w:val="1005"/>
        </w:numPr>
      </w:pPr>
      <w:r>
        <w:t xml:space="preserve">Twitter username</w:t>
      </w:r>
    </w:p>
    <w:p>
      <w:pPr>
        <w:pStyle w:val="FirstParagraph"/>
      </w:pPr>
      <w:r>
        <w:rPr>
          <w:b/>
          <w:bCs/>
        </w:rPr>
        <w:t xml:space="preserve">Identity is always re-verified</w:t>
      </w:r>
      <w:r>
        <w:t xml:space="preserve"> </w:t>
      </w:r>
      <w:r>
        <w:t xml:space="preserve">before any profile update is saved. Token-based authentication ensures users can only edit their own profiles.</w:t>
      </w:r>
    </w:p>
    <w:p>
      <w:r>
        <w:pict>
          <v:rect style="width:0;height:1.5pt" o:hralign="center" o:hrstd="t" o:hr="t"/>
        </w:pict>
      </w:r>
    </w:p>
    <w:bookmarkEnd w:id="21"/>
    <w:bookmarkStart w:id="24" w:name="third-party-account-binding"/>
    <w:p>
      <w:pPr>
        <w:pStyle w:val="Heading2"/>
      </w:pPr>
      <w:r>
        <w:t xml:space="preserve">7. Third-Party Account Binding</w:t>
      </w:r>
    </w:p>
    <w:bookmarkStart w:id="22" w:name="twitter"/>
    <w:p>
      <w:pPr>
        <w:pStyle w:val="Heading3"/>
      </w:pPr>
      <w:r>
        <w:t xml:space="preserve">Twitter</w:t>
      </w:r>
    </w:p>
    <w:p>
      <w:pPr>
        <w:pStyle w:val="Compact"/>
        <w:numPr>
          <w:ilvl w:val="0"/>
          <w:numId w:val="1006"/>
        </w:numPr>
      </w:pPr>
      <w:r>
        <w:t xml:space="preserve">Users can connect their Twitter account via OAuth.</w:t>
      </w:r>
    </w:p>
    <w:p>
      <w:pPr>
        <w:pStyle w:val="Compact"/>
        <w:numPr>
          <w:ilvl w:val="0"/>
          <w:numId w:val="1006"/>
        </w:numPr>
      </w:pPr>
      <w:r>
        <w:t xml:space="preserve">Once connected, the Twitter username and ID are stored on the user record.</w:t>
      </w:r>
    </w:p>
    <w:p>
      <w:pPr>
        <w:pStyle w:val="Compact"/>
        <w:numPr>
          <w:ilvl w:val="0"/>
          <w:numId w:val="1006"/>
        </w:numPr>
      </w:pPr>
      <w:r>
        <w:t xml:space="preserve">Users can</w:t>
      </w:r>
      <w:r>
        <w:t xml:space="preserve"> </w:t>
      </w:r>
      <w:r>
        <w:rPr>
          <w:b/>
          <w:bCs/>
        </w:rPr>
        <w:t xml:space="preserve">unlink</w:t>
      </w:r>
      <w:r>
        <w:t xml:space="preserve"> </w:t>
      </w:r>
      <w:r>
        <w:t xml:space="preserve">their Twitter account at any time from the profile page.</w:t>
      </w:r>
    </w:p>
    <w:bookmarkEnd w:id="22"/>
    <w:bookmarkStart w:id="23" w:name="discord"/>
    <w:p>
      <w:pPr>
        <w:pStyle w:val="Heading3"/>
      </w:pPr>
      <w:r>
        <w:t xml:space="preserve">Discord</w:t>
      </w:r>
    </w:p>
    <w:p>
      <w:pPr>
        <w:pStyle w:val="Compact"/>
        <w:numPr>
          <w:ilvl w:val="0"/>
          <w:numId w:val="1007"/>
        </w:numPr>
      </w:pPr>
      <w:r>
        <w:t xml:space="preserve">Users can connect their Discord account via OAuth (same flow as Twitter).</w:t>
      </w:r>
    </w:p>
    <w:p>
      <w:pPr>
        <w:pStyle w:val="Compact"/>
        <w:numPr>
          <w:ilvl w:val="0"/>
          <w:numId w:val="1007"/>
        </w:numPr>
      </w:pPr>
      <w:r>
        <w:t xml:space="preserve">Once connected, the Discord username and ID are stored.</w:t>
      </w:r>
    </w:p>
    <w:p>
      <w:pPr>
        <w:pStyle w:val="Compact"/>
        <w:numPr>
          <w:ilvl w:val="0"/>
          <w:numId w:val="1007"/>
        </w:numPr>
      </w:pPr>
      <w:r>
        <w:t xml:space="preserve">Users can</w:t>
      </w:r>
      <w:r>
        <w:t xml:space="preserve"> </w:t>
      </w:r>
      <w:r>
        <w:rPr>
          <w:b/>
          <w:bCs/>
        </w:rPr>
        <w:t xml:space="preserve">unlink</w:t>
      </w:r>
      <w:r>
        <w:t xml:space="preserve"> </w:t>
      </w:r>
      <w:r>
        <w:t xml:space="preserve">their Discord account at any time.</w:t>
      </w:r>
    </w:p>
    <w:p>
      <w:pPr>
        <w:pStyle w:val="BlockText"/>
      </w:pPr>
      <w:r>
        <w:rPr>
          <w:b/>
          <w:bCs/>
        </w:rPr>
        <w:t xml:space="preserve">Note for ops:</w:t>
      </w:r>
      <w:r>
        <w:t xml:space="preserve"> </w:t>
      </w:r>
      <w:r>
        <w:t xml:space="preserve">Both Twitter and Discord bindings use state tokens with expiry and signature checks to prevent session hijacking during the OAuth flow. If a user reports a failed binding, verify they did not log out mid-flow.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yment-membership-upgrade"/>
    <w:p>
      <w:pPr>
        <w:pStyle w:val="Heading2"/>
      </w:pPr>
      <w:r>
        <w:t xml:space="preserve">8. Payment &amp; Membership Upgrade</w:t>
      </w:r>
    </w:p>
    <w:bookmarkStart w:id="25" w:name="payment-methods"/>
    <w:p>
      <w:pPr>
        <w:pStyle w:val="Heading3"/>
      </w:pPr>
      <w:r>
        <w:t xml:space="preserve">Payment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Supported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/ Debit Card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On-chain verification</w:t>
            </w:r>
          </w:p>
        </w:tc>
        <w:tc>
          <w:tcPr/>
          <w:p>
            <w:pPr>
              <w:pStyle w:val="Compact"/>
            </w:pPr>
            <w:r>
              <w:t xml:space="preserve">SOL, ETH, BASE, MON, APT</w:t>
            </w:r>
          </w:p>
        </w:tc>
      </w:tr>
    </w:tbl>
    <w:bookmarkEnd w:id="25"/>
    <w:bookmarkStart w:id="26" w:name="upgrade-prices"/>
    <w:p>
      <w:pPr>
        <w:pStyle w:val="Heading3"/>
      </w:pPr>
      <w:r>
        <w:t xml:space="preserve">Upgrade Prices</w:t>
      </w:r>
    </w:p>
    <w:p>
      <w:pPr>
        <w:pStyle w:val="Compact"/>
        <w:numPr>
          <w:ilvl w:val="0"/>
          <w:numId w:val="1008"/>
        </w:numPr>
      </w:pPr>
      <w:r>
        <w:t xml:space="preserve">Explorer → Amplifier:</w:t>
      </w:r>
      <w:r>
        <w:t xml:space="preserve"> </w:t>
      </w:r>
      <w:r>
        <w:rPr>
          <w:b/>
          <w:bCs/>
        </w:rPr>
        <w:t xml:space="preserve">$99</w:t>
      </w:r>
    </w:p>
    <w:p>
      <w:pPr>
        <w:pStyle w:val="Compact"/>
        <w:numPr>
          <w:ilvl w:val="0"/>
          <w:numId w:val="1008"/>
        </w:numPr>
      </w:pPr>
      <w:r>
        <w:t xml:space="preserve">Amplifier → Innovator:</w:t>
      </w:r>
      <w:r>
        <w:t xml:space="preserve"> </w:t>
      </w:r>
      <w:r>
        <w:rPr>
          <w:b/>
          <w:bCs/>
        </w:rPr>
        <w:t xml:space="preserve">$399</w:t>
      </w:r>
    </w:p>
    <w:bookmarkEnd w:id="26"/>
    <w:bookmarkStart w:id="27" w:name="how-upgrades-are-processed"/>
    <w:p>
      <w:pPr>
        <w:pStyle w:val="Heading3"/>
      </w:pPr>
      <w:r>
        <w:t xml:space="preserve">How Upgrades Are Processed</w:t>
      </w:r>
    </w:p>
    <w:p>
      <w:pPr>
        <w:pStyle w:val="FirstParagraph"/>
      </w:pPr>
      <w:r>
        <w:rPr>
          <w:b/>
          <w:bCs/>
        </w:rPr>
        <w:t xml:space="preserve">Stripe:</w:t>
      </w:r>
      <w:r>
        <w:t xml:space="preserve"> </w:t>
      </w:r>
      <w:r>
        <w:t xml:space="preserve">The platform creates a Stripe Checkout Session. After the user completes payment, Stripe sends a webhook to the server, which records the purchase and upgrades the membership tier automatically.</w:t>
      </w:r>
    </w:p>
    <w:p>
      <w:pPr>
        <w:pStyle w:val="BodyText"/>
      </w:pPr>
      <w:r>
        <w:rPr>
          <w:b/>
          <w:bCs/>
        </w:rPr>
        <w:t xml:space="preserve">Crypto:</w:t>
      </w:r>
      <w:r>
        <w:t xml:space="preserve"> </w:t>
      </w:r>
      <w:r>
        <w:t xml:space="preserve">The user submits their transaction hash. The server verifies the on-chain transfer (correct recipient address, correct amount within tolerance) before recording the payment and upgrading the tier.</w:t>
      </w:r>
    </w:p>
    <w:p>
      <w:pPr>
        <w:pStyle w:val="BlockText"/>
      </w:pPr>
      <w:r>
        <w:rPr>
          <w:b/>
          <w:bCs/>
        </w:rPr>
        <w:t xml:space="preserve">Duplicate protection:</w:t>
      </w:r>
      <w:r>
        <w:t xml:space="preserve"> </w:t>
      </w:r>
      <w:r>
        <w:t xml:space="preserve">Each transaction hash can only be recorded once. Attempts to reuse a hash are rejected.</w:t>
      </w:r>
    </w:p>
    <w:bookmarkEnd w:id="27"/>
    <w:bookmarkStart w:id="28" w:name="reconciliation"/>
    <w:p>
      <w:pPr>
        <w:pStyle w:val="Heading3"/>
      </w:pPr>
      <w:r>
        <w:t xml:space="preserve">Reconciliation</w:t>
      </w:r>
    </w:p>
    <w:p>
      <w:pPr>
        <w:pStyle w:val="FirstParagraph"/>
      </w:pPr>
      <w:r>
        <w:t xml:space="preserve">A payment verification system periodically cross-checks on-chain transactions and Stripe records against the</w:t>
      </w:r>
      <w:r>
        <w:t xml:space="preserve"> </w:t>
      </w:r>
      <w:r>
        <w:rPr>
          <w:rStyle w:val="VerbatimChar"/>
        </w:rPr>
        <w:t xml:space="preserve">purchase_records</w:t>
      </w:r>
      <w:r>
        <w:t xml:space="preserve"> </w:t>
      </w:r>
      <w:r>
        <w:t xml:space="preserve">table, surfacing any missing or mismatched entries for manual review.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oints-system"/>
    <w:p>
      <w:pPr>
        <w:pStyle w:val="Heading2"/>
      </w:pPr>
      <w:r>
        <w:t xml:space="preserve">9. Points System</w:t>
      </w:r>
    </w:p>
    <w:bookmarkStart w:id="30" w:name="earning-points"/>
    <w:p>
      <w:pPr>
        <w:pStyle w:val="Heading3"/>
      </w:pPr>
      <w:r>
        <w:t xml:space="preserve">Earning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First-time initialization</w:t>
            </w:r>
          </w:p>
        </w:tc>
        <w:tc>
          <w:tcPr/>
          <w:p>
            <w:pPr>
              <w:pStyle w:val="Compact"/>
            </w:pPr>
            <w:r>
              <w:t xml:space="preserve">1,000 pts (2,000 on Monad)</w:t>
            </w:r>
          </w:p>
        </w:tc>
        <w:tc>
          <w:tcPr/>
          <w:p>
            <w:pPr>
              <w:pStyle w:val="Compact"/>
            </w:pPr>
            <w:r>
              <w:t xml:space="preserve">Triggered when a new user’s points balance is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login</w:t>
            </w:r>
          </w:p>
        </w:tc>
        <w:tc>
          <w:tcPr/>
          <w:p>
            <w:pPr>
              <w:pStyle w:val="Compact"/>
            </w:pPr>
            <w:r>
              <w:t xml:space="preserve">Explorer: 10 / Amplifier: 30 / Innovator: 50 pts</w:t>
            </w:r>
          </w:p>
        </w:tc>
        <w:tc>
          <w:tcPr/>
          <w:p>
            <w:pPr>
              <w:pStyle w:val="Compact"/>
            </w:pPr>
            <w:r>
              <w:t xml:space="preserve">Once per UTC calendar day; Monad chain earns double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 completion</w:t>
            </w:r>
          </w:p>
        </w:tc>
        <w:tc>
          <w:tcPr/>
          <w:p>
            <w:pPr>
              <w:pStyle w:val="Compact"/>
            </w:pPr>
            <w:r>
              <w:t xml:space="preserve">500 pts per correct answer + 1,000 bonus if all correct</w:t>
            </w:r>
          </w:p>
        </w:tc>
        <w:tc>
          <w:tcPr/>
          <w:p>
            <w:pPr>
              <w:pStyle w:val="Compact"/>
            </w:pPr>
            <w:r>
              <w:t xml:space="preserve">One-time only; cannot be resubmitted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invite bonus</w:t>
            </w:r>
          </w:p>
        </w:tc>
        <w:tc>
          <w:tcPr/>
          <w:p>
            <w:pPr>
              <w:pStyle w:val="Compact"/>
            </w:pPr>
            <w:r>
              <w:t xml:space="preserve">500 pts per referred user</w:t>
            </w:r>
          </w:p>
        </w:tc>
        <w:tc>
          <w:tcPr/>
          <w:p>
            <w:pPr>
              <w:pStyle w:val="Compact"/>
            </w:pPr>
            <w:r>
              <w:t xml:space="preserve">Paid out to the referrer when a new user joins via their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revenue share</w:t>
            </w:r>
          </w:p>
        </w:tc>
        <w:tc>
          <w:tcPr/>
          <w:p>
            <w:pPr>
              <w:pStyle w:val="Compact"/>
            </w:pPr>
            <w:r>
              <w:t xml:space="preserve">10% of all referred users’ cumulative points</w:t>
            </w:r>
          </w:p>
        </w:tc>
        <w:tc>
          <w:tcPr/>
          <w:p>
            <w:pPr>
              <w:pStyle w:val="Compact"/>
            </w:pPr>
            <w:r>
              <w:t xml:space="preserve">Incremental; settles automatically when the referrer checks their referral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Comment reward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50 / 150 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Temporarily disabled</w:t>
            </w:r>
          </w:p>
        </w:tc>
      </w:tr>
    </w:tbl>
    <w:bookmarkEnd w:id="30"/>
    <w:bookmarkStart w:id="31" w:name="referral-system"/>
    <w:p>
      <w:pPr>
        <w:pStyle w:val="Heading3"/>
      </w:pPr>
      <w:r>
        <w:t xml:space="preserve">Referral System</w:t>
      </w:r>
    </w:p>
    <w:p>
      <w:pPr>
        <w:pStyle w:val="FirstParagraph"/>
      </w:pPr>
      <w:r>
        <w:t xml:space="preserve">Each user has a unique referral code. When a new user registers with a referral code:</w:t>
      </w:r>
      <w:r>
        <w:t xml:space="preserve"> </w:t>
      </w:r>
      <w:r>
        <w:t xml:space="preserve">- The referrer earns a 500-point invite bonus per new user.</w:t>
      </w:r>
      <w:r>
        <w:t xml:space="preserve"> </w:t>
      </w:r>
      <w:r>
        <w:t xml:space="preserve">- The referrer continuously earns 10% of the referred users’ total accumulated points (incremental, anti-double-count).</w:t>
      </w:r>
    </w:p>
    <w:bookmarkEnd w:id="31"/>
    <w:bookmarkStart w:id="32" w:name="anti-abuse"/>
    <w:p>
      <w:pPr>
        <w:pStyle w:val="Heading3"/>
      </w:pPr>
      <w:r>
        <w:t xml:space="preserve">Anti-Abuse</w:t>
      </w:r>
    </w:p>
    <w:p>
      <w:pPr>
        <w:pStyle w:val="Compact"/>
        <w:numPr>
          <w:ilvl w:val="0"/>
          <w:numId w:val="1009"/>
        </w:numPr>
      </w:pPr>
      <w:r>
        <w:t xml:space="preserve">reCAPTCHA checks on login and quiz submission.</w:t>
      </w:r>
    </w:p>
    <w:p>
      <w:pPr>
        <w:pStyle w:val="Compact"/>
        <w:numPr>
          <w:ilvl w:val="0"/>
          <w:numId w:val="1009"/>
        </w:numPr>
      </w:pPr>
      <w:r>
        <w:t xml:space="preserve">Bot-detection scans for transactions dated in the future or before the platform launch date.</w:t>
      </w:r>
    </w:p>
    <w:p>
      <w:pPr>
        <w:pStyle w:val="Compact"/>
        <w:numPr>
          <w:ilvl w:val="0"/>
          <w:numId w:val="1009"/>
        </w:numPr>
      </w:pPr>
      <w:r>
        <w:t xml:space="preserve">Suspicious accounts are flagged in the</w:t>
      </w:r>
      <w:r>
        <w:t xml:space="preserve"> </w:t>
      </w:r>
      <w:r>
        <w:rPr>
          <w:rStyle w:val="VerbatimChar"/>
        </w:rPr>
        <w:t xml:space="preserve">detected_bot_users</w:t>
      </w:r>
      <w:r>
        <w:t xml:space="preserve"> </w:t>
      </w:r>
      <w:r>
        <w:t xml:space="preserve">table for 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teleop-robot-access"/>
    <w:p>
      <w:pPr>
        <w:pStyle w:val="Heading2"/>
      </w:pPr>
      <w:r>
        <w:t xml:space="preserve">10. TeleOp Robot Access</w:t>
      </w:r>
    </w:p>
    <w:p>
      <w:pPr>
        <w:pStyle w:val="FirstParagraph"/>
      </w:pPr>
      <w:r>
        <w:t xml:space="preserve">TeleOp allows users to remotely control Prismax robots. Access is governed by</w:t>
      </w:r>
      <w:r>
        <w:t xml:space="preserve"> </w:t>
      </w:r>
      <w:r>
        <w:rPr>
          <w:b/>
          <w:bCs/>
        </w:rPr>
        <w:t xml:space="preserve">membership tier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robot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robot_class</w:t>
      </w:r>
      <w:r>
        <w:t xml:space="preserve">).</w:t>
      </w:r>
    </w:p>
    <w:bookmarkStart w:id="34" w:name="robot-classes"/>
    <w:p>
      <w:pPr>
        <w:pStyle w:val="Heading3"/>
      </w:pPr>
      <w:r>
        <w:t xml:space="preserve">Robot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robot_class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robots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General training arms</w:t>
            </w:r>
          </w:p>
        </w:tc>
        <w:tc>
          <w:tcPr/>
          <w:p>
            <w:pPr>
              <w:pStyle w:val="Compact"/>
            </w:pPr>
            <w:r>
              <w:t xml:space="preserve">arm1, arm4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Open-access buddy arms</w:t>
            </w:r>
          </w:p>
        </w:tc>
        <w:tc>
          <w:tcPr/>
          <w:p>
            <w:pPr>
              <w:pStyle w:val="Compact"/>
            </w:pPr>
            <w:r>
              <w:t xml:space="preserve">arm3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Invite-only / partner arms</w:t>
            </w:r>
          </w:p>
        </w:tc>
        <w:tc>
          <w:tcPr/>
          <w:p>
            <w:pPr>
              <w:pStyle w:val="Compact"/>
            </w:pPr>
            <w:r>
              <w:t xml:space="preserve">arm2 (Monad-gated)</w:t>
            </w:r>
          </w:p>
        </w:tc>
      </w:tr>
    </w:tbl>
    <w:bookmarkEnd w:id="34"/>
    <w:bookmarkStart w:id="35" w:name="access-rules-by-tier"/>
    <w:p>
      <w:pPr>
        <w:pStyle w:val="Heading3"/>
      </w:pPr>
      <w:r>
        <w:t xml:space="preserve">Access Rules by 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</w:t>
            </w:r>
            <w:r>
              <w:t xml:space="preserve"> </w:t>
            </w: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</w:t>
            </w:r>
            <w:r>
              <w:t xml:space="preserve"> </w:t>
            </w:r>
            <w:r>
              <w:t xml:space="preserve">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❌ Blocked</w:t>
            </w:r>
          </w:p>
        </w:tc>
        <w:tc>
          <w:tcPr/>
          <w:p>
            <w:pPr>
              <w:pStyle w:val="Compact"/>
            </w:pPr>
            <w:r>
              <w:t xml:space="preserve">❌ Blocked</w:t>
            </w:r>
          </w:p>
        </w:tc>
        <w:tc>
          <w:tcPr/>
          <w:p>
            <w:pPr>
              <w:pStyle w:val="Compact"/>
            </w:pPr>
            <w:r>
              <w:t xml:space="preserve">❌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</w:t>
            </w:r>
          </w:p>
        </w:tc>
        <w:tc>
          <w:tcPr/>
          <w:p>
            <w:pPr>
              <w:pStyle w:val="Compact"/>
            </w:pPr>
            <w:r>
              <w:t xml:space="preserve">✅ Up to</w:t>
            </w:r>
            <w:r>
              <w:t xml:space="preserve"> </w:t>
            </w:r>
            <w:r>
              <w:rPr>
                <w:b/>
                <w:bCs/>
              </w:rPr>
              <w:t xml:space="preserve">3 queue joins per UTC day</w:t>
            </w:r>
          </w:p>
        </w:tc>
        <w:tc>
          <w:tcPr/>
          <w:p>
            <w:pPr>
              <w:pStyle w:val="Compact"/>
            </w:pPr>
            <w:r>
              <w:t xml:space="preserve">✅ Up to</w:t>
            </w:r>
            <w:r>
              <w:t xml:space="preserve"> </w:t>
            </w:r>
            <w:r>
              <w:rPr>
                <w:b/>
                <w:bCs/>
              </w:rPr>
              <w:t xml:space="preserve">3 lifetime uses</w:t>
            </w:r>
          </w:p>
        </w:tc>
        <w:tc>
          <w:tcPr/>
          <w:p>
            <w:pPr>
              <w:pStyle w:val="Compact"/>
            </w:pPr>
            <w:r>
              <w:t xml:space="preserve">✅ No extra cap (invite code + Monad wallet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Innovator</w:t>
            </w:r>
          </w:p>
        </w:tc>
        <w:tc>
          <w:tcPr/>
          <w:p>
            <w:pPr>
              <w:pStyle w:val="Compac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</w:pPr>
            <w:r>
              <w:t xml:space="preserve">✅ Unlimited</w:t>
            </w:r>
          </w:p>
        </w:tc>
      </w:tr>
    </w:tbl>
    <w:bookmarkEnd w:id="35"/>
    <w:bookmarkStart w:id="36" w:name="fast-track-innovator-only"/>
    <w:p>
      <w:pPr>
        <w:pStyle w:val="Heading3"/>
      </w:pPr>
      <w:r>
        <w:t xml:space="preserve">Fast Track (Innovator Only)</w:t>
      </w:r>
    </w:p>
    <w:p>
      <w:pPr>
        <w:pStyle w:val="FirstParagraph"/>
      </w:pPr>
      <w:r>
        <w:t xml:space="preserve">Innovator members can use</w:t>
      </w:r>
      <w:r>
        <w:t xml:space="preserve"> </w:t>
      </w:r>
      <w:r>
        <w:rPr>
          <w:b/>
          <w:bCs/>
        </w:rPr>
        <w:t xml:space="preserve">Fast Track</w:t>
      </w:r>
      <w:r>
        <w:t xml:space="preserve"> </w:t>
      </w:r>
      <w:r>
        <w:t xml:space="preserve">to jump the TeleOp queue. Limit:</w:t>
      </w:r>
      <w:r>
        <w:t xml:space="preserve"> </w:t>
      </w:r>
      <w:r>
        <w:rPr>
          <w:b/>
          <w:bCs/>
        </w:rPr>
        <w:t xml:space="preserve">6 Fast Track uses per UTC day, shared across all robots</w:t>
      </w:r>
      <w:r>
        <w:t xml:space="preserve">. After 6 uses, the user joins normally without priority.</w:t>
      </w:r>
    </w:p>
    <w:bookmarkEnd w:id="36"/>
    <w:bookmarkStart w:id="37" w:name="queue-mutual-exclusion-all-tiers"/>
    <w:p>
      <w:pPr>
        <w:pStyle w:val="Heading3"/>
      </w:pPr>
      <w:r>
        <w:t xml:space="preserve">Queue Mutual Exclusion (All Tiers)</w:t>
      </w:r>
    </w:p>
    <w:p>
      <w:pPr>
        <w:pStyle w:val="FirstParagraph"/>
      </w:pPr>
      <w:r>
        <w:t xml:space="preserve">A user can only be in</w:t>
      </w:r>
      <w:r>
        <w:t xml:space="preserve"> </w:t>
      </w:r>
      <w:r>
        <w:rPr>
          <w:b/>
          <w:bCs/>
        </w:rPr>
        <w:t xml:space="preserve">one robot queue</w:t>
      </w:r>
      <w:r>
        <w:t xml:space="preserve"> </w:t>
      </w:r>
      <w:r>
        <w:t xml:space="preserve">at a time. Attempting to join a second queue while already waiting or active on another robot is rejected.</w:t>
      </w:r>
    </w:p>
    <w:bookmarkEnd w:id="37"/>
    <w:bookmarkStart w:id="38" w:name="error-messages-reference"/>
    <w:p>
      <w:pPr>
        <w:pStyle w:val="Heading3"/>
      </w:pPr>
      <w:r>
        <w:t xml:space="preserve">Error Messages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50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Message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 tries to join any queue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"Explorer tier cannot use robots"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Amplifier exceeds daily</w:t>
            </w:r>
            <w:r>
              <w:t xml:space="preserve"> </w:t>
            </w:r>
            <w:r>
              <w:rPr>
                <w:rStyle w:val="VerbatimChar"/>
              </w:rPr>
              <w:t xml:space="preserve">training</w:t>
            </w:r>
            <w:r>
              <w:t xml:space="preserve"> </w:t>
            </w: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"Amplifier members can join the queue for {robot_name} up to 3 times per day (UTC)"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Amplifier exceeds lifetime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"Amplifier members have reached the 3 total uses limit for {robot_name}"</w:t>
            </w:r>
            <w:r>
              <w:t xml:space="preserve"> </w:t>
            </w:r>
            <w:r>
              <w:t xml:space="preserve">— frontend shows upgrade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Innovator exceeds daily Fast Track limit</w:t>
            </w:r>
          </w:p>
        </w:tc>
        <w:tc>
          <w:tcPr/>
          <w:p>
            <w:pPr>
              <w:pStyle w:val="Compact"/>
            </w:pPr>
            <w:r>
              <w:t xml:space="preserve">200 (queued normally)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"You have reached the maximum 6 fast tracks a day. Please come back tomorrow."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already in another queue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(indicates already in queue)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robot-reservation"/>
    <w:p>
      <w:pPr>
        <w:pStyle w:val="Heading2"/>
      </w:pPr>
      <w:r>
        <w:t xml:space="preserve">11. Robot Reservation</w:t>
      </w:r>
    </w:p>
    <w:p>
      <w:pPr>
        <w:pStyle w:val="FirstParagraph"/>
      </w:pPr>
      <w:r>
        <w:rPr>
          <w:b/>
          <w:bCs/>
        </w:rPr>
        <w:t xml:space="preserve">Innovator Members only.</w:t>
      </w:r>
      <w:r>
        <w:t xml:space="preserve"> </w:t>
      </w:r>
      <w:r>
        <w:t xml:space="preserve">Allows booking a physical in-person demo or dedicated remote TeleOp session.</w:t>
      </w:r>
    </w:p>
    <w:p>
      <w:pPr>
        <w:pStyle w:val="Compact"/>
        <w:numPr>
          <w:ilvl w:val="0"/>
          <w:numId w:val="1010"/>
        </w:numPr>
      </w:pPr>
      <w:r>
        <w:t xml:space="preserve">User submits: email, first name, last name, phone number, project/company, location, Telegram handle, and robot name.</w:t>
      </w:r>
    </w:p>
    <w:p>
      <w:pPr>
        <w:pStyle w:val="Compact"/>
        <w:numPr>
          <w:ilvl w:val="0"/>
          <w:numId w:val="1010"/>
        </w:numPr>
      </w:pPr>
      <w:r>
        <w:t xml:space="preserve">A confirmation email is sent to the user automatically.</w:t>
      </w:r>
    </w:p>
    <w:p>
      <w:pPr>
        <w:pStyle w:val="Compact"/>
        <w:numPr>
          <w:ilvl w:val="0"/>
          <w:numId w:val="1010"/>
        </w:numPr>
      </w:pPr>
      <w:r>
        <w:t xml:space="preserve">Reservation records are stored for follow-up by the operations team.</w:t>
      </w:r>
    </w:p>
    <w:p>
      <w:r>
        <w:pict>
          <v:rect style="width:0;height:1.5pt" o:hralign="center" o:hrstd="t" o:hr="t"/>
        </w:pict>
      </w:r>
    </w:p>
    <w:bookmarkEnd w:id="40"/>
    <w:bookmarkStart w:id="44" w:name="operator-system"/>
    <w:p>
      <w:pPr>
        <w:pStyle w:val="Heading2"/>
      </w:pPr>
      <w:r>
        <w:t xml:space="preserve">12. Operator System</w:t>
      </w:r>
    </w:p>
    <w:p>
      <w:pPr>
        <w:pStyle w:val="FirstParagraph"/>
      </w:pPr>
      <w:r>
        <w:t xml:space="preserve">The Operator program enables users who own physical robots to contribute training data to the VLA Foundry.</w:t>
      </w:r>
    </w:p>
    <w:bookmarkStart w:id="41" w:name="lifecycle"/>
    <w:p>
      <w:pPr>
        <w:pStyle w:val="Heading3"/>
      </w:pPr>
      <w:r>
        <w:t xml:space="preserve">Lifecycle</w:t>
      </w:r>
    </w:p>
    <w:p>
      <w:pPr>
        <w:pStyle w:val="SourceCode"/>
      </w:pPr>
      <w:r>
        <w:rPr>
          <w:rStyle w:val="VerbatimChar"/>
        </w:rPr>
        <w:t xml:space="preserve">Register Robot(s) → Submit Application → Admin Review → Approved (operator role)</w:t>
      </w:r>
      <w:r>
        <w:br/>
      </w:r>
      <w:r>
        <w:rPr>
          <w:rStyle w:val="VerbatimChar"/>
        </w:rPr>
        <w:t xml:space="preserve">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Upload Data → QA Review → Dashboard</w:t>
      </w:r>
    </w:p>
    <w:bookmarkEnd w:id="41"/>
    <w:bookmarkStart w:id="42" w:name="robot-registration"/>
    <w:p>
      <w:pPr>
        <w:pStyle w:val="Heading3"/>
      </w:pPr>
      <w:r>
        <w:t xml:space="preserve">Robot Registration</w:t>
      </w:r>
    </w:p>
    <w:p>
      <w:pPr>
        <w:pStyle w:val="Compact"/>
        <w:numPr>
          <w:ilvl w:val="0"/>
          <w:numId w:val="1011"/>
        </w:numPr>
      </w:pPr>
      <w:r>
        <w:t xml:space="preserve">Users select a</w:t>
      </w:r>
      <w:r>
        <w:t xml:space="preserve"> </w:t>
      </w:r>
      <w:r>
        <w:rPr>
          <w:b/>
          <w:bCs/>
        </w:rPr>
        <w:t xml:space="preserve">manufacturer and model</w:t>
      </w:r>
      <w:r>
        <w:t xml:space="preserve"> </w:t>
      </w:r>
      <w:r>
        <w:t xml:space="preserve">from the platform-approved catalog.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is required and validated against manufacturer-specific format rules.</w:t>
      </w:r>
    </w:p>
    <w:p>
      <w:pPr>
        <w:pStyle w:val="Compact"/>
        <w:numPr>
          <w:ilvl w:val="0"/>
          <w:numId w:val="1011"/>
        </w:numPr>
      </w:pPr>
      <w:r>
        <w:t xml:space="preserve">Each user can register multiple robots.</w:t>
      </w:r>
    </w:p>
    <w:p>
      <w:pPr>
        <w:pStyle w:val="Compact"/>
        <w:numPr>
          <w:ilvl w:val="0"/>
          <w:numId w:val="1011"/>
        </w:numPr>
      </w:pPr>
      <w:r>
        <w:t xml:space="preserve">One robot is designated as the</w:t>
      </w:r>
      <w:r>
        <w:t xml:space="preserve"> </w:t>
      </w:r>
      <w:r>
        <w:rPr>
          <w:b/>
          <w:bCs/>
        </w:rPr>
        <w:t xml:space="preserve">default data producer</w:t>
      </w:r>
      <w:r>
        <w:t xml:space="preserve"> </w:t>
      </w:r>
      <w:r>
        <w:t xml:space="preserve">at all times.</w:t>
      </w:r>
    </w:p>
    <w:p>
      <w:pPr>
        <w:pStyle w:val="Compact"/>
        <w:numPr>
          <w:ilvl w:val="0"/>
          <w:numId w:val="1011"/>
        </w:numPr>
      </w:pPr>
      <w:r>
        <w:t xml:space="preserve">Robots with existing upload history</w:t>
      </w:r>
      <w:r>
        <w:t xml:space="preserve"> </w:t>
      </w:r>
      <w:r>
        <w:rPr>
          <w:b/>
          <w:bCs/>
        </w:rPr>
        <w:t xml:space="preserve">cannot be deleted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If all robots are removed, the user’s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role is automatically revoked.</w:t>
      </w:r>
    </w:p>
    <w:bookmarkEnd w:id="42"/>
    <w:bookmarkStart w:id="43" w:name="operator-membership-application"/>
    <w:p>
      <w:pPr>
        <w:pStyle w:val="Heading3"/>
      </w:pPr>
      <w:r>
        <w:t xml:space="preserve">Operator Membership Application</w:t>
      </w:r>
    </w:p>
    <w:p>
      <w:pPr>
        <w:pStyle w:val="Compact"/>
        <w:numPr>
          <w:ilvl w:val="0"/>
          <w:numId w:val="1012"/>
        </w:numPr>
      </w:pPr>
      <w:r>
        <w:t xml:space="preserve">The user must have at least one registered robot before applying.</w:t>
      </w:r>
    </w:p>
    <w:p>
      <w:pPr>
        <w:pStyle w:val="Compact"/>
        <w:numPr>
          <w:ilvl w:val="0"/>
          <w:numId w:val="1012"/>
        </w:numPr>
      </w:pPr>
      <w:r>
        <w:t xml:space="preserve">The applicant must confirm with a verified email address associated with their account.</w:t>
      </w:r>
    </w:p>
    <w:p>
      <w:pPr>
        <w:pStyle w:val="Compact"/>
        <w:numPr>
          <w:ilvl w:val="0"/>
          <w:numId w:val="1012"/>
        </w:numPr>
      </w:pPr>
      <w:r>
        <w:t xml:space="preserve">Only one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application is allowed at a time.</w:t>
      </w:r>
    </w:p>
    <w:p>
      <w:pPr>
        <w:pStyle w:val="Compact"/>
        <w:numPr>
          <w:ilvl w:val="0"/>
          <w:numId w:val="1012"/>
        </w:numPr>
      </w:pPr>
      <w:r>
        <w:t xml:space="preserve">An email notification is sent to system administrators upon submission.</w:t>
      </w:r>
    </w:p>
    <w:p>
      <w:pPr>
        <w:pStyle w:val="Compact"/>
        <w:numPr>
          <w:ilvl w:val="0"/>
          <w:numId w:val="1012"/>
        </w:numPr>
      </w:pPr>
      <w:r>
        <w:t xml:space="preserve">Application statuses: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On approval, the user receives a confirmation email and gains the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role.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referral-program-end-to-end-flow"/>
    <w:p>
      <w:pPr>
        <w:pStyle w:val="Heading2"/>
      </w:pPr>
      <w:r>
        <w:t xml:space="preserve">13. Referral Program — End-to-End Flow</w:t>
      </w:r>
    </w:p>
    <w:p>
      <w:pPr>
        <w:pStyle w:val="FirstParagraph"/>
      </w:pPr>
      <w:r>
        <w:t xml:space="preserve">Every registered user has a unique, permanent</w:t>
      </w:r>
      <w:r>
        <w:t xml:space="preserve"> </w:t>
      </w:r>
      <w:r>
        <w:rPr>
          <w:b/>
          <w:bCs/>
        </w:rPr>
        <w:t xml:space="preserve">referral code</w:t>
      </w:r>
      <w:r>
        <w:t xml:space="preserve">. Sharing this code with new users earns the referrer two types of ongoing rewards.</w:t>
      </w:r>
    </w:p>
    <w:bookmarkStart w:id="45" w:name="roles"/>
    <w:p>
      <w:pPr>
        <w:pStyle w:val="Heading3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Referrer</w:t>
            </w:r>
          </w:p>
        </w:tc>
        <w:tc>
          <w:tcPr/>
          <w:p>
            <w:pPr>
              <w:pStyle w:val="Compact"/>
            </w:pPr>
            <w:r>
              <w:t xml:space="preserve">The existing user who shares their referral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Referee</w:t>
            </w:r>
          </w:p>
        </w:tc>
        <w:tc>
          <w:tcPr/>
          <w:p>
            <w:pPr>
              <w:pStyle w:val="Compact"/>
            </w:pPr>
            <w:r>
              <w:t xml:space="preserve">The new user who registers using the referrer’s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entry-point"/>
    <w:p>
      <w:pPr>
        <w:pStyle w:val="Heading3"/>
      </w:pPr>
      <w:r>
        <w:t xml:space="preserve">Entry Point</w:t>
      </w:r>
    </w:p>
    <w:p>
      <w:pPr>
        <w:pStyle w:val="FirstParagraph"/>
      </w:pPr>
      <w:r>
        <w:t xml:space="preserve">The referral program is accessible at</w:t>
      </w:r>
      <w:r>
        <w:t xml:space="preserve"> </w:t>
      </w:r>
      <w:hyperlink r:id="rId46">
        <w:r>
          <w:rPr>
            <w:rStyle w:val="Hyperlink"/>
            <w:b/>
            <w:bCs/>
          </w:rPr>
          <w:t xml:space="preserve">https://app.prismax.ai/invite</w:t>
        </w:r>
      </w:hyperlink>
      <w:r>
        <w:t xml:space="preserve">. Users can view their referral code, share it, and check their reward status from this page.</w:t>
      </w:r>
    </w:p>
    <w:p>
      <w:r>
        <w:pict>
          <v:rect style="width:0;height:1.5pt" o:hralign="center" o:hrstd="t" o:hr="t"/>
        </w:pict>
      </w:r>
    </w:p>
    <w:bookmarkEnd w:id="47"/>
    <w:bookmarkStart w:id="48" w:name="step-1-referrer-shares-their-code"/>
    <w:p>
      <w:pPr>
        <w:pStyle w:val="Heading3"/>
      </w:pPr>
      <w:r>
        <w:t xml:space="preserve">Step 1 — Referrer Shares Their Code</w:t>
      </w:r>
    </w:p>
    <w:p>
      <w:pPr>
        <w:pStyle w:val="FirstParagraph"/>
      </w:pPr>
      <w:r>
        <w:t xml:space="preserve">The referrer visits</w:t>
      </w:r>
      <w:r>
        <w:t xml:space="preserve"> </w:t>
      </w:r>
      <w:hyperlink r:id="rId46">
        <w:r>
          <w:rPr>
            <w:rStyle w:val="Hyperlink"/>
          </w:rPr>
          <w:t xml:space="preserve">https://app.prismax.ai/invite</w:t>
        </w:r>
      </w:hyperlink>
      <w:r>
        <w:t xml:space="preserve"> </w:t>
      </w:r>
      <w:r>
        <w:t xml:space="preserve">to find their unique referral code and shares it (e.g., via a link, social post, or direct message). Each user has exactly one code and it never changes.</w:t>
      </w:r>
    </w:p>
    <w:p>
      <w:r>
        <w:pict>
          <v:rect style="width:0;height:1.5pt" o:hralign="center" o:hrstd="t" o:hr="t"/>
        </w:pict>
      </w:r>
    </w:p>
    <w:bookmarkEnd w:id="48"/>
    <w:bookmarkStart w:id="49" w:name="step-2-referee-registers-with-the-code"/>
    <w:p>
      <w:pPr>
        <w:pStyle w:val="Heading3"/>
      </w:pPr>
      <w:r>
        <w:t xml:space="preserve">Step 2 — Referee Registers with the Code</w:t>
      </w:r>
    </w:p>
    <w:p>
      <w:pPr>
        <w:pStyle w:val="FirstParagraph"/>
      </w:pPr>
      <w:r>
        <w:t xml:space="preserve">When a new user signs up, they can enter a referral code during registration. The code is recorded at account creation time and</w:t>
      </w:r>
      <w:r>
        <w:t xml:space="preserve"> </w:t>
      </w:r>
      <w:r>
        <w:rPr>
          <w:b/>
          <w:bCs/>
        </w:rPr>
        <w:t xml:space="preserve">cannot be changed afterwards</w:t>
      </w:r>
      <w:r>
        <w:t xml:space="preserve">. A referral relationship is only established if the code is entered at the moment of first sign-up.</w:t>
      </w:r>
    </w:p>
    <w:p>
      <w:r>
        <w:pict>
          <v:rect style="width:0;height:1.5pt" o:hralign="center" o:hrstd="t" o:hr="t"/>
        </w:pict>
      </w:r>
    </w:p>
    <w:bookmarkEnd w:id="49"/>
    <w:bookmarkStart w:id="50" w:name="step-3-referee-earns-points-normally"/>
    <w:p>
      <w:pPr>
        <w:pStyle w:val="Heading3"/>
      </w:pPr>
      <w:r>
        <w:t xml:space="preserve">Step 3 — Referee Earns Points Normally</w:t>
      </w:r>
    </w:p>
    <w:p>
      <w:pPr>
        <w:pStyle w:val="FirstParagraph"/>
      </w:pPr>
      <w:r>
        <w:t xml:space="preserve">After registering, the referee uses the platform as usual — logging in daily, completing quizzes, doing TeleOp sessions, etc. Every point the referee accumulates contributes to the referrer’s future revenue-share reward.</w:t>
      </w:r>
    </w:p>
    <w:p>
      <w:r>
        <w:pict>
          <v:rect style="width:0;height:1.5pt" o:hralign="center" o:hrstd="t" o:hr="t"/>
        </w:pict>
      </w:r>
    </w:p>
    <w:bookmarkEnd w:id="50"/>
    <w:bookmarkStart w:id="53" w:name="step-4-referrer-claims-rewards"/>
    <w:p>
      <w:pPr>
        <w:pStyle w:val="Heading3"/>
      </w:pPr>
      <w:r>
        <w:t xml:space="preserve">Step 4 — Referrer Claims Rewards</w:t>
      </w:r>
    </w:p>
    <w:p>
      <w:pPr>
        <w:pStyle w:val="FirstParagraph"/>
      </w:pPr>
      <w:r>
        <w:t xml:space="preserve">The referrer visits their referral dashboard and triggers a reward settlement. The system calculates and issues any outstanding rewards at that moment. There is no automatic push — the referrer must check their dashboard to collect.</w:t>
      </w:r>
    </w:p>
    <w:p>
      <w:pPr>
        <w:pStyle w:val="BodyText"/>
      </w:pPr>
      <w:r>
        <w:t xml:space="preserve">Two reward types are settled together:</w:t>
      </w:r>
    </w:p>
    <w:bookmarkStart w:id="51" w:name="a.-invite-bonus-per-referred-user"/>
    <w:p>
      <w:pPr>
        <w:pStyle w:val="Heading4"/>
      </w:pPr>
      <w:r>
        <w:t xml:space="preserve">A. Invite Bonus (per referred user)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500 points for each user the referrer has brought 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Logic:</w:t>
      </w:r>
      <w:r>
        <w:t xml:space="preserve"> </w:t>
      </w:r>
      <w:r>
        <w:t xml:space="preserve">The system tracks the total invite bonus already paid out. Each time the referrer checks, it pays only the incremental difference — so if two new referees have joined since the last check, 1,000 points are issued.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No cap; scales with the number of referees.</w:t>
      </w:r>
    </w:p>
    <w:bookmarkEnd w:id="51"/>
    <w:bookmarkStart w:id="52" w:name="b.-revenue-share-ongoing-10"/>
    <w:p>
      <w:pPr>
        <w:pStyle w:val="Heading4"/>
      </w:pPr>
      <w:r>
        <w:t xml:space="preserve">B. Revenue Share (ongoing, 10%)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10% of the cumulative total points earned by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referrer’s referees, across their entire lifetime on the platform.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Logic:</w:t>
      </w:r>
      <w:r>
        <w:t xml:space="preserve"> </w:t>
      </w:r>
      <w:r>
        <w:t xml:space="preserve">The system computes</w:t>
      </w:r>
      <w:r>
        <w:t xml:space="preserve"> </w:t>
      </w:r>
      <w:r>
        <w:rPr>
          <w:rStyle w:val="VerbatimChar"/>
        </w:rPr>
        <w:t xml:space="preserve">floor(total_referee_points × 10%)</w:t>
      </w:r>
      <w:r>
        <w:t xml:space="preserve">, subtracts what has already been paid out, and issues only the new increment.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If the referrer’s three referees have earned 4,000 points in total since last settlement, the referrer receives 400 new points.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ward-summary-table"/>
    <w:p>
      <w:pPr>
        <w:pStyle w:val="Heading3"/>
      </w:pPr>
      <w:r>
        <w:t xml:space="preserve">Reward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516"/>
        <w:gridCol w:w="1348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Reward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Anti-Duplication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bonus</w:t>
            </w:r>
          </w:p>
        </w:tc>
        <w:tc>
          <w:tcPr/>
          <w:p>
            <w:pPr>
              <w:pStyle w:val="Compact"/>
            </w:pPr>
            <w:r>
              <w:t xml:space="preserve">New referee joins via code</w:t>
            </w:r>
          </w:p>
        </w:tc>
        <w:tc>
          <w:tcPr/>
          <w:p>
            <w:pPr>
              <w:pStyle w:val="Compact"/>
            </w:pPr>
            <w:r>
              <w:t xml:space="preserve">500 pts per referee</w:t>
            </w:r>
          </w:p>
        </w:tc>
        <w:tc>
          <w:tcPr/>
          <w:p>
            <w:pPr>
              <w:pStyle w:val="Compact"/>
            </w:pPr>
            <w:r>
              <w:t xml:space="preserve">Incremental — only unpaid referees are counted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</w:pPr>
            <w:r>
              <w:t xml:space="preserve">Referrer checks dashboard</w:t>
            </w:r>
          </w:p>
        </w:tc>
        <w:tc>
          <w:tcPr/>
          <w:p>
            <w:pPr>
              <w:pStyle w:val="Compact"/>
            </w:pPr>
            <w:r>
              <w:t xml:space="preserve">10% of all referees’ cumulative points</w:t>
            </w:r>
          </w:p>
        </w:tc>
        <w:tc>
          <w:tcPr/>
          <w:p>
            <w:pPr>
              <w:pStyle w:val="Compact"/>
            </w:pPr>
            <w:r>
              <w:t xml:space="preserve">Incremental — only the increase since last settlement is paid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important-rules-edge-cases"/>
    <w:p>
      <w:pPr>
        <w:pStyle w:val="Heading3"/>
      </w:pPr>
      <w:r>
        <w:t xml:space="preserve">Important Rules &amp; Edge Cases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One-time binding:</w:t>
      </w:r>
      <w:r>
        <w:t xml:space="preserve"> </w:t>
      </w:r>
      <w:r>
        <w:t xml:space="preserve">A referee’s referral code is locked at registration. Re-login or re-linking a wallet does not overwrite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self-referral:</w:t>
      </w:r>
      <w:r>
        <w:t xml:space="preserve"> </w:t>
      </w:r>
      <w:r>
        <w:t xml:space="preserve">The system stores the code entered by the new user — referrers cannot enter their own code.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Rewards do not expire:</w:t>
      </w:r>
      <w:r>
        <w:t xml:space="preserve"> </w:t>
      </w:r>
      <w:r>
        <w:t xml:space="preserve">Unclaimed referral rewards accumulate indefinitely and are paid in full whenever the referrer next visits their dashboard.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Referee points count in full:</w:t>
      </w:r>
      <w:r>
        <w:t xml:space="preserve"> </w:t>
      </w:r>
      <w:r>
        <w:t xml:space="preserve">Points earned by a referee from any source (login, quiz, TeleOp, etc.) all contribute to the referrer’s 10% share.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cap on referees:</w:t>
      </w:r>
      <w:r>
        <w:t xml:space="preserve"> </w:t>
      </w:r>
      <w:r>
        <w:t xml:space="preserve">A referrer can invite an unlimited number of users.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app.prismax.ai/inv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pp.prismax.ai/inv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2026-05-15T03:51:25Z</dcterms:created>
  <dcterms:modified xsi:type="dcterms:W3CDTF">2026-05-15T03:51:25Z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