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工资填报查询系统核心技术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pStyle w:val="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TOC \o "1-3" \h \u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_Toc31542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一、新建和动态管理某表（以工资表为例）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instrText xml:space="preserve"> HYPERLINK \l _Toc21456 </w:instrText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1、新建工资表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instrText xml:space="preserve"> HYPERLINK \l _Toc12924 </w:instrText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2、工资表属性管理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instrText xml:space="preserve"> HYPERLINK \l _Toc19004 </w:instrText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3、工资表查询管理页面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instrText xml:space="preserve"> HYPERLINK \l _Toc24611 </w:instrText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二、设置一表对应多表的关系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instrText xml:space="preserve"> HYPERLINK \l _Toc23978 </w:instrText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以工资表对应水电费表和课酬表为例！1对2模式！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instrText xml:space="preserve"> HYPERLINK \l _Toc25420 </w:instrText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1、新建三个表</w:t>
      </w:r>
      <w:bookmarkStart w:id="9" w:name="_GoBack"/>
      <w:bookmarkEnd w:id="9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instrText xml:space="preserve"> HYPERLINK \l _Toc25591 </w:instrText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2、设置关联规则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instrText xml:space="preserve"> HYPERLINK \l _Toc18612 </w:instrText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3、单个记录触发关联规则测试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eastAsia="宋体" w:asciiTheme="minorHAnsi" w:hAnsiTheme="minorHAnsi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4"/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Toc31542"/>
      <w:r>
        <w:rPr>
          <w:rFonts w:hint="eastAsia"/>
          <w:b/>
          <w:bCs/>
          <w:lang w:val="en-US" w:eastAsia="zh-CN"/>
        </w:rPr>
        <w:t>一、新建和动态管理某表（以工资表为例）</w:t>
      </w:r>
      <w:bookmarkEnd w:id="0"/>
    </w:p>
    <w:p>
      <w:pPr>
        <w:outlineLvl w:val="1"/>
        <w:rPr>
          <w:rFonts w:hint="eastAsia"/>
          <w:sz w:val="24"/>
          <w:szCs w:val="24"/>
          <w:lang w:eastAsia="zh-CN"/>
        </w:rPr>
      </w:pPr>
      <w:bookmarkStart w:id="1" w:name="_Toc21456"/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、新建工资表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因为工资由多个子项目构成，并且会经常有变动，所以允许对工资项目进行增加、删除等维护功能。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使用系统部署之时，必须先对需要提供查询的工资项目进行量身订制，才能投入使用。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在网页上新建和编辑该表：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Data\\Tencent\\Users\\47897603\\QQ\\WinTemp\\RichOle\\S391~~31RBF4_}C[~7[SNCL.png"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6405" cy="2826385"/>
            <wp:effectExtent l="0" t="0" r="1714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添加字段如下图所示，备注是为了查询时候的中文显示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Data\\Tencent\\Users\\47897603\\QQ\\WinTemp\\RichOle\\$9$JSRJ1N~FB$PH0C(0D$FD.png"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4655" cy="4478020"/>
            <wp:effectExtent l="0" t="0" r="10795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447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工资表定制好之后，财务人员可以进行字段的选择进一步制定工资表的excel模版，用于工资数据的填报和导入系统。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1292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2、工资表属性管理</w:t>
      </w:r>
      <w:bookmarkEnd w:id="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为了增加系统的动态性和增强系统的扩展性，工资表每个字段都增加若干个属性来进行描述，方便其它模块进行调用。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完整的字段属性如下表所示：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  <w:t>备注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是否选项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是否列入导出模版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是否前台可查询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是否加入前台查询模块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是否加入后台查询模块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同上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B0F0"/>
                <w:kern w:val="0"/>
                <w:sz w:val="24"/>
                <w:szCs w:val="24"/>
                <w:vertAlign w:val="baseline"/>
                <w:lang w:val="en-US" w:eastAsia="zh-CN" w:bidi="ar"/>
              </w:rPr>
              <w:t>是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，网页显示的是下拉列表；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B0F0"/>
                <w:kern w:val="0"/>
                <w:sz w:val="24"/>
                <w:szCs w:val="24"/>
                <w:vertAlign w:val="baseline"/>
                <w:lang w:val="en-US" w:eastAsia="zh-CN" w:bidi="ar"/>
              </w:rPr>
              <w:t>否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，网页显示的就是输入框；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如果用户选择是，则还要有选项的项目输入和编辑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简单的勾选，用于其他模块的引用依据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简单的勾选，用于其他模块的引用依据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简单的勾选，用于其他模块的引用依据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简单的勾选，用于其他模块的引用依据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E5EBEE"/>
              </w:rPr>
              <w:t>personalCard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E5EBEE"/>
              </w:rPr>
              <w:t>varchar(50)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E5EBEE"/>
              </w:rPr>
              <w:t>个人账号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E5EBEE"/>
              </w:rPr>
              <w:t>gongzileixing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E5EBEE"/>
              </w:rPr>
              <w:t>varchar(50)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E5EBEE"/>
              </w:rPr>
              <w:t>工资类型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是，输入的工资类型分别有：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基本和基础性奖励绩效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奖励性绩效工资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...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上两行是举例，特别是“是否选项”属性特别要注意，包括用户导入工资数据的时候，还要经过判断这个字段是否跟原有的项目有吻合的，如果没有则提示出错。举例说明，用户导入数据当中，其中有一条记录的“工资类型”字段的值是“基本绩效工资”，而这个值跟系统原来输入的几个选项都不匹配，则提示出错；如果有匹配的，则可以顺利导入。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建议以上1和2关于工资表的字段相关内容保存在xml之类的外部文件中，以便查询管理调用。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1900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3、工资表查询管理页面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Data\\Tencent\\Users\\47897603\\QQ\\WinTemp\\RichOle\\`HB@NLEN]Q)8NI_00R3SJ41.png"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791575" cy="3429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查询页面有三个部门组成：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1）查询条件：固定条件+动态条件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固定条件：日期期间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动态条件：根据1和2保存的xml之类的外部文件中关于字段是否加入查询条件的内容来制定。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Data\\Tencent\\Users\\47897603\\QQ\\WinTemp\\RichOle\\GD]7QIE[RTM4_OH)Z8]5MJ2.png"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81900" cy="4857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查询结果排列：常规的数据库表查询结果的排列，每行后面应加上编辑和删除等功能；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Data\\Tencent\\Users\\47897603\\QQ\\WinTemp\\RichOle\\W3(ZX`1F(%MSWPKROFGR[CT.png"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21145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3）查询结果常规操作：全选+批量删除+到处excel....。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Settings\\Administrator\\Application Data\\Tencent\\Users\\47897603\\QQ\\WinTemp\\RichOle\\MLEK(5@EN1A$(4H[Q`HDINA.png"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9025" cy="48577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24611"/>
      <w:r>
        <w:rPr>
          <w:rFonts w:hint="eastAsia"/>
          <w:b/>
          <w:bCs/>
          <w:lang w:val="en-US" w:eastAsia="zh-CN"/>
        </w:rPr>
        <w:t>二、设置一表对应多表的关系</w:t>
      </w:r>
      <w:bookmarkEnd w:id="4"/>
    </w:p>
    <w:p>
      <w:pPr>
        <w:outlineLvl w:val="1"/>
        <w:rPr>
          <w:rFonts w:hint="eastAsia"/>
          <w:sz w:val="24"/>
          <w:szCs w:val="24"/>
          <w:lang w:val="en-US" w:eastAsia="zh-CN"/>
        </w:rPr>
      </w:pPr>
      <w:bookmarkStart w:id="5" w:name="_Toc23978"/>
      <w:r>
        <w:rPr>
          <w:rFonts w:hint="eastAsia"/>
          <w:sz w:val="24"/>
          <w:szCs w:val="24"/>
          <w:lang w:val="en-US" w:eastAsia="zh-CN"/>
        </w:rPr>
        <w:t>以工资表对应水电费表和课酬表为例！1对2模式！</w:t>
      </w:r>
      <w:bookmarkEnd w:id="5"/>
    </w:p>
    <w:p>
      <w:pPr>
        <w:outlineLvl w:val="1"/>
        <w:rPr>
          <w:rFonts w:hint="eastAsia"/>
          <w:sz w:val="24"/>
          <w:szCs w:val="24"/>
          <w:lang w:eastAsia="zh-CN"/>
        </w:rPr>
      </w:pPr>
      <w:bookmarkStart w:id="6" w:name="_Toc25420"/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、新建三个表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新建工资表、水电费表、课酬表；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eastAsia="zh-CN"/>
        </w:rPr>
        <w:t>方法同一；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7" w:name="_Toc2559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2、设置关联规则</w:t>
      </w:r>
      <w:bookmarkEnd w:id="7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关联触发规则：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当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课酬表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.教工号==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水电费表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.教工号 且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课酬表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.工资年月==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水电费表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.工资年月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发生如下关系：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工资表新增一条记录：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工资表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.课时津贴=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课酬表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.电子系课时+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课酬表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.电力系课时；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工资表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.扣款合计=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水电费表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.扣水电费+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课酬表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.扣书费；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工资表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.应发合计=（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工资表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.应发合计-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工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资表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.扣款合计）*变量；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8" w:name="_Toc1861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3、单个记录触发关联规则测试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4、批量导入触发关联规则测试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decorative"/>
    <w:pitch w:val="default"/>
    <w:sig w:usb0="00000000" w:usb1="00000000" w:usb2="00000000" w:usb3="00000000" w:csb0="200000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200000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lucida Grande">
    <w:altName w:val="仿宋_GB2312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ruti">
    <w:panose1 w:val="02000500000000000000"/>
    <w:charset w:val="00"/>
    <w:family w:val="decorative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roman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modern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swiss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swiss"/>
    <w:pitch w:val="default"/>
    <w:sig w:usb0="0004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220559">
    <w:nsid w:val="56ADA50F"/>
    <w:multiLevelType w:val="singleLevel"/>
    <w:tmpl w:val="56ADA50F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4542205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F0938"/>
    <w:rsid w:val="0FD9288C"/>
    <w:rsid w:val="16ED23AA"/>
    <w:rsid w:val="409633F4"/>
    <w:rsid w:val="54113878"/>
    <w:rsid w:val="65927733"/>
    <w:rsid w:val="7D2F09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Documents and Settings\Administrator\Application Data\Tencent\Users\47897603\QQ\WinTemp\RichOle\`HB@NLEN]Q)8NI_00R3SJ41.png" TargetMode="External"/><Relationship Id="rId8" Type="http://schemas.openxmlformats.org/officeDocument/2006/relationships/image" Target="media/image3.png"/><Relationship Id="rId7" Type="http://schemas.openxmlformats.org/officeDocument/2006/relationships/image" Target="C:\Documents and Settings\Administrator\Application Data\Tencent\Users\47897603\QQ\WinTemp\RichOle\$9$JSRJ1N~FB$PH0C(0D$FD.png" TargetMode="External"/><Relationship Id="rId6" Type="http://schemas.openxmlformats.org/officeDocument/2006/relationships/image" Target="media/image2.png"/><Relationship Id="rId5" Type="http://schemas.openxmlformats.org/officeDocument/2006/relationships/image" Target="C:\Documents and Settings\Administrator\Application Data\Tencent\Users\47897603\QQ\WinTemp\RichOle\S391~~31RBF4_}C[~7[SNCL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C:\Documents and Settings\Administrator\Application Data\Tencent\Users\47897603\QQ\WinTemp\RichOle\MLEK(5@EN1A$(4H[Q`HDINA.png" TargetMode="External"/><Relationship Id="rId14" Type="http://schemas.openxmlformats.org/officeDocument/2006/relationships/image" Target="media/image6.png"/><Relationship Id="rId13" Type="http://schemas.openxmlformats.org/officeDocument/2006/relationships/image" Target="C:\Documents and Settings\Administrator\Application Data\Tencent\Users\47897603\QQ\WinTemp\RichOle\W3(ZX`1F(%MSWPKROFGR[CT.png" TargetMode="External"/><Relationship Id="rId12" Type="http://schemas.openxmlformats.org/officeDocument/2006/relationships/image" Target="media/image5.png"/><Relationship Id="rId11" Type="http://schemas.openxmlformats.org/officeDocument/2006/relationships/image" Target="C:\Documents and Settings\Administrator\Application Data\Tencent\Users\47897603\QQ\WinTemp\RichOle\GD]7QIE[RTM4_OH)Z8]5MJ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2016-01-31T06:06:00Z</dcterms:created>
  <dc:creator>Administrator</dc:creator>
  <cp:lastModifiedBy>Administrator</cp:lastModifiedBy>
  <dcterms:modified xsi:type="dcterms:W3CDTF">2016-01-31T06:38:51Z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