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关于开展新能源发电项目并网管理的通知</w:t>
      </w:r>
    </w:p>
    <w:p>
      <w:pPr>
        <w:pStyle w:val="Heading1"/>
      </w:pPr>
      <w:r>
        <w:t>第一章 总则</w:t>
      </w:r>
    </w:p>
    <w:p>
      <w:r>
        <w:t>第一条 为规范新能源发电项目并网管理，促进新能源高质量发展，制定本通知。</w:t>
      </w:r>
    </w:p>
    <w:p>
      <w:r>
        <w:t>第二条 本通知适用于接入配电网运行的分布式光伏、分散式风电项目。</w:t>
      </w:r>
    </w:p>
    <w:p>
      <w:pPr>
        <w:pStyle w:val="Heading1"/>
      </w:pPr>
      <w:r>
        <w:t>第二章 并网服务</w:t>
      </w:r>
    </w:p>
    <w:p>
      <w:r>
        <w:t>第三条 电网企业应当为新能源项目提供便捷高效的并网服务，不得无故拒绝或者拖延。</w:t>
      </w:r>
    </w:p>
    <w:p>
      <w:pPr>
        <w:pStyle w:val="Heading2"/>
      </w:pPr>
      <w:r>
        <w:t>一、办理时限</w:t>
      </w:r>
    </w:p>
    <w:p>
      <w:r>
        <w:t>第四条 电网企业应当自受理并网申请之日起二十个工作日内完成答复。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项目类型</w:t>
            </w:r>
          </w:p>
        </w:tc>
        <w:tc>
          <w:tcPr>
            <w:tcW w:type="dxa" w:w="2880"/>
          </w:tcPr>
          <w:p>
            <w:r>
              <w:t>容量上限</w:t>
            </w:r>
          </w:p>
        </w:tc>
        <w:tc>
          <w:tcPr>
            <w:tcW w:type="dxa" w:w="2880"/>
          </w:tcPr>
          <w:p>
            <w:r>
              <w:t>办理时限</w:t>
            </w:r>
          </w:p>
        </w:tc>
      </w:tr>
      <w:tr>
        <w:tc>
          <w:tcPr>
            <w:tcW w:type="dxa" w:w="2880"/>
          </w:tcPr>
          <w:p>
            <w:r>
              <w:t>分布式光伏</w:t>
            </w:r>
          </w:p>
        </w:tc>
        <w:tc>
          <w:tcPr>
            <w:tcW w:type="dxa" w:w="2880"/>
          </w:tcPr>
          <w:p>
            <w:r>
              <w:t>6兆瓦</w:t>
            </w:r>
          </w:p>
        </w:tc>
        <w:tc>
          <w:tcPr>
            <w:tcW w:type="dxa" w:w="2880"/>
          </w:tcPr>
          <w:p>
            <w:r>
              <w:t>20个工作日</w:t>
            </w:r>
          </w:p>
        </w:tc>
      </w:tr>
      <w:tr>
        <w:tc>
          <w:tcPr>
            <w:tcW w:type="dxa" w:w="2880"/>
          </w:tcPr>
          <w:p>
            <w:r>
              <w:t>分散式风电</w:t>
            </w:r>
          </w:p>
        </w:tc>
        <w:tc>
          <w:tcPr>
            <w:tcW w:type="dxa" w:w="2880"/>
          </w:tcPr>
          <w:p>
            <w:r>
              <w:t>50兆瓦</w:t>
            </w:r>
          </w:p>
        </w:tc>
        <w:tc>
          <w:tcPr>
            <w:tcW w:type="dxa" w:w="2880"/>
          </w:tcPr>
          <w:p>
            <w:r>
              <w:t>30个工作日</w:t>
            </w:r>
          </w:p>
        </w:tc>
      </w:tr>
    </w:tbl>
    <w:p>
      <w:pPr>
        <w:pStyle w:val="Heading1"/>
      </w:pPr>
      <w:r>
        <w:t>第三章 附则</w:t>
      </w:r>
    </w:p>
    <w:p>
      <w:r>
        <w:t>第五条 本通知自发布之日起施行，有效期五年。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