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7B625">
      <w:pPr>
        <w:pStyle w:val="3"/>
      </w:pPr>
      <w:r>
        <w:t>Blue Cat Four Team – Agile Project Risk Management Plan</w:t>
      </w:r>
    </w:p>
    <w:p w14:paraId="51565C9E">
      <w:pPr>
        <w:pStyle w:val="4"/>
      </w:pPr>
      <w:r>
        <w:t>1. Introduction</w:t>
      </w:r>
    </w:p>
    <w:p w14:paraId="4AF7C024">
      <w:r>
        <w:t>This plan integrates Agile principles into risk management for the Blue Cat Four team's final project. In Agile development, risks are not identified once at the beginning but are revisited during each sprint iteration. This continuous assessment enables rapid detection, mitigation, and adaptation to changes throughout the project lifecycle.</w:t>
      </w:r>
    </w:p>
    <w:p w14:paraId="02850EA2">
      <w:pPr>
        <w:pStyle w:val="4"/>
      </w:pPr>
      <w:r>
        <w:t>2. Risk Framework</w:t>
      </w:r>
    </w:p>
    <w:p w14:paraId="74CA1985">
      <w:r>
        <w:t>Risks are categorized using the same four core areas, but Agile iteration introduces a cyclical review process at the end of each sprint.</w:t>
      </w:r>
    </w:p>
    <w:tbl>
      <w:tblPr>
        <w:tblStyle w:val="32"/>
        <w:tblW w:w="0" w:type="auto"/>
        <w:tblInd w:w="0" w:type="dxa"/>
        <w:tblLayout w:type="autofit"/>
        <w:tblCellMar>
          <w:top w:w="0" w:type="dxa"/>
          <w:left w:w="108" w:type="dxa"/>
          <w:bottom w:w="0" w:type="dxa"/>
          <w:right w:w="108" w:type="dxa"/>
        </w:tblCellMar>
      </w:tblPr>
      <w:tblGrid>
        <w:gridCol w:w="4320"/>
        <w:gridCol w:w="4320"/>
      </w:tblGrid>
      <w:tr w14:paraId="5248FA57">
        <w:tblPrEx>
          <w:tblCellMar>
            <w:top w:w="0" w:type="dxa"/>
            <w:left w:w="108" w:type="dxa"/>
            <w:bottom w:w="0" w:type="dxa"/>
            <w:right w:w="108" w:type="dxa"/>
          </w:tblCellMar>
        </w:tblPrEx>
        <w:tc>
          <w:tcPr>
            <w:tcW w:w="4320" w:type="dxa"/>
          </w:tcPr>
          <w:p w14:paraId="0AF22691">
            <w:r>
              <w:t>Category</w:t>
            </w:r>
          </w:p>
        </w:tc>
        <w:tc>
          <w:tcPr>
            <w:tcW w:w="4320" w:type="dxa"/>
          </w:tcPr>
          <w:p w14:paraId="3BE5DDC2">
            <w:r>
              <w:t>Description</w:t>
            </w:r>
          </w:p>
        </w:tc>
      </w:tr>
      <w:tr w14:paraId="58FD6684">
        <w:tblPrEx>
          <w:tblCellMar>
            <w:top w:w="0" w:type="dxa"/>
            <w:left w:w="108" w:type="dxa"/>
            <w:bottom w:w="0" w:type="dxa"/>
            <w:right w:w="108" w:type="dxa"/>
          </w:tblCellMar>
        </w:tblPrEx>
        <w:tc>
          <w:tcPr>
            <w:tcW w:w="4320" w:type="dxa"/>
          </w:tcPr>
          <w:p w14:paraId="4100485E">
            <w:r>
              <w:t>Student Contribution</w:t>
            </w:r>
          </w:p>
        </w:tc>
        <w:tc>
          <w:tcPr>
            <w:tcW w:w="4320" w:type="dxa"/>
          </w:tcPr>
          <w:p w14:paraId="12C2D0CD">
            <w:r>
              <w:t>Motivation, expertise, availability, and health of members.</w:t>
            </w:r>
          </w:p>
        </w:tc>
      </w:tr>
      <w:tr w14:paraId="30C3C3E5">
        <w:tblPrEx>
          <w:tblCellMar>
            <w:top w:w="0" w:type="dxa"/>
            <w:left w:w="108" w:type="dxa"/>
            <w:bottom w:w="0" w:type="dxa"/>
            <w:right w:w="108" w:type="dxa"/>
          </w:tblCellMar>
        </w:tblPrEx>
        <w:tc>
          <w:tcPr>
            <w:tcW w:w="4320" w:type="dxa"/>
          </w:tcPr>
          <w:p w14:paraId="7E3BCFC8">
            <w:r>
              <w:t>Team Self-Management</w:t>
            </w:r>
          </w:p>
        </w:tc>
        <w:tc>
          <w:tcPr>
            <w:tcW w:w="4320" w:type="dxa"/>
          </w:tcPr>
          <w:p w14:paraId="39BDA4FD">
            <w:r>
              <w:t>Communication, coordination, cooperation, and clarity.</w:t>
            </w:r>
          </w:p>
        </w:tc>
      </w:tr>
      <w:tr w14:paraId="25F9DE9C">
        <w:tblPrEx>
          <w:tblCellMar>
            <w:top w:w="0" w:type="dxa"/>
            <w:left w:w="108" w:type="dxa"/>
            <w:bottom w:w="0" w:type="dxa"/>
            <w:right w:w="108" w:type="dxa"/>
          </w:tblCellMar>
        </w:tblPrEx>
        <w:tc>
          <w:tcPr>
            <w:tcW w:w="4320" w:type="dxa"/>
          </w:tcPr>
          <w:p w14:paraId="00C17EF2">
            <w:r>
              <w:t>Resources</w:t>
            </w:r>
          </w:p>
        </w:tc>
        <w:tc>
          <w:tcPr>
            <w:tcW w:w="4320" w:type="dxa"/>
          </w:tcPr>
          <w:p w14:paraId="4D21E98D">
            <w:r>
              <w:t>Failures or inaccessibility of required software, hardware, or network.</w:t>
            </w:r>
          </w:p>
        </w:tc>
      </w:tr>
      <w:tr w14:paraId="7B30ABE3">
        <w:tblPrEx>
          <w:tblCellMar>
            <w:top w:w="0" w:type="dxa"/>
            <w:left w:w="108" w:type="dxa"/>
            <w:bottom w:w="0" w:type="dxa"/>
            <w:right w:w="108" w:type="dxa"/>
          </w:tblCellMar>
        </w:tblPrEx>
        <w:tc>
          <w:tcPr>
            <w:tcW w:w="4320" w:type="dxa"/>
          </w:tcPr>
          <w:p w14:paraId="4E4A0EB8">
            <w:r>
              <w:t>Stakeholders</w:t>
            </w:r>
          </w:p>
        </w:tc>
        <w:tc>
          <w:tcPr>
            <w:tcW w:w="4320" w:type="dxa"/>
          </w:tcPr>
          <w:p w14:paraId="36738DFC">
            <w:r>
              <w:t>Availability and expectations of teaching staff or clients.</w:t>
            </w:r>
          </w:p>
        </w:tc>
      </w:tr>
    </w:tbl>
    <w:p w14:paraId="30D35D35">
      <w:pPr>
        <w:pStyle w:val="4"/>
      </w:pPr>
      <w:r>
        <w:t>3. Identified Key Risks</w:t>
      </w:r>
    </w:p>
    <w:p w14:paraId="34A79E19">
      <w:r>
        <w:t>Key risks remain consistent across sprints but are continuously reassessed during sprint retrospectives. The likelihood and impact values may change as new information emerges.</w:t>
      </w:r>
    </w:p>
    <w:tbl>
      <w:tblPr>
        <w:tblStyle w:val="3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4A1FB2B7">
        <w:tblPrEx>
          <w:tblCellMar>
            <w:top w:w="0" w:type="dxa"/>
            <w:left w:w="108" w:type="dxa"/>
            <w:bottom w:w="0" w:type="dxa"/>
            <w:right w:w="108" w:type="dxa"/>
          </w:tblCellMar>
        </w:tblPrEx>
        <w:tc>
          <w:tcPr>
            <w:tcW w:w="1728" w:type="dxa"/>
          </w:tcPr>
          <w:p w14:paraId="5548B9BF">
            <w:r>
              <w:t>No.</w:t>
            </w:r>
          </w:p>
        </w:tc>
        <w:tc>
          <w:tcPr>
            <w:tcW w:w="1728" w:type="dxa"/>
          </w:tcPr>
          <w:p w14:paraId="6398C75F">
            <w:r>
              <w:t>Risk</w:t>
            </w:r>
          </w:p>
        </w:tc>
        <w:tc>
          <w:tcPr>
            <w:tcW w:w="1728" w:type="dxa"/>
          </w:tcPr>
          <w:p w14:paraId="23677C95">
            <w:r>
              <w:t>Likelihood</w:t>
            </w:r>
          </w:p>
        </w:tc>
        <w:tc>
          <w:tcPr>
            <w:tcW w:w="1728" w:type="dxa"/>
          </w:tcPr>
          <w:p w14:paraId="2600DD71">
            <w:r>
              <w:t>Impact</w:t>
            </w:r>
          </w:p>
        </w:tc>
        <w:tc>
          <w:tcPr>
            <w:tcW w:w="1728" w:type="dxa"/>
          </w:tcPr>
          <w:p w14:paraId="4835A43C">
            <w:r>
              <w:t>Category</w:t>
            </w:r>
          </w:p>
        </w:tc>
      </w:tr>
      <w:tr w14:paraId="6C7CAD17">
        <w:tblPrEx>
          <w:tblCellMar>
            <w:top w:w="0" w:type="dxa"/>
            <w:left w:w="108" w:type="dxa"/>
            <w:bottom w:w="0" w:type="dxa"/>
            <w:right w:w="108" w:type="dxa"/>
          </w:tblCellMar>
        </w:tblPrEx>
        <w:tc>
          <w:tcPr>
            <w:tcW w:w="1728" w:type="dxa"/>
          </w:tcPr>
          <w:p w14:paraId="135D2B58">
            <w:r>
              <w:t>1</w:t>
            </w:r>
          </w:p>
        </w:tc>
        <w:tc>
          <w:tcPr>
            <w:tcW w:w="1728" w:type="dxa"/>
          </w:tcPr>
          <w:p w14:paraId="214366E6">
            <w:r>
              <w:t>Team member not contributing or unavailable</w:t>
            </w:r>
          </w:p>
        </w:tc>
        <w:tc>
          <w:tcPr>
            <w:tcW w:w="1728" w:type="dxa"/>
          </w:tcPr>
          <w:p w14:paraId="71D3A8DD">
            <w:r>
              <w:t>Medium</w:t>
            </w:r>
          </w:p>
        </w:tc>
        <w:tc>
          <w:tcPr>
            <w:tcW w:w="1728" w:type="dxa"/>
          </w:tcPr>
          <w:p w14:paraId="01EBDB08">
            <w:r>
              <w:t>High</w:t>
            </w:r>
          </w:p>
        </w:tc>
        <w:tc>
          <w:tcPr>
            <w:tcW w:w="1728" w:type="dxa"/>
          </w:tcPr>
          <w:p w14:paraId="63317E2B">
            <w:r>
              <w:t>Student Contribution</w:t>
            </w:r>
          </w:p>
        </w:tc>
      </w:tr>
      <w:tr w14:paraId="4E9AC7F1">
        <w:tblPrEx>
          <w:tblCellMar>
            <w:top w:w="0" w:type="dxa"/>
            <w:left w:w="108" w:type="dxa"/>
            <w:bottom w:w="0" w:type="dxa"/>
            <w:right w:w="108" w:type="dxa"/>
          </w:tblCellMar>
        </w:tblPrEx>
        <w:tc>
          <w:tcPr>
            <w:tcW w:w="1728" w:type="dxa"/>
          </w:tcPr>
          <w:p w14:paraId="5F70D7BB">
            <w:r>
              <w:t>2</w:t>
            </w:r>
          </w:p>
        </w:tc>
        <w:tc>
          <w:tcPr>
            <w:tcW w:w="1728" w:type="dxa"/>
          </w:tcPr>
          <w:p w14:paraId="0B17DDF4">
            <w:r>
              <w:t>Poor communication and unclear task division</w:t>
            </w:r>
          </w:p>
        </w:tc>
        <w:tc>
          <w:tcPr>
            <w:tcW w:w="1728" w:type="dxa"/>
          </w:tcPr>
          <w:p w14:paraId="115E94B3">
            <w:r>
              <w:t>High</w:t>
            </w:r>
          </w:p>
        </w:tc>
        <w:tc>
          <w:tcPr>
            <w:tcW w:w="1728" w:type="dxa"/>
          </w:tcPr>
          <w:p w14:paraId="50067C66">
            <w:r>
              <w:t>High</w:t>
            </w:r>
          </w:p>
        </w:tc>
        <w:tc>
          <w:tcPr>
            <w:tcW w:w="1728" w:type="dxa"/>
          </w:tcPr>
          <w:p w14:paraId="7B78F963">
            <w:r>
              <w:t>Team Self-Management</w:t>
            </w:r>
          </w:p>
        </w:tc>
      </w:tr>
      <w:tr w14:paraId="427C0D12">
        <w:tblPrEx>
          <w:tblCellMar>
            <w:top w:w="0" w:type="dxa"/>
            <w:left w:w="108" w:type="dxa"/>
            <w:bottom w:w="0" w:type="dxa"/>
            <w:right w:w="108" w:type="dxa"/>
          </w:tblCellMar>
        </w:tblPrEx>
        <w:tc>
          <w:tcPr>
            <w:tcW w:w="1728" w:type="dxa"/>
          </w:tcPr>
          <w:p w14:paraId="6035A76A">
            <w:r>
              <w:t>3</w:t>
            </w:r>
          </w:p>
        </w:tc>
        <w:tc>
          <w:tcPr>
            <w:tcW w:w="1728" w:type="dxa"/>
          </w:tcPr>
          <w:p w14:paraId="66C72A1B">
            <w:r>
              <w:t>Technical unfamiliarity with Svelte or SQLite</w:t>
            </w:r>
          </w:p>
        </w:tc>
        <w:tc>
          <w:tcPr>
            <w:tcW w:w="1728" w:type="dxa"/>
          </w:tcPr>
          <w:p w14:paraId="6B910BA3">
            <w:r>
              <w:t>Medium</w:t>
            </w:r>
          </w:p>
        </w:tc>
        <w:tc>
          <w:tcPr>
            <w:tcW w:w="1728" w:type="dxa"/>
          </w:tcPr>
          <w:p w14:paraId="485CE540">
            <w:r>
              <w:t>Medium</w:t>
            </w:r>
          </w:p>
        </w:tc>
        <w:tc>
          <w:tcPr>
            <w:tcW w:w="1728" w:type="dxa"/>
          </w:tcPr>
          <w:p w14:paraId="01E74E21">
            <w:r>
              <w:t>Resources</w:t>
            </w:r>
          </w:p>
        </w:tc>
      </w:tr>
      <w:tr w14:paraId="33E8DA00">
        <w:tblPrEx>
          <w:tblCellMar>
            <w:top w:w="0" w:type="dxa"/>
            <w:left w:w="108" w:type="dxa"/>
            <w:bottom w:w="0" w:type="dxa"/>
            <w:right w:w="108" w:type="dxa"/>
          </w:tblCellMar>
        </w:tblPrEx>
        <w:tc>
          <w:tcPr>
            <w:tcW w:w="1728" w:type="dxa"/>
          </w:tcPr>
          <w:p w14:paraId="5CA97D7B">
            <w:r>
              <w:t>4</w:t>
            </w:r>
          </w:p>
        </w:tc>
        <w:tc>
          <w:tcPr>
            <w:tcW w:w="1728" w:type="dxa"/>
          </w:tcPr>
          <w:p w14:paraId="4D763635">
            <w:r>
              <w:t>Time conflict and workload imbalance</w:t>
            </w:r>
          </w:p>
        </w:tc>
        <w:tc>
          <w:tcPr>
            <w:tcW w:w="1728" w:type="dxa"/>
          </w:tcPr>
          <w:p w14:paraId="53AE10E7">
            <w:r>
              <w:t>High</w:t>
            </w:r>
          </w:p>
        </w:tc>
        <w:tc>
          <w:tcPr>
            <w:tcW w:w="1728" w:type="dxa"/>
          </w:tcPr>
          <w:p w14:paraId="042D515D">
            <w:r>
              <w:t>High</w:t>
            </w:r>
          </w:p>
        </w:tc>
        <w:tc>
          <w:tcPr>
            <w:tcW w:w="1728" w:type="dxa"/>
          </w:tcPr>
          <w:p w14:paraId="3D9CFCAB">
            <w:r>
              <w:t>Team Self-Management</w:t>
            </w:r>
          </w:p>
        </w:tc>
      </w:tr>
    </w:tbl>
    <w:p w14:paraId="66FCDD0C">
      <w:pPr>
        <w:pStyle w:val="4"/>
      </w:pPr>
      <w:r>
        <w:t>4. Agile Risk Management Strategies</w:t>
      </w:r>
    </w:p>
    <w:p w14:paraId="4C861A3E">
      <w:r>
        <w:t>Each risk is managed through the Agile cycle of Prevent–Monitor–Respond–Escalate, reinforced by sprint ceremonies such as daily stand-ups, sprint reviews, and retrospectives.</w:t>
      </w:r>
    </w:p>
    <w:tbl>
      <w:tblPr>
        <w:tblStyle w:val="3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7C92FFDA">
        <w:tblPrEx>
          <w:tblCellMar>
            <w:top w:w="0" w:type="dxa"/>
            <w:left w:w="108" w:type="dxa"/>
            <w:bottom w:w="0" w:type="dxa"/>
            <w:right w:w="108" w:type="dxa"/>
          </w:tblCellMar>
        </w:tblPrEx>
        <w:tc>
          <w:tcPr>
            <w:tcW w:w="1728" w:type="dxa"/>
          </w:tcPr>
          <w:p w14:paraId="669E6A55">
            <w:r>
              <w:t>Risk</w:t>
            </w:r>
          </w:p>
        </w:tc>
        <w:tc>
          <w:tcPr>
            <w:tcW w:w="1728" w:type="dxa"/>
          </w:tcPr>
          <w:p w14:paraId="41349786">
            <w:r>
              <w:t>Prevent</w:t>
            </w:r>
          </w:p>
        </w:tc>
        <w:tc>
          <w:tcPr>
            <w:tcW w:w="1728" w:type="dxa"/>
          </w:tcPr>
          <w:p w14:paraId="0A2D5A6B">
            <w:r>
              <w:t>Monitor</w:t>
            </w:r>
          </w:p>
        </w:tc>
        <w:tc>
          <w:tcPr>
            <w:tcW w:w="1728" w:type="dxa"/>
          </w:tcPr>
          <w:p w14:paraId="6A6A044C">
            <w:r>
              <w:t>Respond</w:t>
            </w:r>
          </w:p>
        </w:tc>
        <w:tc>
          <w:tcPr>
            <w:tcW w:w="1728" w:type="dxa"/>
          </w:tcPr>
          <w:p w14:paraId="400F7777">
            <w:r>
              <w:t>Escalate</w:t>
            </w:r>
          </w:p>
        </w:tc>
      </w:tr>
      <w:tr w14:paraId="3BC3AA5B">
        <w:tblPrEx>
          <w:tblCellMar>
            <w:top w:w="0" w:type="dxa"/>
            <w:left w:w="108" w:type="dxa"/>
            <w:bottom w:w="0" w:type="dxa"/>
            <w:right w:w="108" w:type="dxa"/>
          </w:tblCellMar>
        </w:tblPrEx>
        <w:tc>
          <w:tcPr>
            <w:tcW w:w="1728" w:type="dxa"/>
          </w:tcPr>
          <w:p w14:paraId="79378975">
            <w:r>
              <w:t>Member not contributing</w:t>
            </w:r>
          </w:p>
        </w:tc>
        <w:tc>
          <w:tcPr>
            <w:tcW w:w="1728" w:type="dxa"/>
          </w:tcPr>
          <w:p w14:paraId="0DA94353">
            <w:r>
              <w:t>Use GitHub Projects for weekly sprint task allocation; define clear acceptance criteria for each story.</w:t>
            </w:r>
          </w:p>
        </w:tc>
        <w:tc>
          <w:tcPr>
            <w:tcW w:w="1728" w:type="dxa"/>
          </w:tcPr>
          <w:p w14:paraId="02F20660">
            <w:r>
              <w:t>Review contributions daily in stand-ups and via GitHub commits.</w:t>
            </w:r>
          </w:p>
        </w:tc>
        <w:tc>
          <w:tcPr>
            <w:tcW w:w="1728" w:type="dxa"/>
          </w:tcPr>
          <w:p w14:paraId="16D8E448">
            <w:r>
              <w:t>Discuss blockers in sprint retrospectives and reassign tasks if necessary.</w:t>
            </w:r>
          </w:p>
        </w:tc>
        <w:tc>
          <w:tcPr>
            <w:tcW w:w="1728" w:type="dxa"/>
          </w:tcPr>
          <w:p w14:paraId="380EF76D">
            <w:r>
              <w:t>If unresolved by next sprint planning, escalate to teaching staff.</w:t>
            </w:r>
          </w:p>
        </w:tc>
      </w:tr>
      <w:tr w14:paraId="561B6C29">
        <w:tblPrEx>
          <w:tblCellMar>
            <w:top w:w="0" w:type="dxa"/>
            <w:left w:w="108" w:type="dxa"/>
            <w:bottom w:w="0" w:type="dxa"/>
            <w:right w:w="108" w:type="dxa"/>
          </w:tblCellMar>
        </w:tblPrEx>
        <w:tc>
          <w:tcPr>
            <w:tcW w:w="1728" w:type="dxa"/>
          </w:tcPr>
          <w:p w14:paraId="267BEDAA">
            <w:r>
              <w:t>Communication breakdown</w:t>
            </w:r>
          </w:p>
        </w:tc>
        <w:tc>
          <w:tcPr>
            <w:tcW w:w="1728" w:type="dxa"/>
          </w:tcPr>
          <w:p w14:paraId="3953AF0A">
            <w:r>
              <w:t>Define communication tools (</w:t>
            </w:r>
            <w:r>
              <w:rPr>
                <w:rFonts w:hint="eastAsia" w:eastAsia="宋体"/>
                <w:lang w:val="en-US" w:eastAsia="zh-CN"/>
              </w:rPr>
              <w:t>Zoom,Tencent Meeting</w:t>
            </w:r>
            <w:r>
              <w:t>) and fixed sprint meetings.</w:t>
            </w:r>
          </w:p>
        </w:tc>
        <w:tc>
          <w:tcPr>
            <w:tcW w:w="1728" w:type="dxa"/>
          </w:tcPr>
          <w:p w14:paraId="3946CFC1">
            <w:r>
              <w:t>Track responsiveness and participation in daily stand-ups.</w:t>
            </w:r>
          </w:p>
        </w:tc>
        <w:tc>
          <w:tcPr>
            <w:tcW w:w="1728" w:type="dxa"/>
          </w:tcPr>
          <w:p w14:paraId="69E01621">
            <w:r>
              <w:t>Conduct quick retrospective if communication issues persist.</w:t>
            </w:r>
          </w:p>
        </w:tc>
        <w:tc>
          <w:tcPr>
            <w:tcW w:w="1728" w:type="dxa"/>
          </w:tcPr>
          <w:p w14:paraId="3E8F5CB1">
            <w:r>
              <w:t>Seek tutor mediation if unresolved in the following sprint.</w:t>
            </w:r>
          </w:p>
        </w:tc>
      </w:tr>
      <w:tr w14:paraId="69762A7A">
        <w:tblPrEx>
          <w:tblCellMar>
            <w:top w:w="0" w:type="dxa"/>
            <w:left w:w="108" w:type="dxa"/>
            <w:bottom w:w="0" w:type="dxa"/>
            <w:right w:w="108" w:type="dxa"/>
          </w:tblCellMar>
        </w:tblPrEx>
        <w:tc>
          <w:tcPr>
            <w:tcW w:w="1728" w:type="dxa"/>
          </w:tcPr>
          <w:p w14:paraId="170C5E0A">
            <w:r>
              <w:t>Technical unfamiliarity</w:t>
            </w:r>
          </w:p>
        </w:tc>
        <w:tc>
          <w:tcPr>
            <w:tcW w:w="1728" w:type="dxa"/>
          </w:tcPr>
          <w:p w14:paraId="4E2FEFD0">
            <w:r>
              <w:t>Include learning tasks in early sprints; schedule pair programming sessions.</w:t>
            </w:r>
          </w:p>
        </w:tc>
        <w:tc>
          <w:tcPr>
            <w:tcW w:w="1728" w:type="dxa"/>
          </w:tcPr>
          <w:p w14:paraId="3EEF2F2A">
            <w:r>
              <w:t>Monitor progress via sprint reviews and code quality checks.</w:t>
            </w:r>
          </w:p>
        </w:tc>
        <w:tc>
          <w:tcPr>
            <w:tcW w:w="1728" w:type="dxa"/>
          </w:tcPr>
          <w:p w14:paraId="610FCF07">
            <w:r>
              <w:t>Assign mentors to struggling members and adjust sprint goals.</w:t>
            </w:r>
          </w:p>
        </w:tc>
        <w:tc>
          <w:tcPr>
            <w:tcW w:w="1728" w:type="dxa"/>
          </w:tcPr>
          <w:p w14:paraId="62CE4C2C">
            <w:r>
              <w:t>If blockers remain after two sprints, request instructor assistance.</w:t>
            </w:r>
          </w:p>
        </w:tc>
      </w:tr>
      <w:tr w14:paraId="1F6BCF56">
        <w:tblPrEx>
          <w:tblCellMar>
            <w:top w:w="0" w:type="dxa"/>
            <w:left w:w="108" w:type="dxa"/>
            <w:bottom w:w="0" w:type="dxa"/>
            <w:right w:w="108" w:type="dxa"/>
          </w:tblCellMar>
        </w:tblPrEx>
        <w:tc>
          <w:tcPr>
            <w:tcW w:w="1728" w:type="dxa"/>
          </w:tcPr>
          <w:p w14:paraId="46875A3F">
            <w:r>
              <w:t>Time conflict or workload imbalance</w:t>
            </w:r>
          </w:p>
        </w:tc>
        <w:tc>
          <w:tcPr>
            <w:tcW w:w="1728" w:type="dxa"/>
          </w:tcPr>
          <w:p w14:paraId="66CD55E7">
            <w:r>
              <w:t>Set realistic sprint goals and maintain visible task board workload charts.</w:t>
            </w:r>
          </w:p>
        </w:tc>
        <w:tc>
          <w:tcPr>
            <w:tcW w:w="1728" w:type="dxa"/>
          </w:tcPr>
          <w:p w14:paraId="69EA681E">
            <w:r>
              <w:t>Compare planned vs actual progress in sprint reviews.</w:t>
            </w:r>
          </w:p>
        </w:tc>
        <w:tc>
          <w:tcPr>
            <w:tcW w:w="1728" w:type="dxa"/>
          </w:tcPr>
          <w:p w14:paraId="7FF1A32E">
            <w:r>
              <w:t>Rebalance tasks in sprint planning meetings.</w:t>
            </w:r>
          </w:p>
        </w:tc>
        <w:tc>
          <w:tcPr>
            <w:tcW w:w="1728" w:type="dxa"/>
          </w:tcPr>
          <w:p w14:paraId="230C029C">
            <w:r>
              <w:t>If conflicts persist across sprints, escalate to course coordinator.</w:t>
            </w:r>
          </w:p>
        </w:tc>
      </w:tr>
    </w:tbl>
    <w:p w14:paraId="075335E1">
      <w:pPr>
        <w:pStyle w:val="4"/>
      </w:pPr>
      <w:r>
        <w:t>5. Monitoring and Responsibility</w:t>
      </w:r>
    </w:p>
    <w:p w14:paraId="093A1459">
      <w:r>
        <w:t>Scrum Master (rotated among members): Facilitates sprint meetings, ensures Agile principles are followed, and monitors emerging risks.</w:t>
      </w:r>
      <w:r>
        <w:br w:type="textWrapping"/>
      </w:r>
      <w:r>
        <w:t>Team Leader (</w:t>
      </w:r>
      <w:r>
        <w:rPr>
          <w:rFonts w:hint="eastAsia" w:eastAsia="宋体"/>
          <w:lang w:val="en-US" w:eastAsia="zh-CN"/>
        </w:rPr>
        <w:t>Leo</w:t>
      </w:r>
      <w:r>
        <w:t>): Oversees overall progress, ensures sprint deliverables align with project goals.</w:t>
      </w:r>
      <w:r>
        <w:br w:type="textWrapping"/>
      </w:r>
      <w:r>
        <w:t>Front-end Lead (</w:t>
      </w:r>
      <w:r>
        <w:rPr>
          <w:rFonts w:hint="eastAsia" w:eastAsia="宋体"/>
          <w:lang w:val="en-US" w:eastAsia="zh-CN"/>
        </w:rPr>
        <w:t>Steven</w:t>
      </w:r>
      <w:r>
        <w:t>): Tracks UI/UX and Svelte development progress.</w:t>
      </w:r>
      <w:r>
        <w:br w:type="textWrapping"/>
      </w:r>
      <w:r>
        <w:t>Back-end Lead (</w:t>
      </w:r>
      <w:r>
        <w:rPr>
          <w:rFonts w:hint="eastAsia" w:eastAsia="宋体"/>
          <w:lang w:val="en-US" w:eastAsia="zh-CN"/>
        </w:rPr>
        <w:t>Zachary</w:t>
      </w:r>
      <w:r>
        <w:t>): Manages database (SQLite) and API integration.</w:t>
      </w:r>
      <w:r>
        <w:br w:type="textWrapping"/>
      </w:r>
      <w:r>
        <w:t>Admin Tool Lead (</w:t>
      </w:r>
      <w:r>
        <w:rPr>
          <w:rFonts w:hint="eastAsia" w:eastAsia="宋体"/>
          <w:lang w:val="en-US" w:eastAsia="zh-CN"/>
        </w:rPr>
        <w:t>Kevin</w:t>
      </w:r>
      <w:r>
        <w:t>): Oversees Java Swing admin interface and integration testing.</w:t>
      </w:r>
      <w:r>
        <w:br w:type="textWrapping"/>
      </w:r>
      <w:r>
        <w:t>All members participate in risk reviews during sprint retrospectives.</w:t>
      </w:r>
    </w:p>
    <w:p w14:paraId="752A4061">
      <w:pPr>
        <w:pStyle w:val="4"/>
      </w:pPr>
      <w:r>
        <w:t>6. Risk Escalation Procedure</w:t>
      </w:r>
    </w:p>
    <w:p w14:paraId="35EF15E0">
      <w:r>
        <w:t>1. Identify issue during daily stand-up and attempt immediate resolution within the sprint.</w:t>
      </w:r>
      <w:r>
        <w:br w:type="textWrapping"/>
      </w:r>
      <w:r>
        <w:t>2. If unresolved, Scrum Master mediates and documents the issue.</w:t>
      </w:r>
      <w:r>
        <w:br w:type="textWrapping"/>
      </w:r>
      <w:r>
        <w:t>3. If still unresolved by sprint end, escalate to teaching staff during or after sprint review.</w:t>
      </w:r>
      <w:r>
        <w:br w:type="textWrapping"/>
      </w:r>
      <w:r>
        <w:t>4. Maintain a risk log in the GitHub Project board for transparency.</w:t>
      </w:r>
    </w:p>
    <w:p w14:paraId="5F06007F">
      <w:pPr>
        <w:pStyle w:val="4"/>
      </w:pPr>
      <w:r>
        <w:t>7. Sprint-based Review Schedule</w:t>
      </w:r>
    </w:p>
    <w:tbl>
      <w:tblPr>
        <w:tblStyle w:val="32"/>
        <w:tblW w:w="0" w:type="auto"/>
        <w:tblInd w:w="0" w:type="dxa"/>
        <w:tblLayout w:type="autofit"/>
        <w:tblCellMar>
          <w:top w:w="0" w:type="dxa"/>
          <w:left w:w="108" w:type="dxa"/>
          <w:bottom w:w="0" w:type="dxa"/>
          <w:right w:w="108" w:type="dxa"/>
        </w:tblCellMar>
      </w:tblPr>
      <w:tblGrid>
        <w:gridCol w:w="2880"/>
        <w:gridCol w:w="2880"/>
        <w:gridCol w:w="2880"/>
      </w:tblGrid>
      <w:tr w14:paraId="57AFABC8">
        <w:tblPrEx>
          <w:tblCellMar>
            <w:top w:w="0" w:type="dxa"/>
            <w:left w:w="108" w:type="dxa"/>
            <w:bottom w:w="0" w:type="dxa"/>
            <w:right w:w="108" w:type="dxa"/>
          </w:tblCellMar>
        </w:tblPrEx>
        <w:tc>
          <w:tcPr>
            <w:tcW w:w="2880" w:type="dxa"/>
          </w:tcPr>
          <w:p w14:paraId="6D94CF33">
            <w:r>
              <w:t>Sprint</w:t>
            </w:r>
          </w:p>
        </w:tc>
        <w:tc>
          <w:tcPr>
            <w:tcW w:w="2880" w:type="dxa"/>
          </w:tcPr>
          <w:p w14:paraId="178E5AFF">
            <w:r>
              <w:t>Action</w:t>
            </w:r>
          </w:p>
        </w:tc>
        <w:tc>
          <w:tcPr>
            <w:tcW w:w="2880" w:type="dxa"/>
          </w:tcPr>
          <w:p w14:paraId="3441956F">
            <w:r>
              <w:t>Responsible</w:t>
            </w:r>
          </w:p>
        </w:tc>
      </w:tr>
      <w:tr w14:paraId="42A80EE3">
        <w:tblPrEx>
          <w:tblCellMar>
            <w:top w:w="0" w:type="dxa"/>
            <w:left w:w="108" w:type="dxa"/>
            <w:bottom w:w="0" w:type="dxa"/>
            <w:right w:w="108" w:type="dxa"/>
          </w:tblCellMar>
        </w:tblPrEx>
        <w:tc>
          <w:tcPr>
            <w:tcW w:w="2880" w:type="dxa"/>
          </w:tcPr>
          <w:p w14:paraId="4AE1AC84">
            <w:r>
              <w:t>Sprint 1</w:t>
            </w:r>
          </w:p>
        </w:tc>
        <w:tc>
          <w:tcPr>
            <w:tcW w:w="2880" w:type="dxa"/>
          </w:tcPr>
          <w:p w14:paraId="0EC9729D">
            <w:r>
              <w:t>Identify initial risks and assign monitoring roles</w:t>
            </w:r>
          </w:p>
        </w:tc>
        <w:tc>
          <w:tcPr>
            <w:tcW w:w="2880" w:type="dxa"/>
          </w:tcPr>
          <w:p w14:paraId="3322BFAC">
            <w:r>
              <w:t>A</w:t>
            </w:r>
          </w:p>
        </w:tc>
      </w:tr>
      <w:tr w14:paraId="5F2B457D">
        <w:tblPrEx>
          <w:tblCellMar>
            <w:top w:w="0" w:type="dxa"/>
            <w:left w:w="108" w:type="dxa"/>
            <w:bottom w:w="0" w:type="dxa"/>
            <w:right w:w="108" w:type="dxa"/>
          </w:tblCellMar>
        </w:tblPrEx>
        <w:tc>
          <w:tcPr>
            <w:tcW w:w="2880" w:type="dxa"/>
          </w:tcPr>
          <w:p w14:paraId="26A40255">
            <w:r>
              <w:t>Sprint 2</w:t>
            </w:r>
          </w:p>
        </w:tc>
        <w:tc>
          <w:tcPr>
            <w:tcW w:w="2880" w:type="dxa"/>
          </w:tcPr>
          <w:p w14:paraId="17C58AB2">
            <w:r>
              <w:t>Review and update risks during retrospective</w:t>
            </w:r>
          </w:p>
        </w:tc>
        <w:tc>
          <w:tcPr>
            <w:tcW w:w="2880" w:type="dxa"/>
          </w:tcPr>
          <w:p w14:paraId="3538D47B">
            <w:r>
              <w:t>All</w:t>
            </w:r>
          </w:p>
        </w:tc>
      </w:tr>
      <w:tr w14:paraId="28AD4CA3">
        <w:tblPrEx>
          <w:tblCellMar>
            <w:top w:w="0" w:type="dxa"/>
            <w:left w:w="108" w:type="dxa"/>
            <w:bottom w:w="0" w:type="dxa"/>
            <w:right w:w="108" w:type="dxa"/>
          </w:tblCellMar>
        </w:tblPrEx>
        <w:tc>
          <w:tcPr>
            <w:tcW w:w="2880" w:type="dxa"/>
          </w:tcPr>
          <w:p w14:paraId="55533940">
            <w:r>
              <w:t>Sprint 3</w:t>
            </w:r>
          </w:p>
        </w:tc>
        <w:tc>
          <w:tcPr>
            <w:tcW w:w="2880" w:type="dxa"/>
          </w:tcPr>
          <w:p w14:paraId="3DB32EA1">
            <w:r>
              <w:t>Reassess mid-project risks and progress</w:t>
            </w:r>
          </w:p>
        </w:tc>
        <w:tc>
          <w:tcPr>
            <w:tcW w:w="2880" w:type="dxa"/>
          </w:tcPr>
          <w:p w14:paraId="4F1DB602">
            <w:pPr>
              <w:rPr>
                <w:rFonts w:hint="default" w:eastAsia="宋体"/>
                <w:lang w:val="en-US" w:eastAsia="zh-CN"/>
              </w:rPr>
            </w:pPr>
            <w:r>
              <w:t>A</w:t>
            </w:r>
            <w:r>
              <w:rPr>
                <w:rFonts w:hint="eastAsia" w:eastAsia="宋体"/>
                <w:lang w:val="en-US" w:eastAsia="zh-CN"/>
              </w:rPr>
              <w:t>ll</w:t>
            </w:r>
            <w:bookmarkStart w:id="0" w:name="_GoBack"/>
            <w:bookmarkEnd w:id="0"/>
          </w:p>
        </w:tc>
      </w:tr>
      <w:tr w14:paraId="6E39B779">
        <w:tblPrEx>
          <w:tblCellMar>
            <w:top w:w="0" w:type="dxa"/>
            <w:left w:w="108" w:type="dxa"/>
            <w:bottom w:w="0" w:type="dxa"/>
            <w:right w:w="108" w:type="dxa"/>
          </w:tblCellMar>
        </w:tblPrEx>
        <w:tc>
          <w:tcPr>
            <w:tcW w:w="2880" w:type="dxa"/>
          </w:tcPr>
          <w:p w14:paraId="0B898C32">
            <w:r>
              <w:t>Sprint 4</w:t>
            </w:r>
          </w:p>
        </w:tc>
        <w:tc>
          <w:tcPr>
            <w:tcW w:w="2880" w:type="dxa"/>
          </w:tcPr>
          <w:p w14:paraId="39EA26CA">
            <w:r>
              <w:t>Final sprint review and post-mortem risk reflection</w:t>
            </w:r>
          </w:p>
        </w:tc>
        <w:tc>
          <w:tcPr>
            <w:tcW w:w="2880" w:type="dxa"/>
          </w:tcPr>
          <w:p w14:paraId="0309DAA5">
            <w:r>
              <w:t>All</w:t>
            </w:r>
          </w:p>
        </w:tc>
      </w:tr>
    </w:tbl>
    <w:p w14:paraId="4032A89E">
      <w:pPr>
        <w:pStyle w:val="4"/>
      </w:pPr>
      <w:r>
        <w:t>8. Conclusion</w:t>
      </w:r>
    </w:p>
    <w:p w14:paraId="5D103C84">
      <w:r>
        <w:t>By embedding risk management into every sprint, the Blue Cat Four team ensures early detection, rapid response, and continuous improvement. This iterative approach aligns with Agile principles, allowing flexibility, transparency, and resilience in project execution.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8652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601</Words>
  <Characters>3751</Characters>
  <Lines>0</Lines>
  <Paragraphs>0</Paragraphs>
  <TotalTime>8</TotalTime>
  <ScaleCrop>false</ScaleCrop>
  <LinksUpToDate>false</LinksUpToDate>
  <CharactersWithSpaces>4253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Meliodas丶</cp:lastModifiedBy>
  <dcterms:modified xsi:type="dcterms:W3CDTF">2025-10-21T00:47:07Z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eyJoZGlkIjoiODc4ZTg5MDBkNmJmYTljY2EwZjFmNGY3NzU5MTViMDYiLCJ1c2VySWQiOiI0MjYyMDk2NjcifQ==</vt:lpwstr>
  </property>
  <property fmtid="{D5CDD505-2E9C-101B-9397-08002B2CF9AE}" pid="3" name="KSOProductBuildVer">
    <vt:lpwstr>2052-12.1.0.23125</vt:lpwstr>
  </property>
  <property fmtid="{D5CDD505-2E9C-101B-9397-08002B2CF9AE}" pid="4" name="ICV">
    <vt:lpwstr>BF4782031AA74D03A7C6252AE878D338_12</vt:lpwstr>
  </property>
</Properties>
</file>