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5500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朋友们，大家好！</w:t>
      </w:r>
    </w:p>
    <w:p w14:paraId="34DD594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医疗器械的安全有效，关乎每个人的生命健康。今天，我们一起走进《医疗器械监督管理条例》，了解法规如何守护我们的用械安全。</w:t>
      </w:r>
    </w:p>
    <w:p w14:paraId="481B741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医疗器械监督管理条例》首次颁布于2000年，历经多次修订，现行条例自2021年6月1日起施行，2024年12月又进行了第二次修订，标志着我国医疗器械监管进入更加科学、严谨的新阶段。</w:t>
      </w:r>
    </w:p>
    <w:p w14:paraId="00D67C5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条例明确，国家对医疗器械按照风险程度实行分类管理：第一类风险最低，如手术刀、纱布绷带，实行常规管理；第二类具有中度风险，如血压计、助听器，需要严格控制管理；第三类风险最高，如心脏起搏器、血管支架，需要采取特别措施严格管控。对于创新医疗器械，国家予以优先审评审批，全力支持自主创新。</w:t>
      </w:r>
    </w:p>
    <w:p w14:paraId="11E9263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注册与备案方面，条例规定：第一类医疗器械实行备案管理，第二类、第三类实行注册管理。注册人、备案人必须对产品全生命周期的安全有效承担主体责任。医疗器械注册证有效期为5年，需要延续的应当在有效期届满6个月前提出申请。此外，国家还建立了数据保护制度，对临床试验数据等给予保护，鼓励研发创新。</w:t>
      </w:r>
    </w:p>
    <w:p w14:paraId="665007E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生产管理方面，从事一类医疗器械生产需备案，二类、三类需取得生产许可证。医疗器械注册人、备案人可以自行生产，也可以委托生产，但具有高风险的植入性医疗器械不得委托生产。医疗器械必须有说明书和标签，且内容必须真实、准确，与注册或备案内容一致。</w:t>
      </w:r>
    </w:p>
    <w:p w14:paraId="5368D30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在经营管理方面，从事第二类医疗器械经营需备案，第三类需取得经营许可证。医疗器械网络销售实行实名登记和资质审查制度，电商平台必须履行管理义务，发现违法行为要及时制止并报告。</w:t>
      </w:r>
    </w:p>
    <w:p w14:paraId="29E3ED5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不良事件监测和召回方面，条例建立了医疗器械不良事件监测制度。发现产品不符合标准或存在缺陷的，注册人、备案人必须立即停止生产，通知相关方停止经营和使用，主动召回已上市产品，并将召回情况向监管部门报告。</w:t>
      </w:r>
    </w:p>
    <w:p w14:paraId="3F7F37F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条例设定了严厉的法律责任：生产、经营未取得注册证的二类、三类医疗器械，最高可处货值金额15倍以上30倍以下罚款，情节严重的，10年内不受理相关许可申请，对责任人终身禁止从业。未经许可配置大型医用设备的，也将面临高额罚款和从业禁止。对于提供虚假资料、伪造许可证等行为，条例同样设有严厉的处罚措施。</w:t>
      </w:r>
    </w:p>
    <w:p w14:paraId="60EFDC3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医疗器械监督管理条例》以风险管理为主线，以全程管控为手段，以社会共治为目标，构建了科学严密的监管体系。让我们共同学习法规、遵守法规，携手守护每一件医疗器械的安全，守护每一个人的生命健康！</w:t>
      </w:r>
    </w:p>
    <w:p w14:paraId="084B0D3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uto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谢谢大家！</w:t>
      </w:r>
    </w:p>
    <w:p w14:paraId="3E34F1F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062BD"/>
    <w:rsid w:val="04B062BD"/>
    <w:rsid w:val="295D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2026-08-12T02:12:00Z</dcterms:created>
  <dc:creator>胡昌斌</dc:creator>
  <cp:lastModifiedBy>胡昌斌</cp:lastModifiedBy>
  <dcterms:modified xsi:type="dcterms:W3CDTF">2026-08-12T02:14:02Z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750F1AF993A042C19D8A1493F32E77E8_11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