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95DDE9">
      <w:pPr>
        <w:pStyle w:val="2"/>
        <w:keepNext w:val="0"/>
        <w:keepLines w:val="0"/>
        <w:widowControl/>
        <w:suppressLineNumbers w:val="0"/>
        <w:shd w:val="clear" w:fill="FFFFFF"/>
        <w:spacing w:before="120" w:beforeAutospacing="0" w:after="120" w:afterAutospacing="0" w:line="360" w:lineRule="auto"/>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宋体" w:hAnsi="宋体" w:eastAsia="宋体" w:cs="Segoe UI"/>
          <w:i w:val="0"/>
          <w:iCs w:val="0"/>
          <w:caps w:val="0"/>
          <w:color w:val="0F1115"/>
          <w:spacing w:val="0"/>
          <w:sz w:val="24"/>
          <w:szCs w:val="24"/>
          <w:shd w:val="clear" w:fill="FFFFFF"/>
        </w:rPr>
        <w:t>大家好！</w:t>
      </w:r>
    </w:p>
    <w:p w14:paraId="435D1532">
      <w:pPr>
        <w:pStyle w:val="2"/>
        <w:keepNext w:val="0"/>
        <w:keepLines w:val="0"/>
        <w:widowControl/>
        <w:suppressLineNumbers w:val="0"/>
        <w:shd w:val="clear" w:fill="FFFFFF"/>
        <w:spacing w:before="120" w:beforeAutospacing="0" w:after="120" w:afterAutospacing="0" w:line="360" w:lineRule="auto"/>
        <w:ind w:left="0" w:right="0" w:firstLine="720" w:firstLineChars="300"/>
        <w:rPr>
          <w:rFonts w:ascii="Segoe UI" w:hAnsi="Segoe UI" w:eastAsia="Segoe UI" w:cs="Segoe UI"/>
          <w:i w:val="0"/>
          <w:iCs w:val="0"/>
          <w:caps w:val="0"/>
          <w:color w:val="0F1115"/>
          <w:spacing w:val="0"/>
          <w:sz w:val="24"/>
          <w:szCs w:val="24"/>
        </w:rPr>
      </w:pPr>
      <w:r>
        <w:rPr>
          <w:rFonts w:hint="default" w:ascii="宋体" w:hAnsi="宋体" w:eastAsia="宋体" w:cs="Segoe UI"/>
          <w:i w:val="0"/>
          <w:iCs w:val="0"/>
          <w:caps w:val="0"/>
          <w:color w:val="0F1115"/>
          <w:spacing w:val="0"/>
          <w:sz w:val="24"/>
          <w:szCs w:val="24"/>
          <w:shd w:val="clear" w:fill="FFFFFF"/>
        </w:rPr>
        <w:t>欢迎来到药品展区法规学习板块。今天，我将为大家系统解读《中华人民共和国药品管理法实施条例》的核心内容。这部条例刚刚于2026年1月完成第四次修订，自2026年5月15日起施行，是我国药品监管法治建设的重要里程碑。</w:t>
      </w:r>
    </w:p>
    <w:p w14:paraId="39EB9493">
      <w:pPr>
        <w:pStyle w:val="2"/>
        <w:keepNext w:val="0"/>
        <w:keepLines w:val="0"/>
        <w:widowControl/>
        <w:suppressLineNumbers w:val="0"/>
        <w:shd w:val="clear" w:fill="FFFFFF"/>
        <w:spacing w:before="120" w:beforeAutospacing="0" w:after="120" w:afterAutospacing="0" w:line="360" w:lineRule="auto"/>
        <w:ind w:right="0" w:firstLine="720" w:firstLineChars="300"/>
        <w:rPr>
          <w:rFonts w:hint="default" w:ascii="Segoe UI" w:hAnsi="Segoe UI" w:eastAsia="Segoe UI" w:cs="Segoe UI"/>
          <w:i w:val="0"/>
          <w:iCs w:val="0"/>
          <w:caps w:val="0"/>
          <w:color w:val="0F1115"/>
          <w:spacing w:val="0"/>
          <w:sz w:val="24"/>
          <w:szCs w:val="24"/>
        </w:rPr>
      </w:pPr>
      <w:r>
        <w:rPr>
          <w:rFonts w:hint="default" w:ascii="宋体" w:hAnsi="宋体" w:eastAsia="宋体" w:cs="Segoe UI"/>
          <w:i w:val="0"/>
          <w:iCs w:val="0"/>
          <w:caps w:val="0"/>
          <w:color w:val="0F1115"/>
          <w:spacing w:val="0"/>
          <w:sz w:val="24"/>
          <w:szCs w:val="24"/>
          <w:shd w:val="clear" w:fill="FFFFFF"/>
        </w:rPr>
        <w:t>条例首先确立了总则要求：从事药品研制、生产、经营、使用和监督活动，必须以人民健康为中心，遵循科学伦理，全面防控风险。国家完善药品创新体系，支持以临床价值为导向的新药研发，促进中药传承创新和仿制药质量提升，推动药品产业高质量发展。</w:t>
      </w:r>
    </w:p>
    <w:p w14:paraId="5BEE2D61">
      <w:pPr>
        <w:pStyle w:val="2"/>
        <w:keepNext w:val="0"/>
        <w:keepLines w:val="0"/>
        <w:widowControl/>
        <w:suppressLineNumbers w:val="0"/>
        <w:shd w:val="clear" w:fill="FFFFFF"/>
        <w:spacing w:before="120" w:beforeAutospacing="0" w:after="120" w:afterAutospacing="0" w:line="360" w:lineRule="auto"/>
        <w:ind w:left="0" w:right="0" w:firstLine="480" w:firstLineChars="200"/>
        <w:rPr>
          <w:rFonts w:hint="default" w:ascii="Segoe UI" w:hAnsi="Segoe UI" w:eastAsia="Segoe UI" w:cs="Segoe UI"/>
          <w:i w:val="0"/>
          <w:iCs w:val="0"/>
          <w:caps w:val="0"/>
          <w:color w:val="0F1115"/>
          <w:spacing w:val="0"/>
          <w:sz w:val="24"/>
          <w:szCs w:val="24"/>
        </w:rPr>
      </w:pPr>
      <w:r>
        <w:rPr>
          <w:rFonts w:hint="default" w:ascii="宋体" w:hAnsi="宋体" w:eastAsia="宋体" w:cs="Segoe UI"/>
          <w:i w:val="0"/>
          <w:iCs w:val="0"/>
          <w:caps w:val="0"/>
          <w:color w:val="0F1115"/>
          <w:spacing w:val="0"/>
          <w:sz w:val="24"/>
          <w:szCs w:val="24"/>
          <w:shd w:val="clear" w:fill="FFFFFF"/>
        </w:rPr>
        <w:t>在药品研制和注册方面，条例明确规定，从事药物研制须遵守药物非临床研究质量管理规范和药物临床试验质量管理规范，保证数据真实、准确、完整、可追溯。国家支持儿童用药和罕见病用药创新——儿童用药符合条件的给予不超过2年市场独占期，罕见病用药符合条件的给予不超过7年市场独占期。同时，国家对含有新型化学成分的药品实施不超过6年的数据保护，保护研发者的合法权益。</w:t>
      </w:r>
    </w:p>
    <w:p w14:paraId="54F9A608">
      <w:pPr>
        <w:pStyle w:val="2"/>
        <w:keepNext w:val="0"/>
        <w:keepLines w:val="0"/>
        <w:widowControl/>
        <w:suppressLineNumbers w:val="0"/>
        <w:shd w:val="clear" w:fill="FFFFFF"/>
        <w:spacing w:before="120" w:beforeAutospacing="0" w:after="120" w:afterAutospacing="0" w:line="360" w:lineRule="auto"/>
        <w:ind w:left="0" w:right="0" w:firstLine="480" w:firstLineChars="200"/>
        <w:rPr>
          <w:rFonts w:hint="default" w:ascii="Segoe UI" w:hAnsi="Segoe UI" w:eastAsia="Segoe UI" w:cs="Segoe UI"/>
          <w:i w:val="0"/>
          <w:iCs w:val="0"/>
          <w:caps w:val="0"/>
          <w:color w:val="0F1115"/>
          <w:spacing w:val="0"/>
          <w:sz w:val="24"/>
          <w:szCs w:val="24"/>
        </w:rPr>
      </w:pPr>
      <w:r>
        <w:rPr>
          <w:rFonts w:hint="default" w:ascii="宋体" w:hAnsi="宋体" w:eastAsia="宋体" w:cs="Segoe UI"/>
          <w:i w:val="0"/>
          <w:iCs w:val="0"/>
          <w:caps w:val="0"/>
          <w:color w:val="0F1115"/>
          <w:spacing w:val="0"/>
          <w:sz w:val="24"/>
          <w:szCs w:val="24"/>
          <w:shd w:val="clear" w:fill="FFFFFF"/>
        </w:rPr>
        <w:t>药品上市许可持有人制度是本次修订的重中之重。持有人须建立独立质量管理部门，配备生产负责人、质量负责人、质量受权人，质量受权人独立履行上市放行职责。境外持有人须指定境内企业法人负责相关事务。持有人须提供语音、大字、盲文或电子等无障碍格式说明书，方便残疾人、老年人用药。持有人还应持续考察药品质量、疗效和不良反应，定期开展上市后评价，必要时修订说明书、暂停生产销售直至召回药品。</w:t>
      </w:r>
    </w:p>
    <w:p w14:paraId="35C78B57">
      <w:pPr>
        <w:pStyle w:val="2"/>
        <w:keepNext w:val="0"/>
        <w:keepLines w:val="0"/>
        <w:widowControl/>
        <w:suppressLineNumbers w:val="0"/>
        <w:shd w:val="clear" w:fill="FFFFFF"/>
        <w:spacing w:before="120" w:beforeAutospacing="0" w:after="120" w:afterAutospacing="0" w:line="360" w:lineRule="auto"/>
        <w:ind w:left="0" w:right="0" w:firstLine="480" w:firstLineChars="200"/>
        <w:rPr>
          <w:rFonts w:hint="default" w:ascii="Segoe UI" w:hAnsi="Segoe UI" w:eastAsia="Segoe UI" w:cs="Segoe UI"/>
          <w:i w:val="0"/>
          <w:iCs w:val="0"/>
          <w:caps w:val="0"/>
          <w:color w:val="0F1115"/>
          <w:spacing w:val="0"/>
          <w:sz w:val="24"/>
          <w:szCs w:val="24"/>
        </w:rPr>
      </w:pPr>
      <w:r>
        <w:rPr>
          <w:rFonts w:hint="default" w:ascii="宋体" w:hAnsi="宋体" w:eastAsia="宋体" w:cs="Segoe UI"/>
          <w:i w:val="0"/>
          <w:iCs w:val="0"/>
          <w:caps w:val="0"/>
          <w:color w:val="0F1115"/>
          <w:spacing w:val="0"/>
          <w:sz w:val="24"/>
          <w:szCs w:val="24"/>
          <w:shd w:val="clear" w:fill="FFFFFF"/>
        </w:rPr>
        <w:t>在生产环节，药品上市许可持有人可自行生产或委托符合条件的生产企业生产，但血液制品、麻醉药品、精神药品、医疗用毒性药品等不得委托生产。首次进口中药材须经国务院药品监督管理部门批准。中药饮片生产企业应当自行炮制，不得委托炮制。中药配方颗粒生产企业同样不得委托生产，药品经营企业不得经营中药配方颗粒。</w:t>
      </w:r>
    </w:p>
    <w:p w14:paraId="2D01EC0E">
      <w:pPr>
        <w:pStyle w:val="2"/>
        <w:keepNext w:val="0"/>
        <w:keepLines w:val="0"/>
        <w:widowControl/>
        <w:suppressLineNumbers w:val="0"/>
        <w:shd w:val="clear" w:fill="FFFFFF"/>
        <w:spacing w:before="120" w:beforeAutospacing="0" w:after="120" w:afterAutospacing="0" w:line="360" w:lineRule="auto"/>
        <w:ind w:left="0" w:right="0" w:firstLine="480" w:firstLineChars="200"/>
        <w:rPr>
          <w:rFonts w:hint="default" w:ascii="Segoe UI" w:hAnsi="Segoe UI" w:eastAsia="Segoe UI" w:cs="Segoe UI"/>
          <w:i w:val="0"/>
          <w:iCs w:val="0"/>
          <w:caps w:val="0"/>
          <w:color w:val="0F1115"/>
          <w:spacing w:val="0"/>
          <w:sz w:val="24"/>
          <w:szCs w:val="24"/>
        </w:rPr>
      </w:pPr>
      <w:r>
        <w:rPr>
          <w:rFonts w:hint="default" w:ascii="宋体" w:hAnsi="宋体" w:eastAsia="宋体" w:cs="Segoe UI"/>
          <w:i w:val="0"/>
          <w:iCs w:val="0"/>
          <w:caps w:val="0"/>
          <w:color w:val="0F1115"/>
          <w:spacing w:val="0"/>
          <w:sz w:val="24"/>
          <w:szCs w:val="24"/>
          <w:shd w:val="clear" w:fill="FFFFFF"/>
        </w:rPr>
        <w:t>在经营环节，从事药品经营须取得药品经营许可证，配备依法经过资格认定的药师。药品零售企业凭处方销售处方药。药品网络交易第三方平台须建立健全质量管理体系，对平台内经营者进行审核和管理。疫苗、血液制品、麻醉药品、精神药品、医疗用毒性药品、放射性药品、药品类易制毒化学品等国家实行特殊管理的药品不得通过网络销售。</w:t>
      </w:r>
    </w:p>
    <w:p w14:paraId="59D1DB73">
      <w:pPr>
        <w:pStyle w:val="2"/>
        <w:keepNext w:val="0"/>
        <w:keepLines w:val="0"/>
        <w:widowControl/>
        <w:suppressLineNumbers w:val="0"/>
        <w:shd w:val="clear" w:fill="FFFFFF"/>
        <w:spacing w:before="120" w:beforeAutospacing="0" w:after="120" w:afterAutospacing="0" w:line="360" w:lineRule="auto"/>
        <w:ind w:right="0" w:firstLine="480" w:firstLineChars="200"/>
        <w:rPr>
          <w:rFonts w:hint="default" w:ascii="Segoe UI" w:hAnsi="Segoe UI" w:eastAsia="Segoe UI" w:cs="Segoe UI"/>
          <w:i w:val="0"/>
          <w:iCs w:val="0"/>
          <w:caps w:val="0"/>
          <w:color w:val="0F1115"/>
          <w:spacing w:val="0"/>
          <w:sz w:val="24"/>
          <w:szCs w:val="24"/>
        </w:rPr>
      </w:pPr>
      <w:r>
        <w:rPr>
          <w:rFonts w:hint="default" w:ascii="宋体" w:hAnsi="宋体" w:eastAsia="宋体" w:cs="Segoe UI"/>
          <w:i w:val="0"/>
          <w:iCs w:val="0"/>
          <w:caps w:val="0"/>
          <w:color w:val="0F1115"/>
          <w:spacing w:val="0"/>
          <w:sz w:val="24"/>
          <w:szCs w:val="24"/>
          <w:shd w:val="clear" w:fill="FFFFFF"/>
        </w:rPr>
        <w:t>在监督管理方面，国家建立统一的药品追溯体系。药品质量抽查检验由药品监督管理部门组织实施。伪造、变造许可证，提供虚假证明资料申请许可，将面临严厉处罚——10年内不受理申请，并处50万元以上500万元以下罚款，对责任人处2万元以上20万元以下罚款，10年内禁止从事药品生产经营活动。</w:t>
      </w:r>
    </w:p>
    <w:p w14:paraId="3A572DBD">
      <w:pPr>
        <w:pStyle w:val="2"/>
        <w:keepNext w:val="0"/>
        <w:keepLines w:val="0"/>
        <w:widowControl/>
        <w:suppressLineNumbers w:val="0"/>
        <w:shd w:val="clear" w:fill="FFFFFF"/>
        <w:spacing w:before="120" w:beforeAutospacing="0" w:after="120" w:afterAutospacing="0" w:line="360" w:lineRule="auto"/>
        <w:ind w:right="0" w:firstLine="480" w:firstLineChars="200"/>
        <w:rPr>
          <w:rFonts w:hint="default" w:ascii="Segoe UI" w:hAnsi="Segoe UI" w:eastAsia="Segoe UI" w:cs="Segoe UI"/>
          <w:i w:val="0"/>
          <w:iCs w:val="0"/>
          <w:caps w:val="0"/>
          <w:color w:val="0F1115"/>
          <w:spacing w:val="0"/>
          <w:sz w:val="24"/>
          <w:szCs w:val="24"/>
        </w:rPr>
      </w:pPr>
      <w:r>
        <w:rPr>
          <w:rFonts w:hint="default" w:ascii="宋体" w:hAnsi="宋体" w:eastAsia="宋体" w:cs="Segoe UI"/>
          <w:i w:val="0"/>
          <w:iCs w:val="0"/>
          <w:caps w:val="0"/>
          <w:color w:val="0F1115"/>
          <w:spacing w:val="0"/>
          <w:sz w:val="24"/>
          <w:szCs w:val="24"/>
          <w:shd w:val="clear" w:fill="FFFFFF"/>
        </w:rPr>
        <w:t>此外，条例还明确了假药和劣药的认定情形，规定药品储备实行中央和地方两级储备，市场监督管理部门依法查处垄断和不正当竞争行为，维护公平竞争秩序。</w:t>
      </w:r>
    </w:p>
    <w:p w14:paraId="68240609">
      <w:pPr>
        <w:pStyle w:val="2"/>
        <w:keepNext w:val="0"/>
        <w:keepLines w:val="0"/>
        <w:widowControl/>
        <w:suppressLineNumbers w:val="0"/>
        <w:shd w:val="clear" w:fill="FFFFFF"/>
        <w:spacing w:before="120" w:beforeAutospacing="0" w:after="0" w:afterAutospacing="0" w:line="360" w:lineRule="auto"/>
        <w:ind w:left="0" w:right="0" w:firstLine="480" w:firstLineChars="200"/>
        <w:rPr>
          <w:rFonts w:hint="default" w:ascii="Segoe UI" w:hAnsi="Segoe UI" w:eastAsia="Segoe UI" w:cs="Segoe UI"/>
          <w:i w:val="0"/>
          <w:iCs w:val="0"/>
          <w:caps w:val="0"/>
          <w:color w:val="0F1115"/>
          <w:spacing w:val="0"/>
          <w:sz w:val="24"/>
          <w:szCs w:val="24"/>
        </w:rPr>
      </w:pPr>
      <w:bookmarkStart w:id="0" w:name="_GoBack"/>
      <w:bookmarkEnd w:id="0"/>
      <w:r>
        <w:rPr>
          <w:rFonts w:hint="default" w:ascii="宋体" w:hAnsi="宋体" w:eastAsia="宋体" w:cs="Segoe UI"/>
          <w:i w:val="0"/>
          <w:iCs w:val="0"/>
          <w:caps w:val="0"/>
          <w:color w:val="0F1115"/>
          <w:spacing w:val="0"/>
          <w:sz w:val="24"/>
          <w:szCs w:val="24"/>
          <w:shd w:val="clear" w:fill="FFFFFF"/>
        </w:rPr>
        <w:t>谢谢大家！</w:t>
      </w:r>
    </w:p>
    <w:p w14:paraId="59B730EB">
      <w:pPr>
        <w:spacing w:line="360" w:lineRule="auto"/>
      </w:pPr>
    </w:p>
    <w:sectPr>
      <w:headerReference w:type="default" r:id="rId5"/>
      <w:headerReference w:type="first" r:id="rId6"/>
      <w:headerReference w:type="even" r:id="rId7"/>
      <w:footerReference w:type="default" r:id="rId8"/>
      <w:footerReference w:type="first" r:id="rId9"/>
      <w:footerReference w:type="even" r:id="rId10"/>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1D28EB"/>
    <w:rsid w:val="1DB573D4"/>
    <w:rsid w:val="311D28EB"/>
    <w:rsid w:val="38764A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rPrDefault>
    <w:rPr>
      <w:rFonts w:eastAsia="宋体" w:ascii="宋体" w:hAnsi="宋体"/>
      <w:sz w:val="24"/>
      <w:szCs w:val="24"/>
    </w:rPr>
  </w:rPrDefault>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2026-08-12T01:35:00Z</dcterms:created>
  <dc:creator>胡昌斌</dc:creator>
  <cp:lastModifiedBy>胡昌斌</cp:lastModifiedBy>
  <dcterms:modified xsi:type="dcterms:W3CDTF">2026-08-12T01:37:14Z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2E9B2B2F6BD04BDB8B585F35EBF6EAA5_11</vt:lpwstr>
  </property>
  <property fmtid="{D5CDD505-2E9C-101B-9397-08002B2CF9AE}" pid="4" name="KSOTemplateDocerSaveRecord">
    <vt:lpwstr>eyJoZGlkIjoiM2RiNzRlZjExNWEyYmQwNDk4NTI5YjNiNDUzN2ZiNWYiLCJ1c2VySWQiOiI0MDYyNjk5NzMifQ==</vt:lpwstr>
  </property>
</Properties>
</file>