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F6A30">
      <w:pPr>
        <w:pStyle w:val="31"/>
        <w:jc w:val="center"/>
      </w:pPr>
      <w:r>
        <w:rPr>
          <w:rFonts w:ascii="宋体" w:hAnsi="宋体" w:eastAsia="宋体"/>
          <w:b/>
          <w:sz w:val="24"/>
        </w:rPr>
        <w:t>医疗器械展区-案例篇</w:t>
      </w:r>
    </w:p>
    <w:p w14:paraId="3DE466B0">
      <w:pPr>
        <w:pStyle w:val="4"/>
      </w:pPr>
      <w:r>
        <w:rPr>
          <w:rFonts w:ascii="宋体" w:hAnsi="宋体" w:eastAsia="宋体"/>
          <w:sz w:val="24"/>
        </w:rPr>
        <w:t>案例一：深圳市梦想圆科技有限公司生产、经营未取得医疗器械注册证的第二类医疗器械“耳聋耳鸣光波仪”案</w:t>
      </w:r>
    </w:p>
    <w:p w14:paraId="560CF734">
      <w:pPr>
        <w:pStyle w:val="5"/>
      </w:pPr>
      <w:r>
        <w:rPr>
          <w:rFonts w:ascii="宋体" w:hAnsi="宋体" w:eastAsia="宋体"/>
          <w:sz w:val="24"/>
        </w:rPr>
        <w:t>【案情简介】</w:t>
      </w:r>
    </w:p>
    <w:p w14:paraId="448B2B95">
      <w:r>
        <w:rPr>
          <w:rFonts w:ascii="宋体" w:hAnsi="宋体" w:eastAsia="宋体"/>
          <w:sz w:val="24"/>
        </w:rPr>
        <w:t>2021年11月，广东省药监局接到反映深圳市梦想圆科技有限公司涉嫌违法生产并网络销售“耳聋耳鸣光波仪”的线索，立即组织深圳市市场监督管理局开展调查。经查，2020年3月至6月期间，当事人从网络平台采购主板、外壳、包装，未经许可生产第二类医疗器械“耳聋耳鸣光波仪”46台，并通过网络平台进行销售，货值金额3887元。当事人生产、经营未取得医疗器械注册证的第二类医疗器械的行为，违反了《医疗器械监督管理条例》（国务院令第680号）第十一条第一款、第二十二条第一款规定。2022年2月23日，深圳市市场监督管理局依据《医疗器械监督管理条例》（国务院令第680号）第六十三条第一款第一项、第二项规定，责令当事人改正违法行为，没收违法所得3887元、罚款50万元。</w:t>
      </w:r>
    </w:p>
    <w:p w14:paraId="116B8541">
      <w:pPr>
        <w:pStyle w:val="5"/>
      </w:pPr>
      <w:r>
        <w:rPr>
          <w:rFonts w:ascii="宋体" w:hAnsi="宋体" w:eastAsia="宋体"/>
          <w:sz w:val="24"/>
        </w:rPr>
        <w:t>【典型意义】</w:t>
      </w:r>
    </w:p>
    <w:p w14:paraId="3051CA64">
      <w:r>
        <w:rPr>
          <w:rFonts w:ascii="宋体" w:hAnsi="宋体" w:eastAsia="宋体"/>
          <w:sz w:val="24"/>
        </w:rPr>
        <w:t>该案所涉产品为老年人常用医疗器械。随着人口老龄化加速发展，此类产品的市场需求量较大。该公司利用老年人注重健康、求医心切、自我防范意识薄弱等特点，在未取得医疗器械生产许可的情况下，采购零部件自行组装并通过网络平台等渠道销售。此类无证生产、网络销售医疗器械案件的查处，净化了医疗器械网络销售环境，保障了人民群众特别是老年人群体用械安全。案件也提示广大消费者在购买医疗器械产品时，要索取相关票证，维护好自身合法权益。</w:t>
      </w:r>
    </w:p>
    <w:p w14:paraId="0363D7FC">
      <w:pPr>
        <w:pStyle w:val="4"/>
      </w:pPr>
      <w:r>
        <w:rPr>
          <w:rFonts w:ascii="宋体" w:hAnsi="宋体" w:eastAsia="宋体"/>
          <w:sz w:val="24"/>
        </w:rPr>
        <w:t>案例二：孟某芹未经许可从事第二类医疗器械生产活动案</w:t>
      </w:r>
    </w:p>
    <w:p w14:paraId="5B160E4A">
      <w:pPr>
        <w:pStyle w:val="5"/>
      </w:pPr>
      <w:r>
        <w:rPr>
          <w:rFonts w:ascii="宋体" w:hAnsi="宋体" w:eastAsia="宋体"/>
          <w:sz w:val="24"/>
        </w:rPr>
        <w:t>【案情简介】</w:t>
      </w:r>
    </w:p>
    <w:p w14:paraId="3E086E1A">
      <w:r>
        <w:rPr>
          <w:rFonts w:ascii="宋体" w:hAnsi="宋体" w:eastAsia="宋体"/>
          <w:sz w:val="24"/>
        </w:rPr>
        <w:t>2021年12月28日，河北省辛集市市场监督管理局对孟某芹位于辛集市束鹿大街驰鹿里4号的一处民宅进行检查，发现当事人涉嫌未经许可从事义齿的生产活动。经查，涉案货值金额540元，违法所得540元。当事人未经许可从事第二类医疗器械生产活动的行为，违反了《医疗器械监督管理条例》（国务院令第739号）第三十二条第一款规定。2022年1月25日，辛集市市场监督管理局依据《医疗器械监督管理条例》（国务院令第739号）第八十一条第一款第二项规定，责令当事人改正违法行为，并处以没收违法所得540元、罚款10万元的行政处罚。</w:t>
      </w:r>
    </w:p>
    <w:p w14:paraId="11B7952A">
      <w:pPr>
        <w:pStyle w:val="5"/>
      </w:pPr>
      <w:r>
        <w:rPr>
          <w:rFonts w:ascii="宋体" w:hAnsi="宋体" w:eastAsia="宋体"/>
          <w:sz w:val="24"/>
        </w:rPr>
        <w:t>【典型意义】</w:t>
      </w:r>
    </w:p>
    <w:p w14:paraId="740C5AC7">
      <w:r>
        <w:rPr>
          <w:rFonts w:ascii="宋体" w:hAnsi="宋体" w:eastAsia="宋体"/>
          <w:sz w:val="24"/>
        </w:rPr>
        <w:t>根据《医疗器械监督管理条例》（国务院令第739号）第三十二条第一款规定，从事第二类、第三类医疗器械生产的，应当向所在地省、自治区、直辖市人民政府药品监督管理部门申请生产许可并提交其符合本条例规定条件的有关资料以及所生产医疗器械的注册证。随着广大消费者对义齿的需求越来越大，义齿市场蓬勃发展。一些非法商家瞄准这个商机，未取得《医疗器械生产许可证》就利用简陋的制作平台、简单的制作工艺进行隐蔽生产，逃避监管，给使用者身体健康埋下极大隐患。监管部门对此类案件的迅速查处，警示商家应当落实主体责任、依法依规开展生产经营活动。本案也提醒广大消费者购买义齿时要擦亮眼睛，选择具有相关资质的医疗机构。</w:t>
      </w:r>
    </w:p>
    <w:p w14:paraId="74E92D7B"/>
    <w:p w14:paraId="1787DA70">
      <w:pPr>
        <w:jc w:val="both"/>
      </w:pPr>
      <w:bookmarkStart w:id="0" w:name="_GoBack"/>
      <w:bookmarkEnd w:id="0"/>
    </w:p>
    <w:sectPr>
      <w:headerReference w:type="default" r:id="rId9"/>
      <w:headerReference w:type="first" r:id="rId10"/>
      <w:headerReference w:type="even" r:id="rId11"/>
      <w:footerReference w:type="default" r:id="rId12"/>
      <w:footerReference w:type="first" r:id="rId13"/>
      <w:footerReference w:type="even" r:id="rId14"/>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5745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rPrDefault>
    <w:rPr>
      <w:rFonts w:eastAsia="宋体" w:ascii="宋体" w:hAnsi="宋体"/>
      <w:sz w:val="24"/>
      <w:szCs w:val="24"/>
    </w:rPr>
  </w:rPrDefault>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1219</Words>
  <Characters>1289</Characters>
  <Lines>0</Lines>
  <Paragraphs>0</Paragraphs>
  <TotalTime>0</TotalTime>
  <ScaleCrop>false</ScaleCrop>
  <LinksUpToDate>false</LinksUpToDate>
  <CharactersWithSpaces>1295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胡昌斌</cp:lastModifiedBy>
  <dcterms:modified xsi:type="dcterms:W3CDTF">2026-08-12T02:17:06Z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eyJoZGlkIjoiM2RiNzRlZjExNWEyYmQwNDk4NTI5YjNiNDUzN2ZiNWYiLCJ1c2VySWQiOiI0MDYyNjk5NzMifQ==</vt:lpwstr>
  </property>
  <property fmtid="{D5CDD505-2E9C-101B-9397-08002B2CF9AE}" pid="3" name="KSOProductBuildVer">
    <vt:lpwstr>2052-12.1.0.28043</vt:lpwstr>
  </property>
  <property fmtid="{D5CDD505-2E9C-101B-9397-08002B2CF9AE}" pid="4" name="ICV">
    <vt:lpwstr>E0BD0A91739845D689D5B32AD64919F8_12</vt:lpwstr>
  </property>
</Properties>
</file>