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A1461">
      <w:pPr>
        <w:pStyle w:val="31"/>
        <w:jc w:val="center"/>
      </w:pPr>
      <w:r>
        <w:rPr>
          <w:rFonts w:ascii="宋体" w:hAnsi="宋体" w:eastAsia="宋体"/>
          <w:b/>
          <w:sz w:val="24"/>
        </w:rPr>
        <w:t>模拟药店简介</w:t>
      </w:r>
    </w:p>
    <w:p w14:paraId="110AB2DC">
      <w:pPr>
        <w:pStyle w:val="3"/>
      </w:pPr>
      <w:r>
        <w:rPr>
          <w:rFonts w:ascii="宋体" w:hAnsi="宋体" w:eastAsia="宋体"/>
          <w:sz w:val="24"/>
        </w:rPr>
        <w:t>模拟药店</w:t>
      </w:r>
    </w:p>
    <w:p w14:paraId="4B461E20">
      <w:pPr>
        <w:pStyle w:val="4"/>
      </w:pPr>
      <w:r>
        <w:rPr>
          <w:rFonts w:ascii="宋体" w:hAnsi="宋体" w:eastAsia="宋体"/>
          <w:sz w:val="24"/>
        </w:rPr>
        <w:t>模拟药店简介</w:t>
      </w:r>
    </w:p>
    <w:p w14:paraId="58040F2C">
      <w:r>
        <w:rPr>
          <w:rFonts w:ascii="宋体" w:hAnsi="宋体" w:eastAsia="宋体"/>
          <w:sz w:val="24"/>
        </w:rPr>
        <w:t>模拟药店按照 GSP 要求建设，划分为传统药房和新零售模式区。传统药房分为药品区和非药品区。药</w:t>
      </w:r>
      <w:bookmarkStart w:id="0" w:name="_GoBack"/>
      <w:bookmarkEnd w:id="0"/>
      <w:r>
        <w:rPr>
          <w:rFonts w:ascii="宋体" w:hAnsi="宋体" w:eastAsia="宋体"/>
          <w:sz w:val="24"/>
        </w:rPr>
        <w:t>品区主要包括处方药区、非处方药区、中药饮片专区、阴凉区；非药品区主要包括食品保健食品区、医疗器械区、化妆品区、其他产品区。新零售模式区包括新特药销售区、网络销售区（智慧药房）、自助售药柜等，后续也可以根据药品零售发展模式增加相关功能。模拟药店既是监管人员和从业人员“教、学、考、赛”一体化的实训室，也为广大群众提供了一个虚拟现实化的科普法宣新阵地。</w:t>
      </w:r>
    </w:p>
    <w:p w14:paraId="1978B737">
      <w:r>
        <w:rPr>
          <w:rFonts w:ascii="宋体" w:hAnsi="宋体" w:eastAsia="宋体"/>
          <w:sz w:val="24"/>
        </w:rPr>
        <w:t>模拟药店采取分类教学，主要分为监管人员培训和从业人员培训。监管人员培训根据监管人员专业学历、监管经验等分为基本知识培训、岗前业务培训、业务提高培训、稽查执法培训等；从业人员培训分为法规宣贯培训、药店管理培训、应急处置培训等。</w:t>
      </w:r>
    </w:p>
    <w:p w14:paraId="2985B092">
      <w:pPr>
        <w:jc w:val="center"/>
      </w:pPr>
    </w:p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58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511</Words>
  <Characters>520</Characters>
  <Lines>0</Lines>
  <Paragraphs>0</Paragraphs>
  <TotalTime>0</TotalTime>
  <ScaleCrop>false</ScaleCrop>
  <LinksUpToDate>false</LinksUpToDate>
  <CharactersWithSpaces>527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胡昌斌</cp:lastModifiedBy>
  <dcterms:modified xsi:type="dcterms:W3CDTF">2026-08-12T02:23:24Z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eyJoZGlkIjoiM2RiNzRlZjExNWEyYmQwNDk4NTI5YjNiNDUzN2ZiNWYiLCJ1c2VySWQiOiI0MDYyNjk5NzMifQ==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0E287699992B45A1A07E2A02AAFA1576_12</vt:lpwstr>
  </property>
</Properties>
</file>