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000000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03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PROCEDIMIENTO PARA LA GESTIÓN DE ADQUISICIONES TECNOLÓGICAS</w:t>
      </w:r>
    </w:p>
    <w:p w14:paraId="0000000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Código:</w:t>
      </w:r>
      <w:r>
        <w:rPr>
          <w:rFonts w:ascii="Calibri" w:hAnsi="Calibri" w:cs="Calibri"/>
          <w:color w:val="000000" w:themeColor="text1"/>
          <w:lang w:val="es-EC"/>
        </w:rPr>
        <w:t xml:space="preserve"> TI-PRO-003</w:t>
      </w:r>
    </w:p>
    <w:p w14:paraId="00000005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Versión:</w:t>
      </w:r>
      <w:r>
        <w:rPr>
          <w:rFonts w:ascii="Calibri" w:hAnsi="Calibri" w:cs="Calibri"/>
          <w:color w:val="000000" w:themeColor="text1"/>
          <w:lang w:val="es-EC"/>
        </w:rPr>
        <w:t xml:space="preserve"> 1.1</w:t>
      </w:r>
    </w:p>
    <w:p w14:paraId="0000000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Área Responsable:</w:t>
      </w:r>
      <w:r>
        <w:rPr>
          <w:rFonts w:ascii="Calibri" w:hAnsi="Calibri" w:cs="Calibri"/>
          <w:color w:val="000000" w:themeColor="text1"/>
          <w:lang w:val="es-EC"/>
        </w:rPr>
        <w:t xml:space="preserve"> Tecnología de la Información (TI)</w:t>
      </w:r>
    </w:p>
    <w:p w14:paraId="00000007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08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1. OBJETIVO</w:t>
      </w:r>
    </w:p>
    <w:p w14:paraId="00000009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Establecer el procedimiento para la adquisición de equipos tecnológicos, accesorios y demás recursos informáticos, garantizando que todas las compras se realicen de forma planificada, controlada y alineada a las necesidades de la organización, diferenciando el canal de cliente interno y el canal de cliente externo.</w:t>
      </w:r>
    </w:p>
    <w:p w14:paraId="0000000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0B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2. ALCANCE</w:t>
      </w:r>
    </w:p>
    <w:p w14:paraId="0000000C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Aplica a todas las adquisiciones de bienes y servicios tecnológicos requeridos por la organización, incluyendo:</w:t>
      </w:r>
    </w:p>
    <w:p w14:paraId="0000000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Computadoras y laptops.</w:t>
      </w:r>
    </w:p>
    <w:p w14:paraId="0000000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Monitores.</w:t>
      </w:r>
    </w:p>
    <w:p w14:paraId="0000000F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Servidores.</w:t>
      </w:r>
    </w:p>
    <w:p w14:paraId="00000010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Equipos de red.</w:t>
      </w:r>
    </w:p>
    <w:p w14:paraId="00000011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Impresoras.</w:t>
      </w:r>
    </w:p>
    <w:p w14:paraId="0000001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Celulares corporativos.</w:t>
      </w:r>
    </w:p>
    <w:p w14:paraId="00000013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Tablets.</w:t>
      </w:r>
    </w:p>
    <w:p w14:paraId="0000001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Equipos de videovigilancia.</w:t>
      </w:r>
    </w:p>
    <w:p w14:paraId="00000015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Accesorios tecnológicos.</w:t>
      </w:r>
    </w:p>
    <w:p w14:paraId="0000001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17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Definición de clientes</w:t>
      </w:r>
    </w:p>
    <w:p w14:paraId="00000018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El proceso tiene dos entradas según quién necesita el equipo. Esta clasificación determina quién solicita la compra al Área de Compras.</w:t>
      </w:r>
    </w:p>
    <w:p w14:paraId="00000019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Cliente interno</w:t>
      </w:r>
    </w:p>
    <w:p w14:paraId="0000001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Personal administrativo de oficinas en Quito y Guayaquil.</w:t>
      </w:r>
    </w:p>
    <w:p w14:paraId="0000001B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Equipos habituales: laptops, computadoras, monitores y accesorios de oficina.</w:t>
      </w:r>
    </w:p>
    <w:p w14:paraId="0000001C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Cliente externo</w:t>
      </w:r>
    </w:p>
    <w:p w14:paraId="0000001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Todos los clientes por fuera: guardias y supervisores.</w:t>
      </w:r>
    </w:p>
    <w:p w14:paraId="0000001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Equipos habituales: tablets y laptops de operación.</w:t>
      </w:r>
    </w:p>
    <w:p w14:paraId="0000001F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Si se daña un dispositivo de cliente externo, la compra se gestiona por el flujo de cliente externo.</w:t>
      </w:r>
    </w:p>
    <w:p w14:paraId="00000020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21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3. RESPONSABILIDADES</w:t>
      </w:r>
    </w:p>
    <w:p w14:paraId="00000022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Área Solicitante</w:t>
      </w:r>
    </w:p>
    <w:p w14:paraId="00000023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Identificar la necesidad o reportar la falla mediante ticket.</w:t>
      </w:r>
    </w:p>
    <w:p w14:paraId="0000002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Justificar la adquisición.</w:t>
      </w:r>
    </w:p>
    <w:p w14:paraId="00000025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Cliente interno: esperar la evaluación de TI; no gestionar la compra por su cuenta.</w:t>
      </w:r>
    </w:p>
    <w:p w14:paraId="0000002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Cliente externo: una vez exista el informe técnico de TI, solicitar la compra directamente a Compras por correo.</w:t>
      </w:r>
    </w:p>
    <w:p w14:paraId="00000027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Aprobar la recepción del bien cuando corresponda y firmar el Acta de Entrega.</w:t>
      </w:r>
    </w:p>
    <w:p w14:paraId="00000028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29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Área de Tecnología de la Información</w:t>
      </w:r>
    </w:p>
    <w:p w14:paraId="0000002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Analizar la necesidad.</w:t>
      </w:r>
    </w:p>
    <w:p w14:paraId="0000002B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Evaluar si el equipo tiene arreglo o si existe inventario reutilizable.</w:t>
      </w:r>
    </w:p>
    <w:p w14:paraId="0000002C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Definir las especificaciones técnicas y emitir el informe técnico.</w:t>
      </w:r>
    </w:p>
    <w:p w14:paraId="0000002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Validar compatibilidad.</w:t>
      </w:r>
    </w:p>
    <w:p w14:paraId="0000002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Cliente interno: solicitar la compra a Compras cuando no haya arreglo ni stock.</w:t>
      </w:r>
    </w:p>
    <w:p w14:paraId="0000002F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Cliente externo: entregar el informe técnico para que el solicitante gestione la compra con Compras.</w:t>
      </w:r>
    </w:p>
    <w:p w14:paraId="00000030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Evaluar propuestas en su componente técnico.</w:t>
      </w:r>
    </w:p>
    <w:p w14:paraId="00000031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Recibir o coordinar el equipo, configurarlo y prepararlo.</w:t>
      </w:r>
    </w:p>
    <w:p w14:paraId="0000003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Actualizar el inventario tecnológico.</w:t>
      </w:r>
    </w:p>
    <w:p w14:paraId="00000033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Área de Compras</w:t>
      </w:r>
    </w:p>
    <w:p w14:paraId="0000003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Recibir la solicitud de compra (de TI en flujo interno, o del cliente o área por correo en flujo externo).</w:t>
      </w:r>
    </w:p>
    <w:p w14:paraId="00000035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Solicitar cotizaciones comerciales.</w:t>
      </w:r>
    </w:p>
    <w:p w14:paraId="0000003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Negociar con proveedores.</w:t>
      </w:r>
    </w:p>
    <w:p w14:paraId="00000037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Emitir la Orden de Compra una vez exista aprobación de Gerencia.</w:t>
      </w:r>
    </w:p>
    <w:p w14:paraId="00000038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Dar seguimiento al proveedor.</w:t>
      </w:r>
    </w:p>
    <w:p w14:paraId="00000039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Cliente interno: entregar el equipo a TI.</w:t>
      </w:r>
    </w:p>
    <w:p w14:paraId="0000003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Cliente externo: entregar el equipo directamente al usuario o enviar correo de coordinación.</w:t>
      </w:r>
    </w:p>
    <w:p w14:paraId="0000003B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Coordinar la entrega.</w:t>
      </w:r>
    </w:p>
    <w:p w14:paraId="0000003C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Gerencia</w:t>
      </w:r>
    </w:p>
    <w:p w14:paraId="0000003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Revisar y aprobar las adquisiciones en ambos flujos, conforme a la política de compras de la empresa. Sin esta aprobación, Compras no emite la Orden de Compra.</w:t>
      </w:r>
    </w:p>
    <w:p w14:paraId="0000003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3F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4. DESCRIPCIÓN DEL PROCEDIMIENTO</w:t>
      </w:r>
    </w:p>
    <w:p w14:paraId="00000040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1. Identificación de la Necesidad</w:t>
      </w:r>
    </w:p>
    <w:p w14:paraId="00000041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El área solicitante identifica la necesidad de adquirir un recurso tecnológico.</w:t>
      </w:r>
    </w:p>
    <w:p w14:paraId="0000004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Ejemplos:</w:t>
      </w:r>
    </w:p>
    <w:p w14:paraId="00000043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Nuevo colaborador.</w:t>
      </w:r>
    </w:p>
    <w:p w14:paraId="0000004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Equipo dañado.</w:t>
      </w:r>
    </w:p>
    <w:p w14:paraId="00000045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Equipo obsoleto.</w:t>
      </w:r>
    </w:p>
    <w:p w14:paraId="0000004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Incremento de personal.</w:t>
      </w:r>
    </w:p>
    <w:p w14:paraId="00000047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Nuevo proyecto.</w:t>
      </w:r>
    </w:p>
    <w:p w14:paraId="00000048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Dispositivo de operación que no funciona (ejemplo: el usuario indica que no le funciona el dispositivo y genera un ticket).</w:t>
      </w:r>
    </w:p>
    <w:p w14:paraId="00000049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Área Solicitante.</w:t>
      </w:r>
    </w:p>
    <w:p w14:paraId="0000004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4B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2. Generación del Requerimiento</w:t>
      </w:r>
    </w:p>
    <w:p w14:paraId="0000004C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El área solicitante registra un ticket o solicitud formal indicando:</w:t>
      </w:r>
    </w:p>
    <w:p w14:paraId="0000004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Justificación.</w:t>
      </w:r>
    </w:p>
    <w:p w14:paraId="0000004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Usuario final.</w:t>
      </w:r>
    </w:p>
    <w:p w14:paraId="0000004F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Área.</w:t>
      </w:r>
    </w:p>
    <w:p w14:paraId="00000050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Fecha requerida.</w:t>
      </w:r>
    </w:p>
    <w:p w14:paraId="00000051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Tipo de recurso solicitado.</w:t>
      </w:r>
    </w:p>
    <w:p w14:paraId="0000005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Si se trata de cliente interno o cliente externo.</w:t>
      </w:r>
    </w:p>
    <w:p w14:paraId="00000053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Área Solicitante.</w:t>
      </w:r>
    </w:p>
    <w:p w14:paraId="0000005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55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3. Evaluación Técnica</w:t>
      </w:r>
    </w:p>
    <w:p w14:paraId="0000005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TI analiza:</w:t>
      </w:r>
    </w:p>
    <w:p w14:paraId="00000057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Si existe disponibilidad en inventario.</w:t>
      </w:r>
    </w:p>
    <w:p w14:paraId="00000058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Si el equipo puede ser reutilizado.</w:t>
      </w:r>
    </w:p>
    <w:p w14:paraId="00000059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Si el equipo tiene arreglo.</w:t>
      </w:r>
    </w:p>
    <w:p w14:paraId="0000005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Compatibilidad con la infraestructura.</w:t>
      </w:r>
    </w:p>
    <w:p w14:paraId="0000005B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Especificaciones técnicas necesarias.</w:t>
      </w:r>
    </w:p>
    <w:p w14:paraId="0000005C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Licencias requeridas.</w:t>
      </w:r>
    </w:p>
    <w:p w14:paraId="0000005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Si el equipo tiene arreglo o existe disponibilidad, el equipo será reparado o reasignado. No se inicia compra.</w:t>
      </w:r>
    </w:p>
    <w:p w14:paraId="0000005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Si no existe disponibilidad y no tiene arreglo, se continúa con el proceso de compra.</w:t>
      </w:r>
    </w:p>
    <w:p w14:paraId="0000005F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Área de TI.</w:t>
      </w:r>
    </w:p>
    <w:p w14:paraId="00000060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61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4. Elaboración de Especificaciones Técnicas</w:t>
      </w:r>
    </w:p>
    <w:p w14:paraId="0000006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TI prepara el informe o documento técnico que incluirá, según corresponda:</w:t>
      </w:r>
    </w:p>
    <w:p w14:paraId="00000063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Procesador.</w:t>
      </w:r>
    </w:p>
    <w:p w14:paraId="0000006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Memoria RAM.</w:t>
      </w:r>
    </w:p>
    <w:p w14:paraId="00000065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Disco SSD.</w:t>
      </w:r>
    </w:p>
    <w:p w14:paraId="0000006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Sistema Operativo.</w:t>
      </w:r>
    </w:p>
    <w:p w14:paraId="00000067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Garantía.</w:t>
      </w:r>
    </w:p>
    <w:p w14:paraId="00000068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Monitor.</w:t>
      </w:r>
    </w:p>
    <w:p w14:paraId="00000069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Accesorios.</w:t>
      </w:r>
    </w:p>
    <w:p w14:paraId="0000006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Marca recomendada (cuando aplique).</w:t>
      </w:r>
    </w:p>
    <w:p w14:paraId="0000006B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Este informe técnico es la base obligatoria para que Compras gestione la adquisición.</w:t>
      </w:r>
    </w:p>
    <w:p w14:paraId="0000006C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Área de TI.</w:t>
      </w:r>
    </w:p>
    <w:p w14:paraId="0000006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6E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5. Solicitud de Compra y Cotizaciones</w:t>
      </w:r>
    </w:p>
    <w:p w14:paraId="0000006F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La forma de solicitar la compra depende del tipo de cliente.</w:t>
      </w:r>
    </w:p>
    <w:p w14:paraId="00000070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Cliente interno</w:t>
      </w:r>
    </w:p>
    <w:p w14:paraId="00000071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TI solicita la compra al Área de Compras, con el informe técnico. El personal administrativo no gestiona el pedido de forma directa.</w:t>
      </w:r>
    </w:p>
    <w:p w14:paraId="00000072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Cliente externo</w:t>
      </w:r>
    </w:p>
    <w:p w14:paraId="00000073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El cliente o su área debe solicitar directamente a Compras, enviando un correo basado en el informe técnico de TI. No espera a que TI haga el pedido en su nombre.</w:t>
      </w:r>
    </w:p>
    <w:p w14:paraId="0000007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Compras solicita cotizaciones a proveedores autorizados utilizando las especificaciones emitidas por TI. Se recomienda obtener al menos tres cotizaciones cuando la política interna lo requiera.</w:t>
      </w:r>
    </w:p>
    <w:p w14:paraId="00000075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Área de TI (flujo interno), Área Solicitante (flujo externo) y Área de Compras (cotizaciones).</w:t>
      </w:r>
    </w:p>
    <w:p w14:paraId="0000007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77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6. Evaluación de Proveedores</w:t>
      </w:r>
    </w:p>
    <w:p w14:paraId="00000078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TI realiza la evaluación técnica de las propuestas considerando:</w:t>
      </w:r>
    </w:p>
    <w:p w14:paraId="00000079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Cumplimiento de especificaciones.</w:t>
      </w:r>
    </w:p>
    <w:p w14:paraId="0000007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Garantía.</w:t>
      </w:r>
    </w:p>
    <w:p w14:paraId="0000007B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Tiempo de entrega.</w:t>
      </w:r>
    </w:p>
    <w:p w14:paraId="0000007C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Soporte técnico.</w:t>
      </w:r>
    </w:p>
    <w:p w14:paraId="0000007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Compatibilidad.</w:t>
      </w:r>
    </w:p>
    <w:p w14:paraId="0000007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Calidad del fabricante.</w:t>
      </w:r>
    </w:p>
    <w:p w14:paraId="0000007F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Compras analiza:</w:t>
      </w:r>
    </w:p>
    <w:p w14:paraId="00000080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Precio.</w:t>
      </w:r>
    </w:p>
    <w:p w14:paraId="00000081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Condiciones comerciales.</w:t>
      </w:r>
    </w:p>
    <w:p w14:paraId="0000008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Forma de pago.</w:t>
      </w:r>
    </w:p>
    <w:p w14:paraId="00000083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Disponibilidad.</w:t>
      </w:r>
    </w:p>
    <w:p w14:paraId="0000008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85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7. Aprobación</w:t>
      </w:r>
    </w:p>
    <w:p w14:paraId="0000008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En los dos casos, interno y externo, Gerencia revisa la adquisición para su aprobación, conforme a los niveles establecidos por la organización.</w:t>
      </w:r>
    </w:p>
    <w:p w14:paraId="00000087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Si se rechaza, se notifica al solicitante y se reformula o se cierra el requerimiento.</w:t>
      </w:r>
    </w:p>
    <w:p w14:paraId="00000088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Una vez aprobada, Compras emitirá la Orden de Compra.</w:t>
      </w:r>
    </w:p>
    <w:p w14:paraId="00000089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Gerencia y Área de Compras.</w:t>
      </w:r>
    </w:p>
    <w:p w14:paraId="0000008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8B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8. Compra</w:t>
      </w:r>
    </w:p>
    <w:p w14:paraId="0000008C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Compras realiza la adquisición con el proveedor seleccionado y da seguimiento hasta la recepción del bien.</w:t>
      </w:r>
    </w:p>
    <w:p w14:paraId="0000008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Área de Compras.</w:t>
      </w:r>
    </w:p>
    <w:p w14:paraId="0000008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8F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9. Recepción del Equipo</w:t>
      </w:r>
    </w:p>
    <w:p w14:paraId="00000090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La entrega logística depende del tipo de cliente.</w:t>
      </w:r>
    </w:p>
    <w:p w14:paraId="00000091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Cliente interno</w:t>
      </w:r>
    </w:p>
    <w:p w14:paraId="0000009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Compras entrega el equipo al Área de TI.</w:t>
      </w:r>
    </w:p>
    <w:p w14:paraId="00000093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Cliente externo</w:t>
      </w:r>
    </w:p>
    <w:p w14:paraId="0000009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Compras entrega el equipo directamente al usuario o envía un correo de notificación y coordinación.</w:t>
      </w:r>
    </w:p>
    <w:p w14:paraId="00000095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Al recibir el bien, TI verificará:</w:t>
      </w:r>
    </w:p>
    <w:p w14:paraId="0000009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Estado físico.</w:t>
      </w:r>
    </w:p>
    <w:p w14:paraId="00000097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Número de serie.</w:t>
      </w:r>
    </w:p>
    <w:p w14:paraId="00000098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Modelo.</w:t>
      </w:r>
    </w:p>
    <w:p w14:paraId="00000099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Garantía.</w:t>
      </w:r>
    </w:p>
    <w:p w14:paraId="0000009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Accesorios incluidos.</w:t>
      </w:r>
    </w:p>
    <w:p w14:paraId="0000009B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Funcionamiento.</w:t>
      </w:r>
    </w:p>
    <w:p w14:paraId="0000009C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En caso de inconsistencias, se notificará inmediatamente al proveedor.</w:t>
      </w:r>
    </w:p>
    <w:p w14:paraId="0000009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Área de Compras y Área de TI.</w:t>
      </w:r>
    </w:p>
    <w:p w14:paraId="0000009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9F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10. Configuración</w:t>
      </w:r>
    </w:p>
    <w:p w14:paraId="000000A0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En ambos casos TI prepara el equipo. TI realizará:</w:t>
      </w:r>
    </w:p>
    <w:p w14:paraId="000000A1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Instalación del sistema operativo.</w:t>
      </w:r>
    </w:p>
    <w:p w14:paraId="000000A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Configuración de Active Directory.</w:t>
      </w:r>
    </w:p>
    <w:p w14:paraId="000000A3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Configuración de correo corporativo.</w:t>
      </w:r>
    </w:p>
    <w:p w14:paraId="000000A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Instalación de Microsoft 365.</w:t>
      </w:r>
    </w:p>
    <w:p w14:paraId="000000A5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Instalación de software autorizado.</w:t>
      </w:r>
    </w:p>
    <w:p w14:paraId="000000A6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Configuración de antivirus.</w:t>
      </w:r>
    </w:p>
    <w:p w14:paraId="000000A7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Aplicación de políticas de seguridad.</w:t>
      </w:r>
    </w:p>
    <w:p w14:paraId="000000A8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Registro en inventario.</w:t>
      </w:r>
    </w:p>
    <w:p w14:paraId="000000A9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Etiquetado del activo.</w:t>
      </w:r>
    </w:p>
    <w:p w14:paraId="000000A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Área de TI.</w:t>
      </w:r>
    </w:p>
    <w:p w14:paraId="000000AB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AC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11. Entrega</w:t>
      </w:r>
    </w:p>
    <w:p w14:paraId="000000A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El usuario firmará el Acta de Entrega del Equipo, donde constarán:</w:t>
      </w:r>
    </w:p>
    <w:p w14:paraId="000000A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Equipo entregado.</w:t>
      </w:r>
    </w:p>
    <w:p w14:paraId="000000AF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Accesorios.</w:t>
      </w:r>
    </w:p>
    <w:p w14:paraId="000000B0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Estado del equipo.</w:t>
      </w:r>
    </w:p>
    <w:p w14:paraId="000000B1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Fecha.</w:t>
      </w:r>
    </w:p>
    <w:p w14:paraId="000000B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 de TI.</w:t>
      </w:r>
    </w:p>
    <w:p w14:paraId="000000B3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Usuario receptor.</w:t>
      </w:r>
    </w:p>
    <w:p w14:paraId="000000B4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Área de TI y usuario receptor.</w:t>
      </w:r>
    </w:p>
    <w:p w14:paraId="000000B5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B6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Paso 12. Cierre</w:t>
      </w:r>
    </w:p>
    <w:p w14:paraId="000000B7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TI actualizará:</w:t>
      </w:r>
    </w:p>
    <w:p w14:paraId="000000B8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Inventario de activos.</w:t>
      </w:r>
    </w:p>
    <w:p w14:paraId="000000B9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Base de datos de equipos.</w:t>
      </w:r>
    </w:p>
    <w:p w14:paraId="000000BA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Licencias asignadas.</w:t>
      </w:r>
    </w:p>
    <w:p w14:paraId="000000BB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Ticket de solicitud.</w:t>
      </w:r>
    </w:p>
    <w:p w14:paraId="000000BC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Finalmente se procederá al cierre del requerimiento.</w:t>
      </w:r>
    </w:p>
    <w:p w14:paraId="000000BD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Responsable: Área de TI.</w:t>
      </w:r>
    </w:p>
    <w:p w14:paraId="000000BE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BF" w14:textId="77777777">
      <w:pPr>
        <w:spacing w:line="240" w:lineRule="auto"/>
        <w:jc w:val="both"/>
        <w:rPr>
          <w:rFonts w:ascii="Calibri" w:hAnsi="Calibri" w:cs="Calibri"/>
          <w:b/>
          <w:bCs/>
          <w:color w:val="000000" w:themeColor="text1"/>
          <w:lang w:val="es-EC"/>
        </w:rPr>
      </w:pPr>
      <w:r>
        <w:rPr>
          <w:rFonts w:ascii="Calibri" w:hAnsi="Calibri" w:cs="Calibri"/>
          <w:b/>
          <w:bCs/>
          <w:color w:val="000000" w:themeColor="text1"/>
          <w:lang w:val="es-EC"/>
        </w:rPr>
        <w:t>5. DIAGRAMA DEL PROCESO</w:t>
      </w:r>
    </w:p>
    <w:p w14:paraId="000000C0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  <w:r>
        <w:rPr>
          <w:rFonts w:ascii="Calibri" w:hAnsi="Calibri" w:cs="Calibri"/>
          <w:color w:val="000000" w:themeColor="text1"/>
          <w:lang w:val="es-EC"/>
        </w:rPr>
        <w:t>El diagrama de flujo se mantiene en el archivo TI-PRO-003-Diagrama.drawio, para edición en Draw.io / diagrams.net. El diagrama representa los dos flujos: cliente interno (personal administrativo Quito y Guayaquil) y cliente externo (guardias, supervisores y clientes por fuera).</w:t>
      </w:r>
    </w:p>
    <w:p w14:paraId="000000C1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p w14:paraId="000000C2" w14:textId="77777777">
      <w:pPr>
        <w:spacing w:line="240" w:lineRule="auto"/>
        <w:jc w:val="both"/>
        <w:rPr>
          <w:rFonts w:ascii="Calibri" w:hAnsi="Calibri" w:cs="Calibri"/>
          <w:color w:val="000000" w:themeColor="text1"/>
          <w:lang w:val="es-EC"/>
        </w:rPr>
      </w:pPr>
    </w:p>
    <w:sectPr w:rsidR="004012A8" w:rsidRPr="00646A1C" w:rsidSect="00DF0AC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28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5D042" w14:textId="77777777" w:rsidR="00AB03DF" w:rsidRDefault="00AB03DF" w:rsidP="00F71251">
      <w:pPr>
        <w:spacing w:after="0" w:line="240" w:lineRule="auto"/>
      </w:pPr>
      <w:r>
        <w:separator/>
      </w:r>
    </w:p>
  </w:endnote>
  <w:endnote w:type="continuationSeparator" w:id="0">
    <w:p w14:paraId="115FDB5D" w14:textId="77777777" w:rsidR="00AB03DF" w:rsidRDefault="00AB03DF" w:rsidP="00F712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B4DFF" w14:textId="77777777" w:rsidR="00F71251" w:rsidRDefault="00F7125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6BE3C" w14:textId="77777777" w:rsidR="00F71251" w:rsidRDefault="00F7125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8D5E7" w14:textId="77777777" w:rsidR="00F71251" w:rsidRDefault="00F712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4E877" w14:textId="77777777" w:rsidR="00AB03DF" w:rsidRDefault="00AB03DF" w:rsidP="00F71251">
      <w:pPr>
        <w:spacing w:after="0" w:line="240" w:lineRule="auto"/>
      </w:pPr>
      <w:r>
        <w:separator/>
      </w:r>
    </w:p>
  </w:footnote>
  <w:footnote w:type="continuationSeparator" w:id="0">
    <w:p w14:paraId="2872DB9C" w14:textId="77777777" w:rsidR="00AB03DF" w:rsidRDefault="00AB03DF" w:rsidP="00F712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E0067" w14:textId="08AFA369" w:rsidR="00F71251" w:rsidRDefault="00000000">
    <w:pPr>
      <w:pStyle w:val="Encabezado"/>
    </w:pPr>
    <w:r>
      <w:rPr>
        <w:noProof/>
      </w:rPr>
      <w:pict w14:anchorId="551CA6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23331422" o:spid="_x0000_s1026" type="#_x0000_t75" style="position:absolute;margin-left:0;margin-top:0;width:595.05pt;height:841.75pt;z-index:-251657216;mso-position-horizontal:center;mso-position-horizontal-relative:margin;mso-position-vertical:center;mso-position-vertical-relative:margin" o:allowincell="f">
          <v:imagedata r:id="rId1" o:title="Plantilla DT360 (4)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D4B64" w14:textId="473F52C9" w:rsidR="00F71251" w:rsidRDefault="00000000">
    <w:pPr>
      <w:pStyle w:val="Encabezado"/>
    </w:pPr>
    <w:r>
      <w:rPr>
        <w:noProof/>
      </w:rPr>
      <w:pict w14:anchorId="6357D4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23331423" o:spid="_x0000_s1027" type="#_x0000_t75" style="position:absolute;margin-left:0;margin-top:0;width:595.05pt;height:841.75pt;z-index:-251656192;mso-position-horizontal:center;mso-position-horizontal-relative:margin;mso-position-vertical:center;mso-position-vertical-relative:margin" o:allowincell="f">
          <v:imagedata r:id="rId1" o:title="Plantilla DT360 (4)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C67B3" w14:textId="02F8CB64" w:rsidR="00F71251" w:rsidRDefault="00000000">
    <w:pPr>
      <w:pStyle w:val="Encabezado"/>
    </w:pPr>
    <w:r>
      <w:rPr>
        <w:noProof/>
      </w:rPr>
      <w:pict w14:anchorId="1D9F709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23331421" o:spid="_x0000_s1025" type="#_x0000_t75" style="position:absolute;margin-left:0;margin-top:0;width:595.05pt;height:841.75pt;z-index:-251658240;mso-position-horizontal:center;mso-position-horizontal-relative:margin;mso-position-vertical:center;mso-position-vertical-relative:margin" o:allowincell="f">
          <v:imagedata r:id="rId1" o:title="Plantilla DT360 (4)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BEA9A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12443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251"/>
    <w:rsid w:val="00050AFC"/>
    <w:rsid w:val="00073C87"/>
    <w:rsid w:val="00086B62"/>
    <w:rsid w:val="0009478D"/>
    <w:rsid w:val="00120101"/>
    <w:rsid w:val="00121797"/>
    <w:rsid w:val="001702FA"/>
    <w:rsid w:val="00310CE7"/>
    <w:rsid w:val="00393312"/>
    <w:rsid w:val="00393A5D"/>
    <w:rsid w:val="004012A8"/>
    <w:rsid w:val="0050667D"/>
    <w:rsid w:val="005C6F11"/>
    <w:rsid w:val="00646A1C"/>
    <w:rsid w:val="006677B2"/>
    <w:rsid w:val="006F07C7"/>
    <w:rsid w:val="007C3536"/>
    <w:rsid w:val="008129CF"/>
    <w:rsid w:val="008838BA"/>
    <w:rsid w:val="008D3C9A"/>
    <w:rsid w:val="009A6F92"/>
    <w:rsid w:val="00A02307"/>
    <w:rsid w:val="00A961AE"/>
    <w:rsid w:val="00AB03DF"/>
    <w:rsid w:val="00B53B87"/>
    <w:rsid w:val="00B56FAD"/>
    <w:rsid w:val="00C433A7"/>
    <w:rsid w:val="00DF0ACE"/>
    <w:rsid w:val="00E21AA2"/>
    <w:rsid w:val="00ED5F16"/>
    <w:rsid w:val="00EE3FAE"/>
    <w:rsid w:val="00F71251"/>
    <w:rsid w:val="00FA1598"/>
    <w:rsid w:val="00FC6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27D691"/>
  <w15:chartTrackingRefBased/>
  <w15:docId w15:val="{8D87380E-74A7-41DE-9AF3-FA1805B0A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12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12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12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12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12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12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12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12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12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12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12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12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125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125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12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125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12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12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12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12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12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12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12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12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12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125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12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125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125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712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1251"/>
  </w:style>
  <w:style w:type="paragraph" w:styleId="Piedepgina">
    <w:name w:val="footer"/>
    <w:basedOn w:val="Normal"/>
    <w:link w:val="PiedepginaCar"/>
    <w:uiPriority w:val="99"/>
    <w:unhideWhenUsed/>
    <w:rsid w:val="00F712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1251"/>
  </w:style>
  <w:style w:type="paragraph" w:styleId="Textoindependiente">
    <w:name w:val="Body Text"/>
    <w:basedOn w:val="Normal"/>
    <w:link w:val="TextoindependienteCar"/>
    <w:qFormat/>
    <w:rsid w:val="0050667D"/>
    <w:pPr>
      <w:spacing w:before="180" w:after="180" w:line="240" w:lineRule="auto"/>
    </w:pPr>
    <w:rPr>
      <w:kern w:val="0"/>
      <w:lang w:val="en-U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rsid w:val="0050667D"/>
    <w:rPr>
      <w:kern w:val="0"/>
      <w:lang w:val="en-US"/>
      <w14:ligatures w14:val="none"/>
    </w:rPr>
  </w:style>
  <w:style w:type="paragraph" w:customStyle="1" w:styleId="FirstParagraph">
    <w:name w:val="First Paragraph"/>
    <w:basedOn w:val="Textoindependiente"/>
    <w:next w:val="Textoindependiente"/>
    <w:qFormat/>
    <w:rsid w:val="0050667D"/>
  </w:style>
  <w:style w:type="paragraph" w:customStyle="1" w:styleId="Compact">
    <w:name w:val="Compact"/>
    <w:basedOn w:val="Textoindependiente"/>
    <w:qFormat/>
    <w:rsid w:val="0050667D"/>
    <w:pPr>
      <w:spacing w:before="36" w:after="36"/>
    </w:pPr>
  </w:style>
  <w:style w:type="table" w:customStyle="1" w:styleId="Table">
    <w:name w:val="Table"/>
    <w:semiHidden/>
    <w:unhideWhenUsed/>
    <w:qFormat/>
    <w:rsid w:val="0050667D"/>
    <w:pPr>
      <w:spacing w:after="200" w:line="240" w:lineRule="auto"/>
    </w:pPr>
    <w:rPr>
      <w:kern w:val="0"/>
      <w:sz w:val="20"/>
      <w:szCs w:val="20"/>
      <w:lang w:val="en-US" w:eastAsia="es-EC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2A87E3-CE28-441C-976D-966D66D0B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645</Words>
  <Characters>3548</Characters>
  <Application>Microsoft Office Word</Application>
  <DocSecurity>0</DocSecurity>
  <Lines>29</Lines>
  <Paragraphs>8</Paragraphs>
  <ScaleCrop>false</ScaleCrop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Nathaly Intriago</dc:creator>
  <cp:keywords/>
  <dc:description/>
  <cp:lastModifiedBy>9qx04</cp:lastModifiedBy>
  <cp:revision>2</cp:revision>
  <cp:lastPrinted>2026-07-28T14:41:00Z</cp:lastPrinted>
  <dcterms:created xsi:type="dcterms:W3CDTF">2026-08-28T19:27:00Z</dcterms:created>
  <dcterms:modified xsi:type="dcterms:W3CDTF">2026-08-28T19:27:00Z</dcterms:modified>
</cp:coreProperties>
</file>