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00000002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</w:p>
    <w:p w14:paraId="00000003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PROCEDIMIENTO PARA EL MANTENIMIENTO PREVENTIVO DE EQUIPOS INFORMÁTICOS</w:t>
      </w:r>
    </w:p>
    <w:p w14:paraId="00000004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Código:</w:t>
      </w:r>
      <w:r>
        <w:rPr>
          <w:rFonts w:ascii="Calibri" w:hAnsi="Calibri" w:cs="Calibri"/>
          <w:color w:val="000000" w:themeColor="text1"/>
          <w:lang w:val="es-EC"/>
        </w:rPr>
        <w:t xml:space="preserve"> TI-PRO-004</w:t>
      </w:r>
    </w:p>
    <w:p w14:paraId="00000005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Versión:</w:t>
      </w:r>
      <w:r>
        <w:rPr>
          <w:rFonts w:ascii="Calibri" w:hAnsi="Calibri" w:cs="Calibri"/>
          <w:color w:val="000000" w:themeColor="text1"/>
          <w:lang w:val="es-EC"/>
        </w:rPr>
        <w:t xml:space="preserve"> 1.0</w:t>
      </w:r>
    </w:p>
    <w:p w14:paraId="00000006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Área Responsable:</w:t>
      </w:r>
      <w:r>
        <w:rPr>
          <w:rFonts w:ascii="Calibri" w:hAnsi="Calibri" w:cs="Calibri"/>
          <w:color w:val="000000" w:themeColor="text1"/>
          <w:lang w:val="es-EC"/>
        </w:rPr>
        <w:t xml:space="preserve"> Tecnología de la Información (TI)</w:t>
      </w:r>
    </w:p>
    <w:p w14:paraId="00000007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Periodicidad:</w:t>
      </w:r>
      <w:r>
        <w:rPr>
          <w:rFonts w:ascii="Calibri" w:hAnsi="Calibri" w:cs="Calibri"/>
          <w:color w:val="000000" w:themeColor="text1"/>
          <w:lang w:val="es-EC"/>
        </w:rPr>
        <w:t xml:space="preserve"> Cada seis (6) meses</w:t>
      </w:r>
    </w:p>
    <w:p w14:paraId="00000008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</w:p>
    <w:p w14:paraId="00000009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1. OBJETIVO</w:t>
      </w:r>
    </w:p>
    <w:p w14:paraId="0000000A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Establecer el procedimiento para planificar, ejecutar, documentar y cerrar el mantenimiento preventivo de los equipos informáticos de la organización cada seis meses, con el fin de conservar su disponibilidad, rendimiento y seguridad, reducir fallas no programadas y prolongar la vida útil de los activos tecnológicos.</w:t>
      </w:r>
    </w:p>
    <w:p w14:paraId="0000000B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Este procedimiento complementa al TI-PRO-003 (adquisición de tecnología). Cuando el mantenimiento detecte un equipo sin arreglo técnico o al final de su vida útil, se derivará al proceso de compra correspondiente.</w:t>
      </w:r>
    </w:p>
    <w:p w14:paraId="0000000C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</w:p>
    <w:p w14:paraId="0000000D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2. ALCANCE</w:t>
      </w:r>
    </w:p>
    <w:p w14:paraId="0000000E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Aplica a todos los equipos informáticos registrados en el inventario tecnológico, asignados a clientes internos y externos, en Quito, Guayaquil y sitios de operación. Incluye, como mínimo:</w:t>
      </w:r>
    </w:p>
    <w:p w14:paraId="0000000F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Computadoras de escritorio y laptops.</w:t>
      </w:r>
    </w:p>
    <w:p w14:paraId="00000010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Tablets de operación.</w:t>
      </w:r>
    </w:p>
    <w:p w14:paraId="00000011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Monitores y periféricos asociados al puesto de trabajo.</w:t>
      </w:r>
    </w:p>
    <w:p w14:paraId="00000012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Equipos de red de usuario (cuando estén bajo custodia de TI).</w:t>
      </w:r>
    </w:p>
    <w:p w14:paraId="00000013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Impresoras de uso interno, cuando aplique.</w:t>
      </w:r>
    </w:p>
    <w:p w14:paraId="00000014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Celulares corporativos, cuando aplique.</w:t>
      </w:r>
    </w:p>
    <w:p w14:paraId="00000015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Accesorios tecnológicos registrados como activo.</w:t>
      </w:r>
    </w:p>
    <w:p w14:paraId="00000016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No sustituye al soporte correctivo por ticket de falla. El correctivo de emergencia se atiende de inmediato; el preventivo se ejecuta de forma programada cada seis meses, sin perjuicio de adelantarlo si el diagnóstico lo justifica.</w:t>
      </w:r>
    </w:p>
    <w:p w14:paraId="00000017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</w:p>
    <w:p w14:paraId="00000018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Definición de clientes</w:t>
      </w:r>
    </w:p>
    <w:p w14:paraId="00000019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Cliente interno</w:t>
      </w:r>
    </w:p>
    <w:p w14:paraId="0000001A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Personal administrativo de oficinas en Quito y Guayaquil.</w:t>
      </w:r>
    </w:p>
    <w:p w14:paraId="0000001B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El mantenimiento se realiza preferentemente en sitio o en el taller de TI, previa coordinación de agenda.</w:t>
      </w:r>
    </w:p>
    <w:p w14:paraId="0000001C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Cliente externo</w:t>
      </w:r>
    </w:p>
    <w:p w14:paraId="0000001D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Guardias, supervisores y demás clientes por fuera (tablets y laptops de operación).</w:t>
      </w:r>
    </w:p>
    <w:p w14:paraId="0000001E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El mantenimiento se coordina con el área responsable del personal de campo. El equipo se recolecta, se recibe en TI o se interviene en sitio, según disponibilidad operativa.</w:t>
      </w:r>
    </w:p>
    <w:p w14:paraId="0000001F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</w:p>
    <w:p w14:paraId="00000020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Definiciones</w:t>
      </w:r>
    </w:p>
    <w:p w14:paraId="00000021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Mantenimiento preventivo: conjunto de actividades planificadas de limpieza, inspección, actualización, optimización y verificación que se ejecutan cada seis meses para evitar fallas.</w:t>
      </w:r>
    </w:p>
    <w:p w14:paraId="00000022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Mantenimiento correctivo: intervención no programada para reparar una falla ya presentada. Si el equipo no tiene arreglo, se aplica el TI-PRO-003.</w:t>
      </w:r>
    </w:p>
    <w:p w14:paraId="00000023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Ciclo semestral: período de seis meses contado desde la fecha de entrega del equipo, desde el último mantenimiento cerrado o desde la fecha de alta en inventario, la que resulte más reciente.</w:t>
      </w:r>
    </w:p>
    <w:p w14:paraId="00000024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</w:p>
    <w:p w14:paraId="00000025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3. RESPONSABILIDADES</w:t>
      </w:r>
    </w:p>
    <w:p w14:paraId="00000026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Área de Tecnología de la Información</w:t>
      </w:r>
    </w:p>
    <w:p w14:paraId="00000027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Elaborar el calendario semestral a partir del inventario de activos.</w:t>
      </w:r>
    </w:p>
    <w:p w14:paraId="00000028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Notificar al usuario o área con al menos cinco días hábiles de anticipación.</w:t>
      </w:r>
    </w:p>
    <w:p w14:paraId="00000029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Ejecutar el checklist de hardware, software y seguridad.</w:t>
      </w:r>
    </w:p>
    <w:p w14:paraId="0000002A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Realizar o verificar el respaldo de información antes de intervenir.</w:t>
      </w:r>
    </w:p>
    <w:p w14:paraId="0000002B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Registrar hallazgos, tiempos de intervención y próximo vencimiento.</w:t>
      </w:r>
    </w:p>
    <w:p w14:paraId="0000002C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Entregar el equipo con acta de mantenimiento y actualizar el inventario.</w:t>
      </w:r>
    </w:p>
    <w:p w14:paraId="0000002D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Derivar a TI-PRO-003 cuando el equipo no tenga arreglo o deba reemplazarse.</w:t>
      </w:r>
    </w:p>
    <w:p w14:paraId="0000002E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Emitir el informe semestral de cumplimiento a Gerencia.</w:t>
      </w:r>
    </w:p>
    <w:p w14:paraId="0000002F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Usuario o área solicitante</w:t>
      </w:r>
    </w:p>
    <w:p w14:paraId="00000030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Facilitar el equipo en la fecha coordinada.</w:t>
      </w:r>
    </w:p>
    <w:p w14:paraId="00000031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Informar claves, accesorios y novedades de uso (cuando aplique y esté autorizado).</w:t>
      </w:r>
    </w:p>
    <w:p w14:paraId="00000032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Resguardar información crítica antes de la intervención, en lo que le corresponda.</w:t>
      </w:r>
    </w:p>
    <w:p w14:paraId="00000033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Firmar el acta de recepción posterior al mantenimiento.</w:t>
      </w:r>
    </w:p>
    <w:p w14:paraId="00000034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Reportar por ticket cualquier anomalía posterior a la entrega.</w:t>
      </w:r>
    </w:p>
    <w:p w14:paraId="00000035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Jefatura o supervisión del área</w:t>
      </w:r>
    </w:p>
    <w:p w14:paraId="00000036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Autorizar ventanas de mantenimiento que no afecten la operación crítica.</w:t>
      </w:r>
    </w:p>
    <w:p w14:paraId="00000037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Cliente externo: coordinar el retiro o la visita de tablets y laptops de guardias y supervisores.</w:t>
      </w:r>
    </w:p>
    <w:p w14:paraId="00000038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Gerencia</w:t>
      </w:r>
    </w:p>
    <w:p w14:paraId="00000039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Conocer el indicador de cumplimiento del plan semestral y autorizar reemplazos cuando TI derive el caso al proceso de adquisición.</w:t>
      </w:r>
    </w:p>
    <w:p w14:paraId="0000003A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</w:p>
    <w:p w14:paraId="0000003B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4. DESCRIPCIÓN DEL PROCEDIMIENTO</w:t>
      </w:r>
    </w:p>
    <w:p w14:paraId="0000003C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Paso 1. Programación del ciclo semestral</w:t>
      </w:r>
    </w:p>
    <w:p w14:paraId="0000003D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En los meses de control (o de forma continua sobre el inventario), TI identifica los equipos cuyo mantenimiento preventivo está vencido o vence en los siguientes treinta días.</w:t>
      </w:r>
    </w:p>
    <w:p w14:paraId="0000003E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El plan debe indicar:</w:t>
      </w:r>
    </w:p>
    <w:p w14:paraId="0000003F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Código de inventario, serie, modelo y usuario asignado.</w:t>
      </w:r>
    </w:p>
    <w:p w14:paraId="00000040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Sede (Quito, Guayaquil u operación de campo).</w:t>
      </w:r>
    </w:p>
    <w:p w14:paraId="00000041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Tipo de cliente (interno o externo).</w:t>
      </w:r>
    </w:p>
    <w:p w14:paraId="00000042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Fecha del último mantenimiento y fecha objetivo del actual.</w:t>
      </w:r>
    </w:p>
    <w:p w14:paraId="00000043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Ventana tentativa de intervención.</w:t>
      </w:r>
    </w:p>
    <w:p w14:paraId="00000044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Responsable: Área de TI.</w:t>
      </w:r>
    </w:p>
    <w:p w14:paraId="00000045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</w:p>
    <w:p w14:paraId="00000046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Paso 2. Generación del ticket de mantenimiento</w:t>
      </w:r>
    </w:p>
    <w:p w14:paraId="00000047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TI abre un ticket de mantenimiento preventivo por equipo o por lote controlado (mismo usuario o misma sede), dejando trazabilidad de fecha, técnico asignado y checklist aplicable.</w:t>
      </w:r>
    </w:p>
    <w:p w14:paraId="00000048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El ticket no espera a que el usuario reporte una falla. Es una actividad planificada por TI.</w:t>
      </w:r>
    </w:p>
    <w:p w14:paraId="00000049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Responsable: Área de TI.</w:t>
      </w:r>
    </w:p>
    <w:p w14:paraId="0000004A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</w:p>
    <w:p w14:paraId="0000004B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Paso 3. Notificación y coordinación</w:t>
      </w:r>
    </w:p>
    <w:p w14:paraId="0000004C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TI notifica al usuario y a su jefatura, con al menos cinco días hábiles, indicando fecha, hora, lugar y duración estimada.</w:t>
      </w:r>
    </w:p>
    <w:p w14:paraId="0000004D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Cliente interno</w:t>
      </w:r>
    </w:p>
    <w:p w14:paraId="0000004E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Se agenda en oficina de Quito o Guayaquil. El usuario deja el equipo disponible o acude al taller de TI, según se coordine.</w:t>
      </w:r>
    </w:p>
    <w:p w14:paraId="0000004F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Cliente externo</w:t>
      </w:r>
    </w:p>
    <w:p w14:paraId="00000050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Se coordina con supervisión de campo el retiro, la visita o el reemplazo temporal de tablets y laptops, para no dejar desatendida la operación.</w:t>
      </w:r>
    </w:p>
    <w:p w14:paraId="00000051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Si el usuario no facilita el equipo en dos coordinaciones, TI escala a la jefatura y deja constancia en el ticket.</w:t>
      </w:r>
    </w:p>
    <w:p w14:paraId="00000052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Responsable: Área de TI y jefatura del usuario.</w:t>
      </w:r>
    </w:p>
    <w:p w14:paraId="00000053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</w:p>
    <w:p w14:paraId="00000054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Paso 4. Recepción del equipo y respaldo</w:t>
      </w:r>
    </w:p>
    <w:p w14:paraId="00000055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Antes de cualquier intervención, el técnico verifica identidad del activo y realiza o confirma el respaldo de información.</w:t>
      </w:r>
    </w:p>
    <w:p w14:paraId="00000056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Se registra:</w:t>
      </w:r>
    </w:p>
    <w:p w14:paraId="00000057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Número de serie, etiqueta de inventario y estado físico de ingreso.</w:t>
      </w:r>
    </w:p>
    <w:p w14:paraId="00000058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Accesorios entregados (cargador, funda, stylus, mouse, candado).</w:t>
      </w:r>
    </w:p>
    <w:p w14:paraId="00000059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Existencia de respaldo válido o ejecución del respaldo autorizado.</w:t>
      </w:r>
    </w:p>
    <w:p w14:paraId="0000005A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Novedades reportadas por el usuario.</w:t>
      </w:r>
    </w:p>
    <w:p w14:paraId="0000005B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No se inicia el mantenimiento si no existe respaldo o autorización expresa de continuar cuando el equipo no almacene información institucional.</w:t>
      </w:r>
    </w:p>
    <w:p w14:paraId="0000005C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Responsable: Área de TI.</w:t>
      </w:r>
    </w:p>
    <w:p w14:paraId="0000005D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</w:p>
    <w:p w14:paraId="0000005E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Paso 5. Diagnóstico inicial</w:t>
      </w:r>
    </w:p>
    <w:p w14:paraId="0000005F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TI ejecuta una evaluación de entrada para establecer la línea base del equipo:</w:t>
      </w:r>
    </w:p>
    <w:p w14:paraId="00000060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Encendido, POST y tiempos de arranque.</w:t>
      </w:r>
    </w:p>
    <w:p w14:paraId="00000061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Temperatura, ventilación y ruidos anómalos.</w:t>
      </w:r>
    </w:p>
    <w:p w14:paraId="00000062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Estado de batería (laptops y tablets).</w:t>
      </w:r>
    </w:p>
    <w:p w14:paraId="00000063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Pantalla, teclado, puertos, audio y conectividad.</w:t>
      </w:r>
    </w:p>
    <w:p w14:paraId="00000064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Espacio en disco, memoria y carga de procesos.</w:t>
      </w:r>
    </w:p>
    <w:p w14:paraId="00000065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Vigencia de antivirus, parches y licencias.</w:t>
      </w:r>
    </w:p>
    <w:p w14:paraId="00000066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Cumplimiento de políticas de dominio y cifrado, cuando aplique.</w:t>
      </w:r>
    </w:p>
    <w:p w14:paraId="00000067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Si el diagnóstico evidencia daño estructural, oxidación severa, placa fuera de servicio o costo de reparación no justificado, se documenta y se continúa al Paso 9 (derivación).</w:t>
      </w:r>
    </w:p>
    <w:p w14:paraId="00000068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Responsable: Área de TI.</w:t>
      </w:r>
    </w:p>
    <w:p w14:paraId="00000069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</w:p>
    <w:p w14:paraId="0000006A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Paso 6. Mantenimiento preventivo de hardware</w:t>
      </w:r>
    </w:p>
    <w:p w14:paraId="0000006B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Con el equipo respaldado y diagnosticado, se ejecuta el checklist de hardware, según el tipo de dispositivo:</w:t>
      </w:r>
    </w:p>
    <w:p w14:paraId="0000006C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Limpieza externa e interna de polvo en salidas de aire, ventiladores y disipadores.</w:t>
      </w:r>
    </w:p>
    <w:p w14:paraId="0000006D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Revisión de tornillería, bisagras, tapa y estado de la carcasa.</w:t>
      </w:r>
    </w:p>
    <w:p w14:paraId="0000006E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Inspección de puertos USB, HDMI, audio, carga y lector, cuando aplique.</w:t>
      </w:r>
    </w:p>
    <w:p w14:paraId="0000006F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Verificación de teclado, touchpad, cámara y micrófono.</w:t>
      </w:r>
    </w:p>
    <w:p w14:paraId="00000070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Prueba de batería y adaptador de corriente.</w:t>
      </w:r>
    </w:p>
    <w:p w14:paraId="00000071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Limpieza de pantalla y, en tablets, revisión de digitalizador y funda.</w:t>
      </w:r>
    </w:p>
    <w:p w14:paraId="00000072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Revisión de periféricos asociados al puesto (monitor, dock, mouse).</w:t>
      </w:r>
    </w:p>
    <w:p w14:paraId="00000073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Las piezas de desgaste se reportan. Si se requiere recambio y no hay stock, se genera el requerimiento técnico.</w:t>
      </w:r>
    </w:p>
    <w:p w14:paraId="00000074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Responsable: Área de TI.</w:t>
      </w:r>
    </w:p>
    <w:p w14:paraId="00000075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</w:p>
    <w:p w14:paraId="00000076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Paso 7. Mantenimiento preventivo de software y seguridad</w:t>
      </w:r>
    </w:p>
    <w:p w14:paraId="00000077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TI ejecuta el checklist lógico, sin instalar software no autorizado:</w:t>
      </w:r>
    </w:p>
    <w:p w14:paraId="00000078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Actualización del sistema operativo y parches de seguridad pendientes.</w:t>
      </w:r>
    </w:p>
    <w:p w14:paraId="00000079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Actualización de antivirus o EDR y ejecución de análisis completo.</w:t>
      </w:r>
    </w:p>
    <w:p w14:paraId="0000007A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Limpieza de temporales, papelera, archivos huérfanos y punto de restauración.</w:t>
      </w:r>
    </w:p>
    <w:p w14:paraId="0000007B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Verificación de espacio en disco y desfragmentación o optimización, según el tipo de unidad.</w:t>
      </w:r>
    </w:p>
    <w:p w14:paraId="0000007C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Validación de Microsoft 365, correo corporativo y software autorizado.</w:t>
      </w:r>
    </w:p>
    <w:p w14:paraId="0000007D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Revisión de cuenta de dominio, políticas de GPO y bloqueo de pantalla.</w:t>
      </w:r>
    </w:p>
    <w:p w14:paraId="0000007E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Verificación de cifrado, copias de seguridad y que no existan cuentas locales no controladas.</w:t>
      </w:r>
    </w:p>
    <w:p w14:paraId="0000007F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Eliminación de software no institucional detectado, con constancia en el informe.</w:t>
      </w:r>
    </w:p>
    <w:p w14:paraId="00000080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Responsable: Área de TI.</w:t>
      </w:r>
    </w:p>
    <w:p w14:paraId="00000081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</w:p>
    <w:p w14:paraId="00000082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Paso 8. Pruebas de funcionamiento</w:t>
      </w:r>
    </w:p>
    <w:p w14:paraId="00000083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Al concluir hardware y software, se valida que el equipo quede operativo para el usuario:</w:t>
      </w:r>
    </w:p>
    <w:p w14:paraId="00000084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Encendido y apagado correctos.</w:t>
      </w:r>
    </w:p>
    <w:p w14:paraId="00000085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Inicio de sesión corporativo.</w:t>
      </w:r>
    </w:p>
    <w:p w14:paraId="00000086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Navegación, correo e impresoras de red, cuando aplique.</w:t>
      </w:r>
    </w:p>
    <w:p w14:paraId="00000087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Audio, cámara y conectividad Wi-Fi o cableada.</w:t>
      </w:r>
    </w:p>
    <w:p w14:paraId="00000088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En tablets: aplicaciones de operación, GPS o periféricos de campo, cuando aplique.</w:t>
      </w:r>
    </w:p>
    <w:p w14:paraId="00000089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Los resultados se marcan en el checklist como conforme o no conforme.</w:t>
      </w:r>
    </w:p>
    <w:p w14:paraId="0000008A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Responsable: Área de TI.</w:t>
      </w:r>
    </w:p>
    <w:p w14:paraId="0000008B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</w:p>
    <w:p w14:paraId="0000008C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Paso 9. Evaluación de resultado y derivación</w:t>
      </w:r>
    </w:p>
    <w:p w14:paraId="0000008D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Con base en el diagnóstico y las pruebas, TI clasifica el resultado:</w:t>
      </w:r>
    </w:p>
    <w:p w14:paraId="0000008E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Equipo conforme</w:t>
      </w:r>
    </w:p>
    <w:p w14:paraId="0000008F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Se entrega al usuario, se firma el acta y se programa el próximo mantenimiento a seis meses.</w:t>
      </w:r>
    </w:p>
    <w:p w14:paraId="00000090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Requiere correctivo menor</w:t>
      </w:r>
    </w:p>
    <w:p w14:paraId="00000091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TI repara en el mismo ciclo (cambio de pieza en stock, reimagen parcial, ajuste de configuración) y repite las pruebas.</w:t>
      </w:r>
    </w:p>
    <w:p w14:paraId="00000092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No tiene arreglo o no es viable reparar</w:t>
      </w:r>
    </w:p>
    <w:p w14:paraId="00000093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TI emite informe técnico y deriva al procedimiento TI-PRO-003. Cliente interno: TI solicita la compra. Cliente externo: el área solicita directamente a Compras por correo, con el informe de TI. En ambos casos Gerencia aprueba antes de la orden de compra.</w:t>
      </w:r>
    </w:p>
    <w:p w14:paraId="00000094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Mientras se gestiona el reemplazo, TI evaluará la asignación de un equipo de respaldo, si existe inventario.</w:t>
      </w:r>
    </w:p>
    <w:p w14:paraId="00000095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Responsable: Área de TI. Derivación: conforme a TI-PRO-003.</w:t>
      </w:r>
    </w:p>
    <w:p w14:paraId="00000096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</w:p>
    <w:p w14:paraId="00000097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Paso 10. Documentación del servicio</w:t>
      </w:r>
    </w:p>
    <w:p w14:paraId="00000098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Toda intervención preventiva debe dejar evidencia en:</w:t>
      </w:r>
    </w:p>
    <w:p w14:paraId="00000099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Checklist de mantenimiento (hardware, software y pruebas), con fecha y nombre del técnico.</w:t>
      </w:r>
    </w:p>
    <w:p w14:paraId="0000009A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Informe de hallazgos y acciones ejecutadas.</w:t>
      </w:r>
    </w:p>
    <w:p w14:paraId="0000009B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Registro de inventario: fecha de mantenimiento, resultado y próximo vencimiento.</w:t>
      </w:r>
    </w:p>
    <w:p w14:paraId="0000009C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Ticket actualizado con tiempos de inicio y fin.</w:t>
      </w:r>
    </w:p>
    <w:p w14:paraId="0000009D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Cuando exista derivación a compra, número de informe técnico asociado.</w:t>
      </w:r>
    </w:p>
    <w:p w14:paraId="0000009E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Responsable: Área de TI.</w:t>
      </w:r>
    </w:p>
    <w:p w14:paraId="0000009F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</w:p>
    <w:p w14:paraId="000000A0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Paso 11. Entrega al usuario</w:t>
      </w:r>
    </w:p>
    <w:p w14:paraId="000000A1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El usuario recibe el equipo y firma el Acta de Mantenimiento, donde constarán:</w:t>
      </w:r>
    </w:p>
    <w:p w14:paraId="000000A2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Equipo e inventario.</w:t>
      </w:r>
    </w:p>
    <w:p w14:paraId="000000A3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Accesorios devueltos.</w:t>
      </w:r>
    </w:p>
    <w:p w14:paraId="000000A4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Trabajos realizados.</w:t>
      </w:r>
    </w:p>
    <w:p w14:paraId="000000A5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Resultado (conforme, correctivo o derivado a compra).</w:t>
      </w:r>
    </w:p>
    <w:p w14:paraId="000000A6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Fecha y hora de entrega.</w:t>
      </w:r>
    </w:p>
    <w:p w14:paraId="000000A7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Responsable de TI y usuario receptor.</w:t>
      </w:r>
    </w:p>
    <w:p w14:paraId="000000A8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Fecha programada del próximo mantenimiento (más seis meses).</w:t>
      </w:r>
    </w:p>
    <w:p w14:paraId="000000A9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Responsable: Área de TI y usuario receptor.</w:t>
      </w:r>
    </w:p>
    <w:p w14:paraId="000000AA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</w:p>
    <w:p w14:paraId="000000AB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Paso 12. Cierre e informe de cumplimiento</w:t>
      </w:r>
    </w:p>
    <w:p w14:paraId="000000AC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TI cierra el ticket y actualiza:</w:t>
      </w:r>
    </w:p>
    <w:p w14:paraId="000000AD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Inventario de activos y bitácora de mantenimiento.</w:t>
      </w:r>
    </w:p>
    <w:p w14:paraId="000000AE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Calendario del siguiente ciclo semestral.</w:t>
      </w:r>
    </w:p>
    <w:p w14:paraId="000000AF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Indicador de equipos intervenidos versus planificados.</w:t>
      </w:r>
    </w:p>
    <w:p w14:paraId="000000B0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Hallazgos repetitivos que requieran cambio de estándar o de proveedor.</w:t>
      </w:r>
    </w:p>
    <w:p w14:paraId="000000B1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Al cierre de cada ciclo semestral, TI emite un informe resumido a Gerencia con cobertura alcanzada, equipos derivados a compra, incidentes detectados y recomendaciones.</w:t>
      </w:r>
    </w:p>
    <w:p w14:paraId="000000B2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Responsable: Área de TI. Informe: Gerencia.</w:t>
      </w:r>
    </w:p>
    <w:p w14:paraId="000000B3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</w:p>
    <w:p w14:paraId="000000B4" w14:textId="77777777">
      <w:pPr>
        <w:spacing w:line="240" w:lineRule="auto"/>
        <w:jc w:val="both"/>
        <w:rPr>
          <w:rFonts w:ascii="Calibri" w:hAnsi="Calibri" w:cs="Calibri"/>
          <w:b/>
          <w:bCs/>
          <w:color w:val="000000" w:themeColor="text1"/>
          <w:lang w:val="es-EC"/>
        </w:rPr>
      </w:pPr>
      <w:r>
        <w:rPr>
          <w:rFonts w:ascii="Calibri" w:hAnsi="Calibri" w:cs="Calibri"/>
          <w:b/>
          <w:bCs/>
          <w:color w:val="000000" w:themeColor="text1"/>
          <w:lang w:val="es-EC"/>
        </w:rPr>
        <w:t>5. DIAGRAMA DEL PROCESO</w:t>
      </w:r>
    </w:p>
    <w:p w14:paraId="000000B5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  <w:r>
        <w:rPr>
          <w:rFonts w:ascii="Calibri" w:hAnsi="Calibri" w:cs="Calibri"/>
          <w:color w:val="000000" w:themeColor="text1"/>
          <w:lang w:val="es-EC"/>
        </w:rPr>
        <w:t>El diagrama de flujo se mantiene en el archivo TI-PRO-004-Diagrama.drawio, para edición en Draw.io / diagrams.net. Representa la programación semestral, la atención a cliente interno y externo, la ejecución del preventivo, la decisión de conformidad o derivación al proceso de adquisición TI-PRO-003, y el cierre con acta e inventario.</w:t>
      </w:r>
    </w:p>
    <w:p w14:paraId="000000B6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</w:p>
    <w:p w14:paraId="000000B7" w14:textId="77777777">
      <w:pPr>
        <w:spacing w:line="240" w:lineRule="auto"/>
        <w:jc w:val="both"/>
        <w:rPr>
          <w:rFonts w:ascii="Calibri" w:hAnsi="Calibri" w:cs="Calibri"/>
          <w:color w:val="000000" w:themeColor="text1"/>
          <w:lang w:val="es-EC"/>
        </w:rPr>
      </w:pPr>
    </w:p>
    <w:sectPr w:rsidR="004012A8" w:rsidRPr="00646A1C" w:rsidSect="00DF0AC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5D042" w14:textId="77777777" w:rsidR="00AB03DF" w:rsidRDefault="00AB03DF" w:rsidP="00F71251">
      <w:pPr>
        <w:spacing w:after="0" w:line="240" w:lineRule="auto"/>
      </w:pPr>
      <w:r>
        <w:separator/>
      </w:r>
    </w:p>
  </w:endnote>
  <w:endnote w:type="continuationSeparator" w:id="0">
    <w:p w14:paraId="115FDB5D" w14:textId="77777777" w:rsidR="00AB03DF" w:rsidRDefault="00AB03DF" w:rsidP="00F71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B4DFF" w14:textId="77777777" w:rsidR="00F71251" w:rsidRDefault="00F7125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6BE3C" w14:textId="77777777" w:rsidR="00F71251" w:rsidRDefault="00F7125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8D5E7" w14:textId="77777777" w:rsidR="00F71251" w:rsidRDefault="00F712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4E877" w14:textId="77777777" w:rsidR="00AB03DF" w:rsidRDefault="00AB03DF" w:rsidP="00F71251">
      <w:pPr>
        <w:spacing w:after="0" w:line="240" w:lineRule="auto"/>
      </w:pPr>
      <w:r>
        <w:separator/>
      </w:r>
    </w:p>
  </w:footnote>
  <w:footnote w:type="continuationSeparator" w:id="0">
    <w:p w14:paraId="2872DB9C" w14:textId="77777777" w:rsidR="00AB03DF" w:rsidRDefault="00AB03DF" w:rsidP="00F71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E0067" w14:textId="08AFA369" w:rsidR="00F71251" w:rsidRDefault="00000000">
    <w:pPr>
      <w:pStyle w:val="Encabezado"/>
    </w:pPr>
    <w:r>
      <w:rPr>
        <w:noProof/>
      </w:rPr>
      <w:pict w14:anchorId="551CA6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3331422" o:spid="_x0000_s1026" type="#_x0000_t75" style="position:absolute;margin-left:0;margin-top:0;width:595.05pt;height:841.75pt;z-index:-251657216;mso-position-horizontal:center;mso-position-horizontal-relative:margin;mso-position-vertical:center;mso-position-vertical-relative:margin" o:allowincell="f">
          <v:imagedata r:id="rId1" o:title="Plantilla DT360 (4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D4B64" w14:textId="473F52C9" w:rsidR="00F71251" w:rsidRDefault="00000000">
    <w:pPr>
      <w:pStyle w:val="Encabezado"/>
    </w:pPr>
    <w:r>
      <w:rPr>
        <w:noProof/>
      </w:rPr>
      <w:pict w14:anchorId="6357D4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3331423" o:spid="_x0000_s1027" type="#_x0000_t75" style="position:absolute;margin-left:0;margin-top:0;width:595.05pt;height:841.75pt;z-index:-251656192;mso-position-horizontal:center;mso-position-horizontal-relative:margin;mso-position-vertical:center;mso-position-vertical-relative:margin" o:allowincell="f">
          <v:imagedata r:id="rId1" o:title="Plantilla DT360 (4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C67B3" w14:textId="02F8CB64" w:rsidR="00F71251" w:rsidRDefault="00000000">
    <w:pPr>
      <w:pStyle w:val="Encabezado"/>
    </w:pPr>
    <w:r>
      <w:rPr>
        <w:noProof/>
      </w:rPr>
      <w:pict w14:anchorId="1D9F7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3331421" o:spid="_x0000_s1025" type="#_x0000_t75" style="position:absolute;margin-left:0;margin-top:0;width:595.05pt;height:841.75pt;z-index:-251658240;mso-position-horizontal:center;mso-position-horizontal-relative:margin;mso-position-vertical:center;mso-position-vertical-relative:margin" o:allowincell="f">
          <v:imagedata r:id="rId1" o:title="Plantilla DT360 (4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BEA9A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12443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51"/>
    <w:rsid w:val="00050AFC"/>
    <w:rsid w:val="00073C87"/>
    <w:rsid w:val="00086B62"/>
    <w:rsid w:val="0009478D"/>
    <w:rsid w:val="00120101"/>
    <w:rsid w:val="00121797"/>
    <w:rsid w:val="001702FA"/>
    <w:rsid w:val="00310CE7"/>
    <w:rsid w:val="00393312"/>
    <w:rsid w:val="00393A5D"/>
    <w:rsid w:val="004012A8"/>
    <w:rsid w:val="0050667D"/>
    <w:rsid w:val="005C6F11"/>
    <w:rsid w:val="00646A1C"/>
    <w:rsid w:val="006677B2"/>
    <w:rsid w:val="006F07C7"/>
    <w:rsid w:val="007C3536"/>
    <w:rsid w:val="008129CF"/>
    <w:rsid w:val="008838BA"/>
    <w:rsid w:val="008D3C9A"/>
    <w:rsid w:val="009A6F92"/>
    <w:rsid w:val="00A02307"/>
    <w:rsid w:val="00A961AE"/>
    <w:rsid w:val="00AB03DF"/>
    <w:rsid w:val="00B53B87"/>
    <w:rsid w:val="00B56FAD"/>
    <w:rsid w:val="00C433A7"/>
    <w:rsid w:val="00DF0ACE"/>
    <w:rsid w:val="00E21AA2"/>
    <w:rsid w:val="00ED5F16"/>
    <w:rsid w:val="00EE3FAE"/>
    <w:rsid w:val="00F71251"/>
    <w:rsid w:val="00FA1598"/>
    <w:rsid w:val="00FC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7D691"/>
  <w15:chartTrackingRefBased/>
  <w15:docId w15:val="{8D87380E-74A7-41DE-9AF3-FA1805B0A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1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1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1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1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1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1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1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1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1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1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1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1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12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12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12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12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12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12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1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1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1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1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1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12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12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12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1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12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125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712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1251"/>
  </w:style>
  <w:style w:type="paragraph" w:styleId="Piedepgina">
    <w:name w:val="footer"/>
    <w:basedOn w:val="Normal"/>
    <w:link w:val="PiedepginaCar"/>
    <w:uiPriority w:val="99"/>
    <w:unhideWhenUsed/>
    <w:rsid w:val="00F712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1251"/>
  </w:style>
  <w:style w:type="paragraph" w:styleId="Textoindependiente">
    <w:name w:val="Body Text"/>
    <w:basedOn w:val="Normal"/>
    <w:link w:val="TextoindependienteCar"/>
    <w:qFormat/>
    <w:rsid w:val="0050667D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50667D"/>
    <w:rPr>
      <w:kern w:val="0"/>
      <w:lang w:val="en-US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50667D"/>
  </w:style>
  <w:style w:type="paragraph" w:customStyle="1" w:styleId="Compact">
    <w:name w:val="Compact"/>
    <w:basedOn w:val="Textoindependiente"/>
    <w:qFormat/>
    <w:rsid w:val="0050667D"/>
    <w:pPr>
      <w:spacing w:before="36" w:after="36"/>
    </w:pPr>
  </w:style>
  <w:style w:type="table" w:customStyle="1" w:styleId="Table">
    <w:name w:val="Table"/>
    <w:semiHidden/>
    <w:unhideWhenUsed/>
    <w:qFormat/>
    <w:rsid w:val="0050667D"/>
    <w:pPr>
      <w:spacing w:after="200" w:line="240" w:lineRule="auto"/>
    </w:pPr>
    <w:rPr>
      <w:kern w:val="0"/>
      <w:sz w:val="20"/>
      <w:szCs w:val="20"/>
      <w:lang w:val="en-US" w:eastAsia="es-EC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A87E3-CE28-441C-976D-966D66D0B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645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Nathaly Intriago</dc:creator>
  <cp:keywords/>
  <dc:description/>
  <cp:lastModifiedBy>9qx04</cp:lastModifiedBy>
  <cp:revision>2</cp:revision>
  <cp:lastPrinted>2026-07-28T14:41:00Z</cp:lastPrinted>
  <dcterms:created xsi:type="dcterms:W3CDTF">2026-08-28T19:27:00Z</dcterms:created>
  <dcterms:modified xsi:type="dcterms:W3CDTF">2026-08-28T19:27:00Z</dcterms:modified>
</cp:coreProperties>
</file>